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91A19" w14:paraId="00000001" w14:textId="77777777">
      <w:pPr>
        <w:pStyle w:val="heading12"/>
        <w:ind w:left="0"/>
        <w:jc w:val="center"/>
      </w:pPr>
      <w:r>
        <w:t>SUPPORTING STATEMENT</w:t>
      </w:r>
    </w:p>
    <w:p w:rsidR="00091A19" w14:paraId="00000002" w14:textId="77777777">
      <w:pPr>
        <w:pStyle w:val="Normal2"/>
        <w:spacing w:before="22" w:line="259" w:lineRule="auto"/>
        <w:ind w:firstLine="14"/>
        <w:jc w:val="center"/>
        <w:rPr>
          <w:b/>
        </w:rPr>
      </w:pPr>
      <w:r>
        <w:rPr>
          <w:b/>
        </w:rPr>
        <w:t>U.S. Department of Commerce</w:t>
      </w:r>
    </w:p>
    <w:p w:rsidR="00091A19" w14:paraId="00000003" w14:textId="77777777">
      <w:pPr>
        <w:pStyle w:val="Normal2"/>
        <w:spacing w:before="22" w:line="259" w:lineRule="auto"/>
        <w:ind w:firstLine="14"/>
        <w:jc w:val="center"/>
        <w:rPr>
          <w:b/>
        </w:rPr>
      </w:pPr>
      <w:r>
        <w:rPr>
          <w:b/>
        </w:rPr>
        <w:t>National Oceanic &amp; Atmospheric Administration</w:t>
      </w:r>
    </w:p>
    <w:p w:rsidR="00091A19" w14:paraId="00000004" w14:textId="77777777">
      <w:pPr>
        <w:pStyle w:val="Normal2"/>
        <w:spacing w:line="259" w:lineRule="auto"/>
        <w:ind w:hanging="6"/>
        <w:jc w:val="center"/>
        <w:rPr>
          <w:b/>
        </w:rPr>
      </w:pPr>
      <w:r>
        <w:rPr>
          <w:b/>
        </w:rPr>
        <w:t>Improving Knowledge about NWS Forecaster Core Partner Needs for Reducing Vulnerability to Compound Threats in Landfalling Tropical Cyclones Amid Covid-19</w:t>
      </w:r>
    </w:p>
    <w:p w:rsidR="00091A19" w14:paraId="00000005" w14:textId="77777777">
      <w:pPr>
        <w:pStyle w:val="Normal2"/>
        <w:spacing w:line="259" w:lineRule="auto"/>
        <w:ind w:hanging="6"/>
        <w:jc w:val="center"/>
        <w:rPr>
          <w:b/>
        </w:rPr>
      </w:pPr>
      <w:r>
        <w:rPr>
          <w:b/>
        </w:rPr>
        <w:t>OMB Control No. 0648-XXXX</w:t>
      </w:r>
    </w:p>
    <w:p w:rsidR="00091A19" w14:paraId="00000006" w14:textId="77777777">
      <w:pPr>
        <w:pStyle w:val="Normal2"/>
        <w:pBdr>
          <w:top w:val="nil"/>
          <w:left w:val="nil"/>
          <w:bottom w:val="nil"/>
          <w:right w:val="nil"/>
          <w:between w:val="nil"/>
        </w:pBdr>
        <w:spacing w:before="1"/>
        <w:jc w:val="center"/>
        <w:rPr>
          <w:b/>
          <w:color w:val="000000"/>
        </w:rPr>
      </w:pPr>
    </w:p>
    <w:p w:rsidR="00091A19" w14:paraId="00000007" w14:textId="77777777">
      <w:pPr>
        <w:pStyle w:val="Normal2"/>
        <w:spacing w:before="1" w:line="398" w:lineRule="auto"/>
        <w:rPr>
          <w:b/>
        </w:rPr>
      </w:pPr>
      <w:r>
        <w:rPr>
          <w:b/>
          <w:color w:val="000000"/>
        </w:rPr>
        <w:t>SUPPORTING STATEMENT PART A</w:t>
      </w:r>
    </w:p>
    <w:p w:rsidR="00091A19" w14:paraId="00000008" w14:textId="77777777">
      <w:pPr>
        <w:pStyle w:val="heading12"/>
        <w:ind w:firstLine="400"/>
      </w:pPr>
      <w:r>
        <w:t>Abstract</w:t>
      </w:r>
    </w:p>
    <w:p w:rsidR="00091A19" w14:paraId="00000009" w14:textId="77777777">
      <w:pPr>
        <w:pStyle w:val="Normal2"/>
        <w:spacing w:before="144" w:line="259" w:lineRule="auto"/>
      </w:pPr>
      <w:r>
        <w:t>In alignment with the Weather Forecasting and Innovation Act of 2017 (Pub. L. 115-25), this is a request for a new collection of information that cannot be merged with other existing collections.</w:t>
      </w:r>
    </w:p>
    <w:p w:rsidR="00091A19" w14:paraId="0000000A" w14:textId="77777777">
      <w:pPr>
        <w:pStyle w:val="Normal2"/>
        <w:spacing w:before="144"/>
      </w:pPr>
      <w:r>
        <w:t xml:space="preserve">The data collection is sponsored by DOC/NOAA/National Weather Service (NWS)/Office of Science and Technology Integration (OSTI). Compound hazards, like tornadoes and flash floods (called TORFFs), are a significant issue for risk communication and are common in landfalling tropical cyclones. Currently, NOAA lacks data and data collection instruments that articulate and explain how emergency managers and broadcast meteorologists receive, interpret, and respond to NWS prediction information about these compound hazards before and during landfalling tropical cyclones, like Hurricane Ida. Furthermore, NOAA lacks adequate knowledge about how these risks are best communicated during pandemics such as COVID-19, when it is important for those who are most vulnerable to adjudicate their risks of exposure to both severe weather and COVID-19. Such knowledge about compound weather hazards would be particularly useful for NWS forecasters who communicate risk information to their colleagues in emergency management and broadcast meteorology (hereafter “partners”), especially when information about sheltering practices, evacuation, and vulnerability can be complicated by exposure to public health threats and bilingual needs. </w:t>
      </w:r>
    </w:p>
    <w:p w:rsidR="00091A19" w14:paraId="0000000B" w14:textId="77777777">
      <w:pPr>
        <w:pStyle w:val="heading12"/>
        <w:spacing w:before="124"/>
        <w:ind w:left="0"/>
      </w:pPr>
      <w:r>
        <w:t>Justification</w:t>
      </w:r>
    </w:p>
    <w:p w:rsidR="00091A19" w:rsidRPr="00DE50B3" w14:paraId="0000000C" w14:textId="77777777">
      <w:pPr>
        <w:pStyle w:val="heading22"/>
        <w:numPr>
          <w:ilvl w:val="0"/>
          <w:numId w:val="1"/>
        </w:numPr>
        <w:spacing w:before="182"/>
        <w:rPr>
          <w:sz w:val="24"/>
          <w:szCs w:val="24"/>
        </w:rPr>
      </w:pPr>
      <w:bookmarkStart w:id="0" w:name="_heading=h.4nab4jc0s4ks" w:colFirst="0" w:colLast="0"/>
      <w:bookmarkEnd w:id="0"/>
      <w:r w:rsidRPr="00DE50B3">
        <w:rPr>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91A19" w14:paraId="0000000D" w14:textId="77777777">
      <w:pPr>
        <w:pStyle w:val="Normal2"/>
        <w:spacing w:after="160"/>
        <w:ind w:firstLine="720"/>
      </w:pPr>
      <w:r>
        <w:t>Without this type of information about how partners grapple with the communication of compound hazards amid the pandemic, NOAA, and specifically the NWS, cannot determine if it has met its mission of saving lives and property, propose societal impact performance metrics, nor demonstrate if progress or improvements have been made, as outlined in the Weather Research and Forecasting Innovation Act of 2017. This effort aims to advance the goal to collaborate across sectors on “research necessary to enhance the integration of social science knowledge into weather forecast and warning processes, including to improve the communication of threat information necessary to enable improved severe weather planning and decision making on the part of individuals and communities (Public Law 115-25)”. This work addresses NOAA’s 5-year Research and Development Vision Areas (2020-2026) Section 1.4 (FACETs). This effort also advances the NWS Strategic Plan (2019-2022) “Transformative Impact-Based Decision Support Services (IDSS) and Research to Operations and Operations to Research (R2O/O2R)” with specific attention to Goal 1, sections 1.1, 1.2, 1.5, 1.13 and Goal 3, sections 3.6 and 3.8.  Furthermore, data collected with NWS partners furthers the NWS Weather Ready Nation (WRN) Roadmap (2013) Sections 1.1.10, and 1.2.2.</w:t>
      </w:r>
    </w:p>
    <w:p w:rsidR="00091A19" w14:paraId="0000000E" w14:textId="77777777">
      <w:pPr>
        <w:pStyle w:val="Normal2"/>
        <w:spacing w:before="159" w:line="259" w:lineRule="auto"/>
        <w:rPr>
          <w:b/>
          <w:color w:val="2F5496"/>
          <w:u w:val="single"/>
        </w:rPr>
      </w:pPr>
    </w:p>
    <w:p w:rsidR="00091A19" w:rsidRPr="00DE50B3" w14:paraId="0000000F" w14:textId="77777777">
      <w:pPr>
        <w:pStyle w:val="heading22"/>
        <w:numPr>
          <w:ilvl w:val="0"/>
          <w:numId w:val="1"/>
        </w:numPr>
        <w:spacing w:before="197"/>
        <w:rPr>
          <w:sz w:val="24"/>
          <w:szCs w:val="24"/>
        </w:rPr>
      </w:pPr>
      <w:bookmarkStart w:id="1" w:name="_heading=h.tzb4moxyi2h2" w:colFirst="0" w:colLast="0"/>
      <w:bookmarkEnd w:id="1"/>
      <w:r w:rsidRPr="00DE50B3">
        <w:rPr>
          <w:sz w:val="24"/>
          <w:szCs w:val="24"/>
        </w:rPr>
        <w:t>Indicate how, by whom, and for what purpose the information is to be used. Except for a new collection, indicate the actual use the agency has made of the information received from the current collection.</w:t>
      </w:r>
    </w:p>
    <w:p w:rsidR="00091A19" w14:paraId="00000010" w14:textId="77777777">
      <w:pPr>
        <w:pStyle w:val="Normal2"/>
        <w:spacing w:after="160"/>
        <w:ind w:firstLine="720"/>
      </w:pPr>
      <w:r>
        <w:t xml:space="preserve">Semi-structured interviews will be conducted with partners in local areas impacted by recent hurricanes with embedded TORFF hazards, such as Hurricane Ida and its remnants. Semi-structured interview data will be collected on a one-off basis and will be conducted either virtually or in-person (COVID-19 restriction dependent). Specific questions in the interview guide determine how partners attend to, prioritize, and communicate information related to compound wind and water threats before and during landfalling tropical cyclones or hurricanes. </w:t>
      </w:r>
    </w:p>
    <w:p w:rsidR="00091A19" w14:paraId="00000011" w14:textId="77777777">
      <w:pPr>
        <w:pStyle w:val="Normal2"/>
        <w:spacing w:after="160"/>
        <w:ind w:firstLine="720"/>
      </w:pPr>
      <w:r>
        <w:t xml:space="preserve">The interviews will be conducted by researchers at Texas Tech University’s Risk and Equity in Disasters (RED) Lab and at Texas A&amp;M. They have begun to develop data collection instruments that will allow them to gather risk information. These instruments are being created in collaboration with experts in emergency management and broadcast meteorology through the Board on Emergency Management and the Board on Professional Development within the American Meteorological Society. This helps assure the appropriateness of questions relative to different decision spaces, job roles, and communication processes. </w:t>
      </w:r>
    </w:p>
    <w:p w:rsidR="00091A19" w14:paraId="00000012" w14:textId="77777777">
      <w:pPr>
        <w:pStyle w:val="Normal2"/>
        <w:spacing w:after="160"/>
        <w:ind w:firstLine="720"/>
      </w:pPr>
      <w:r>
        <w:rPr>
          <w:color w:val="FF0000"/>
        </w:rPr>
        <w:t xml:space="preserve"> </w:t>
      </w:r>
      <w:r>
        <w:t>Respondents for both data collection instruments will include adults (age 18+) who reside in the United States, recruited through emails sent to partners in areas impacted by TORFFs embedded in landfalling tropical cyclones and hurricanes. Emergency managers are defined as those who are employed or are official volunteers at federal, state, county, or local levels. Broadcast meteorologists are defined as professionals who work for specific companies that provide weather information at national, regional, or market levels. Interview data will be collected from each population.</w:t>
      </w:r>
    </w:p>
    <w:p w:rsidR="00091A19" w14:paraId="00000013" w14:textId="77777777">
      <w:pPr>
        <w:pStyle w:val="Normal2"/>
        <w:spacing w:after="160"/>
        <w:ind w:firstLine="720"/>
      </w:pPr>
      <w:r>
        <w:t xml:space="preserve">Contact information for respondents is publicly available and will be obtained both by internet searches and, when needed, with the assistance of local NWS Weather Forecast Office staff to identify appropriate emergency management and broadcast media markets. Emails and phone calls will be used to directly recruit participants and coordinate interviews via Zoom or other video platform; interviews may also be conducted in person, depending on local COVID restrictions. NWS staff may assist in facilitating email introductions to their partners for interview requests. Our collaborators with the American Meteorological Society and the National Weather Association will also help us identify ways to recruit participants (e.g. social media and message boards). Respondents will be asked questions about their risk assessment of threats based on predictive information (e.g.  NWS forecasts and warnings for severe, tropical, and precipitation hazards) and their conceptualizations of vulnerability in the context of the pandemic. </w:t>
      </w:r>
    </w:p>
    <w:p w:rsidR="00091A19" w14:paraId="00000014" w14:textId="77777777">
      <w:pPr>
        <w:pStyle w:val="Normal2"/>
        <w:spacing w:after="160"/>
        <w:ind w:firstLine="720"/>
        <w:rPr>
          <w:b/>
        </w:rPr>
      </w:pPr>
      <w:r>
        <w:t xml:space="preserve">This data collection serves many purposes, including building knowledge of how partners attend to, make sense of, and communicate compound hazards, as well as challenges they face in identifying vulnerable populations to severe weather in the context of COVID-19. These data will be reported in aggregate when possible and findings will be used by the NWS training centers in Norman, OK, and Kansas City, MO, to inform their practices for Impact-Based Decision Support Services (IDSS) and to improve the information and services it provides to members of the Weather Enterprise. Importantly, data collected will help assist NWS in developing new forecaster training modules, situational awareness information, and best practices for Impact-Based Decision Support with partners. This is a necessary step in improving risk communication among expert groups, which, in turn, benefits vulnerable populations who ultimately must act quickly and safely to adjudicate which risks pose the greatest threat to them as the threats evolve. Data collected from both populations will also be used for the practical utility of the government through semi-annual reports to NOAA to evaluate proposed metrics of success for completing the grant relative to progress to data. Conference presentations about findings will be made to the American Meteorological Society, National Weather Association, and related emergency manager conferences; webinars of best practices and situational awareness </w:t>
      </w:r>
      <w:r>
        <w:t>opportunities to partner or NWS offices; and insights about the challenges of communicating and preparing the public for compound hazards reported to peer reviewed publications in professional journals.</w:t>
      </w:r>
    </w:p>
    <w:p w:rsidR="00091A19" w:rsidRPr="00DE50B3" w14:paraId="00000015" w14:textId="77777777">
      <w:pPr>
        <w:pStyle w:val="heading22"/>
        <w:numPr>
          <w:ilvl w:val="0"/>
          <w:numId w:val="1"/>
        </w:numPr>
        <w:tabs>
          <w:tab w:val="left" w:pos="360"/>
        </w:tabs>
        <w:spacing w:before="199"/>
        <w:rPr>
          <w:sz w:val="24"/>
          <w:szCs w:val="24"/>
        </w:rPr>
      </w:pPr>
      <w:bookmarkStart w:id="2" w:name="_heading=h.61lmi7wkyjpx" w:colFirst="0" w:colLast="0"/>
      <w:bookmarkEnd w:id="2"/>
      <w:r w:rsidRPr="00DE50B3">
        <w:rPr>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91A19" w14:paraId="00000016" w14:textId="6F6C7B06">
      <w:pPr>
        <w:pStyle w:val="Normal2"/>
        <w:spacing w:before="161"/>
      </w:pPr>
      <w:r>
        <w:t xml:space="preserve">For semi-structured interviews, interviews may be conducted in person, depending on local COVID restrictions. To minimize the burden to participants, we will also offer to conduct interviews via Zoom or other preferred digital platform. These interviews will be recorded and transcribed in compliance with Institutional Review Board protocols at the institutions where the researchers are employed (e.g. TTU). Interviews will be scheduled per the convenience of recruits. Participants have the option to allow or disallow recordings.  Participants will be contacted directly through emails and phone calls using information that is publicly available. </w:t>
      </w:r>
    </w:p>
    <w:p w:rsidR="00091A19" w14:paraId="00000017" w14:textId="77777777">
      <w:pPr>
        <w:pStyle w:val="Normal2"/>
        <w:spacing w:before="161"/>
      </w:pPr>
    </w:p>
    <w:p w:rsidR="00091A19" w:rsidRPr="00DE50B3" w14:paraId="00000018" w14:textId="77777777">
      <w:pPr>
        <w:pStyle w:val="heading22"/>
        <w:numPr>
          <w:ilvl w:val="0"/>
          <w:numId w:val="1"/>
        </w:numPr>
        <w:tabs>
          <w:tab w:val="left" w:pos="360"/>
        </w:tabs>
        <w:spacing w:before="80"/>
        <w:rPr>
          <w:sz w:val="24"/>
          <w:szCs w:val="24"/>
        </w:rPr>
      </w:pPr>
      <w:bookmarkStart w:id="3" w:name="_heading=h.qrqzk2yswlu6" w:colFirst="0" w:colLast="0"/>
      <w:bookmarkEnd w:id="3"/>
      <w:r w:rsidRPr="00DE50B3">
        <w:rPr>
          <w:sz w:val="24"/>
          <w:szCs w:val="24"/>
        </w:rPr>
        <w:t>Describe efforts to identify duplication. Show specifically why any similar information already available cannot be used or modified for use for the purposes described in Question 2</w:t>
      </w:r>
    </w:p>
    <w:p w:rsidR="00091A19" w14:paraId="00000019" w14:textId="2E53DC45">
      <w:pPr>
        <w:pStyle w:val="Normal2"/>
        <w:pBdr>
          <w:top w:val="nil"/>
          <w:left w:val="nil"/>
          <w:bottom w:val="nil"/>
          <w:right w:val="nil"/>
          <w:between w:val="nil"/>
        </w:pBdr>
        <w:spacing w:before="161"/>
        <w:rPr>
          <w:color w:val="000000"/>
        </w:rPr>
      </w:pPr>
      <w:r>
        <w:rPr>
          <w:color w:val="000000"/>
        </w:rPr>
        <w:t xml:space="preserve">To our knowledge, data about how emergency managers and broadcast meteorologists communicate compound TORFF hazards during landfalling tropical cyclones does not exist. This new hazard, first identified as a problem in 2013, has received little attention by social scientists and interdisciplinary teams. This collection is unique not </w:t>
      </w:r>
      <w:r>
        <w:rPr>
          <w:color w:val="000000"/>
        </w:rPr>
        <w:t>only in</w:t>
      </w:r>
      <w:r>
        <w:rPr>
          <w:color w:val="000000"/>
        </w:rPr>
        <w:t xml:space="preserve"> its </w:t>
      </w:r>
      <w:r>
        <w:t xml:space="preserve">topic and </w:t>
      </w:r>
      <w:r>
        <w:rPr>
          <w:color w:val="000000"/>
        </w:rPr>
        <w:t>population but also in its tracking of risk communication challenges by those impacted at landfall from hurricanes and tropical cyclones</w:t>
      </w:r>
      <w:r>
        <w:t>,</w:t>
      </w:r>
      <w:r>
        <w:rPr>
          <w:color w:val="000000"/>
        </w:rPr>
        <w:t xml:space="preserve"> as well as hurricane remnan</w:t>
      </w:r>
      <w:r>
        <w:t>ts</w:t>
      </w:r>
      <w:r>
        <w:rPr>
          <w:color w:val="000000"/>
        </w:rPr>
        <w:t xml:space="preserve">. While information about hurricane impacts may be gathered by internal NWS service assessments, as was the case for Hurricane Ida, this data is not public. Nor do these assessments track the </w:t>
      </w:r>
      <w:r>
        <w:t>lifecycle</w:t>
      </w:r>
      <w:r>
        <w:rPr>
          <w:color w:val="000000"/>
        </w:rPr>
        <w:t xml:space="preserve"> of impacts (e.g. remnants) of these storms but focus instead on landfall. </w:t>
      </w:r>
    </w:p>
    <w:p w:rsidR="00091A19" w14:paraId="0000001A" w14:textId="77777777">
      <w:pPr>
        <w:pStyle w:val="Normal2"/>
        <w:pBdr>
          <w:top w:val="nil"/>
          <w:left w:val="nil"/>
          <w:bottom w:val="nil"/>
          <w:right w:val="nil"/>
          <w:between w:val="nil"/>
        </w:pBdr>
        <w:spacing w:before="161"/>
      </w:pPr>
    </w:p>
    <w:p w:rsidR="00091A19" w:rsidRPr="00DE50B3" w14:paraId="0000001B" w14:textId="77777777">
      <w:pPr>
        <w:pStyle w:val="heading22"/>
        <w:numPr>
          <w:ilvl w:val="0"/>
          <w:numId w:val="1"/>
        </w:numPr>
        <w:tabs>
          <w:tab w:val="left" w:pos="360"/>
        </w:tabs>
        <w:spacing w:before="80"/>
        <w:rPr>
          <w:sz w:val="24"/>
          <w:szCs w:val="24"/>
        </w:rPr>
      </w:pPr>
      <w:bookmarkStart w:id="4" w:name="_heading=h.jo55f3iaevbm" w:colFirst="0" w:colLast="0"/>
      <w:bookmarkEnd w:id="4"/>
      <w:r w:rsidRPr="00DE50B3">
        <w:rPr>
          <w:sz w:val="24"/>
          <w:szCs w:val="24"/>
        </w:rPr>
        <w:t>If the collection of information impacts small businesses or other small entities, describe any methods used to minimize burden.</w:t>
      </w:r>
    </w:p>
    <w:p w:rsidR="00091A19" w14:paraId="0000001C" w14:textId="77777777">
      <w:pPr>
        <w:pStyle w:val="Normal2"/>
        <w:spacing w:before="160" w:line="259" w:lineRule="auto"/>
      </w:pPr>
      <w:r>
        <w:t>The collection of this information will not impact small businesses or other small entities.</w:t>
      </w:r>
    </w:p>
    <w:p w:rsidR="00091A19" w14:paraId="0000001D" w14:textId="77777777">
      <w:pPr>
        <w:pStyle w:val="Normal2"/>
        <w:spacing w:before="160" w:line="259" w:lineRule="auto"/>
      </w:pPr>
    </w:p>
    <w:p w:rsidR="00091A19" w:rsidRPr="00DE50B3" w14:paraId="0000001E" w14:textId="77777777">
      <w:pPr>
        <w:pStyle w:val="heading22"/>
        <w:numPr>
          <w:ilvl w:val="0"/>
          <w:numId w:val="1"/>
        </w:numPr>
        <w:tabs>
          <w:tab w:val="left" w:pos="360"/>
        </w:tabs>
        <w:spacing w:before="80"/>
        <w:rPr>
          <w:sz w:val="24"/>
          <w:szCs w:val="24"/>
        </w:rPr>
      </w:pPr>
      <w:bookmarkStart w:id="5" w:name="_heading=h.llfd737izfuy" w:colFirst="0" w:colLast="0"/>
      <w:bookmarkEnd w:id="5"/>
      <w:r w:rsidRPr="00DE50B3">
        <w:rPr>
          <w:sz w:val="24"/>
          <w:szCs w:val="24"/>
        </w:rPr>
        <w:t>Describe the consequence to Federal program or policy activities if the collection is not conducted or is conducted less frequently, as well as any technical or legal obstacles to reducing burden.</w:t>
      </w:r>
    </w:p>
    <w:p w:rsidR="00091A19" w14:paraId="0000001F" w14:textId="77777777">
      <w:pPr>
        <w:pStyle w:val="Normal2"/>
        <w:spacing w:before="115"/>
      </w:pPr>
      <w:r>
        <w:t xml:space="preserve">Without this type of information about how partners grapple with the communication of compound hazards amid the pandemic, NOAA, and specifically the NWS, cannot determine if it has met its mission of saving lives and property, propose societal impact performance metrics, nor demonstrate if progress or improvements have been made, as outlined in the Weather Research and Forecasting Innovation Act of 2017. This effort aims to advance the goal to collaborate across sectors on “research necessary to enhance the integration of social science knowledge into weather forecast and warning processes, including to improve the communication of threat information necessary to enable improved severe weather planning and decision making on the part of individuals and communities (Public Law 115-25)”. </w:t>
      </w:r>
    </w:p>
    <w:p w:rsidR="00091A19" w:rsidRPr="00DE50B3" w14:paraId="00000020" w14:textId="77777777">
      <w:pPr>
        <w:pStyle w:val="heading22"/>
        <w:numPr>
          <w:ilvl w:val="0"/>
          <w:numId w:val="1"/>
        </w:numPr>
        <w:tabs>
          <w:tab w:val="left" w:pos="360"/>
        </w:tabs>
        <w:spacing w:before="80"/>
        <w:rPr>
          <w:sz w:val="24"/>
          <w:szCs w:val="24"/>
        </w:rPr>
      </w:pPr>
      <w:bookmarkStart w:id="6" w:name="_heading=h.9h2ghkde3iui" w:colFirst="0" w:colLast="0"/>
      <w:bookmarkEnd w:id="6"/>
      <w:r w:rsidRPr="00DE50B3">
        <w:rPr>
          <w:sz w:val="24"/>
          <w:szCs w:val="24"/>
        </w:rPr>
        <w:t>Explain any special circumstances that would cause an information collection to be conducted in a manner inconsistent with OMB guidelines.</w:t>
      </w:r>
    </w:p>
    <w:p w:rsidR="00091A19" w14:paraId="00000021" w14:textId="77777777">
      <w:pPr>
        <w:pStyle w:val="Normal2"/>
        <w:pBdr>
          <w:top w:val="nil"/>
          <w:left w:val="nil"/>
          <w:bottom w:val="nil"/>
          <w:right w:val="nil"/>
          <w:between w:val="nil"/>
        </w:pBdr>
        <w:tabs>
          <w:tab w:val="left" w:pos="360"/>
        </w:tabs>
        <w:spacing w:before="80"/>
      </w:pPr>
      <w:r>
        <w:t xml:space="preserve">All the information will be collected according to OMB Guidelines. </w:t>
      </w:r>
    </w:p>
    <w:p w:rsidR="00091A19" w14:paraId="00000022" w14:textId="77777777">
      <w:pPr>
        <w:pStyle w:val="Normal2"/>
        <w:spacing w:before="120"/>
      </w:pPr>
    </w:p>
    <w:p w:rsidR="00091A19" w:rsidRPr="00DE50B3" w14:paraId="00000023" w14:textId="77777777">
      <w:pPr>
        <w:pStyle w:val="heading22"/>
        <w:numPr>
          <w:ilvl w:val="0"/>
          <w:numId w:val="1"/>
        </w:numPr>
        <w:tabs>
          <w:tab w:val="left" w:pos="360"/>
        </w:tabs>
        <w:spacing w:before="80"/>
        <w:rPr>
          <w:sz w:val="24"/>
          <w:szCs w:val="24"/>
        </w:rPr>
      </w:pPr>
      <w:bookmarkStart w:id="7" w:name="_heading=h.328orzllf39k" w:colFirst="0" w:colLast="0"/>
      <w:bookmarkEnd w:id="7"/>
      <w:r w:rsidRPr="00DE50B3">
        <w:rPr>
          <w:color w:val="000000"/>
          <w:sz w:val="24"/>
          <w:szCs w:val="24"/>
        </w:rPr>
        <w:t>If applicable, provide a copy and identify the date and page number of publications in the Federal Register of th</w:t>
      </w:r>
      <w:r w:rsidRPr="00DE50B3">
        <w:rPr>
          <w:sz w:val="24"/>
          <w:szCs w:val="24"/>
        </w:rPr>
        <w:t>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91A19" w14:paraId="00000024" w14:textId="77777777">
      <w:pPr>
        <w:pStyle w:val="Normal2"/>
        <w:spacing w:before="159"/>
      </w:pPr>
      <w:r>
        <w:t>The 60-day Federal Register Notice that solicited public comment on this request was published on July, 19, 2022 (Document Number 2022-15360). No comments were received.</w:t>
      </w:r>
    </w:p>
    <w:p w:rsidR="00091A19" w14:paraId="00000025" w14:textId="77777777">
      <w:pPr>
        <w:pStyle w:val="Normal2"/>
        <w:spacing w:before="159"/>
      </w:pPr>
    </w:p>
    <w:p w:rsidR="00091A19" w:rsidRPr="00DE50B3" w14:paraId="00000026" w14:textId="77777777">
      <w:pPr>
        <w:pStyle w:val="heading22"/>
        <w:numPr>
          <w:ilvl w:val="0"/>
          <w:numId w:val="1"/>
        </w:numPr>
        <w:tabs>
          <w:tab w:val="left" w:pos="360"/>
        </w:tabs>
        <w:spacing w:before="80"/>
        <w:rPr>
          <w:sz w:val="24"/>
          <w:szCs w:val="24"/>
        </w:rPr>
      </w:pPr>
      <w:bookmarkStart w:id="8" w:name="_heading=h.kcqtkiiaop8q" w:colFirst="0" w:colLast="0"/>
      <w:bookmarkEnd w:id="8"/>
      <w:r w:rsidRPr="00DE50B3">
        <w:rPr>
          <w:sz w:val="24"/>
          <w:szCs w:val="24"/>
        </w:rPr>
        <w:t>Explain any decision to provide any payment or gift to respondents, other than remuneration of contractors or grantees.</w:t>
      </w:r>
    </w:p>
    <w:p w:rsidR="00091A19" w14:paraId="00000027" w14:textId="77777777">
      <w:pPr>
        <w:pStyle w:val="Normal2"/>
        <w:spacing w:before="158"/>
        <w:rPr>
          <w:color w:val="000000"/>
        </w:rPr>
      </w:pPr>
      <w:r>
        <w:rPr>
          <w:color w:val="000000"/>
        </w:rPr>
        <w:t>Researchers will not provide any payment or gift to respondents. Their participation is voluntary and at their discretion.</w:t>
      </w:r>
    </w:p>
    <w:p w:rsidR="00091A19" w14:paraId="00000028" w14:textId="77777777">
      <w:pPr>
        <w:pStyle w:val="Normal2"/>
        <w:spacing w:before="158"/>
      </w:pPr>
    </w:p>
    <w:p w:rsidR="00091A19" w:rsidRPr="00DE50B3" w14:paraId="00000029" w14:textId="77777777">
      <w:pPr>
        <w:pStyle w:val="heading22"/>
        <w:numPr>
          <w:ilvl w:val="0"/>
          <w:numId w:val="1"/>
        </w:numPr>
        <w:tabs>
          <w:tab w:val="left" w:pos="360"/>
        </w:tabs>
        <w:spacing w:before="80"/>
        <w:rPr>
          <w:sz w:val="24"/>
          <w:szCs w:val="24"/>
        </w:rPr>
      </w:pPr>
      <w:bookmarkStart w:id="9" w:name="_heading=h.7htbtpf5smsy" w:colFirst="0" w:colLast="0"/>
      <w:bookmarkEnd w:id="9"/>
      <w:r w:rsidRPr="00DE50B3">
        <w:rPr>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091A19" w14:paraId="0000002A" w14:textId="77777777">
      <w:pPr>
        <w:pStyle w:val="Normal2"/>
        <w:pBdr>
          <w:top w:val="nil"/>
          <w:left w:val="nil"/>
          <w:bottom w:val="nil"/>
          <w:right w:val="nil"/>
          <w:between w:val="nil"/>
        </w:pBdr>
        <w:spacing w:before="158"/>
        <w:rPr>
          <w:color w:val="000000"/>
        </w:rPr>
      </w:pPr>
      <w:r>
        <w:t xml:space="preserve">People’s </w:t>
      </w:r>
      <w:r>
        <w:rPr>
          <w:color w:val="000000"/>
        </w:rPr>
        <w:t xml:space="preserve">names, titles, email addresses, and video footage from interviews, all of which qualifies as PII are collected. To maintain privacy for participants, we are taking three steps: 1) Creation of a key with de-identified labels for each participant, e.g. A2BM1. This key will be stored separately from our actual data, which is housed on our university’s OneDrive cloud in a secure folder. 2) Transcripts will be de-identified, including names, specific locations, and other identifying information. These transcripts are our data. 3) Video footage is only kept for internal reference and is not used as data itself; it </w:t>
      </w:r>
      <w:r>
        <w:t>is stored in a secure folder in our OneDrive platform</w:t>
      </w:r>
      <w:r>
        <w:rPr>
          <w:color w:val="000000"/>
        </w:rPr>
        <w:t xml:space="preserve">. Our data will only report deidentified quotes and will strive to report the majority of data in aggregate. Audio and video data will only be kept until publication of data and thereafter will be deleted. Transcripts will be stored indefinitely on the researcher’s computers, though keys will be destroyed after publication. </w:t>
      </w:r>
    </w:p>
    <w:p w:rsidR="00091A19" w14:paraId="0000002B" w14:textId="77777777">
      <w:pPr>
        <w:pStyle w:val="Normal2"/>
        <w:pBdr>
          <w:top w:val="nil"/>
          <w:left w:val="nil"/>
          <w:bottom w:val="nil"/>
          <w:right w:val="nil"/>
          <w:between w:val="nil"/>
        </w:pBdr>
        <w:spacing w:before="158"/>
      </w:pPr>
      <w:r>
        <w:t xml:space="preserve">This information is authorized for collection pursuant to system of record notice </w:t>
      </w:r>
      <w:hyperlink r:id="rId5">
        <w:r>
          <w:rPr>
            <w:color w:val="1155CC"/>
            <w:u w:val="single"/>
          </w:rPr>
          <w:t>NOAA-11</w:t>
        </w:r>
      </w:hyperlink>
      <w:r>
        <w:t xml:space="preserve">, </w:t>
      </w:r>
      <w:r>
        <w:rPr>
          <w:color w:val="303030"/>
          <w:highlight w:val="white"/>
        </w:rPr>
        <w:t xml:space="preserve">Contact Information for Members of the Public Requesting or Providing Information Related to NOAA's Mission. A current privacy impact assessment is on file for </w:t>
      </w:r>
      <w:hyperlink r:id="rId6">
        <w:r>
          <w:rPr>
            <w:color w:val="1155CC"/>
            <w:highlight w:val="white"/>
            <w:u w:val="single"/>
          </w:rPr>
          <w:t>NOAA8203</w:t>
        </w:r>
      </w:hyperlink>
      <w:r>
        <w:rPr>
          <w:color w:val="303030"/>
          <w:highlight w:val="white"/>
        </w:rPr>
        <w:t>.</w:t>
      </w:r>
    </w:p>
    <w:p w:rsidR="00091A19" w14:paraId="0000002C" w14:textId="77777777">
      <w:pPr>
        <w:pStyle w:val="Normal2"/>
        <w:pBdr>
          <w:top w:val="nil"/>
          <w:left w:val="nil"/>
          <w:bottom w:val="nil"/>
          <w:right w:val="nil"/>
          <w:between w:val="nil"/>
        </w:pBdr>
        <w:spacing w:before="158"/>
      </w:pPr>
    </w:p>
    <w:p w:rsidR="00091A19" w:rsidRPr="00DE50B3" w14:paraId="0000002D" w14:textId="77777777">
      <w:pPr>
        <w:pStyle w:val="heading22"/>
        <w:numPr>
          <w:ilvl w:val="0"/>
          <w:numId w:val="1"/>
        </w:numPr>
        <w:tabs>
          <w:tab w:val="left" w:pos="360"/>
        </w:tabs>
        <w:spacing w:before="80"/>
        <w:rPr>
          <w:sz w:val="24"/>
          <w:szCs w:val="24"/>
        </w:rPr>
      </w:pPr>
      <w:bookmarkStart w:id="10" w:name="_heading=h.jrmchsls0dpy" w:colFirst="0" w:colLast="0"/>
      <w:bookmarkEnd w:id="10"/>
      <w:r w:rsidRPr="00DE50B3">
        <w:rPr>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91A19" w:rsidRPr="00806B6C" w14:paraId="0000002E" w14:textId="77777777">
      <w:pPr>
        <w:pStyle w:val="heading22"/>
        <w:tabs>
          <w:tab w:val="left" w:pos="360"/>
        </w:tabs>
        <w:spacing w:before="80"/>
        <w:rPr>
          <w:b w:val="0"/>
          <w:sz w:val="24"/>
          <w:szCs w:val="24"/>
        </w:rPr>
      </w:pPr>
      <w:r w:rsidRPr="00806B6C">
        <w:rPr>
          <w:b w:val="0"/>
          <w:sz w:val="24"/>
          <w:szCs w:val="24"/>
        </w:rPr>
        <w:t xml:space="preserve">Only contact information and video footage, which qualify as PII, </w:t>
      </w:r>
      <w:r w:rsidRPr="00806B6C">
        <w:rPr>
          <w:b w:val="0"/>
          <w:sz w:val="24"/>
          <w:szCs w:val="24"/>
        </w:rPr>
        <w:t>will be collected</w:t>
      </w:r>
      <w:r w:rsidRPr="00806B6C">
        <w:rPr>
          <w:b w:val="0"/>
          <w:sz w:val="24"/>
          <w:szCs w:val="24"/>
        </w:rPr>
        <w:t xml:space="preserve">. In part, this is necessary given the method of data collection (e.g. recording zoom videos), though information collected </w:t>
      </w:r>
      <w:r w:rsidRPr="00806B6C">
        <w:rPr>
          <w:b w:val="0"/>
          <w:sz w:val="24"/>
          <w:szCs w:val="24"/>
        </w:rPr>
        <w:t>is immediately deidentified</w:t>
      </w:r>
      <w:r w:rsidRPr="00806B6C">
        <w:rPr>
          <w:b w:val="0"/>
          <w:sz w:val="24"/>
          <w:szCs w:val="24"/>
        </w:rPr>
        <w:t>.</w:t>
      </w:r>
    </w:p>
    <w:p w:rsidR="00806B6C" w14:paraId="4AEC525A" w14:textId="77777777">
      <w:pPr>
        <w:pStyle w:val="Normal2"/>
        <w:tabs>
          <w:tab w:val="left" w:pos="360"/>
        </w:tabs>
        <w:sectPr>
          <w:footerReference w:type="default" r:id="rId7"/>
          <w:pgSz w:w="12240" w:h="15840"/>
          <w:pgMar w:top="640" w:right="1080" w:bottom="1200" w:left="1080" w:header="0" w:footer="714" w:gutter="0"/>
          <w:pgNumType w:start="1"/>
          <w:cols w:space="720"/>
        </w:sectPr>
      </w:pPr>
    </w:p>
    <w:p w:rsidR="00091A19" w14:paraId="0000002F" w14:textId="6235F45C">
      <w:pPr>
        <w:pStyle w:val="Normal2"/>
        <w:tabs>
          <w:tab w:val="left" w:pos="360"/>
        </w:tabs>
      </w:pPr>
    </w:p>
    <w:p w:rsidR="00091A19" w:rsidRPr="00DE50B3" w14:paraId="00000030" w14:textId="77777777">
      <w:pPr>
        <w:pStyle w:val="heading22"/>
        <w:numPr>
          <w:ilvl w:val="0"/>
          <w:numId w:val="1"/>
        </w:numPr>
        <w:tabs>
          <w:tab w:val="left" w:pos="360"/>
        </w:tabs>
        <w:rPr>
          <w:sz w:val="24"/>
          <w:szCs w:val="24"/>
        </w:rPr>
      </w:pPr>
      <w:bookmarkStart w:id="11" w:name="_heading=h.7zrh8cspghuk" w:colFirst="0" w:colLast="0"/>
      <w:bookmarkEnd w:id="11"/>
      <w:r w:rsidRPr="00DE50B3">
        <w:rPr>
          <w:sz w:val="24"/>
          <w:szCs w:val="24"/>
        </w:rPr>
        <w:t>Provide estimates of the hour burden of the collection of information.</w:t>
      </w:r>
    </w:p>
    <w:p w:rsidR="00091A19" w14:paraId="00000032" w14:textId="77777777">
      <w:pPr>
        <w:pStyle w:val="Normal2"/>
        <w:spacing w:line="259" w:lineRule="auto"/>
        <w:ind w:hanging="43"/>
        <w:jc w:val="center"/>
        <w:rPr>
          <w:b/>
          <w:color w:val="FF0000"/>
        </w:rPr>
      </w:pPr>
    </w:p>
    <w:tbl>
      <w:tblPr>
        <w:tblStyle w:val="afb"/>
        <w:tblW w:w="13118" w:type="dxa"/>
        <w:tblInd w:w="-168" w:type="dxa"/>
        <w:tblLayout w:type="fixed"/>
        <w:tblLook w:val="0400"/>
      </w:tblPr>
      <w:tblGrid>
        <w:gridCol w:w="1985"/>
        <w:gridCol w:w="2010"/>
        <w:gridCol w:w="1335"/>
        <w:gridCol w:w="1260"/>
        <w:gridCol w:w="1155"/>
        <w:gridCol w:w="1050"/>
        <w:gridCol w:w="1305"/>
        <w:gridCol w:w="960"/>
        <w:gridCol w:w="2058"/>
      </w:tblGrid>
      <w:tr w14:paraId="2B137AC5" w14:textId="77777777" w:rsidTr="00806B6C">
        <w:tblPrEx>
          <w:tblW w:w="13118" w:type="dxa"/>
          <w:tblInd w:w="-168" w:type="dxa"/>
          <w:tblLayout w:type="fixed"/>
          <w:tblLook w:val="0400"/>
        </w:tblPrEx>
        <w:trPr>
          <w:cantSplit/>
          <w:trHeight w:val="299"/>
        </w:trPr>
        <w:tc>
          <w:tcPr>
            <w:tcW w:w="1985" w:type="dxa"/>
            <w:tcBorders>
              <w:top w:val="single" w:sz="8" w:space="0" w:color="000000"/>
              <w:left w:val="single" w:sz="8" w:space="0" w:color="000000"/>
              <w:bottom w:val="single" w:sz="8" w:space="0" w:color="000000"/>
              <w:right w:val="single" w:sz="8" w:space="0" w:color="000000"/>
            </w:tcBorders>
            <w:shd w:val="clear" w:color="auto" w:fill="BDD7EE"/>
          </w:tcPr>
          <w:p w:rsidR="00091A19" w14:paraId="00000033" w14:textId="77777777">
            <w:pPr>
              <w:pStyle w:val="Normal2"/>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2010" w:type="dxa"/>
            <w:tcBorders>
              <w:top w:val="single" w:sz="8" w:space="0" w:color="000000"/>
              <w:left w:val="nil"/>
              <w:bottom w:val="single" w:sz="8" w:space="0" w:color="000000"/>
              <w:right w:val="single" w:sz="8" w:space="0" w:color="000000"/>
            </w:tcBorders>
            <w:shd w:val="clear" w:color="auto" w:fill="BDD7EE"/>
          </w:tcPr>
          <w:p w:rsidR="00091A19" w14:paraId="00000034" w14:textId="77777777">
            <w:pPr>
              <w:pStyle w:val="Normal2"/>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335" w:type="dxa"/>
            <w:tcBorders>
              <w:top w:val="single" w:sz="8" w:space="0" w:color="000000"/>
              <w:left w:val="nil"/>
              <w:bottom w:val="single" w:sz="8" w:space="0" w:color="000000"/>
              <w:right w:val="single" w:sz="8" w:space="0" w:color="000000"/>
            </w:tcBorders>
            <w:shd w:val="clear" w:color="auto" w:fill="BDD7EE"/>
          </w:tcPr>
          <w:p w:rsidR="00091A19" w14:paraId="00000035" w14:textId="77777777">
            <w:pPr>
              <w:pStyle w:val="Normal2"/>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260" w:type="dxa"/>
            <w:tcBorders>
              <w:top w:val="single" w:sz="8" w:space="0" w:color="000000"/>
              <w:left w:val="nil"/>
              <w:bottom w:val="single" w:sz="8" w:space="0" w:color="000000"/>
              <w:right w:val="single" w:sz="8" w:space="0" w:color="000000"/>
            </w:tcBorders>
            <w:shd w:val="clear" w:color="auto" w:fill="BDD7EE"/>
          </w:tcPr>
          <w:p w:rsidR="00091A19" w14:paraId="00000036" w14:textId="77777777">
            <w:pPr>
              <w:pStyle w:val="Normal2"/>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155" w:type="dxa"/>
            <w:tcBorders>
              <w:top w:val="single" w:sz="8" w:space="0" w:color="000000"/>
              <w:left w:val="nil"/>
              <w:bottom w:val="single" w:sz="8" w:space="0" w:color="000000"/>
              <w:right w:val="single" w:sz="8" w:space="0" w:color="000000"/>
            </w:tcBorders>
            <w:shd w:val="clear" w:color="auto" w:fill="BDD7EE"/>
          </w:tcPr>
          <w:p w:rsidR="00091A19" w14:paraId="00000037" w14:textId="77777777">
            <w:pPr>
              <w:pStyle w:val="Normal2"/>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050" w:type="dxa"/>
            <w:tcBorders>
              <w:top w:val="single" w:sz="8" w:space="0" w:color="000000"/>
              <w:left w:val="nil"/>
              <w:bottom w:val="single" w:sz="8" w:space="0" w:color="000000"/>
              <w:right w:val="single" w:sz="8" w:space="0" w:color="000000"/>
            </w:tcBorders>
            <w:shd w:val="clear" w:color="auto" w:fill="BDD7EE"/>
          </w:tcPr>
          <w:p w:rsidR="00091A19" w14:paraId="00000038" w14:textId="77777777">
            <w:pPr>
              <w:pStyle w:val="Normal2"/>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Burden </w:t>
            </w:r>
            <w:r>
              <w:rPr>
                <w:rFonts w:ascii="Calibri" w:eastAsia="Calibri" w:hAnsi="Calibri" w:cs="Calibri"/>
                <w:b/>
                <w:color w:val="000000"/>
                <w:sz w:val="16"/>
                <w:szCs w:val="16"/>
              </w:rPr>
              <w:t>Hrs</w:t>
            </w:r>
            <w:r>
              <w:rPr>
                <w:rFonts w:ascii="Calibri" w:eastAsia="Calibri" w:hAnsi="Calibri" w:cs="Calibri"/>
                <w:b/>
                <w:color w:val="000000"/>
                <w:sz w:val="16"/>
                <w:szCs w:val="16"/>
              </w:rPr>
              <w:t xml:space="preserve"> / Response</w:t>
            </w:r>
            <w:r>
              <w:rPr>
                <w:rFonts w:ascii="Calibri" w:eastAsia="Calibri" w:hAnsi="Calibri" w:cs="Calibri"/>
                <w:b/>
                <w:color w:val="000000"/>
                <w:sz w:val="16"/>
                <w:szCs w:val="16"/>
              </w:rPr>
              <w:br/>
              <w:t>(d)</w:t>
            </w:r>
          </w:p>
        </w:tc>
        <w:tc>
          <w:tcPr>
            <w:tcW w:w="1305" w:type="dxa"/>
            <w:tcBorders>
              <w:top w:val="single" w:sz="8" w:space="0" w:color="000000"/>
              <w:left w:val="nil"/>
              <w:bottom w:val="single" w:sz="8" w:space="0" w:color="000000"/>
              <w:right w:val="single" w:sz="8" w:space="0" w:color="000000"/>
            </w:tcBorders>
            <w:shd w:val="clear" w:color="auto" w:fill="BDD7EE"/>
          </w:tcPr>
          <w:p w:rsidR="00091A19" w14:paraId="00000039" w14:textId="77777777">
            <w:pPr>
              <w:pStyle w:val="Normal2"/>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Total Annual Burden </w:t>
            </w:r>
            <w:r>
              <w:rPr>
                <w:rFonts w:ascii="Calibri" w:eastAsia="Calibri" w:hAnsi="Calibri" w:cs="Calibri"/>
                <w:b/>
                <w:color w:val="000000"/>
                <w:sz w:val="16"/>
                <w:szCs w:val="16"/>
              </w:rPr>
              <w:t>Hrs</w:t>
            </w:r>
            <w:r>
              <w:rPr>
                <w:rFonts w:ascii="Calibri" w:eastAsia="Calibri" w:hAnsi="Calibri" w:cs="Calibri"/>
                <w:b/>
                <w:color w:val="000000"/>
                <w:sz w:val="16"/>
                <w:szCs w:val="16"/>
              </w:rPr>
              <w:br/>
              <w:t>(e)  = (c) x (d)</w:t>
            </w:r>
          </w:p>
        </w:tc>
        <w:tc>
          <w:tcPr>
            <w:tcW w:w="960" w:type="dxa"/>
            <w:tcBorders>
              <w:top w:val="single" w:sz="8" w:space="0" w:color="000000"/>
              <w:left w:val="nil"/>
              <w:bottom w:val="single" w:sz="8" w:space="0" w:color="000000"/>
              <w:right w:val="single" w:sz="8" w:space="0" w:color="000000"/>
            </w:tcBorders>
            <w:shd w:val="clear" w:color="auto" w:fill="BDD7EE"/>
          </w:tcPr>
          <w:p w:rsidR="00091A19" w14:paraId="0000003A" w14:textId="77777777">
            <w:pPr>
              <w:pStyle w:val="Normal2"/>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r>
              <w:rPr>
                <w:rFonts w:ascii="Calibri" w:eastAsia="Calibri" w:hAnsi="Calibri" w:cs="Calibri"/>
                <w:b/>
                <w:color w:val="000000"/>
                <w:sz w:val="16"/>
                <w:szCs w:val="16"/>
              </w:rPr>
              <w:br/>
              <w:t>(f)*</w:t>
            </w:r>
          </w:p>
        </w:tc>
        <w:tc>
          <w:tcPr>
            <w:tcW w:w="2058" w:type="dxa"/>
            <w:tcBorders>
              <w:top w:val="single" w:sz="8" w:space="0" w:color="000000"/>
              <w:left w:val="nil"/>
              <w:bottom w:val="single" w:sz="8" w:space="0" w:color="000000"/>
              <w:right w:val="single" w:sz="8" w:space="0" w:color="000000"/>
            </w:tcBorders>
            <w:shd w:val="clear" w:color="auto" w:fill="BDD7EE"/>
          </w:tcPr>
          <w:p w:rsidR="00091A19" w:rsidP="00806B6C" w14:paraId="0000003B" w14:textId="77777777">
            <w:pPr>
              <w:pStyle w:val="Normal2"/>
              <w:widowControl/>
              <w:ind w:right="211"/>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14:paraId="2559A39F" w14:textId="77777777" w:rsidTr="00806B6C">
        <w:tblPrEx>
          <w:tblW w:w="13118" w:type="dxa"/>
          <w:tblInd w:w="-168" w:type="dxa"/>
          <w:tblLayout w:type="fixed"/>
          <w:tblLook w:val="0400"/>
        </w:tblPrEx>
        <w:trPr>
          <w:cantSplit/>
          <w:trHeight w:val="299"/>
        </w:trPr>
        <w:tc>
          <w:tcPr>
            <w:tcW w:w="1985" w:type="dxa"/>
            <w:tcBorders>
              <w:top w:val="nil"/>
              <w:left w:val="single" w:sz="8" w:space="0" w:color="000000"/>
              <w:bottom w:val="single" w:sz="4" w:space="0" w:color="000000"/>
              <w:right w:val="single" w:sz="4" w:space="0" w:color="000000"/>
            </w:tcBorders>
            <w:shd w:val="clear" w:color="auto" w:fill="auto"/>
            <w:vAlign w:val="bottom"/>
          </w:tcPr>
          <w:p w:rsidR="00091A19" w:rsidRPr="00DE50B3" w14:paraId="0000003C"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 </w:t>
            </w:r>
            <w:r w:rsidRPr="00DE50B3">
              <w:rPr>
                <w:rFonts w:ascii="Calibri" w:eastAsia="Calibri" w:hAnsi="Calibri" w:cs="Calibri"/>
                <w:sz w:val="18"/>
                <w:szCs w:val="18"/>
              </w:rPr>
              <w:t>Semi-structured interviews</w:t>
            </w:r>
          </w:p>
        </w:tc>
        <w:tc>
          <w:tcPr>
            <w:tcW w:w="2010" w:type="dxa"/>
            <w:tcBorders>
              <w:top w:val="nil"/>
              <w:left w:val="nil"/>
              <w:bottom w:val="single" w:sz="4" w:space="0" w:color="000000"/>
              <w:right w:val="single" w:sz="4" w:space="0" w:color="000000"/>
            </w:tcBorders>
            <w:shd w:val="clear" w:color="auto" w:fill="auto"/>
            <w:vAlign w:val="bottom"/>
          </w:tcPr>
          <w:p w:rsidR="00091A19" w:rsidRPr="00DE50B3" w14:paraId="0000003D" w14:textId="77777777">
            <w:pPr>
              <w:pStyle w:val="Normal2"/>
              <w:widowControl/>
              <w:jc w:val="center"/>
              <w:rPr>
                <w:rFonts w:ascii="Calibri" w:eastAsia="Calibri" w:hAnsi="Calibri" w:cs="Calibri"/>
                <w:color w:val="000000"/>
                <w:sz w:val="18"/>
                <w:szCs w:val="18"/>
              </w:rPr>
            </w:pPr>
            <w:r w:rsidRPr="00DE50B3">
              <w:rPr>
                <w:rFonts w:ascii="Calibri" w:eastAsia="Calibri" w:hAnsi="Calibri" w:cs="Calibri"/>
                <w:sz w:val="18"/>
                <w:szCs w:val="18"/>
              </w:rPr>
              <w:t>Emergency Management Directors</w:t>
            </w:r>
            <w:r w:rsidRPr="00DE50B3">
              <w:rPr>
                <w:rFonts w:ascii="Calibri" w:eastAsia="Calibri" w:hAnsi="Calibri" w:cs="Calibri"/>
                <w:color w:val="000000"/>
                <w:sz w:val="18"/>
                <w:szCs w:val="18"/>
              </w:rPr>
              <w:t> </w:t>
            </w:r>
          </w:p>
        </w:tc>
        <w:tc>
          <w:tcPr>
            <w:tcW w:w="1335" w:type="dxa"/>
            <w:tcBorders>
              <w:top w:val="nil"/>
              <w:left w:val="nil"/>
              <w:bottom w:val="single" w:sz="4" w:space="0" w:color="000000"/>
              <w:right w:val="single" w:sz="4" w:space="0" w:color="000000"/>
            </w:tcBorders>
            <w:shd w:val="clear" w:color="auto" w:fill="auto"/>
            <w:vAlign w:val="bottom"/>
          </w:tcPr>
          <w:p w:rsidR="00091A19" w:rsidRPr="00DE50B3" w:rsidP="00806B6C" w14:paraId="0000003E" w14:textId="77777777">
            <w:pPr>
              <w:pStyle w:val="Normal2"/>
              <w:widowControl/>
              <w:jc w:val="center"/>
              <w:rPr>
                <w:rFonts w:ascii="Calibri" w:eastAsia="Calibri" w:hAnsi="Calibri" w:cs="Calibri"/>
                <w:color w:val="000000"/>
                <w:sz w:val="18"/>
                <w:szCs w:val="18"/>
              </w:rPr>
            </w:pPr>
            <w:r w:rsidRPr="00DE50B3">
              <w:rPr>
                <w:rFonts w:ascii="Calibri" w:eastAsia="Calibri" w:hAnsi="Calibri" w:cs="Calibri"/>
                <w:sz w:val="18"/>
                <w:szCs w:val="18"/>
              </w:rPr>
              <w:t>15</w:t>
            </w:r>
          </w:p>
        </w:tc>
        <w:tc>
          <w:tcPr>
            <w:tcW w:w="1260" w:type="dxa"/>
            <w:tcBorders>
              <w:top w:val="nil"/>
              <w:left w:val="nil"/>
              <w:bottom w:val="single" w:sz="4" w:space="0" w:color="000000"/>
              <w:right w:val="single" w:sz="4" w:space="0" w:color="000000"/>
            </w:tcBorders>
            <w:shd w:val="clear" w:color="auto" w:fill="auto"/>
            <w:vAlign w:val="bottom"/>
          </w:tcPr>
          <w:p w:rsidR="00091A19" w:rsidRPr="00DE50B3" w:rsidP="00806B6C" w14:paraId="0000003F" w14:textId="18278DA4">
            <w:pPr>
              <w:pStyle w:val="Normal2"/>
              <w:widowControl/>
              <w:jc w:val="center"/>
              <w:rPr>
                <w:rFonts w:ascii="Calibri" w:eastAsia="Calibri" w:hAnsi="Calibri" w:cs="Calibri"/>
                <w:color w:val="000000"/>
                <w:sz w:val="18"/>
                <w:szCs w:val="18"/>
              </w:rPr>
            </w:pPr>
            <w:r w:rsidRPr="00DE50B3">
              <w:rPr>
                <w:rFonts w:ascii="Calibri" w:eastAsia="Calibri" w:hAnsi="Calibri" w:cs="Calibri"/>
                <w:sz w:val="18"/>
                <w:szCs w:val="18"/>
              </w:rPr>
              <w:t>1</w:t>
            </w:r>
          </w:p>
        </w:tc>
        <w:tc>
          <w:tcPr>
            <w:tcW w:w="1155" w:type="dxa"/>
            <w:tcBorders>
              <w:top w:val="nil"/>
              <w:left w:val="nil"/>
              <w:bottom w:val="single" w:sz="4" w:space="0" w:color="000000"/>
              <w:right w:val="single" w:sz="4" w:space="0" w:color="000000"/>
            </w:tcBorders>
            <w:shd w:val="clear" w:color="auto" w:fill="auto"/>
            <w:vAlign w:val="bottom"/>
          </w:tcPr>
          <w:p w:rsidR="00091A19" w:rsidRPr="00DE50B3" w:rsidP="00806B6C" w14:paraId="00000040" w14:textId="77777777">
            <w:pPr>
              <w:pStyle w:val="Normal2"/>
              <w:widowControl/>
              <w:jc w:val="center"/>
              <w:rPr>
                <w:rFonts w:ascii="Calibri" w:eastAsia="Calibri" w:hAnsi="Calibri" w:cs="Calibri"/>
                <w:color w:val="000000"/>
                <w:sz w:val="18"/>
                <w:szCs w:val="18"/>
              </w:rPr>
            </w:pPr>
            <w:r w:rsidRPr="00DE50B3">
              <w:rPr>
                <w:rFonts w:ascii="Calibri" w:eastAsia="Calibri" w:hAnsi="Calibri" w:cs="Calibri"/>
                <w:sz w:val="18"/>
                <w:szCs w:val="18"/>
              </w:rPr>
              <w:t>15</w:t>
            </w:r>
          </w:p>
        </w:tc>
        <w:tc>
          <w:tcPr>
            <w:tcW w:w="1050" w:type="dxa"/>
            <w:tcBorders>
              <w:top w:val="nil"/>
              <w:left w:val="nil"/>
              <w:bottom w:val="single" w:sz="4" w:space="0" w:color="000000"/>
              <w:right w:val="single" w:sz="4" w:space="0" w:color="000000"/>
            </w:tcBorders>
            <w:shd w:val="clear" w:color="auto" w:fill="auto"/>
            <w:vAlign w:val="bottom"/>
          </w:tcPr>
          <w:p w:rsidR="00091A19" w:rsidRPr="00DE50B3" w:rsidP="00806B6C" w14:paraId="00000041" w14:textId="40719782">
            <w:pPr>
              <w:pStyle w:val="Normal2"/>
              <w:widowControl/>
              <w:jc w:val="center"/>
              <w:rPr>
                <w:rFonts w:ascii="Calibri" w:eastAsia="Calibri" w:hAnsi="Calibri" w:cs="Calibri"/>
                <w:color w:val="000000"/>
                <w:sz w:val="18"/>
                <w:szCs w:val="18"/>
              </w:rPr>
            </w:pPr>
            <w:r w:rsidRPr="00DE50B3">
              <w:rPr>
                <w:rFonts w:ascii="Calibri" w:eastAsia="Calibri" w:hAnsi="Calibri" w:cs="Calibri"/>
                <w:sz w:val="18"/>
                <w:szCs w:val="18"/>
              </w:rPr>
              <w:t>1</w:t>
            </w:r>
          </w:p>
        </w:tc>
        <w:tc>
          <w:tcPr>
            <w:tcW w:w="1305" w:type="dxa"/>
            <w:tcBorders>
              <w:top w:val="nil"/>
              <w:left w:val="nil"/>
              <w:bottom w:val="single" w:sz="4" w:space="0" w:color="000000"/>
              <w:right w:val="single" w:sz="4" w:space="0" w:color="000000"/>
            </w:tcBorders>
            <w:shd w:val="clear" w:color="auto" w:fill="auto"/>
            <w:vAlign w:val="bottom"/>
          </w:tcPr>
          <w:p w:rsidR="00091A19" w:rsidRPr="00DE50B3" w:rsidP="00806B6C" w14:paraId="00000042" w14:textId="77777777">
            <w:pPr>
              <w:pStyle w:val="Normal2"/>
              <w:widowControl/>
              <w:jc w:val="center"/>
              <w:rPr>
                <w:rFonts w:ascii="Calibri" w:eastAsia="Calibri" w:hAnsi="Calibri" w:cs="Calibri"/>
                <w:color w:val="000000"/>
                <w:sz w:val="18"/>
                <w:szCs w:val="18"/>
              </w:rPr>
            </w:pPr>
            <w:r w:rsidRPr="00DE50B3">
              <w:rPr>
                <w:rFonts w:ascii="Calibri" w:eastAsia="Calibri" w:hAnsi="Calibri" w:cs="Calibri"/>
                <w:sz w:val="18"/>
                <w:szCs w:val="18"/>
              </w:rPr>
              <w:t>15</w:t>
            </w:r>
          </w:p>
        </w:tc>
        <w:tc>
          <w:tcPr>
            <w:tcW w:w="960" w:type="dxa"/>
            <w:tcBorders>
              <w:top w:val="nil"/>
              <w:left w:val="nil"/>
              <w:bottom w:val="single" w:sz="4" w:space="0" w:color="000000"/>
              <w:right w:val="single" w:sz="4" w:space="0" w:color="000000"/>
            </w:tcBorders>
            <w:shd w:val="clear" w:color="auto" w:fill="auto"/>
            <w:vAlign w:val="bottom"/>
          </w:tcPr>
          <w:p w:rsidR="00091A19" w:rsidRPr="00DE50B3" w14:paraId="00000043" w14:textId="77777777">
            <w:pPr>
              <w:pStyle w:val="Normal2"/>
              <w:widowControl/>
              <w:jc w:val="right"/>
              <w:rPr>
                <w:rFonts w:ascii="Calibri" w:eastAsia="Calibri" w:hAnsi="Calibri" w:cs="Calibri"/>
                <w:color w:val="000000"/>
                <w:sz w:val="18"/>
                <w:szCs w:val="18"/>
              </w:rPr>
            </w:pPr>
            <w:r w:rsidRPr="00DE50B3">
              <w:rPr>
                <w:rFonts w:ascii="Calibri" w:eastAsia="Calibri" w:hAnsi="Calibri" w:cs="Calibri"/>
                <w:sz w:val="18"/>
                <w:szCs w:val="18"/>
              </w:rPr>
              <w:t>40.77</w:t>
            </w:r>
            <w:r w:rsidRPr="00DE50B3">
              <w:rPr>
                <w:rFonts w:ascii="Calibri" w:eastAsia="Calibri" w:hAnsi="Calibri" w:cs="Calibri"/>
                <w:color w:val="000000"/>
                <w:sz w:val="18"/>
                <w:szCs w:val="18"/>
              </w:rPr>
              <w:t> </w:t>
            </w:r>
          </w:p>
        </w:tc>
        <w:tc>
          <w:tcPr>
            <w:tcW w:w="2058" w:type="dxa"/>
            <w:tcBorders>
              <w:top w:val="nil"/>
              <w:left w:val="nil"/>
              <w:bottom w:val="single" w:sz="4" w:space="0" w:color="000000"/>
              <w:right w:val="single" w:sz="8" w:space="0" w:color="000000"/>
            </w:tcBorders>
            <w:shd w:val="clear" w:color="auto" w:fill="auto"/>
            <w:vAlign w:val="bottom"/>
          </w:tcPr>
          <w:p w:rsidR="00091A19" w:rsidRPr="00DE50B3" w14:paraId="00000044" w14:textId="77777777">
            <w:pPr>
              <w:pStyle w:val="Normal2"/>
              <w:widowControl/>
              <w:jc w:val="right"/>
              <w:rPr>
                <w:rFonts w:ascii="Calibri" w:eastAsia="Calibri" w:hAnsi="Calibri" w:cs="Calibri"/>
                <w:color w:val="000000"/>
                <w:sz w:val="18"/>
                <w:szCs w:val="18"/>
              </w:rPr>
            </w:pPr>
            <w:r w:rsidRPr="00DE50B3">
              <w:rPr>
                <w:rFonts w:ascii="Calibri" w:eastAsia="Calibri" w:hAnsi="Calibri" w:cs="Calibri"/>
                <w:sz w:val="18"/>
                <w:szCs w:val="18"/>
              </w:rPr>
              <w:t>611.55</w:t>
            </w:r>
          </w:p>
        </w:tc>
      </w:tr>
      <w:tr w14:paraId="7AE6CC3F" w14:textId="77777777" w:rsidTr="00806B6C">
        <w:tblPrEx>
          <w:tblW w:w="13118" w:type="dxa"/>
          <w:tblInd w:w="-168" w:type="dxa"/>
          <w:tblLayout w:type="fixed"/>
          <w:tblLook w:val="0400"/>
        </w:tblPrEx>
        <w:trPr>
          <w:cantSplit/>
          <w:trHeight w:val="299"/>
        </w:trPr>
        <w:tc>
          <w:tcPr>
            <w:tcW w:w="1985" w:type="dxa"/>
            <w:tcBorders>
              <w:top w:val="nil"/>
              <w:left w:val="single" w:sz="8" w:space="0" w:color="000000"/>
              <w:bottom w:val="single" w:sz="4" w:space="0" w:color="000000"/>
              <w:right w:val="single" w:sz="4" w:space="0" w:color="000000"/>
            </w:tcBorders>
            <w:shd w:val="clear" w:color="auto" w:fill="auto"/>
            <w:vAlign w:val="bottom"/>
          </w:tcPr>
          <w:p w:rsidR="00091A19" w:rsidRPr="00DE50B3" w14:paraId="00000045"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 Semi-structured interviews</w:t>
            </w:r>
          </w:p>
        </w:tc>
        <w:tc>
          <w:tcPr>
            <w:tcW w:w="2010" w:type="dxa"/>
            <w:tcBorders>
              <w:top w:val="nil"/>
              <w:left w:val="nil"/>
              <w:bottom w:val="single" w:sz="4" w:space="0" w:color="000000"/>
              <w:right w:val="single" w:sz="4" w:space="0" w:color="000000"/>
            </w:tcBorders>
            <w:shd w:val="clear" w:color="auto" w:fill="auto"/>
            <w:vAlign w:val="bottom"/>
          </w:tcPr>
          <w:p w:rsidR="00091A19" w:rsidRPr="00DE50B3" w14:paraId="00000046" w14:textId="77777777">
            <w:pPr>
              <w:pStyle w:val="Normal2"/>
              <w:widowControl/>
              <w:jc w:val="center"/>
              <w:rPr>
                <w:rFonts w:ascii="Calibri" w:eastAsia="Calibri" w:hAnsi="Calibri" w:cs="Calibri"/>
                <w:color w:val="000000"/>
                <w:sz w:val="18"/>
                <w:szCs w:val="18"/>
              </w:rPr>
            </w:pPr>
            <w:r w:rsidRPr="00DE50B3">
              <w:rPr>
                <w:rFonts w:ascii="Calibri" w:eastAsia="Calibri" w:hAnsi="Calibri" w:cs="Calibri"/>
                <w:sz w:val="18"/>
                <w:szCs w:val="18"/>
              </w:rPr>
              <w:t>Atmospheric and Space Scientists (Broadcast Meteorologists)</w:t>
            </w:r>
          </w:p>
        </w:tc>
        <w:tc>
          <w:tcPr>
            <w:tcW w:w="1335" w:type="dxa"/>
            <w:tcBorders>
              <w:top w:val="nil"/>
              <w:left w:val="nil"/>
              <w:bottom w:val="single" w:sz="4" w:space="0" w:color="000000"/>
              <w:right w:val="single" w:sz="4" w:space="0" w:color="000000"/>
            </w:tcBorders>
            <w:shd w:val="clear" w:color="auto" w:fill="auto"/>
            <w:vAlign w:val="bottom"/>
          </w:tcPr>
          <w:p w:rsidR="00091A19" w:rsidRPr="00DE50B3" w:rsidP="00806B6C" w14:paraId="00000047" w14:textId="77777777">
            <w:pPr>
              <w:pStyle w:val="Normal2"/>
              <w:widowControl/>
              <w:jc w:val="center"/>
              <w:rPr>
                <w:rFonts w:ascii="Calibri" w:eastAsia="Calibri" w:hAnsi="Calibri" w:cs="Calibri"/>
                <w:color w:val="000000"/>
                <w:sz w:val="18"/>
                <w:szCs w:val="18"/>
              </w:rPr>
            </w:pPr>
            <w:r w:rsidRPr="00DE50B3">
              <w:rPr>
                <w:rFonts w:ascii="Calibri" w:eastAsia="Calibri" w:hAnsi="Calibri" w:cs="Calibri"/>
                <w:sz w:val="18"/>
                <w:szCs w:val="18"/>
              </w:rPr>
              <w:t>20</w:t>
            </w:r>
          </w:p>
        </w:tc>
        <w:tc>
          <w:tcPr>
            <w:tcW w:w="1260" w:type="dxa"/>
            <w:tcBorders>
              <w:top w:val="nil"/>
              <w:left w:val="nil"/>
              <w:bottom w:val="single" w:sz="4" w:space="0" w:color="000000"/>
              <w:right w:val="single" w:sz="4" w:space="0" w:color="000000"/>
            </w:tcBorders>
            <w:shd w:val="clear" w:color="auto" w:fill="auto"/>
            <w:vAlign w:val="bottom"/>
          </w:tcPr>
          <w:p w:rsidR="00091A19" w:rsidRPr="00DE50B3" w:rsidP="00806B6C" w14:paraId="00000048" w14:textId="60CE2247">
            <w:pPr>
              <w:pStyle w:val="Normal2"/>
              <w:widowControl/>
              <w:jc w:val="center"/>
              <w:rPr>
                <w:rFonts w:ascii="Calibri" w:eastAsia="Calibri" w:hAnsi="Calibri" w:cs="Calibri"/>
                <w:color w:val="000000"/>
                <w:sz w:val="18"/>
                <w:szCs w:val="18"/>
              </w:rPr>
            </w:pPr>
            <w:r w:rsidRPr="00DE50B3">
              <w:rPr>
                <w:rFonts w:ascii="Calibri" w:eastAsia="Calibri" w:hAnsi="Calibri" w:cs="Calibri"/>
                <w:sz w:val="18"/>
                <w:szCs w:val="18"/>
              </w:rPr>
              <w:t>1</w:t>
            </w:r>
          </w:p>
        </w:tc>
        <w:tc>
          <w:tcPr>
            <w:tcW w:w="1155" w:type="dxa"/>
            <w:tcBorders>
              <w:top w:val="nil"/>
              <w:left w:val="nil"/>
              <w:bottom w:val="single" w:sz="4" w:space="0" w:color="000000"/>
              <w:right w:val="single" w:sz="4" w:space="0" w:color="000000"/>
            </w:tcBorders>
            <w:shd w:val="clear" w:color="auto" w:fill="auto"/>
            <w:vAlign w:val="bottom"/>
          </w:tcPr>
          <w:p w:rsidR="00091A19" w:rsidRPr="00DE50B3" w:rsidP="00806B6C" w14:paraId="00000049" w14:textId="77777777">
            <w:pPr>
              <w:pStyle w:val="Normal2"/>
              <w:widowControl/>
              <w:jc w:val="center"/>
              <w:rPr>
                <w:rFonts w:ascii="Calibri" w:eastAsia="Calibri" w:hAnsi="Calibri" w:cs="Calibri"/>
                <w:color w:val="000000"/>
                <w:sz w:val="18"/>
                <w:szCs w:val="18"/>
              </w:rPr>
            </w:pPr>
            <w:r w:rsidRPr="00DE50B3">
              <w:rPr>
                <w:rFonts w:ascii="Calibri" w:eastAsia="Calibri" w:hAnsi="Calibri" w:cs="Calibri"/>
                <w:sz w:val="18"/>
                <w:szCs w:val="18"/>
              </w:rPr>
              <w:t>20</w:t>
            </w:r>
          </w:p>
        </w:tc>
        <w:tc>
          <w:tcPr>
            <w:tcW w:w="1050" w:type="dxa"/>
            <w:tcBorders>
              <w:top w:val="nil"/>
              <w:left w:val="nil"/>
              <w:bottom w:val="single" w:sz="4" w:space="0" w:color="000000"/>
              <w:right w:val="single" w:sz="4" w:space="0" w:color="000000"/>
            </w:tcBorders>
            <w:shd w:val="clear" w:color="auto" w:fill="auto"/>
            <w:vAlign w:val="bottom"/>
          </w:tcPr>
          <w:p w:rsidR="00091A19" w:rsidRPr="00DE50B3" w:rsidP="00806B6C" w14:paraId="0000004A" w14:textId="5F05E5A4">
            <w:pPr>
              <w:pStyle w:val="Normal2"/>
              <w:widowControl/>
              <w:jc w:val="center"/>
              <w:rPr>
                <w:rFonts w:ascii="Calibri" w:eastAsia="Calibri" w:hAnsi="Calibri" w:cs="Calibri"/>
                <w:color w:val="000000"/>
                <w:sz w:val="18"/>
                <w:szCs w:val="18"/>
              </w:rPr>
            </w:pPr>
            <w:r w:rsidRPr="00DE50B3">
              <w:rPr>
                <w:rFonts w:ascii="Calibri" w:eastAsia="Calibri" w:hAnsi="Calibri" w:cs="Calibri"/>
                <w:sz w:val="18"/>
                <w:szCs w:val="18"/>
              </w:rPr>
              <w:t>1</w:t>
            </w:r>
          </w:p>
        </w:tc>
        <w:tc>
          <w:tcPr>
            <w:tcW w:w="1305" w:type="dxa"/>
            <w:tcBorders>
              <w:top w:val="nil"/>
              <w:left w:val="nil"/>
              <w:bottom w:val="single" w:sz="4" w:space="0" w:color="000000"/>
              <w:right w:val="single" w:sz="4" w:space="0" w:color="000000"/>
            </w:tcBorders>
            <w:shd w:val="clear" w:color="auto" w:fill="auto"/>
            <w:vAlign w:val="bottom"/>
          </w:tcPr>
          <w:p w:rsidR="00091A19" w:rsidRPr="00DE50B3" w:rsidP="00806B6C" w14:paraId="0000004B" w14:textId="77777777">
            <w:pPr>
              <w:pStyle w:val="Normal2"/>
              <w:widowControl/>
              <w:jc w:val="center"/>
              <w:rPr>
                <w:rFonts w:ascii="Calibri" w:eastAsia="Calibri" w:hAnsi="Calibri" w:cs="Calibri"/>
                <w:color w:val="000000"/>
                <w:sz w:val="18"/>
                <w:szCs w:val="18"/>
              </w:rPr>
            </w:pPr>
            <w:r w:rsidRPr="00DE50B3">
              <w:rPr>
                <w:rFonts w:ascii="Calibri" w:eastAsia="Calibri" w:hAnsi="Calibri" w:cs="Calibri"/>
                <w:sz w:val="18"/>
                <w:szCs w:val="18"/>
              </w:rPr>
              <w:t>20</w:t>
            </w:r>
          </w:p>
        </w:tc>
        <w:tc>
          <w:tcPr>
            <w:tcW w:w="960" w:type="dxa"/>
            <w:tcBorders>
              <w:top w:val="nil"/>
              <w:left w:val="nil"/>
              <w:bottom w:val="single" w:sz="4" w:space="0" w:color="000000"/>
              <w:right w:val="single" w:sz="4" w:space="0" w:color="000000"/>
            </w:tcBorders>
            <w:shd w:val="clear" w:color="auto" w:fill="auto"/>
            <w:vAlign w:val="bottom"/>
          </w:tcPr>
          <w:p w:rsidR="00091A19" w:rsidRPr="00DE50B3" w14:paraId="0000004C" w14:textId="77777777">
            <w:pPr>
              <w:pStyle w:val="Normal2"/>
              <w:widowControl/>
              <w:jc w:val="right"/>
              <w:rPr>
                <w:rFonts w:ascii="Calibri" w:eastAsia="Calibri" w:hAnsi="Calibri" w:cs="Calibri"/>
                <w:color w:val="000000"/>
                <w:sz w:val="18"/>
                <w:szCs w:val="18"/>
              </w:rPr>
            </w:pPr>
            <w:r w:rsidRPr="00DE50B3">
              <w:rPr>
                <w:rFonts w:ascii="Calibri" w:eastAsia="Calibri" w:hAnsi="Calibri" w:cs="Calibri"/>
                <w:sz w:val="18"/>
                <w:szCs w:val="18"/>
              </w:rPr>
              <w:t>46.58</w:t>
            </w:r>
            <w:r w:rsidRPr="00DE50B3">
              <w:rPr>
                <w:rFonts w:ascii="Calibri" w:eastAsia="Calibri" w:hAnsi="Calibri" w:cs="Calibri"/>
                <w:color w:val="000000"/>
                <w:sz w:val="18"/>
                <w:szCs w:val="18"/>
              </w:rPr>
              <w:t> </w:t>
            </w:r>
          </w:p>
        </w:tc>
        <w:tc>
          <w:tcPr>
            <w:tcW w:w="2058" w:type="dxa"/>
            <w:tcBorders>
              <w:top w:val="nil"/>
              <w:left w:val="nil"/>
              <w:bottom w:val="single" w:sz="4" w:space="0" w:color="000000"/>
              <w:right w:val="single" w:sz="8" w:space="0" w:color="000000"/>
            </w:tcBorders>
            <w:shd w:val="clear" w:color="auto" w:fill="auto"/>
            <w:vAlign w:val="bottom"/>
          </w:tcPr>
          <w:p w:rsidR="00091A19" w:rsidRPr="00DE50B3" w14:paraId="0000004D" w14:textId="77777777">
            <w:pPr>
              <w:pStyle w:val="Normal2"/>
              <w:widowControl/>
              <w:jc w:val="right"/>
              <w:rPr>
                <w:rFonts w:ascii="Calibri" w:eastAsia="Calibri" w:hAnsi="Calibri" w:cs="Calibri"/>
                <w:color w:val="000000"/>
                <w:sz w:val="18"/>
                <w:szCs w:val="18"/>
              </w:rPr>
            </w:pPr>
            <w:r w:rsidRPr="00DE50B3">
              <w:rPr>
                <w:rFonts w:ascii="Calibri" w:eastAsia="Calibri" w:hAnsi="Calibri" w:cs="Calibri"/>
                <w:sz w:val="18"/>
                <w:szCs w:val="18"/>
              </w:rPr>
              <w:t>931.60</w:t>
            </w:r>
          </w:p>
        </w:tc>
      </w:tr>
      <w:tr w14:paraId="4C96877B" w14:textId="77777777" w:rsidTr="00806B6C">
        <w:tblPrEx>
          <w:tblW w:w="13118" w:type="dxa"/>
          <w:tblInd w:w="-168" w:type="dxa"/>
          <w:tblLayout w:type="fixed"/>
          <w:tblLook w:val="0400"/>
        </w:tblPrEx>
        <w:trPr>
          <w:cantSplit/>
          <w:trHeight w:val="299"/>
        </w:trPr>
        <w:tc>
          <w:tcPr>
            <w:tcW w:w="1985" w:type="dxa"/>
            <w:tcBorders>
              <w:top w:val="nil"/>
              <w:left w:val="single" w:sz="8" w:space="0" w:color="000000"/>
              <w:bottom w:val="single" w:sz="8" w:space="0" w:color="000000"/>
              <w:right w:val="single" w:sz="8" w:space="0" w:color="000000"/>
            </w:tcBorders>
            <w:shd w:val="clear" w:color="auto" w:fill="DDEBF7"/>
            <w:vAlign w:val="bottom"/>
          </w:tcPr>
          <w:p w:rsidR="00091A19" w:rsidRPr="00DE50B3" w14:paraId="00000072" w14:textId="77777777">
            <w:pPr>
              <w:pStyle w:val="Normal2"/>
              <w:widowControl/>
              <w:rPr>
                <w:rFonts w:ascii="Calibri" w:eastAsia="Calibri" w:hAnsi="Calibri" w:cs="Calibri"/>
                <w:b/>
                <w:color w:val="000000"/>
                <w:sz w:val="18"/>
                <w:szCs w:val="18"/>
              </w:rPr>
            </w:pPr>
            <w:r w:rsidRPr="00DE50B3">
              <w:rPr>
                <w:rFonts w:ascii="Calibri" w:eastAsia="Calibri" w:hAnsi="Calibri" w:cs="Calibri"/>
                <w:b/>
                <w:color w:val="000000"/>
                <w:sz w:val="18"/>
                <w:szCs w:val="18"/>
              </w:rPr>
              <w:t>Totals</w:t>
            </w:r>
          </w:p>
        </w:tc>
        <w:tc>
          <w:tcPr>
            <w:tcW w:w="2010" w:type="dxa"/>
            <w:tcBorders>
              <w:top w:val="nil"/>
              <w:left w:val="nil"/>
              <w:bottom w:val="single" w:sz="8" w:space="0" w:color="000000"/>
              <w:right w:val="single" w:sz="8" w:space="0" w:color="000000"/>
            </w:tcBorders>
            <w:shd w:val="clear" w:color="auto" w:fill="000000"/>
            <w:vAlign w:val="bottom"/>
          </w:tcPr>
          <w:p w:rsidR="00091A19" w:rsidRPr="00DE50B3" w14:paraId="00000073" w14:textId="77777777">
            <w:pPr>
              <w:pStyle w:val="Normal2"/>
              <w:widowControl/>
              <w:rPr>
                <w:rFonts w:ascii="Calibri" w:eastAsia="Calibri" w:hAnsi="Calibri" w:cs="Calibri"/>
                <w:b/>
                <w:color w:val="000000"/>
                <w:sz w:val="18"/>
                <w:szCs w:val="18"/>
              </w:rPr>
            </w:pPr>
            <w:r w:rsidRPr="00DE50B3">
              <w:rPr>
                <w:rFonts w:ascii="Calibri" w:eastAsia="Calibri" w:hAnsi="Calibri" w:cs="Calibri"/>
                <w:b/>
                <w:color w:val="000000"/>
                <w:sz w:val="18"/>
                <w:szCs w:val="18"/>
              </w:rPr>
              <w:t> </w:t>
            </w:r>
          </w:p>
        </w:tc>
        <w:tc>
          <w:tcPr>
            <w:tcW w:w="1335" w:type="dxa"/>
            <w:tcBorders>
              <w:top w:val="nil"/>
              <w:left w:val="nil"/>
              <w:bottom w:val="single" w:sz="8" w:space="0" w:color="000000"/>
              <w:right w:val="single" w:sz="8" w:space="0" w:color="000000"/>
            </w:tcBorders>
            <w:shd w:val="clear" w:color="auto" w:fill="000000"/>
            <w:vAlign w:val="bottom"/>
          </w:tcPr>
          <w:p w:rsidR="00091A19" w:rsidRPr="00DE50B3" w14:paraId="00000074" w14:textId="77777777">
            <w:pPr>
              <w:pStyle w:val="Normal2"/>
              <w:widowControl/>
              <w:rPr>
                <w:rFonts w:ascii="Calibri" w:eastAsia="Calibri" w:hAnsi="Calibri" w:cs="Calibri"/>
                <w:b/>
                <w:color w:val="000000"/>
                <w:sz w:val="18"/>
                <w:szCs w:val="18"/>
              </w:rPr>
            </w:pPr>
            <w:r w:rsidRPr="00DE50B3">
              <w:rPr>
                <w:rFonts w:ascii="Calibri" w:eastAsia="Calibri" w:hAnsi="Calibri" w:cs="Calibri"/>
                <w:b/>
                <w:color w:val="000000"/>
                <w:sz w:val="18"/>
                <w:szCs w:val="18"/>
              </w:rPr>
              <w:t> </w:t>
            </w:r>
          </w:p>
        </w:tc>
        <w:tc>
          <w:tcPr>
            <w:tcW w:w="1260" w:type="dxa"/>
            <w:tcBorders>
              <w:top w:val="nil"/>
              <w:left w:val="nil"/>
              <w:bottom w:val="single" w:sz="8" w:space="0" w:color="000000"/>
              <w:right w:val="single" w:sz="8" w:space="0" w:color="000000"/>
            </w:tcBorders>
            <w:shd w:val="clear" w:color="auto" w:fill="000000"/>
            <w:vAlign w:val="bottom"/>
          </w:tcPr>
          <w:p w:rsidR="00091A19" w:rsidRPr="00DE50B3" w14:paraId="00000075" w14:textId="77777777">
            <w:pPr>
              <w:pStyle w:val="Normal2"/>
              <w:widowControl/>
              <w:rPr>
                <w:rFonts w:ascii="Calibri" w:eastAsia="Calibri" w:hAnsi="Calibri" w:cs="Calibri"/>
                <w:b/>
                <w:color w:val="000000"/>
                <w:sz w:val="18"/>
                <w:szCs w:val="18"/>
              </w:rPr>
            </w:pPr>
            <w:r w:rsidRPr="00DE50B3">
              <w:rPr>
                <w:rFonts w:ascii="Calibri" w:eastAsia="Calibri" w:hAnsi="Calibri" w:cs="Calibri"/>
                <w:b/>
                <w:color w:val="000000"/>
                <w:sz w:val="18"/>
                <w:szCs w:val="18"/>
              </w:rPr>
              <w:t> </w:t>
            </w:r>
          </w:p>
        </w:tc>
        <w:tc>
          <w:tcPr>
            <w:tcW w:w="1155" w:type="dxa"/>
            <w:tcBorders>
              <w:top w:val="nil"/>
              <w:left w:val="nil"/>
              <w:bottom w:val="single" w:sz="8" w:space="0" w:color="000000"/>
              <w:right w:val="single" w:sz="8" w:space="0" w:color="000000"/>
            </w:tcBorders>
            <w:shd w:val="clear" w:color="auto" w:fill="DDEBF7"/>
            <w:vAlign w:val="bottom"/>
          </w:tcPr>
          <w:p w:rsidR="00091A19" w:rsidRPr="00DE50B3" w:rsidP="00806B6C" w14:paraId="00000076" w14:textId="6336C2C3">
            <w:pPr>
              <w:pStyle w:val="Normal2"/>
              <w:widowControl/>
              <w:jc w:val="center"/>
              <w:rPr>
                <w:rFonts w:ascii="Calibri" w:eastAsia="Calibri" w:hAnsi="Calibri" w:cs="Calibri"/>
                <w:b/>
                <w:color w:val="000000"/>
                <w:sz w:val="18"/>
                <w:szCs w:val="18"/>
              </w:rPr>
            </w:pPr>
            <w:r w:rsidRPr="00DE50B3">
              <w:rPr>
                <w:rFonts w:ascii="Calibri" w:eastAsia="Calibri" w:hAnsi="Calibri" w:cs="Calibri"/>
                <w:b/>
                <w:color w:val="000000"/>
                <w:sz w:val="18"/>
                <w:szCs w:val="18"/>
              </w:rPr>
              <w:t>35</w:t>
            </w:r>
          </w:p>
        </w:tc>
        <w:tc>
          <w:tcPr>
            <w:tcW w:w="1050" w:type="dxa"/>
            <w:tcBorders>
              <w:top w:val="nil"/>
              <w:left w:val="nil"/>
              <w:bottom w:val="single" w:sz="8" w:space="0" w:color="000000"/>
              <w:right w:val="single" w:sz="8" w:space="0" w:color="000000"/>
            </w:tcBorders>
            <w:shd w:val="clear" w:color="auto" w:fill="000000"/>
            <w:vAlign w:val="bottom"/>
          </w:tcPr>
          <w:p w:rsidR="00091A19" w:rsidRPr="00DE50B3" w:rsidP="00806B6C" w14:paraId="00000077" w14:textId="46DAA0E9">
            <w:pPr>
              <w:pStyle w:val="Normal2"/>
              <w:widowControl/>
              <w:jc w:val="center"/>
              <w:rPr>
                <w:rFonts w:ascii="Calibri" w:eastAsia="Calibri" w:hAnsi="Calibri" w:cs="Calibri"/>
                <w:b/>
                <w:color w:val="000000"/>
                <w:sz w:val="18"/>
                <w:szCs w:val="18"/>
              </w:rPr>
            </w:pPr>
          </w:p>
        </w:tc>
        <w:tc>
          <w:tcPr>
            <w:tcW w:w="1305" w:type="dxa"/>
            <w:tcBorders>
              <w:top w:val="nil"/>
              <w:left w:val="nil"/>
              <w:bottom w:val="single" w:sz="8" w:space="0" w:color="000000"/>
              <w:right w:val="single" w:sz="8" w:space="0" w:color="000000"/>
            </w:tcBorders>
            <w:shd w:val="clear" w:color="auto" w:fill="DDEBF7"/>
            <w:vAlign w:val="bottom"/>
          </w:tcPr>
          <w:p w:rsidR="00091A19" w:rsidRPr="00DE50B3" w:rsidP="00806B6C" w14:paraId="00000078" w14:textId="4C5BDDF7">
            <w:pPr>
              <w:pStyle w:val="Normal2"/>
              <w:widowControl/>
              <w:jc w:val="center"/>
              <w:rPr>
                <w:rFonts w:ascii="Calibri" w:eastAsia="Calibri" w:hAnsi="Calibri" w:cs="Calibri"/>
                <w:b/>
                <w:color w:val="000000"/>
                <w:sz w:val="18"/>
                <w:szCs w:val="18"/>
              </w:rPr>
            </w:pPr>
            <w:r w:rsidRPr="00DE50B3">
              <w:rPr>
                <w:rFonts w:ascii="Calibri" w:eastAsia="Calibri" w:hAnsi="Calibri" w:cs="Calibri"/>
                <w:b/>
                <w:color w:val="000000"/>
                <w:sz w:val="18"/>
                <w:szCs w:val="18"/>
              </w:rPr>
              <w:t>35</w:t>
            </w:r>
          </w:p>
        </w:tc>
        <w:tc>
          <w:tcPr>
            <w:tcW w:w="960" w:type="dxa"/>
            <w:tcBorders>
              <w:top w:val="nil"/>
              <w:left w:val="nil"/>
              <w:bottom w:val="single" w:sz="8" w:space="0" w:color="000000"/>
              <w:right w:val="single" w:sz="8" w:space="0" w:color="000000"/>
            </w:tcBorders>
            <w:shd w:val="clear" w:color="auto" w:fill="000000"/>
            <w:vAlign w:val="bottom"/>
          </w:tcPr>
          <w:p w:rsidR="00091A19" w:rsidRPr="00DE50B3" w14:paraId="00000079" w14:textId="77777777">
            <w:pPr>
              <w:pStyle w:val="Normal2"/>
              <w:widowControl/>
              <w:rPr>
                <w:rFonts w:ascii="Calibri" w:eastAsia="Calibri" w:hAnsi="Calibri" w:cs="Calibri"/>
                <w:b/>
                <w:color w:val="000000"/>
                <w:sz w:val="18"/>
                <w:szCs w:val="18"/>
              </w:rPr>
            </w:pPr>
            <w:r w:rsidRPr="00DE50B3">
              <w:rPr>
                <w:rFonts w:ascii="Calibri" w:eastAsia="Calibri" w:hAnsi="Calibri" w:cs="Calibri"/>
                <w:b/>
                <w:color w:val="000000"/>
                <w:sz w:val="18"/>
                <w:szCs w:val="18"/>
              </w:rPr>
              <w:t> </w:t>
            </w:r>
          </w:p>
        </w:tc>
        <w:tc>
          <w:tcPr>
            <w:tcW w:w="2058" w:type="dxa"/>
            <w:tcBorders>
              <w:top w:val="nil"/>
              <w:left w:val="nil"/>
              <w:bottom w:val="single" w:sz="8" w:space="0" w:color="000000"/>
              <w:right w:val="single" w:sz="8" w:space="0" w:color="000000"/>
            </w:tcBorders>
            <w:shd w:val="clear" w:color="auto" w:fill="DDEBF7"/>
            <w:vAlign w:val="bottom"/>
          </w:tcPr>
          <w:p w:rsidR="00091A19" w:rsidRPr="00DE50B3" w:rsidP="00806B6C" w14:paraId="0000007A" w14:textId="77777777">
            <w:pPr>
              <w:pStyle w:val="Normal2"/>
              <w:widowControl/>
              <w:jc w:val="right"/>
              <w:rPr>
                <w:rFonts w:ascii="Calibri" w:eastAsia="Calibri" w:hAnsi="Calibri" w:cs="Calibri"/>
                <w:b/>
                <w:color w:val="000000"/>
                <w:sz w:val="18"/>
                <w:szCs w:val="18"/>
              </w:rPr>
            </w:pPr>
            <w:r w:rsidRPr="00DE50B3">
              <w:rPr>
                <w:rFonts w:ascii="Calibri" w:eastAsia="Calibri" w:hAnsi="Calibri" w:cs="Calibri"/>
                <w:b/>
                <w:color w:val="000000"/>
                <w:sz w:val="18"/>
                <w:szCs w:val="18"/>
              </w:rPr>
              <w:t> 1</w:t>
            </w:r>
            <w:r w:rsidRPr="00DE50B3">
              <w:rPr>
                <w:rFonts w:ascii="Calibri" w:eastAsia="Calibri" w:hAnsi="Calibri" w:cs="Calibri"/>
                <w:b/>
                <w:sz w:val="18"/>
                <w:szCs w:val="18"/>
              </w:rPr>
              <w:t>543.15</w:t>
            </w:r>
          </w:p>
        </w:tc>
      </w:tr>
    </w:tbl>
    <w:p w:rsidR="00091A19" w14:paraId="0000007B" w14:textId="77777777">
      <w:pPr>
        <w:pStyle w:val="Normal2"/>
        <w:spacing w:line="259" w:lineRule="auto"/>
      </w:pPr>
      <w:r>
        <w:t xml:space="preserve">*Emergency Management Directors </w:t>
      </w:r>
      <w:r>
        <w:t>mean hourly wages based on Occupation Code 11-9161 @ $40.77/hour</w:t>
      </w:r>
      <w:r>
        <w:t>.</w:t>
      </w:r>
    </w:p>
    <w:p w:rsidR="00091A19" w14:paraId="0000007C" w14:textId="77777777">
      <w:pPr>
        <w:pStyle w:val="Normal2"/>
        <w:spacing w:line="259" w:lineRule="auto"/>
      </w:pPr>
      <w:r>
        <w:t>Atmospheric and Space Scientist (Broadcast Meteorologists) mean hourly wages based on Occupation Code 19-2021 @ $46.58/hour.</w:t>
      </w:r>
    </w:p>
    <w:p w:rsidR="00091A19" w:rsidP="00806B6C" w14:paraId="0000007E" w14:textId="54375EF9">
      <w:pPr>
        <w:pStyle w:val="Normal2"/>
        <w:spacing w:line="259" w:lineRule="auto"/>
        <w:ind w:hanging="43"/>
        <w:rPr>
          <w:b/>
        </w:rPr>
        <w:sectPr>
          <w:pgSz w:w="15840" w:h="12240" w:orient="landscape"/>
          <w:pgMar w:top="640" w:right="1080" w:bottom="1200" w:left="1080" w:header="0" w:footer="714" w:gutter="0"/>
          <w:cols w:space="720"/>
        </w:sectPr>
      </w:pPr>
      <w:hyperlink r:id="rId8">
        <w:r w:rsidR="00DE50B3">
          <w:rPr>
            <w:b/>
            <w:color w:val="0563C1"/>
            <w:u w:val="single"/>
          </w:rPr>
          <w:t>https://www.bls.gov/bls/blswage.htm</w:t>
        </w:r>
      </w:hyperlink>
      <w:r w:rsidR="00DE50B3">
        <w:rPr>
          <w:b/>
        </w:rPr>
        <w:t xml:space="preserve"> (https://www.bls.gov/oes/current/oes119161.htm)</w:t>
      </w:r>
    </w:p>
    <w:p w:rsidR="00091A19" w:rsidRPr="00DE50B3" w14:paraId="0000007F" w14:textId="77777777">
      <w:pPr>
        <w:pStyle w:val="heading22"/>
        <w:numPr>
          <w:ilvl w:val="0"/>
          <w:numId w:val="1"/>
        </w:numPr>
        <w:tabs>
          <w:tab w:val="left" w:pos="360"/>
        </w:tabs>
        <w:spacing w:after="0"/>
        <w:rPr>
          <w:sz w:val="24"/>
          <w:szCs w:val="24"/>
        </w:rPr>
      </w:pPr>
      <w:bookmarkStart w:id="12" w:name="_heading=h.g306xxnjrmm" w:colFirst="0" w:colLast="0"/>
      <w:bookmarkEnd w:id="12"/>
      <w:r w:rsidRPr="00DE50B3">
        <w:rPr>
          <w:sz w:val="24"/>
          <w:szCs w:val="24"/>
        </w:rPr>
        <w:t>Provide an estimate for the total annual cost burden to respondents or record keepers resulting from the collection of information. (Do not include the cost of any hour burden already reflected on the burden worksheet).</w:t>
      </w:r>
    </w:p>
    <w:p w:rsidR="00091A19" w14:paraId="00000080" w14:textId="77777777">
      <w:pPr>
        <w:pStyle w:val="Normal2"/>
        <w:rPr>
          <w:b/>
          <w:color w:val="1F497D"/>
        </w:rPr>
      </w:pPr>
    </w:p>
    <w:p w:rsidR="00091A19" w14:paraId="00000081" w14:textId="77777777">
      <w:pPr>
        <w:pStyle w:val="Normal2"/>
      </w:pPr>
      <w:r>
        <w:t xml:space="preserve">There are no capital/start-up or ongoing operation/maintenance costs associated with this information collection. </w:t>
      </w:r>
    </w:p>
    <w:p w:rsidR="00091A19" w14:paraId="00000082" w14:textId="77777777">
      <w:pPr>
        <w:pStyle w:val="Normal2"/>
      </w:pPr>
    </w:p>
    <w:p w:rsidR="00091A19" w:rsidRPr="00DE50B3" w14:paraId="00000083" w14:textId="77777777">
      <w:pPr>
        <w:pStyle w:val="heading22"/>
        <w:numPr>
          <w:ilvl w:val="0"/>
          <w:numId w:val="1"/>
        </w:numPr>
        <w:tabs>
          <w:tab w:val="left" w:pos="360"/>
        </w:tabs>
        <w:spacing w:before="80"/>
        <w:rPr>
          <w:sz w:val="24"/>
          <w:szCs w:val="24"/>
        </w:rPr>
      </w:pPr>
      <w:bookmarkStart w:id="13" w:name="_heading=h.b189owcv3n6g" w:colFirst="0" w:colLast="0"/>
      <w:bookmarkEnd w:id="13"/>
      <w:r w:rsidRPr="00DE50B3">
        <w:rPr>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91A19" w14:paraId="00000084" w14:textId="77777777">
      <w:pPr>
        <w:pStyle w:val="Normal2"/>
        <w:pBdr>
          <w:top w:val="nil"/>
          <w:left w:val="nil"/>
          <w:bottom w:val="nil"/>
          <w:right w:val="nil"/>
          <w:between w:val="nil"/>
        </w:pBdr>
        <w:spacing w:before="9" w:after="1"/>
        <w:rPr>
          <w:b/>
          <w:color w:val="000000"/>
        </w:rPr>
      </w:pPr>
    </w:p>
    <w:tbl>
      <w:tblPr>
        <w:tblStyle w:val="afc"/>
        <w:tblW w:w="8240" w:type="dxa"/>
        <w:tblInd w:w="-25" w:type="dxa"/>
        <w:tblLayout w:type="fixed"/>
        <w:tblLook w:val="0400"/>
      </w:tblPr>
      <w:tblGrid>
        <w:gridCol w:w="2280"/>
        <w:gridCol w:w="1120"/>
        <w:gridCol w:w="1140"/>
        <w:gridCol w:w="1120"/>
        <w:gridCol w:w="1280"/>
        <w:gridCol w:w="1300"/>
      </w:tblGrid>
      <w:tr w14:paraId="2FD49239" w14:textId="77777777">
        <w:tblPrEx>
          <w:tblW w:w="8240" w:type="dxa"/>
          <w:tblInd w:w="-25"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091A19" w14:paraId="00000085" w14:textId="77777777">
            <w:pPr>
              <w:pStyle w:val="Normal2"/>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091A19" w14:paraId="00000086" w14:textId="77777777">
            <w:pPr>
              <w:pStyle w:val="Normal2"/>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091A19" w14:paraId="00000087" w14:textId="77777777">
            <w:pPr>
              <w:pStyle w:val="Normal2"/>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091A19" w14:paraId="00000088" w14:textId="77777777">
            <w:pPr>
              <w:pStyle w:val="Normal2"/>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of </w:t>
            </w:r>
            <w:sdt>
              <w:sdtPr>
                <w:tag w:val="goog_rdk_0"/>
                <w:id w:val="-1951387424"/>
                <w:richText/>
              </w:sdtPr>
              <w:sdtContent/>
            </w:sdt>
            <w:r>
              <w:rPr>
                <w:rFonts w:ascii="Calibri" w:eastAsia="Calibri" w:hAnsi="Calibri" w:cs="Calibri"/>
                <w:b/>
                <w:color w:val="000000"/>
                <w:sz w:val="16"/>
                <w:szCs w:val="16"/>
              </w:rPr>
              <w:t>Effort</w:t>
            </w:r>
          </w:p>
        </w:tc>
        <w:tc>
          <w:tcPr>
            <w:tcW w:w="1280" w:type="dxa"/>
            <w:tcBorders>
              <w:top w:val="single" w:sz="8" w:space="0" w:color="000000"/>
              <w:left w:val="nil"/>
              <w:bottom w:val="nil"/>
              <w:right w:val="single" w:sz="8" w:space="0" w:color="000000"/>
            </w:tcBorders>
            <w:shd w:val="clear" w:color="auto" w:fill="BDD7EE"/>
            <w:vAlign w:val="center"/>
          </w:tcPr>
          <w:p w:rsidR="00091A19" w14:paraId="00000089" w14:textId="77777777">
            <w:pPr>
              <w:pStyle w:val="Normal2"/>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091A19" w14:paraId="0000008A" w14:textId="77777777">
            <w:pPr>
              <w:pStyle w:val="Normal2"/>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0A82906E" w14:textId="77777777">
        <w:tblPrEx>
          <w:tblW w:w="8240" w:type="dxa"/>
          <w:tblInd w:w="-25"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091A19" w:rsidRPr="00DE50B3" w14:paraId="0000008B" w14:textId="77777777">
            <w:pPr>
              <w:pStyle w:val="Normal2"/>
              <w:widowControl/>
              <w:rPr>
                <w:rFonts w:ascii="Calibri" w:eastAsia="Calibri" w:hAnsi="Calibri" w:cs="Calibri"/>
                <w:b/>
                <w:color w:val="000000"/>
                <w:sz w:val="18"/>
                <w:szCs w:val="18"/>
              </w:rPr>
            </w:pPr>
            <w:r w:rsidRPr="00DE50B3">
              <w:rPr>
                <w:rFonts w:ascii="Calibri" w:eastAsia="Calibri" w:hAnsi="Calibri" w:cs="Calibri"/>
                <w:b/>
                <w:color w:val="000000"/>
                <w:sz w:val="18"/>
                <w:szCs w:val="18"/>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091A19" w:rsidRPr="00DE50B3" w14:paraId="0000008C" w14:textId="77777777">
            <w:pPr>
              <w:pStyle w:val="Normal2"/>
              <w:widowControl/>
              <w:jc w:val="center"/>
              <w:rPr>
                <w:rFonts w:ascii="Calibri" w:eastAsia="Calibri" w:hAnsi="Calibri" w:cs="Calibri"/>
                <w:color w:val="000000"/>
                <w:sz w:val="18"/>
                <w:szCs w:val="18"/>
              </w:rPr>
            </w:pPr>
            <w:r w:rsidRPr="00DE50B3">
              <w:rPr>
                <w:rFonts w:ascii="Calibri" w:eastAsia="Calibri" w:hAnsi="Calibri" w:cs="Calibri"/>
                <w:color w:val="000000"/>
                <w:sz w:val="18"/>
                <w:szCs w:val="18"/>
              </w:rPr>
              <w:t> </w:t>
            </w:r>
            <w:r w:rsidRPr="00DE50B3">
              <w:rPr>
                <w:rFonts w:ascii="Calibri" w:eastAsia="Calibri" w:hAnsi="Calibri" w:cs="Calibri"/>
                <w:sz w:val="18"/>
                <w:szCs w:val="18"/>
              </w:rPr>
              <w:t>GS-1301-14</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091A19" w:rsidRPr="00DE50B3" w14:paraId="0000008D" w14:textId="77777777">
            <w:pPr>
              <w:pStyle w:val="Normal2"/>
              <w:widowControl/>
              <w:jc w:val="center"/>
              <w:rPr>
                <w:rFonts w:ascii="Calibri" w:eastAsia="Calibri" w:hAnsi="Calibri" w:cs="Calibri"/>
                <w:color w:val="000000"/>
                <w:sz w:val="18"/>
                <w:szCs w:val="18"/>
              </w:rPr>
            </w:pPr>
            <w:r w:rsidRPr="00DE50B3">
              <w:rPr>
                <w:rFonts w:ascii="Calibri" w:eastAsia="Calibri" w:hAnsi="Calibri" w:cs="Calibri"/>
                <w:color w:val="000000"/>
                <w:sz w:val="18"/>
                <w:szCs w:val="18"/>
              </w:rPr>
              <w:t> 150,777</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091A19" w:rsidRPr="00DE50B3" w14:paraId="0000008E" w14:textId="77777777">
            <w:pPr>
              <w:pStyle w:val="Normal2"/>
              <w:widowControl/>
              <w:jc w:val="center"/>
              <w:rPr>
                <w:rFonts w:ascii="Calibri" w:eastAsia="Calibri" w:hAnsi="Calibri" w:cs="Calibri"/>
                <w:color w:val="000000"/>
                <w:sz w:val="18"/>
                <w:szCs w:val="18"/>
              </w:rPr>
            </w:pPr>
            <w:r w:rsidRPr="00DE50B3">
              <w:rPr>
                <w:rFonts w:ascii="Calibri" w:eastAsia="Calibri" w:hAnsi="Calibri" w:cs="Calibri"/>
                <w:color w:val="000000"/>
                <w:sz w:val="18"/>
                <w:szCs w:val="18"/>
              </w:rPr>
              <w:t> 1%</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091A19" w:rsidRPr="00DE50B3" w14:paraId="0000008F"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091A19" w:rsidRPr="00DE50B3" w14:paraId="00000090" w14:textId="265F00F2">
            <w:pPr>
              <w:pStyle w:val="Normal2"/>
              <w:widowControl/>
              <w:jc w:val="center"/>
              <w:rPr>
                <w:rFonts w:ascii="Calibri" w:eastAsia="Calibri" w:hAnsi="Calibri" w:cs="Calibri"/>
                <w:color w:val="000000"/>
                <w:sz w:val="18"/>
                <w:szCs w:val="18"/>
                <w:highlight w:val="yellow"/>
              </w:rPr>
            </w:pPr>
            <w:r w:rsidRPr="00DE50B3">
              <w:rPr>
                <w:rFonts w:ascii="Calibri" w:eastAsia="Calibri" w:hAnsi="Calibri" w:cs="Calibri"/>
                <w:color w:val="000000"/>
                <w:sz w:val="18"/>
                <w:szCs w:val="18"/>
              </w:rPr>
              <w:t> </w:t>
            </w:r>
            <w:sdt>
              <w:sdtPr>
                <w:rPr>
                  <w:sz w:val="18"/>
                  <w:szCs w:val="18"/>
                </w:rPr>
                <w:tag w:val="goog_rdk_1"/>
                <w:id w:val="301207327"/>
                <w:richText/>
              </w:sdtPr>
              <w:sdtContent/>
            </w:sdt>
            <w:r w:rsidRPr="00DE50B3">
              <w:rPr>
                <w:rFonts w:asciiTheme="minorHAnsi" w:hAnsiTheme="minorHAnsi" w:cstheme="minorHAnsi"/>
                <w:sz w:val="18"/>
                <w:szCs w:val="18"/>
              </w:rPr>
              <w:t>1,570.77</w:t>
            </w:r>
          </w:p>
        </w:tc>
      </w:tr>
      <w:tr w14:paraId="4DEB8488"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091A19" w:rsidRPr="00DE50B3" w14:paraId="00000091"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Other Federal Positions</w:t>
            </w:r>
          </w:p>
        </w:tc>
        <w:tc>
          <w:tcPr>
            <w:tcW w:w="1120" w:type="dxa"/>
            <w:tcBorders>
              <w:top w:val="nil"/>
              <w:left w:val="nil"/>
              <w:bottom w:val="single" w:sz="4" w:space="0" w:color="000000"/>
              <w:right w:val="single" w:sz="4" w:space="0" w:color="000000"/>
            </w:tcBorders>
            <w:shd w:val="clear" w:color="auto" w:fill="auto"/>
            <w:vAlign w:val="bottom"/>
          </w:tcPr>
          <w:p w:rsidR="00091A19" w:rsidRPr="00DE50B3" w14:paraId="00000092"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 </w:t>
            </w:r>
          </w:p>
        </w:tc>
        <w:tc>
          <w:tcPr>
            <w:tcW w:w="1140" w:type="dxa"/>
            <w:tcBorders>
              <w:top w:val="nil"/>
              <w:left w:val="nil"/>
              <w:bottom w:val="single" w:sz="4" w:space="0" w:color="000000"/>
              <w:right w:val="single" w:sz="4" w:space="0" w:color="000000"/>
            </w:tcBorders>
            <w:shd w:val="clear" w:color="auto" w:fill="auto"/>
            <w:vAlign w:val="bottom"/>
          </w:tcPr>
          <w:p w:rsidR="00091A19" w:rsidRPr="00DE50B3" w14:paraId="00000093"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 </w:t>
            </w:r>
          </w:p>
        </w:tc>
        <w:tc>
          <w:tcPr>
            <w:tcW w:w="1120" w:type="dxa"/>
            <w:tcBorders>
              <w:top w:val="nil"/>
              <w:left w:val="nil"/>
              <w:bottom w:val="single" w:sz="4" w:space="0" w:color="000000"/>
              <w:right w:val="single" w:sz="4" w:space="0" w:color="000000"/>
            </w:tcBorders>
            <w:shd w:val="clear" w:color="auto" w:fill="auto"/>
            <w:vAlign w:val="bottom"/>
          </w:tcPr>
          <w:p w:rsidR="00091A19" w:rsidRPr="00DE50B3" w14:paraId="00000094"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 </w:t>
            </w:r>
          </w:p>
        </w:tc>
        <w:tc>
          <w:tcPr>
            <w:tcW w:w="1280" w:type="dxa"/>
            <w:tcBorders>
              <w:top w:val="nil"/>
              <w:left w:val="nil"/>
              <w:bottom w:val="single" w:sz="4" w:space="0" w:color="000000"/>
              <w:right w:val="single" w:sz="4" w:space="0" w:color="000000"/>
            </w:tcBorders>
            <w:shd w:val="clear" w:color="auto" w:fill="808080"/>
            <w:vAlign w:val="bottom"/>
          </w:tcPr>
          <w:p w:rsidR="00091A19" w:rsidRPr="00DE50B3" w14:paraId="00000095"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 </w:t>
            </w:r>
          </w:p>
        </w:tc>
        <w:tc>
          <w:tcPr>
            <w:tcW w:w="1300" w:type="dxa"/>
            <w:tcBorders>
              <w:top w:val="nil"/>
              <w:left w:val="nil"/>
              <w:bottom w:val="single" w:sz="4" w:space="0" w:color="000000"/>
              <w:right w:val="single" w:sz="8" w:space="0" w:color="000000"/>
            </w:tcBorders>
            <w:shd w:val="clear" w:color="auto" w:fill="auto"/>
            <w:vAlign w:val="bottom"/>
          </w:tcPr>
          <w:p w:rsidR="00091A19" w:rsidRPr="00DE50B3" w14:paraId="00000096"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 </w:t>
            </w:r>
          </w:p>
        </w:tc>
      </w:tr>
      <w:tr w14:paraId="00EB8694" w14:textId="77777777">
        <w:tblPrEx>
          <w:tblW w:w="8240" w:type="dxa"/>
          <w:tblInd w:w="-25"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shd w:val="clear" w:color="auto" w:fill="auto"/>
            <w:vAlign w:val="bottom"/>
          </w:tcPr>
          <w:p w:rsidR="00091A19" w:rsidRPr="00DE50B3" w14:paraId="000000A3" w14:textId="77777777">
            <w:pPr>
              <w:pStyle w:val="Normal2"/>
              <w:widowControl/>
              <w:rPr>
                <w:rFonts w:ascii="Calibri" w:eastAsia="Calibri" w:hAnsi="Calibri" w:cs="Calibri"/>
                <w:b/>
                <w:color w:val="000000"/>
                <w:sz w:val="18"/>
                <w:szCs w:val="18"/>
              </w:rPr>
            </w:pPr>
            <w:r w:rsidRPr="00DE50B3">
              <w:rPr>
                <w:rFonts w:ascii="Calibri" w:eastAsia="Calibri" w:hAnsi="Calibri" w:cs="Calibri"/>
                <w:b/>
                <w:color w:val="000000"/>
                <w:sz w:val="18"/>
                <w:szCs w:val="18"/>
              </w:rPr>
              <w:t>Contractor Cost</w:t>
            </w:r>
          </w:p>
        </w:tc>
        <w:tc>
          <w:tcPr>
            <w:tcW w:w="1120" w:type="dxa"/>
            <w:tcBorders>
              <w:top w:val="nil"/>
              <w:left w:val="nil"/>
              <w:bottom w:val="single" w:sz="4" w:space="0" w:color="000000"/>
              <w:right w:val="single" w:sz="4" w:space="0" w:color="000000"/>
            </w:tcBorders>
            <w:shd w:val="clear" w:color="auto" w:fill="808080"/>
            <w:vAlign w:val="bottom"/>
          </w:tcPr>
          <w:p w:rsidR="00091A19" w:rsidRPr="00DE50B3" w14:paraId="000000A4"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 </w:t>
            </w:r>
          </w:p>
        </w:tc>
        <w:tc>
          <w:tcPr>
            <w:tcW w:w="1140" w:type="dxa"/>
            <w:tcBorders>
              <w:top w:val="nil"/>
              <w:left w:val="nil"/>
              <w:bottom w:val="single" w:sz="4" w:space="0" w:color="000000"/>
              <w:right w:val="single" w:sz="4" w:space="0" w:color="000000"/>
            </w:tcBorders>
            <w:shd w:val="clear" w:color="auto" w:fill="auto"/>
            <w:vAlign w:val="bottom"/>
          </w:tcPr>
          <w:p w:rsidR="00091A19" w:rsidRPr="00DE50B3" w14:paraId="000000A5"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 </w:t>
            </w:r>
          </w:p>
        </w:tc>
        <w:tc>
          <w:tcPr>
            <w:tcW w:w="1120" w:type="dxa"/>
            <w:tcBorders>
              <w:top w:val="nil"/>
              <w:left w:val="nil"/>
              <w:bottom w:val="single" w:sz="4" w:space="0" w:color="000000"/>
              <w:right w:val="single" w:sz="4" w:space="0" w:color="000000"/>
            </w:tcBorders>
            <w:shd w:val="clear" w:color="auto" w:fill="auto"/>
            <w:vAlign w:val="bottom"/>
          </w:tcPr>
          <w:p w:rsidR="00091A19" w:rsidRPr="00DE50B3" w14:paraId="000000A6"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 </w:t>
            </w:r>
          </w:p>
        </w:tc>
        <w:tc>
          <w:tcPr>
            <w:tcW w:w="1280" w:type="dxa"/>
            <w:tcBorders>
              <w:top w:val="nil"/>
              <w:left w:val="nil"/>
              <w:bottom w:val="single" w:sz="4" w:space="0" w:color="000000"/>
              <w:right w:val="single" w:sz="4" w:space="0" w:color="000000"/>
            </w:tcBorders>
            <w:shd w:val="clear" w:color="auto" w:fill="auto"/>
            <w:vAlign w:val="bottom"/>
          </w:tcPr>
          <w:p w:rsidR="00091A19" w:rsidRPr="00DE50B3" w14:paraId="000000A7"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 </w:t>
            </w:r>
          </w:p>
        </w:tc>
        <w:tc>
          <w:tcPr>
            <w:tcW w:w="1300" w:type="dxa"/>
            <w:tcBorders>
              <w:top w:val="nil"/>
              <w:left w:val="nil"/>
              <w:bottom w:val="single" w:sz="4" w:space="0" w:color="000000"/>
              <w:right w:val="single" w:sz="8" w:space="0" w:color="000000"/>
            </w:tcBorders>
            <w:shd w:val="clear" w:color="auto" w:fill="auto"/>
            <w:vAlign w:val="bottom"/>
          </w:tcPr>
          <w:p w:rsidR="00091A19" w:rsidRPr="00DE50B3" w14:paraId="000000A8"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 </w:t>
            </w:r>
          </w:p>
        </w:tc>
      </w:tr>
      <w:tr w14:paraId="46109026"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091A19" w:rsidRPr="00DE50B3" w14:paraId="000000B5" w14:textId="77777777">
            <w:pPr>
              <w:pStyle w:val="Normal2"/>
              <w:widowControl/>
              <w:rPr>
                <w:rFonts w:ascii="Calibri" w:eastAsia="Calibri" w:hAnsi="Calibri" w:cs="Calibri"/>
                <w:b/>
                <w:color w:val="000000"/>
                <w:sz w:val="18"/>
                <w:szCs w:val="18"/>
              </w:rPr>
            </w:pPr>
            <w:r w:rsidRPr="00DE50B3">
              <w:rPr>
                <w:rFonts w:ascii="Calibri" w:eastAsia="Calibri" w:hAnsi="Calibri" w:cs="Calibri"/>
                <w:b/>
                <w:color w:val="000000"/>
                <w:sz w:val="18"/>
                <w:szCs w:val="18"/>
              </w:rPr>
              <w:t>Travel</w:t>
            </w:r>
          </w:p>
        </w:tc>
        <w:tc>
          <w:tcPr>
            <w:tcW w:w="1120" w:type="dxa"/>
            <w:tcBorders>
              <w:top w:val="nil"/>
              <w:left w:val="nil"/>
              <w:bottom w:val="single" w:sz="4" w:space="0" w:color="000000"/>
              <w:right w:val="single" w:sz="4" w:space="0" w:color="000000"/>
            </w:tcBorders>
            <w:shd w:val="clear" w:color="auto" w:fill="808080"/>
            <w:vAlign w:val="bottom"/>
          </w:tcPr>
          <w:p w:rsidR="00091A19" w:rsidRPr="00DE50B3" w14:paraId="000000B6"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 </w:t>
            </w:r>
          </w:p>
        </w:tc>
        <w:tc>
          <w:tcPr>
            <w:tcW w:w="1140" w:type="dxa"/>
            <w:tcBorders>
              <w:top w:val="nil"/>
              <w:left w:val="nil"/>
              <w:bottom w:val="single" w:sz="4" w:space="0" w:color="000000"/>
              <w:right w:val="single" w:sz="4" w:space="0" w:color="000000"/>
            </w:tcBorders>
            <w:shd w:val="clear" w:color="auto" w:fill="808080"/>
            <w:vAlign w:val="bottom"/>
          </w:tcPr>
          <w:p w:rsidR="00091A19" w:rsidRPr="00DE50B3" w14:paraId="000000B7"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 </w:t>
            </w:r>
          </w:p>
        </w:tc>
        <w:tc>
          <w:tcPr>
            <w:tcW w:w="1120" w:type="dxa"/>
            <w:tcBorders>
              <w:top w:val="nil"/>
              <w:left w:val="nil"/>
              <w:bottom w:val="single" w:sz="4" w:space="0" w:color="000000"/>
              <w:right w:val="single" w:sz="4" w:space="0" w:color="000000"/>
            </w:tcBorders>
            <w:shd w:val="clear" w:color="auto" w:fill="808080"/>
            <w:vAlign w:val="bottom"/>
          </w:tcPr>
          <w:p w:rsidR="00091A19" w:rsidRPr="00DE50B3" w14:paraId="000000B8"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 </w:t>
            </w:r>
          </w:p>
        </w:tc>
        <w:tc>
          <w:tcPr>
            <w:tcW w:w="1280" w:type="dxa"/>
            <w:tcBorders>
              <w:top w:val="nil"/>
              <w:left w:val="nil"/>
              <w:bottom w:val="single" w:sz="4" w:space="0" w:color="000000"/>
              <w:right w:val="single" w:sz="4" w:space="0" w:color="000000"/>
            </w:tcBorders>
            <w:shd w:val="clear" w:color="auto" w:fill="808080"/>
            <w:vAlign w:val="bottom"/>
          </w:tcPr>
          <w:p w:rsidR="00091A19" w:rsidRPr="00DE50B3" w14:paraId="000000B9"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 </w:t>
            </w:r>
          </w:p>
        </w:tc>
        <w:tc>
          <w:tcPr>
            <w:tcW w:w="1300" w:type="dxa"/>
            <w:tcBorders>
              <w:top w:val="nil"/>
              <w:left w:val="nil"/>
              <w:bottom w:val="single" w:sz="4" w:space="0" w:color="000000"/>
              <w:right w:val="single" w:sz="8" w:space="0" w:color="000000"/>
            </w:tcBorders>
            <w:shd w:val="clear" w:color="auto" w:fill="auto"/>
            <w:vAlign w:val="bottom"/>
          </w:tcPr>
          <w:p w:rsidR="00091A19" w:rsidRPr="00DE50B3" w14:paraId="000000BA"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 </w:t>
            </w:r>
          </w:p>
        </w:tc>
      </w:tr>
      <w:tr w14:paraId="0476EC95" w14:textId="77777777" w:rsidTr="00806B6C">
        <w:tblPrEx>
          <w:tblW w:w="8240" w:type="dxa"/>
          <w:tblInd w:w="-25" w:type="dxa"/>
          <w:tblLayout w:type="fixed"/>
          <w:tblLook w:val="0400"/>
        </w:tblPrEx>
        <w:trPr>
          <w:trHeight w:val="421"/>
        </w:trPr>
        <w:tc>
          <w:tcPr>
            <w:tcW w:w="2280" w:type="dxa"/>
            <w:tcBorders>
              <w:top w:val="nil"/>
              <w:left w:val="single" w:sz="8" w:space="0" w:color="000000"/>
              <w:bottom w:val="nil"/>
              <w:right w:val="single" w:sz="8" w:space="0" w:color="000000"/>
            </w:tcBorders>
            <w:shd w:val="clear" w:color="auto" w:fill="auto"/>
            <w:vAlign w:val="center"/>
          </w:tcPr>
          <w:p w:rsidR="00091A19" w:rsidRPr="00DE50B3" w14:paraId="000000BB" w14:textId="77777777">
            <w:pPr>
              <w:pStyle w:val="Normal2"/>
              <w:widowControl/>
              <w:rPr>
                <w:rFonts w:ascii="Calibri" w:eastAsia="Calibri" w:hAnsi="Calibri" w:cs="Calibri"/>
                <w:b/>
                <w:color w:val="000000"/>
                <w:sz w:val="18"/>
                <w:szCs w:val="18"/>
              </w:rPr>
            </w:pPr>
            <w:r w:rsidRPr="00DE50B3">
              <w:rPr>
                <w:rFonts w:ascii="Calibri" w:eastAsia="Calibri" w:hAnsi="Calibri" w:cs="Calibri"/>
                <w:b/>
                <w:color w:val="000000"/>
                <w:sz w:val="18"/>
                <w:szCs w:val="18"/>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091A19" w:rsidRPr="00DE50B3" w14:paraId="000000BC"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 </w:t>
            </w:r>
          </w:p>
        </w:tc>
        <w:tc>
          <w:tcPr>
            <w:tcW w:w="1140" w:type="dxa"/>
            <w:tcBorders>
              <w:top w:val="nil"/>
              <w:left w:val="nil"/>
              <w:bottom w:val="single" w:sz="4" w:space="0" w:color="000000"/>
              <w:right w:val="single" w:sz="4" w:space="0" w:color="000000"/>
            </w:tcBorders>
            <w:shd w:val="clear" w:color="auto" w:fill="808080"/>
            <w:vAlign w:val="bottom"/>
          </w:tcPr>
          <w:p w:rsidR="00091A19" w:rsidRPr="00DE50B3" w14:paraId="000000BD"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 </w:t>
            </w:r>
          </w:p>
        </w:tc>
        <w:tc>
          <w:tcPr>
            <w:tcW w:w="1120" w:type="dxa"/>
            <w:tcBorders>
              <w:top w:val="nil"/>
              <w:left w:val="nil"/>
              <w:bottom w:val="single" w:sz="4" w:space="0" w:color="000000"/>
              <w:right w:val="single" w:sz="4" w:space="0" w:color="000000"/>
            </w:tcBorders>
            <w:shd w:val="clear" w:color="auto" w:fill="808080"/>
            <w:vAlign w:val="bottom"/>
          </w:tcPr>
          <w:p w:rsidR="00091A19" w:rsidRPr="00DE50B3" w14:paraId="000000BE"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 </w:t>
            </w:r>
          </w:p>
        </w:tc>
        <w:tc>
          <w:tcPr>
            <w:tcW w:w="1280" w:type="dxa"/>
            <w:tcBorders>
              <w:top w:val="nil"/>
              <w:left w:val="nil"/>
              <w:bottom w:val="single" w:sz="4" w:space="0" w:color="000000"/>
              <w:right w:val="single" w:sz="4" w:space="0" w:color="000000"/>
            </w:tcBorders>
            <w:shd w:val="clear" w:color="auto" w:fill="808080"/>
            <w:vAlign w:val="bottom"/>
          </w:tcPr>
          <w:p w:rsidR="00091A19" w:rsidRPr="00DE50B3" w14:paraId="000000BF"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 </w:t>
            </w:r>
          </w:p>
        </w:tc>
        <w:tc>
          <w:tcPr>
            <w:tcW w:w="1300" w:type="dxa"/>
            <w:tcBorders>
              <w:top w:val="nil"/>
              <w:left w:val="nil"/>
              <w:bottom w:val="single" w:sz="4" w:space="0" w:color="000000"/>
              <w:right w:val="single" w:sz="8" w:space="0" w:color="000000"/>
            </w:tcBorders>
            <w:shd w:val="clear" w:color="auto" w:fill="auto"/>
            <w:vAlign w:val="bottom"/>
          </w:tcPr>
          <w:p w:rsidR="00091A19" w:rsidRPr="00DE50B3" w14:paraId="000000C0"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 </w:t>
            </w:r>
          </w:p>
        </w:tc>
      </w:tr>
      <w:tr w14:paraId="615EBD62" w14:textId="77777777">
        <w:tblPrEx>
          <w:tblW w:w="8240" w:type="dxa"/>
          <w:tblInd w:w="-25"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091A19" w:rsidRPr="00DE50B3" w14:paraId="000000C1" w14:textId="77777777">
            <w:pPr>
              <w:pStyle w:val="Normal2"/>
              <w:widowControl/>
              <w:rPr>
                <w:rFonts w:ascii="Calibri" w:eastAsia="Calibri" w:hAnsi="Calibri" w:cs="Calibri"/>
                <w:b/>
                <w:color w:val="000000"/>
                <w:sz w:val="18"/>
                <w:szCs w:val="18"/>
              </w:rPr>
            </w:pPr>
            <w:r w:rsidRPr="00DE50B3">
              <w:rPr>
                <w:rFonts w:ascii="Calibri" w:eastAsia="Calibri" w:hAnsi="Calibri" w:cs="Calibri"/>
                <w:b/>
                <w:color w:val="000000"/>
                <w:sz w:val="18"/>
                <w:szCs w:val="18"/>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091A19" w:rsidRPr="00DE50B3" w14:paraId="000000C2"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091A19" w:rsidRPr="00DE50B3" w14:paraId="000000C3"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091A19" w:rsidRPr="00DE50B3" w14:paraId="000000C4"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091A19" w:rsidRPr="00DE50B3" w14:paraId="000000C5" w14:textId="77777777">
            <w:pPr>
              <w:pStyle w:val="Normal2"/>
              <w:widowControl/>
              <w:rPr>
                <w:rFonts w:ascii="Calibri" w:eastAsia="Calibri" w:hAnsi="Calibri" w:cs="Calibri"/>
                <w:color w:val="000000"/>
                <w:sz w:val="18"/>
                <w:szCs w:val="18"/>
              </w:rPr>
            </w:pPr>
            <w:r w:rsidRPr="00DE50B3">
              <w:rPr>
                <w:rFonts w:ascii="Calibri" w:eastAsia="Calibri" w:hAnsi="Calibri" w:cs="Calibri"/>
                <w:color w:val="000000"/>
                <w:sz w:val="18"/>
                <w:szCs w:val="18"/>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091A19" w:rsidRPr="00806B6C" w:rsidP="00806B6C" w14:paraId="000000C6" w14:textId="17D3C88F">
            <w:pPr>
              <w:pStyle w:val="Normal2"/>
              <w:widowControl/>
              <w:jc w:val="right"/>
              <w:rPr>
                <w:rFonts w:ascii="Calibri" w:eastAsia="Calibri" w:hAnsi="Calibri" w:cs="Calibri"/>
                <w:b/>
                <w:color w:val="000000"/>
                <w:sz w:val="18"/>
                <w:szCs w:val="18"/>
              </w:rPr>
            </w:pPr>
            <w:r w:rsidRPr="00DE50B3">
              <w:rPr>
                <w:rFonts w:ascii="Calibri" w:eastAsia="Calibri" w:hAnsi="Calibri" w:cs="Calibri"/>
                <w:color w:val="000000"/>
                <w:sz w:val="18"/>
                <w:szCs w:val="18"/>
              </w:rPr>
              <w:t> </w:t>
            </w:r>
            <w:r w:rsidRPr="00806B6C">
              <w:rPr>
                <w:rFonts w:ascii="Calibri" w:eastAsia="Calibri" w:hAnsi="Calibri" w:cs="Calibri"/>
                <w:b/>
                <w:color w:val="000000"/>
                <w:sz w:val="18"/>
                <w:szCs w:val="18"/>
              </w:rPr>
              <w:t>1,570.77</w:t>
            </w:r>
          </w:p>
        </w:tc>
      </w:tr>
    </w:tbl>
    <w:p w:rsidR="00091A19" w14:paraId="000000C7" w14:textId="77777777">
      <w:pPr>
        <w:pStyle w:val="Normal2"/>
        <w:pBdr>
          <w:top w:val="nil"/>
          <w:left w:val="nil"/>
          <w:bottom w:val="nil"/>
          <w:right w:val="nil"/>
          <w:between w:val="nil"/>
        </w:pBdr>
        <w:spacing w:before="9" w:after="1"/>
        <w:rPr>
          <w:b/>
          <w:color w:val="000000"/>
        </w:rPr>
      </w:pPr>
    </w:p>
    <w:p w:rsidR="00091A19" w:rsidRPr="00DE50B3" w14:paraId="000000C8" w14:textId="77777777">
      <w:pPr>
        <w:pStyle w:val="heading22"/>
        <w:numPr>
          <w:ilvl w:val="0"/>
          <w:numId w:val="1"/>
        </w:numPr>
        <w:tabs>
          <w:tab w:val="left" w:pos="360"/>
        </w:tabs>
        <w:rPr>
          <w:sz w:val="24"/>
          <w:szCs w:val="24"/>
        </w:rPr>
      </w:pPr>
      <w:bookmarkStart w:id="14" w:name="_heading=h.vxscl24pj2qg" w:colFirst="0" w:colLast="0"/>
      <w:bookmarkEnd w:id="14"/>
      <w:r w:rsidRPr="00DE50B3">
        <w:rPr>
          <w:sz w:val="24"/>
          <w:szCs w:val="24"/>
        </w:rPr>
        <w:t>Explain the reasons for any program changes or adjustments reported in ROCIS.</w:t>
      </w:r>
    </w:p>
    <w:p w:rsidR="00091A19" w14:paraId="000000C9" w14:textId="77777777">
      <w:pPr>
        <w:pStyle w:val="Normal2"/>
        <w:spacing w:before="161"/>
      </w:pPr>
      <w:r>
        <w:t>This is a new information collection.</w:t>
      </w:r>
    </w:p>
    <w:p w:rsidR="00091A19" w14:paraId="000000CA" w14:textId="77777777">
      <w:pPr>
        <w:pStyle w:val="Normal2"/>
        <w:spacing w:before="161"/>
      </w:pPr>
    </w:p>
    <w:p w:rsidR="00091A19" w:rsidRPr="00DE50B3" w14:paraId="000000CB" w14:textId="77777777">
      <w:pPr>
        <w:pStyle w:val="heading22"/>
        <w:numPr>
          <w:ilvl w:val="0"/>
          <w:numId w:val="1"/>
        </w:numPr>
        <w:tabs>
          <w:tab w:val="left" w:pos="360"/>
        </w:tabs>
        <w:spacing w:before="80"/>
        <w:rPr>
          <w:sz w:val="24"/>
          <w:szCs w:val="24"/>
        </w:rPr>
      </w:pPr>
      <w:bookmarkStart w:id="15" w:name="_heading=h.p71slk41zbk7" w:colFirst="0" w:colLast="0"/>
      <w:bookmarkEnd w:id="15"/>
      <w:r w:rsidRPr="00DE50B3">
        <w:rPr>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91A19" w14:paraId="000000CC" w14:textId="77777777">
      <w:pPr>
        <w:pStyle w:val="Normal2"/>
        <w:pBdr>
          <w:top w:val="nil"/>
          <w:left w:val="nil"/>
          <w:bottom w:val="nil"/>
          <w:right w:val="nil"/>
          <w:between w:val="nil"/>
        </w:pBdr>
        <w:spacing w:before="160"/>
      </w:pPr>
      <w:r>
        <w:t xml:space="preserve">In two </w:t>
      </w:r>
      <w:r>
        <w:t>years time</w:t>
      </w:r>
      <w:r>
        <w:t xml:space="preserve">, results </w:t>
      </w:r>
      <w:r>
        <w:t>will be published</w:t>
      </w:r>
      <w:r>
        <w:t xml:space="preserve"> following collection and analysis of data. Results will be distributed internally to NOAA and National Weather Service Weather Forecast Offices and externally to broadcast meteorologists and emergency managers through conference presentations. </w:t>
      </w:r>
    </w:p>
    <w:p w:rsidR="00091A19" w14:paraId="000000CD" w14:textId="77777777">
      <w:pPr>
        <w:pStyle w:val="Normal2"/>
        <w:pBdr>
          <w:top w:val="nil"/>
          <w:left w:val="nil"/>
          <w:bottom w:val="nil"/>
          <w:right w:val="nil"/>
          <w:between w:val="nil"/>
        </w:pBdr>
        <w:spacing w:before="160"/>
      </w:pPr>
      <w:r>
        <w:t xml:space="preserve">Below is a time schedule for the entire project: </w:t>
      </w:r>
    </w:p>
    <w:p w:rsidR="00091A19" w14:paraId="000000D1" w14:textId="77777777">
      <w:pPr>
        <w:pStyle w:val="Normal2"/>
        <w:spacing w:before="160"/>
      </w:pPr>
      <w:bookmarkStart w:id="16" w:name="_GoBack"/>
      <w:bookmarkEnd w:id="16"/>
    </w:p>
    <w:tbl>
      <w:tblPr>
        <w:tblStyle w:val="afd"/>
        <w:tblW w:w="8880" w:type="dxa"/>
        <w:tblBorders>
          <w:top w:val="nil"/>
          <w:left w:val="nil"/>
          <w:bottom w:val="nil"/>
          <w:right w:val="nil"/>
          <w:insideH w:val="nil"/>
          <w:insideV w:val="nil"/>
        </w:tblBorders>
        <w:tblLayout w:type="fixed"/>
        <w:tblLook w:val="0600"/>
      </w:tblPr>
      <w:tblGrid>
        <w:gridCol w:w="3410"/>
        <w:gridCol w:w="990"/>
        <w:gridCol w:w="990"/>
        <w:gridCol w:w="1170"/>
        <w:gridCol w:w="1080"/>
        <w:gridCol w:w="1240"/>
      </w:tblGrid>
      <w:tr w14:paraId="0A944DB8" w14:textId="77777777" w:rsidTr="00806B6C">
        <w:tblPrEx>
          <w:tblW w:w="8880" w:type="dxa"/>
          <w:tblBorders>
            <w:top w:val="nil"/>
            <w:left w:val="nil"/>
            <w:bottom w:val="nil"/>
            <w:right w:val="nil"/>
            <w:insideH w:val="nil"/>
            <w:insideV w:val="nil"/>
          </w:tblBorders>
          <w:tblLayout w:type="fixed"/>
          <w:tblLook w:val="0600"/>
        </w:tblPrEx>
        <w:trPr>
          <w:trHeight w:val="374"/>
        </w:trPr>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91A19" w:rsidRPr="00806B6C" w14:paraId="000000D2" w14:textId="77777777">
            <w:pPr>
              <w:pStyle w:val="Normal2"/>
              <w:spacing w:line="276" w:lineRule="auto"/>
              <w:rPr>
                <w:rFonts w:asciiTheme="minorHAnsi" w:hAnsiTheme="minorHAnsi" w:cstheme="minorHAnsi"/>
                <w:sz w:val="18"/>
                <w:szCs w:val="18"/>
              </w:rPr>
            </w:pPr>
            <w:r w:rsidRPr="00806B6C">
              <w:rPr>
                <w:rFonts w:asciiTheme="minorHAnsi" w:hAnsiTheme="minorHAnsi" w:cstheme="minorHAnsi"/>
                <w:sz w:val="18"/>
                <w:szCs w:val="18"/>
              </w:rPr>
              <w:t>Milestones/Outcomes</w:t>
            </w: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091A19" w:rsidRPr="00806B6C" w14:paraId="000000D3"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8/21- 2/22</w:t>
            </w: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091A19" w:rsidRPr="00806B6C" w:rsidP="00806B6C" w14:paraId="000000D5" w14:textId="32BC12DF">
            <w:pPr>
              <w:pStyle w:val="Normal2"/>
              <w:rPr>
                <w:rFonts w:asciiTheme="minorHAnsi" w:hAnsiTheme="minorHAnsi" w:cstheme="minorHAnsi"/>
                <w:sz w:val="18"/>
                <w:szCs w:val="18"/>
              </w:rPr>
            </w:pPr>
            <w:r w:rsidRPr="00806B6C">
              <w:rPr>
                <w:rFonts w:asciiTheme="minorHAnsi" w:hAnsiTheme="minorHAnsi" w:cstheme="minorHAnsi"/>
                <w:sz w:val="18"/>
                <w:szCs w:val="18"/>
              </w:rPr>
              <w:t>2/22-6/22</w:t>
            </w:r>
          </w:p>
        </w:tc>
        <w:tc>
          <w:tcPr>
            <w:tcW w:w="1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091A19" w:rsidRPr="00806B6C" w:rsidP="00806B6C" w14:paraId="000000D7" w14:textId="55C7785E">
            <w:pPr>
              <w:pStyle w:val="Normal2"/>
              <w:rPr>
                <w:rFonts w:asciiTheme="minorHAnsi" w:hAnsiTheme="minorHAnsi" w:cstheme="minorHAnsi"/>
                <w:sz w:val="18"/>
                <w:szCs w:val="18"/>
              </w:rPr>
            </w:pPr>
            <w:r w:rsidRPr="00806B6C">
              <w:rPr>
                <w:rFonts w:asciiTheme="minorHAnsi" w:hAnsiTheme="minorHAnsi" w:cstheme="minorHAnsi"/>
                <w:sz w:val="18"/>
                <w:szCs w:val="18"/>
              </w:rPr>
              <w:t>7/22-12/22</w:t>
            </w:r>
          </w:p>
        </w:tc>
        <w:tc>
          <w:tcPr>
            <w:tcW w:w="1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091A19" w:rsidRPr="00806B6C" w:rsidP="00806B6C" w14:paraId="000000D9" w14:textId="44B79ADE">
            <w:pPr>
              <w:pStyle w:val="Normal2"/>
              <w:rPr>
                <w:rFonts w:asciiTheme="minorHAnsi" w:hAnsiTheme="minorHAnsi" w:cstheme="minorHAnsi"/>
                <w:sz w:val="18"/>
                <w:szCs w:val="18"/>
              </w:rPr>
            </w:pPr>
            <w:r w:rsidRPr="00806B6C">
              <w:rPr>
                <w:rFonts w:asciiTheme="minorHAnsi" w:hAnsiTheme="minorHAnsi" w:cstheme="minorHAnsi"/>
                <w:sz w:val="18"/>
                <w:szCs w:val="18"/>
              </w:rPr>
              <w:t>1/23-6/23</w:t>
            </w:r>
          </w:p>
        </w:tc>
        <w:tc>
          <w:tcPr>
            <w:tcW w:w="12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091A19" w:rsidRPr="00806B6C" w:rsidP="00806B6C" w14:paraId="000000DB" w14:textId="52F24061">
            <w:pPr>
              <w:pStyle w:val="Normal2"/>
              <w:rPr>
                <w:rFonts w:asciiTheme="minorHAnsi" w:hAnsiTheme="minorHAnsi" w:cstheme="minorHAnsi"/>
                <w:sz w:val="18"/>
                <w:szCs w:val="18"/>
              </w:rPr>
            </w:pPr>
            <w:r w:rsidRPr="00806B6C">
              <w:rPr>
                <w:rFonts w:asciiTheme="minorHAnsi" w:hAnsiTheme="minorHAnsi" w:cstheme="minorHAnsi"/>
                <w:sz w:val="18"/>
                <w:szCs w:val="18"/>
              </w:rPr>
              <w:t>6/23-8/23</w:t>
            </w:r>
          </w:p>
        </w:tc>
      </w:tr>
      <w:tr w14:paraId="76763BA5" w14:textId="77777777" w:rsidTr="00714C3D">
        <w:tblPrEx>
          <w:tblW w:w="8880" w:type="dxa"/>
          <w:tblLayout w:type="fixed"/>
          <w:tblLook w:val="0600"/>
        </w:tblPrEx>
        <w:trPr>
          <w:trHeight w:val="313"/>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91A19" w:rsidRPr="00806B6C" w14:paraId="000000DC"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1. Hire postdoc &amp; undergraduates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DD" w14:textId="77777777">
            <w:pPr>
              <w:pStyle w:val="Normal2"/>
              <w:jc w:val="center"/>
              <w:rPr>
                <w:rFonts w:asciiTheme="minorHAnsi" w:hAnsiTheme="minorHAnsi" w:cstheme="minorHAnsi"/>
                <w:sz w:val="18"/>
                <w:szCs w:val="18"/>
              </w:rPr>
            </w:pPr>
            <w:r w:rsidRPr="00806B6C">
              <w:rPr>
                <w:rFonts w:asciiTheme="minorHAnsi" w:hAnsiTheme="minorHAnsi" w:cstheme="minorHAnsi"/>
                <w:sz w:val="18"/>
                <w:szCs w:val="18"/>
              </w:rPr>
              <w:t>X</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DE"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DF"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E0"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w:t>
            </w:r>
          </w:p>
        </w:tc>
        <w:tc>
          <w:tcPr>
            <w:tcW w:w="124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E1" w14:textId="77777777">
            <w:pPr>
              <w:pStyle w:val="Normal2"/>
              <w:jc w:val="center"/>
              <w:rPr>
                <w:rFonts w:asciiTheme="minorHAnsi" w:hAnsiTheme="minorHAnsi" w:cstheme="minorHAnsi"/>
                <w:sz w:val="18"/>
                <w:szCs w:val="18"/>
              </w:rPr>
            </w:pPr>
            <w:r w:rsidRPr="00806B6C">
              <w:rPr>
                <w:rFonts w:asciiTheme="minorHAnsi" w:hAnsiTheme="minorHAnsi" w:cstheme="minorHAnsi"/>
                <w:sz w:val="18"/>
                <w:szCs w:val="18"/>
              </w:rPr>
              <w:t xml:space="preserve"> </w:t>
            </w:r>
          </w:p>
        </w:tc>
      </w:tr>
      <w:tr w14:paraId="30DB24CD" w14:textId="77777777" w:rsidTr="00806B6C">
        <w:tblPrEx>
          <w:tblW w:w="8880" w:type="dxa"/>
          <w:tblLayout w:type="fixed"/>
          <w:tblLook w:val="0600"/>
        </w:tblPrEx>
        <w:trPr>
          <w:trHeight w:val="439"/>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91A19" w:rsidRPr="00806B6C" w14:paraId="000000E2"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2. Design semi-structured interview instrument &amp; sampling strategy</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E3" w14:textId="77777777">
            <w:pPr>
              <w:pStyle w:val="Normal2"/>
              <w:jc w:val="center"/>
              <w:rPr>
                <w:rFonts w:asciiTheme="minorHAnsi" w:hAnsiTheme="minorHAnsi" w:cstheme="minorHAnsi"/>
                <w:sz w:val="18"/>
                <w:szCs w:val="18"/>
              </w:rPr>
            </w:pPr>
            <w:r w:rsidRPr="00806B6C">
              <w:rPr>
                <w:rFonts w:asciiTheme="minorHAnsi" w:hAnsiTheme="minorHAnsi" w:cstheme="minorHAnsi"/>
                <w:sz w:val="18"/>
                <w:szCs w:val="18"/>
              </w:rPr>
              <w:t>X</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E4"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E5"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E6"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w:t>
            </w:r>
          </w:p>
        </w:tc>
        <w:tc>
          <w:tcPr>
            <w:tcW w:w="124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E7" w14:textId="77777777">
            <w:pPr>
              <w:pStyle w:val="Normal2"/>
              <w:jc w:val="center"/>
              <w:rPr>
                <w:rFonts w:asciiTheme="minorHAnsi" w:hAnsiTheme="minorHAnsi" w:cstheme="minorHAnsi"/>
                <w:sz w:val="18"/>
                <w:szCs w:val="18"/>
              </w:rPr>
            </w:pPr>
            <w:r w:rsidRPr="00806B6C">
              <w:rPr>
                <w:rFonts w:asciiTheme="minorHAnsi" w:hAnsiTheme="minorHAnsi" w:cstheme="minorHAnsi"/>
                <w:sz w:val="18"/>
                <w:szCs w:val="18"/>
              </w:rPr>
              <w:t xml:space="preserve"> </w:t>
            </w:r>
          </w:p>
        </w:tc>
      </w:tr>
      <w:tr w14:paraId="621F89B0" w14:textId="77777777" w:rsidTr="00806B6C">
        <w:tblPrEx>
          <w:tblW w:w="8880" w:type="dxa"/>
          <w:tblLayout w:type="fixed"/>
          <w:tblLook w:val="0600"/>
        </w:tblPrEx>
        <w:trPr>
          <w:trHeight w:val="241"/>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91A19" w:rsidRPr="00806B6C" w14:paraId="000000E8"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3. IRB approvals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E9" w14:textId="77777777">
            <w:pPr>
              <w:pStyle w:val="Normal2"/>
              <w:jc w:val="center"/>
              <w:rPr>
                <w:rFonts w:asciiTheme="minorHAnsi" w:hAnsiTheme="minorHAnsi" w:cstheme="minorHAnsi"/>
                <w:sz w:val="18"/>
                <w:szCs w:val="18"/>
              </w:rPr>
            </w:pPr>
            <w:r w:rsidRPr="00806B6C">
              <w:rPr>
                <w:rFonts w:asciiTheme="minorHAnsi" w:hAnsiTheme="minorHAnsi" w:cstheme="minorHAnsi"/>
                <w:sz w:val="18"/>
                <w:szCs w:val="18"/>
              </w:rPr>
              <w:t>X</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EA"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EB"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EC"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w:t>
            </w:r>
          </w:p>
        </w:tc>
        <w:tc>
          <w:tcPr>
            <w:tcW w:w="124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ED" w14:textId="77777777">
            <w:pPr>
              <w:pStyle w:val="Normal2"/>
              <w:jc w:val="center"/>
              <w:rPr>
                <w:rFonts w:asciiTheme="minorHAnsi" w:hAnsiTheme="minorHAnsi" w:cstheme="minorHAnsi"/>
                <w:sz w:val="18"/>
                <w:szCs w:val="18"/>
              </w:rPr>
            </w:pPr>
            <w:r w:rsidRPr="00806B6C">
              <w:rPr>
                <w:rFonts w:asciiTheme="minorHAnsi" w:hAnsiTheme="minorHAnsi" w:cstheme="minorHAnsi"/>
                <w:sz w:val="18"/>
                <w:szCs w:val="18"/>
              </w:rPr>
              <w:t xml:space="preserve"> </w:t>
            </w:r>
          </w:p>
        </w:tc>
      </w:tr>
      <w:tr w14:paraId="6EF20E22" w14:textId="77777777" w:rsidTr="00806B6C">
        <w:tblPrEx>
          <w:tblW w:w="8880" w:type="dxa"/>
          <w:tblLayout w:type="fixed"/>
          <w:tblLook w:val="0600"/>
        </w:tblPrEx>
        <w:trPr>
          <w:trHeight w:val="619"/>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91A19" w:rsidRPr="00806B6C" w14:paraId="000000EE"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4. Develop database of emails for broadcast meteorologists and emergency managers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EF" w14:textId="77777777">
            <w:pPr>
              <w:pStyle w:val="Normal2"/>
              <w:jc w:val="center"/>
              <w:rPr>
                <w:rFonts w:asciiTheme="minorHAnsi" w:hAnsiTheme="minorHAnsi" w:cstheme="minorHAnsi"/>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F0"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X</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F1"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F2"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w:t>
            </w:r>
          </w:p>
        </w:tc>
        <w:tc>
          <w:tcPr>
            <w:tcW w:w="124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F3" w14:textId="77777777">
            <w:pPr>
              <w:pStyle w:val="Normal2"/>
              <w:jc w:val="center"/>
              <w:rPr>
                <w:rFonts w:asciiTheme="minorHAnsi" w:hAnsiTheme="minorHAnsi" w:cstheme="minorHAnsi"/>
                <w:sz w:val="18"/>
                <w:szCs w:val="18"/>
              </w:rPr>
            </w:pPr>
            <w:r w:rsidRPr="00806B6C">
              <w:rPr>
                <w:rFonts w:asciiTheme="minorHAnsi" w:hAnsiTheme="minorHAnsi" w:cstheme="minorHAnsi"/>
                <w:sz w:val="18"/>
                <w:szCs w:val="18"/>
              </w:rPr>
              <w:t xml:space="preserve"> </w:t>
            </w:r>
          </w:p>
        </w:tc>
      </w:tr>
      <w:tr w14:paraId="57152F74" w14:textId="77777777" w:rsidTr="00806B6C">
        <w:tblPrEx>
          <w:tblW w:w="8880" w:type="dxa"/>
          <w:tblLayout w:type="fixed"/>
          <w:tblLook w:val="0600"/>
        </w:tblPrEx>
        <w:trPr>
          <w:trHeight w:val="484"/>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91A19" w:rsidRPr="00806B6C" w14:paraId="000000F4"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5. Pilot interview with broadcast meteorologist and emergency manager</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F5" w14:textId="77777777">
            <w:pPr>
              <w:pStyle w:val="Normal2"/>
              <w:jc w:val="center"/>
              <w:rPr>
                <w:rFonts w:asciiTheme="minorHAnsi" w:hAnsiTheme="minorHAnsi" w:cstheme="minorHAnsi"/>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F6"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X</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F7"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F8"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w:t>
            </w:r>
          </w:p>
        </w:tc>
        <w:tc>
          <w:tcPr>
            <w:tcW w:w="124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F9" w14:textId="77777777">
            <w:pPr>
              <w:pStyle w:val="Normal2"/>
              <w:jc w:val="center"/>
              <w:rPr>
                <w:rFonts w:asciiTheme="minorHAnsi" w:hAnsiTheme="minorHAnsi" w:cstheme="minorHAnsi"/>
                <w:sz w:val="18"/>
                <w:szCs w:val="18"/>
              </w:rPr>
            </w:pPr>
            <w:r w:rsidRPr="00806B6C">
              <w:rPr>
                <w:rFonts w:asciiTheme="minorHAnsi" w:hAnsiTheme="minorHAnsi" w:cstheme="minorHAnsi"/>
                <w:sz w:val="18"/>
                <w:szCs w:val="18"/>
              </w:rPr>
              <w:t xml:space="preserve"> </w:t>
            </w:r>
          </w:p>
        </w:tc>
      </w:tr>
      <w:tr w14:paraId="62CA4DC7" w14:textId="77777777" w:rsidTr="00714C3D">
        <w:tblPrEx>
          <w:tblW w:w="8880" w:type="dxa"/>
          <w:tblLayout w:type="fixed"/>
          <w:tblLook w:val="0600"/>
        </w:tblPrEx>
        <w:trPr>
          <w:trHeight w:val="511"/>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91A19" w:rsidRPr="00806B6C" w:rsidP="00806B6C" w14:paraId="000000FB" w14:textId="17B13C9F">
            <w:pPr>
              <w:pStyle w:val="Normal2"/>
              <w:rPr>
                <w:rFonts w:asciiTheme="minorHAnsi" w:hAnsiTheme="minorHAnsi" w:cstheme="minorHAnsi"/>
                <w:sz w:val="18"/>
                <w:szCs w:val="18"/>
              </w:rPr>
            </w:pPr>
            <w:r w:rsidRPr="00806B6C">
              <w:rPr>
                <w:rFonts w:asciiTheme="minorHAnsi" w:hAnsiTheme="minorHAnsi" w:cstheme="minorHAnsi"/>
                <w:sz w:val="18"/>
                <w:szCs w:val="18"/>
              </w:rPr>
              <w:t>6. Submit research abstract to OMB</w:t>
            </w:r>
            <w:r w:rsidR="00806B6C">
              <w:rPr>
                <w:rFonts w:asciiTheme="minorHAnsi" w:hAnsiTheme="minorHAnsi" w:cstheme="minorHAnsi"/>
                <w:sz w:val="18"/>
                <w:szCs w:val="18"/>
              </w:rPr>
              <w:t xml:space="preserve"> </w:t>
            </w:r>
            <w:r w:rsidRPr="00806B6C">
              <w:rPr>
                <w:rFonts w:asciiTheme="minorHAnsi" w:hAnsiTheme="minorHAnsi" w:cstheme="minorHAnsi"/>
                <w:sz w:val="18"/>
                <w:szCs w:val="18"/>
              </w:rPr>
              <w:t>to begin 60-day open comment period.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FC" w14:textId="77777777">
            <w:pPr>
              <w:pStyle w:val="Normal2"/>
              <w:jc w:val="center"/>
              <w:rPr>
                <w:rFonts w:asciiTheme="minorHAnsi" w:hAnsiTheme="minorHAnsi" w:cstheme="minorHAnsi"/>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FD" w14:textId="77777777">
            <w:pPr>
              <w:pStyle w:val="Normal2"/>
              <w:rPr>
                <w:rFonts w:asciiTheme="minorHAnsi" w:hAnsiTheme="minorHAnsi" w:cstheme="minorHAnsi"/>
                <w:sz w:val="18"/>
                <w:szCs w:val="18"/>
              </w:rPr>
            </w:pPr>
          </w:p>
        </w:tc>
        <w:tc>
          <w:tcPr>
            <w:tcW w:w="117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FE"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X</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0FF" w14:textId="77777777">
            <w:pPr>
              <w:pStyle w:val="Normal2"/>
              <w:rPr>
                <w:rFonts w:asciiTheme="minorHAnsi" w:hAnsiTheme="minorHAnsi" w:cstheme="minorHAnsi"/>
                <w:sz w:val="18"/>
                <w:szCs w:val="18"/>
              </w:rPr>
            </w:pPr>
          </w:p>
        </w:tc>
        <w:tc>
          <w:tcPr>
            <w:tcW w:w="124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100" w14:textId="77777777">
            <w:pPr>
              <w:pStyle w:val="Normal2"/>
              <w:jc w:val="center"/>
              <w:rPr>
                <w:rFonts w:asciiTheme="minorHAnsi" w:hAnsiTheme="minorHAnsi" w:cstheme="minorHAnsi"/>
                <w:sz w:val="18"/>
                <w:szCs w:val="18"/>
              </w:rPr>
            </w:pPr>
          </w:p>
        </w:tc>
      </w:tr>
      <w:tr w14:paraId="0616C6EE" w14:textId="77777777" w:rsidTr="00806B6C">
        <w:tblPrEx>
          <w:tblW w:w="8880" w:type="dxa"/>
          <w:tblLayout w:type="fixed"/>
          <w:tblLook w:val="0600"/>
        </w:tblPrEx>
        <w:trPr>
          <w:trHeight w:val="755"/>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91A19" w:rsidRPr="00806B6C" w:rsidP="00714C3D" w14:paraId="00000102" w14:textId="6D4809D1">
            <w:pPr>
              <w:pStyle w:val="Normal2"/>
              <w:rPr>
                <w:rFonts w:asciiTheme="minorHAnsi" w:hAnsiTheme="minorHAnsi" w:cstheme="minorHAnsi"/>
                <w:sz w:val="18"/>
                <w:szCs w:val="18"/>
              </w:rPr>
            </w:pPr>
            <w:r w:rsidRPr="00806B6C">
              <w:rPr>
                <w:rFonts w:asciiTheme="minorHAnsi" w:hAnsiTheme="minorHAnsi" w:cstheme="minorHAnsi"/>
                <w:sz w:val="18"/>
                <w:szCs w:val="18"/>
              </w:rPr>
              <w:t>7. Submit research abstract to OMB</w:t>
            </w:r>
            <w:r w:rsidR="00714C3D">
              <w:rPr>
                <w:rFonts w:asciiTheme="minorHAnsi" w:hAnsiTheme="minorHAnsi" w:cstheme="minorHAnsi"/>
                <w:sz w:val="18"/>
                <w:szCs w:val="18"/>
              </w:rPr>
              <w:t xml:space="preserve"> </w:t>
            </w:r>
            <w:r w:rsidRPr="00806B6C">
              <w:rPr>
                <w:rFonts w:asciiTheme="minorHAnsi" w:hAnsiTheme="minorHAnsi" w:cstheme="minorHAnsi"/>
                <w:sz w:val="18"/>
                <w:szCs w:val="18"/>
              </w:rPr>
              <w:t>to begin 30-day open comment period. OMB approvals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103"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104" w14:textId="77777777">
            <w:pPr>
              <w:pStyle w:val="Normal2"/>
              <w:jc w:val="center"/>
              <w:rPr>
                <w:rFonts w:asciiTheme="minorHAnsi" w:hAnsiTheme="minorHAnsi" w:cstheme="minorHAnsi"/>
                <w:sz w:val="18"/>
                <w:szCs w:val="18"/>
              </w:rPr>
            </w:pPr>
          </w:p>
        </w:tc>
        <w:tc>
          <w:tcPr>
            <w:tcW w:w="117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105"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X</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106"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w:t>
            </w:r>
          </w:p>
        </w:tc>
        <w:tc>
          <w:tcPr>
            <w:tcW w:w="124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107" w14:textId="77777777">
            <w:pPr>
              <w:pStyle w:val="Normal2"/>
              <w:jc w:val="center"/>
              <w:rPr>
                <w:rFonts w:asciiTheme="minorHAnsi" w:hAnsiTheme="minorHAnsi" w:cstheme="minorHAnsi"/>
                <w:sz w:val="18"/>
                <w:szCs w:val="18"/>
              </w:rPr>
            </w:pPr>
            <w:r w:rsidRPr="00806B6C">
              <w:rPr>
                <w:rFonts w:asciiTheme="minorHAnsi" w:hAnsiTheme="minorHAnsi" w:cstheme="minorHAnsi"/>
                <w:sz w:val="18"/>
                <w:szCs w:val="18"/>
              </w:rPr>
              <w:t xml:space="preserve"> </w:t>
            </w:r>
          </w:p>
        </w:tc>
      </w:tr>
      <w:tr w14:paraId="32DA40B3" w14:textId="77777777" w:rsidTr="00714C3D">
        <w:tblPrEx>
          <w:tblW w:w="8880" w:type="dxa"/>
          <w:tblLayout w:type="fixed"/>
          <w:tblLook w:val="0600"/>
        </w:tblPrEx>
        <w:trPr>
          <w:trHeight w:val="286"/>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91A19" w:rsidRPr="00806B6C" w14:paraId="00000108"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8. Data collection integrating steps 1-5.</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109"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10A"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10B" w14:textId="77777777">
            <w:pPr>
              <w:pStyle w:val="Normal2"/>
              <w:jc w:val="center"/>
              <w:rPr>
                <w:rFonts w:asciiTheme="minorHAnsi" w:hAnsiTheme="minorHAnsi" w:cstheme="minorHAnsi"/>
                <w:sz w:val="18"/>
                <w:szCs w:val="18"/>
              </w:rPr>
            </w:pPr>
            <w:r w:rsidRPr="00806B6C">
              <w:rPr>
                <w:rFonts w:asciiTheme="minorHAnsi" w:hAnsiTheme="minorHAnsi" w:cstheme="minorHAnsi"/>
                <w:sz w:val="18"/>
                <w:szCs w:val="18"/>
              </w:rPr>
              <w:t>X</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10C"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w:t>
            </w:r>
          </w:p>
        </w:tc>
        <w:tc>
          <w:tcPr>
            <w:tcW w:w="124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10D" w14:textId="77777777">
            <w:pPr>
              <w:pStyle w:val="Normal2"/>
              <w:jc w:val="center"/>
              <w:rPr>
                <w:rFonts w:asciiTheme="minorHAnsi" w:hAnsiTheme="minorHAnsi" w:cstheme="minorHAnsi"/>
                <w:sz w:val="18"/>
                <w:szCs w:val="18"/>
              </w:rPr>
            </w:pPr>
            <w:r w:rsidRPr="00806B6C">
              <w:rPr>
                <w:rFonts w:asciiTheme="minorHAnsi" w:hAnsiTheme="minorHAnsi" w:cstheme="minorHAnsi"/>
                <w:sz w:val="18"/>
                <w:szCs w:val="18"/>
              </w:rPr>
              <w:t xml:space="preserve"> </w:t>
            </w:r>
          </w:p>
        </w:tc>
      </w:tr>
      <w:tr w14:paraId="79F0DB41" w14:textId="77777777" w:rsidTr="00714C3D">
        <w:tblPrEx>
          <w:tblW w:w="8880" w:type="dxa"/>
          <w:tblLayout w:type="fixed"/>
          <w:tblLook w:val="0600"/>
        </w:tblPrEx>
        <w:trPr>
          <w:trHeight w:val="439"/>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91A19" w:rsidRPr="00806B6C" w14:paraId="0000010E"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9. Continued data collection and analysis of data collected in Y1.</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10F"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110"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111" w14:textId="77777777">
            <w:pPr>
              <w:pStyle w:val="Normal2"/>
              <w:jc w:val="center"/>
              <w:rPr>
                <w:rFonts w:asciiTheme="minorHAnsi" w:hAnsiTheme="minorHAnsi" w:cstheme="minorHAnsi"/>
                <w:sz w:val="18"/>
                <w:szCs w:val="18"/>
              </w:rPr>
            </w:pPr>
            <w:r w:rsidRPr="00806B6C">
              <w:rPr>
                <w:rFonts w:asciiTheme="minorHAnsi" w:hAnsiTheme="minorHAnsi" w:cstheme="minorHAnsi"/>
                <w:sz w:val="18"/>
                <w:szCs w:val="18"/>
              </w:rPr>
              <w:t>X</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112"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X</w:t>
            </w:r>
          </w:p>
        </w:tc>
        <w:tc>
          <w:tcPr>
            <w:tcW w:w="124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113" w14:textId="77777777">
            <w:pPr>
              <w:pStyle w:val="Normal2"/>
              <w:jc w:val="center"/>
              <w:rPr>
                <w:rFonts w:asciiTheme="minorHAnsi" w:hAnsiTheme="minorHAnsi" w:cstheme="minorHAnsi"/>
                <w:sz w:val="18"/>
                <w:szCs w:val="18"/>
              </w:rPr>
            </w:pPr>
            <w:r w:rsidRPr="00806B6C">
              <w:rPr>
                <w:rFonts w:asciiTheme="minorHAnsi" w:hAnsiTheme="minorHAnsi" w:cstheme="minorHAnsi"/>
                <w:sz w:val="18"/>
                <w:szCs w:val="18"/>
              </w:rPr>
              <w:t xml:space="preserve"> </w:t>
            </w:r>
          </w:p>
        </w:tc>
      </w:tr>
      <w:tr w14:paraId="281850B7" w14:textId="77777777" w:rsidTr="00714C3D">
        <w:tblPrEx>
          <w:tblW w:w="8880" w:type="dxa"/>
          <w:tblLayout w:type="fixed"/>
          <w:tblLook w:val="0600"/>
        </w:tblPrEx>
        <w:trPr>
          <w:trHeight w:val="691"/>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91A19" w:rsidRPr="00806B6C" w14:paraId="00000114"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10. Discussion of R2O with collaborators in emergency management and broadcast meteorology</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115"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116"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117"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 xml:space="preserve"> </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118" w14:textId="77777777">
            <w:pPr>
              <w:pStyle w:val="Normal2"/>
              <w:jc w:val="center"/>
              <w:rPr>
                <w:rFonts w:asciiTheme="minorHAnsi" w:hAnsiTheme="minorHAnsi" w:cstheme="minorHAnsi"/>
                <w:sz w:val="18"/>
                <w:szCs w:val="18"/>
              </w:rPr>
            </w:pPr>
            <w:r w:rsidRPr="00806B6C">
              <w:rPr>
                <w:rFonts w:asciiTheme="minorHAnsi" w:hAnsiTheme="minorHAnsi" w:cstheme="minorHAnsi"/>
                <w:sz w:val="18"/>
                <w:szCs w:val="18"/>
              </w:rPr>
              <w:t>X</w:t>
            </w:r>
          </w:p>
        </w:tc>
        <w:tc>
          <w:tcPr>
            <w:tcW w:w="124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119" w14:textId="77777777">
            <w:pPr>
              <w:pStyle w:val="Normal2"/>
              <w:jc w:val="center"/>
              <w:rPr>
                <w:rFonts w:asciiTheme="minorHAnsi" w:hAnsiTheme="minorHAnsi" w:cstheme="minorHAnsi"/>
                <w:sz w:val="18"/>
                <w:szCs w:val="18"/>
              </w:rPr>
            </w:pPr>
            <w:r w:rsidRPr="00806B6C">
              <w:rPr>
                <w:rFonts w:asciiTheme="minorHAnsi" w:hAnsiTheme="minorHAnsi" w:cstheme="minorHAnsi"/>
                <w:sz w:val="18"/>
                <w:szCs w:val="18"/>
              </w:rPr>
              <w:t xml:space="preserve"> </w:t>
            </w:r>
          </w:p>
        </w:tc>
      </w:tr>
      <w:tr w14:paraId="47DD38F3" w14:textId="77777777" w:rsidTr="00806B6C">
        <w:tblPrEx>
          <w:tblW w:w="8880" w:type="dxa"/>
          <w:tblLayout w:type="fixed"/>
          <w:tblLook w:val="0600"/>
        </w:tblPrEx>
        <w:trPr>
          <w:trHeight w:val="485"/>
        </w:trPr>
        <w:tc>
          <w:tcPr>
            <w:tcW w:w="3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91A19" w:rsidRPr="00806B6C" w14:paraId="0000011A" w14:textId="77777777">
            <w:pPr>
              <w:pStyle w:val="Normal2"/>
              <w:rPr>
                <w:rFonts w:asciiTheme="minorHAnsi" w:hAnsiTheme="minorHAnsi" w:cstheme="minorHAnsi"/>
                <w:sz w:val="18"/>
                <w:szCs w:val="18"/>
              </w:rPr>
            </w:pPr>
            <w:r w:rsidRPr="00806B6C">
              <w:rPr>
                <w:rFonts w:asciiTheme="minorHAnsi" w:hAnsiTheme="minorHAnsi" w:cstheme="minorHAnsi"/>
                <w:sz w:val="18"/>
                <w:szCs w:val="18"/>
              </w:rPr>
              <w:t>11. Publication, conference presentations (AMS, NWA)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11B" w14:textId="77777777">
            <w:pPr>
              <w:pStyle w:val="Normal2"/>
              <w:jc w:val="center"/>
              <w:rPr>
                <w:rFonts w:asciiTheme="minorHAnsi" w:hAnsiTheme="minorHAnsi" w:cstheme="minorHAnsi"/>
                <w:sz w:val="18"/>
                <w:szCs w:val="18"/>
              </w:rPr>
            </w:pPr>
            <w:r w:rsidRPr="00806B6C">
              <w:rPr>
                <w:rFonts w:asciiTheme="minorHAnsi" w:hAnsiTheme="minorHAnsi" w:cstheme="minorHAnsi"/>
                <w:sz w:val="18"/>
                <w:szCs w:val="18"/>
              </w:rP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11C" w14:textId="77777777">
            <w:pPr>
              <w:pStyle w:val="Normal2"/>
              <w:jc w:val="center"/>
              <w:rPr>
                <w:rFonts w:asciiTheme="minorHAnsi" w:hAnsiTheme="minorHAnsi" w:cstheme="minorHAnsi"/>
                <w:sz w:val="18"/>
                <w:szCs w:val="18"/>
              </w:rPr>
            </w:pPr>
            <w:r w:rsidRPr="00806B6C">
              <w:rPr>
                <w:rFonts w:asciiTheme="minorHAnsi" w:hAnsiTheme="minorHAnsi" w:cstheme="minorHAnsi"/>
                <w:sz w:val="18"/>
                <w:szCs w:val="18"/>
              </w:rPr>
              <w:t xml:space="preserve"> </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11D" w14:textId="77777777">
            <w:pPr>
              <w:pStyle w:val="Normal2"/>
              <w:jc w:val="center"/>
              <w:rPr>
                <w:rFonts w:asciiTheme="minorHAnsi" w:hAnsiTheme="minorHAnsi" w:cstheme="minorHAnsi"/>
                <w:sz w:val="18"/>
                <w:szCs w:val="18"/>
              </w:rPr>
            </w:pPr>
            <w:r w:rsidRPr="00806B6C">
              <w:rPr>
                <w:rFonts w:asciiTheme="minorHAnsi" w:hAnsiTheme="minorHAnsi" w:cstheme="minorHAnsi"/>
                <w:sz w:val="18"/>
                <w:szCs w:val="18"/>
              </w:rPr>
              <w:t xml:space="preserve"> </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11E" w14:textId="77777777">
            <w:pPr>
              <w:pStyle w:val="Normal2"/>
              <w:jc w:val="center"/>
              <w:rPr>
                <w:rFonts w:asciiTheme="minorHAnsi" w:hAnsiTheme="minorHAnsi" w:cstheme="minorHAnsi"/>
                <w:sz w:val="18"/>
                <w:szCs w:val="18"/>
              </w:rPr>
            </w:pPr>
            <w:r w:rsidRPr="00806B6C">
              <w:rPr>
                <w:rFonts w:asciiTheme="minorHAnsi" w:hAnsiTheme="minorHAnsi" w:cstheme="minorHAnsi"/>
                <w:sz w:val="18"/>
                <w:szCs w:val="18"/>
              </w:rPr>
              <w:t xml:space="preserve">X </w:t>
            </w:r>
          </w:p>
        </w:tc>
        <w:tc>
          <w:tcPr>
            <w:tcW w:w="1240" w:type="dxa"/>
            <w:tcBorders>
              <w:top w:val="nil"/>
              <w:left w:val="nil"/>
              <w:bottom w:val="single" w:sz="8" w:space="0" w:color="000000"/>
              <w:right w:val="single" w:sz="8" w:space="0" w:color="000000"/>
            </w:tcBorders>
            <w:tcMar>
              <w:top w:w="100" w:type="dxa"/>
              <w:left w:w="100" w:type="dxa"/>
              <w:bottom w:w="100" w:type="dxa"/>
              <w:right w:w="100" w:type="dxa"/>
            </w:tcMar>
          </w:tcPr>
          <w:p w:rsidR="00091A19" w:rsidRPr="00806B6C" w14:paraId="0000011F" w14:textId="77777777">
            <w:pPr>
              <w:pStyle w:val="Normal2"/>
              <w:jc w:val="center"/>
              <w:rPr>
                <w:rFonts w:asciiTheme="minorHAnsi" w:hAnsiTheme="minorHAnsi" w:cstheme="minorHAnsi"/>
                <w:sz w:val="18"/>
                <w:szCs w:val="18"/>
              </w:rPr>
            </w:pPr>
            <w:r w:rsidRPr="00806B6C">
              <w:rPr>
                <w:rFonts w:asciiTheme="minorHAnsi" w:hAnsiTheme="minorHAnsi" w:cstheme="minorHAnsi"/>
                <w:sz w:val="18"/>
                <w:szCs w:val="18"/>
              </w:rPr>
              <w:t>X</w:t>
            </w:r>
          </w:p>
        </w:tc>
      </w:tr>
    </w:tbl>
    <w:p w:rsidR="00091A19" w14:paraId="00000120" w14:textId="77777777">
      <w:pPr>
        <w:pStyle w:val="Normal2"/>
        <w:pBdr>
          <w:top w:val="nil"/>
          <w:left w:val="nil"/>
          <w:bottom w:val="nil"/>
          <w:right w:val="nil"/>
          <w:between w:val="nil"/>
        </w:pBdr>
        <w:spacing w:before="160"/>
      </w:pPr>
    </w:p>
    <w:p w:rsidR="00091A19" w:rsidRPr="00DE50B3" w14:paraId="00000121" w14:textId="77777777">
      <w:pPr>
        <w:pStyle w:val="heading22"/>
        <w:numPr>
          <w:ilvl w:val="0"/>
          <w:numId w:val="1"/>
        </w:numPr>
        <w:tabs>
          <w:tab w:val="left" w:pos="360"/>
        </w:tabs>
        <w:spacing w:before="80"/>
        <w:rPr>
          <w:sz w:val="24"/>
          <w:szCs w:val="24"/>
        </w:rPr>
      </w:pPr>
      <w:bookmarkStart w:id="17" w:name="_heading=h.lfomzwp4mas2" w:colFirst="0" w:colLast="0"/>
      <w:bookmarkEnd w:id="17"/>
      <w:r w:rsidRPr="00DE50B3">
        <w:rPr>
          <w:sz w:val="24"/>
          <w:szCs w:val="24"/>
        </w:rPr>
        <w:t>If seeking approval to not display the expiration date for OMB approval of the information collection, explain the reasons that display would be inappropriate.</w:t>
      </w:r>
    </w:p>
    <w:p w:rsidR="00091A19" w14:paraId="00000122" w14:textId="77777777">
      <w:pPr>
        <w:pStyle w:val="Normal2"/>
        <w:spacing w:before="161"/>
      </w:pPr>
      <w:r>
        <w:t>The agency plans to display the expiration date for OMB approval of the information collection on all instruments.</w:t>
      </w:r>
    </w:p>
    <w:p w:rsidR="00091A19" w14:paraId="00000123" w14:textId="77777777">
      <w:pPr>
        <w:pStyle w:val="Normal2"/>
        <w:spacing w:before="161"/>
      </w:pPr>
    </w:p>
    <w:p w:rsidR="00091A19" w:rsidRPr="00DE50B3" w14:paraId="00000124" w14:textId="77777777">
      <w:pPr>
        <w:pStyle w:val="heading22"/>
        <w:numPr>
          <w:ilvl w:val="0"/>
          <w:numId w:val="1"/>
        </w:numPr>
        <w:tabs>
          <w:tab w:val="left" w:pos="360"/>
        </w:tabs>
        <w:spacing w:before="80"/>
        <w:rPr>
          <w:sz w:val="24"/>
          <w:szCs w:val="24"/>
        </w:rPr>
      </w:pPr>
      <w:bookmarkStart w:id="18" w:name="_heading=h.od86ecbpybry" w:colFirst="0" w:colLast="0"/>
      <w:bookmarkEnd w:id="18"/>
      <w:r w:rsidRPr="00DE50B3">
        <w:rPr>
          <w:sz w:val="24"/>
          <w:szCs w:val="24"/>
        </w:rPr>
        <w:t>Explain each exception to the certification statement identified in “Certification for Paperwork Reduction Act Submissions."</w:t>
      </w:r>
    </w:p>
    <w:p w:rsidR="00091A19" w14:paraId="00000125" w14:textId="77777777">
      <w:pPr>
        <w:pStyle w:val="Normal2"/>
        <w:spacing w:before="221" w:line="259" w:lineRule="auto"/>
        <w:jc w:val="both"/>
        <w:rPr>
          <w:color w:val="1F497D"/>
        </w:rPr>
      </w:pPr>
      <w:r>
        <w:t xml:space="preserve">The agency certifies compliance with </w:t>
      </w:r>
      <w:hyperlink r:id="rId9">
        <w:r>
          <w:rPr>
            <w:color w:val="0563C1"/>
            <w:u w:val="single"/>
          </w:rPr>
          <w:t>5 CFR 1320.9</w:t>
        </w:r>
      </w:hyperlink>
      <w:hyperlink r:id="rId9">
        <w:r>
          <w:rPr>
            <w:color w:val="0563C1"/>
          </w:rPr>
          <w:t xml:space="preserve"> </w:t>
        </w:r>
      </w:hyperlink>
      <w:r>
        <w:t xml:space="preserve">and the related provisions of </w:t>
      </w:r>
      <w:hyperlink r:id="rId10">
        <w:r>
          <w:rPr>
            <w:color w:val="0563C1"/>
            <w:u w:val="single"/>
          </w:rPr>
          <w:t>5 CFR</w:t>
        </w:r>
      </w:hyperlink>
      <w:r>
        <w:rPr>
          <w:color w:val="0563C1"/>
        </w:rPr>
        <w:t xml:space="preserve"> </w:t>
      </w:r>
      <w:hyperlink r:id="rId10">
        <w:r>
          <w:rPr>
            <w:color w:val="0563C1"/>
            <w:u w:val="single"/>
          </w:rPr>
          <w:t>1320.8(b)(3)</w:t>
        </w:r>
      </w:hyperlink>
      <w:r>
        <w:t>.</w:t>
      </w:r>
    </w:p>
    <w:sectPr>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1A19" w14:paraId="00000126" w14:textId="3DA59897">
    <w:pPr>
      <w:pStyle w:val="Normal2"/>
      <w:pBdr>
        <w:top w:val="nil"/>
        <w:left w:val="nil"/>
        <w:bottom w:val="nil"/>
        <w:right w:val="nil"/>
        <w:between w:val="nil"/>
      </w:pBdr>
      <w:spacing w:line="14" w:lineRule="auto"/>
      <w:jc w:val="right"/>
      <w:rPr>
        <w:color w:val="000000"/>
        <w:sz w:val="20"/>
        <w:szCs w:val="20"/>
      </w:rPr>
    </w:pPr>
    <w:r>
      <w:rPr>
        <w:sz w:val="20"/>
        <w:szCs w:val="20"/>
      </w:rPr>
      <w:fldChar w:fldCharType="begin"/>
    </w:r>
    <w:r>
      <w:rPr>
        <w:sz w:val="20"/>
        <w:szCs w:val="20"/>
      </w:rPr>
      <w:instrText>PAGE</w:instrText>
    </w:r>
    <w:r>
      <w:rPr>
        <w:sz w:val="20"/>
        <w:szCs w:val="20"/>
      </w:rPr>
      <w:fldChar w:fldCharType="separate"/>
    </w:r>
    <w:r w:rsidR="00714C3D">
      <w:rPr>
        <w:noProof/>
        <w:sz w:val="20"/>
        <w:szCs w:val="20"/>
      </w:rPr>
      <w:t>6</w:t>
    </w:r>
    <w:r>
      <w:rP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BA86897"/>
    <w:multiLevelType w:val="multilevel"/>
    <w:tmpl w:val="7A569362"/>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A19"/>
    <w:rsid w:val="00091A19"/>
    <w:rsid w:val="003C6499"/>
    <w:rsid w:val="00714C3D"/>
    <w:rsid w:val="00806B6C"/>
    <w:rsid w:val="00DE50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1D7801"/>
  <w15:docId w15:val="{A2529434-314F-438E-970A-93840324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80"/>
      <w:ind w:left="40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spacing w:before="80"/>
      <w:ind w:left="400"/>
    </w:pPr>
    <w:rPr>
      <w:b/>
    </w:rPr>
  </w:style>
  <w:style w:type="paragraph" w:customStyle="1" w:styleId="heading20">
    <w:name w:val="heading 20"/>
    <w:basedOn w:val="Normal0"/>
    <w:next w:val="Normal0"/>
    <w:pPr>
      <w:keepNext/>
      <w:keepLines/>
      <w:tabs>
        <w:tab w:val="left" w:pos="0"/>
      </w:tabs>
      <w:spacing w:before="182" w:line="259" w:lineRule="auto"/>
      <w:ind w:left="360"/>
    </w:pPr>
    <w:rPr>
      <w:b/>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rPr>
  </w:style>
  <w:style w:type="paragraph" w:customStyle="1" w:styleId="heading50">
    <w:name w:val="heading 50"/>
    <w:basedOn w:val="Normal0"/>
    <w:next w:val="Normal0"/>
    <w:pPr>
      <w:keepNext/>
      <w:keepLines/>
      <w:spacing w:before="220" w:after="40"/>
    </w:pPr>
    <w:rPr>
      <w:b/>
      <w:sz w:val="22"/>
      <w:szCs w:val="22"/>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style>
  <w:style w:type="table" w:customStyle="1" w:styleId="NormalTable1">
    <w:name w:val="Normal Table1"/>
    <w:tblPr>
      <w:tblCellMar>
        <w:top w:w="0" w:type="dxa"/>
        <w:left w:w="0" w:type="dxa"/>
        <w:bottom w:w="0" w:type="dxa"/>
        <w:right w:w="0" w:type="dxa"/>
      </w:tblCellMar>
    </w:tblPr>
  </w:style>
  <w:style w:type="paragraph" w:customStyle="1" w:styleId="heading11">
    <w:name w:val="heading 11"/>
    <w:basedOn w:val="Normal1"/>
    <w:next w:val="Normal1"/>
    <w:pPr>
      <w:spacing w:before="80"/>
      <w:ind w:left="400"/>
    </w:pPr>
    <w:rPr>
      <w:b/>
    </w:rPr>
  </w:style>
  <w:style w:type="paragraph" w:customStyle="1" w:styleId="heading21">
    <w:name w:val="heading 21"/>
    <w:basedOn w:val="Normal1"/>
    <w:next w:val="Normal1"/>
    <w:pPr>
      <w:keepNext/>
      <w:keepLines/>
      <w:spacing w:before="360" w:after="80"/>
    </w:pPr>
    <w:rPr>
      <w:b/>
      <w:sz w:val="36"/>
      <w:szCs w:val="36"/>
    </w:rPr>
  </w:style>
  <w:style w:type="paragraph" w:customStyle="1" w:styleId="heading31">
    <w:name w:val="heading 31"/>
    <w:basedOn w:val="Normal1"/>
    <w:next w:val="Normal1"/>
    <w:pPr>
      <w:keepNext/>
      <w:keepLines/>
      <w:spacing w:before="280" w:after="80"/>
    </w:pPr>
    <w:rPr>
      <w:b/>
      <w:sz w:val="28"/>
      <w:szCs w:val="28"/>
    </w:rPr>
  </w:style>
  <w:style w:type="paragraph" w:customStyle="1" w:styleId="heading41">
    <w:name w:val="heading 41"/>
    <w:basedOn w:val="Normal1"/>
    <w:next w:val="Normal1"/>
    <w:pPr>
      <w:keepNext/>
      <w:keepLines/>
      <w:spacing w:before="240" w:after="40"/>
    </w:pPr>
    <w:rPr>
      <w:b/>
    </w:rPr>
  </w:style>
  <w:style w:type="paragraph" w:customStyle="1" w:styleId="heading51">
    <w:name w:val="heading 51"/>
    <w:basedOn w:val="Normal1"/>
    <w:next w:val="Normal1"/>
    <w:pPr>
      <w:keepNext/>
      <w:keepLines/>
      <w:spacing w:before="220" w:after="40"/>
    </w:pPr>
    <w:rPr>
      <w:b/>
      <w:sz w:val="22"/>
      <w:szCs w:val="22"/>
    </w:rPr>
  </w:style>
  <w:style w:type="paragraph" w:customStyle="1" w:styleId="heading61">
    <w:name w:val="heading 61"/>
    <w:basedOn w:val="Normal1"/>
    <w:next w:val="Normal1"/>
    <w:pPr>
      <w:keepNext/>
      <w:keepLines/>
      <w:spacing w:before="200" w:after="40"/>
    </w:pPr>
    <w:rPr>
      <w:b/>
      <w:sz w:val="20"/>
      <w:szCs w:val="20"/>
    </w:rPr>
  </w:style>
  <w:style w:type="paragraph" w:customStyle="1" w:styleId="Title1">
    <w:name w:val="Title1"/>
    <w:basedOn w:val="Normal1"/>
    <w:next w:val="Normal1"/>
    <w:pPr>
      <w:keepNext/>
      <w:keepLines/>
      <w:spacing w:before="480" w:after="120"/>
    </w:pPr>
    <w:rPr>
      <w:b/>
      <w:sz w:val="72"/>
      <w:szCs w:val="72"/>
    </w:rPr>
  </w:style>
  <w:style w:type="paragraph" w:customStyle="1" w:styleId="Normal2">
    <w:name w:val="Normal2"/>
    <w:qFormat/>
  </w:style>
  <w:style w:type="paragraph" w:customStyle="1" w:styleId="heading12">
    <w:name w:val="heading 12"/>
    <w:basedOn w:val="Normal2"/>
    <w:uiPriority w:val="9"/>
    <w:qFormat/>
    <w:pPr>
      <w:spacing w:before="80"/>
      <w:ind w:left="400"/>
      <w:outlineLvl w:val="0"/>
    </w:pPr>
    <w:rPr>
      <w:b/>
      <w:bCs/>
    </w:rPr>
  </w:style>
  <w:style w:type="paragraph" w:customStyle="1" w:styleId="heading22">
    <w:name w:val="heading 22"/>
    <w:basedOn w:val="Normal2"/>
    <w:next w:val="Normal2"/>
    <w:uiPriority w:val="9"/>
    <w:semiHidden/>
    <w:unhideWhenUsed/>
    <w:qFormat/>
    <w:pPr>
      <w:keepNext/>
      <w:keepLines/>
      <w:spacing w:before="360" w:after="80"/>
      <w:outlineLvl w:val="1"/>
    </w:pPr>
    <w:rPr>
      <w:b/>
      <w:sz w:val="36"/>
      <w:szCs w:val="36"/>
    </w:rPr>
  </w:style>
  <w:style w:type="paragraph" w:customStyle="1" w:styleId="heading32">
    <w:name w:val="heading 32"/>
    <w:basedOn w:val="Normal2"/>
    <w:next w:val="Normal2"/>
    <w:uiPriority w:val="9"/>
    <w:semiHidden/>
    <w:unhideWhenUsed/>
    <w:qFormat/>
    <w:pPr>
      <w:keepNext/>
      <w:keepLines/>
      <w:spacing w:before="280" w:after="80"/>
      <w:outlineLvl w:val="2"/>
    </w:pPr>
    <w:rPr>
      <w:b/>
      <w:sz w:val="28"/>
      <w:szCs w:val="28"/>
    </w:rPr>
  </w:style>
  <w:style w:type="paragraph" w:customStyle="1" w:styleId="heading42">
    <w:name w:val="heading 42"/>
    <w:basedOn w:val="Normal2"/>
    <w:next w:val="Normal2"/>
    <w:uiPriority w:val="9"/>
    <w:semiHidden/>
    <w:unhideWhenUsed/>
    <w:qFormat/>
    <w:pPr>
      <w:keepNext/>
      <w:keepLines/>
      <w:spacing w:before="240" w:after="40"/>
      <w:outlineLvl w:val="3"/>
    </w:pPr>
    <w:rPr>
      <w:b/>
    </w:rPr>
  </w:style>
  <w:style w:type="paragraph" w:customStyle="1" w:styleId="heading52">
    <w:name w:val="heading 52"/>
    <w:basedOn w:val="Normal2"/>
    <w:next w:val="Normal2"/>
    <w:uiPriority w:val="9"/>
    <w:semiHidden/>
    <w:unhideWhenUsed/>
    <w:qFormat/>
    <w:pPr>
      <w:keepNext/>
      <w:keepLines/>
      <w:spacing w:before="220" w:after="40"/>
      <w:outlineLvl w:val="4"/>
    </w:pPr>
    <w:rPr>
      <w:b/>
      <w:sz w:val="22"/>
      <w:szCs w:val="22"/>
    </w:rPr>
  </w:style>
  <w:style w:type="paragraph" w:customStyle="1" w:styleId="heading62">
    <w:name w:val="heading 62"/>
    <w:basedOn w:val="Normal2"/>
    <w:next w:val="Normal2"/>
    <w:uiPriority w:val="9"/>
    <w:semiHidden/>
    <w:unhideWhenUsed/>
    <w:qFormat/>
    <w:pPr>
      <w:keepNext/>
      <w:keepLines/>
      <w:spacing w:before="200" w:after="40"/>
      <w:outlineLvl w:val="5"/>
    </w:pPr>
    <w:rPr>
      <w:b/>
      <w:sz w:val="20"/>
      <w:szCs w:val="20"/>
    </w:rPr>
  </w:style>
  <w:style w:type="table" w:customStyle="1" w:styleId="NormalTable2">
    <w:name w:val="Normal Table2"/>
    <w:uiPriority w:val="99"/>
    <w:semiHidden/>
    <w:unhideWhenUsed/>
    <w:tblPr>
      <w:tblInd w:w="0" w:type="dxa"/>
      <w:tblCellMar>
        <w:top w:w="0" w:type="dxa"/>
        <w:left w:w="108" w:type="dxa"/>
        <w:bottom w:w="0" w:type="dxa"/>
        <w:right w:w="108" w:type="dxa"/>
      </w:tblCellMar>
    </w:tblPr>
  </w:style>
  <w:style w:type="paragraph" w:customStyle="1" w:styleId="Title2">
    <w:name w:val="Title2"/>
    <w:basedOn w:val="Normal2"/>
    <w:next w:val="Normal2"/>
    <w:uiPriority w:val="10"/>
    <w:qFormat/>
    <w:pPr>
      <w:keepNext/>
      <w:keepLines/>
      <w:spacing w:before="480" w:after="120"/>
    </w:pPr>
    <w:rPr>
      <w:b/>
      <w:sz w:val="72"/>
      <w:szCs w:val="72"/>
    </w:rPr>
  </w:style>
  <w:style w:type="paragraph" w:styleId="BodyText">
    <w:name w:val="Body Text"/>
    <w:basedOn w:val="Normal2"/>
    <w:uiPriority w:val="1"/>
    <w:qFormat/>
    <w:pPr>
      <w:spacing w:before="161"/>
      <w:ind w:left="400"/>
    </w:pPr>
  </w:style>
  <w:style w:type="paragraph" w:styleId="ListParagraph">
    <w:name w:val="List Paragraph"/>
    <w:basedOn w:val="Normal2"/>
    <w:uiPriority w:val="1"/>
    <w:qFormat/>
    <w:pPr>
      <w:spacing w:before="161"/>
      <w:ind w:left="1120" w:hanging="360"/>
    </w:pPr>
  </w:style>
  <w:style w:type="paragraph" w:customStyle="1" w:styleId="TableParagraph">
    <w:name w:val="Table Paragraph"/>
    <w:basedOn w:val="Normal2"/>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2"/>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2"/>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2"/>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2"/>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2"/>
    <w:next w:val="Normal2"/>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NormalTable2"/>
    <w:tblPr>
      <w:tblStyleRowBandSize w:val="1"/>
      <w:tblStyleColBandSize w:val="1"/>
      <w:tblCellMar>
        <w:left w:w="0" w:type="dxa"/>
        <w:right w:w="0" w:type="dxa"/>
      </w:tblCellMar>
    </w:tblPr>
  </w:style>
  <w:style w:type="table" w:customStyle="1" w:styleId="a0">
    <w:name w:val="a0"/>
    <w:basedOn w:val="NormalTable2"/>
    <w:tblPr>
      <w:tblStyleRowBandSize w:val="1"/>
      <w:tblStyleColBandSize w:val="1"/>
      <w:tblCellMar>
        <w:left w:w="115" w:type="dxa"/>
        <w:right w:w="115" w:type="dxa"/>
      </w:tblCellMar>
    </w:tblPr>
  </w:style>
  <w:style w:type="table" w:customStyle="1" w:styleId="a1">
    <w:name w:val="a1"/>
    <w:basedOn w:val="NormalTable2"/>
    <w:tblPr>
      <w:tblStyleRowBandSize w:val="1"/>
      <w:tblStyleColBandSize w:val="1"/>
      <w:tblCellMar>
        <w:left w:w="115" w:type="dxa"/>
        <w:right w:w="115" w:type="dxa"/>
      </w:tblCellMar>
    </w:tblPr>
  </w:style>
  <w:style w:type="table" w:customStyle="1" w:styleId="a2">
    <w:name w:val="a2"/>
    <w:basedOn w:val="NormalTable2"/>
    <w:tblPr>
      <w:tblStyleRowBandSize w:val="1"/>
      <w:tblStyleColBandSize w:val="1"/>
      <w:tblCellMar>
        <w:left w:w="115" w:type="dxa"/>
        <w:right w:w="115" w:type="dxa"/>
      </w:tblCellMar>
    </w:tblPr>
  </w:style>
  <w:style w:type="table" w:customStyle="1" w:styleId="a3">
    <w:name w:val="a3"/>
    <w:basedOn w:val="NormalTable2"/>
    <w:tblPr>
      <w:tblStyleRowBandSize w:val="1"/>
      <w:tblStyleColBandSize w:val="1"/>
      <w:tblCellMar>
        <w:left w:w="115" w:type="dxa"/>
        <w:right w:w="115" w:type="dxa"/>
      </w:tblCellMar>
    </w:tblPr>
  </w:style>
  <w:style w:type="table" w:customStyle="1" w:styleId="a4">
    <w:name w:val="a4"/>
    <w:basedOn w:val="NormalTable2"/>
    <w:tblPr>
      <w:tblStyleRowBandSize w:val="1"/>
      <w:tblStyleColBandSize w:val="1"/>
      <w:tblCellMar>
        <w:left w:w="115" w:type="dxa"/>
        <w:right w:w="115" w:type="dxa"/>
      </w:tblCellMar>
    </w:tblPr>
  </w:style>
  <w:style w:type="table" w:customStyle="1" w:styleId="a5">
    <w:name w:val="a5"/>
    <w:basedOn w:val="NormalTable2"/>
    <w:tblPr>
      <w:tblStyleRowBandSize w:val="1"/>
      <w:tblStyleColBandSize w:val="1"/>
      <w:tblCellMar>
        <w:left w:w="0" w:type="dxa"/>
        <w:right w:w="0" w:type="dxa"/>
      </w:tblCellMar>
    </w:tblPr>
  </w:style>
  <w:style w:type="paragraph" w:customStyle="1" w:styleId="Subtitle0">
    <w:name w:val="Subtitle0"/>
    <w:basedOn w:val="Normal2"/>
    <w:next w:val="Normal2"/>
    <w:pPr>
      <w:keepNext/>
      <w:keepLines/>
      <w:spacing w:before="360" w:after="80"/>
    </w:pPr>
    <w:rPr>
      <w:rFonts w:ascii="Georgia" w:eastAsia="Georgia" w:hAnsi="Georgia" w:cs="Georgia"/>
      <w:i/>
      <w:color w:val="666666"/>
      <w:sz w:val="48"/>
      <w:szCs w:val="48"/>
    </w:rPr>
  </w:style>
  <w:style w:type="table" w:customStyle="1" w:styleId="a6">
    <w:name w:val="a6"/>
    <w:basedOn w:val="NormalTable2"/>
    <w:tblPr>
      <w:tblStyleRowBandSize w:val="1"/>
      <w:tblStyleColBandSize w:val="1"/>
      <w:tblCellMar>
        <w:left w:w="0" w:type="dxa"/>
        <w:right w:w="0" w:type="dxa"/>
      </w:tblCellMar>
    </w:tblPr>
  </w:style>
  <w:style w:type="table" w:customStyle="1" w:styleId="a7">
    <w:name w:val="a7"/>
    <w:basedOn w:val="NormalTable2"/>
    <w:tblPr>
      <w:tblStyleRowBandSize w:val="1"/>
      <w:tblStyleColBandSize w:val="1"/>
      <w:tblCellMar>
        <w:left w:w="0" w:type="dxa"/>
        <w:right w:w="0" w:type="dxa"/>
      </w:tblCellMar>
    </w:tblPr>
  </w:style>
  <w:style w:type="table" w:customStyle="1" w:styleId="a8">
    <w:name w:val="a8"/>
    <w:basedOn w:val="NormalTable2"/>
    <w:tblPr>
      <w:tblStyleRowBandSize w:val="1"/>
      <w:tblStyleColBandSize w:val="1"/>
      <w:tblCellMar>
        <w:left w:w="0" w:type="dxa"/>
        <w:right w:w="0" w:type="dxa"/>
      </w:tblCellMar>
    </w:tblPr>
  </w:style>
  <w:style w:type="table" w:customStyle="1" w:styleId="a9">
    <w:name w:val="a9"/>
    <w:basedOn w:val="NormalTable2"/>
    <w:tblPr>
      <w:tblStyleRowBandSize w:val="1"/>
      <w:tblStyleColBandSize w:val="1"/>
      <w:tblCellMar>
        <w:left w:w="0" w:type="dxa"/>
        <w:right w:w="0" w:type="dxa"/>
      </w:tblCellMar>
    </w:tblPr>
  </w:style>
  <w:style w:type="table" w:customStyle="1" w:styleId="aa">
    <w:name w:val="aa"/>
    <w:basedOn w:val="NormalTable2"/>
    <w:tblPr>
      <w:tblStyleRowBandSize w:val="1"/>
      <w:tblStyleColBandSize w:val="1"/>
      <w:tblCellMar>
        <w:left w:w="0" w:type="dxa"/>
        <w:right w:w="0" w:type="dxa"/>
      </w:tblCellMar>
    </w:tblPr>
  </w:style>
  <w:style w:type="table" w:customStyle="1" w:styleId="ab">
    <w:name w:val="ab"/>
    <w:basedOn w:val="NormalTable2"/>
    <w:tblPr>
      <w:tblStyleRowBandSize w:val="1"/>
      <w:tblStyleColBandSize w:val="1"/>
      <w:tblCellMar>
        <w:left w:w="0" w:type="dxa"/>
        <w:right w:w="0" w:type="dxa"/>
      </w:tblCellMar>
    </w:tblPr>
  </w:style>
  <w:style w:type="table" w:customStyle="1" w:styleId="ac">
    <w:name w:val="ac"/>
    <w:basedOn w:val="NormalTable2"/>
    <w:tblPr>
      <w:tblStyleRowBandSize w:val="1"/>
      <w:tblStyleColBandSize w:val="1"/>
      <w:tblCellMar>
        <w:left w:w="0" w:type="dxa"/>
        <w:right w:w="0" w:type="dxa"/>
      </w:tblCellMar>
    </w:tblPr>
  </w:style>
  <w:style w:type="paragraph" w:customStyle="1" w:styleId="Subtitle1">
    <w:name w:val="Subtitle1"/>
    <w:basedOn w:val="Normal2"/>
    <w:next w:val="Normal2"/>
    <w:pPr>
      <w:keepNext/>
      <w:keepLines/>
      <w:spacing w:before="360" w:after="80"/>
    </w:pPr>
    <w:rPr>
      <w:rFonts w:ascii="Georgia" w:eastAsia="Georgia" w:hAnsi="Georgia" w:cs="Georgia"/>
      <w:i/>
      <w:color w:val="666666"/>
      <w:sz w:val="48"/>
      <w:szCs w:val="48"/>
    </w:rPr>
  </w:style>
  <w:style w:type="table" w:customStyle="1" w:styleId="ad">
    <w:name w:val="ad"/>
    <w:basedOn w:val="NormalTable2"/>
    <w:tblPr>
      <w:tblStyleRowBandSize w:val="1"/>
      <w:tblStyleColBandSize w:val="1"/>
      <w:tblCellMar>
        <w:left w:w="0" w:type="dxa"/>
        <w:right w:w="0" w:type="dxa"/>
      </w:tblCellMar>
    </w:tblPr>
  </w:style>
  <w:style w:type="table" w:customStyle="1" w:styleId="ae">
    <w:name w:val="ae"/>
    <w:basedOn w:val="NormalTable2"/>
    <w:tblPr>
      <w:tblStyleRowBandSize w:val="1"/>
      <w:tblStyleColBandSize w:val="1"/>
      <w:tblCellMar>
        <w:left w:w="0" w:type="dxa"/>
        <w:right w:w="0" w:type="dxa"/>
      </w:tblCellMar>
    </w:tblPr>
  </w:style>
  <w:style w:type="table" w:customStyle="1" w:styleId="af">
    <w:name w:val="af"/>
    <w:basedOn w:val="NormalTable2"/>
    <w:tblPr>
      <w:tblStyleRowBandSize w:val="1"/>
      <w:tblStyleColBandSize w:val="1"/>
      <w:tblCellMar>
        <w:left w:w="0" w:type="dxa"/>
        <w:right w:w="0" w:type="dxa"/>
      </w:tblCellMar>
    </w:tblPr>
  </w:style>
  <w:style w:type="table" w:customStyle="1" w:styleId="af0">
    <w:name w:val="af0"/>
    <w:basedOn w:val="NormalTable2"/>
    <w:tblPr>
      <w:tblStyleRowBandSize w:val="1"/>
      <w:tblStyleColBandSize w:val="1"/>
      <w:tblCellMar>
        <w:left w:w="0" w:type="dxa"/>
        <w:right w:w="0" w:type="dxa"/>
      </w:tblCellMar>
    </w:tblPr>
  </w:style>
  <w:style w:type="table" w:customStyle="1" w:styleId="af1">
    <w:name w:val="af1"/>
    <w:basedOn w:val="NormalTable2"/>
    <w:tblPr>
      <w:tblStyleRowBandSize w:val="1"/>
      <w:tblStyleColBandSize w:val="1"/>
      <w:tblCellMar>
        <w:left w:w="0" w:type="dxa"/>
        <w:right w:w="0" w:type="dxa"/>
      </w:tblCellMar>
    </w:tblPr>
  </w:style>
  <w:style w:type="table" w:customStyle="1" w:styleId="af2">
    <w:name w:val="af2"/>
    <w:basedOn w:val="NormalTable2"/>
    <w:tblPr>
      <w:tblStyleRowBandSize w:val="1"/>
      <w:tblStyleColBandSize w:val="1"/>
      <w:tblCellMar>
        <w:left w:w="0" w:type="dxa"/>
        <w:right w:w="0" w:type="dxa"/>
      </w:tblCellMar>
    </w:tblPr>
  </w:style>
  <w:style w:type="table" w:customStyle="1" w:styleId="af3">
    <w:name w:val="af3"/>
    <w:basedOn w:val="NormalTable2"/>
    <w:tblPr>
      <w:tblStyleRowBandSize w:val="1"/>
      <w:tblStyleColBandSize w:val="1"/>
      <w:tblCellMar>
        <w:left w:w="0" w:type="dxa"/>
        <w:right w:w="0" w:type="dxa"/>
      </w:tblCellMar>
    </w:tblPr>
  </w:style>
  <w:style w:type="paragraph" w:customStyle="1" w:styleId="Subtitle2">
    <w:name w:val="Subtitle2"/>
    <w:basedOn w:val="Normal2"/>
    <w:next w:val="Normal2"/>
    <w:pPr>
      <w:keepNext/>
      <w:keepLines/>
      <w:spacing w:before="360" w:after="80"/>
    </w:pPr>
    <w:rPr>
      <w:rFonts w:ascii="Georgia" w:eastAsia="Georgia" w:hAnsi="Georgia" w:cs="Georgia"/>
      <w:i/>
      <w:color w:val="666666"/>
      <w:sz w:val="48"/>
      <w:szCs w:val="48"/>
    </w:rPr>
  </w:style>
  <w:style w:type="table" w:customStyle="1" w:styleId="af4">
    <w:name w:val="af4"/>
    <w:basedOn w:val="NormalTable2"/>
    <w:tblPr>
      <w:tblStyleRowBandSize w:val="1"/>
      <w:tblStyleColBandSize w:val="1"/>
      <w:tblCellMar>
        <w:left w:w="0" w:type="dxa"/>
        <w:right w:w="0" w:type="dxa"/>
      </w:tblCellMar>
    </w:tblPr>
  </w:style>
  <w:style w:type="table" w:customStyle="1" w:styleId="af5">
    <w:name w:val="af5"/>
    <w:basedOn w:val="NormalTable2"/>
    <w:tblPr>
      <w:tblStyleRowBandSize w:val="1"/>
      <w:tblStyleColBandSize w:val="1"/>
      <w:tblCellMar>
        <w:left w:w="0" w:type="dxa"/>
        <w:right w:w="0" w:type="dxa"/>
      </w:tblCellMar>
    </w:tblPr>
  </w:style>
  <w:style w:type="table" w:customStyle="1" w:styleId="af6">
    <w:name w:val="af6"/>
    <w:basedOn w:val="NormalTable2"/>
    <w:tblPr>
      <w:tblStyleRowBandSize w:val="1"/>
      <w:tblStyleColBandSize w:val="1"/>
      <w:tblCellMar>
        <w:left w:w="0" w:type="dxa"/>
        <w:right w:w="0" w:type="dxa"/>
      </w:tblCellMar>
    </w:tblPr>
  </w:style>
  <w:style w:type="table" w:customStyle="1" w:styleId="af7">
    <w:name w:val="af7"/>
    <w:basedOn w:val="NormalTable2"/>
    <w:tblPr>
      <w:tblStyleRowBandSize w:val="1"/>
      <w:tblStyleColBandSize w:val="1"/>
      <w:tblCellMar>
        <w:left w:w="0" w:type="dxa"/>
        <w:right w:w="0" w:type="dxa"/>
      </w:tblCellMar>
    </w:tblPr>
  </w:style>
  <w:style w:type="table" w:customStyle="1" w:styleId="af8">
    <w:name w:val="af8"/>
    <w:basedOn w:val="NormalTable2"/>
    <w:tblPr>
      <w:tblStyleRowBandSize w:val="1"/>
      <w:tblStyleColBandSize w:val="1"/>
      <w:tblCellMar>
        <w:left w:w="0" w:type="dxa"/>
        <w:right w:w="0" w:type="dxa"/>
      </w:tblCellMar>
    </w:tblPr>
  </w:style>
  <w:style w:type="table" w:customStyle="1" w:styleId="af9">
    <w:name w:val="af9"/>
    <w:basedOn w:val="NormalTable2"/>
    <w:tblPr>
      <w:tblStyleRowBandSize w:val="1"/>
      <w:tblStyleColBandSize w:val="1"/>
      <w:tblCellMar>
        <w:left w:w="0" w:type="dxa"/>
        <w:right w:w="0" w:type="dxa"/>
      </w:tblCellMar>
    </w:tblPr>
  </w:style>
  <w:style w:type="table" w:customStyle="1" w:styleId="afa">
    <w:name w:val="afa"/>
    <w:basedOn w:val="NormalTable2"/>
    <w:tblPr>
      <w:tblStyleRowBandSize w:val="1"/>
      <w:tblStyleColBandSize w:val="1"/>
      <w:tblCellMar>
        <w:left w:w="0" w:type="dxa"/>
        <w:right w:w="0" w:type="dxa"/>
      </w:tblCellMar>
    </w:tblPr>
  </w:style>
  <w:style w:type="table" w:customStyle="1" w:styleId="afb">
    <w:name w:val="afb"/>
    <w:basedOn w:val="NormalTable2"/>
    <w:tblPr>
      <w:tblStyleRowBandSize w:val="1"/>
      <w:tblStyleColBandSize w:val="1"/>
      <w:tblCellMar>
        <w:left w:w="0" w:type="dxa"/>
        <w:right w:w="0" w:type="dxa"/>
      </w:tblCellMar>
    </w:tblPr>
  </w:style>
  <w:style w:type="table" w:customStyle="1" w:styleId="afc">
    <w:name w:val="afc"/>
    <w:basedOn w:val="NormalTable2"/>
    <w:tblPr>
      <w:tblStyleRowBandSize w:val="1"/>
      <w:tblStyleColBandSize w:val="1"/>
      <w:tblCellMar>
        <w:left w:w="0" w:type="dxa"/>
        <w:right w:w="0" w:type="dxa"/>
      </w:tblCellMar>
    </w:tblPr>
  </w:style>
  <w:style w:type="table" w:customStyle="1" w:styleId="afd">
    <w:name w:val="afd"/>
    <w:basedOn w:val="NormalTable2"/>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8.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sec.doc.gov/opog/PrivacyAct/SORNs/noaa-11.html" TargetMode="External" /><Relationship Id="rId6" Type="http://schemas.openxmlformats.org/officeDocument/2006/relationships/hyperlink" Target="https://www.osec.doc.gov/opog/privacy/noaa%20pias/noaa8203_pia_saop_approved.pdf" TargetMode="External" /><Relationship Id="rId7" Type="http://schemas.openxmlformats.org/officeDocument/2006/relationships/footer" Target="footer1.xml" /><Relationship Id="rId8" Type="http://schemas.openxmlformats.org/officeDocument/2006/relationships/hyperlink" Target="https://www.bls.gov/bls/blswage.htm" TargetMode="External" /><Relationship Id="rId9" Type="http://schemas.openxmlformats.org/officeDocument/2006/relationships/hyperlink" Target="http://www.gpo.gov/fdsys/pkg/CFR-2014-title5-vol3/pdf/CFR-2014-title5-vol3-sec1320-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YMgtgbLG8knSfmKtZC/d4RflNQ==">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2897</Words>
  <Characters>16516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3</cp:revision>
  <dcterms:created xsi:type="dcterms:W3CDTF">2022-09-28T18:02:00Z</dcterms:created>
  <dcterms:modified xsi:type="dcterms:W3CDTF">2022-09-29T13:26:00Z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