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90720" w:rsidRPr="00C45431" w14:paraId="145C3F7F" w14:textId="77777777">
      <w:pPr>
        <w:widowControl/>
        <w:autoSpaceDE/>
        <w:autoSpaceDN/>
        <w:adjustRightInd/>
        <w:rPr>
          <w:rFonts w:ascii="Arial" w:hAnsi="Arial" w:cs="Arial"/>
          <w:b/>
          <w:bCs/>
          <w:sz w:val="32"/>
          <w:szCs w:val="32"/>
        </w:rPr>
      </w:pPr>
    </w:p>
    <w:p w:rsidR="005F5342" w:rsidRPr="00D2299E" w:rsidP="005F5342" w14:paraId="32AF0D29" w14:textId="77777777">
      <w:pPr>
        <w:tabs>
          <w:tab w:val="left" w:pos="-720"/>
          <w:tab w:val="right" w:pos="8622"/>
        </w:tabs>
        <w:jc w:val="center"/>
        <w:rPr>
          <w:b/>
          <w:sz w:val="24"/>
        </w:rPr>
      </w:pPr>
      <w:r w:rsidRPr="00D2299E">
        <w:rPr>
          <w:b/>
          <w:sz w:val="24"/>
        </w:rPr>
        <w:t>Health Resources and Services Administration</w:t>
      </w:r>
    </w:p>
    <w:p w:rsidR="005F5342" w:rsidP="005F5342" w14:paraId="00989D4A" w14:textId="77777777">
      <w:pPr>
        <w:tabs>
          <w:tab w:val="left" w:pos="-720"/>
          <w:tab w:val="right" w:pos="8622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SUPPORTING STATEMENT </w:t>
      </w:r>
    </w:p>
    <w:p w:rsidR="00E33F4F" w:rsidRPr="002531C8" w:rsidP="00E33F4F" w14:paraId="390D3373" w14:textId="3D5A959A">
      <w:pPr>
        <w:pStyle w:val="BodyText"/>
        <w:ind w:right="-14"/>
        <w:jc w:val="center"/>
        <w:rPr>
          <w:b/>
          <w:w w:val="105"/>
          <w:sz w:val="22"/>
          <w:szCs w:val="22"/>
        </w:rPr>
      </w:pPr>
      <w:r w:rsidRPr="002531C8">
        <w:rPr>
          <w:b/>
          <w:w w:val="105"/>
          <w:sz w:val="22"/>
          <w:szCs w:val="22"/>
        </w:rPr>
        <w:t>HIV Quality Measures Module</w:t>
      </w:r>
    </w:p>
    <w:p w:rsidR="00BA1A0C" w:rsidRPr="002531C8" w:rsidP="00CE5AA9" w14:paraId="0328AB97" w14:textId="77777777">
      <w:pPr>
        <w:tabs>
          <w:tab w:val="center" w:pos="4680"/>
        </w:tabs>
        <w:spacing w:before="120"/>
        <w:jc w:val="center"/>
        <w:rPr>
          <w:b/>
          <w:bCs/>
          <w:sz w:val="22"/>
          <w:szCs w:val="22"/>
        </w:rPr>
      </w:pPr>
    </w:p>
    <w:p w:rsidR="005F5342" w:rsidRPr="005F5342" w:rsidP="005F5342" w14:paraId="66FF1174" w14:textId="77777777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2531C8">
        <w:rPr>
          <w:b/>
          <w:bCs/>
          <w:sz w:val="22"/>
          <w:szCs w:val="22"/>
        </w:rPr>
        <w:t xml:space="preserve">OMB Control No. </w:t>
      </w:r>
      <w:r w:rsidRPr="005F5342">
        <w:rPr>
          <w:b/>
          <w:bCs/>
          <w:sz w:val="22"/>
          <w:szCs w:val="22"/>
        </w:rPr>
        <w:t>0906-0022</w:t>
      </w:r>
    </w:p>
    <w:p w:rsidR="00BA1A0C" w:rsidRPr="002531C8" w:rsidP="00CE5AA9" w14:paraId="4A4B835E" w14:textId="50E3FBA6">
      <w:pPr>
        <w:tabs>
          <w:tab w:val="center" w:pos="4680"/>
        </w:tabs>
        <w:spacing w:before="120"/>
        <w:jc w:val="center"/>
        <w:rPr>
          <w:b/>
          <w:bCs/>
          <w:sz w:val="22"/>
          <w:szCs w:val="22"/>
        </w:rPr>
      </w:pPr>
    </w:p>
    <w:p w:rsidR="00A27D7E" w:rsidRPr="002531C8" w:rsidP="00CE5AA9" w14:paraId="7959AF7D" w14:textId="77777777">
      <w:pPr>
        <w:spacing w:before="120"/>
        <w:rPr>
          <w:b/>
          <w:sz w:val="22"/>
          <w:szCs w:val="22"/>
        </w:rPr>
      </w:pPr>
    </w:p>
    <w:p w:rsidR="009B3794" w:rsidRPr="002531C8" w:rsidP="00DC4697" w14:paraId="00AE42EE" w14:textId="77777777">
      <w:pPr>
        <w:spacing w:before="120"/>
        <w:rPr>
          <w:b/>
          <w:bCs/>
          <w:sz w:val="22"/>
          <w:szCs w:val="22"/>
        </w:rPr>
      </w:pPr>
      <w:r w:rsidRPr="002531C8">
        <w:rPr>
          <w:b/>
          <w:bCs/>
          <w:sz w:val="22"/>
          <w:szCs w:val="22"/>
        </w:rPr>
        <w:t>A.</w:t>
      </w:r>
      <w:r w:rsidRPr="002531C8">
        <w:rPr>
          <w:b/>
          <w:bCs/>
          <w:sz w:val="22"/>
          <w:szCs w:val="22"/>
        </w:rPr>
        <w:tab/>
        <w:t>Justification</w:t>
      </w:r>
    </w:p>
    <w:p w:rsidR="009B3794" w:rsidRPr="009E7063" w14:paraId="384A42F5" w14:textId="77777777">
      <w:pPr>
        <w:numPr>
          <w:ilvl w:val="0"/>
          <w:numId w:val="1"/>
        </w:numPr>
        <w:spacing w:before="240"/>
        <w:rPr>
          <w:bCs/>
          <w:sz w:val="22"/>
          <w:szCs w:val="22"/>
        </w:rPr>
      </w:pPr>
      <w:r w:rsidRPr="009E7063">
        <w:rPr>
          <w:bCs/>
          <w:sz w:val="22"/>
          <w:szCs w:val="22"/>
          <w:u w:val="single"/>
        </w:rPr>
        <w:t>Circumstances Making the Collection of Information Necessary</w:t>
      </w:r>
    </w:p>
    <w:p w:rsidR="008F6ABC" w:rsidP="00DC4697" w14:paraId="13F78813" w14:textId="77777777">
      <w:pPr>
        <w:widowControl/>
        <w:shd w:val="clear" w:color="auto" w:fill="FFFFFF"/>
        <w:autoSpaceDE/>
        <w:autoSpaceDN/>
        <w:adjustRightInd/>
        <w:rPr>
          <w:sz w:val="22"/>
          <w:szCs w:val="22"/>
        </w:rPr>
      </w:pPr>
    </w:p>
    <w:p w:rsidR="003F795F" w:rsidRPr="00B32C86" w:rsidP="00BF03C4" w14:paraId="483A2296" w14:textId="7AC82CF9">
      <w:pPr>
        <w:pStyle w:val="CommentText"/>
        <w:rPr>
          <w:rStyle w:val="BodyTextFi"/>
          <w:sz w:val="24"/>
        </w:rPr>
      </w:pPr>
      <w:r w:rsidRPr="00133775">
        <w:rPr>
          <w:rStyle w:val="BodyTextFi"/>
          <w:sz w:val="24"/>
          <w:szCs w:val="24"/>
        </w:rPr>
        <w:t xml:space="preserve">The Health Resources and Services Administration (HRSA) is requesting continued OMB approval to collect information </w:t>
      </w:r>
      <w:r w:rsidRPr="00133775" w:rsidR="00A110CF">
        <w:rPr>
          <w:sz w:val="24"/>
          <w:szCs w:val="24"/>
        </w:rPr>
        <w:t xml:space="preserve">for the Ryan White </w:t>
      </w:r>
      <w:r w:rsidRPr="00133775" w:rsidR="00D43D1D">
        <w:rPr>
          <w:sz w:val="24"/>
          <w:szCs w:val="24"/>
        </w:rPr>
        <w:t xml:space="preserve">HIV/AIDS </w:t>
      </w:r>
      <w:r w:rsidRPr="00133775" w:rsidR="00A110CF">
        <w:rPr>
          <w:sz w:val="24"/>
          <w:szCs w:val="24"/>
        </w:rPr>
        <w:t>Program’s</w:t>
      </w:r>
      <w:r w:rsidRPr="00133775" w:rsidR="00D43D1D">
        <w:rPr>
          <w:sz w:val="24"/>
          <w:szCs w:val="24"/>
        </w:rPr>
        <w:t xml:space="preserve"> (RWHAP)</w:t>
      </w:r>
      <w:r w:rsidRPr="00133775" w:rsidR="00A110CF">
        <w:rPr>
          <w:sz w:val="24"/>
          <w:szCs w:val="24"/>
        </w:rPr>
        <w:t xml:space="preserve"> HIV Quality Measures (HIVQM) Module.</w:t>
      </w:r>
      <w:r w:rsidRPr="00133775" w:rsidR="00E11E96">
        <w:rPr>
          <w:sz w:val="24"/>
          <w:szCs w:val="24"/>
        </w:rPr>
        <w:t xml:space="preserve">  </w:t>
      </w:r>
      <w:r w:rsidRPr="00133775" w:rsidR="00A110CF">
        <w:rPr>
          <w:sz w:val="24"/>
          <w:szCs w:val="24"/>
        </w:rPr>
        <w:t xml:space="preserve">The </w:t>
      </w:r>
      <w:r w:rsidR="00776034">
        <w:rPr>
          <w:sz w:val="24"/>
          <w:szCs w:val="24"/>
        </w:rPr>
        <w:t xml:space="preserve">RWHAP </w:t>
      </w:r>
      <w:r w:rsidRPr="00133775" w:rsidR="00A110CF">
        <w:rPr>
          <w:sz w:val="24"/>
          <w:szCs w:val="24"/>
        </w:rPr>
        <w:t>HIVQM Module,</w:t>
      </w:r>
      <w:r w:rsidRPr="00133775" w:rsidR="00A110CF">
        <w:rPr>
          <w:rStyle w:val="BodyTextFi"/>
          <w:sz w:val="24"/>
          <w:szCs w:val="24"/>
        </w:rPr>
        <w:t xml:space="preserve"> </w:t>
      </w:r>
      <w:r w:rsidRPr="00133775">
        <w:rPr>
          <w:rStyle w:val="BodyTextFi"/>
          <w:sz w:val="24"/>
          <w:szCs w:val="24"/>
        </w:rPr>
        <w:t xml:space="preserve">which expires on </w:t>
      </w:r>
      <w:r w:rsidRPr="00133775" w:rsidR="00A110CF">
        <w:rPr>
          <w:rStyle w:val="BodyTextFi"/>
          <w:sz w:val="24"/>
          <w:szCs w:val="24"/>
        </w:rPr>
        <w:t>December 31,</w:t>
      </w:r>
      <w:r w:rsidR="00BF03C4">
        <w:rPr>
          <w:rStyle w:val="BodyTextFi"/>
          <w:sz w:val="24"/>
          <w:szCs w:val="24"/>
        </w:rPr>
        <w:t xml:space="preserve"> </w:t>
      </w:r>
      <w:r w:rsidRPr="00133775" w:rsidR="00A110CF">
        <w:rPr>
          <w:rStyle w:val="BodyTextFi"/>
          <w:sz w:val="24"/>
          <w:szCs w:val="24"/>
        </w:rPr>
        <w:t>20</w:t>
      </w:r>
      <w:r w:rsidRPr="00133775" w:rsidR="006C5A1C">
        <w:rPr>
          <w:rStyle w:val="BodyTextFi"/>
          <w:sz w:val="24"/>
          <w:szCs w:val="24"/>
        </w:rPr>
        <w:t>22</w:t>
      </w:r>
      <w:r w:rsidR="00C34BEB">
        <w:rPr>
          <w:rStyle w:val="BodyTextFi"/>
          <w:sz w:val="24"/>
          <w:szCs w:val="24"/>
        </w:rPr>
        <w:t>,</w:t>
      </w:r>
      <w:r w:rsidRPr="00133775" w:rsidR="00A110CF">
        <w:rPr>
          <w:rStyle w:val="BodyTextFi"/>
          <w:sz w:val="24"/>
          <w:szCs w:val="24"/>
        </w:rPr>
        <w:t xml:space="preserve"> </w:t>
      </w:r>
      <w:r w:rsidRPr="00133775" w:rsidR="00A110CF">
        <w:rPr>
          <w:sz w:val="24"/>
          <w:szCs w:val="24"/>
        </w:rPr>
        <w:t xml:space="preserve">is a voluntary data system that </w:t>
      </w:r>
      <w:r w:rsidRPr="00133775" w:rsidR="00291196">
        <w:rPr>
          <w:sz w:val="24"/>
          <w:szCs w:val="24"/>
        </w:rPr>
        <w:t xml:space="preserve">allows </w:t>
      </w:r>
      <w:r w:rsidRPr="00133775" w:rsidR="00F954A9">
        <w:rPr>
          <w:sz w:val="24"/>
          <w:szCs w:val="24"/>
        </w:rPr>
        <w:t xml:space="preserve">grant </w:t>
      </w:r>
      <w:r w:rsidRPr="00133775" w:rsidR="00A110CF">
        <w:rPr>
          <w:sz w:val="24"/>
          <w:szCs w:val="24"/>
        </w:rPr>
        <w:t xml:space="preserve">recipients funded </w:t>
      </w:r>
      <w:r w:rsidRPr="002A6CB1">
        <w:rPr>
          <w:rStyle w:val="BodyTextFi"/>
          <w:sz w:val="24"/>
          <w:szCs w:val="24"/>
        </w:rPr>
        <w:t>under RWHAP Parts A, B, C, and D</w:t>
      </w:r>
      <w:r w:rsidRPr="00133775" w:rsidR="00F954A9">
        <w:rPr>
          <w:rStyle w:val="BodyTextFi"/>
          <w:sz w:val="24"/>
          <w:szCs w:val="24"/>
        </w:rPr>
        <w:t xml:space="preserve"> </w:t>
      </w:r>
      <w:r w:rsidRPr="00133775" w:rsidR="00F954A9">
        <w:rPr>
          <w:sz w:val="24"/>
          <w:szCs w:val="24"/>
        </w:rPr>
        <w:t>to monitor their performance in providing quality HIV services.</w:t>
      </w:r>
      <w:r w:rsidRPr="002A6CB1" w:rsidR="00991583">
        <w:rPr>
          <w:rStyle w:val="BodyTextFi"/>
          <w:sz w:val="24"/>
          <w:szCs w:val="24"/>
        </w:rPr>
        <w:t xml:space="preserve"> </w:t>
      </w:r>
      <w:r w:rsidR="00991583">
        <w:rPr>
          <w:rStyle w:val="BodyTextFi"/>
          <w:sz w:val="24"/>
        </w:rPr>
        <w:t xml:space="preserve"> </w:t>
      </w:r>
      <w:r w:rsidRPr="00B32C86" w:rsidR="002F4369">
        <w:rPr>
          <w:sz w:val="24"/>
        </w:rPr>
        <w:t xml:space="preserve">The </w:t>
      </w:r>
      <w:r w:rsidR="002F4369">
        <w:rPr>
          <w:sz w:val="24"/>
        </w:rPr>
        <w:t>RWHAP</w:t>
      </w:r>
      <w:r w:rsidRPr="00133775" w:rsidR="00817040">
        <w:rPr>
          <w:color w:val="000000"/>
          <w:sz w:val="24"/>
          <w:szCs w:val="24"/>
        </w:rPr>
        <w:t xml:space="preserve"> legislation, title XXVI of the Public Health Service Act, 42 U.S.C. 300ff-11, et seq.</w:t>
      </w:r>
      <w:r w:rsidRPr="00B32C86">
        <w:rPr>
          <w:sz w:val="24"/>
        </w:rPr>
        <w:t xml:space="preserve">, is administered by HRSA’s HIV/ AIDS Bureau (HAB). </w:t>
      </w:r>
      <w:r w:rsidR="00C34BEB">
        <w:rPr>
          <w:sz w:val="24"/>
        </w:rPr>
        <w:t xml:space="preserve"> </w:t>
      </w:r>
      <w:r w:rsidRPr="00B32C86">
        <w:rPr>
          <w:sz w:val="24"/>
        </w:rPr>
        <w:t>HRSA HAB awards funding to recipients in areas of the greatest need to respond effectively to the changing HIV epidemic, with an emphasis on providing life-saving and life-extending medical care, treatment, and support services for people with HIV in the United States.</w:t>
      </w:r>
      <w:r w:rsidR="00991583">
        <w:rPr>
          <w:sz w:val="24"/>
        </w:rPr>
        <w:t xml:space="preserve"> </w:t>
      </w:r>
      <w:r w:rsidR="00C34BEB">
        <w:rPr>
          <w:sz w:val="24"/>
        </w:rPr>
        <w:t xml:space="preserve"> </w:t>
      </w:r>
      <w:r w:rsidRPr="00B32C86">
        <w:rPr>
          <w:rStyle w:val="BodyTextFi"/>
          <w:sz w:val="24"/>
        </w:rPr>
        <w:t xml:space="preserve">See </w:t>
      </w:r>
      <w:r w:rsidRPr="00997EAD">
        <w:rPr>
          <w:rStyle w:val="BodyTextFi"/>
          <w:sz w:val="24"/>
        </w:rPr>
        <w:t>Attachment A</w:t>
      </w:r>
      <w:r w:rsidRPr="00B32C86">
        <w:rPr>
          <w:rStyle w:val="BodyTextFi"/>
          <w:sz w:val="24"/>
        </w:rPr>
        <w:t xml:space="preserve"> for a copy of the 2009 </w:t>
      </w:r>
      <w:r w:rsidRPr="00B32C86">
        <w:rPr>
          <w:rStyle w:val="BodyTextFi"/>
          <w:sz w:val="24"/>
        </w:rPr>
        <w:t>legislation</w:t>
      </w:r>
      <w:r w:rsidRPr="00B32C86">
        <w:rPr>
          <w:rStyle w:val="BodyTextFi"/>
          <w:sz w:val="24"/>
        </w:rPr>
        <w:t>.</w:t>
      </w:r>
      <w:r w:rsidR="00991583">
        <w:rPr>
          <w:rStyle w:val="BodyTextFi"/>
          <w:sz w:val="24"/>
        </w:rPr>
        <w:t xml:space="preserve"> </w:t>
      </w:r>
      <w:r w:rsidR="00C34BEB">
        <w:rPr>
          <w:rStyle w:val="BodyTextFi"/>
          <w:sz w:val="24"/>
        </w:rPr>
        <w:t xml:space="preserve"> </w:t>
      </w:r>
      <w:r w:rsidRPr="00A110CF" w:rsidR="00133775">
        <w:rPr>
          <w:rFonts w:eastAsia="Calibri"/>
          <w:sz w:val="24"/>
          <w:lang w:eastAsia="ja-JP"/>
        </w:rPr>
        <w:t>The RWHAP supports a comprehensive system of direct health care and support services for over half a million people with HIV</w:t>
      </w:r>
      <w:r w:rsidR="00EA785C">
        <w:rPr>
          <w:rFonts w:eastAsia="Calibri"/>
          <w:sz w:val="24"/>
          <w:lang w:eastAsia="ja-JP"/>
        </w:rPr>
        <w:t>.</w:t>
      </w:r>
      <w:r>
        <w:rPr>
          <w:rFonts w:eastAsia="Calibri"/>
          <w:vertAlign w:val="superscript"/>
          <w:lang w:eastAsia="ja-JP"/>
        </w:rPr>
        <w:footnoteReference w:id="3"/>
      </w:r>
      <w:r w:rsidR="00133775">
        <w:rPr>
          <w:sz w:val="24"/>
          <w:lang w:eastAsia="ja-JP"/>
        </w:rPr>
        <w:t xml:space="preserve"> </w:t>
      </w:r>
      <w:r w:rsidR="00C34BEB">
        <w:rPr>
          <w:sz w:val="24"/>
          <w:lang w:eastAsia="ja-JP"/>
        </w:rPr>
        <w:t xml:space="preserve"> </w:t>
      </w:r>
      <w:r w:rsidRPr="00A110CF" w:rsidR="00133775">
        <w:rPr>
          <w:sz w:val="24"/>
          <w:lang w:eastAsia="ja-JP"/>
        </w:rPr>
        <w:t>The HRSA RWHAP makes financial assistance available for the development, organization, coordination, and operation of more effective and cost-efficient systems for the delivery of essential core medical and support services to persons with HIV.</w:t>
      </w:r>
    </w:p>
    <w:p w:rsidR="00A110CF" w:rsidRPr="002531C8" w:rsidP="00DC4697" w14:paraId="5D79BF94" w14:textId="6C6A263A">
      <w:pPr>
        <w:widowControl/>
        <w:shd w:val="clear" w:color="auto" w:fill="FFFFFF"/>
        <w:autoSpaceDE/>
        <w:autoSpaceDN/>
        <w:adjustRightInd/>
        <w:rPr>
          <w:sz w:val="22"/>
          <w:szCs w:val="22"/>
        </w:rPr>
      </w:pPr>
    </w:p>
    <w:p w:rsidR="006D2080" w:rsidP="00DC4697" w14:paraId="634025DB" w14:textId="2B725D80">
      <w:pPr>
        <w:rPr>
          <w:sz w:val="22"/>
          <w:szCs w:val="22"/>
        </w:rPr>
      </w:pPr>
    </w:p>
    <w:p w:rsidR="000238F6" w:rsidRPr="00CB78BA" w:rsidP="00DC4697" w14:paraId="1C916397" w14:textId="2979BA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rPr>
          <w:w w:val="105"/>
          <w:sz w:val="24"/>
        </w:rPr>
      </w:pPr>
      <w:r w:rsidRPr="00B32C86">
        <w:rPr>
          <w:spacing w:val="1"/>
          <w:w w:val="105"/>
          <w:sz w:val="24"/>
        </w:rPr>
        <w:t>RWHAP</w:t>
      </w:r>
      <w:r w:rsidRPr="00B32C86">
        <w:rPr>
          <w:w w:val="105"/>
          <w:sz w:val="24"/>
        </w:rPr>
        <w:t xml:space="preserve"> recipients must follo</w:t>
      </w:r>
      <w:r>
        <w:rPr>
          <w:w w:val="105"/>
          <w:sz w:val="24"/>
        </w:rPr>
        <w:t>w</w:t>
      </w:r>
      <w:r w:rsidRPr="00B32C86" w:rsidR="00BA3E25">
        <w:rPr>
          <w:w w:val="105"/>
          <w:sz w:val="24"/>
        </w:rPr>
        <w:t xml:space="preserve"> legislative requirements such as the </w:t>
      </w:r>
      <w:r w:rsidRPr="00B32C86" w:rsidR="00A27D7E">
        <w:rPr>
          <w:w w:val="105"/>
          <w:sz w:val="24"/>
        </w:rPr>
        <w:t>establish</w:t>
      </w:r>
      <w:r w:rsidRPr="00B32C86" w:rsidR="00BA3E25">
        <w:rPr>
          <w:w w:val="105"/>
          <w:sz w:val="24"/>
        </w:rPr>
        <w:t>ment of</w:t>
      </w:r>
      <w:r w:rsidRPr="00B32C86" w:rsidR="00A27D7E">
        <w:rPr>
          <w:w w:val="105"/>
          <w:sz w:val="24"/>
        </w:rPr>
        <w:t xml:space="preserve"> clinical quality management programs to assess their HIV services according to the most recent </w:t>
      </w:r>
      <w:r w:rsidRPr="00BE030F" w:rsidR="00BE030F">
        <w:rPr>
          <w:w w:val="105"/>
          <w:sz w:val="24"/>
        </w:rPr>
        <w:t>Department of Health and Human Services Clinical Treatment guidelines</w:t>
      </w:r>
      <w:r w:rsidRPr="00B32C86" w:rsidR="00BE030F">
        <w:rPr>
          <w:w w:val="105"/>
          <w:sz w:val="24"/>
        </w:rPr>
        <w:t xml:space="preserve"> </w:t>
      </w:r>
      <w:r w:rsidRPr="00B32C86" w:rsidR="00A27D7E">
        <w:rPr>
          <w:w w:val="105"/>
          <w:sz w:val="24"/>
        </w:rPr>
        <w:t>and to develop strategies to improve</w:t>
      </w:r>
      <w:r w:rsidRPr="00B32C86" w:rsidR="002A136D">
        <w:rPr>
          <w:w w:val="105"/>
          <w:sz w:val="24"/>
        </w:rPr>
        <w:t xml:space="preserve"> access to </w:t>
      </w:r>
      <w:r w:rsidRPr="00AE0004" w:rsidR="002A136D">
        <w:rPr>
          <w:w w:val="105"/>
          <w:sz w:val="24"/>
        </w:rPr>
        <w:t>quality HIV services.</w:t>
      </w:r>
      <w:r>
        <w:rPr>
          <w:rStyle w:val="FootnoteReference"/>
          <w:w w:val="105"/>
          <w:sz w:val="24"/>
          <w:vertAlign w:val="superscript"/>
        </w:rPr>
        <w:footnoteReference w:id="4"/>
      </w:r>
      <w:r w:rsidR="007A5875">
        <w:rPr>
          <w:w w:val="105"/>
          <w:sz w:val="24"/>
        </w:rPr>
        <w:t xml:space="preserve">  </w:t>
      </w:r>
      <w:r w:rsidR="00BD619D">
        <w:rPr>
          <w:w w:val="105"/>
          <w:sz w:val="24"/>
        </w:rPr>
        <w:t>HRSA</w:t>
      </w:r>
      <w:r w:rsidR="00AE0004">
        <w:rPr>
          <w:sz w:val="24"/>
        </w:rPr>
        <w:t xml:space="preserve"> </w:t>
      </w:r>
      <w:r w:rsidRPr="00AE0004" w:rsidR="00AE0004">
        <w:rPr>
          <w:sz w:val="24"/>
        </w:rPr>
        <w:t xml:space="preserve">HAB </w:t>
      </w:r>
      <w:r w:rsidR="00E02DB7">
        <w:rPr>
          <w:sz w:val="24"/>
        </w:rPr>
        <w:t xml:space="preserve">also </w:t>
      </w:r>
      <w:r w:rsidRPr="00AE0004" w:rsidR="00AE0004">
        <w:rPr>
          <w:sz w:val="24"/>
        </w:rPr>
        <w:t xml:space="preserve">developed the HIV </w:t>
      </w:r>
      <w:r w:rsidR="00BB3C21">
        <w:rPr>
          <w:sz w:val="24"/>
        </w:rPr>
        <w:t>p</w:t>
      </w:r>
      <w:r w:rsidRPr="00AE0004" w:rsidR="00AE0004">
        <w:rPr>
          <w:sz w:val="24"/>
        </w:rPr>
        <w:t xml:space="preserve">erformance </w:t>
      </w:r>
      <w:r w:rsidR="001537AB">
        <w:rPr>
          <w:sz w:val="24"/>
        </w:rPr>
        <w:t>m</w:t>
      </w:r>
      <w:r w:rsidRPr="00AE0004" w:rsidR="00AE0004">
        <w:rPr>
          <w:sz w:val="24"/>
        </w:rPr>
        <w:t>easures</w:t>
      </w:r>
      <w:r w:rsidR="001537AB">
        <w:rPr>
          <w:sz w:val="24"/>
        </w:rPr>
        <w:t xml:space="preserve"> portfolio that focuses on critical areas of HIV care and treatment and </w:t>
      </w:r>
      <w:r w:rsidR="00DD20CD">
        <w:rPr>
          <w:sz w:val="24"/>
        </w:rPr>
        <w:t>supports the collection, analysis</w:t>
      </w:r>
      <w:r w:rsidR="00133775">
        <w:rPr>
          <w:sz w:val="24"/>
        </w:rPr>
        <w:t>,</w:t>
      </w:r>
      <w:r w:rsidR="00DD20CD">
        <w:rPr>
          <w:sz w:val="24"/>
        </w:rPr>
        <w:t xml:space="preserve"> and reporting</w:t>
      </w:r>
      <w:r w:rsidR="00FC7AC8">
        <w:rPr>
          <w:sz w:val="24"/>
        </w:rPr>
        <w:t xml:space="preserve"> of</w:t>
      </w:r>
      <w:r w:rsidR="001B50BE">
        <w:rPr>
          <w:sz w:val="24"/>
        </w:rPr>
        <w:t xml:space="preserve"> data regarding patient care, health outcomes</w:t>
      </w:r>
      <w:r w:rsidR="00133775">
        <w:rPr>
          <w:sz w:val="24"/>
        </w:rPr>
        <w:t>,</w:t>
      </w:r>
      <w:r w:rsidR="001B50BE">
        <w:rPr>
          <w:sz w:val="24"/>
        </w:rPr>
        <w:t xml:space="preserve"> and patient satisfaction. </w:t>
      </w:r>
      <w:r w:rsidR="007A5875">
        <w:rPr>
          <w:sz w:val="24"/>
        </w:rPr>
        <w:t xml:space="preserve"> </w:t>
      </w:r>
      <w:r w:rsidR="00C20326">
        <w:rPr>
          <w:sz w:val="24"/>
        </w:rPr>
        <w:t xml:space="preserve">The performance measure portfolio focuses on: </w:t>
      </w:r>
      <w:r w:rsidRPr="00AE0004" w:rsidR="00AE0004">
        <w:rPr>
          <w:sz w:val="24"/>
        </w:rPr>
        <w:t xml:space="preserve"> </w:t>
      </w:r>
    </w:p>
    <w:p w:rsidR="00744F38" w:rsidRPr="00744F38" w14:paraId="0DDB22AF" w14:textId="7D6E2F5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60"/>
        <w:rPr>
          <w:color w:val="1B1B1B"/>
          <w:sz w:val="24"/>
        </w:rPr>
      </w:pPr>
      <w:r w:rsidRPr="00744F38">
        <w:rPr>
          <w:color w:val="1B1B1B"/>
          <w:sz w:val="24"/>
        </w:rPr>
        <w:t>Identifying core performance measures that are most critical to the care and treatment of people with HIV</w:t>
      </w:r>
      <w:r w:rsidR="00B256C5">
        <w:rPr>
          <w:color w:val="1B1B1B"/>
          <w:sz w:val="24"/>
        </w:rPr>
        <w:t>,</w:t>
      </w:r>
    </w:p>
    <w:p w:rsidR="00744F38" w:rsidRPr="00744F38" w14:paraId="3163C3BE" w14:textId="60C1188A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60"/>
        <w:rPr>
          <w:color w:val="1B1B1B"/>
          <w:sz w:val="24"/>
        </w:rPr>
      </w:pPr>
      <w:r w:rsidRPr="00744F38">
        <w:rPr>
          <w:color w:val="1B1B1B"/>
          <w:sz w:val="24"/>
        </w:rPr>
        <w:t>Combining performance measures to address people of all ages with HIV</w:t>
      </w:r>
      <w:r w:rsidR="00B256C5">
        <w:rPr>
          <w:color w:val="1B1B1B"/>
          <w:sz w:val="24"/>
        </w:rPr>
        <w:t>,</w:t>
      </w:r>
    </w:p>
    <w:p w:rsidR="00744F38" w:rsidRPr="00744F38" w14:paraId="181C4C5C" w14:textId="637DEE6C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60"/>
        <w:rPr>
          <w:color w:val="1B1B1B"/>
          <w:sz w:val="24"/>
        </w:rPr>
      </w:pPr>
      <w:r w:rsidRPr="00744F38">
        <w:rPr>
          <w:color w:val="1B1B1B"/>
          <w:sz w:val="24"/>
        </w:rPr>
        <w:t>Promoting relevant performance measures used in other federal programs</w:t>
      </w:r>
      <w:r w:rsidR="00B256C5">
        <w:rPr>
          <w:color w:val="1B1B1B"/>
          <w:sz w:val="24"/>
        </w:rPr>
        <w:t>,</w:t>
      </w:r>
    </w:p>
    <w:p w:rsidR="00744F38" w:rsidRPr="00744F38" w14:paraId="380BF0F2" w14:textId="0B84CDBA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/>
        <w:rPr>
          <w:color w:val="1B1B1B"/>
          <w:sz w:val="24"/>
        </w:rPr>
      </w:pPr>
      <w:r w:rsidRPr="00744F38">
        <w:rPr>
          <w:color w:val="1B1B1B"/>
          <w:sz w:val="24"/>
        </w:rPr>
        <w:t xml:space="preserve">Archiving performance measures that are no longer consistent with </w:t>
      </w:r>
      <w:r w:rsidRPr="00BE030F" w:rsidR="00BE030F">
        <w:rPr>
          <w:w w:val="105"/>
          <w:sz w:val="24"/>
        </w:rPr>
        <w:t>Department of</w:t>
      </w:r>
      <w:r w:rsidRPr="005C3133" w:rsidR="00BE030F">
        <w:rPr>
          <w:w w:val="105"/>
        </w:rPr>
        <w:t xml:space="preserve"> </w:t>
      </w:r>
      <w:r w:rsidRPr="00BE030F" w:rsidR="00BE030F">
        <w:rPr>
          <w:w w:val="105"/>
          <w:sz w:val="24"/>
        </w:rPr>
        <w:t>Health and Human Services Clinical Treatment guidelines</w:t>
      </w:r>
      <w:r w:rsidRPr="00744F38" w:rsidR="00BE030F">
        <w:rPr>
          <w:color w:val="1B1B1B"/>
          <w:sz w:val="24"/>
        </w:rPr>
        <w:t xml:space="preserve"> </w:t>
      </w:r>
      <w:r w:rsidRPr="00744F38">
        <w:rPr>
          <w:color w:val="1B1B1B"/>
          <w:sz w:val="24"/>
        </w:rPr>
        <w:t>or applicable to the general population</w:t>
      </w:r>
      <w:r w:rsidR="00B256C5">
        <w:rPr>
          <w:color w:val="1B1B1B"/>
          <w:sz w:val="24"/>
        </w:rPr>
        <w:t>.</w:t>
      </w:r>
      <w:r>
        <w:rPr>
          <w:rStyle w:val="FootnoteReference"/>
          <w:color w:val="1B1B1B"/>
          <w:sz w:val="24"/>
          <w:vertAlign w:val="superscript"/>
        </w:rPr>
        <w:footnoteReference w:id="5"/>
      </w:r>
    </w:p>
    <w:p w:rsidR="009F50C3" w:rsidP="00DC4697" w14:paraId="5AC0FB94" w14:textId="77777777">
      <w:pPr>
        <w:pStyle w:val="Answerbulleted"/>
        <w:numPr>
          <w:ilvl w:val="0"/>
          <w:numId w:val="0"/>
        </w:numPr>
        <w:ind w:right="0"/>
        <w:rPr>
          <w:rFonts w:ascii="Times New Roman" w:hAnsi="Times New Roman"/>
          <w:w w:val="105"/>
          <w:sz w:val="24"/>
          <w:szCs w:val="24"/>
        </w:rPr>
      </w:pPr>
    </w:p>
    <w:p w:rsidR="009F50C3" w:rsidP="00DC4697" w14:paraId="50FAF188" w14:textId="78301E59">
      <w:pPr>
        <w:pStyle w:val="Answerbulleted"/>
        <w:numPr>
          <w:ilvl w:val="0"/>
          <w:numId w:val="0"/>
        </w:numPr>
        <w:ind w:right="0"/>
        <w:rPr>
          <w:rFonts w:ascii="Times New Roman" w:hAnsi="Times New Roman"/>
          <w:w w:val="105"/>
          <w:sz w:val="24"/>
          <w:szCs w:val="24"/>
        </w:rPr>
      </w:pPr>
      <w:r w:rsidRPr="00FC7AC8">
        <w:rPr>
          <w:rFonts w:ascii="Times New Roman" w:hAnsi="Times New Roman"/>
          <w:w w:val="105"/>
          <w:sz w:val="24"/>
          <w:szCs w:val="24"/>
        </w:rPr>
        <w:t xml:space="preserve">The </w:t>
      </w:r>
      <w:r w:rsidR="00FD3CF2">
        <w:rPr>
          <w:rFonts w:ascii="Times New Roman" w:hAnsi="Times New Roman"/>
          <w:w w:val="105"/>
          <w:sz w:val="24"/>
          <w:szCs w:val="24"/>
        </w:rPr>
        <w:t xml:space="preserve">HRSA </w:t>
      </w:r>
      <w:r w:rsidRPr="00FC7AC8">
        <w:rPr>
          <w:rFonts w:ascii="Times New Roman" w:hAnsi="Times New Roman"/>
          <w:w w:val="105"/>
          <w:sz w:val="24"/>
          <w:szCs w:val="24"/>
        </w:rPr>
        <w:t>HAB performance measures include several priority performance measures categories: 1) core, 2) all ages, 3) adolescent/adult, 4) HIV infected children, 5) HIV exposed children, 6) medical case management, 7) oral health,</w:t>
      </w:r>
      <w:r w:rsidRPr="00FC7AC8">
        <w:rPr>
          <w:rFonts w:ascii="Times New Roman" w:hAnsi="Times New Roman"/>
          <w:w w:val="105"/>
          <w:sz w:val="24"/>
          <w:szCs w:val="24"/>
        </w:rPr>
        <w:t xml:space="preserve"> 8) </w:t>
      </w:r>
      <w:r w:rsidR="00EA785C">
        <w:rPr>
          <w:rFonts w:ascii="Times New Roman" w:hAnsi="Times New Roman"/>
          <w:w w:val="105"/>
          <w:sz w:val="24"/>
          <w:szCs w:val="24"/>
        </w:rPr>
        <w:t xml:space="preserve">AIDS drug assistance program </w:t>
      </w:r>
      <w:r w:rsidRPr="00FC7AC8">
        <w:rPr>
          <w:rFonts w:ascii="Times New Roman" w:hAnsi="Times New Roman"/>
          <w:w w:val="105"/>
          <w:sz w:val="24"/>
          <w:szCs w:val="24"/>
        </w:rPr>
        <w:t>and 9) system</w:t>
      </w:r>
      <w:r w:rsidR="00EA785C">
        <w:rPr>
          <w:rFonts w:ascii="Times New Roman" w:hAnsi="Times New Roman"/>
          <w:w w:val="105"/>
          <w:sz w:val="24"/>
          <w:szCs w:val="24"/>
        </w:rPr>
        <w:t>s-</w:t>
      </w:r>
      <w:r w:rsidRPr="00FC7AC8">
        <w:rPr>
          <w:rFonts w:ascii="Times New Roman" w:hAnsi="Times New Roman"/>
          <w:w w:val="105"/>
          <w:sz w:val="24"/>
          <w:szCs w:val="24"/>
        </w:rPr>
        <w:t>level</w:t>
      </w:r>
      <w:r w:rsidR="00EA785C">
        <w:rPr>
          <w:rFonts w:ascii="Times New Roman" w:hAnsi="Times New Roman"/>
          <w:w w:val="105"/>
          <w:sz w:val="24"/>
          <w:szCs w:val="24"/>
        </w:rPr>
        <w:t>.</w:t>
      </w:r>
      <w:r>
        <w:rPr>
          <w:rStyle w:val="FootnoteReference"/>
          <w:rFonts w:ascii="Times New Roman" w:hAnsi="Times New Roman"/>
          <w:w w:val="105"/>
          <w:sz w:val="24"/>
          <w:szCs w:val="24"/>
          <w:vertAlign w:val="superscript"/>
        </w:rPr>
        <w:footnoteReference w:id="6"/>
      </w:r>
      <w:r w:rsidRPr="00FC7AC8">
        <w:rPr>
          <w:rFonts w:ascii="Times New Roman" w:hAnsi="Times New Roman"/>
          <w:w w:val="105"/>
          <w:sz w:val="24"/>
          <w:szCs w:val="24"/>
        </w:rPr>
        <w:t xml:space="preserve"> </w:t>
      </w:r>
      <w:r w:rsidR="00B256C5">
        <w:rPr>
          <w:rFonts w:ascii="Times New Roman" w:hAnsi="Times New Roman"/>
          <w:w w:val="105"/>
          <w:sz w:val="24"/>
          <w:szCs w:val="24"/>
        </w:rPr>
        <w:t xml:space="preserve"> 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 xml:space="preserve">Recipients can enter </w:t>
      </w:r>
      <w:r w:rsidRPr="00FC7AC8" w:rsidR="00BD11EF">
        <w:rPr>
          <w:rFonts w:ascii="Times New Roman" w:hAnsi="Times New Roman"/>
          <w:w w:val="105"/>
          <w:sz w:val="24"/>
          <w:szCs w:val="24"/>
        </w:rPr>
        <w:t xml:space="preserve">their performance measures 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>data in</w:t>
      </w:r>
      <w:r w:rsidRPr="00FC7AC8" w:rsidR="00BD11EF">
        <w:rPr>
          <w:rFonts w:ascii="Times New Roman" w:hAnsi="Times New Roman"/>
          <w:w w:val="105"/>
          <w:sz w:val="24"/>
          <w:szCs w:val="24"/>
        </w:rPr>
        <w:t>to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 xml:space="preserve"> the </w:t>
      </w:r>
      <w:r w:rsidR="002B74EF">
        <w:rPr>
          <w:rFonts w:ascii="Times New Roman" w:hAnsi="Times New Roman"/>
          <w:w w:val="105"/>
          <w:sz w:val="24"/>
          <w:szCs w:val="24"/>
        </w:rPr>
        <w:t xml:space="preserve">RWHAP 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 xml:space="preserve">HIVQM Module </w:t>
      </w:r>
      <w:r w:rsidRPr="00FC7AC8" w:rsidR="009C1FD8">
        <w:rPr>
          <w:rFonts w:ascii="Times New Roman" w:hAnsi="Times New Roman"/>
          <w:w w:val="105"/>
          <w:sz w:val="24"/>
          <w:szCs w:val="24"/>
        </w:rPr>
        <w:t>and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 xml:space="preserve"> generate reports to assess their </w:t>
      </w:r>
      <w:r w:rsidRPr="00FC7AC8" w:rsidR="007907E2">
        <w:rPr>
          <w:rFonts w:ascii="Times New Roman" w:hAnsi="Times New Roman"/>
          <w:w w:val="105"/>
          <w:sz w:val="24"/>
          <w:szCs w:val="24"/>
        </w:rPr>
        <w:t>efforts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 xml:space="preserve"> </w:t>
      </w:r>
      <w:r w:rsidRPr="00FC7AC8" w:rsidR="0005092C">
        <w:rPr>
          <w:rFonts w:ascii="Times New Roman" w:hAnsi="Times New Roman"/>
          <w:w w:val="105"/>
          <w:sz w:val="24"/>
          <w:szCs w:val="24"/>
        </w:rPr>
        <w:t>and trend</w:t>
      </w:r>
      <w:r w:rsidRPr="00FC7AC8" w:rsidR="00A7181B">
        <w:rPr>
          <w:rFonts w:ascii="Times New Roman" w:hAnsi="Times New Roman"/>
          <w:w w:val="105"/>
          <w:sz w:val="24"/>
          <w:szCs w:val="24"/>
        </w:rPr>
        <w:t xml:space="preserve"> performance measure data over time and analyze them for disparities in care.</w:t>
      </w:r>
      <w:r w:rsidR="00B256C5">
        <w:rPr>
          <w:rFonts w:ascii="Times New Roman" w:hAnsi="Times New Roman"/>
          <w:w w:val="105"/>
          <w:sz w:val="24"/>
          <w:szCs w:val="24"/>
        </w:rPr>
        <w:t xml:space="preserve"> </w:t>
      </w:r>
      <w:r w:rsidRPr="00FC7AC8" w:rsidR="00A7181B">
        <w:rPr>
          <w:rFonts w:ascii="Times New Roman" w:hAnsi="Times New Roman"/>
          <w:w w:val="105"/>
          <w:sz w:val="24"/>
          <w:szCs w:val="24"/>
        </w:rPr>
        <w:t xml:space="preserve"> Recipients can </w:t>
      </w:r>
      <w:r w:rsidRPr="00FC7AC8" w:rsidR="007F2727">
        <w:rPr>
          <w:rFonts w:ascii="Times New Roman" w:hAnsi="Times New Roman"/>
          <w:w w:val="105"/>
          <w:sz w:val="24"/>
          <w:szCs w:val="24"/>
        </w:rPr>
        <w:t>a</w:t>
      </w:r>
      <w:r w:rsidRPr="00FC7AC8" w:rsidR="00C47BBD">
        <w:rPr>
          <w:rFonts w:ascii="Times New Roman" w:hAnsi="Times New Roman"/>
          <w:w w:val="105"/>
          <w:sz w:val="24"/>
          <w:szCs w:val="24"/>
        </w:rPr>
        <w:t>lso compare</w:t>
      </w:r>
      <w:r w:rsidRPr="00FC7AC8" w:rsidR="00F76CED">
        <w:rPr>
          <w:rFonts w:ascii="Times New Roman" w:hAnsi="Times New Roman"/>
          <w:w w:val="105"/>
          <w:sz w:val="24"/>
          <w:szCs w:val="24"/>
        </w:rPr>
        <w:t xml:space="preserve"> </w:t>
      </w:r>
      <w:r w:rsidRPr="00FC7AC8" w:rsidR="00A7181B">
        <w:rPr>
          <w:rFonts w:ascii="Times New Roman" w:hAnsi="Times New Roman"/>
          <w:w w:val="105"/>
          <w:sz w:val="24"/>
          <w:szCs w:val="24"/>
        </w:rPr>
        <w:t>performance measures</w:t>
      </w:r>
      <w:r w:rsidRPr="00FC7AC8" w:rsidR="007907E2">
        <w:rPr>
          <w:rFonts w:ascii="Times New Roman" w:hAnsi="Times New Roman"/>
          <w:w w:val="105"/>
          <w:sz w:val="24"/>
          <w:szCs w:val="24"/>
        </w:rPr>
        <w:t xml:space="preserve"> </w:t>
      </w:r>
      <w:r w:rsidRPr="00FC7AC8" w:rsidR="00F76CED">
        <w:rPr>
          <w:rFonts w:ascii="Times New Roman" w:hAnsi="Times New Roman"/>
          <w:w w:val="105"/>
          <w:sz w:val="24"/>
          <w:szCs w:val="24"/>
        </w:rPr>
        <w:t>against</w:t>
      </w:r>
      <w:r w:rsidRPr="00FC7AC8" w:rsidR="000F2AD8">
        <w:rPr>
          <w:rFonts w:ascii="Times New Roman" w:hAnsi="Times New Roman"/>
          <w:w w:val="105"/>
          <w:sz w:val="24"/>
          <w:szCs w:val="24"/>
        </w:rPr>
        <w:t xml:space="preserve"> other</w:t>
      </w:r>
      <w:r w:rsidRPr="00FC7AC8" w:rsidR="00F76CED">
        <w:rPr>
          <w:rFonts w:ascii="Times New Roman" w:hAnsi="Times New Roman"/>
          <w:w w:val="105"/>
          <w:sz w:val="24"/>
          <w:szCs w:val="24"/>
        </w:rPr>
        <w:t xml:space="preserve"> recipients who also entered data</w:t>
      </w:r>
      <w:r w:rsidRPr="00FC7AC8" w:rsidR="004E4469">
        <w:rPr>
          <w:rFonts w:ascii="Times New Roman" w:hAnsi="Times New Roman"/>
          <w:w w:val="105"/>
          <w:sz w:val="24"/>
          <w:szCs w:val="24"/>
        </w:rPr>
        <w:t xml:space="preserve"> into the </w:t>
      </w:r>
      <w:r w:rsidR="002B74EF">
        <w:rPr>
          <w:rFonts w:ascii="Times New Roman" w:hAnsi="Times New Roman"/>
          <w:w w:val="105"/>
          <w:sz w:val="24"/>
          <w:szCs w:val="24"/>
        </w:rPr>
        <w:t xml:space="preserve">RWHAP </w:t>
      </w:r>
      <w:r w:rsidRPr="00FC7AC8" w:rsidR="004E4469">
        <w:rPr>
          <w:rFonts w:ascii="Times New Roman" w:hAnsi="Times New Roman"/>
          <w:w w:val="105"/>
          <w:sz w:val="24"/>
          <w:szCs w:val="24"/>
        </w:rPr>
        <w:t>HIVQM Module.</w:t>
      </w:r>
      <w:r w:rsidRPr="00FC7AC8" w:rsidR="00C20326">
        <w:rPr>
          <w:rFonts w:ascii="Times New Roman" w:hAnsi="Times New Roman"/>
          <w:w w:val="105"/>
          <w:sz w:val="24"/>
          <w:szCs w:val="24"/>
        </w:rPr>
        <w:t xml:space="preserve"> </w:t>
      </w:r>
    </w:p>
    <w:p w:rsidR="008F6ABC" w:rsidRPr="00B32C86" w14:paraId="33004E92" w14:textId="20792C4E">
      <w:pPr>
        <w:pStyle w:val="Answerbulleted"/>
        <w:numPr>
          <w:ilvl w:val="0"/>
          <w:numId w:val="1"/>
        </w:numPr>
        <w:tabs>
          <w:tab w:val="clear" w:pos="360"/>
        </w:tabs>
        <w:spacing w:before="240" w:after="240"/>
        <w:ind w:right="0"/>
        <w:rPr>
          <w:rFonts w:ascii="Times New Roman" w:hAnsi="Times New Roman"/>
          <w:bCs/>
          <w:sz w:val="24"/>
          <w:szCs w:val="24"/>
          <w:u w:val="single"/>
        </w:rPr>
      </w:pPr>
      <w:r w:rsidRPr="00B32C86">
        <w:rPr>
          <w:rFonts w:ascii="Times New Roman" w:hAnsi="Times New Roman"/>
          <w:bCs/>
          <w:sz w:val="24"/>
          <w:szCs w:val="24"/>
          <w:u w:val="single"/>
        </w:rPr>
        <w:t>Purpose and Use of Information Collection</w:t>
      </w:r>
    </w:p>
    <w:p w:rsidR="00FC4D89" w:rsidP="00DC4697" w14:paraId="5B8210DB" w14:textId="361A603F">
      <w:pPr>
        <w:pStyle w:val="Answerbulleted"/>
        <w:numPr>
          <w:ilvl w:val="0"/>
          <w:numId w:val="0"/>
        </w:numPr>
        <w:spacing w:before="240" w:after="240"/>
        <w:ind w:right="0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spacing w:val="1"/>
          <w:w w:val="105"/>
          <w:sz w:val="24"/>
          <w:szCs w:val="24"/>
        </w:rPr>
        <w:t>HAB created t</w:t>
      </w:r>
      <w:r w:rsidRPr="00B32C86" w:rsidR="00457B13">
        <w:rPr>
          <w:rFonts w:ascii="Times New Roman" w:hAnsi="Times New Roman"/>
          <w:spacing w:val="1"/>
          <w:w w:val="105"/>
          <w:sz w:val="24"/>
          <w:szCs w:val="24"/>
        </w:rPr>
        <w:t xml:space="preserve">he </w:t>
      </w:r>
      <w:r w:rsidR="002B74EF">
        <w:rPr>
          <w:rFonts w:ascii="Times New Roman" w:hAnsi="Times New Roman"/>
          <w:spacing w:val="1"/>
          <w:w w:val="105"/>
          <w:sz w:val="24"/>
          <w:szCs w:val="24"/>
        </w:rPr>
        <w:t xml:space="preserve">RWHAP </w:t>
      </w:r>
      <w:r w:rsidRPr="00B32C86" w:rsidR="00457B13">
        <w:rPr>
          <w:rFonts w:ascii="Times New Roman" w:hAnsi="Times New Roman"/>
          <w:w w:val="105"/>
          <w:sz w:val="24"/>
          <w:szCs w:val="24"/>
        </w:rPr>
        <w:t>HIVQM Module to be the online tool to facilitate recipients in meeting the clinical quality management program requirement.</w:t>
      </w:r>
      <w:r w:rsidR="00B256C5">
        <w:rPr>
          <w:rFonts w:ascii="Times New Roman" w:hAnsi="Times New Roman"/>
          <w:w w:val="105"/>
          <w:sz w:val="24"/>
          <w:szCs w:val="24"/>
        </w:rPr>
        <w:t xml:space="preserve">  </w:t>
      </w:r>
      <w:r w:rsidRPr="00B32C86" w:rsidR="00457B13">
        <w:rPr>
          <w:rFonts w:ascii="Times New Roman" w:hAnsi="Times New Roman"/>
          <w:w w:val="105"/>
          <w:sz w:val="24"/>
          <w:szCs w:val="24"/>
        </w:rPr>
        <w:t xml:space="preserve">The use of the module is voluntary for RWHAP recipients and </w:t>
      </w:r>
      <w:r w:rsidRPr="00B32C86" w:rsidR="00457B13">
        <w:rPr>
          <w:rFonts w:ascii="Times New Roman" w:hAnsi="Times New Roman"/>
          <w:w w:val="105"/>
          <w:sz w:val="24"/>
          <w:szCs w:val="24"/>
        </w:rPr>
        <w:t>subrecipients</w:t>
      </w:r>
      <w:r w:rsidRPr="00B32C86" w:rsidR="00457B13">
        <w:rPr>
          <w:rFonts w:ascii="Times New Roman" w:hAnsi="Times New Roman"/>
          <w:w w:val="105"/>
          <w:sz w:val="24"/>
          <w:szCs w:val="24"/>
        </w:rPr>
        <w:t xml:space="preserve">, but strongly encouraged. </w:t>
      </w:r>
      <w:bookmarkStart w:id="0" w:name="_Hlk12446623"/>
    </w:p>
    <w:p w:rsidR="00D01C19" w:rsidRPr="00BE030F" w:rsidP="001D7072" w14:paraId="6CCEEEFD" w14:textId="2E5B96F9">
      <w:pPr>
        <w:pStyle w:val="Answerbulleted"/>
        <w:numPr>
          <w:ilvl w:val="0"/>
          <w:numId w:val="0"/>
        </w:numPr>
        <w:ind w:right="0"/>
        <w:rPr>
          <w:rFonts w:ascii="Times New Roman" w:hAnsi="Times New Roman"/>
          <w:sz w:val="24"/>
          <w:szCs w:val="24"/>
        </w:rPr>
      </w:pPr>
      <w:r w:rsidRPr="00B32C86">
        <w:rPr>
          <w:rFonts w:ascii="Times New Roman" w:hAnsi="Times New Roman"/>
          <w:sz w:val="24"/>
          <w:szCs w:val="24"/>
        </w:rPr>
        <w:t xml:space="preserve">The </w:t>
      </w:r>
      <w:r w:rsidR="002B74EF">
        <w:rPr>
          <w:rFonts w:ascii="Times New Roman" w:hAnsi="Times New Roman"/>
          <w:sz w:val="24"/>
          <w:szCs w:val="24"/>
        </w:rPr>
        <w:t xml:space="preserve">RWHAP </w:t>
      </w:r>
      <w:r w:rsidRPr="00B32C86">
        <w:rPr>
          <w:rFonts w:ascii="Times New Roman" w:hAnsi="Times New Roman"/>
          <w:sz w:val="24"/>
          <w:szCs w:val="24"/>
        </w:rPr>
        <w:t>HIVQM</w:t>
      </w:r>
      <w:r w:rsidRPr="00B32C86" w:rsidR="005778B9">
        <w:rPr>
          <w:rFonts w:ascii="Times New Roman" w:hAnsi="Times New Roman"/>
          <w:sz w:val="24"/>
          <w:szCs w:val="24"/>
        </w:rPr>
        <w:t xml:space="preserve"> Module</w:t>
      </w:r>
      <w:r w:rsidRPr="00B32C86">
        <w:rPr>
          <w:rFonts w:ascii="Times New Roman" w:hAnsi="Times New Roman"/>
          <w:sz w:val="24"/>
          <w:szCs w:val="24"/>
        </w:rPr>
        <w:t xml:space="preserve"> provide</w:t>
      </w:r>
      <w:r w:rsidR="00FC7AC8">
        <w:rPr>
          <w:rFonts w:ascii="Times New Roman" w:hAnsi="Times New Roman"/>
          <w:sz w:val="24"/>
          <w:szCs w:val="24"/>
        </w:rPr>
        <w:t>s</w:t>
      </w:r>
      <w:r w:rsidRPr="00B32C86">
        <w:rPr>
          <w:rFonts w:ascii="Times New Roman" w:hAnsi="Times New Roman"/>
          <w:sz w:val="24"/>
          <w:szCs w:val="24"/>
        </w:rPr>
        <w:t xml:space="preserve"> recipients an easy-to-use and structured platform</w:t>
      </w:r>
      <w:r w:rsidRPr="00B32C86" w:rsidR="002531C8">
        <w:rPr>
          <w:rFonts w:ascii="Times New Roman" w:hAnsi="Times New Roman"/>
          <w:sz w:val="24"/>
          <w:szCs w:val="24"/>
        </w:rPr>
        <w:t xml:space="preserve"> </w:t>
      </w:r>
      <w:r w:rsidRPr="00B32C86">
        <w:rPr>
          <w:rFonts w:ascii="Times New Roman" w:hAnsi="Times New Roman"/>
          <w:sz w:val="24"/>
          <w:szCs w:val="24"/>
        </w:rPr>
        <w:t>to</w:t>
      </w:r>
      <w:r w:rsidRPr="00B32C86">
        <w:rPr>
          <w:rFonts w:ascii="Times New Roman" w:hAnsi="Times New Roman"/>
          <w:sz w:val="24"/>
          <w:szCs w:val="24"/>
          <w:lang w:eastAsia="x-none"/>
        </w:rPr>
        <w:t xml:space="preserve"> continually</w:t>
      </w:r>
      <w:r w:rsidRPr="00B32C86">
        <w:rPr>
          <w:rFonts w:ascii="Times New Roman" w:hAnsi="Times New Roman"/>
          <w:sz w:val="24"/>
          <w:szCs w:val="24"/>
        </w:rPr>
        <w:t xml:space="preserve"> monitor </w:t>
      </w:r>
      <w:r w:rsidRPr="00B32C86">
        <w:rPr>
          <w:rFonts w:ascii="Times New Roman" w:hAnsi="Times New Roman"/>
          <w:sz w:val="24"/>
          <w:szCs w:val="24"/>
          <w:lang w:eastAsia="x-none"/>
        </w:rPr>
        <w:t xml:space="preserve">their performance in serving their clients, particularly in access to care and the provision of </w:t>
      </w:r>
      <w:r w:rsidRPr="00B32C86">
        <w:rPr>
          <w:rFonts w:ascii="Times New Roman" w:hAnsi="Times New Roman"/>
          <w:sz w:val="24"/>
          <w:szCs w:val="24"/>
        </w:rPr>
        <w:t xml:space="preserve">quality </w:t>
      </w:r>
      <w:r w:rsidRPr="00B32C86">
        <w:rPr>
          <w:rFonts w:ascii="Times New Roman" w:hAnsi="Times New Roman"/>
          <w:sz w:val="24"/>
          <w:szCs w:val="24"/>
          <w:lang w:eastAsia="x-none"/>
        </w:rPr>
        <w:t xml:space="preserve">HIV services. </w:t>
      </w:r>
      <w:r w:rsidR="00C34BE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32C86">
        <w:rPr>
          <w:rFonts w:ascii="Times New Roman" w:hAnsi="Times New Roman"/>
          <w:sz w:val="24"/>
          <w:szCs w:val="24"/>
          <w:lang w:eastAsia="x-none"/>
        </w:rPr>
        <w:t xml:space="preserve">The main purpose </w:t>
      </w:r>
      <w:r w:rsidR="00C34BEB">
        <w:rPr>
          <w:rFonts w:ascii="Times New Roman" w:hAnsi="Times New Roman"/>
          <w:sz w:val="24"/>
          <w:szCs w:val="24"/>
          <w:lang w:eastAsia="x-none"/>
        </w:rPr>
        <w:t>of</w:t>
      </w:r>
      <w:r w:rsidRPr="00B32C86" w:rsidR="00C34BE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32C86">
        <w:rPr>
          <w:rFonts w:ascii="Times New Roman" w:hAnsi="Times New Roman"/>
          <w:sz w:val="24"/>
          <w:szCs w:val="24"/>
          <w:lang w:eastAsia="x-none"/>
        </w:rPr>
        <w:t>the module is to help recipients set goals and monitor performance measures and their quality improvement projects.</w:t>
      </w:r>
      <w:r w:rsidR="00B256C5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C34BE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32C86" w:rsidR="001D7072">
        <w:rPr>
          <w:rFonts w:ascii="Times New Roman" w:hAnsi="Times New Roman"/>
          <w:sz w:val="24"/>
          <w:szCs w:val="24"/>
        </w:rPr>
        <w:t xml:space="preserve">HRSA </w:t>
      </w:r>
      <w:r w:rsidR="001D7072">
        <w:rPr>
          <w:rFonts w:ascii="Times New Roman" w:hAnsi="Times New Roman"/>
          <w:sz w:val="24"/>
          <w:szCs w:val="24"/>
        </w:rPr>
        <w:t>anticipates</w:t>
      </w:r>
      <w:r w:rsidRPr="00B32C86">
        <w:rPr>
          <w:rFonts w:ascii="Times New Roman" w:hAnsi="Times New Roman"/>
          <w:sz w:val="24"/>
          <w:szCs w:val="24"/>
        </w:rPr>
        <w:t xml:space="preserve"> </w:t>
      </w:r>
      <w:r w:rsidR="00B81812">
        <w:rPr>
          <w:rFonts w:ascii="Times New Roman" w:hAnsi="Times New Roman"/>
          <w:sz w:val="24"/>
          <w:szCs w:val="24"/>
        </w:rPr>
        <w:t xml:space="preserve">that </w:t>
      </w:r>
      <w:r w:rsidRPr="00B32C86">
        <w:rPr>
          <w:rFonts w:ascii="Times New Roman" w:hAnsi="Times New Roman"/>
          <w:sz w:val="24"/>
          <w:szCs w:val="24"/>
        </w:rPr>
        <w:t xml:space="preserve">the </w:t>
      </w:r>
      <w:r w:rsidR="002B74EF">
        <w:rPr>
          <w:rFonts w:ascii="Times New Roman" w:hAnsi="Times New Roman"/>
          <w:sz w:val="24"/>
          <w:szCs w:val="24"/>
        </w:rPr>
        <w:t xml:space="preserve">RWHAP </w:t>
      </w:r>
      <w:r w:rsidRPr="00B32C86">
        <w:rPr>
          <w:rFonts w:ascii="Times New Roman" w:hAnsi="Times New Roman"/>
          <w:sz w:val="24"/>
          <w:szCs w:val="24"/>
        </w:rPr>
        <w:t xml:space="preserve">HIVQM </w:t>
      </w:r>
      <w:r w:rsidRPr="00B32C86" w:rsidR="001626D0">
        <w:rPr>
          <w:rFonts w:ascii="Times New Roman" w:hAnsi="Times New Roman"/>
          <w:sz w:val="24"/>
          <w:szCs w:val="24"/>
        </w:rPr>
        <w:t xml:space="preserve">Module </w:t>
      </w:r>
      <w:r w:rsidR="0040152D">
        <w:rPr>
          <w:rFonts w:ascii="Times New Roman" w:hAnsi="Times New Roman"/>
          <w:sz w:val="24"/>
          <w:szCs w:val="24"/>
        </w:rPr>
        <w:t xml:space="preserve">will better </w:t>
      </w:r>
      <w:r w:rsidRPr="00B32C86">
        <w:rPr>
          <w:rFonts w:ascii="Times New Roman" w:hAnsi="Times New Roman"/>
          <w:sz w:val="24"/>
          <w:szCs w:val="24"/>
        </w:rPr>
        <w:t xml:space="preserve">support clinical quality management, </w:t>
      </w:r>
      <w:r w:rsidRPr="00EA785C">
        <w:rPr>
          <w:rFonts w:ascii="Times New Roman" w:hAnsi="Times New Roman"/>
          <w:sz w:val="24"/>
          <w:szCs w:val="24"/>
        </w:rPr>
        <w:t xml:space="preserve">performance measurement, service delivery, and client monitoring at both the </w:t>
      </w:r>
      <w:r w:rsidRPr="00EA785C">
        <w:rPr>
          <w:rFonts w:ascii="Times New Roman" w:hAnsi="Times New Roman"/>
          <w:sz w:val="24"/>
          <w:szCs w:val="24"/>
          <w:lang w:eastAsia="x-none"/>
        </w:rPr>
        <w:t>recipient</w:t>
      </w:r>
      <w:r w:rsidRPr="00EA785C" w:rsidR="004E66AD">
        <w:rPr>
          <w:rFonts w:ascii="Times New Roman" w:hAnsi="Times New Roman"/>
          <w:sz w:val="24"/>
          <w:szCs w:val="24"/>
        </w:rPr>
        <w:t xml:space="preserve"> and client levels</w:t>
      </w:r>
      <w:r w:rsidRPr="00EA785C" w:rsidR="007601AF">
        <w:rPr>
          <w:rFonts w:ascii="Times New Roman" w:hAnsi="Times New Roman"/>
          <w:sz w:val="24"/>
          <w:szCs w:val="24"/>
        </w:rPr>
        <w:t>.</w:t>
      </w:r>
      <w:r w:rsidRPr="00EA785C" w:rsidR="00C34BEB">
        <w:rPr>
          <w:rFonts w:ascii="Times New Roman" w:hAnsi="Times New Roman"/>
          <w:sz w:val="24"/>
          <w:szCs w:val="24"/>
        </w:rPr>
        <w:t xml:space="preserve">  </w:t>
      </w:r>
      <w:r w:rsidRPr="00BE030F" w:rsidR="002531C8">
        <w:rPr>
          <w:rFonts w:ascii="Times New Roman" w:hAnsi="Times New Roman"/>
          <w:sz w:val="24"/>
          <w:szCs w:val="24"/>
        </w:rPr>
        <w:t>The module also provide</w:t>
      </w:r>
      <w:r w:rsidRPr="00BE030F" w:rsidR="00C34BEB">
        <w:rPr>
          <w:rFonts w:ascii="Times New Roman" w:hAnsi="Times New Roman"/>
          <w:sz w:val="24"/>
          <w:szCs w:val="24"/>
        </w:rPr>
        <w:t>s</w:t>
      </w:r>
      <w:r w:rsidRPr="00BE030F" w:rsidR="002531C8">
        <w:rPr>
          <w:rFonts w:ascii="Times New Roman" w:hAnsi="Times New Roman"/>
          <w:sz w:val="24"/>
          <w:szCs w:val="24"/>
        </w:rPr>
        <w:t xml:space="preserve"> HRSA </w:t>
      </w:r>
      <w:r w:rsidRPr="00BE030F" w:rsidR="00C34BEB">
        <w:rPr>
          <w:rFonts w:ascii="Times New Roman" w:hAnsi="Times New Roman"/>
          <w:sz w:val="24"/>
          <w:szCs w:val="24"/>
        </w:rPr>
        <w:t xml:space="preserve">with </w:t>
      </w:r>
      <w:r w:rsidRPr="00BE030F" w:rsidR="002531C8">
        <w:rPr>
          <w:rFonts w:ascii="Times New Roman" w:hAnsi="Times New Roman"/>
          <w:sz w:val="24"/>
          <w:szCs w:val="24"/>
        </w:rPr>
        <w:t>a better assessment of the quality of the services provided by RWHAP</w:t>
      </w:r>
      <w:r w:rsidRPr="00BE030F" w:rsidR="001626D0">
        <w:rPr>
          <w:rFonts w:ascii="Times New Roman" w:hAnsi="Times New Roman"/>
          <w:sz w:val="24"/>
          <w:szCs w:val="24"/>
        </w:rPr>
        <w:t xml:space="preserve"> and monitor</w:t>
      </w:r>
      <w:r w:rsidRPr="00BE030F" w:rsidR="00986550">
        <w:rPr>
          <w:rFonts w:ascii="Times New Roman" w:hAnsi="Times New Roman"/>
          <w:sz w:val="24"/>
          <w:szCs w:val="24"/>
        </w:rPr>
        <w:t>s</w:t>
      </w:r>
      <w:r w:rsidRPr="00BE030F" w:rsidR="001626D0">
        <w:rPr>
          <w:rFonts w:ascii="Times New Roman" w:hAnsi="Times New Roman"/>
          <w:sz w:val="24"/>
          <w:szCs w:val="24"/>
        </w:rPr>
        <w:t xml:space="preserve"> improvements in the HAB performance measures over time</w:t>
      </w:r>
      <w:r w:rsidRPr="00BE030F" w:rsidR="002531C8">
        <w:rPr>
          <w:rFonts w:ascii="Times New Roman" w:hAnsi="Times New Roman"/>
          <w:sz w:val="24"/>
          <w:szCs w:val="24"/>
        </w:rPr>
        <w:t xml:space="preserve">. </w:t>
      </w:r>
      <w:bookmarkEnd w:id="0"/>
    </w:p>
    <w:p w:rsidR="008F6ABC" w:rsidRPr="00B32C86" w14:paraId="45F4B195" w14:textId="2BA9F9E9">
      <w:pPr>
        <w:numPr>
          <w:ilvl w:val="0"/>
          <w:numId w:val="1"/>
        </w:numPr>
        <w:spacing w:before="240"/>
        <w:rPr>
          <w:bCs/>
          <w:sz w:val="24"/>
        </w:rPr>
      </w:pPr>
      <w:r w:rsidRPr="00B32C86">
        <w:rPr>
          <w:bCs/>
          <w:sz w:val="24"/>
          <w:u w:val="single"/>
        </w:rPr>
        <w:t>Use of Improved Information Technology</w:t>
      </w:r>
      <w:r w:rsidR="00F61506">
        <w:rPr>
          <w:bCs/>
          <w:sz w:val="24"/>
          <w:u w:val="single"/>
        </w:rPr>
        <w:t xml:space="preserve"> and Burden Reduction</w:t>
      </w:r>
    </w:p>
    <w:p w:rsidR="000B45BA" w:rsidRPr="00B32C86" w:rsidP="00DC4697" w14:paraId="574D744C" w14:textId="7FE01307">
      <w:pPr>
        <w:spacing w:before="240"/>
        <w:rPr>
          <w:sz w:val="24"/>
        </w:rPr>
      </w:pPr>
      <w:r w:rsidRPr="00B32C86">
        <w:rPr>
          <w:sz w:val="24"/>
        </w:rPr>
        <w:t>The</w:t>
      </w:r>
      <w:r w:rsidR="002B74EF">
        <w:rPr>
          <w:sz w:val="24"/>
        </w:rPr>
        <w:t xml:space="preserve"> RWHAP</w:t>
      </w:r>
      <w:r w:rsidRPr="00B32C86">
        <w:rPr>
          <w:sz w:val="24"/>
        </w:rPr>
        <w:t xml:space="preserve"> HIVQM </w:t>
      </w:r>
      <w:r w:rsidRPr="00B32C86" w:rsidR="001626D0">
        <w:rPr>
          <w:sz w:val="24"/>
        </w:rPr>
        <w:t>M</w:t>
      </w:r>
      <w:r w:rsidRPr="00B32C86">
        <w:rPr>
          <w:sz w:val="24"/>
        </w:rPr>
        <w:t xml:space="preserve">odule is housed in the Electronic Handbooks (EHBs), an existing website for recipients to enter other data required for </w:t>
      </w:r>
      <w:r w:rsidRPr="00B32C86" w:rsidR="001626D0">
        <w:rPr>
          <w:sz w:val="24"/>
        </w:rPr>
        <w:t>RWHAP</w:t>
      </w:r>
      <w:r w:rsidRPr="00B32C86">
        <w:rPr>
          <w:sz w:val="24"/>
        </w:rPr>
        <w:t xml:space="preserve">-funded agencies, such as the Ryan White Services Report (RSR). </w:t>
      </w:r>
      <w:r w:rsidR="00C34BEB">
        <w:rPr>
          <w:sz w:val="24"/>
        </w:rPr>
        <w:t xml:space="preserve"> </w:t>
      </w:r>
      <w:r w:rsidRPr="00B32C86">
        <w:rPr>
          <w:sz w:val="24"/>
        </w:rPr>
        <w:t xml:space="preserve">Users must obtain or learn this technology for other </w:t>
      </w:r>
      <w:r w:rsidRPr="00B32C86" w:rsidR="001626D0">
        <w:rPr>
          <w:sz w:val="24"/>
        </w:rPr>
        <w:t>RWHAP</w:t>
      </w:r>
      <w:r w:rsidRPr="00B32C86">
        <w:rPr>
          <w:sz w:val="24"/>
        </w:rPr>
        <w:t xml:space="preserve"> purposes </w:t>
      </w:r>
      <w:r w:rsidRPr="00B32C86" w:rsidR="00A5782C">
        <w:rPr>
          <w:sz w:val="24"/>
        </w:rPr>
        <w:t xml:space="preserve">beyond the </w:t>
      </w:r>
      <w:r w:rsidRPr="00B32C86">
        <w:rPr>
          <w:sz w:val="24"/>
        </w:rPr>
        <w:t xml:space="preserve">use of the </w:t>
      </w:r>
      <w:r w:rsidR="002B74EF">
        <w:rPr>
          <w:sz w:val="24"/>
        </w:rPr>
        <w:t xml:space="preserve">RWHAP </w:t>
      </w:r>
      <w:r w:rsidRPr="00B32C86">
        <w:rPr>
          <w:sz w:val="24"/>
        </w:rPr>
        <w:t xml:space="preserve">HIVQM </w:t>
      </w:r>
      <w:r w:rsidRPr="00B32C86" w:rsidR="001626D0">
        <w:rPr>
          <w:sz w:val="24"/>
        </w:rPr>
        <w:t>M</w:t>
      </w:r>
      <w:r w:rsidRPr="00B32C86">
        <w:rPr>
          <w:sz w:val="24"/>
        </w:rPr>
        <w:t>odule.</w:t>
      </w:r>
      <w:r w:rsidRPr="00B32C86" w:rsidR="00575CBB">
        <w:rPr>
          <w:sz w:val="24"/>
        </w:rPr>
        <w:t xml:space="preserve"> </w:t>
      </w:r>
      <w:r w:rsidR="00C34BEB">
        <w:rPr>
          <w:sz w:val="24"/>
        </w:rPr>
        <w:t xml:space="preserve"> </w:t>
      </w:r>
      <w:r w:rsidRPr="00B32C86" w:rsidR="00575CBB">
        <w:rPr>
          <w:sz w:val="24"/>
        </w:rPr>
        <w:t>In addition, s</w:t>
      </w:r>
      <w:r w:rsidRPr="00B32C86">
        <w:rPr>
          <w:sz w:val="24"/>
        </w:rPr>
        <w:t>ome information, particular</w:t>
      </w:r>
      <w:r w:rsidRPr="00B32C86" w:rsidR="00575CBB">
        <w:rPr>
          <w:sz w:val="24"/>
        </w:rPr>
        <w:t>l</w:t>
      </w:r>
      <w:r w:rsidRPr="00B32C86">
        <w:rPr>
          <w:sz w:val="24"/>
        </w:rPr>
        <w:t xml:space="preserve">y the provider information, </w:t>
      </w:r>
      <w:r w:rsidR="00EA785C">
        <w:rPr>
          <w:sz w:val="24"/>
        </w:rPr>
        <w:t>is</w:t>
      </w:r>
      <w:r w:rsidRPr="00B32C86">
        <w:rPr>
          <w:sz w:val="24"/>
        </w:rPr>
        <w:t xml:space="preserve"> pre-populated using data from the organization’s RSR.</w:t>
      </w:r>
      <w:r w:rsidRPr="00B32C86" w:rsidR="00575CBB">
        <w:rPr>
          <w:sz w:val="24"/>
        </w:rPr>
        <w:t xml:space="preserve"> </w:t>
      </w:r>
      <w:r w:rsidR="00C34BEB">
        <w:rPr>
          <w:sz w:val="24"/>
        </w:rPr>
        <w:t xml:space="preserve"> </w:t>
      </w:r>
      <w:r w:rsidRPr="00B32C86" w:rsidR="00575CBB">
        <w:rPr>
          <w:sz w:val="24"/>
        </w:rPr>
        <w:t xml:space="preserve">Data entered </w:t>
      </w:r>
      <w:r w:rsidR="00EA785C">
        <w:rPr>
          <w:sz w:val="24"/>
        </w:rPr>
        <w:t>is</w:t>
      </w:r>
      <w:r w:rsidRPr="00B32C86" w:rsidR="00575CBB">
        <w:rPr>
          <w:sz w:val="24"/>
        </w:rPr>
        <w:t xml:space="preserve"> saved for the next data collection so that users can easily </w:t>
      </w:r>
      <w:r w:rsidRPr="00B32C86" w:rsidR="00575CBB">
        <w:rPr>
          <w:sz w:val="24"/>
        </w:rPr>
        <w:t>update or change their data.</w:t>
      </w:r>
      <w:r w:rsidRPr="00B32C86" w:rsidR="002531C8">
        <w:rPr>
          <w:sz w:val="24"/>
        </w:rPr>
        <w:t xml:space="preserve"> </w:t>
      </w:r>
      <w:r w:rsidR="00B256C5">
        <w:rPr>
          <w:sz w:val="24"/>
        </w:rPr>
        <w:t xml:space="preserve"> </w:t>
      </w:r>
      <w:r w:rsidRPr="00B32C86" w:rsidR="002531C8">
        <w:rPr>
          <w:sz w:val="24"/>
        </w:rPr>
        <w:t xml:space="preserve">See </w:t>
      </w:r>
      <w:r w:rsidRPr="00997EAD" w:rsidR="002531C8">
        <w:rPr>
          <w:sz w:val="24"/>
        </w:rPr>
        <w:t xml:space="preserve">Attachment B for the </w:t>
      </w:r>
      <w:r w:rsidRPr="00997EAD" w:rsidR="002B74EF">
        <w:rPr>
          <w:sz w:val="24"/>
        </w:rPr>
        <w:t xml:space="preserve">RWHAP </w:t>
      </w:r>
      <w:r w:rsidRPr="00997EAD" w:rsidR="002531C8">
        <w:rPr>
          <w:sz w:val="24"/>
        </w:rPr>
        <w:t xml:space="preserve">HIVQM </w:t>
      </w:r>
      <w:r w:rsidRPr="00997EAD" w:rsidR="00A5782C">
        <w:rPr>
          <w:sz w:val="24"/>
        </w:rPr>
        <w:t xml:space="preserve">Module </w:t>
      </w:r>
      <w:r w:rsidRPr="00997EAD" w:rsidR="00D97684">
        <w:rPr>
          <w:sz w:val="24"/>
        </w:rPr>
        <w:t>Draft</w:t>
      </w:r>
      <w:r w:rsidRPr="00997EAD" w:rsidR="002531C8">
        <w:rPr>
          <w:sz w:val="24"/>
        </w:rPr>
        <w:t xml:space="preserve"> Manual.</w:t>
      </w:r>
    </w:p>
    <w:p w:rsidR="008F6ABC" w:rsidRPr="00B32C86" w14:paraId="56006153" w14:textId="749547B9">
      <w:pPr>
        <w:numPr>
          <w:ilvl w:val="0"/>
          <w:numId w:val="1"/>
        </w:numPr>
        <w:spacing w:before="240"/>
        <w:rPr>
          <w:bCs/>
          <w:sz w:val="24"/>
        </w:rPr>
      </w:pPr>
      <w:r w:rsidRPr="00B32C86">
        <w:rPr>
          <w:bCs/>
          <w:sz w:val="24"/>
          <w:u w:val="single"/>
        </w:rPr>
        <w:t xml:space="preserve">Efforts to </w:t>
      </w:r>
      <w:r w:rsidR="000206C1">
        <w:rPr>
          <w:bCs/>
          <w:sz w:val="24"/>
          <w:u w:val="single"/>
        </w:rPr>
        <w:t>Identify Duplication and Use of Similar Information</w:t>
      </w:r>
    </w:p>
    <w:p w:rsidR="002A6CB1" w:rsidP="000705D9" w14:paraId="168CDF9D" w14:textId="2A02E2C2">
      <w:pPr>
        <w:spacing w:before="240"/>
        <w:rPr>
          <w:sz w:val="24"/>
        </w:rPr>
      </w:pPr>
      <w:r w:rsidRPr="00B32C86">
        <w:rPr>
          <w:sz w:val="24"/>
        </w:rPr>
        <w:t xml:space="preserve">The </w:t>
      </w:r>
      <w:r w:rsidR="002B74EF">
        <w:rPr>
          <w:sz w:val="24"/>
        </w:rPr>
        <w:t xml:space="preserve">RWHAP </w:t>
      </w:r>
      <w:r w:rsidRPr="00B32C86">
        <w:rPr>
          <w:sz w:val="24"/>
        </w:rPr>
        <w:t>HIVQM Module is an optional tool that recipients may choose to enter their performance measure data into and generate reports to assess their performance.</w:t>
      </w:r>
    </w:p>
    <w:p w:rsidR="00E939A1" w:rsidRPr="00B32C86" w:rsidP="00C34BEB" w14:paraId="67A28065" w14:textId="4D62EF41">
      <w:pPr>
        <w:spacing w:before="240"/>
        <w:rPr>
          <w:b/>
          <w:sz w:val="24"/>
        </w:rPr>
      </w:pPr>
      <w:r w:rsidRPr="00B32C86">
        <w:rPr>
          <w:sz w:val="24"/>
        </w:rPr>
        <w:t xml:space="preserve">Recipients report on some clinical data elements </w:t>
      </w:r>
      <w:r w:rsidRPr="00B32C86" w:rsidR="00503C21">
        <w:rPr>
          <w:sz w:val="24"/>
        </w:rPr>
        <w:t xml:space="preserve">electronically </w:t>
      </w:r>
      <w:r w:rsidRPr="00B32C86">
        <w:rPr>
          <w:sz w:val="24"/>
        </w:rPr>
        <w:t>through the required RSR</w:t>
      </w:r>
      <w:r w:rsidRPr="00B32C86" w:rsidR="00F00977">
        <w:rPr>
          <w:sz w:val="24"/>
        </w:rPr>
        <w:t>, OMB control #0915-0323,</w:t>
      </w:r>
      <w:r w:rsidRPr="00B32C86">
        <w:rPr>
          <w:sz w:val="24"/>
        </w:rPr>
        <w:t xml:space="preserve"> </w:t>
      </w:r>
      <w:r w:rsidRPr="00B32C86" w:rsidR="00B50A61">
        <w:rPr>
          <w:sz w:val="24"/>
        </w:rPr>
        <w:t>and the AIDS Drugs Assistance Program Data Report (ADR)</w:t>
      </w:r>
      <w:r w:rsidRPr="00B32C86" w:rsidR="00F00977">
        <w:rPr>
          <w:sz w:val="24"/>
        </w:rPr>
        <w:t xml:space="preserve">, OMB control #0915-0345, </w:t>
      </w:r>
      <w:r w:rsidR="00D872FB">
        <w:rPr>
          <w:sz w:val="24"/>
        </w:rPr>
        <w:t>annually</w:t>
      </w:r>
      <w:r w:rsidRPr="00B32C86">
        <w:rPr>
          <w:sz w:val="24"/>
        </w:rPr>
        <w:t xml:space="preserve">; however, this information </w:t>
      </w:r>
      <w:r w:rsidR="00D872FB">
        <w:rPr>
          <w:sz w:val="24"/>
        </w:rPr>
        <w:t>provides</w:t>
      </w:r>
      <w:r w:rsidRPr="00B32C86">
        <w:rPr>
          <w:sz w:val="24"/>
        </w:rPr>
        <w:t xml:space="preserve"> </w:t>
      </w:r>
      <w:r w:rsidRPr="00B32C86" w:rsidR="00D15144">
        <w:rPr>
          <w:sz w:val="24"/>
        </w:rPr>
        <w:t xml:space="preserve">recipients and </w:t>
      </w:r>
      <w:r w:rsidRPr="00B32C86">
        <w:rPr>
          <w:sz w:val="24"/>
        </w:rPr>
        <w:t>HAB only a snapshot of the quality of HIV services provided.</w:t>
      </w:r>
    </w:p>
    <w:p w:rsidR="0003279E" w:rsidRPr="00B32C86" w:rsidP="001D7072" w14:paraId="60249B53" w14:textId="7C116EE6">
      <w:pPr>
        <w:spacing w:before="240"/>
        <w:rPr>
          <w:sz w:val="24"/>
        </w:rPr>
      </w:pPr>
      <w:r w:rsidRPr="00B32C86">
        <w:rPr>
          <w:sz w:val="24"/>
        </w:rPr>
        <w:t xml:space="preserve">Per the </w:t>
      </w:r>
      <w:r w:rsidR="00986550">
        <w:rPr>
          <w:sz w:val="24"/>
        </w:rPr>
        <w:t xml:space="preserve">RWHAP </w:t>
      </w:r>
      <w:r w:rsidR="00193594">
        <w:rPr>
          <w:sz w:val="24"/>
        </w:rPr>
        <w:t xml:space="preserve">legislative </w:t>
      </w:r>
      <w:r w:rsidRPr="00B32C86">
        <w:rPr>
          <w:sz w:val="24"/>
        </w:rPr>
        <w:t>requirement to establish clinical quality management programs,</w:t>
      </w:r>
      <w:r w:rsidRPr="00B32C86" w:rsidR="00AF11DF">
        <w:rPr>
          <w:sz w:val="24"/>
        </w:rPr>
        <w:t xml:space="preserve"> </w:t>
      </w:r>
      <w:r w:rsidRPr="00B32C86">
        <w:rPr>
          <w:sz w:val="24"/>
        </w:rPr>
        <w:t xml:space="preserve">recipients may also be </w:t>
      </w:r>
      <w:r w:rsidRPr="00B32C86" w:rsidR="00822A7D">
        <w:rPr>
          <w:sz w:val="24"/>
        </w:rPr>
        <w:t>already</w:t>
      </w:r>
      <w:r w:rsidRPr="00B32C86">
        <w:rPr>
          <w:sz w:val="24"/>
        </w:rPr>
        <w:t xml:space="preserve"> </w:t>
      </w:r>
      <w:r w:rsidRPr="00B32C86" w:rsidR="00822A7D">
        <w:rPr>
          <w:sz w:val="24"/>
        </w:rPr>
        <w:t xml:space="preserve">collecting </w:t>
      </w:r>
      <w:r w:rsidRPr="00B32C86">
        <w:rPr>
          <w:sz w:val="24"/>
        </w:rPr>
        <w:t xml:space="preserve">this </w:t>
      </w:r>
      <w:r w:rsidRPr="00B32C86" w:rsidR="00822A7D">
        <w:rPr>
          <w:sz w:val="24"/>
        </w:rPr>
        <w:t>data</w:t>
      </w:r>
      <w:r w:rsidRPr="00B32C86">
        <w:rPr>
          <w:sz w:val="24"/>
        </w:rPr>
        <w:t xml:space="preserve"> for this purpose. </w:t>
      </w:r>
      <w:r w:rsidRPr="00B32C86" w:rsidR="00575CBB">
        <w:rPr>
          <w:sz w:val="24"/>
        </w:rPr>
        <w:t xml:space="preserve"> </w:t>
      </w:r>
      <w:r w:rsidRPr="00B32C86">
        <w:rPr>
          <w:sz w:val="24"/>
        </w:rPr>
        <w:t xml:space="preserve"> </w:t>
      </w:r>
    </w:p>
    <w:p w:rsidR="008C2269" w:rsidRPr="00B32C86" w14:paraId="4D9963F6" w14:textId="48382876">
      <w:pPr>
        <w:numPr>
          <w:ilvl w:val="0"/>
          <w:numId w:val="1"/>
        </w:numPr>
        <w:spacing w:before="240"/>
        <w:rPr>
          <w:bCs/>
          <w:color w:val="000000"/>
          <w:sz w:val="24"/>
        </w:rPr>
      </w:pPr>
      <w:r w:rsidRPr="00B32C86">
        <w:rPr>
          <w:bCs/>
          <w:sz w:val="24"/>
          <w:u w:val="single"/>
        </w:rPr>
        <w:t xml:space="preserve">Impact </w:t>
      </w:r>
      <w:r w:rsidR="000206C1">
        <w:rPr>
          <w:bCs/>
          <w:sz w:val="24"/>
          <w:u w:val="single"/>
        </w:rPr>
        <w:t>on Small Businesses or Other Small Entities</w:t>
      </w:r>
      <w:r w:rsidRPr="00B32C86">
        <w:rPr>
          <w:bCs/>
          <w:color w:val="000000"/>
          <w:sz w:val="24"/>
        </w:rPr>
        <w:br/>
      </w:r>
    </w:p>
    <w:p w:rsidR="004F2035" w:rsidRPr="00B32C86" w:rsidP="000705D9" w14:paraId="62CC8A1E" w14:textId="3C1C8737">
      <w:pPr>
        <w:rPr>
          <w:sz w:val="24"/>
        </w:rPr>
      </w:pPr>
      <w:r w:rsidRPr="0073494D">
        <w:rPr>
          <w:sz w:val="24"/>
        </w:rPr>
        <w:t>This information collection includes small entities; however, this activity does not impose a significant impact on such entities.</w:t>
      </w:r>
      <w:r w:rsidR="001A084E">
        <w:rPr>
          <w:sz w:val="24"/>
        </w:rPr>
        <w:t xml:space="preserve"> </w:t>
      </w:r>
      <w:r w:rsidR="00C34BEB">
        <w:rPr>
          <w:sz w:val="24"/>
        </w:rPr>
        <w:t xml:space="preserve"> </w:t>
      </w:r>
      <w:r w:rsidRPr="00B32C86" w:rsidR="00711958">
        <w:rPr>
          <w:sz w:val="24"/>
        </w:rPr>
        <w:t xml:space="preserve">To minimize the burden of small entities, entering performance measure data and using the </w:t>
      </w:r>
      <w:r w:rsidR="002B74EF">
        <w:rPr>
          <w:sz w:val="24"/>
        </w:rPr>
        <w:t xml:space="preserve">RWHAP </w:t>
      </w:r>
      <w:r w:rsidRPr="00B32C86" w:rsidR="00711958">
        <w:rPr>
          <w:sz w:val="24"/>
        </w:rPr>
        <w:t xml:space="preserve">HIVQM Module is entirely </w:t>
      </w:r>
      <w:r w:rsidRPr="00B32C86" w:rsidR="00B256C5">
        <w:rPr>
          <w:sz w:val="24"/>
        </w:rPr>
        <w:t>voluntary,</w:t>
      </w:r>
      <w:r w:rsidRPr="00B32C86" w:rsidR="00711958">
        <w:rPr>
          <w:sz w:val="24"/>
        </w:rPr>
        <w:t xml:space="preserve"> and the information being requested has been held to the absolute minimum required for the intended use of the data.</w:t>
      </w:r>
    </w:p>
    <w:p w:rsidR="004F2035" w:rsidRPr="00B32C86" w:rsidP="000705D9" w14:paraId="11A3CC6F" w14:textId="77777777">
      <w:pPr>
        <w:rPr>
          <w:sz w:val="24"/>
        </w:rPr>
      </w:pPr>
    </w:p>
    <w:p w:rsidR="00822A7D" w:rsidRPr="00B32C86" w14:paraId="618A3102" w14:textId="1C620A59">
      <w:pPr>
        <w:pStyle w:val="ListParagraph"/>
        <w:numPr>
          <w:ilvl w:val="0"/>
          <w:numId w:val="1"/>
        </w:numPr>
        <w:tabs>
          <w:tab w:val="clear" w:pos="360"/>
        </w:tabs>
        <w:ind w:left="0" w:firstLine="0"/>
        <w:rPr>
          <w:sz w:val="24"/>
        </w:rPr>
      </w:pPr>
      <w:r w:rsidRPr="00B32C86">
        <w:rPr>
          <w:bCs/>
          <w:sz w:val="24"/>
          <w:u w:val="single"/>
        </w:rPr>
        <w:t xml:space="preserve">Consequences </w:t>
      </w:r>
      <w:r w:rsidR="000206C1">
        <w:rPr>
          <w:bCs/>
          <w:sz w:val="24"/>
          <w:u w:val="single"/>
        </w:rPr>
        <w:t>of Collecting the Information Less Frequently</w:t>
      </w:r>
      <w:r w:rsidRPr="00B32C86" w:rsidR="008C2269">
        <w:rPr>
          <w:bCs/>
          <w:sz w:val="24"/>
          <w:u w:val="single"/>
        </w:rPr>
        <w:br/>
      </w:r>
      <w:r w:rsidRPr="00B32C86" w:rsidR="008C2269">
        <w:rPr>
          <w:bCs/>
          <w:sz w:val="24"/>
          <w:u w:val="single"/>
        </w:rPr>
        <w:br/>
      </w:r>
      <w:r w:rsidR="00FC7CA8">
        <w:rPr>
          <w:sz w:val="24"/>
        </w:rPr>
        <w:t xml:space="preserve">The </w:t>
      </w:r>
      <w:r w:rsidR="002B74EF">
        <w:rPr>
          <w:sz w:val="24"/>
        </w:rPr>
        <w:t xml:space="preserve">RWHAP </w:t>
      </w:r>
      <w:r w:rsidR="00FC7CA8">
        <w:rPr>
          <w:sz w:val="24"/>
        </w:rPr>
        <w:t xml:space="preserve">HIVQM </w:t>
      </w:r>
      <w:r w:rsidRPr="00B32C86" w:rsidR="00FC7CA8">
        <w:rPr>
          <w:sz w:val="24"/>
        </w:rPr>
        <w:t>Module is a voluntary data collection</w:t>
      </w:r>
      <w:r w:rsidR="00FC7CA8">
        <w:rPr>
          <w:sz w:val="24"/>
        </w:rPr>
        <w:t xml:space="preserve">. </w:t>
      </w:r>
      <w:r w:rsidRPr="00B32C86" w:rsidR="00FC7CA8">
        <w:rPr>
          <w:sz w:val="24"/>
        </w:rPr>
        <w:t xml:space="preserve"> </w:t>
      </w:r>
      <w:r w:rsidRPr="00B32C86">
        <w:rPr>
          <w:sz w:val="24"/>
        </w:rPr>
        <w:t xml:space="preserve"> However, for organizations to appropriately assess their performance measures, </w:t>
      </w:r>
      <w:r w:rsidRPr="00B32C86" w:rsidR="008F6ABC">
        <w:rPr>
          <w:sz w:val="24"/>
        </w:rPr>
        <w:t xml:space="preserve">HAB recommends that </w:t>
      </w:r>
      <w:r w:rsidRPr="00B32C86" w:rsidR="008F27BA">
        <w:rPr>
          <w:sz w:val="24"/>
        </w:rPr>
        <w:t xml:space="preserve">they </w:t>
      </w:r>
      <w:r w:rsidRPr="00B32C86">
        <w:rPr>
          <w:sz w:val="24"/>
        </w:rPr>
        <w:t>collect</w:t>
      </w:r>
      <w:r w:rsidRPr="00B32C86" w:rsidR="008F27BA">
        <w:rPr>
          <w:sz w:val="24"/>
        </w:rPr>
        <w:t xml:space="preserve"> their data</w:t>
      </w:r>
      <w:r w:rsidRPr="00B32C86">
        <w:rPr>
          <w:sz w:val="24"/>
        </w:rPr>
        <w:t xml:space="preserve"> quarterly</w:t>
      </w:r>
      <w:r w:rsidR="00FC7CA8">
        <w:rPr>
          <w:sz w:val="24"/>
        </w:rPr>
        <w:t>,</w:t>
      </w:r>
      <w:r w:rsidRPr="00B32C86">
        <w:rPr>
          <w:sz w:val="24"/>
        </w:rPr>
        <w:t xml:space="preserve"> at a minimum. </w:t>
      </w:r>
    </w:p>
    <w:p w:rsidR="008F6ABC" w:rsidRPr="00B32C86" w:rsidP="000705D9" w14:paraId="0D86FBF6" w14:textId="118DB49D">
      <w:pPr>
        <w:widowControl/>
        <w:autoSpaceDE/>
        <w:autoSpaceDN/>
        <w:adjustRightInd/>
        <w:spacing w:before="120"/>
        <w:rPr>
          <w:sz w:val="24"/>
        </w:rPr>
      </w:pPr>
    </w:p>
    <w:p w:rsidR="009B3794" w14:paraId="63992A79" w14:textId="1927F810">
      <w:pPr>
        <w:widowControl/>
        <w:numPr>
          <w:ilvl w:val="0"/>
          <w:numId w:val="1"/>
        </w:numPr>
        <w:tabs>
          <w:tab w:val="clear" w:pos="360"/>
        </w:tabs>
        <w:spacing w:before="120"/>
        <w:ind w:left="0" w:firstLine="0"/>
        <w:rPr>
          <w:sz w:val="24"/>
        </w:rPr>
      </w:pPr>
      <w:r>
        <w:rPr>
          <w:bCs/>
          <w:sz w:val="24"/>
          <w:u w:val="single"/>
        </w:rPr>
        <w:t xml:space="preserve">Special Circumstances </w:t>
      </w:r>
      <w:r>
        <w:rPr>
          <w:bCs/>
          <w:sz w:val="24"/>
          <w:u w:val="single"/>
        </w:rPr>
        <w:t>Relating</w:t>
      </w:r>
      <w:r>
        <w:rPr>
          <w:bCs/>
          <w:sz w:val="24"/>
          <w:u w:val="single"/>
        </w:rPr>
        <w:t xml:space="preserve"> to the </w:t>
      </w:r>
      <w:r w:rsidRPr="00B32C86">
        <w:rPr>
          <w:bCs/>
          <w:sz w:val="24"/>
          <w:u w:val="single"/>
        </w:rPr>
        <w:t>Guidelines of 5 CFR 1320.5</w:t>
      </w:r>
      <w:r w:rsidRPr="00B32C86" w:rsidR="008C2269">
        <w:rPr>
          <w:bCs/>
          <w:sz w:val="24"/>
          <w:u w:val="single"/>
        </w:rPr>
        <w:br/>
      </w:r>
      <w:r w:rsidRPr="00B32C86" w:rsidR="008C2269">
        <w:rPr>
          <w:bCs/>
          <w:sz w:val="24"/>
          <w:u w:val="single"/>
        </w:rPr>
        <w:br/>
      </w:r>
      <w:r w:rsidRPr="00B32C86" w:rsidR="00627FFD">
        <w:rPr>
          <w:sz w:val="24"/>
        </w:rPr>
        <w:t>T</w:t>
      </w:r>
      <w:r w:rsidRPr="00B32C86">
        <w:rPr>
          <w:sz w:val="24"/>
        </w:rPr>
        <w:t xml:space="preserve">he </w:t>
      </w:r>
      <w:r w:rsidR="00763784">
        <w:rPr>
          <w:sz w:val="24"/>
        </w:rPr>
        <w:t xml:space="preserve">data will be collected in a manner fully consistent with the guidelines in 5 CFR 1320.5. </w:t>
      </w:r>
    </w:p>
    <w:p w:rsidR="00AD6028" w:rsidRPr="00B32C86" w:rsidP="00AD6028" w14:paraId="437E6C70" w14:textId="77777777">
      <w:pPr>
        <w:widowControl/>
        <w:spacing w:before="120"/>
        <w:rPr>
          <w:sz w:val="24"/>
        </w:rPr>
      </w:pPr>
    </w:p>
    <w:p w:rsidR="00A53E3F" w14:paraId="567D6240" w14:textId="4FCFF9E8">
      <w:pPr>
        <w:numPr>
          <w:ilvl w:val="0"/>
          <w:numId w:val="1"/>
        </w:numPr>
        <w:tabs>
          <w:tab w:val="left" w:pos="360"/>
        </w:tabs>
        <w:spacing w:before="240"/>
        <w:ind w:left="0" w:firstLine="0"/>
        <w:rPr>
          <w:bCs/>
          <w:sz w:val="24"/>
        </w:rPr>
      </w:pPr>
      <w:r w:rsidRPr="000F14EB">
        <w:rPr>
          <w:bCs/>
          <w:sz w:val="24"/>
          <w:u w:val="single"/>
        </w:rPr>
        <w:t>C</w:t>
      </w:r>
      <w:r w:rsidR="00CB51E5">
        <w:rPr>
          <w:bCs/>
          <w:sz w:val="24"/>
          <w:u w:val="single"/>
        </w:rPr>
        <w:t>omments in Response to the Federal Register Notice/</w:t>
      </w:r>
      <w:r w:rsidRPr="000F14EB" w:rsidR="009E7063">
        <w:rPr>
          <w:bCs/>
          <w:sz w:val="24"/>
          <w:u w:val="single"/>
        </w:rPr>
        <w:t xml:space="preserve">Outside </w:t>
      </w:r>
      <w:r w:rsidR="00CB51E5">
        <w:rPr>
          <w:bCs/>
          <w:sz w:val="24"/>
          <w:u w:val="single"/>
        </w:rPr>
        <w:t>Consultation</w:t>
      </w:r>
      <w:r w:rsidRPr="000F14EB" w:rsidR="008C2269">
        <w:rPr>
          <w:bCs/>
          <w:sz w:val="24"/>
        </w:rPr>
        <w:br/>
      </w:r>
      <w:r w:rsidRPr="000F14EB" w:rsidR="008C2269">
        <w:rPr>
          <w:bCs/>
          <w:sz w:val="24"/>
        </w:rPr>
        <w:br/>
      </w:r>
      <w:r w:rsidRPr="000F14EB" w:rsidR="000F14EB">
        <w:rPr>
          <w:bCs/>
          <w:sz w:val="24"/>
        </w:rPr>
        <w:t>Section 8A:</w:t>
      </w:r>
    </w:p>
    <w:p w:rsidR="00080903" w:rsidP="000705D9" w14:paraId="081C038A" w14:textId="0D9E4897">
      <w:pPr>
        <w:tabs>
          <w:tab w:val="left" w:pos="360"/>
        </w:tabs>
        <w:spacing w:before="240"/>
        <w:rPr>
          <w:sz w:val="24"/>
        </w:rPr>
      </w:pPr>
      <w:r w:rsidRPr="000F14EB">
        <w:rPr>
          <w:sz w:val="24"/>
        </w:rPr>
        <w:t xml:space="preserve">The </w:t>
      </w:r>
      <w:r w:rsidRPr="00997EAD" w:rsidR="00F230E6">
        <w:rPr>
          <w:sz w:val="24"/>
        </w:rPr>
        <w:t xml:space="preserve">60-Day </w:t>
      </w:r>
      <w:r w:rsidR="00F230E6">
        <w:rPr>
          <w:sz w:val="24"/>
        </w:rPr>
        <w:t xml:space="preserve">Federal Register </w:t>
      </w:r>
      <w:r w:rsidRPr="00997EAD" w:rsidR="00F230E6">
        <w:rPr>
          <w:sz w:val="24"/>
        </w:rPr>
        <w:t>Notice</w:t>
      </w:r>
      <w:r w:rsidR="00F230E6">
        <w:rPr>
          <w:sz w:val="24"/>
        </w:rPr>
        <w:t xml:space="preserve"> </w:t>
      </w:r>
      <w:r w:rsidRPr="000F14EB">
        <w:rPr>
          <w:sz w:val="24"/>
        </w:rPr>
        <w:t>was published</w:t>
      </w:r>
      <w:r w:rsidRPr="000F14EB">
        <w:rPr>
          <w:b/>
          <w:bCs/>
          <w:sz w:val="24"/>
        </w:rPr>
        <w:t xml:space="preserve"> </w:t>
      </w:r>
      <w:r w:rsidRPr="000F14EB">
        <w:rPr>
          <w:sz w:val="24"/>
        </w:rPr>
        <w:t xml:space="preserve">in the </w:t>
      </w:r>
      <w:r w:rsidRPr="000F14EB">
        <w:rPr>
          <w:i/>
          <w:iCs/>
          <w:sz w:val="24"/>
        </w:rPr>
        <w:t>Federal Register</w:t>
      </w:r>
      <w:r w:rsidRPr="000F14EB">
        <w:rPr>
          <w:sz w:val="24"/>
        </w:rPr>
        <w:t xml:space="preserve"> </w:t>
      </w:r>
      <w:r w:rsidRPr="000F14EB" w:rsidR="00CF196A">
        <w:rPr>
          <w:sz w:val="24"/>
        </w:rPr>
        <w:t xml:space="preserve">on </w:t>
      </w:r>
      <w:r w:rsidRPr="000F14EB" w:rsidR="000B42CB">
        <w:rPr>
          <w:sz w:val="24"/>
        </w:rPr>
        <w:t>June 8, 2022</w:t>
      </w:r>
      <w:r w:rsidR="00F230E6">
        <w:rPr>
          <w:sz w:val="24"/>
        </w:rPr>
        <w:t xml:space="preserve"> </w:t>
      </w:r>
      <w:r w:rsidR="00F230E6">
        <w:rPr>
          <w:sz w:val="24"/>
        </w:rPr>
        <w:t>(</w:t>
      </w:r>
      <w:r w:rsidRPr="000F14EB" w:rsidR="00CF196A">
        <w:rPr>
          <w:sz w:val="24"/>
        </w:rPr>
        <w:t xml:space="preserve"> 8</w:t>
      </w:r>
      <w:r w:rsidRPr="000F14EB" w:rsidR="00BB0F14">
        <w:rPr>
          <w:sz w:val="24"/>
        </w:rPr>
        <w:t>7</w:t>
      </w:r>
      <w:r w:rsidR="00F230E6">
        <w:rPr>
          <w:sz w:val="24"/>
        </w:rPr>
        <w:t xml:space="preserve"> FR</w:t>
      </w:r>
      <w:r w:rsidRPr="000F14EB" w:rsidR="00CF196A">
        <w:rPr>
          <w:sz w:val="24"/>
        </w:rPr>
        <w:t xml:space="preserve"> </w:t>
      </w:r>
      <w:r w:rsidR="00F230E6">
        <w:rPr>
          <w:sz w:val="24"/>
        </w:rPr>
        <w:t>34887</w:t>
      </w:r>
      <w:r w:rsidR="00D32CFF">
        <w:rPr>
          <w:sz w:val="24"/>
        </w:rPr>
        <w:t>)</w:t>
      </w:r>
      <w:r w:rsidRPr="000F14EB">
        <w:rPr>
          <w:sz w:val="24"/>
        </w:rPr>
        <w:t>.</w:t>
      </w:r>
      <w:r w:rsidRPr="000F14EB" w:rsidR="00CF196A">
        <w:rPr>
          <w:sz w:val="24"/>
        </w:rPr>
        <w:t xml:space="preserve"> </w:t>
      </w:r>
      <w:r w:rsidR="00AD6028">
        <w:rPr>
          <w:sz w:val="24"/>
        </w:rPr>
        <w:t xml:space="preserve"> </w:t>
      </w:r>
      <w:r w:rsidRPr="000F14EB" w:rsidR="00BB0F14">
        <w:rPr>
          <w:sz w:val="24"/>
        </w:rPr>
        <w:t>There were no public comments</w:t>
      </w:r>
      <w:r w:rsidR="00F230E6">
        <w:rPr>
          <w:sz w:val="24"/>
        </w:rPr>
        <w:t xml:space="preserve"> received</w:t>
      </w:r>
      <w:r w:rsidRPr="000F14EB">
        <w:rPr>
          <w:sz w:val="24"/>
        </w:rPr>
        <w:t xml:space="preserve">. </w:t>
      </w:r>
    </w:p>
    <w:p w:rsidR="003176D7" w:rsidRPr="000F14EB" w:rsidP="003176D7" w14:paraId="38C6EBA8" w14:textId="1A55DC94">
      <w:pPr>
        <w:tabs>
          <w:tab w:val="left" w:pos="360"/>
        </w:tabs>
        <w:spacing w:before="240"/>
        <w:rPr>
          <w:bCs/>
          <w:sz w:val="24"/>
        </w:rPr>
      </w:pPr>
      <w:r w:rsidRPr="000F14EB">
        <w:rPr>
          <w:sz w:val="24"/>
        </w:rPr>
        <w:t xml:space="preserve">The </w:t>
      </w:r>
      <w:r>
        <w:rPr>
          <w:sz w:val="24"/>
        </w:rPr>
        <w:t>3</w:t>
      </w:r>
      <w:r w:rsidRPr="00997EAD">
        <w:rPr>
          <w:sz w:val="24"/>
        </w:rPr>
        <w:t xml:space="preserve">0-Day </w:t>
      </w:r>
      <w:r>
        <w:rPr>
          <w:sz w:val="24"/>
        </w:rPr>
        <w:t xml:space="preserve">Federal Register </w:t>
      </w:r>
      <w:r w:rsidRPr="00997EAD">
        <w:rPr>
          <w:sz w:val="24"/>
        </w:rPr>
        <w:t>Notice</w:t>
      </w:r>
      <w:r>
        <w:rPr>
          <w:sz w:val="24"/>
        </w:rPr>
        <w:t xml:space="preserve"> </w:t>
      </w:r>
      <w:r w:rsidRPr="000F14EB">
        <w:rPr>
          <w:sz w:val="24"/>
        </w:rPr>
        <w:t>was published</w:t>
      </w:r>
      <w:r w:rsidRPr="000F14EB">
        <w:rPr>
          <w:b/>
          <w:bCs/>
          <w:sz w:val="24"/>
        </w:rPr>
        <w:t xml:space="preserve"> </w:t>
      </w:r>
      <w:r w:rsidRPr="000F14EB">
        <w:rPr>
          <w:sz w:val="24"/>
        </w:rPr>
        <w:t xml:space="preserve">in the </w:t>
      </w:r>
      <w:r w:rsidRPr="000F14EB">
        <w:rPr>
          <w:i/>
          <w:iCs/>
          <w:sz w:val="24"/>
        </w:rPr>
        <w:t>Federal Register</w:t>
      </w:r>
      <w:r w:rsidRPr="000F14EB">
        <w:rPr>
          <w:sz w:val="24"/>
        </w:rPr>
        <w:t xml:space="preserve"> on </w:t>
      </w:r>
      <w:r w:rsidR="006B75CF">
        <w:rPr>
          <w:sz w:val="24"/>
        </w:rPr>
        <w:t xml:space="preserve">September </w:t>
      </w:r>
      <w:r w:rsidR="004C1A73">
        <w:rPr>
          <w:sz w:val="24"/>
        </w:rPr>
        <w:t>22</w:t>
      </w:r>
      <w:r w:rsidRPr="000F14EB">
        <w:rPr>
          <w:sz w:val="24"/>
        </w:rPr>
        <w:t>, 2022</w:t>
      </w:r>
      <w:r>
        <w:rPr>
          <w:sz w:val="24"/>
        </w:rPr>
        <w:t xml:space="preserve"> </w:t>
      </w:r>
      <w:r>
        <w:rPr>
          <w:sz w:val="24"/>
        </w:rPr>
        <w:t>(</w:t>
      </w:r>
      <w:r w:rsidRPr="000F14EB">
        <w:rPr>
          <w:sz w:val="24"/>
        </w:rPr>
        <w:t xml:space="preserve"> 87</w:t>
      </w:r>
      <w:r>
        <w:rPr>
          <w:sz w:val="24"/>
        </w:rPr>
        <w:t xml:space="preserve"> FR</w:t>
      </w:r>
      <w:r w:rsidRPr="000F14EB">
        <w:rPr>
          <w:sz w:val="24"/>
        </w:rPr>
        <w:t xml:space="preserve"> </w:t>
      </w:r>
      <w:r w:rsidRPr="004C1A73" w:rsidR="004C1A73">
        <w:rPr>
          <w:sz w:val="24"/>
        </w:rPr>
        <w:t>57912</w:t>
      </w:r>
      <w:r>
        <w:rPr>
          <w:sz w:val="24"/>
        </w:rPr>
        <w:t>)</w:t>
      </w:r>
      <w:r w:rsidRPr="000F14EB">
        <w:rPr>
          <w:sz w:val="24"/>
        </w:rPr>
        <w:t xml:space="preserve">. </w:t>
      </w:r>
      <w:r>
        <w:rPr>
          <w:sz w:val="24"/>
        </w:rPr>
        <w:t xml:space="preserve"> </w:t>
      </w:r>
      <w:r w:rsidRPr="000F14EB">
        <w:rPr>
          <w:sz w:val="24"/>
        </w:rPr>
        <w:t>There were no public comments</w:t>
      </w:r>
      <w:r>
        <w:rPr>
          <w:sz w:val="24"/>
        </w:rPr>
        <w:t xml:space="preserve"> received</w:t>
      </w:r>
      <w:r w:rsidRPr="000F14EB">
        <w:rPr>
          <w:sz w:val="24"/>
        </w:rPr>
        <w:t xml:space="preserve">. </w:t>
      </w:r>
    </w:p>
    <w:p w:rsidR="003176D7" w:rsidRPr="000F14EB" w:rsidP="000705D9" w14:paraId="1AFFACCB" w14:textId="7A3BA354">
      <w:pPr>
        <w:tabs>
          <w:tab w:val="left" w:pos="360"/>
        </w:tabs>
        <w:spacing w:before="240"/>
        <w:rPr>
          <w:bCs/>
          <w:sz w:val="24"/>
        </w:rPr>
      </w:pPr>
    </w:p>
    <w:p w:rsidR="00AD6028" w:rsidP="000705D9" w14:paraId="4A3AB0CE" w14:textId="626570E3">
      <w:pPr>
        <w:spacing w:before="240"/>
        <w:rPr>
          <w:bCs/>
          <w:sz w:val="24"/>
        </w:rPr>
      </w:pPr>
      <w:r>
        <w:rPr>
          <w:bCs/>
          <w:sz w:val="24"/>
        </w:rPr>
        <w:t>Section 8B:</w:t>
      </w:r>
      <w:r>
        <w:rPr>
          <w:bCs/>
          <w:sz w:val="24"/>
        </w:rPr>
        <w:br/>
      </w:r>
    </w:p>
    <w:p w:rsidR="00F552B1" w:rsidP="000705D9" w14:paraId="4E44C6C6" w14:textId="0578BEE3">
      <w:pPr>
        <w:rPr>
          <w:sz w:val="24"/>
        </w:rPr>
      </w:pPr>
      <w:r w:rsidRPr="009A7F10">
        <w:rPr>
          <w:sz w:val="24"/>
        </w:rPr>
        <w:t xml:space="preserve">A pilot for the </w:t>
      </w:r>
      <w:r>
        <w:rPr>
          <w:sz w:val="24"/>
        </w:rPr>
        <w:t xml:space="preserve">submission of performance measures data into the </w:t>
      </w:r>
      <w:r w:rsidR="002B74EF">
        <w:rPr>
          <w:sz w:val="24"/>
        </w:rPr>
        <w:t xml:space="preserve">RWHAP </w:t>
      </w:r>
      <w:r>
        <w:rPr>
          <w:sz w:val="24"/>
        </w:rPr>
        <w:t>HIVQM Module was</w:t>
      </w:r>
      <w:r w:rsidR="00AD5EEE">
        <w:rPr>
          <w:sz w:val="24"/>
        </w:rPr>
        <w:t xml:space="preserve"> conducted </w:t>
      </w:r>
      <w:r w:rsidRPr="009A7F10">
        <w:rPr>
          <w:sz w:val="24"/>
        </w:rPr>
        <w:t xml:space="preserve">in </w:t>
      </w:r>
      <w:r w:rsidR="00AD5EEE">
        <w:rPr>
          <w:sz w:val="24"/>
        </w:rPr>
        <w:t xml:space="preserve">July </w:t>
      </w:r>
      <w:r w:rsidRPr="009A7F10">
        <w:rPr>
          <w:sz w:val="24"/>
        </w:rPr>
        <w:t>2022.</w:t>
      </w:r>
      <w:r w:rsidR="00EA4E17">
        <w:rPr>
          <w:sz w:val="24"/>
        </w:rPr>
        <w:t xml:space="preserve"> </w:t>
      </w:r>
      <w:r w:rsidRPr="009A7F10">
        <w:rPr>
          <w:sz w:val="24"/>
        </w:rPr>
        <w:t xml:space="preserve"> </w:t>
      </w:r>
      <w:r w:rsidR="0040152D">
        <w:rPr>
          <w:sz w:val="24"/>
        </w:rPr>
        <w:t xml:space="preserve">Five </w:t>
      </w:r>
      <w:r w:rsidRPr="009A7F10">
        <w:rPr>
          <w:sz w:val="24"/>
        </w:rPr>
        <w:t xml:space="preserve">of </w:t>
      </w:r>
      <w:r w:rsidR="00521EDE">
        <w:rPr>
          <w:sz w:val="24"/>
        </w:rPr>
        <w:t>nine</w:t>
      </w:r>
      <w:r w:rsidRPr="009A7F10">
        <w:rPr>
          <w:sz w:val="24"/>
        </w:rPr>
        <w:t xml:space="preserve"> </w:t>
      </w:r>
      <w:r w:rsidR="00776034">
        <w:rPr>
          <w:sz w:val="24"/>
        </w:rPr>
        <w:t xml:space="preserve">RWHAP </w:t>
      </w:r>
      <w:r w:rsidR="00473B29">
        <w:rPr>
          <w:sz w:val="24"/>
        </w:rPr>
        <w:t xml:space="preserve">HIVQM </w:t>
      </w:r>
      <w:r w:rsidR="00894B99">
        <w:rPr>
          <w:sz w:val="24"/>
        </w:rPr>
        <w:t xml:space="preserve">Module </w:t>
      </w:r>
      <w:r w:rsidR="00473B29">
        <w:rPr>
          <w:sz w:val="24"/>
        </w:rPr>
        <w:t>users</w:t>
      </w:r>
      <w:r w:rsidR="00894B99">
        <w:rPr>
          <w:sz w:val="24"/>
        </w:rPr>
        <w:t xml:space="preserve"> responded</w:t>
      </w:r>
      <w:r w:rsidR="00935595">
        <w:rPr>
          <w:sz w:val="24"/>
        </w:rPr>
        <w:t>.</w:t>
      </w:r>
      <w:r w:rsidR="001B250B">
        <w:rPr>
          <w:sz w:val="24"/>
        </w:rPr>
        <w:t xml:space="preserve"> </w:t>
      </w:r>
      <w:r w:rsidR="00EA4E17">
        <w:rPr>
          <w:sz w:val="24"/>
        </w:rPr>
        <w:t xml:space="preserve"> </w:t>
      </w:r>
      <w:r w:rsidR="00484571">
        <w:rPr>
          <w:sz w:val="24"/>
        </w:rPr>
        <w:t xml:space="preserve">All respondents </w:t>
      </w:r>
      <w:r w:rsidR="00A47F6D">
        <w:rPr>
          <w:sz w:val="24"/>
        </w:rPr>
        <w:t xml:space="preserve">agreed that the instructions in the </w:t>
      </w:r>
      <w:r w:rsidR="002B74EF">
        <w:rPr>
          <w:sz w:val="24"/>
        </w:rPr>
        <w:t xml:space="preserve">RWHAP </w:t>
      </w:r>
      <w:r w:rsidR="00A47F6D">
        <w:rPr>
          <w:sz w:val="24"/>
        </w:rPr>
        <w:t xml:space="preserve">HIVQM Manual and in the </w:t>
      </w:r>
      <w:r w:rsidR="00776034">
        <w:rPr>
          <w:sz w:val="24"/>
        </w:rPr>
        <w:t xml:space="preserve">RWHAP </w:t>
      </w:r>
      <w:r w:rsidR="00A47F6D">
        <w:rPr>
          <w:sz w:val="24"/>
        </w:rPr>
        <w:t>HIVQM Module were</w:t>
      </w:r>
      <w:r w:rsidR="004F7DC6">
        <w:rPr>
          <w:sz w:val="24"/>
        </w:rPr>
        <w:t xml:space="preserve"> clear</w:t>
      </w:r>
      <w:r w:rsidR="002210FB">
        <w:rPr>
          <w:sz w:val="24"/>
        </w:rPr>
        <w:t>;</w:t>
      </w:r>
      <w:r w:rsidR="00A00804">
        <w:rPr>
          <w:sz w:val="24"/>
        </w:rPr>
        <w:t xml:space="preserve"> however</w:t>
      </w:r>
      <w:r w:rsidR="00290461">
        <w:rPr>
          <w:sz w:val="24"/>
        </w:rPr>
        <w:t>,</w:t>
      </w:r>
      <w:r w:rsidR="00A00804">
        <w:rPr>
          <w:sz w:val="24"/>
        </w:rPr>
        <w:t xml:space="preserve"> </w:t>
      </w:r>
      <w:r w:rsidR="000F1DE8">
        <w:rPr>
          <w:sz w:val="24"/>
        </w:rPr>
        <w:t xml:space="preserve">users requested </w:t>
      </w:r>
      <w:r w:rsidR="00A00804">
        <w:rPr>
          <w:sz w:val="24"/>
        </w:rPr>
        <w:t>more information on how to generate reports</w:t>
      </w:r>
      <w:r w:rsidR="004F7DC6">
        <w:rPr>
          <w:sz w:val="24"/>
        </w:rPr>
        <w:t xml:space="preserve">. </w:t>
      </w:r>
      <w:r w:rsidR="003B5ED5">
        <w:rPr>
          <w:sz w:val="24"/>
        </w:rPr>
        <w:t xml:space="preserve"> </w:t>
      </w:r>
      <w:r w:rsidR="00465C80">
        <w:rPr>
          <w:sz w:val="24"/>
        </w:rPr>
        <w:t>One</w:t>
      </w:r>
      <w:r w:rsidR="004F7DC6">
        <w:rPr>
          <w:sz w:val="24"/>
        </w:rPr>
        <w:t xml:space="preserve"> respondent</w:t>
      </w:r>
      <w:r w:rsidR="00C759B4">
        <w:rPr>
          <w:sz w:val="24"/>
        </w:rPr>
        <w:t xml:space="preserve"> expressed frustration with manually entering data</w:t>
      </w:r>
      <w:r w:rsidR="00465C80">
        <w:rPr>
          <w:sz w:val="24"/>
        </w:rPr>
        <w:t>.</w:t>
      </w:r>
      <w:r w:rsidRPr="00037BDF" w:rsidR="00037BDF">
        <w:rPr>
          <w:sz w:val="24"/>
        </w:rPr>
        <w:t xml:space="preserve"> </w:t>
      </w:r>
      <w:r w:rsidR="00207C4F">
        <w:rPr>
          <w:sz w:val="24"/>
        </w:rPr>
        <w:t xml:space="preserve"> </w:t>
      </w:r>
      <w:r w:rsidR="00037BDF">
        <w:rPr>
          <w:sz w:val="24"/>
        </w:rPr>
        <w:t xml:space="preserve">Another respondent suggested the ability to enter recipient data or roll up all her </w:t>
      </w:r>
      <w:r w:rsidR="00037BDF">
        <w:rPr>
          <w:sz w:val="24"/>
        </w:rPr>
        <w:t>subrecipient</w:t>
      </w:r>
      <w:r w:rsidR="00037BDF">
        <w:rPr>
          <w:sz w:val="24"/>
        </w:rPr>
        <w:t xml:space="preserve"> reports into one recipient report.</w:t>
      </w:r>
      <w:r w:rsidR="00207C4F">
        <w:rPr>
          <w:sz w:val="24"/>
        </w:rPr>
        <w:t xml:space="preserve">  </w:t>
      </w:r>
      <w:r w:rsidR="00465C80">
        <w:rPr>
          <w:sz w:val="24"/>
        </w:rPr>
        <w:t>A third</w:t>
      </w:r>
      <w:r w:rsidR="002410C7">
        <w:rPr>
          <w:sz w:val="24"/>
        </w:rPr>
        <w:t xml:space="preserve"> </w:t>
      </w:r>
      <w:r w:rsidR="00C03907">
        <w:rPr>
          <w:sz w:val="24"/>
        </w:rPr>
        <w:t xml:space="preserve">respondent suggested </w:t>
      </w:r>
      <w:r w:rsidR="00465C80">
        <w:rPr>
          <w:sz w:val="24"/>
        </w:rPr>
        <w:t>having</w:t>
      </w:r>
      <w:r w:rsidR="00C03907">
        <w:rPr>
          <w:sz w:val="24"/>
        </w:rPr>
        <w:t xml:space="preserve"> goals</w:t>
      </w:r>
      <w:r w:rsidR="004B7741">
        <w:rPr>
          <w:sz w:val="24"/>
        </w:rPr>
        <w:t xml:space="preserve"> for each performance measure</w:t>
      </w:r>
      <w:r w:rsidR="00DA3093">
        <w:rPr>
          <w:sz w:val="24"/>
        </w:rPr>
        <w:t xml:space="preserve"> that </w:t>
      </w:r>
      <w:r w:rsidR="00D77B86">
        <w:rPr>
          <w:sz w:val="24"/>
        </w:rPr>
        <w:t>could</w:t>
      </w:r>
      <w:r w:rsidR="00DA3093">
        <w:rPr>
          <w:sz w:val="24"/>
        </w:rPr>
        <w:t xml:space="preserve"> provide respondents </w:t>
      </w:r>
      <w:r w:rsidR="00134C5A">
        <w:rPr>
          <w:sz w:val="24"/>
        </w:rPr>
        <w:t xml:space="preserve">a roadmap for </w:t>
      </w:r>
      <w:r w:rsidR="00372CA1">
        <w:rPr>
          <w:sz w:val="24"/>
        </w:rPr>
        <w:t>future expectations</w:t>
      </w:r>
      <w:r w:rsidR="004B7741">
        <w:rPr>
          <w:sz w:val="24"/>
        </w:rPr>
        <w:t>.</w:t>
      </w:r>
      <w:r w:rsidR="00207C4F">
        <w:rPr>
          <w:sz w:val="24"/>
        </w:rPr>
        <w:t xml:space="preserve">  </w:t>
      </w:r>
    </w:p>
    <w:p w:rsidR="00F552B1" w:rsidP="000705D9" w14:paraId="1FEF236A" w14:textId="77777777">
      <w:pPr>
        <w:rPr>
          <w:sz w:val="24"/>
        </w:rPr>
      </w:pPr>
    </w:p>
    <w:p w:rsidR="00601E62" w:rsidP="000705D9" w14:paraId="68D9B964" w14:textId="6A60FD72">
      <w:pPr>
        <w:rPr>
          <w:sz w:val="24"/>
        </w:rPr>
      </w:pPr>
      <w:r>
        <w:rPr>
          <w:sz w:val="24"/>
        </w:rPr>
        <w:t xml:space="preserve">In referencing the </w:t>
      </w:r>
      <w:r w:rsidR="002B74EF">
        <w:rPr>
          <w:sz w:val="24"/>
        </w:rPr>
        <w:t xml:space="preserve">RWHAP </w:t>
      </w:r>
      <w:r w:rsidR="00605D6F">
        <w:rPr>
          <w:sz w:val="24"/>
        </w:rPr>
        <w:t>HIVQM Module reports</w:t>
      </w:r>
      <w:r>
        <w:rPr>
          <w:sz w:val="24"/>
        </w:rPr>
        <w:t>,</w:t>
      </w:r>
      <w:r w:rsidR="00207C4F">
        <w:rPr>
          <w:sz w:val="24"/>
        </w:rPr>
        <w:t xml:space="preserve"> </w:t>
      </w:r>
      <w:r>
        <w:rPr>
          <w:sz w:val="24"/>
        </w:rPr>
        <w:t>o</w:t>
      </w:r>
      <w:r w:rsidR="00AA4F6E">
        <w:rPr>
          <w:sz w:val="24"/>
        </w:rPr>
        <w:t xml:space="preserve">ne </w:t>
      </w:r>
      <w:r>
        <w:rPr>
          <w:sz w:val="24"/>
        </w:rPr>
        <w:t xml:space="preserve">respondent </w:t>
      </w:r>
      <w:r w:rsidR="00AA4F6E">
        <w:rPr>
          <w:sz w:val="24"/>
        </w:rPr>
        <w:t xml:space="preserve">wanted the reports to display the number of </w:t>
      </w:r>
      <w:r w:rsidR="00630393">
        <w:rPr>
          <w:sz w:val="24"/>
        </w:rPr>
        <w:t>program</w:t>
      </w:r>
      <w:r w:rsidR="00287868">
        <w:rPr>
          <w:sz w:val="24"/>
        </w:rPr>
        <w:t>s</w:t>
      </w:r>
      <w:r w:rsidR="00630393">
        <w:rPr>
          <w:sz w:val="24"/>
        </w:rPr>
        <w:t xml:space="preserve"> being compared; another suggested that the reports did not pull correct data</w:t>
      </w:r>
      <w:r w:rsidR="00B73003">
        <w:rPr>
          <w:sz w:val="24"/>
        </w:rPr>
        <w:t xml:space="preserve"> for the specified reporting period</w:t>
      </w:r>
      <w:r w:rsidR="00434E6F">
        <w:rPr>
          <w:sz w:val="24"/>
        </w:rPr>
        <w:t>; and a third</w:t>
      </w:r>
      <w:r>
        <w:rPr>
          <w:sz w:val="24"/>
        </w:rPr>
        <w:t xml:space="preserve"> </w:t>
      </w:r>
      <w:r w:rsidR="00287868">
        <w:rPr>
          <w:sz w:val="24"/>
        </w:rPr>
        <w:t xml:space="preserve">respondent </w:t>
      </w:r>
      <w:r w:rsidR="00A468BC">
        <w:rPr>
          <w:sz w:val="24"/>
        </w:rPr>
        <w:t xml:space="preserve">suggested that </w:t>
      </w:r>
      <w:r w:rsidR="00F552B1">
        <w:rPr>
          <w:sz w:val="24"/>
        </w:rPr>
        <w:t xml:space="preserve">HRSA </w:t>
      </w:r>
      <w:r w:rsidR="00A468BC">
        <w:rPr>
          <w:sz w:val="24"/>
        </w:rPr>
        <w:t xml:space="preserve">HAB generate </w:t>
      </w:r>
      <w:r w:rsidR="00172A07">
        <w:rPr>
          <w:sz w:val="24"/>
        </w:rPr>
        <w:t xml:space="preserve">an </w:t>
      </w:r>
      <w:r w:rsidR="00A468BC">
        <w:rPr>
          <w:sz w:val="24"/>
        </w:rPr>
        <w:t xml:space="preserve">annual report of the </w:t>
      </w:r>
      <w:r w:rsidR="002B74EF">
        <w:rPr>
          <w:sz w:val="24"/>
        </w:rPr>
        <w:t xml:space="preserve">RWHAP </w:t>
      </w:r>
      <w:r w:rsidR="00A468BC">
        <w:rPr>
          <w:sz w:val="24"/>
        </w:rPr>
        <w:t>H</w:t>
      </w:r>
      <w:r w:rsidR="00F552B1">
        <w:rPr>
          <w:sz w:val="24"/>
        </w:rPr>
        <w:t>IV</w:t>
      </w:r>
      <w:r w:rsidR="00A468BC">
        <w:rPr>
          <w:sz w:val="24"/>
        </w:rPr>
        <w:t>QM Module data</w:t>
      </w:r>
      <w:r>
        <w:rPr>
          <w:sz w:val="24"/>
        </w:rPr>
        <w:t xml:space="preserve">. </w:t>
      </w:r>
    </w:p>
    <w:p w:rsidR="00601E62" w:rsidP="000705D9" w14:paraId="01CADCA6" w14:textId="77777777">
      <w:pPr>
        <w:rPr>
          <w:sz w:val="24"/>
        </w:rPr>
      </w:pPr>
    </w:p>
    <w:p w:rsidR="008A6F0C" w:rsidP="000705D9" w14:paraId="3DE5F0F3" w14:textId="351856E8">
      <w:pPr>
        <w:rPr>
          <w:sz w:val="24"/>
        </w:rPr>
      </w:pPr>
      <w:r w:rsidRPr="008A6F0C">
        <w:rPr>
          <w:sz w:val="24"/>
        </w:rPr>
        <w:t>The names, titles, organizations, telephone numbers, and e-mail addresses of those consulted are provided below:</w:t>
      </w:r>
    </w:p>
    <w:p w:rsidR="007B0690" w:rsidRPr="008A6F0C" w:rsidP="000705D9" w14:paraId="002DEBFE" w14:textId="77777777">
      <w:pPr>
        <w:rPr>
          <w:sz w:val="24"/>
        </w:rPr>
      </w:pPr>
    </w:p>
    <w:p w:rsidR="00C9669B" w:rsidP="000705D9" w14:paraId="0015226C" w14:textId="77777777">
      <w:pPr>
        <w:rPr>
          <w:sz w:val="24"/>
        </w:rPr>
      </w:pPr>
      <w:r w:rsidRPr="006C14EB">
        <w:rPr>
          <w:sz w:val="24"/>
        </w:rPr>
        <w:t>Darby Ford</w:t>
      </w:r>
    </w:p>
    <w:p w:rsidR="00C75A7D" w:rsidRPr="006C14EB" w:rsidP="000705D9" w14:paraId="50D9DC6B" w14:textId="65581B1D">
      <w:pPr>
        <w:rPr>
          <w:sz w:val="24"/>
        </w:rPr>
      </w:pPr>
      <w:r w:rsidRPr="006C14EB">
        <w:rPr>
          <w:sz w:val="24"/>
        </w:rPr>
        <w:t>Health Program</w:t>
      </w:r>
      <w:r w:rsidRPr="006C14EB">
        <w:rPr>
          <w:sz w:val="24"/>
        </w:rPr>
        <w:t xml:space="preserve"> Administrator</w:t>
      </w:r>
    </w:p>
    <w:p w:rsidR="00F40926" w:rsidRPr="006C14EB" w:rsidP="000705D9" w14:paraId="6F4AAA66" w14:textId="1B98FAF1">
      <w:pPr>
        <w:rPr>
          <w:sz w:val="24"/>
        </w:rPr>
      </w:pPr>
      <w:r w:rsidRPr="006C14EB">
        <w:rPr>
          <w:sz w:val="24"/>
        </w:rPr>
        <w:t xml:space="preserve">AID Atlanta </w:t>
      </w:r>
      <w:r w:rsidRPr="006C14EB">
        <w:rPr>
          <w:sz w:val="24"/>
        </w:rPr>
        <w:t>Inc</w:t>
      </w:r>
    </w:p>
    <w:p w:rsidR="0085013C" w:rsidRPr="006C14EB" w:rsidP="000705D9" w14:paraId="280E27B8" w14:textId="7AD690E6">
      <w:pPr>
        <w:rPr>
          <w:sz w:val="24"/>
        </w:rPr>
      </w:pPr>
      <w:r>
        <w:rPr>
          <w:sz w:val="24"/>
        </w:rPr>
        <w:t xml:space="preserve">Email: </w:t>
      </w:r>
      <w:hyperlink r:id="rId9" w:history="1">
        <w:r w:rsidRPr="00F92B59">
          <w:rPr>
            <w:rStyle w:val="Hyperlink"/>
            <w:sz w:val="24"/>
          </w:rPr>
          <w:t>Darby.Ford@fultoncountyga.gov</w:t>
        </w:r>
      </w:hyperlink>
    </w:p>
    <w:p w:rsidR="00F40926" w:rsidP="000705D9" w14:paraId="1738CBED" w14:textId="0A6DF63B">
      <w:pPr>
        <w:rPr>
          <w:sz w:val="24"/>
        </w:rPr>
      </w:pPr>
      <w:r>
        <w:rPr>
          <w:sz w:val="24"/>
        </w:rPr>
        <w:t xml:space="preserve">Tel: </w:t>
      </w:r>
      <w:r w:rsidRPr="006C14EB" w:rsidR="007B0690">
        <w:rPr>
          <w:sz w:val="24"/>
        </w:rPr>
        <w:t>(404) 870-7700</w:t>
      </w:r>
    </w:p>
    <w:p w:rsidR="00556F32" w:rsidP="000705D9" w14:paraId="2E09F491" w14:textId="77777777">
      <w:pPr>
        <w:rPr>
          <w:sz w:val="24"/>
        </w:rPr>
      </w:pPr>
    </w:p>
    <w:p w:rsidR="00556F32" w:rsidP="000705D9" w14:paraId="6E869D1F" w14:textId="43B36286">
      <w:pPr>
        <w:rPr>
          <w:sz w:val="24"/>
        </w:rPr>
      </w:pPr>
      <w:r>
        <w:rPr>
          <w:sz w:val="24"/>
        </w:rPr>
        <w:t xml:space="preserve">Helena </w:t>
      </w:r>
      <w:r>
        <w:rPr>
          <w:sz w:val="24"/>
        </w:rPr>
        <w:t>Tsotsis</w:t>
      </w:r>
    </w:p>
    <w:p w:rsidR="00556F32" w:rsidP="000705D9" w14:paraId="68671742" w14:textId="1A8DD6C2">
      <w:pPr>
        <w:rPr>
          <w:sz w:val="24"/>
        </w:rPr>
      </w:pPr>
      <w:r>
        <w:rPr>
          <w:sz w:val="24"/>
        </w:rPr>
        <w:t>Database Administrator</w:t>
      </w:r>
      <w:r>
        <w:rPr>
          <w:sz w:val="24"/>
        </w:rPr>
        <w:br/>
        <w:t>University of Wisconsin-Madison</w:t>
      </w:r>
    </w:p>
    <w:p w:rsidR="00556F32" w:rsidP="000705D9" w14:paraId="686FBDCD" w14:textId="336710F6">
      <w:pPr>
        <w:rPr>
          <w:sz w:val="24"/>
        </w:rPr>
      </w:pPr>
      <w:r>
        <w:rPr>
          <w:sz w:val="24"/>
        </w:rPr>
        <w:t xml:space="preserve">Email: </w:t>
      </w:r>
      <w:hyperlink r:id="rId10" w:history="1">
        <w:r w:rsidRPr="00B95D72" w:rsidR="006E6FCC">
          <w:rPr>
            <w:rStyle w:val="Hyperlink"/>
            <w:sz w:val="24"/>
          </w:rPr>
          <w:t>aht@medicine.wisc.edu</w:t>
        </w:r>
      </w:hyperlink>
    </w:p>
    <w:p w:rsidR="006E6FCC" w:rsidP="000705D9" w14:paraId="19346FFF" w14:textId="64101143">
      <w:pPr>
        <w:rPr>
          <w:sz w:val="24"/>
        </w:rPr>
      </w:pPr>
      <w:r>
        <w:rPr>
          <w:sz w:val="24"/>
        </w:rPr>
        <w:t xml:space="preserve">Tel: </w:t>
      </w:r>
      <w:r w:rsidRPr="006E6FCC">
        <w:rPr>
          <w:sz w:val="24"/>
        </w:rPr>
        <w:t>(608) 262-5123</w:t>
      </w:r>
    </w:p>
    <w:p w:rsidR="006A3903" w:rsidP="000705D9" w14:paraId="0013E37C" w14:textId="77777777">
      <w:pPr>
        <w:rPr>
          <w:sz w:val="24"/>
        </w:rPr>
      </w:pPr>
    </w:p>
    <w:p w:rsidR="006A3903" w:rsidP="000705D9" w14:paraId="1B993317" w14:textId="45603739">
      <w:pPr>
        <w:rPr>
          <w:sz w:val="24"/>
        </w:rPr>
      </w:pPr>
      <w:r>
        <w:rPr>
          <w:sz w:val="24"/>
        </w:rPr>
        <w:t>Cindy Leon</w:t>
      </w:r>
    </w:p>
    <w:p w:rsidR="002820A1" w:rsidP="000705D9" w14:paraId="381E1F02" w14:textId="053BD65D">
      <w:pPr>
        <w:rPr>
          <w:sz w:val="24"/>
        </w:rPr>
      </w:pPr>
      <w:r>
        <w:rPr>
          <w:sz w:val="24"/>
        </w:rPr>
        <w:t>Program Coordinator</w:t>
      </w:r>
    </w:p>
    <w:p w:rsidR="00730BBD" w:rsidP="000705D9" w14:paraId="2ED979C7" w14:textId="60C47A6E">
      <w:pPr>
        <w:rPr>
          <w:sz w:val="24"/>
        </w:rPr>
      </w:pPr>
      <w:r>
        <w:rPr>
          <w:sz w:val="24"/>
        </w:rPr>
        <w:t xml:space="preserve">University of </w:t>
      </w:r>
      <w:r>
        <w:rPr>
          <w:sz w:val="24"/>
        </w:rPr>
        <w:t>Rut</w:t>
      </w:r>
      <w:r>
        <w:rPr>
          <w:sz w:val="24"/>
        </w:rPr>
        <w:t>gers</w:t>
      </w:r>
    </w:p>
    <w:p w:rsidR="00024B6F" w:rsidP="000705D9" w14:paraId="67A8A00C" w14:textId="77777777">
      <w:pPr>
        <w:rPr>
          <w:sz w:val="24"/>
        </w:rPr>
      </w:pPr>
      <w:r>
        <w:rPr>
          <w:sz w:val="24"/>
        </w:rPr>
        <w:t xml:space="preserve">Email: </w:t>
      </w:r>
      <w:hyperlink r:id="rId11" w:history="1">
        <w:r w:rsidRPr="00F92B59">
          <w:rPr>
            <w:rStyle w:val="Hyperlink"/>
            <w:sz w:val="24"/>
          </w:rPr>
          <w:t>leonc1@rwjms.rutgers.edu</w:t>
        </w:r>
      </w:hyperlink>
    </w:p>
    <w:p w:rsidR="00CC23A6" w:rsidP="000705D9" w14:paraId="6590ED23" w14:textId="07DF574D">
      <w:pPr>
        <w:rPr>
          <w:sz w:val="24"/>
        </w:rPr>
      </w:pPr>
      <w:r>
        <w:rPr>
          <w:sz w:val="24"/>
        </w:rPr>
        <w:t xml:space="preserve">Tel: </w:t>
      </w:r>
      <w:r w:rsidRPr="00D23DB3" w:rsidR="00D23DB3">
        <w:rPr>
          <w:sz w:val="24"/>
        </w:rPr>
        <w:t>(732) 235-6767</w:t>
      </w:r>
    </w:p>
    <w:p w:rsidR="006F7D96" w:rsidP="000705D9" w14:paraId="37739C2E" w14:textId="77777777">
      <w:pPr>
        <w:rPr>
          <w:sz w:val="24"/>
        </w:rPr>
      </w:pPr>
    </w:p>
    <w:p w:rsidR="006C14EB" w:rsidP="000705D9" w14:paraId="7B136B1B" w14:textId="41C1DFDB">
      <w:pPr>
        <w:rPr>
          <w:sz w:val="24"/>
        </w:rPr>
      </w:pPr>
      <w:r>
        <w:rPr>
          <w:sz w:val="24"/>
        </w:rPr>
        <w:t>Meagan Parker</w:t>
      </w:r>
    </w:p>
    <w:p w:rsidR="00964F1F" w:rsidP="000705D9" w14:paraId="34F8F796" w14:textId="786A41C0">
      <w:pPr>
        <w:rPr>
          <w:sz w:val="24"/>
        </w:rPr>
      </w:pPr>
      <w:r>
        <w:rPr>
          <w:sz w:val="24"/>
        </w:rPr>
        <w:t>Grants Compliance Manager</w:t>
      </w:r>
    </w:p>
    <w:p w:rsidR="00AB176F" w:rsidP="000705D9" w14:paraId="6FE77228" w14:textId="1119AAC7">
      <w:pPr>
        <w:rPr>
          <w:sz w:val="24"/>
        </w:rPr>
      </w:pPr>
      <w:r w:rsidRPr="00AB176F">
        <w:rPr>
          <w:sz w:val="24"/>
        </w:rPr>
        <w:t xml:space="preserve">Coastal Family Health Center, </w:t>
      </w:r>
      <w:r w:rsidRPr="00AB176F">
        <w:rPr>
          <w:sz w:val="24"/>
        </w:rPr>
        <w:t>Inc</w:t>
      </w:r>
    </w:p>
    <w:p w:rsidR="00AB176F" w:rsidP="000705D9" w14:paraId="232AB42A" w14:textId="41AFFA6C">
      <w:pPr>
        <w:rPr>
          <w:sz w:val="24"/>
        </w:rPr>
      </w:pPr>
      <w:r>
        <w:rPr>
          <w:sz w:val="24"/>
        </w:rPr>
        <w:t xml:space="preserve">Email: </w:t>
      </w:r>
      <w:r w:rsidRPr="00AB176F">
        <w:rPr>
          <w:sz w:val="24"/>
        </w:rPr>
        <w:t>mparker@coastalfamilyhealth.org</w:t>
      </w:r>
    </w:p>
    <w:p w:rsidR="006F7D96" w:rsidP="000705D9" w14:paraId="2EF76CFE" w14:textId="7A15FB13">
      <w:pPr>
        <w:rPr>
          <w:sz w:val="24"/>
        </w:rPr>
      </w:pPr>
      <w:r>
        <w:rPr>
          <w:sz w:val="24"/>
        </w:rPr>
        <w:t xml:space="preserve">Tel: </w:t>
      </w:r>
      <w:r w:rsidRPr="006F7D96">
        <w:rPr>
          <w:sz w:val="24"/>
        </w:rPr>
        <w:t>(228) 374-4991</w:t>
      </w:r>
    </w:p>
    <w:p w:rsidR="006F7D96" w:rsidRPr="006C14EB" w:rsidP="000705D9" w14:paraId="3539B5DD" w14:textId="77777777">
      <w:pPr>
        <w:rPr>
          <w:sz w:val="24"/>
        </w:rPr>
      </w:pPr>
    </w:p>
    <w:p w:rsidR="0066202B" w:rsidRPr="006C14EB" w:rsidP="000705D9" w14:paraId="64AA6D2F" w14:textId="59135E58">
      <w:pPr>
        <w:rPr>
          <w:sz w:val="24"/>
        </w:rPr>
      </w:pPr>
      <w:r w:rsidRPr="006C14EB">
        <w:rPr>
          <w:sz w:val="24"/>
        </w:rPr>
        <w:t xml:space="preserve">Jocelyn </w:t>
      </w:r>
      <w:r w:rsidRPr="006C14EB">
        <w:rPr>
          <w:sz w:val="24"/>
        </w:rPr>
        <w:t>Stenhouse</w:t>
      </w:r>
      <w:r w:rsidRPr="006C14EB">
        <w:rPr>
          <w:sz w:val="24"/>
        </w:rPr>
        <w:br/>
        <w:t>Ryan White Program Coordinator</w:t>
      </w:r>
      <w:r w:rsidRPr="006C14EB">
        <w:rPr>
          <w:sz w:val="24"/>
        </w:rPr>
        <w:br/>
        <w:t xml:space="preserve">Chase </w:t>
      </w:r>
      <w:r w:rsidRPr="006C14EB">
        <w:rPr>
          <w:sz w:val="24"/>
        </w:rPr>
        <w:t>Brexton</w:t>
      </w:r>
      <w:r w:rsidRPr="006C14EB">
        <w:rPr>
          <w:sz w:val="24"/>
        </w:rPr>
        <w:t xml:space="preserve"> Health Services</w:t>
      </w:r>
    </w:p>
    <w:p w:rsidR="0066202B" w:rsidRPr="006C14EB" w:rsidP="000705D9" w14:paraId="2FB0E2B3" w14:textId="17BB093E">
      <w:pPr>
        <w:rPr>
          <w:sz w:val="24"/>
        </w:rPr>
      </w:pPr>
      <w:r>
        <w:rPr>
          <w:sz w:val="24"/>
        </w:rPr>
        <w:t xml:space="preserve">Email: </w:t>
      </w:r>
      <w:hyperlink r:id="rId12" w:history="1">
        <w:r w:rsidRPr="00F92B59">
          <w:rPr>
            <w:rStyle w:val="Hyperlink"/>
            <w:sz w:val="24"/>
          </w:rPr>
          <w:t>jstenhouse@chasebrexton.org</w:t>
        </w:r>
      </w:hyperlink>
    </w:p>
    <w:p w:rsidR="006C14EB" w:rsidP="000705D9" w14:paraId="48DD2827" w14:textId="769BE94F">
      <w:pPr>
        <w:rPr>
          <w:sz w:val="24"/>
        </w:rPr>
      </w:pPr>
      <w:r>
        <w:rPr>
          <w:sz w:val="24"/>
        </w:rPr>
        <w:t xml:space="preserve">Tel: </w:t>
      </w:r>
      <w:r w:rsidRPr="006C14EB">
        <w:rPr>
          <w:sz w:val="24"/>
        </w:rPr>
        <w:t>(443) 925-9631</w:t>
      </w:r>
    </w:p>
    <w:p w:rsidR="006C14EB" w:rsidRPr="006C14EB" w:rsidP="006B5B19" w14:paraId="3B25EF3B" w14:textId="77777777">
      <w:pPr>
        <w:rPr>
          <w:sz w:val="24"/>
        </w:rPr>
      </w:pPr>
    </w:p>
    <w:p w:rsidR="008C2269" w:rsidRPr="00F707D0" w14:paraId="22EE48EA" w14:textId="7806F5C6">
      <w:pPr>
        <w:pStyle w:val="ListParagraph"/>
        <w:numPr>
          <w:ilvl w:val="0"/>
          <w:numId w:val="1"/>
        </w:numPr>
        <w:spacing w:before="120"/>
        <w:rPr>
          <w:sz w:val="24"/>
        </w:rPr>
      </w:pPr>
      <w:r>
        <w:rPr>
          <w:sz w:val="24"/>
          <w:u w:val="single"/>
        </w:rPr>
        <w:t xml:space="preserve">Explanation of any Payment/Gift to </w:t>
      </w:r>
      <w:r w:rsidRPr="00F707D0" w:rsidR="009E7063">
        <w:rPr>
          <w:sz w:val="24"/>
          <w:u w:val="single"/>
        </w:rPr>
        <w:t>Respondents</w:t>
      </w:r>
      <w:r w:rsidRPr="00F707D0" w:rsidR="009E7063">
        <w:rPr>
          <w:sz w:val="24"/>
        </w:rPr>
        <w:t xml:space="preserve"> </w:t>
      </w:r>
      <w:r w:rsidRPr="00F707D0">
        <w:rPr>
          <w:sz w:val="24"/>
        </w:rPr>
        <w:br/>
      </w:r>
    </w:p>
    <w:p w:rsidR="00E11E96" w:rsidP="000705D9" w14:paraId="33C97DD1" w14:textId="0E639CB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Style w:val="BodyTextFi"/>
          <w:sz w:val="24"/>
        </w:rPr>
      </w:pPr>
      <w:r w:rsidRPr="006B3831">
        <w:rPr>
          <w:rStyle w:val="BodyTextFi"/>
          <w:sz w:val="24"/>
        </w:rPr>
        <w:t>The proposed collection of information does not involve any remuneration to respondents.</w:t>
      </w:r>
    </w:p>
    <w:p w:rsidR="000705D9" w:rsidRPr="00FD7FDE" w:rsidP="000705D9" w14:paraId="201850F5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sz w:val="24"/>
        </w:rPr>
      </w:pPr>
    </w:p>
    <w:p w:rsidR="00B50A61" w:rsidRPr="000705D9" w14:paraId="2FDE59B5" w14:textId="12122003">
      <w:pPr>
        <w:numPr>
          <w:ilvl w:val="0"/>
          <w:numId w:val="1"/>
        </w:numPr>
        <w:rPr>
          <w:bCs/>
          <w:sz w:val="24"/>
        </w:rPr>
      </w:pPr>
      <w:r w:rsidRPr="00B32C86">
        <w:rPr>
          <w:bCs/>
          <w:sz w:val="24"/>
          <w:u w:val="single"/>
        </w:rPr>
        <w:t xml:space="preserve">Assurance of Confidentiality </w:t>
      </w:r>
      <w:r w:rsidR="00CB51E5">
        <w:rPr>
          <w:bCs/>
          <w:sz w:val="24"/>
          <w:u w:val="single"/>
        </w:rPr>
        <w:t>Provided to Respondents</w:t>
      </w:r>
    </w:p>
    <w:p w:rsidR="000705D9" w:rsidRPr="00B32C86" w:rsidP="000705D9" w14:paraId="2B9048D8" w14:textId="77777777">
      <w:pPr>
        <w:ind w:left="360"/>
        <w:rPr>
          <w:bCs/>
          <w:sz w:val="24"/>
        </w:rPr>
      </w:pPr>
    </w:p>
    <w:p w:rsidR="00502ABD" w:rsidRPr="00B32C86" w:rsidP="000705D9" w14:paraId="002453C4" w14:textId="3B6B0CE1">
      <w:pPr>
        <w:rPr>
          <w:b/>
          <w:sz w:val="24"/>
        </w:rPr>
      </w:pPr>
      <w:r w:rsidRPr="00B32C86">
        <w:rPr>
          <w:sz w:val="24"/>
        </w:rPr>
        <w:t xml:space="preserve">The </w:t>
      </w:r>
      <w:r w:rsidRPr="00B32C86">
        <w:rPr>
          <w:iCs/>
          <w:sz w:val="24"/>
        </w:rPr>
        <w:t>HIVQM Module</w:t>
      </w:r>
      <w:r w:rsidRPr="00B32C86">
        <w:rPr>
          <w:sz w:val="24"/>
        </w:rPr>
        <w:t xml:space="preserve"> does not require any information that could identify individual clients. Aggregate data on </w:t>
      </w:r>
      <w:r w:rsidRPr="00B32C86" w:rsidR="00444B57">
        <w:rPr>
          <w:sz w:val="24"/>
        </w:rPr>
        <w:t xml:space="preserve">the </w:t>
      </w:r>
      <w:r w:rsidRPr="00B32C86">
        <w:rPr>
          <w:sz w:val="24"/>
        </w:rPr>
        <w:t xml:space="preserve">number of </w:t>
      </w:r>
      <w:r w:rsidRPr="00B32C86" w:rsidR="00444B57">
        <w:rPr>
          <w:sz w:val="24"/>
        </w:rPr>
        <w:t xml:space="preserve">clients who received </w:t>
      </w:r>
      <w:r w:rsidRPr="00B32C86">
        <w:rPr>
          <w:sz w:val="24"/>
        </w:rPr>
        <w:t xml:space="preserve">services </w:t>
      </w:r>
      <w:r w:rsidR="002A6CB1">
        <w:rPr>
          <w:sz w:val="24"/>
        </w:rPr>
        <w:t>is</w:t>
      </w:r>
      <w:r w:rsidRPr="00B32C86">
        <w:rPr>
          <w:sz w:val="24"/>
        </w:rPr>
        <w:t xml:space="preserve"> collected</w:t>
      </w:r>
      <w:r w:rsidRPr="00B32C86" w:rsidR="00444B57">
        <w:rPr>
          <w:sz w:val="24"/>
        </w:rPr>
        <w:t>,</w:t>
      </w:r>
      <w:r w:rsidRPr="00B32C86">
        <w:rPr>
          <w:sz w:val="24"/>
        </w:rPr>
        <w:t xml:space="preserve"> but </w:t>
      </w:r>
      <w:r w:rsidRPr="00B32C86" w:rsidR="00444B57">
        <w:rPr>
          <w:sz w:val="24"/>
        </w:rPr>
        <w:t xml:space="preserve">client </w:t>
      </w:r>
      <w:r w:rsidRPr="00B32C86">
        <w:rPr>
          <w:sz w:val="24"/>
        </w:rPr>
        <w:t xml:space="preserve">names </w:t>
      </w:r>
      <w:r w:rsidRPr="00B32C86" w:rsidR="00444B57">
        <w:rPr>
          <w:sz w:val="24"/>
        </w:rPr>
        <w:t xml:space="preserve">or </w:t>
      </w:r>
      <w:r w:rsidRPr="00B32C86" w:rsidR="00112CCF">
        <w:rPr>
          <w:sz w:val="24"/>
        </w:rPr>
        <w:t xml:space="preserve">other </w:t>
      </w:r>
      <w:r w:rsidRPr="00B32C86">
        <w:rPr>
          <w:sz w:val="24"/>
        </w:rPr>
        <w:t>personal</w:t>
      </w:r>
      <w:r w:rsidRPr="00B32C86" w:rsidR="00444B57">
        <w:rPr>
          <w:sz w:val="24"/>
        </w:rPr>
        <w:t>ly</w:t>
      </w:r>
      <w:r w:rsidRPr="00B32C86">
        <w:rPr>
          <w:sz w:val="24"/>
        </w:rPr>
        <w:t xml:space="preserve"> identifi</w:t>
      </w:r>
      <w:r w:rsidRPr="00B32C86" w:rsidR="00112CCF">
        <w:rPr>
          <w:sz w:val="24"/>
        </w:rPr>
        <w:t>able</w:t>
      </w:r>
      <w:r w:rsidRPr="00B32C86">
        <w:rPr>
          <w:sz w:val="24"/>
        </w:rPr>
        <w:t xml:space="preserve"> </w:t>
      </w:r>
      <w:r w:rsidRPr="00B32C86" w:rsidR="00112CCF">
        <w:rPr>
          <w:sz w:val="24"/>
        </w:rPr>
        <w:t xml:space="preserve">information </w:t>
      </w:r>
      <w:r w:rsidR="002A6CB1">
        <w:rPr>
          <w:sz w:val="24"/>
        </w:rPr>
        <w:t>is not</w:t>
      </w:r>
      <w:r w:rsidRPr="00B32C86" w:rsidR="00112CCF">
        <w:rPr>
          <w:sz w:val="24"/>
        </w:rPr>
        <w:t xml:space="preserve"> </w:t>
      </w:r>
      <w:r w:rsidRPr="00B32C86">
        <w:rPr>
          <w:sz w:val="24"/>
        </w:rPr>
        <w:t xml:space="preserve">collected. </w:t>
      </w:r>
    </w:p>
    <w:p w:rsidR="00121480" w:rsidP="00121480" w14:paraId="7C8012F7" w14:textId="77777777">
      <w:pPr>
        <w:widowControl/>
        <w:tabs>
          <w:tab w:val="left" w:pos="0"/>
        </w:tabs>
        <w:spacing w:before="120"/>
        <w:ind w:left="450" w:hanging="450"/>
        <w:rPr>
          <w:sz w:val="24"/>
        </w:rPr>
      </w:pPr>
    </w:p>
    <w:p w:rsidR="00B50A61" w14:paraId="7F2330EF" w14:textId="7FFBDDFC">
      <w:pPr>
        <w:numPr>
          <w:ilvl w:val="0"/>
          <w:numId w:val="1"/>
        </w:numPr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</w:t>
      </w:r>
      <w:r w:rsidR="00FD7FDE">
        <w:rPr>
          <w:bCs/>
          <w:sz w:val="24"/>
          <w:u w:val="single"/>
        </w:rPr>
        <w:t xml:space="preserve">Justification for </w:t>
      </w:r>
      <w:r w:rsidRPr="00B32C86" w:rsidR="009B3794">
        <w:rPr>
          <w:bCs/>
          <w:sz w:val="24"/>
          <w:u w:val="single"/>
        </w:rPr>
        <w:t xml:space="preserve">Sensitive </w:t>
      </w:r>
      <w:r w:rsidR="00FD7FDE">
        <w:rPr>
          <w:bCs/>
          <w:sz w:val="24"/>
          <w:u w:val="single"/>
        </w:rPr>
        <w:t>Questions</w:t>
      </w:r>
    </w:p>
    <w:p w:rsidR="000705D9" w:rsidRPr="00B32C86" w:rsidP="00FD7FDE" w14:paraId="3BB0452D" w14:textId="77777777">
      <w:pPr>
        <w:widowControl/>
        <w:spacing w:before="120"/>
        <w:rPr>
          <w:bCs/>
          <w:sz w:val="24"/>
        </w:rPr>
      </w:pPr>
    </w:p>
    <w:p w:rsidR="00FD7FDE" w:rsidP="000705D9" w14:paraId="35816F91" w14:textId="1BC842C1">
      <w:pPr>
        <w:rPr>
          <w:sz w:val="24"/>
        </w:rPr>
      </w:pPr>
      <w:r w:rsidRPr="009561BA">
        <w:rPr>
          <w:sz w:val="24"/>
        </w:rPr>
        <w:t xml:space="preserve">No questions of a sensitive nature are asked in the </w:t>
      </w:r>
      <w:r w:rsidR="00E77FBE">
        <w:rPr>
          <w:sz w:val="24"/>
        </w:rPr>
        <w:t xml:space="preserve">RWHAP </w:t>
      </w:r>
      <w:r>
        <w:rPr>
          <w:sz w:val="24"/>
        </w:rPr>
        <w:t>HIVQM Module</w:t>
      </w:r>
      <w:r w:rsidR="00B20FEC">
        <w:rPr>
          <w:sz w:val="24"/>
        </w:rPr>
        <w:t>.</w:t>
      </w:r>
    </w:p>
    <w:p w:rsidR="00B20FEC" w:rsidP="000705D9" w14:paraId="33D2EA85" w14:textId="77777777">
      <w:pPr>
        <w:rPr>
          <w:sz w:val="24"/>
        </w:rPr>
      </w:pPr>
    </w:p>
    <w:p w:rsidR="009B3794" w:rsidRPr="00FD7FDE" w14:paraId="0769B9B3" w14:textId="2170D477">
      <w:pPr>
        <w:numPr>
          <w:ilvl w:val="0"/>
          <w:numId w:val="1"/>
        </w:numPr>
        <w:rPr>
          <w:sz w:val="24"/>
        </w:rPr>
      </w:pPr>
      <w:r>
        <w:rPr>
          <w:bCs/>
          <w:sz w:val="24"/>
          <w:u w:val="single"/>
        </w:rPr>
        <w:t xml:space="preserve"> </w:t>
      </w:r>
      <w:r w:rsidRPr="00B32C86">
        <w:rPr>
          <w:bCs/>
          <w:sz w:val="24"/>
          <w:u w:val="single"/>
        </w:rPr>
        <w:t xml:space="preserve">Estimates of Annualized Hour </w:t>
      </w:r>
      <w:r>
        <w:rPr>
          <w:bCs/>
          <w:sz w:val="24"/>
          <w:u w:val="single"/>
        </w:rPr>
        <w:t xml:space="preserve">and Cost </w:t>
      </w:r>
      <w:r w:rsidRPr="00B32C86">
        <w:rPr>
          <w:bCs/>
          <w:sz w:val="24"/>
          <w:u w:val="single"/>
        </w:rPr>
        <w:t xml:space="preserve">Burden  </w:t>
      </w:r>
    </w:p>
    <w:p w:rsidR="006D403E" w:rsidRPr="00B32C86" w:rsidP="006D403E" w14:paraId="7E05B85A" w14:textId="77777777">
      <w:pPr>
        <w:rPr>
          <w:sz w:val="24"/>
        </w:rPr>
      </w:pPr>
    </w:p>
    <w:p w:rsidR="003740CC" w:rsidRPr="00720D0F" w:rsidP="003740CC" w14:paraId="6F623D3B" w14:textId="3777DF9C">
      <w:pPr>
        <w:widowControl/>
        <w:spacing w:before="120"/>
        <w:rPr>
          <w:b/>
          <w:bCs/>
          <w:sz w:val="24"/>
        </w:rPr>
      </w:pPr>
      <w:r w:rsidRPr="0082419C">
        <w:rPr>
          <w:sz w:val="24"/>
        </w:rPr>
        <w:t>12A</w:t>
      </w:r>
      <w:r w:rsidR="00FD7FDE">
        <w:rPr>
          <w:sz w:val="24"/>
        </w:rPr>
        <w:t>.</w:t>
      </w:r>
      <w:r w:rsidRPr="0082419C">
        <w:rPr>
          <w:sz w:val="24"/>
        </w:rPr>
        <w:t xml:space="preserve"> </w:t>
      </w:r>
    </w:p>
    <w:p w:rsidR="00024B6F" w:rsidRPr="0082419C" w:rsidP="003740CC" w14:paraId="321544F2" w14:textId="77777777">
      <w:pPr>
        <w:widowControl/>
        <w:spacing w:before="120"/>
        <w:rPr>
          <w:sz w:val="24"/>
        </w:rPr>
      </w:pPr>
    </w:p>
    <w:p w:rsidR="00720D0F" w:rsidP="003119BC" w14:paraId="50EE0256" w14:textId="730C8CA7">
      <w:pPr>
        <w:widowControl/>
        <w:rPr>
          <w:b/>
          <w:bCs/>
          <w:sz w:val="24"/>
        </w:rPr>
      </w:pPr>
      <w:r w:rsidRPr="00B32C86">
        <w:rPr>
          <w:sz w:val="24"/>
        </w:rPr>
        <w:t>The Module is a voluntary data collection and is open for 2,</w:t>
      </w:r>
      <w:r w:rsidR="00D11F37">
        <w:rPr>
          <w:sz w:val="24"/>
        </w:rPr>
        <w:t>063</w:t>
      </w:r>
      <w:r w:rsidRPr="00B32C86">
        <w:rPr>
          <w:sz w:val="24"/>
        </w:rPr>
        <w:t xml:space="preserve"> recipients and </w:t>
      </w:r>
      <w:r w:rsidRPr="00B32C86">
        <w:rPr>
          <w:sz w:val="24"/>
        </w:rPr>
        <w:t>subrecipients</w:t>
      </w:r>
      <w:r w:rsidRPr="00B32C86">
        <w:rPr>
          <w:sz w:val="24"/>
        </w:rPr>
        <w:t xml:space="preserve"> four times a year</w:t>
      </w:r>
      <w:r w:rsidR="0067565D">
        <w:rPr>
          <w:sz w:val="24"/>
        </w:rPr>
        <w:t>:</w:t>
      </w:r>
      <w:r w:rsidR="00E34CD0">
        <w:rPr>
          <w:sz w:val="24"/>
        </w:rPr>
        <w:t xml:space="preserve"> </w:t>
      </w:r>
      <w:r w:rsidRPr="00B32C86" w:rsidR="00E34CD0">
        <w:rPr>
          <w:spacing w:val="1"/>
          <w:w w:val="105"/>
          <w:sz w:val="24"/>
        </w:rPr>
        <w:t>March, June, September</w:t>
      </w:r>
      <w:r w:rsidR="001D7072">
        <w:rPr>
          <w:spacing w:val="1"/>
          <w:w w:val="105"/>
          <w:sz w:val="24"/>
        </w:rPr>
        <w:t>,</w:t>
      </w:r>
      <w:r w:rsidRPr="00B32C86" w:rsidR="00E34CD0">
        <w:rPr>
          <w:spacing w:val="1"/>
          <w:w w:val="105"/>
          <w:sz w:val="24"/>
        </w:rPr>
        <w:t xml:space="preserve"> and December.</w:t>
      </w:r>
      <w:r w:rsidR="00B95CA6">
        <w:rPr>
          <w:sz w:val="24"/>
        </w:rPr>
        <w:t xml:space="preserve">  </w:t>
      </w:r>
      <w:r w:rsidR="003740CC">
        <w:rPr>
          <w:sz w:val="24"/>
        </w:rPr>
        <w:t xml:space="preserve">During the pilot of the </w:t>
      </w:r>
      <w:r w:rsidR="00E77FBE">
        <w:rPr>
          <w:sz w:val="24"/>
        </w:rPr>
        <w:t xml:space="preserve">RWHAP </w:t>
      </w:r>
      <w:r w:rsidR="003740CC">
        <w:rPr>
          <w:sz w:val="24"/>
        </w:rPr>
        <w:t>HIVQM</w:t>
      </w:r>
      <w:r w:rsidR="00431F6E">
        <w:rPr>
          <w:sz w:val="24"/>
        </w:rPr>
        <w:t xml:space="preserve"> Module</w:t>
      </w:r>
      <w:r w:rsidR="003740CC">
        <w:rPr>
          <w:sz w:val="24"/>
        </w:rPr>
        <w:t xml:space="preserve">, respondents’ estimated burden averaged </w:t>
      </w:r>
      <w:r w:rsidR="00B3584F">
        <w:rPr>
          <w:sz w:val="24"/>
        </w:rPr>
        <w:t xml:space="preserve">13 </w:t>
      </w:r>
      <w:r w:rsidR="003740CC">
        <w:rPr>
          <w:sz w:val="24"/>
        </w:rPr>
        <w:t>minutes to submit their data</w:t>
      </w:r>
      <w:r w:rsidR="0067565D">
        <w:rPr>
          <w:sz w:val="24"/>
        </w:rPr>
        <w:t>.</w:t>
      </w:r>
      <w:r w:rsidR="003740CC">
        <w:rPr>
          <w:sz w:val="24"/>
        </w:rPr>
        <w:t xml:space="preserve"> </w:t>
      </w:r>
      <w:r w:rsidR="00B95CA6">
        <w:rPr>
          <w:sz w:val="24"/>
        </w:rPr>
        <w:t xml:space="preserve">  </w:t>
      </w:r>
      <w:r w:rsidR="00024B6F">
        <w:rPr>
          <w:sz w:val="24"/>
        </w:rPr>
        <w:t>The total burden hours is</w:t>
      </w:r>
      <w:r w:rsidR="00C2172D">
        <w:rPr>
          <w:sz w:val="24"/>
        </w:rPr>
        <w:t xml:space="preserve"> </w:t>
      </w:r>
      <w:r w:rsidR="000C3BD1">
        <w:rPr>
          <w:sz w:val="24"/>
        </w:rPr>
        <w:t>1,788</w:t>
      </w:r>
      <w:r w:rsidRPr="00C2172D" w:rsidR="00C2172D">
        <w:rPr>
          <w:sz w:val="24"/>
        </w:rPr>
        <w:t xml:space="preserve"> </w:t>
      </w:r>
      <w:r w:rsidRPr="00C2172D" w:rsidR="00024B6F">
        <w:rPr>
          <w:sz w:val="24"/>
        </w:rPr>
        <w:t>hours.</w:t>
      </w:r>
      <w:r w:rsidRPr="00720D0F">
        <w:rPr>
          <w:b/>
          <w:bCs/>
          <w:sz w:val="24"/>
        </w:rPr>
        <w:t xml:space="preserve"> </w:t>
      </w:r>
    </w:p>
    <w:p w:rsidR="00720D0F" w:rsidP="003119BC" w14:paraId="046CC257" w14:textId="77777777">
      <w:pPr>
        <w:widowControl/>
        <w:rPr>
          <w:b/>
          <w:bCs/>
          <w:sz w:val="24"/>
        </w:rPr>
      </w:pPr>
    </w:p>
    <w:p w:rsidR="003119BC" w:rsidRPr="00B32C86" w:rsidP="000705D9" w14:paraId="4EE7E477" w14:textId="55DC6DCA">
      <w:pPr>
        <w:widowControl/>
        <w:rPr>
          <w:sz w:val="24"/>
        </w:rPr>
      </w:pPr>
      <w:r w:rsidRPr="00720D0F">
        <w:rPr>
          <w:b/>
          <w:bCs/>
          <w:sz w:val="24"/>
        </w:rPr>
        <w:t>Estimated Annualized Burden Hours</w:t>
      </w:r>
    </w:p>
    <w:tbl>
      <w:tblPr>
        <w:tblpPr w:leftFromText="180" w:rightFromText="180" w:vertAnchor="text" w:horzAnchor="margin" w:tblpXSpec="center" w:tblpY="130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3"/>
        <w:gridCol w:w="1699"/>
        <w:gridCol w:w="1799"/>
        <w:gridCol w:w="1705"/>
        <w:gridCol w:w="1799"/>
      </w:tblGrid>
      <w:tr w14:paraId="7342C4A6" w14:textId="77777777" w:rsidTr="007D663E">
        <w:tblPrEx>
          <w:tblW w:w="94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57"/>
        </w:trPr>
        <w:tc>
          <w:tcPr>
            <w:tcW w:w="2493" w:type="dxa"/>
            <w:vAlign w:val="center"/>
          </w:tcPr>
          <w:p w:rsidR="00AE2FD7" w:rsidRPr="007D663E" w:rsidP="000705D9" w14:paraId="46F0CB6A" w14:textId="5A03A775">
            <w:pPr>
              <w:rPr>
                <w:sz w:val="24"/>
              </w:rPr>
            </w:pPr>
            <w:r>
              <w:rPr>
                <w:w w:val="105"/>
                <w:sz w:val="24"/>
              </w:rPr>
              <w:t xml:space="preserve">   </w:t>
            </w:r>
            <w:r w:rsidRPr="007D663E">
              <w:rPr>
                <w:w w:val="105"/>
                <w:sz w:val="24"/>
              </w:rPr>
              <w:t>Form Name</w:t>
            </w:r>
          </w:p>
        </w:tc>
        <w:tc>
          <w:tcPr>
            <w:tcW w:w="1699" w:type="dxa"/>
            <w:vAlign w:val="center"/>
          </w:tcPr>
          <w:p w:rsidR="00AE2FD7" w:rsidRPr="007D663E" w:rsidP="000705D9" w14:paraId="1EB87175" w14:textId="77777777">
            <w:pPr>
              <w:ind w:left="93" w:right="115" w:firstLine="86"/>
              <w:jc w:val="center"/>
              <w:rPr>
                <w:sz w:val="24"/>
              </w:rPr>
            </w:pPr>
            <w:r w:rsidRPr="007D663E">
              <w:rPr>
                <w:w w:val="105"/>
                <w:sz w:val="24"/>
              </w:rPr>
              <w:t>No.</w:t>
            </w:r>
            <w:r w:rsidRPr="007D663E">
              <w:rPr>
                <w:spacing w:val="12"/>
                <w:w w:val="105"/>
                <w:sz w:val="24"/>
              </w:rPr>
              <w:t xml:space="preserve"> </w:t>
            </w:r>
            <w:r w:rsidRPr="007D663E">
              <w:rPr>
                <w:w w:val="105"/>
                <w:sz w:val="24"/>
              </w:rPr>
              <w:t>of</w:t>
            </w:r>
            <w:r w:rsidRPr="007D663E">
              <w:rPr>
                <w:w w:val="109"/>
                <w:sz w:val="24"/>
              </w:rPr>
              <w:t xml:space="preserve"> </w:t>
            </w:r>
            <w:r w:rsidRPr="007D663E">
              <w:rPr>
                <w:sz w:val="24"/>
              </w:rPr>
              <w:t>Respondents</w:t>
            </w:r>
          </w:p>
        </w:tc>
        <w:tc>
          <w:tcPr>
            <w:tcW w:w="1799" w:type="dxa"/>
            <w:vAlign w:val="center"/>
          </w:tcPr>
          <w:p w:rsidR="00AE2FD7" w:rsidRPr="007D663E" w:rsidP="000705D9" w14:paraId="24E56814" w14:textId="77777777">
            <w:pPr>
              <w:ind w:left="201" w:right="206" w:firstLine="1"/>
              <w:jc w:val="center"/>
              <w:rPr>
                <w:sz w:val="24"/>
              </w:rPr>
            </w:pPr>
            <w:r w:rsidRPr="007D663E">
              <w:rPr>
                <w:w w:val="105"/>
                <w:sz w:val="24"/>
              </w:rPr>
              <w:t>No.</w:t>
            </w:r>
            <w:r w:rsidRPr="007D663E">
              <w:rPr>
                <w:spacing w:val="6"/>
                <w:w w:val="105"/>
                <w:sz w:val="24"/>
              </w:rPr>
              <w:t xml:space="preserve"> </w:t>
            </w:r>
            <w:r w:rsidRPr="007D663E">
              <w:rPr>
                <w:w w:val="105"/>
                <w:sz w:val="24"/>
              </w:rPr>
              <w:t>of</w:t>
            </w:r>
            <w:r w:rsidRPr="007D663E">
              <w:rPr>
                <w:w w:val="106"/>
                <w:sz w:val="24"/>
              </w:rPr>
              <w:t xml:space="preserve"> </w:t>
            </w:r>
            <w:r w:rsidRPr="007D663E">
              <w:rPr>
                <w:w w:val="105"/>
                <w:sz w:val="24"/>
              </w:rPr>
              <w:t>Responses</w:t>
            </w:r>
            <w:r w:rsidRPr="007D663E">
              <w:rPr>
                <w:spacing w:val="-19"/>
                <w:w w:val="105"/>
                <w:sz w:val="24"/>
              </w:rPr>
              <w:t xml:space="preserve"> </w:t>
            </w:r>
            <w:r w:rsidRPr="007D663E">
              <w:rPr>
                <w:w w:val="105"/>
                <w:sz w:val="24"/>
              </w:rPr>
              <w:t>per</w:t>
            </w:r>
            <w:r w:rsidRPr="007D663E">
              <w:rPr>
                <w:w w:val="107"/>
                <w:sz w:val="24"/>
              </w:rPr>
              <w:t xml:space="preserve"> </w:t>
            </w:r>
            <w:r w:rsidRPr="007D663E">
              <w:rPr>
                <w:w w:val="105"/>
                <w:sz w:val="24"/>
              </w:rPr>
              <w:t>Respondent</w:t>
            </w:r>
          </w:p>
        </w:tc>
        <w:tc>
          <w:tcPr>
            <w:tcW w:w="1705" w:type="dxa"/>
            <w:vAlign w:val="center"/>
          </w:tcPr>
          <w:p w:rsidR="00AE2FD7" w:rsidRPr="007D663E" w:rsidP="000705D9" w14:paraId="0FD68130" w14:textId="77777777">
            <w:pPr>
              <w:ind w:left="122" w:right="128" w:hanging="10"/>
              <w:jc w:val="center"/>
              <w:rPr>
                <w:sz w:val="24"/>
              </w:rPr>
            </w:pPr>
            <w:r w:rsidRPr="007D663E">
              <w:rPr>
                <w:w w:val="110"/>
                <w:sz w:val="24"/>
              </w:rPr>
              <w:t>Average Burden per Response (in hours)</w:t>
            </w:r>
          </w:p>
        </w:tc>
        <w:tc>
          <w:tcPr>
            <w:tcW w:w="1799" w:type="dxa"/>
            <w:vAlign w:val="center"/>
          </w:tcPr>
          <w:p w:rsidR="00AE2FD7" w:rsidRPr="007D663E" w:rsidP="000705D9" w14:paraId="3326D193" w14:textId="77777777">
            <w:pPr>
              <w:ind w:left="352" w:right="367" w:firstLine="4"/>
              <w:jc w:val="center"/>
              <w:rPr>
                <w:sz w:val="24"/>
              </w:rPr>
            </w:pPr>
            <w:r w:rsidRPr="007D663E">
              <w:rPr>
                <w:w w:val="105"/>
                <w:sz w:val="24"/>
              </w:rPr>
              <w:t xml:space="preserve">Total </w:t>
            </w:r>
            <w:r w:rsidRPr="007D663E">
              <w:rPr>
                <w:sz w:val="24"/>
              </w:rPr>
              <w:t>Burden</w:t>
            </w:r>
            <w:r w:rsidRPr="007D663E">
              <w:rPr>
                <w:w w:val="104"/>
                <w:sz w:val="24"/>
              </w:rPr>
              <w:t xml:space="preserve"> </w:t>
            </w:r>
            <w:r w:rsidRPr="007D663E">
              <w:rPr>
                <w:w w:val="105"/>
                <w:sz w:val="24"/>
              </w:rPr>
              <w:t>Hours</w:t>
            </w:r>
          </w:p>
        </w:tc>
      </w:tr>
      <w:tr w14:paraId="46032745" w14:textId="77777777" w:rsidTr="007D663E">
        <w:tblPrEx>
          <w:tblW w:w="94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76"/>
        </w:trPr>
        <w:tc>
          <w:tcPr>
            <w:tcW w:w="2493" w:type="dxa"/>
            <w:vAlign w:val="center"/>
          </w:tcPr>
          <w:p w:rsidR="00AE2FD7" w:rsidRPr="007D663E" w:rsidP="000705D9" w14:paraId="637F02BF" w14:textId="75815D67">
            <w:pPr>
              <w:spacing w:before="1"/>
              <w:ind w:left="180" w:right="684"/>
              <w:rPr>
                <w:sz w:val="24"/>
              </w:rPr>
            </w:pPr>
            <w:r w:rsidRPr="007D663E">
              <w:rPr>
                <w:w w:val="105"/>
                <w:sz w:val="24"/>
              </w:rPr>
              <w:t>HIVQM Module</w:t>
            </w:r>
          </w:p>
        </w:tc>
        <w:tc>
          <w:tcPr>
            <w:tcW w:w="1699" w:type="dxa"/>
            <w:vAlign w:val="center"/>
          </w:tcPr>
          <w:p w:rsidR="00AE2FD7" w:rsidRPr="007D663E" w:rsidP="000705D9" w14:paraId="1A994FB3" w14:textId="01843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2,063</w:t>
            </w:r>
          </w:p>
        </w:tc>
        <w:tc>
          <w:tcPr>
            <w:tcW w:w="1799" w:type="dxa"/>
            <w:vAlign w:val="center"/>
          </w:tcPr>
          <w:p w:rsidR="00AE2FD7" w:rsidRPr="007D663E" w:rsidP="000705D9" w14:paraId="0693589A" w14:textId="60CFDD1E">
            <w:pPr>
              <w:ind w:right="5"/>
              <w:jc w:val="center"/>
              <w:rPr>
                <w:sz w:val="24"/>
              </w:rPr>
            </w:pPr>
            <w:r w:rsidRPr="007D663E">
              <w:rPr>
                <w:sz w:val="24"/>
              </w:rPr>
              <w:t>4</w:t>
            </w:r>
          </w:p>
        </w:tc>
        <w:tc>
          <w:tcPr>
            <w:tcW w:w="1705" w:type="dxa"/>
            <w:vAlign w:val="center"/>
          </w:tcPr>
          <w:p w:rsidR="00AE2FD7" w:rsidRPr="007D663E" w:rsidP="000705D9" w14:paraId="5DBAC5DD" w14:textId="533CA0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7D663E" w:rsidR="007D663E">
              <w:rPr>
                <w:sz w:val="24"/>
              </w:rPr>
              <w:t>/60</w:t>
            </w:r>
          </w:p>
        </w:tc>
        <w:tc>
          <w:tcPr>
            <w:tcW w:w="1799" w:type="dxa"/>
            <w:vAlign w:val="center"/>
          </w:tcPr>
          <w:p w:rsidR="00AE2FD7" w:rsidRPr="007D663E" w:rsidP="000705D9" w14:paraId="614598C8" w14:textId="365D8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1,788</w:t>
            </w:r>
          </w:p>
        </w:tc>
      </w:tr>
    </w:tbl>
    <w:p w:rsidR="00AE2FD7" w:rsidP="00726141" w14:paraId="7BA787E0" w14:textId="77777777">
      <w:pPr>
        <w:widowControl/>
        <w:spacing w:before="120"/>
        <w:rPr>
          <w:sz w:val="24"/>
        </w:rPr>
      </w:pPr>
    </w:p>
    <w:p w:rsidR="006319AD" w:rsidP="00726141" w14:paraId="5EA3510C" w14:textId="77777777">
      <w:pPr>
        <w:widowControl/>
        <w:spacing w:before="120"/>
        <w:rPr>
          <w:sz w:val="24"/>
        </w:rPr>
      </w:pPr>
      <w:r>
        <w:rPr>
          <w:sz w:val="24"/>
        </w:rPr>
        <w:t>12B.</w:t>
      </w:r>
      <w:r w:rsidR="00CE7C58">
        <w:rPr>
          <w:sz w:val="24"/>
        </w:rPr>
        <w:t xml:space="preserve"> </w:t>
      </w:r>
    </w:p>
    <w:p w:rsidR="006319AD" w:rsidRPr="006319AD" w:rsidP="000705D9" w14:paraId="1D72D82F" w14:textId="77777777">
      <w:pPr>
        <w:widowControl/>
        <w:spacing w:before="120"/>
        <w:rPr>
          <w:sz w:val="24"/>
        </w:rPr>
      </w:pPr>
    </w:p>
    <w:p w:rsidR="006319AD" w:rsidRPr="006319AD" w:rsidP="000705D9" w14:paraId="48FD69D5" w14:textId="7A5F1BFB">
      <w:pPr>
        <w:rPr>
          <w:sz w:val="24"/>
        </w:rPr>
      </w:pPr>
      <w:r w:rsidRPr="006319AD">
        <w:rPr>
          <w:sz w:val="24"/>
        </w:rPr>
        <w:t xml:space="preserve">The hourly wage rates were taken from the Bureau of Labor Statistics, </w:t>
      </w:r>
      <w:hyperlink r:id="rId13" w:anchor="29-0000" w:history="1">
        <w:r w:rsidRPr="006319AD">
          <w:rPr>
            <w:rStyle w:val="Hyperlink"/>
            <w:sz w:val="24"/>
          </w:rPr>
          <w:t>Sector 62 - Health Care and Social Assistance - May 2021 OEWS Industry-Specific Occupational Employment and Wage Estimates (bls.gov)</w:t>
        </w:r>
      </w:hyperlink>
      <w:r w:rsidR="00A116EF">
        <w:rPr>
          <w:sz w:val="24"/>
        </w:rPr>
        <w:t xml:space="preserve"> which were released on March 31, 2022</w:t>
      </w:r>
      <w:r w:rsidRPr="006319AD">
        <w:rPr>
          <w:sz w:val="24"/>
        </w:rPr>
        <w:t>.</w:t>
      </w:r>
      <w:r w:rsidR="00B95CA6">
        <w:rPr>
          <w:sz w:val="24"/>
        </w:rPr>
        <w:t xml:space="preserve">  </w:t>
      </w:r>
      <w:r w:rsidRPr="006319AD">
        <w:rPr>
          <w:sz w:val="24"/>
        </w:rPr>
        <w:t xml:space="preserve">Hourly wage rates were used for the occupational titles: </w:t>
      </w:r>
      <w:r w:rsidR="008C7405">
        <w:rPr>
          <w:sz w:val="24"/>
        </w:rPr>
        <w:t>general</w:t>
      </w:r>
      <w:r w:rsidR="00640DF0">
        <w:rPr>
          <w:sz w:val="24"/>
        </w:rPr>
        <w:t xml:space="preserve"> and operations managers</w:t>
      </w:r>
      <w:r w:rsidRPr="006319AD">
        <w:rPr>
          <w:sz w:val="24"/>
        </w:rPr>
        <w:t xml:space="preserve"> (</w:t>
      </w:r>
      <w:r w:rsidR="00D8534B">
        <w:rPr>
          <w:sz w:val="24"/>
        </w:rPr>
        <w:t>$47.10</w:t>
      </w:r>
      <w:r w:rsidRPr="006319AD">
        <w:rPr>
          <w:sz w:val="24"/>
        </w:rPr>
        <w:t>)</w:t>
      </w:r>
      <w:r w:rsidR="00DD0D68">
        <w:rPr>
          <w:sz w:val="24"/>
        </w:rPr>
        <w:t>.</w:t>
      </w:r>
      <w:r w:rsidR="00B95CA6">
        <w:rPr>
          <w:sz w:val="24"/>
        </w:rPr>
        <w:t xml:space="preserve">  </w:t>
      </w:r>
      <w:r w:rsidRPr="006319AD">
        <w:rPr>
          <w:sz w:val="24"/>
        </w:rPr>
        <w:t>The total respondent cost is $</w:t>
      </w:r>
      <w:r w:rsidR="00796BF2">
        <w:rPr>
          <w:sz w:val="24"/>
        </w:rPr>
        <w:t>84,214.80</w:t>
      </w:r>
      <w:r w:rsidR="00796BF2">
        <w:rPr>
          <w:sz w:val="24"/>
        </w:rPr>
        <w:t xml:space="preserve">. </w:t>
      </w:r>
    </w:p>
    <w:p w:rsidR="00DF08B0" w:rsidP="00DF08B0" w14:paraId="17C050A9" w14:textId="77777777">
      <w:pPr>
        <w:widowControl/>
        <w:rPr>
          <w:b/>
          <w:bCs/>
          <w:sz w:val="24"/>
        </w:rPr>
      </w:pPr>
    </w:p>
    <w:p w:rsidR="00DF08B0" w:rsidP="00DF08B0" w14:paraId="47E33477" w14:textId="3A9CB4B8">
      <w:pPr>
        <w:widowControl/>
        <w:rPr>
          <w:b/>
          <w:bCs/>
          <w:sz w:val="24"/>
        </w:rPr>
      </w:pPr>
      <w:bookmarkStart w:id="1" w:name="_GoBack"/>
      <w:bookmarkEnd w:id="1"/>
      <w:r w:rsidRPr="00720D0F">
        <w:rPr>
          <w:b/>
          <w:bCs/>
          <w:sz w:val="24"/>
        </w:rPr>
        <w:t xml:space="preserve">Estimated Annualized Burden </w:t>
      </w:r>
      <w:r>
        <w:rPr>
          <w:b/>
          <w:bCs/>
          <w:sz w:val="24"/>
        </w:rPr>
        <w:t>Costs</w:t>
      </w:r>
    </w:p>
    <w:tbl>
      <w:tblPr>
        <w:tblpPr w:leftFromText="180" w:rightFromText="180" w:vertAnchor="text" w:horzAnchor="margin" w:tblpY="261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2"/>
        <w:gridCol w:w="2122"/>
        <w:gridCol w:w="2280"/>
        <w:gridCol w:w="2834"/>
      </w:tblGrid>
      <w:tr w14:paraId="4051AA2D" w14:textId="77777777" w:rsidTr="00DF08B0">
        <w:tblPrEx>
          <w:tblW w:w="95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4"/>
        </w:trPr>
        <w:tc>
          <w:tcPr>
            <w:tcW w:w="2282" w:type="dxa"/>
            <w:vAlign w:val="center"/>
          </w:tcPr>
          <w:p w:rsidR="00DF08B0" w:rsidRPr="00640DF0" w:rsidP="00DF08B0" w14:paraId="59FA20AA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Type of</w:t>
            </w:r>
          </w:p>
          <w:p w:rsidR="00DF08B0" w:rsidRPr="00640DF0" w:rsidP="00DF08B0" w14:paraId="6BC40CEC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Respondent</w:t>
            </w:r>
          </w:p>
        </w:tc>
        <w:tc>
          <w:tcPr>
            <w:tcW w:w="2122" w:type="dxa"/>
            <w:vAlign w:val="center"/>
          </w:tcPr>
          <w:p w:rsidR="00DF08B0" w:rsidRPr="00640DF0" w:rsidP="00DF08B0" w14:paraId="5B309A8A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Total Burden</w:t>
            </w:r>
          </w:p>
          <w:p w:rsidR="00DF08B0" w:rsidRPr="00640DF0" w:rsidP="00DF08B0" w14:paraId="72A5940B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Hours</w:t>
            </w:r>
          </w:p>
        </w:tc>
        <w:tc>
          <w:tcPr>
            <w:tcW w:w="2280" w:type="dxa"/>
            <w:vAlign w:val="center"/>
          </w:tcPr>
          <w:p w:rsidR="00DF08B0" w:rsidRPr="00640DF0" w:rsidP="00DF08B0" w14:paraId="552D6A1F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Hourly</w:t>
            </w:r>
          </w:p>
          <w:p w:rsidR="00DF08B0" w:rsidRPr="00640DF0" w:rsidP="00DF08B0" w14:paraId="4A4D187A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Wage Rate</w:t>
            </w:r>
          </w:p>
        </w:tc>
        <w:tc>
          <w:tcPr>
            <w:tcW w:w="2834" w:type="dxa"/>
            <w:vAlign w:val="center"/>
          </w:tcPr>
          <w:p w:rsidR="00DF08B0" w:rsidRPr="00640DF0" w:rsidP="00DF08B0" w14:paraId="0AB0EBC5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Total Respondent Costs</w:t>
            </w:r>
          </w:p>
        </w:tc>
      </w:tr>
      <w:tr w14:paraId="67B8CA49" w14:textId="77777777" w:rsidTr="00DF08B0">
        <w:tblPrEx>
          <w:tblW w:w="9518" w:type="dxa"/>
          <w:tblLook w:val="01E0"/>
        </w:tblPrEx>
        <w:trPr>
          <w:trHeight w:val="302"/>
        </w:trPr>
        <w:tc>
          <w:tcPr>
            <w:tcW w:w="2282" w:type="dxa"/>
          </w:tcPr>
          <w:p w:rsidR="00DF08B0" w:rsidRPr="00640DF0" w:rsidP="00DF08B0" w14:paraId="17FA5060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Data Managers</w:t>
            </w:r>
          </w:p>
        </w:tc>
        <w:tc>
          <w:tcPr>
            <w:tcW w:w="2122" w:type="dxa"/>
            <w:vAlign w:val="center"/>
          </w:tcPr>
          <w:p w:rsidR="00DF08B0" w:rsidRPr="00640DF0" w:rsidP="00DF08B0" w14:paraId="78EA260C" w14:textId="7DFFC916">
            <w:pPr>
              <w:jc w:val="center"/>
              <w:rPr>
                <w:sz w:val="24"/>
              </w:rPr>
            </w:pPr>
            <w:r w:rsidRPr="00DF08B0">
              <w:rPr>
                <w:sz w:val="24"/>
              </w:rPr>
              <w:t>1,</w:t>
            </w:r>
            <w:r w:rsidR="006E6FCC">
              <w:rPr>
                <w:sz w:val="24"/>
              </w:rPr>
              <w:t>788</w:t>
            </w:r>
          </w:p>
        </w:tc>
        <w:tc>
          <w:tcPr>
            <w:tcW w:w="2280" w:type="dxa"/>
            <w:vAlign w:val="center"/>
          </w:tcPr>
          <w:p w:rsidR="00DF08B0" w:rsidRPr="00640DF0" w:rsidP="00DF08B0" w14:paraId="49C29CE2" w14:textId="65AE6A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$47.10</w:t>
            </w:r>
          </w:p>
        </w:tc>
        <w:tc>
          <w:tcPr>
            <w:tcW w:w="2834" w:type="dxa"/>
            <w:vAlign w:val="center"/>
          </w:tcPr>
          <w:p w:rsidR="00DF08B0" w:rsidRPr="00880A88" w:rsidP="00DF08B0" w14:paraId="4A097420" w14:textId="19B47648">
            <w:pPr>
              <w:jc w:val="center"/>
              <w:rPr>
                <w:sz w:val="24"/>
              </w:rPr>
            </w:pPr>
            <w:r w:rsidRPr="00880A88">
              <w:rPr>
                <w:sz w:val="24"/>
              </w:rPr>
              <w:t>$</w:t>
            </w:r>
            <w:r w:rsidR="00D8534B">
              <w:rPr>
                <w:sz w:val="24"/>
              </w:rPr>
              <w:t>84,214</w:t>
            </w:r>
            <w:r w:rsidR="009F7935">
              <w:rPr>
                <w:sz w:val="24"/>
              </w:rPr>
              <w:t>.80</w:t>
            </w:r>
          </w:p>
        </w:tc>
      </w:tr>
      <w:tr w14:paraId="59A8BC4B" w14:textId="77777777" w:rsidTr="00DF08B0">
        <w:tblPrEx>
          <w:tblW w:w="9518" w:type="dxa"/>
          <w:tblLook w:val="01E0"/>
        </w:tblPrEx>
        <w:trPr>
          <w:trHeight w:val="332"/>
        </w:trPr>
        <w:tc>
          <w:tcPr>
            <w:tcW w:w="2282" w:type="dxa"/>
          </w:tcPr>
          <w:p w:rsidR="00DF08B0" w:rsidRPr="00640DF0" w:rsidP="00DF08B0" w14:paraId="37354A7B" w14:textId="77777777">
            <w:pPr>
              <w:rPr>
                <w:sz w:val="24"/>
              </w:rPr>
            </w:pPr>
            <w:r w:rsidRPr="00640DF0">
              <w:rPr>
                <w:sz w:val="24"/>
              </w:rPr>
              <w:t>Total</w:t>
            </w:r>
          </w:p>
        </w:tc>
        <w:tc>
          <w:tcPr>
            <w:tcW w:w="2122" w:type="dxa"/>
            <w:vAlign w:val="center"/>
          </w:tcPr>
          <w:p w:rsidR="00DF08B0" w:rsidRPr="00640DF0" w:rsidP="00DF08B0" w14:paraId="1277231C" w14:textId="777777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DF08B0" w:rsidRPr="00640DF0" w:rsidP="00DF08B0" w14:paraId="7F8A9527" w14:textId="77777777">
            <w:pPr>
              <w:jc w:val="center"/>
              <w:rPr>
                <w:sz w:val="24"/>
              </w:rPr>
            </w:pPr>
          </w:p>
        </w:tc>
        <w:tc>
          <w:tcPr>
            <w:tcW w:w="2834" w:type="dxa"/>
            <w:vAlign w:val="center"/>
          </w:tcPr>
          <w:p w:rsidR="00DF08B0" w:rsidRPr="00880A88" w:rsidP="00D8534B" w14:paraId="0288EAEA" w14:textId="5E52A5CD">
            <w:pPr>
              <w:jc w:val="center"/>
              <w:rPr>
                <w:sz w:val="24"/>
              </w:rPr>
            </w:pPr>
            <w:r w:rsidRPr="00880A88">
              <w:rPr>
                <w:sz w:val="24"/>
              </w:rPr>
              <w:t>$</w:t>
            </w:r>
            <w:r>
              <w:rPr>
                <w:sz w:val="24"/>
              </w:rPr>
              <w:t>84,214.80</w:t>
            </w:r>
          </w:p>
        </w:tc>
      </w:tr>
    </w:tbl>
    <w:p w:rsidR="006319AD" w:rsidRPr="00640DF0" w:rsidP="000705D9" w14:paraId="21EB3432" w14:textId="77777777">
      <w:pPr>
        <w:widowControl/>
        <w:spacing w:before="120"/>
        <w:rPr>
          <w:sz w:val="24"/>
        </w:rPr>
      </w:pPr>
    </w:p>
    <w:p w:rsidR="00B50A61" w:rsidRPr="00121480" w14:paraId="7D9D7AA9" w14:textId="595AA55F">
      <w:pPr>
        <w:numPr>
          <w:ilvl w:val="0"/>
          <w:numId w:val="1"/>
        </w:numPr>
        <w:rPr>
          <w:b/>
          <w:bCs/>
          <w:sz w:val="24"/>
        </w:rPr>
      </w:pPr>
      <w:r w:rsidRPr="00B32C86">
        <w:rPr>
          <w:bCs/>
          <w:sz w:val="24"/>
          <w:u w:val="single"/>
        </w:rPr>
        <w:t xml:space="preserve">Estimates of </w:t>
      </w:r>
      <w:r w:rsidR="00B20FEC">
        <w:rPr>
          <w:bCs/>
          <w:sz w:val="24"/>
          <w:u w:val="single"/>
        </w:rPr>
        <w:t>Other Total</w:t>
      </w:r>
      <w:r w:rsidR="007679B3">
        <w:rPr>
          <w:bCs/>
          <w:sz w:val="24"/>
          <w:u w:val="single"/>
        </w:rPr>
        <w:t xml:space="preserve"> </w:t>
      </w:r>
      <w:r w:rsidRPr="00B32C86">
        <w:rPr>
          <w:bCs/>
          <w:sz w:val="24"/>
          <w:u w:val="single"/>
        </w:rPr>
        <w:t>Annual Cost Burden to Respondents</w:t>
      </w:r>
      <w:r w:rsidR="007679B3">
        <w:rPr>
          <w:bCs/>
          <w:sz w:val="24"/>
          <w:u w:val="single"/>
        </w:rPr>
        <w:t xml:space="preserve"> or </w:t>
      </w:r>
      <w:r w:rsidR="007679B3">
        <w:rPr>
          <w:bCs/>
          <w:sz w:val="24"/>
          <w:u w:val="single"/>
        </w:rPr>
        <w:t>Recordkeepers</w:t>
      </w:r>
      <w:r w:rsidR="007679B3">
        <w:rPr>
          <w:bCs/>
          <w:sz w:val="24"/>
          <w:u w:val="single"/>
        </w:rPr>
        <w:t>/Capital Costs</w:t>
      </w:r>
    </w:p>
    <w:p w:rsidR="00D11CA3" w:rsidRPr="00B32C86" w:rsidP="000705D9" w14:paraId="1D779F9B" w14:textId="46E1D9CE">
      <w:pPr>
        <w:spacing w:before="240"/>
        <w:rPr>
          <w:sz w:val="24"/>
        </w:rPr>
      </w:pPr>
      <w:r w:rsidRPr="00B32C86">
        <w:rPr>
          <w:sz w:val="24"/>
        </w:rPr>
        <w:t>Other than their time, t</w:t>
      </w:r>
      <w:r w:rsidRPr="00B32C86" w:rsidR="00090374">
        <w:rPr>
          <w:sz w:val="24"/>
        </w:rPr>
        <w:t xml:space="preserve">here is no </w:t>
      </w:r>
      <w:r w:rsidRPr="00B32C86" w:rsidR="00726141">
        <w:rPr>
          <w:sz w:val="24"/>
        </w:rPr>
        <w:t xml:space="preserve">other annual </w:t>
      </w:r>
      <w:r w:rsidRPr="00B32C86" w:rsidR="00090374">
        <w:rPr>
          <w:sz w:val="24"/>
        </w:rPr>
        <w:t>cost</w:t>
      </w:r>
      <w:r w:rsidRPr="00B32C86" w:rsidR="00726141">
        <w:rPr>
          <w:sz w:val="24"/>
        </w:rPr>
        <w:t xml:space="preserve"> burden</w:t>
      </w:r>
      <w:r w:rsidRPr="00B32C86" w:rsidR="00090374">
        <w:rPr>
          <w:sz w:val="24"/>
        </w:rPr>
        <w:t xml:space="preserve"> to respondents.</w:t>
      </w:r>
      <w:r w:rsidRPr="00B32C86" w:rsidR="0012347F">
        <w:rPr>
          <w:sz w:val="24"/>
        </w:rPr>
        <w:br/>
      </w:r>
    </w:p>
    <w:p w:rsidR="00B50A61" w:rsidRPr="00B32C86" w14:paraId="62304F9E" w14:textId="715E1926">
      <w:pPr>
        <w:numPr>
          <w:ilvl w:val="0"/>
          <w:numId w:val="1"/>
        </w:numPr>
        <w:spacing w:before="240"/>
        <w:rPr>
          <w:bCs/>
          <w:sz w:val="24"/>
        </w:rPr>
      </w:pPr>
      <w:r w:rsidRPr="00B32C86">
        <w:rPr>
          <w:bCs/>
          <w:sz w:val="24"/>
          <w:u w:val="single"/>
        </w:rPr>
        <w:t>Annualized Cost to</w:t>
      </w:r>
      <w:r w:rsidRPr="00B32C86" w:rsidR="00E63714">
        <w:rPr>
          <w:bCs/>
          <w:sz w:val="24"/>
          <w:u w:val="single"/>
        </w:rPr>
        <w:t xml:space="preserve"> </w:t>
      </w:r>
      <w:r w:rsidR="007679B3">
        <w:rPr>
          <w:bCs/>
          <w:sz w:val="24"/>
          <w:u w:val="single"/>
        </w:rPr>
        <w:t>Federal</w:t>
      </w:r>
      <w:r w:rsidRPr="00B32C86">
        <w:rPr>
          <w:bCs/>
          <w:sz w:val="24"/>
          <w:u w:val="single"/>
        </w:rPr>
        <w:t xml:space="preserve"> Government</w:t>
      </w:r>
      <w:r w:rsidRPr="00B32C86" w:rsidR="00BA3E25">
        <w:rPr>
          <w:bCs/>
          <w:sz w:val="24"/>
          <w:u w:val="single"/>
        </w:rPr>
        <w:br/>
      </w:r>
    </w:p>
    <w:p w:rsidR="00BA3E25" w:rsidRPr="00E0006A" w:rsidP="00BA3E25" w14:paraId="726B5941" w14:textId="4E583BDB">
      <w:pPr>
        <w:rPr>
          <w:rStyle w:val="BodyTextFi"/>
          <w:sz w:val="24"/>
        </w:rPr>
      </w:pPr>
      <w:r w:rsidRPr="00E0006A">
        <w:rPr>
          <w:rStyle w:val="BodyTextFi"/>
          <w:sz w:val="24"/>
        </w:rPr>
        <w:t xml:space="preserve">HRSA has maintained a contract to provide technical assistance, distribute the OMB-approved </w:t>
      </w:r>
      <w:r w:rsidRPr="00E0006A">
        <w:rPr>
          <w:sz w:val="24"/>
        </w:rPr>
        <w:t>HRSA Ryan White HIV/AIDS Program HIV Quality Measure</w:t>
      </w:r>
      <w:r w:rsidRPr="00E0006A">
        <w:rPr>
          <w:b/>
          <w:sz w:val="24"/>
        </w:rPr>
        <w:t>s</w:t>
      </w:r>
      <w:r w:rsidRPr="00E0006A">
        <w:rPr>
          <w:rStyle w:val="BodyTextFi"/>
          <w:sz w:val="24"/>
        </w:rPr>
        <w:t xml:space="preserve"> forms, and perform data entry and analysis. </w:t>
      </w:r>
      <w:r w:rsidRPr="00E0006A" w:rsidR="00587C9C">
        <w:rPr>
          <w:rStyle w:val="BodyTextFi"/>
          <w:sz w:val="24"/>
        </w:rPr>
        <w:t xml:space="preserve">The contract task that supports the measures relating to this program total approximately </w:t>
      </w:r>
      <w:r w:rsidRPr="00E0006A" w:rsidR="00587C9C">
        <w:rPr>
          <w:sz w:val="24"/>
        </w:rPr>
        <w:t xml:space="preserve">$120,000.  </w:t>
      </w:r>
      <w:r w:rsidRPr="00E0006A">
        <w:rPr>
          <w:rStyle w:val="BodyTextFi"/>
          <w:sz w:val="24"/>
        </w:rPr>
        <w:t xml:space="preserve">In addition, government personnel </w:t>
      </w:r>
      <w:r w:rsidRPr="00E0006A" w:rsidR="0067565D">
        <w:rPr>
          <w:rStyle w:val="BodyTextFi"/>
          <w:sz w:val="24"/>
        </w:rPr>
        <w:t xml:space="preserve">requires </w:t>
      </w:r>
      <w:r w:rsidRPr="00E0006A">
        <w:rPr>
          <w:rStyle w:val="BodyTextFi"/>
          <w:sz w:val="24"/>
        </w:rPr>
        <w:t>10% time of 1 FTE at a GS-13 level ($106,823) to review and prepare award notices</w:t>
      </w:r>
      <w:r w:rsidRPr="00E0006A" w:rsidR="00587C9C">
        <w:rPr>
          <w:rStyle w:val="BodyTextFi"/>
          <w:sz w:val="24"/>
        </w:rPr>
        <w:t>, which total approximately $10,680</w:t>
      </w:r>
      <w:r w:rsidRPr="00E0006A">
        <w:rPr>
          <w:rStyle w:val="BodyTextFi"/>
          <w:sz w:val="24"/>
        </w:rPr>
        <w:t>.</w:t>
      </w:r>
      <w:r w:rsidRPr="00E0006A" w:rsidR="00587C9C">
        <w:rPr>
          <w:rStyle w:val="BodyTextFi"/>
          <w:sz w:val="24"/>
        </w:rPr>
        <w:t xml:space="preserve"> This brings the estimated total annualized cost to approximately $130,680. </w:t>
      </w:r>
    </w:p>
    <w:p w:rsidR="007609F8" w:rsidRPr="00E0006A" w:rsidP="007609F8" w14:paraId="1B4C124B" w14:textId="77777777">
      <w:pPr>
        <w:widowControl/>
        <w:autoSpaceDE/>
        <w:autoSpaceDN/>
        <w:adjustRightInd/>
        <w:spacing w:after="160" w:line="259" w:lineRule="auto"/>
        <w:contextualSpacing/>
        <w:rPr>
          <w:sz w:val="24"/>
        </w:rPr>
      </w:pPr>
    </w:p>
    <w:p w:rsidR="00B50A61" w:rsidRPr="00B32C86" w14:paraId="50668E81" w14:textId="72768F70">
      <w:pPr>
        <w:numPr>
          <w:ilvl w:val="0"/>
          <w:numId w:val="1"/>
        </w:numPr>
        <w:spacing w:before="240"/>
        <w:rPr>
          <w:bCs/>
          <w:sz w:val="24"/>
        </w:rPr>
      </w:pPr>
      <w:r>
        <w:rPr>
          <w:bCs/>
          <w:sz w:val="24"/>
          <w:u w:val="single"/>
        </w:rPr>
        <w:t xml:space="preserve">Explanation for Program Changes or </w:t>
      </w:r>
      <w:r w:rsidR="00BD1EBF">
        <w:rPr>
          <w:bCs/>
          <w:sz w:val="24"/>
          <w:u w:val="single"/>
        </w:rPr>
        <w:t>Adjustments</w:t>
      </w:r>
    </w:p>
    <w:p w:rsidR="00E070DB" w:rsidRPr="00B32C86" w:rsidP="00E070DB" w14:paraId="76C881EB" w14:textId="77777777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</w:p>
    <w:p w:rsidR="00B50A61" w:rsidRPr="00B32C86" w:rsidP="004F2035" w14:paraId="0489B044" w14:textId="27532AEC">
      <w:pPr>
        <w:pStyle w:val="ColorfulList-Accent11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current inventory is for 6 hours</w:t>
      </w:r>
      <w:r w:rsidR="007D0C46">
        <w:rPr>
          <w:rFonts w:ascii="Times New Roman" w:hAnsi="Times New Roman"/>
          <w:sz w:val="24"/>
          <w:szCs w:val="24"/>
        </w:rPr>
        <w:t xml:space="preserve"> (</w:t>
      </w:r>
      <w:r w:rsidR="003C6D27">
        <w:rPr>
          <w:rFonts w:ascii="Times New Roman" w:hAnsi="Times New Roman"/>
          <w:sz w:val="24"/>
          <w:szCs w:val="24"/>
        </w:rPr>
        <w:t>360 minutes)</w:t>
      </w:r>
      <w:r w:rsidR="004E4A05">
        <w:rPr>
          <w:rFonts w:ascii="Times New Roman" w:hAnsi="Times New Roman"/>
          <w:sz w:val="24"/>
          <w:szCs w:val="24"/>
        </w:rPr>
        <w:t xml:space="preserve"> per submission</w:t>
      </w:r>
      <w:r>
        <w:rPr>
          <w:rFonts w:ascii="Times New Roman" w:hAnsi="Times New Roman"/>
          <w:sz w:val="24"/>
          <w:szCs w:val="24"/>
        </w:rPr>
        <w:t xml:space="preserve"> which included </w:t>
      </w:r>
      <w:r w:rsidR="00E004D1">
        <w:rPr>
          <w:rFonts w:ascii="Times New Roman" w:hAnsi="Times New Roman"/>
          <w:sz w:val="24"/>
          <w:szCs w:val="24"/>
        </w:rPr>
        <w:t>data collection, data cleaning</w:t>
      </w:r>
      <w:r w:rsidR="0067565D">
        <w:rPr>
          <w:rFonts w:ascii="Times New Roman" w:hAnsi="Times New Roman"/>
          <w:sz w:val="24"/>
          <w:szCs w:val="24"/>
        </w:rPr>
        <w:t>,</w:t>
      </w:r>
      <w:r w:rsidR="00E004D1">
        <w:rPr>
          <w:rFonts w:ascii="Times New Roman" w:hAnsi="Times New Roman"/>
          <w:sz w:val="24"/>
          <w:szCs w:val="24"/>
        </w:rPr>
        <w:t xml:space="preserve"> and submission of data into the</w:t>
      </w:r>
      <w:r w:rsidR="00E77FBE">
        <w:rPr>
          <w:rFonts w:ascii="Times New Roman" w:hAnsi="Times New Roman"/>
          <w:sz w:val="24"/>
          <w:szCs w:val="24"/>
        </w:rPr>
        <w:t xml:space="preserve"> RWHAP</w:t>
      </w:r>
      <w:r w:rsidR="00E004D1">
        <w:rPr>
          <w:rFonts w:ascii="Times New Roman" w:hAnsi="Times New Roman"/>
          <w:sz w:val="24"/>
          <w:szCs w:val="24"/>
        </w:rPr>
        <w:t xml:space="preserve"> HIVQM Module. </w:t>
      </w:r>
      <w:r w:rsidR="0067565D">
        <w:rPr>
          <w:rFonts w:ascii="Times New Roman" w:hAnsi="Times New Roman"/>
          <w:sz w:val="24"/>
          <w:szCs w:val="24"/>
        </w:rPr>
        <w:t xml:space="preserve"> </w:t>
      </w:r>
      <w:r w:rsidR="00E004D1">
        <w:rPr>
          <w:rFonts w:ascii="Times New Roman" w:hAnsi="Times New Roman"/>
          <w:sz w:val="24"/>
          <w:szCs w:val="24"/>
        </w:rPr>
        <w:t xml:space="preserve">This request is for </w:t>
      </w:r>
      <w:r w:rsidR="00B81812">
        <w:rPr>
          <w:rFonts w:ascii="Times New Roman" w:hAnsi="Times New Roman"/>
          <w:sz w:val="24"/>
          <w:szCs w:val="24"/>
        </w:rPr>
        <w:t xml:space="preserve">13 </w:t>
      </w:r>
      <w:r w:rsidR="0096177A">
        <w:rPr>
          <w:rFonts w:ascii="Times New Roman" w:hAnsi="Times New Roman"/>
          <w:sz w:val="24"/>
          <w:szCs w:val="24"/>
        </w:rPr>
        <w:t xml:space="preserve">minutes, a decrease of </w:t>
      </w:r>
      <w:r w:rsidR="00B81812">
        <w:rPr>
          <w:rFonts w:ascii="Times New Roman" w:hAnsi="Times New Roman"/>
          <w:sz w:val="24"/>
          <w:szCs w:val="24"/>
        </w:rPr>
        <w:t xml:space="preserve">347 </w:t>
      </w:r>
      <w:r w:rsidR="003C6D27">
        <w:rPr>
          <w:rFonts w:ascii="Times New Roman" w:hAnsi="Times New Roman"/>
          <w:sz w:val="24"/>
          <w:szCs w:val="24"/>
        </w:rPr>
        <w:t xml:space="preserve">minutes. </w:t>
      </w:r>
      <w:r w:rsidR="0067565D">
        <w:rPr>
          <w:rFonts w:ascii="Times New Roman" w:hAnsi="Times New Roman"/>
          <w:sz w:val="24"/>
          <w:szCs w:val="24"/>
        </w:rPr>
        <w:t xml:space="preserve"> </w:t>
      </w:r>
      <w:r w:rsidRPr="00B32C86" w:rsidR="00E63714">
        <w:rPr>
          <w:rFonts w:ascii="Times New Roman" w:hAnsi="Times New Roman"/>
          <w:sz w:val="24"/>
          <w:szCs w:val="24"/>
        </w:rPr>
        <w:t xml:space="preserve">Pilot respondents agreed that entering the data into the </w:t>
      </w:r>
      <w:r w:rsidR="00E77FBE">
        <w:rPr>
          <w:rFonts w:ascii="Times New Roman" w:hAnsi="Times New Roman"/>
          <w:sz w:val="24"/>
          <w:szCs w:val="24"/>
        </w:rPr>
        <w:t xml:space="preserve">RWHAP </w:t>
      </w:r>
      <w:r w:rsidR="001452AB">
        <w:rPr>
          <w:rFonts w:ascii="Times New Roman" w:hAnsi="Times New Roman"/>
          <w:sz w:val="24"/>
          <w:szCs w:val="24"/>
        </w:rPr>
        <w:t xml:space="preserve">HIVQM </w:t>
      </w:r>
      <w:r w:rsidRPr="00B32C86" w:rsidR="00E63714">
        <w:rPr>
          <w:rFonts w:ascii="Times New Roman" w:hAnsi="Times New Roman"/>
          <w:sz w:val="24"/>
          <w:szCs w:val="24"/>
        </w:rPr>
        <w:t xml:space="preserve">Module </w:t>
      </w:r>
      <w:r w:rsidR="006F7796">
        <w:rPr>
          <w:rFonts w:ascii="Times New Roman" w:hAnsi="Times New Roman"/>
          <w:sz w:val="24"/>
          <w:szCs w:val="24"/>
        </w:rPr>
        <w:t>t</w:t>
      </w:r>
      <w:r w:rsidR="00F254F1">
        <w:rPr>
          <w:rFonts w:ascii="Times New Roman" w:hAnsi="Times New Roman"/>
          <w:sz w:val="24"/>
          <w:szCs w:val="24"/>
        </w:rPr>
        <w:t>akes minimal time</w:t>
      </w:r>
      <w:r w:rsidR="0005242F">
        <w:rPr>
          <w:rFonts w:ascii="Times New Roman" w:hAnsi="Times New Roman"/>
          <w:sz w:val="24"/>
          <w:szCs w:val="24"/>
        </w:rPr>
        <w:t xml:space="preserve"> </w:t>
      </w:r>
      <w:r w:rsidR="00F80AAD">
        <w:rPr>
          <w:rFonts w:ascii="Times New Roman" w:hAnsi="Times New Roman"/>
          <w:sz w:val="24"/>
          <w:szCs w:val="24"/>
        </w:rPr>
        <w:t xml:space="preserve">since data is already collected </w:t>
      </w:r>
      <w:r w:rsidR="0067565D">
        <w:rPr>
          <w:rFonts w:ascii="Times New Roman" w:hAnsi="Times New Roman"/>
          <w:sz w:val="24"/>
          <w:szCs w:val="24"/>
        </w:rPr>
        <w:t>in other reports.  Additionally, t</w:t>
      </w:r>
      <w:r w:rsidR="00F80AAD">
        <w:rPr>
          <w:rFonts w:ascii="Times New Roman" w:hAnsi="Times New Roman"/>
          <w:sz w:val="24"/>
          <w:szCs w:val="24"/>
        </w:rPr>
        <w:t xml:space="preserve">he </w:t>
      </w:r>
      <w:r w:rsidR="007572E3">
        <w:rPr>
          <w:rFonts w:ascii="Times New Roman" w:hAnsi="Times New Roman"/>
          <w:sz w:val="24"/>
          <w:szCs w:val="24"/>
        </w:rPr>
        <w:t>new feature</w:t>
      </w:r>
      <w:r w:rsidR="0067565D">
        <w:rPr>
          <w:rFonts w:ascii="Times New Roman" w:hAnsi="Times New Roman"/>
          <w:sz w:val="24"/>
          <w:szCs w:val="24"/>
        </w:rPr>
        <w:t xml:space="preserve">s </w:t>
      </w:r>
      <w:r w:rsidR="00365D32">
        <w:rPr>
          <w:rFonts w:ascii="Times New Roman" w:hAnsi="Times New Roman"/>
          <w:sz w:val="24"/>
          <w:szCs w:val="24"/>
        </w:rPr>
        <w:t>of the</w:t>
      </w:r>
      <w:r w:rsidR="00E77FBE">
        <w:rPr>
          <w:rFonts w:ascii="Times New Roman" w:hAnsi="Times New Roman"/>
          <w:sz w:val="24"/>
          <w:szCs w:val="24"/>
        </w:rPr>
        <w:t xml:space="preserve"> RWHAP</w:t>
      </w:r>
      <w:r w:rsidR="00365D32">
        <w:rPr>
          <w:rFonts w:ascii="Times New Roman" w:hAnsi="Times New Roman"/>
          <w:sz w:val="24"/>
          <w:szCs w:val="24"/>
        </w:rPr>
        <w:t xml:space="preserve"> HIVQM M</w:t>
      </w:r>
      <w:r w:rsidR="0067565D">
        <w:rPr>
          <w:rFonts w:ascii="Times New Roman" w:hAnsi="Times New Roman"/>
          <w:sz w:val="24"/>
          <w:szCs w:val="24"/>
        </w:rPr>
        <w:t xml:space="preserve">odule </w:t>
      </w:r>
      <w:r w:rsidR="00365D32">
        <w:rPr>
          <w:rFonts w:ascii="Times New Roman" w:hAnsi="Times New Roman"/>
          <w:sz w:val="24"/>
          <w:szCs w:val="24"/>
        </w:rPr>
        <w:t>improve</w:t>
      </w:r>
      <w:r w:rsidR="0067565D">
        <w:rPr>
          <w:rFonts w:ascii="Times New Roman" w:hAnsi="Times New Roman"/>
          <w:sz w:val="24"/>
          <w:szCs w:val="24"/>
        </w:rPr>
        <w:t xml:space="preserve"> data uploading. </w:t>
      </w:r>
      <w:r w:rsidR="0005242F">
        <w:rPr>
          <w:rFonts w:ascii="Times New Roman" w:hAnsi="Times New Roman"/>
          <w:sz w:val="24"/>
          <w:szCs w:val="24"/>
        </w:rPr>
        <w:t xml:space="preserve"> </w:t>
      </w:r>
      <w:r w:rsidR="00B95CA6">
        <w:rPr>
          <w:rFonts w:ascii="Times New Roman" w:hAnsi="Times New Roman"/>
          <w:sz w:val="24"/>
          <w:szCs w:val="24"/>
        </w:rPr>
        <w:t xml:space="preserve"> </w:t>
      </w:r>
      <w:r w:rsidR="00DE0F54">
        <w:rPr>
          <w:rFonts w:ascii="Times New Roman" w:hAnsi="Times New Roman"/>
          <w:sz w:val="24"/>
          <w:szCs w:val="24"/>
        </w:rPr>
        <w:t xml:space="preserve">Data collection and data cleaning </w:t>
      </w:r>
      <w:r w:rsidR="002876E6">
        <w:rPr>
          <w:rFonts w:ascii="Times New Roman" w:hAnsi="Times New Roman"/>
          <w:sz w:val="24"/>
          <w:szCs w:val="24"/>
        </w:rPr>
        <w:t xml:space="preserve">time </w:t>
      </w:r>
      <w:r w:rsidR="00DE0F54">
        <w:rPr>
          <w:rFonts w:ascii="Times New Roman" w:hAnsi="Times New Roman"/>
          <w:sz w:val="24"/>
          <w:szCs w:val="24"/>
        </w:rPr>
        <w:t xml:space="preserve">were also </w:t>
      </w:r>
      <w:r w:rsidR="002876E6">
        <w:rPr>
          <w:rFonts w:ascii="Times New Roman" w:hAnsi="Times New Roman"/>
          <w:sz w:val="24"/>
          <w:szCs w:val="24"/>
        </w:rPr>
        <w:t>excluded</w:t>
      </w:r>
      <w:r w:rsidR="00DE0F54">
        <w:rPr>
          <w:rFonts w:ascii="Times New Roman" w:hAnsi="Times New Roman"/>
          <w:sz w:val="24"/>
          <w:szCs w:val="24"/>
        </w:rPr>
        <w:t xml:space="preserve"> </w:t>
      </w:r>
      <w:r w:rsidR="00365D32">
        <w:rPr>
          <w:rFonts w:ascii="Times New Roman" w:hAnsi="Times New Roman"/>
          <w:sz w:val="24"/>
          <w:szCs w:val="24"/>
        </w:rPr>
        <w:t xml:space="preserve">from </w:t>
      </w:r>
      <w:r w:rsidR="00DE0F54">
        <w:rPr>
          <w:rFonts w:ascii="Times New Roman" w:hAnsi="Times New Roman"/>
          <w:sz w:val="24"/>
          <w:szCs w:val="24"/>
        </w:rPr>
        <w:t xml:space="preserve">this current burden since data already exists for other purposes. </w:t>
      </w:r>
      <w:r w:rsidR="00B95CA6">
        <w:rPr>
          <w:rFonts w:ascii="Times New Roman" w:hAnsi="Times New Roman"/>
          <w:sz w:val="24"/>
          <w:szCs w:val="24"/>
        </w:rPr>
        <w:t xml:space="preserve"> </w:t>
      </w:r>
    </w:p>
    <w:p w:rsidR="00B50A61" w:rsidRPr="00B32C86" w14:paraId="313BDEBF" w14:textId="62A15EB7">
      <w:pPr>
        <w:numPr>
          <w:ilvl w:val="0"/>
          <w:numId w:val="1"/>
        </w:numPr>
        <w:spacing w:before="240"/>
        <w:rPr>
          <w:bCs/>
          <w:sz w:val="24"/>
        </w:rPr>
      </w:pPr>
      <w:r w:rsidRPr="00B32C86">
        <w:rPr>
          <w:bCs/>
          <w:sz w:val="24"/>
          <w:u w:val="single"/>
        </w:rPr>
        <w:t xml:space="preserve">Plans for </w:t>
      </w:r>
      <w:r w:rsidR="009156BA">
        <w:rPr>
          <w:bCs/>
          <w:sz w:val="24"/>
          <w:u w:val="single"/>
        </w:rPr>
        <w:t>Tabulation, Publication and Project Time</w:t>
      </w:r>
      <w:r w:rsidR="001B175C">
        <w:rPr>
          <w:bCs/>
          <w:sz w:val="24"/>
          <w:u w:val="single"/>
        </w:rPr>
        <w:t xml:space="preserve"> Schedule</w:t>
      </w:r>
    </w:p>
    <w:p w:rsidR="00B50A61" w:rsidRPr="00B32C86" w:rsidP="00B50A61" w14:paraId="60DD0825" w14:textId="3CA2553C">
      <w:pPr>
        <w:spacing w:before="240"/>
        <w:rPr>
          <w:b/>
          <w:sz w:val="24"/>
        </w:rPr>
      </w:pPr>
      <w:r w:rsidRPr="00B32C86">
        <w:rPr>
          <w:sz w:val="24"/>
        </w:rPr>
        <w:t>The information collected will not be published, tabulated</w:t>
      </w:r>
      <w:r w:rsidR="00FC7CA8">
        <w:rPr>
          <w:sz w:val="24"/>
        </w:rPr>
        <w:t>,</w:t>
      </w:r>
      <w:r w:rsidRPr="00B32C86">
        <w:rPr>
          <w:sz w:val="24"/>
        </w:rPr>
        <w:t xml:space="preserve"> or manipulated by </w:t>
      </w:r>
      <w:r w:rsidR="000F179F">
        <w:rPr>
          <w:sz w:val="24"/>
        </w:rPr>
        <w:t xml:space="preserve">HRSA </w:t>
      </w:r>
      <w:r w:rsidRPr="00B32C86">
        <w:rPr>
          <w:sz w:val="24"/>
        </w:rPr>
        <w:t>HAB</w:t>
      </w:r>
      <w:r w:rsidRPr="00B32C86" w:rsidR="00503C21">
        <w:rPr>
          <w:sz w:val="24"/>
        </w:rPr>
        <w:t xml:space="preserve"> or any other entity</w:t>
      </w:r>
      <w:r w:rsidRPr="00B32C86">
        <w:rPr>
          <w:sz w:val="24"/>
        </w:rPr>
        <w:t xml:space="preserve">. </w:t>
      </w:r>
      <w:r w:rsidR="00B95CA6">
        <w:rPr>
          <w:sz w:val="24"/>
        </w:rPr>
        <w:t xml:space="preserve"> </w:t>
      </w:r>
      <w:r w:rsidRPr="00B32C86">
        <w:rPr>
          <w:sz w:val="24"/>
        </w:rPr>
        <w:t xml:space="preserve">The purpose of this data collection is </w:t>
      </w:r>
      <w:r w:rsidRPr="00B32C86" w:rsidR="006022AD">
        <w:rPr>
          <w:sz w:val="24"/>
        </w:rPr>
        <w:t>to give</w:t>
      </w:r>
      <w:r w:rsidRPr="00B32C86">
        <w:rPr>
          <w:sz w:val="24"/>
        </w:rPr>
        <w:t xml:space="preserve"> </w:t>
      </w:r>
      <w:r w:rsidRPr="00B32C86" w:rsidR="00F96010">
        <w:rPr>
          <w:sz w:val="24"/>
        </w:rPr>
        <w:t>RWHAP</w:t>
      </w:r>
      <w:r w:rsidRPr="00B32C86" w:rsidR="006022AD">
        <w:rPr>
          <w:sz w:val="24"/>
        </w:rPr>
        <w:t xml:space="preserve"> recipients</w:t>
      </w:r>
      <w:r w:rsidRPr="00B32C86" w:rsidR="004F2035">
        <w:rPr>
          <w:sz w:val="24"/>
        </w:rPr>
        <w:t xml:space="preserve"> and </w:t>
      </w:r>
      <w:r w:rsidRPr="00B32C86" w:rsidR="004F2035">
        <w:rPr>
          <w:sz w:val="24"/>
        </w:rPr>
        <w:t>subrecipients</w:t>
      </w:r>
      <w:r w:rsidRPr="00B32C86" w:rsidR="006022AD">
        <w:rPr>
          <w:sz w:val="24"/>
        </w:rPr>
        <w:t xml:space="preserve"> the ability to calculate their performance measures by entering a denominator that represents</w:t>
      </w:r>
      <w:r w:rsidRPr="00B32C86" w:rsidR="00CF196A">
        <w:rPr>
          <w:sz w:val="24"/>
        </w:rPr>
        <w:t xml:space="preserve"> the number of patients who should receive specific care or service and a numerator that represents </w:t>
      </w:r>
      <w:r w:rsidR="006A344B">
        <w:rPr>
          <w:sz w:val="24"/>
        </w:rPr>
        <w:t>the</w:t>
      </w:r>
      <w:r w:rsidRPr="00B32C86" w:rsidR="006A344B">
        <w:rPr>
          <w:sz w:val="24"/>
        </w:rPr>
        <w:t xml:space="preserve"> </w:t>
      </w:r>
      <w:r w:rsidRPr="00B32C86" w:rsidR="00CF196A">
        <w:rPr>
          <w:sz w:val="24"/>
        </w:rPr>
        <w:t>number of patients who actually received the care or service during a 12-month period. Recipients</w:t>
      </w:r>
      <w:r w:rsidRPr="00B32C86" w:rsidR="004F2035">
        <w:rPr>
          <w:sz w:val="24"/>
        </w:rPr>
        <w:t xml:space="preserve"> and </w:t>
      </w:r>
      <w:r w:rsidRPr="00B32C86" w:rsidR="004F2035">
        <w:rPr>
          <w:sz w:val="24"/>
        </w:rPr>
        <w:t>subrecipients</w:t>
      </w:r>
      <w:r w:rsidRPr="00B32C86" w:rsidR="00CF196A">
        <w:rPr>
          <w:sz w:val="24"/>
        </w:rPr>
        <w:t xml:space="preserve"> can then </w:t>
      </w:r>
      <w:r w:rsidRPr="00B32C86">
        <w:rPr>
          <w:sz w:val="24"/>
        </w:rPr>
        <w:t>create their own reports for the purposes of evaluating their program and</w:t>
      </w:r>
      <w:r w:rsidRPr="00B32C86" w:rsidR="00CF196A">
        <w:rPr>
          <w:sz w:val="24"/>
        </w:rPr>
        <w:t>/or</w:t>
      </w:r>
      <w:r w:rsidRPr="00B32C86">
        <w:rPr>
          <w:sz w:val="24"/>
        </w:rPr>
        <w:t xml:space="preserve"> comparing their data with other organizations</w:t>
      </w:r>
      <w:r w:rsidRPr="00B32C86" w:rsidR="00CF196A">
        <w:rPr>
          <w:sz w:val="24"/>
        </w:rPr>
        <w:t xml:space="preserve"> regionally and nationally.</w:t>
      </w:r>
    </w:p>
    <w:p w:rsidR="006022AD" w:rsidRPr="00B32C86" w:rsidP="00B50A61" w14:paraId="1A8E6D94" w14:textId="3641AF25">
      <w:pPr>
        <w:spacing w:before="240"/>
        <w:rPr>
          <w:b/>
          <w:sz w:val="24"/>
        </w:rPr>
      </w:pPr>
      <w:r w:rsidRPr="00B32C86">
        <w:rPr>
          <w:sz w:val="24"/>
        </w:rPr>
        <w:t xml:space="preserve">The </w:t>
      </w:r>
      <w:r w:rsidR="00E77FBE">
        <w:rPr>
          <w:sz w:val="24"/>
        </w:rPr>
        <w:t xml:space="preserve">RWHAP </w:t>
      </w:r>
      <w:r w:rsidRPr="00B32C86">
        <w:rPr>
          <w:sz w:val="24"/>
        </w:rPr>
        <w:t xml:space="preserve">HIVQM </w:t>
      </w:r>
      <w:r w:rsidRPr="00B32C86" w:rsidR="00071249">
        <w:rPr>
          <w:sz w:val="24"/>
        </w:rPr>
        <w:t>M</w:t>
      </w:r>
      <w:r w:rsidRPr="00B32C86">
        <w:rPr>
          <w:sz w:val="24"/>
        </w:rPr>
        <w:t xml:space="preserve">odule will be available to </w:t>
      </w:r>
      <w:r w:rsidRPr="00B32C86" w:rsidR="00071249">
        <w:rPr>
          <w:sz w:val="24"/>
        </w:rPr>
        <w:t>RWHAP</w:t>
      </w:r>
      <w:r w:rsidRPr="00B32C86">
        <w:rPr>
          <w:sz w:val="24"/>
        </w:rPr>
        <w:t xml:space="preserve"> recipients </w:t>
      </w:r>
      <w:r w:rsidRPr="00B32C86" w:rsidR="004F2035">
        <w:rPr>
          <w:sz w:val="24"/>
        </w:rPr>
        <w:t xml:space="preserve">and </w:t>
      </w:r>
      <w:r w:rsidRPr="00B32C86" w:rsidR="004F2035">
        <w:rPr>
          <w:sz w:val="24"/>
        </w:rPr>
        <w:t>subrecipients</w:t>
      </w:r>
      <w:r w:rsidRPr="00B32C86" w:rsidR="004F2035">
        <w:rPr>
          <w:sz w:val="24"/>
        </w:rPr>
        <w:t xml:space="preserve"> </w:t>
      </w:r>
      <w:r w:rsidRPr="00B32C86">
        <w:rPr>
          <w:sz w:val="24"/>
        </w:rPr>
        <w:t xml:space="preserve">to enter </w:t>
      </w:r>
      <w:r w:rsidRPr="00B32C86">
        <w:rPr>
          <w:sz w:val="24"/>
        </w:rPr>
        <w:t xml:space="preserve">annual </w:t>
      </w:r>
      <w:r w:rsidRPr="00B32C86">
        <w:rPr>
          <w:sz w:val="24"/>
        </w:rPr>
        <w:t xml:space="preserve">data </w:t>
      </w:r>
      <w:r w:rsidRPr="00B32C86" w:rsidR="00905E2F">
        <w:rPr>
          <w:sz w:val="24"/>
        </w:rPr>
        <w:t>four</w:t>
      </w:r>
      <w:r w:rsidRPr="00B32C86">
        <w:rPr>
          <w:sz w:val="24"/>
        </w:rPr>
        <w:t xml:space="preserve"> times a year.</w:t>
      </w:r>
      <w:r w:rsidR="00B95CA6">
        <w:rPr>
          <w:sz w:val="24"/>
        </w:rPr>
        <w:t xml:space="preserve">  </w:t>
      </w:r>
      <w:r w:rsidRPr="00B32C86">
        <w:rPr>
          <w:sz w:val="24"/>
        </w:rPr>
        <w:t xml:space="preserve">Below </w:t>
      </w:r>
      <w:r w:rsidRPr="00B32C86">
        <w:rPr>
          <w:sz w:val="24"/>
        </w:rPr>
        <w:t xml:space="preserve">is the schedule specifying the annual period. </w:t>
      </w:r>
    </w:p>
    <w:p w:rsidR="006022AD" w:rsidRPr="00B32C86" w:rsidP="00CA3DA6" w14:paraId="650E7D16" w14:textId="77777777">
      <w:pPr>
        <w:spacing w:before="120"/>
        <w:ind w:left="36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8"/>
        <w:gridCol w:w="2880"/>
        <w:gridCol w:w="3777"/>
      </w:tblGrid>
      <w:tr w14:paraId="26F7E536" w14:textId="77777777" w:rsidTr="002531C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96A" w:rsidRPr="00B32C86" w:rsidP="00CF196A" w14:paraId="77E1A947" w14:textId="77777777">
            <w:pPr>
              <w:autoSpaceDE/>
              <w:autoSpaceDN/>
              <w:adjustRightInd/>
              <w:rPr>
                <w:b/>
                <w:spacing w:val="-1"/>
                <w:sz w:val="24"/>
              </w:rPr>
            </w:pPr>
            <w:bookmarkStart w:id="2" w:name="RSRExemptions"/>
            <w:bookmarkStart w:id="3" w:name="GPRelationships"/>
            <w:r w:rsidRPr="00B32C86">
              <w:rPr>
                <w:b/>
                <w:spacing w:val="-1"/>
                <w:sz w:val="24"/>
              </w:rPr>
              <w:t>HIVQM Module Opens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96A" w:rsidRPr="00B32C86" w:rsidP="00CF196A" w14:paraId="27280567" w14:textId="77777777">
            <w:pPr>
              <w:autoSpaceDE/>
              <w:autoSpaceDN/>
              <w:adjustRightInd/>
              <w:rPr>
                <w:b/>
                <w:spacing w:val="-1"/>
                <w:sz w:val="24"/>
              </w:rPr>
            </w:pPr>
            <w:r w:rsidRPr="00B32C86">
              <w:rPr>
                <w:b/>
                <w:spacing w:val="-1"/>
                <w:sz w:val="24"/>
              </w:rPr>
              <w:t>HIVQM Module Closes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96A" w:rsidRPr="00B32C86" w:rsidP="00CF196A" w14:paraId="4563F697" w14:textId="77777777">
            <w:pPr>
              <w:autoSpaceDE/>
              <w:autoSpaceDN/>
              <w:adjustRightInd/>
              <w:rPr>
                <w:b/>
                <w:spacing w:val="-1"/>
                <w:sz w:val="24"/>
              </w:rPr>
            </w:pPr>
            <w:r w:rsidRPr="00B32C86">
              <w:rPr>
                <w:b/>
                <w:spacing w:val="-1"/>
                <w:sz w:val="24"/>
              </w:rPr>
              <w:t>Measurement Year/ Period</w:t>
            </w:r>
          </w:p>
        </w:tc>
      </w:tr>
      <w:tr w14:paraId="1B0854A5" w14:textId="77777777" w:rsidTr="002531C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96A" w:rsidRPr="00B32C86" w:rsidP="00CF196A" w14:paraId="0F2100BE" w14:textId="32F7BFE5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March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96A" w:rsidRPr="00B32C86" w:rsidP="00CF196A" w14:paraId="00262E60" w14:textId="54B02E04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March 31st</w:t>
            </w:r>
          </w:p>
        </w:tc>
        <w:tc>
          <w:tcPr>
            <w:tcW w:w="3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96A" w:rsidRPr="00B32C86" w:rsidP="00CF196A" w14:paraId="53CDD8F0" w14:textId="678C385B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January</w:t>
            </w:r>
            <w:r w:rsidRPr="00B32C86">
              <w:rPr>
                <w:spacing w:val="-1"/>
                <w:sz w:val="24"/>
              </w:rPr>
              <w:t xml:space="preserve">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  <w:r w:rsidRPr="00B32C86">
              <w:rPr>
                <w:spacing w:val="-1"/>
                <w:sz w:val="24"/>
              </w:rPr>
              <w:t xml:space="preserve"> – </w:t>
            </w:r>
            <w:r w:rsidRPr="00B32C86">
              <w:rPr>
                <w:spacing w:val="-1"/>
                <w:sz w:val="24"/>
              </w:rPr>
              <w:t>December 31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  <w:r w:rsidRPr="00B32C86">
              <w:rPr>
                <w:spacing w:val="-1"/>
                <w:sz w:val="24"/>
              </w:rPr>
              <w:t xml:space="preserve"> </w:t>
            </w:r>
          </w:p>
        </w:tc>
      </w:tr>
      <w:tr w14:paraId="50784B8A" w14:textId="77777777" w:rsidTr="002531C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6A" w:rsidRPr="00B32C86" w:rsidP="00CF196A" w14:paraId="29A3FD8F" w14:textId="38222307">
            <w:pPr>
              <w:autoSpaceDE/>
              <w:autoSpaceDN/>
              <w:adjustRightInd/>
              <w:rPr>
                <w:spacing w:val="-1"/>
                <w:sz w:val="24"/>
              </w:rPr>
            </w:pPr>
            <w:bookmarkStart w:id="4" w:name="_Ryan_White_HIV/AIDS"/>
            <w:bookmarkEnd w:id="2"/>
            <w:bookmarkEnd w:id="3"/>
            <w:bookmarkEnd w:id="4"/>
            <w:r w:rsidRPr="00B32C86">
              <w:rPr>
                <w:spacing w:val="-1"/>
                <w:sz w:val="24"/>
              </w:rPr>
              <w:t>June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6A" w:rsidRPr="00B32C86" w:rsidP="00CF196A" w14:paraId="13431298" w14:textId="560DBEE7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June 30th</w:t>
            </w:r>
          </w:p>
        </w:tc>
        <w:tc>
          <w:tcPr>
            <w:tcW w:w="3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6A" w:rsidRPr="00B32C86" w:rsidP="00CF196A" w14:paraId="0F2D1B2D" w14:textId="7C1128BE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April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  <w:r w:rsidRPr="00B32C86">
              <w:rPr>
                <w:spacing w:val="-1"/>
                <w:sz w:val="24"/>
              </w:rPr>
              <w:t xml:space="preserve"> – Mar 31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  <w:r w:rsidRPr="00B32C86">
              <w:rPr>
                <w:spacing w:val="-1"/>
                <w:sz w:val="24"/>
              </w:rPr>
              <w:t xml:space="preserve"> </w:t>
            </w:r>
          </w:p>
        </w:tc>
      </w:tr>
      <w:tr w14:paraId="344E6DBA" w14:textId="77777777" w:rsidTr="002531C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25" w:rsidRPr="00B32C86" w:rsidP="00BA3E25" w14:paraId="31F6BDD5" w14:textId="3B1C5181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September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25" w:rsidRPr="00B32C86" w:rsidP="00BA3E25" w14:paraId="61DD5FE8" w14:textId="00C0B4E1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September 30</w:t>
            </w:r>
            <w:r w:rsidRPr="00B32C86">
              <w:rPr>
                <w:spacing w:val="-1"/>
                <w:sz w:val="24"/>
                <w:vertAlign w:val="superscript"/>
              </w:rPr>
              <w:t>th</w:t>
            </w:r>
          </w:p>
        </w:tc>
        <w:tc>
          <w:tcPr>
            <w:tcW w:w="3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25" w:rsidRPr="00B32C86" w:rsidP="00BA3E25" w14:paraId="04B524B9" w14:textId="4EE32A47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July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  <w:r w:rsidRPr="00B32C86">
              <w:rPr>
                <w:spacing w:val="-1"/>
                <w:sz w:val="24"/>
              </w:rPr>
              <w:t xml:space="preserve"> – June 30</w:t>
            </w:r>
            <w:r w:rsidRPr="00B32C86">
              <w:rPr>
                <w:spacing w:val="-1"/>
                <w:sz w:val="24"/>
                <w:vertAlign w:val="superscript"/>
              </w:rPr>
              <w:t>th</w:t>
            </w:r>
          </w:p>
        </w:tc>
      </w:tr>
      <w:tr w14:paraId="044E2439" w14:textId="77777777" w:rsidTr="002531C8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E2F" w:rsidRPr="00B32C86" w:rsidP="00BA3E25" w14:paraId="0B39DF8E" w14:textId="66D932C4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December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E2F" w:rsidRPr="00B32C86" w:rsidP="00BA3E25" w14:paraId="46420302" w14:textId="095AD8A6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December 31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</w:p>
        </w:tc>
        <w:tc>
          <w:tcPr>
            <w:tcW w:w="3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E2F" w:rsidRPr="00B32C86" w:rsidP="00BA3E25" w14:paraId="6D7A34F2" w14:textId="411BB8D1">
            <w:pPr>
              <w:autoSpaceDE/>
              <w:autoSpaceDN/>
              <w:adjustRightInd/>
              <w:rPr>
                <w:spacing w:val="-1"/>
                <w:sz w:val="24"/>
              </w:rPr>
            </w:pPr>
            <w:r w:rsidRPr="00B32C86">
              <w:rPr>
                <w:spacing w:val="-1"/>
                <w:sz w:val="24"/>
              </w:rPr>
              <w:t>Oct 1</w:t>
            </w:r>
            <w:r w:rsidRPr="00B32C86">
              <w:rPr>
                <w:spacing w:val="-1"/>
                <w:sz w:val="24"/>
                <w:vertAlign w:val="superscript"/>
              </w:rPr>
              <w:t>st</w:t>
            </w:r>
            <w:r w:rsidRPr="00B32C86">
              <w:rPr>
                <w:spacing w:val="-1"/>
                <w:sz w:val="24"/>
              </w:rPr>
              <w:t xml:space="preserve"> – Sept 30</w:t>
            </w:r>
            <w:r w:rsidRPr="00B32C86">
              <w:rPr>
                <w:spacing w:val="-1"/>
                <w:sz w:val="24"/>
                <w:vertAlign w:val="superscript"/>
              </w:rPr>
              <w:t>th</w:t>
            </w:r>
          </w:p>
        </w:tc>
      </w:tr>
    </w:tbl>
    <w:p w:rsidR="00CF196A" w:rsidRPr="00B32C86" w:rsidP="00CA3DA6" w14:paraId="3FD44BF7" w14:textId="77777777">
      <w:pPr>
        <w:spacing w:before="120"/>
        <w:ind w:left="360"/>
        <w:rPr>
          <w:sz w:val="24"/>
        </w:rPr>
      </w:pPr>
    </w:p>
    <w:p w:rsidR="00B50A61" w:rsidRPr="00B32C86" w14:paraId="4E7322F0" w14:textId="5E4F0FA8">
      <w:pPr>
        <w:numPr>
          <w:ilvl w:val="0"/>
          <w:numId w:val="1"/>
        </w:numPr>
        <w:spacing w:before="240"/>
        <w:rPr>
          <w:bCs/>
          <w:sz w:val="24"/>
        </w:rPr>
      </w:pPr>
      <w:r>
        <w:rPr>
          <w:bCs/>
          <w:sz w:val="24"/>
          <w:u w:val="single"/>
        </w:rPr>
        <w:t>Reason(s) Display of OMB Expiration Data is Inappropriate</w:t>
      </w:r>
    </w:p>
    <w:p w:rsidR="0073482F" w:rsidP="0073482F" w14:paraId="0EA94246" w14:textId="77777777">
      <w:pPr>
        <w:pStyle w:val="ListParagraph"/>
        <w:ind w:left="360"/>
      </w:pPr>
    </w:p>
    <w:p w:rsidR="0073482F" w:rsidRPr="0073482F" w:rsidP="0073482F" w14:paraId="45933121" w14:textId="48D0D5DC">
      <w:pPr>
        <w:pStyle w:val="ListParagraph"/>
        <w:ind w:left="360"/>
        <w:rPr>
          <w:sz w:val="24"/>
        </w:rPr>
      </w:pPr>
      <w:r w:rsidRPr="0073482F">
        <w:rPr>
          <w:sz w:val="24"/>
        </w:rPr>
        <w:t>The expiration date will be displayed appropriately.</w:t>
      </w:r>
    </w:p>
    <w:p w:rsidR="00B50A61" w:rsidRPr="00B32C86" w14:paraId="496B7BB0" w14:textId="4330DBA1">
      <w:pPr>
        <w:numPr>
          <w:ilvl w:val="0"/>
          <w:numId w:val="1"/>
        </w:numPr>
        <w:spacing w:before="240"/>
        <w:rPr>
          <w:bCs/>
          <w:sz w:val="24"/>
        </w:rPr>
      </w:pPr>
      <w:r w:rsidRPr="0073482F">
        <w:rPr>
          <w:bCs/>
          <w:sz w:val="24"/>
          <w:u w:val="single"/>
        </w:rPr>
        <w:t>Exceptions to C</w:t>
      </w:r>
      <w:r w:rsidRPr="0073482F" w:rsidR="009B3794">
        <w:rPr>
          <w:bCs/>
          <w:sz w:val="24"/>
          <w:u w:val="single"/>
        </w:rPr>
        <w:t>ertification</w:t>
      </w:r>
      <w:r w:rsidRPr="0073482F">
        <w:rPr>
          <w:bCs/>
          <w:sz w:val="24"/>
          <w:u w:val="single"/>
        </w:rPr>
        <w:t xml:space="preserve"> for Paperwork Reduction</w:t>
      </w:r>
      <w:r>
        <w:rPr>
          <w:bCs/>
          <w:sz w:val="24"/>
          <w:u w:val="single"/>
        </w:rPr>
        <w:t xml:space="preserve"> Act Submissions</w:t>
      </w:r>
    </w:p>
    <w:p w:rsidR="004F2035" w:rsidRPr="00300E38" w:rsidP="004F2035" w14:paraId="01100CA1" w14:textId="77777777">
      <w:pPr>
        <w:tabs>
          <w:tab w:val="left" w:pos="-720"/>
        </w:tabs>
        <w:rPr>
          <w:b/>
          <w:sz w:val="24"/>
        </w:rPr>
      </w:pPr>
    </w:p>
    <w:p w:rsidR="00300E38" w:rsidRPr="00300E38" w:rsidP="00300E38" w14:paraId="01BE5069" w14:textId="4F130ACE">
      <w:pPr>
        <w:pStyle w:val="ColorfulList-Accent11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00E38">
        <w:rPr>
          <w:rStyle w:val="BodyTextFi"/>
          <w:rFonts w:ascii="Times New Roman" w:hAnsi="Times New Roman"/>
          <w:sz w:val="24"/>
          <w:szCs w:val="24"/>
        </w:rPr>
        <w:t>This information collection fully c</w:t>
      </w:r>
      <w:r w:rsidR="00D84E46">
        <w:rPr>
          <w:rStyle w:val="BodyTextFi"/>
          <w:rFonts w:ascii="Times New Roman" w:hAnsi="Times New Roman"/>
          <w:sz w:val="24"/>
          <w:szCs w:val="24"/>
        </w:rPr>
        <w:t>omplies with the guidelines in the</w:t>
      </w:r>
      <w:r w:rsidRPr="00D84E46" w:rsidR="00D84E46">
        <w:rPr>
          <w:rStyle w:val="BodyTextFi"/>
          <w:rFonts w:ascii="Times New Roman" w:hAnsi="Times New Roman"/>
          <w:sz w:val="24"/>
          <w:szCs w:val="24"/>
        </w:rPr>
        <w:t xml:space="preserve"> </w:t>
      </w:r>
      <w:r w:rsidRPr="00D84E46" w:rsidR="00D84E46">
        <w:rPr>
          <w:rFonts w:ascii="Times New Roman" w:hAnsi="Times New Roman"/>
          <w:bCs/>
          <w:sz w:val="24"/>
        </w:rPr>
        <w:t>Paperwork Reduction Act</w:t>
      </w:r>
      <w:r w:rsidRPr="00D84E46">
        <w:rPr>
          <w:rStyle w:val="BodyTextFi"/>
          <w:rFonts w:ascii="Times New Roman" w:hAnsi="Times New Roman"/>
          <w:sz w:val="24"/>
          <w:szCs w:val="24"/>
        </w:rPr>
        <w:t xml:space="preserve">. The necessary certifications are included in the package. </w:t>
      </w:r>
    </w:p>
    <w:p w:rsidR="004F2035" w:rsidRPr="00B32C86" w:rsidP="004F2035" w14:paraId="5060E377" w14:textId="3373EFAB">
      <w:pPr>
        <w:tabs>
          <w:tab w:val="left" w:pos="-720"/>
        </w:tabs>
        <w:rPr>
          <w:sz w:val="24"/>
        </w:rPr>
      </w:pPr>
    </w:p>
    <w:p w:rsidR="00090374" w:rsidRPr="00B32C86" w14:paraId="0E18D738" w14:textId="58C70DD4">
      <w:pPr>
        <w:pStyle w:val="BodyTextIndent"/>
        <w:spacing w:before="120"/>
        <w:ind w:left="360"/>
        <w:rPr>
          <w:rFonts w:ascii="Times New Roman" w:hAnsi="Times New Roman"/>
        </w:rPr>
      </w:pPr>
    </w:p>
    <w:p w:rsidR="009E7063" w:rsidRPr="00B32C86" w14:paraId="676A52FB" w14:textId="74FE66A2">
      <w:pPr>
        <w:pStyle w:val="BodyTextIndent"/>
        <w:spacing w:before="120"/>
        <w:ind w:left="360"/>
        <w:rPr>
          <w:rFonts w:ascii="Times New Roman" w:hAnsi="Times New Roman"/>
        </w:rPr>
      </w:pPr>
    </w:p>
    <w:p w:rsidR="009E7063" w:rsidRPr="00B32C86" w14:paraId="19887682" w14:textId="77777777">
      <w:pPr>
        <w:pStyle w:val="BodyTextIndent"/>
        <w:spacing w:before="120"/>
        <w:ind w:left="360"/>
        <w:rPr>
          <w:rFonts w:ascii="Times New Roman" w:hAnsi="Times New Roman"/>
        </w:rPr>
      </w:pPr>
    </w:p>
    <w:sectPr w:rsidSect="001D4856">
      <w:footerReference w:type="default" r:id="rId14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92E1D" w14:paraId="59560D5A" w14:textId="77777777">
    <w:pPr>
      <w:spacing w:line="240" w:lineRule="exact"/>
    </w:pPr>
  </w:p>
  <w:p w:rsidR="00D92E1D" w14:paraId="554B28A2" w14:textId="3973FF7E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246115">
      <w:rPr>
        <w:noProof/>
        <w:sz w:val="24"/>
      </w:rPr>
      <w:t>7</w:t>
    </w:r>
    <w:r>
      <w:rPr>
        <w:sz w:val="24"/>
      </w:rPr>
      <w:fldChar w:fldCharType="end"/>
    </w:r>
  </w:p>
  <w:p w:rsidR="00D92E1D" w14:paraId="3F62C11E" w14:textId="77777777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15469A" w14:paraId="4CB72095" w14:textId="77777777">
      <w:r>
        <w:separator/>
      </w:r>
    </w:p>
  </w:footnote>
  <w:footnote w:type="continuationSeparator" w:id="1">
    <w:p w:rsidR="0015469A" w14:paraId="01203177" w14:textId="77777777">
      <w:r>
        <w:continuationSeparator/>
      </w:r>
    </w:p>
  </w:footnote>
  <w:footnote w:type="continuationNotice" w:id="2">
    <w:p w:rsidR="0015469A" w14:paraId="30F188CD" w14:textId="77777777"/>
  </w:footnote>
  <w:footnote w:id="3">
    <w:p w:rsidR="00133775" w:rsidP="00133775" w14:paraId="2214A423" w14:textId="77777777">
      <w:pPr>
        <w:pStyle w:val="FootnoteText"/>
      </w:pPr>
      <w:r w:rsidRPr="009C165D">
        <w:rPr>
          <w:rStyle w:val="FootnoteReference"/>
          <w:vertAlign w:val="superscript"/>
        </w:rPr>
        <w:footnoteRef/>
      </w:r>
      <w:r>
        <w:t xml:space="preserve"> HRSA</w:t>
      </w:r>
      <w:r w:rsidRPr="00362F98">
        <w:t>. Ryan White HIV/AIDS Program Report 20</w:t>
      </w:r>
      <w:r>
        <w:t>20</w:t>
      </w:r>
      <w:r w:rsidRPr="16CFCEB2">
        <w:t xml:space="preserve">. </w:t>
      </w:r>
      <w:hyperlink r:id="rId1" w:history="1">
        <w:r w:rsidRPr="00362F98">
          <w:rPr>
            <w:rStyle w:val="Hyperlink"/>
          </w:rPr>
          <w:t>http://hab.hrsa.gov/data/data-reports</w:t>
        </w:r>
      </w:hyperlink>
      <w:r w:rsidRPr="00362F98">
        <w:t xml:space="preserve">. Published </w:t>
      </w:r>
      <w:r>
        <w:t>December 2021</w:t>
      </w:r>
      <w:r w:rsidRPr="00362F98">
        <w:t xml:space="preserve">. Accessed </w:t>
      </w:r>
      <w:r>
        <w:t>March 25, 2022.</w:t>
      </w:r>
      <w:r w:rsidRPr="16CFCEB2">
        <w:t xml:space="preserve"> </w:t>
      </w:r>
    </w:p>
  </w:footnote>
  <w:footnote w:id="4">
    <w:p w:rsidR="002A136D" w14:paraId="2FF5F129" w14:textId="77777777">
      <w:pPr>
        <w:pStyle w:val="FootnoteText"/>
      </w:pPr>
      <w:r w:rsidRPr="007B2649">
        <w:rPr>
          <w:rStyle w:val="FootnoteReference"/>
          <w:vertAlign w:val="superscript"/>
        </w:rPr>
        <w:footnoteRef/>
      </w:r>
      <w:r>
        <w:t xml:space="preserve"> See Sections 2604(h</w:t>
      </w:r>
      <w:r>
        <w:t>)(</w:t>
      </w:r>
      <w:r>
        <w:t>5), 2618(b)(3)(E), 2664(g)(5), and 2671(f)(2) of the PHS Act.</w:t>
      </w:r>
    </w:p>
    <w:p w:rsidR="000238F6" w14:paraId="0931807F" w14:textId="77777777">
      <w:pPr>
        <w:pStyle w:val="FootnoteText"/>
      </w:pPr>
    </w:p>
  </w:footnote>
  <w:footnote w:id="5">
    <w:p w:rsidR="009C165D" w14:paraId="0935A047" w14:textId="52C1A9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3B78C7">
          <w:rPr>
            <w:rStyle w:val="Hyperlink"/>
          </w:rPr>
          <w:t>Performance Measure Portfolio | HIV/AIDS Bureau (hrsa.gov)</w:t>
        </w:r>
      </w:hyperlink>
      <w:r w:rsidR="003B78C7">
        <w:t xml:space="preserve">. Accessed July </w:t>
      </w:r>
      <w:r w:rsidR="00015488">
        <w:t>2</w:t>
      </w:r>
      <w:r w:rsidR="00DC1898">
        <w:t>7</w:t>
      </w:r>
      <w:r w:rsidR="003B78C7">
        <w:t>, 2022.</w:t>
      </w:r>
    </w:p>
  </w:footnote>
  <w:footnote w:id="6">
    <w:p w:rsidR="009C165D" w14:paraId="6ACB45A5" w14:textId="630BCAC1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3B3363C8"/>
    <w:multiLevelType w:val="hybridMultilevel"/>
    <w:tmpl w:val="DAB4A7B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1D7109"/>
    <w:multiLevelType w:val="hybridMultilevel"/>
    <w:tmpl w:val="2D3A5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4140"/>
        </w:tabs>
        <w:ind w:left="-4140" w:hanging="360"/>
      </w:pPr>
    </w:lvl>
    <w:lvl w:ilvl="2">
      <w:start w:val="1"/>
      <w:numFmt w:val="lowerRoman"/>
      <w:lvlText w:val="%3."/>
      <w:lvlJc w:val="right"/>
      <w:pPr>
        <w:tabs>
          <w:tab w:val="num" w:pos="-3420"/>
        </w:tabs>
        <w:ind w:left="-3420" w:hanging="180"/>
      </w:pPr>
    </w:lvl>
    <w:lvl w:ilvl="3">
      <w:start w:val="1"/>
      <w:numFmt w:val="bullet"/>
      <w:lvlText w:val=""/>
      <w:lvlJc w:val="left"/>
      <w:pPr>
        <w:tabs>
          <w:tab w:val="num" w:pos="-2700"/>
        </w:tabs>
        <w:ind w:left="-2700" w:hanging="360"/>
      </w:pPr>
      <w:rPr>
        <w:rFonts w:ascii="Symbol" w:hAnsi="Symbol" w:hint="default"/>
      </w:rPr>
    </w:lvl>
    <w:lvl w:ilvl="4">
      <w:start w:val="2"/>
      <w:numFmt w:val="upperLetter"/>
      <w:lvlText w:val="%5."/>
      <w:lvlJc w:val="left"/>
      <w:pPr>
        <w:tabs>
          <w:tab w:val="num" w:pos="-1980"/>
        </w:tabs>
        <w:ind w:left="-19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260"/>
        </w:tabs>
        <w:ind w:left="-1260" w:hanging="180"/>
      </w:pPr>
    </w:lvl>
    <w:lvl w:ilvl="6" w:tentative="1">
      <w:start w:val="1"/>
      <w:numFmt w:val="decimal"/>
      <w:lvlText w:val="%7."/>
      <w:lvlJc w:val="left"/>
      <w:pPr>
        <w:tabs>
          <w:tab w:val="num" w:pos="-540"/>
        </w:tabs>
        <w:ind w:left="-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80"/>
        </w:tabs>
        <w:ind w:left="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"/>
        </w:tabs>
        <w:ind w:left="900" w:hanging="180"/>
      </w:pPr>
    </w:lvl>
  </w:abstractNum>
  <w:abstractNum w:abstractNumId="2">
    <w:nsid w:val="7E6F45B4"/>
    <w:multiLevelType w:val="hybridMultilevel"/>
    <w:tmpl w:val="7D9C55E4"/>
    <w:styleLink w:val="StyleBulleted33"/>
    <w:lvl w:ilvl="0">
      <w:start w:val="1"/>
      <w:numFmt w:val="bullet"/>
      <w:pStyle w:val="Answerbulleted"/>
      <w:lvlText w:val=""/>
      <w:lvlJc w:val="left"/>
      <w:pPr>
        <w:ind w:left="990" w:hanging="360"/>
      </w:pPr>
      <w:rPr>
        <w:rFonts w:ascii="Symbol" w:hAnsi="Symbol" w:hint="default"/>
        <w:b w:val="0"/>
        <w:i w:val="0"/>
        <w:color w:val="5C85BC"/>
        <w:position w:val="2"/>
        <w:sz w:val="20"/>
      </w:rPr>
    </w:lvl>
    <w:lvl w:ilvl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bullet"/>
        <w:pStyle w:val="Answerbulleted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color w:val="auto"/>
          <w:position w:val="2"/>
          <w:sz w:val="20"/>
        </w:rPr>
      </w:lvl>
    </w:lvlOverride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  <w:footnote w:id="2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AB"/>
    <w:rsid w:val="00003144"/>
    <w:rsid w:val="00011C3D"/>
    <w:rsid w:val="00015488"/>
    <w:rsid w:val="00015505"/>
    <w:rsid w:val="00016680"/>
    <w:rsid w:val="000206C1"/>
    <w:rsid w:val="000238F6"/>
    <w:rsid w:val="00024B6F"/>
    <w:rsid w:val="00027642"/>
    <w:rsid w:val="0003279E"/>
    <w:rsid w:val="00037BDF"/>
    <w:rsid w:val="0005092C"/>
    <w:rsid w:val="0005242F"/>
    <w:rsid w:val="00062C93"/>
    <w:rsid w:val="000705D9"/>
    <w:rsid w:val="00070B44"/>
    <w:rsid w:val="00071111"/>
    <w:rsid w:val="00071249"/>
    <w:rsid w:val="000722F3"/>
    <w:rsid w:val="00080903"/>
    <w:rsid w:val="00090374"/>
    <w:rsid w:val="000A656B"/>
    <w:rsid w:val="000B1D53"/>
    <w:rsid w:val="000B42CB"/>
    <w:rsid w:val="000B45BA"/>
    <w:rsid w:val="000C3BD1"/>
    <w:rsid w:val="000C5A40"/>
    <w:rsid w:val="000D220C"/>
    <w:rsid w:val="000E4A4D"/>
    <w:rsid w:val="000F0495"/>
    <w:rsid w:val="000F14EB"/>
    <w:rsid w:val="000F179F"/>
    <w:rsid w:val="000F1DE8"/>
    <w:rsid w:val="000F2AD8"/>
    <w:rsid w:val="00106F4A"/>
    <w:rsid w:val="00112CCF"/>
    <w:rsid w:val="00116C27"/>
    <w:rsid w:val="00121480"/>
    <w:rsid w:val="0012347F"/>
    <w:rsid w:val="00125655"/>
    <w:rsid w:val="00127620"/>
    <w:rsid w:val="00131520"/>
    <w:rsid w:val="001325B2"/>
    <w:rsid w:val="00133775"/>
    <w:rsid w:val="001342F4"/>
    <w:rsid w:val="00134C5A"/>
    <w:rsid w:val="00144761"/>
    <w:rsid w:val="001452AB"/>
    <w:rsid w:val="00146B01"/>
    <w:rsid w:val="00150C23"/>
    <w:rsid w:val="001537AB"/>
    <w:rsid w:val="0015469A"/>
    <w:rsid w:val="0016040F"/>
    <w:rsid w:val="0016236A"/>
    <w:rsid w:val="001626D0"/>
    <w:rsid w:val="00172A07"/>
    <w:rsid w:val="001744EE"/>
    <w:rsid w:val="00176A15"/>
    <w:rsid w:val="00177FAC"/>
    <w:rsid w:val="00181CDC"/>
    <w:rsid w:val="0018718A"/>
    <w:rsid w:val="001920C3"/>
    <w:rsid w:val="00193594"/>
    <w:rsid w:val="001A084E"/>
    <w:rsid w:val="001B175C"/>
    <w:rsid w:val="001B250B"/>
    <w:rsid w:val="001B4539"/>
    <w:rsid w:val="001B50BE"/>
    <w:rsid w:val="001B7550"/>
    <w:rsid w:val="001C1338"/>
    <w:rsid w:val="001C32BE"/>
    <w:rsid w:val="001C7D59"/>
    <w:rsid w:val="001D3113"/>
    <w:rsid w:val="001D4856"/>
    <w:rsid w:val="001D7072"/>
    <w:rsid w:val="001D753C"/>
    <w:rsid w:val="001E178A"/>
    <w:rsid w:val="001E6D7B"/>
    <w:rsid w:val="002078B9"/>
    <w:rsid w:val="00207C4F"/>
    <w:rsid w:val="002118B4"/>
    <w:rsid w:val="002131CC"/>
    <w:rsid w:val="002210FB"/>
    <w:rsid w:val="0022334B"/>
    <w:rsid w:val="0023115C"/>
    <w:rsid w:val="00231B15"/>
    <w:rsid w:val="002410C7"/>
    <w:rsid w:val="00242F15"/>
    <w:rsid w:val="00246115"/>
    <w:rsid w:val="0025025B"/>
    <w:rsid w:val="00251A3F"/>
    <w:rsid w:val="002531C8"/>
    <w:rsid w:val="0025663C"/>
    <w:rsid w:val="002576CB"/>
    <w:rsid w:val="002640E7"/>
    <w:rsid w:val="002765A9"/>
    <w:rsid w:val="002820A1"/>
    <w:rsid w:val="00284680"/>
    <w:rsid w:val="00284AB1"/>
    <w:rsid w:val="002876E6"/>
    <w:rsid w:val="00287868"/>
    <w:rsid w:val="00290461"/>
    <w:rsid w:val="002910AC"/>
    <w:rsid w:val="00291196"/>
    <w:rsid w:val="002A016F"/>
    <w:rsid w:val="002A0D2B"/>
    <w:rsid w:val="002A136D"/>
    <w:rsid w:val="002A6CB1"/>
    <w:rsid w:val="002B0406"/>
    <w:rsid w:val="002B5121"/>
    <w:rsid w:val="002B5B9E"/>
    <w:rsid w:val="002B74EF"/>
    <w:rsid w:val="002C1719"/>
    <w:rsid w:val="002C1967"/>
    <w:rsid w:val="002D6C09"/>
    <w:rsid w:val="002F0B74"/>
    <w:rsid w:val="002F4369"/>
    <w:rsid w:val="00300E38"/>
    <w:rsid w:val="003036AF"/>
    <w:rsid w:val="003119BC"/>
    <w:rsid w:val="0031569C"/>
    <w:rsid w:val="00315CBC"/>
    <w:rsid w:val="003176D7"/>
    <w:rsid w:val="00322235"/>
    <w:rsid w:val="00322313"/>
    <w:rsid w:val="003276EF"/>
    <w:rsid w:val="00333B1D"/>
    <w:rsid w:val="00362F98"/>
    <w:rsid w:val="00363700"/>
    <w:rsid w:val="00365D32"/>
    <w:rsid w:val="00367637"/>
    <w:rsid w:val="00372CA1"/>
    <w:rsid w:val="003740CC"/>
    <w:rsid w:val="00380C00"/>
    <w:rsid w:val="00391E16"/>
    <w:rsid w:val="003A184C"/>
    <w:rsid w:val="003A1EE6"/>
    <w:rsid w:val="003A5C58"/>
    <w:rsid w:val="003B09BB"/>
    <w:rsid w:val="003B5ED5"/>
    <w:rsid w:val="003B78C7"/>
    <w:rsid w:val="003C0077"/>
    <w:rsid w:val="003C63C1"/>
    <w:rsid w:val="003C6D27"/>
    <w:rsid w:val="003D0684"/>
    <w:rsid w:val="003D0B28"/>
    <w:rsid w:val="003D23B1"/>
    <w:rsid w:val="003F0E0B"/>
    <w:rsid w:val="003F63D9"/>
    <w:rsid w:val="003F795F"/>
    <w:rsid w:val="0040152D"/>
    <w:rsid w:val="0041081F"/>
    <w:rsid w:val="00410B21"/>
    <w:rsid w:val="00415ECE"/>
    <w:rsid w:val="0042603C"/>
    <w:rsid w:val="00431F6E"/>
    <w:rsid w:val="004321AE"/>
    <w:rsid w:val="00434E6F"/>
    <w:rsid w:val="00441721"/>
    <w:rsid w:val="00444B57"/>
    <w:rsid w:val="00457B13"/>
    <w:rsid w:val="00463723"/>
    <w:rsid w:val="00465C80"/>
    <w:rsid w:val="00472847"/>
    <w:rsid w:val="00473B29"/>
    <w:rsid w:val="00473DBD"/>
    <w:rsid w:val="004746CA"/>
    <w:rsid w:val="00484571"/>
    <w:rsid w:val="00490720"/>
    <w:rsid w:val="004A5AA6"/>
    <w:rsid w:val="004A69B8"/>
    <w:rsid w:val="004B7741"/>
    <w:rsid w:val="004C1127"/>
    <w:rsid w:val="004C1A73"/>
    <w:rsid w:val="004D3636"/>
    <w:rsid w:val="004D4514"/>
    <w:rsid w:val="004D6A24"/>
    <w:rsid w:val="004E12C9"/>
    <w:rsid w:val="004E4469"/>
    <w:rsid w:val="004E4A05"/>
    <w:rsid w:val="004E66AD"/>
    <w:rsid w:val="004E687D"/>
    <w:rsid w:val="004F2035"/>
    <w:rsid w:val="004F7DC6"/>
    <w:rsid w:val="00502ABD"/>
    <w:rsid w:val="00503BAB"/>
    <w:rsid w:val="00503C21"/>
    <w:rsid w:val="00521EDE"/>
    <w:rsid w:val="005220F6"/>
    <w:rsid w:val="00530377"/>
    <w:rsid w:val="005409E5"/>
    <w:rsid w:val="00545990"/>
    <w:rsid w:val="00556F32"/>
    <w:rsid w:val="005648E9"/>
    <w:rsid w:val="0057440A"/>
    <w:rsid w:val="00575CBB"/>
    <w:rsid w:val="005778B9"/>
    <w:rsid w:val="00581572"/>
    <w:rsid w:val="00587C9C"/>
    <w:rsid w:val="00592949"/>
    <w:rsid w:val="00592B4E"/>
    <w:rsid w:val="00594FE2"/>
    <w:rsid w:val="005A183C"/>
    <w:rsid w:val="005A59DE"/>
    <w:rsid w:val="005C1F80"/>
    <w:rsid w:val="005C3133"/>
    <w:rsid w:val="005D14C8"/>
    <w:rsid w:val="005D7625"/>
    <w:rsid w:val="005E116F"/>
    <w:rsid w:val="005E147D"/>
    <w:rsid w:val="005E1765"/>
    <w:rsid w:val="005E3562"/>
    <w:rsid w:val="005F20BC"/>
    <w:rsid w:val="005F5342"/>
    <w:rsid w:val="006003CE"/>
    <w:rsid w:val="00601E62"/>
    <w:rsid w:val="006022AD"/>
    <w:rsid w:val="00603908"/>
    <w:rsid w:val="00603FEC"/>
    <w:rsid w:val="00605D6F"/>
    <w:rsid w:val="00624019"/>
    <w:rsid w:val="00627FFD"/>
    <w:rsid w:val="00630393"/>
    <w:rsid w:val="006319AD"/>
    <w:rsid w:val="00635D43"/>
    <w:rsid w:val="00640DF0"/>
    <w:rsid w:val="0064370D"/>
    <w:rsid w:val="0064737F"/>
    <w:rsid w:val="00651FCF"/>
    <w:rsid w:val="00653838"/>
    <w:rsid w:val="00654020"/>
    <w:rsid w:val="00656C7B"/>
    <w:rsid w:val="0066202B"/>
    <w:rsid w:val="00666244"/>
    <w:rsid w:val="00667ECA"/>
    <w:rsid w:val="0067565D"/>
    <w:rsid w:val="00680A32"/>
    <w:rsid w:val="00680D76"/>
    <w:rsid w:val="006935BE"/>
    <w:rsid w:val="00696E1D"/>
    <w:rsid w:val="006A20C9"/>
    <w:rsid w:val="006A344B"/>
    <w:rsid w:val="006A3903"/>
    <w:rsid w:val="006A46CD"/>
    <w:rsid w:val="006A70E1"/>
    <w:rsid w:val="006B3831"/>
    <w:rsid w:val="006B5B19"/>
    <w:rsid w:val="006B7477"/>
    <w:rsid w:val="006B75CF"/>
    <w:rsid w:val="006C14EB"/>
    <w:rsid w:val="006C5A1C"/>
    <w:rsid w:val="006C76F7"/>
    <w:rsid w:val="006D2080"/>
    <w:rsid w:val="006D3332"/>
    <w:rsid w:val="006D403E"/>
    <w:rsid w:val="006D5CAE"/>
    <w:rsid w:val="006E6FCC"/>
    <w:rsid w:val="006F3CC0"/>
    <w:rsid w:val="006F7796"/>
    <w:rsid w:val="006F7D96"/>
    <w:rsid w:val="00711958"/>
    <w:rsid w:val="00711E45"/>
    <w:rsid w:val="00711E5D"/>
    <w:rsid w:val="00713422"/>
    <w:rsid w:val="00717947"/>
    <w:rsid w:val="00720D0F"/>
    <w:rsid w:val="00726141"/>
    <w:rsid w:val="00726F0F"/>
    <w:rsid w:val="00730BBD"/>
    <w:rsid w:val="00731033"/>
    <w:rsid w:val="0073114C"/>
    <w:rsid w:val="00731CF7"/>
    <w:rsid w:val="0073482F"/>
    <w:rsid w:val="0073494D"/>
    <w:rsid w:val="00744F38"/>
    <w:rsid w:val="007502C3"/>
    <w:rsid w:val="007572E3"/>
    <w:rsid w:val="007601AF"/>
    <w:rsid w:val="00760675"/>
    <w:rsid w:val="007609F8"/>
    <w:rsid w:val="00763784"/>
    <w:rsid w:val="00764AB6"/>
    <w:rsid w:val="007679B3"/>
    <w:rsid w:val="00776034"/>
    <w:rsid w:val="00787F43"/>
    <w:rsid w:val="007907E2"/>
    <w:rsid w:val="00793440"/>
    <w:rsid w:val="00796BF2"/>
    <w:rsid w:val="007A012E"/>
    <w:rsid w:val="007A059B"/>
    <w:rsid w:val="007A5875"/>
    <w:rsid w:val="007B0690"/>
    <w:rsid w:val="007B2649"/>
    <w:rsid w:val="007D0ACE"/>
    <w:rsid w:val="007D0C46"/>
    <w:rsid w:val="007D2138"/>
    <w:rsid w:val="007D663E"/>
    <w:rsid w:val="007F047A"/>
    <w:rsid w:val="007F2727"/>
    <w:rsid w:val="008002AB"/>
    <w:rsid w:val="00815FD2"/>
    <w:rsid w:val="00817040"/>
    <w:rsid w:val="00820C62"/>
    <w:rsid w:val="00822A7D"/>
    <w:rsid w:val="0082419C"/>
    <w:rsid w:val="0083381F"/>
    <w:rsid w:val="00843689"/>
    <w:rsid w:val="008454ED"/>
    <w:rsid w:val="0085013C"/>
    <w:rsid w:val="008576F1"/>
    <w:rsid w:val="00865C7A"/>
    <w:rsid w:val="008670D2"/>
    <w:rsid w:val="00870152"/>
    <w:rsid w:val="00870E24"/>
    <w:rsid w:val="00873A47"/>
    <w:rsid w:val="00880524"/>
    <w:rsid w:val="00880A88"/>
    <w:rsid w:val="00894A00"/>
    <w:rsid w:val="00894B99"/>
    <w:rsid w:val="008A6CC5"/>
    <w:rsid w:val="008A6F0C"/>
    <w:rsid w:val="008B04CA"/>
    <w:rsid w:val="008B20DC"/>
    <w:rsid w:val="008B766F"/>
    <w:rsid w:val="008C2269"/>
    <w:rsid w:val="008C2D8E"/>
    <w:rsid w:val="008C2FD2"/>
    <w:rsid w:val="008C5FF5"/>
    <w:rsid w:val="008C7405"/>
    <w:rsid w:val="008D2D67"/>
    <w:rsid w:val="008D376D"/>
    <w:rsid w:val="008F27BA"/>
    <w:rsid w:val="008F6ABC"/>
    <w:rsid w:val="0090105C"/>
    <w:rsid w:val="00901386"/>
    <w:rsid w:val="00905E2F"/>
    <w:rsid w:val="009156BA"/>
    <w:rsid w:val="00922453"/>
    <w:rsid w:val="00926D9E"/>
    <w:rsid w:val="00931225"/>
    <w:rsid w:val="0093205D"/>
    <w:rsid w:val="00935595"/>
    <w:rsid w:val="00935E77"/>
    <w:rsid w:val="009515FD"/>
    <w:rsid w:val="009561BA"/>
    <w:rsid w:val="009616C1"/>
    <w:rsid w:val="0096177A"/>
    <w:rsid w:val="00964F1F"/>
    <w:rsid w:val="009773C2"/>
    <w:rsid w:val="00982253"/>
    <w:rsid w:val="00986550"/>
    <w:rsid w:val="00987ACC"/>
    <w:rsid w:val="00991583"/>
    <w:rsid w:val="00992F66"/>
    <w:rsid w:val="00997EAD"/>
    <w:rsid w:val="009A1BCF"/>
    <w:rsid w:val="009A4498"/>
    <w:rsid w:val="009A53C2"/>
    <w:rsid w:val="009A7F10"/>
    <w:rsid w:val="009B3794"/>
    <w:rsid w:val="009B7E4D"/>
    <w:rsid w:val="009C165D"/>
    <w:rsid w:val="009C1FD8"/>
    <w:rsid w:val="009D2FAF"/>
    <w:rsid w:val="009E7063"/>
    <w:rsid w:val="009F50C3"/>
    <w:rsid w:val="009F7935"/>
    <w:rsid w:val="00A00804"/>
    <w:rsid w:val="00A012F2"/>
    <w:rsid w:val="00A016E5"/>
    <w:rsid w:val="00A02C64"/>
    <w:rsid w:val="00A02E68"/>
    <w:rsid w:val="00A04CD7"/>
    <w:rsid w:val="00A06932"/>
    <w:rsid w:val="00A110CF"/>
    <w:rsid w:val="00A116EF"/>
    <w:rsid w:val="00A15956"/>
    <w:rsid w:val="00A1688A"/>
    <w:rsid w:val="00A16E52"/>
    <w:rsid w:val="00A24530"/>
    <w:rsid w:val="00A27D7E"/>
    <w:rsid w:val="00A31CE3"/>
    <w:rsid w:val="00A468BC"/>
    <w:rsid w:val="00A47F6D"/>
    <w:rsid w:val="00A53E3F"/>
    <w:rsid w:val="00A5782C"/>
    <w:rsid w:val="00A57FAC"/>
    <w:rsid w:val="00A7181B"/>
    <w:rsid w:val="00A743FA"/>
    <w:rsid w:val="00A744DD"/>
    <w:rsid w:val="00A925ED"/>
    <w:rsid w:val="00A92CAB"/>
    <w:rsid w:val="00A93745"/>
    <w:rsid w:val="00A95DB5"/>
    <w:rsid w:val="00AA2C2F"/>
    <w:rsid w:val="00AA4BB2"/>
    <w:rsid w:val="00AA4F6E"/>
    <w:rsid w:val="00AB176F"/>
    <w:rsid w:val="00AD503E"/>
    <w:rsid w:val="00AD5EEE"/>
    <w:rsid w:val="00AD6028"/>
    <w:rsid w:val="00AE0004"/>
    <w:rsid w:val="00AE2856"/>
    <w:rsid w:val="00AE2FD7"/>
    <w:rsid w:val="00AE36CA"/>
    <w:rsid w:val="00AE7154"/>
    <w:rsid w:val="00AF11DF"/>
    <w:rsid w:val="00B033F6"/>
    <w:rsid w:val="00B2014A"/>
    <w:rsid w:val="00B201D1"/>
    <w:rsid w:val="00B20FEC"/>
    <w:rsid w:val="00B21328"/>
    <w:rsid w:val="00B256C5"/>
    <w:rsid w:val="00B309BE"/>
    <w:rsid w:val="00B32C86"/>
    <w:rsid w:val="00B33AC8"/>
    <w:rsid w:val="00B346AB"/>
    <w:rsid w:val="00B34E01"/>
    <w:rsid w:val="00B3584F"/>
    <w:rsid w:val="00B47E67"/>
    <w:rsid w:val="00B50A61"/>
    <w:rsid w:val="00B625A1"/>
    <w:rsid w:val="00B628F4"/>
    <w:rsid w:val="00B655C6"/>
    <w:rsid w:val="00B71074"/>
    <w:rsid w:val="00B71BDF"/>
    <w:rsid w:val="00B73003"/>
    <w:rsid w:val="00B733F9"/>
    <w:rsid w:val="00B81812"/>
    <w:rsid w:val="00B95CA6"/>
    <w:rsid w:val="00B95D72"/>
    <w:rsid w:val="00BA1A0C"/>
    <w:rsid w:val="00BA3E25"/>
    <w:rsid w:val="00BA4E5E"/>
    <w:rsid w:val="00BA761D"/>
    <w:rsid w:val="00BB0F14"/>
    <w:rsid w:val="00BB3C21"/>
    <w:rsid w:val="00BD11EF"/>
    <w:rsid w:val="00BD1534"/>
    <w:rsid w:val="00BD1EBF"/>
    <w:rsid w:val="00BD5815"/>
    <w:rsid w:val="00BD619D"/>
    <w:rsid w:val="00BE030F"/>
    <w:rsid w:val="00BF03C4"/>
    <w:rsid w:val="00C03907"/>
    <w:rsid w:val="00C20326"/>
    <w:rsid w:val="00C2172D"/>
    <w:rsid w:val="00C318E5"/>
    <w:rsid w:val="00C34BEB"/>
    <w:rsid w:val="00C402CB"/>
    <w:rsid w:val="00C45431"/>
    <w:rsid w:val="00C455BC"/>
    <w:rsid w:val="00C46822"/>
    <w:rsid w:val="00C47BBD"/>
    <w:rsid w:val="00C55F4C"/>
    <w:rsid w:val="00C60EC8"/>
    <w:rsid w:val="00C74B86"/>
    <w:rsid w:val="00C759B4"/>
    <w:rsid w:val="00C75A7D"/>
    <w:rsid w:val="00C772AE"/>
    <w:rsid w:val="00C77798"/>
    <w:rsid w:val="00C80026"/>
    <w:rsid w:val="00C80C03"/>
    <w:rsid w:val="00C851A6"/>
    <w:rsid w:val="00C9669B"/>
    <w:rsid w:val="00C97DF7"/>
    <w:rsid w:val="00CA0190"/>
    <w:rsid w:val="00CA3DA6"/>
    <w:rsid w:val="00CA5522"/>
    <w:rsid w:val="00CB1FAF"/>
    <w:rsid w:val="00CB51E5"/>
    <w:rsid w:val="00CB78BA"/>
    <w:rsid w:val="00CC026E"/>
    <w:rsid w:val="00CC23A6"/>
    <w:rsid w:val="00CC5647"/>
    <w:rsid w:val="00CC7CC8"/>
    <w:rsid w:val="00CD36E7"/>
    <w:rsid w:val="00CD6034"/>
    <w:rsid w:val="00CD65A5"/>
    <w:rsid w:val="00CE44C9"/>
    <w:rsid w:val="00CE4FED"/>
    <w:rsid w:val="00CE5AA9"/>
    <w:rsid w:val="00CE71E2"/>
    <w:rsid w:val="00CE7C58"/>
    <w:rsid w:val="00CF196A"/>
    <w:rsid w:val="00D01C19"/>
    <w:rsid w:val="00D06817"/>
    <w:rsid w:val="00D11CA3"/>
    <w:rsid w:val="00D11F37"/>
    <w:rsid w:val="00D12B23"/>
    <w:rsid w:val="00D15144"/>
    <w:rsid w:val="00D15986"/>
    <w:rsid w:val="00D21C2E"/>
    <w:rsid w:val="00D2299E"/>
    <w:rsid w:val="00D23DB3"/>
    <w:rsid w:val="00D27CB3"/>
    <w:rsid w:val="00D32CFF"/>
    <w:rsid w:val="00D339AD"/>
    <w:rsid w:val="00D40D76"/>
    <w:rsid w:val="00D43D1D"/>
    <w:rsid w:val="00D45383"/>
    <w:rsid w:val="00D46313"/>
    <w:rsid w:val="00D51B74"/>
    <w:rsid w:val="00D56CC2"/>
    <w:rsid w:val="00D616BB"/>
    <w:rsid w:val="00D70364"/>
    <w:rsid w:val="00D74B86"/>
    <w:rsid w:val="00D77B86"/>
    <w:rsid w:val="00D84E46"/>
    <w:rsid w:val="00D8534B"/>
    <w:rsid w:val="00D872FB"/>
    <w:rsid w:val="00D91AA4"/>
    <w:rsid w:val="00D92E1D"/>
    <w:rsid w:val="00D93476"/>
    <w:rsid w:val="00D95E58"/>
    <w:rsid w:val="00D974EF"/>
    <w:rsid w:val="00D97684"/>
    <w:rsid w:val="00DA0C1D"/>
    <w:rsid w:val="00DA3093"/>
    <w:rsid w:val="00DB3C9A"/>
    <w:rsid w:val="00DB46D6"/>
    <w:rsid w:val="00DC1898"/>
    <w:rsid w:val="00DC4697"/>
    <w:rsid w:val="00DC7EF3"/>
    <w:rsid w:val="00DD0D68"/>
    <w:rsid w:val="00DD0F87"/>
    <w:rsid w:val="00DD20CD"/>
    <w:rsid w:val="00DD3AF2"/>
    <w:rsid w:val="00DD5ED0"/>
    <w:rsid w:val="00DE0F54"/>
    <w:rsid w:val="00DE290D"/>
    <w:rsid w:val="00DE3A45"/>
    <w:rsid w:val="00DF08B0"/>
    <w:rsid w:val="00DF110E"/>
    <w:rsid w:val="00E0006A"/>
    <w:rsid w:val="00E00359"/>
    <w:rsid w:val="00E004D1"/>
    <w:rsid w:val="00E00CEE"/>
    <w:rsid w:val="00E02159"/>
    <w:rsid w:val="00E02DB7"/>
    <w:rsid w:val="00E070DB"/>
    <w:rsid w:val="00E11E96"/>
    <w:rsid w:val="00E120EE"/>
    <w:rsid w:val="00E12D93"/>
    <w:rsid w:val="00E144CD"/>
    <w:rsid w:val="00E203FA"/>
    <w:rsid w:val="00E2676E"/>
    <w:rsid w:val="00E30D35"/>
    <w:rsid w:val="00E3307F"/>
    <w:rsid w:val="00E33F4F"/>
    <w:rsid w:val="00E34A1F"/>
    <w:rsid w:val="00E34CD0"/>
    <w:rsid w:val="00E47BE0"/>
    <w:rsid w:val="00E53F07"/>
    <w:rsid w:val="00E5473F"/>
    <w:rsid w:val="00E63714"/>
    <w:rsid w:val="00E65D5D"/>
    <w:rsid w:val="00E77AF4"/>
    <w:rsid w:val="00E77FBE"/>
    <w:rsid w:val="00E8319E"/>
    <w:rsid w:val="00E86A15"/>
    <w:rsid w:val="00E87554"/>
    <w:rsid w:val="00E939A1"/>
    <w:rsid w:val="00E962DB"/>
    <w:rsid w:val="00EA01D9"/>
    <w:rsid w:val="00EA11EB"/>
    <w:rsid w:val="00EA47CB"/>
    <w:rsid w:val="00EA4E17"/>
    <w:rsid w:val="00EA785C"/>
    <w:rsid w:val="00EB7EC8"/>
    <w:rsid w:val="00EC0B4F"/>
    <w:rsid w:val="00EC38CD"/>
    <w:rsid w:val="00EC3C3E"/>
    <w:rsid w:val="00EC5B41"/>
    <w:rsid w:val="00ED18EA"/>
    <w:rsid w:val="00ED4835"/>
    <w:rsid w:val="00EE10AE"/>
    <w:rsid w:val="00EE529C"/>
    <w:rsid w:val="00EE6838"/>
    <w:rsid w:val="00EF16A2"/>
    <w:rsid w:val="00F00977"/>
    <w:rsid w:val="00F22D03"/>
    <w:rsid w:val="00F230E6"/>
    <w:rsid w:val="00F254F1"/>
    <w:rsid w:val="00F307FD"/>
    <w:rsid w:val="00F40926"/>
    <w:rsid w:val="00F4221E"/>
    <w:rsid w:val="00F552B1"/>
    <w:rsid w:val="00F61506"/>
    <w:rsid w:val="00F707D0"/>
    <w:rsid w:val="00F7196E"/>
    <w:rsid w:val="00F76CED"/>
    <w:rsid w:val="00F77DBD"/>
    <w:rsid w:val="00F80AAD"/>
    <w:rsid w:val="00F853B7"/>
    <w:rsid w:val="00F8540D"/>
    <w:rsid w:val="00F92B59"/>
    <w:rsid w:val="00F954A9"/>
    <w:rsid w:val="00F96010"/>
    <w:rsid w:val="00F96DE0"/>
    <w:rsid w:val="00FA0FCD"/>
    <w:rsid w:val="00FA21C3"/>
    <w:rsid w:val="00FA394A"/>
    <w:rsid w:val="00FC4D89"/>
    <w:rsid w:val="00FC7AC8"/>
    <w:rsid w:val="00FC7CA8"/>
    <w:rsid w:val="00FC7F32"/>
    <w:rsid w:val="00FD252E"/>
    <w:rsid w:val="00FD3CF2"/>
    <w:rsid w:val="00FD4B24"/>
    <w:rsid w:val="00FD7FDE"/>
    <w:rsid w:val="00FE20AF"/>
    <w:rsid w:val="00FE6C30"/>
    <w:rsid w:val="00FF4753"/>
    <w:rsid w:val="16CFCEB2"/>
  </w:rsids>
  <w:docVars>
    <w:docVar w:name="__Grammarly_42___1" w:val="H4sIAAAAAAAEAKtWcslP9kxRslIyNDY2MLYwMTc0NbE0szQ1sLRQ0lEKTi0uzszPAykwrAUAV3JBs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4B6DC8"/>
  <w15:docId w15:val="{3D231F13-548A-4D2A-9145-6C786C55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85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4856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856"/>
  </w:style>
  <w:style w:type="paragraph" w:styleId="BodyTextIndent">
    <w:name w:val="Body Text Indent"/>
    <w:basedOn w:val="Normal"/>
    <w:rsid w:val="001D4856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1D48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2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A45"/>
    <w:pPr>
      <w:ind w:left="720"/>
    </w:pPr>
  </w:style>
  <w:style w:type="character" w:styleId="Hyperlink">
    <w:name w:val="Hyperlink"/>
    <w:basedOn w:val="DefaultParagraphFont"/>
    <w:uiPriority w:val="99"/>
    <w:rsid w:val="00EE529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A27D7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27D7E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6022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2A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2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2AD"/>
    <w:rPr>
      <w:b/>
      <w:bCs/>
    </w:rPr>
  </w:style>
  <w:style w:type="paragraph" w:styleId="FootnoteText">
    <w:name w:val="footnote text"/>
    <w:aliases w:val=" Char,Char,F1"/>
    <w:basedOn w:val="Normal"/>
    <w:link w:val="FootnoteTextChar"/>
    <w:uiPriority w:val="99"/>
    <w:unhideWhenUsed/>
    <w:qFormat/>
    <w:rsid w:val="002A136D"/>
    <w:rPr>
      <w:szCs w:val="20"/>
    </w:rPr>
  </w:style>
  <w:style w:type="character" w:customStyle="1" w:styleId="FootnoteTextChar">
    <w:name w:val="Footnote Text Char"/>
    <w:aliases w:val=" Char Char,Char Char,F1 Char"/>
    <w:basedOn w:val="DefaultParagraphFont"/>
    <w:link w:val="FootnoteText"/>
    <w:uiPriority w:val="99"/>
    <w:rsid w:val="002A136D"/>
  </w:style>
  <w:style w:type="character" w:styleId="FollowedHyperlink">
    <w:name w:val="FollowedHyperlink"/>
    <w:basedOn w:val="DefaultParagraphFont"/>
    <w:semiHidden/>
    <w:unhideWhenUsed/>
    <w:rsid w:val="007609F8"/>
    <w:rPr>
      <w:color w:val="800080" w:themeColor="followedHyperlink"/>
      <w:u w:val="single"/>
    </w:rPr>
  </w:style>
  <w:style w:type="paragraph" w:customStyle="1" w:styleId="Answerbulleted">
    <w:name w:val="Answer bulleted"/>
    <w:basedOn w:val="Normal"/>
    <w:rsid w:val="000238F6"/>
    <w:pPr>
      <w:numPr>
        <w:numId w:val="3"/>
      </w:numPr>
      <w:autoSpaceDE/>
      <w:autoSpaceDN/>
      <w:adjustRightInd/>
      <w:spacing w:before="120" w:after="120"/>
      <w:ind w:right="446"/>
    </w:pPr>
    <w:rPr>
      <w:rFonts w:ascii="Cambria" w:hAnsi="Cambria"/>
      <w:spacing w:val="-1"/>
      <w:sz w:val="22"/>
      <w:szCs w:val="22"/>
    </w:rPr>
  </w:style>
  <w:style w:type="numbering" w:customStyle="1" w:styleId="StyleBulleted33">
    <w:name w:val="Style Bulleted 33"/>
    <w:rsid w:val="000238F6"/>
    <w:pPr>
      <w:numPr>
        <w:numId w:val="3"/>
      </w:numPr>
    </w:p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0238F6"/>
    <w:pPr>
      <w:autoSpaceDE/>
      <w:autoSpaceDN/>
      <w:adjustRightInd/>
      <w:ind w:left="720"/>
    </w:pPr>
    <w:rPr>
      <w:rFonts w:ascii="Calibri" w:hAnsi="Calibri"/>
      <w:spacing w:val="-1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0238F6"/>
    <w:rPr>
      <w:rFonts w:ascii="Calibri" w:hAnsi="Calibri"/>
      <w:spacing w:val="-1"/>
    </w:rPr>
  </w:style>
  <w:style w:type="character" w:customStyle="1" w:styleId="BodyTextFi">
    <w:name w:val="Body Text Fi"/>
    <w:rsid w:val="006D2080"/>
  </w:style>
  <w:style w:type="paragraph" w:styleId="BodyText2">
    <w:name w:val="Body Text 2"/>
    <w:basedOn w:val="Normal"/>
    <w:link w:val="BodyText2Char"/>
    <w:semiHidden/>
    <w:unhideWhenUsed/>
    <w:rsid w:val="00A110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110CF"/>
    <w:rPr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726141"/>
    <w:pPr>
      <w:widowControl/>
      <w:tabs>
        <w:tab w:val="left" w:pos="432"/>
      </w:tabs>
      <w:autoSpaceDE/>
      <w:autoSpaceDN/>
      <w:adjustRightInd/>
    </w:pPr>
    <w:rPr>
      <w:sz w:val="24"/>
      <w:szCs w:val="20"/>
    </w:rPr>
  </w:style>
  <w:style w:type="paragraph" w:customStyle="1" w:styleId="Center">
    <w:name w:val="Center"/>
    <w:basedOn w:val="Normal"/>
    <w:rsid w:val="00726141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sz w:val="24"/>
      <w:szCs w:val="20"/>
    </w:rPr>
  </w:style>
  <w:style w:type="paragraph" w:styleId="Revision">
    <w:name w:val="Revision"/>
    <w:hidden/>
    <w:uiPriority w:val="99"/>
    <w:semiHidden/>
    <w:rsid w:val="00B033F6"/>
    <w:rPr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unhideWhenUsed/>
    <w:rsid w:val="00D51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51B74"/>
    <w:rPr>
      <w:szCs w:val="24"/>
    </w:rPr>
  </w:style>
  <w:style w:type="paragraph" w:styleId="Footer">
    <w:name w:val="footer"/>
    <w:basedOn w:val="Normal"/>
    <w:link w:val="FooterChar"/>
    <w:semiHidden/>
    <w:unhideWhenUsed/>
    <w:rsid w:val="00D51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51B74"/>
    <w:rPr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6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ht@medicine.wisc.edu" TargetMode="External" /><Relationship Id="rId11" Type="http://schemas.openxmlformats.org/officeDocument/2006/relationships/hyperlink" Target="mailto:leonc1@rwjms.rutgers.edu" TargetMode="External" /><Relationship Id="rId12" Type="http://schemas.openxmlformats.org/officeDocument/2006/relationships/hyperlink" Target="mailto:jstenhouse@chasebrexton.org" TargetMode="External" /><Relationship Id="rId13" Type="http://schemas.openxmlformats.org/officeDocument/2006/relationships/hyperlink" Target="https://www.bls.gov/oes/current/naics2_62.htm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Darby.Ford@fultoncountyga.gov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hab.hrsa.gov/data/data-reports" TargetMode="External" /><Relationship Id="rId2" Type="http://schemas.openxmlformats.org/officeDocument/2006/relationships/hyperlink" Target="https://akaprod-hab.hrsa.gov/clinical-quality-management/performance-measure-portfol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9286d-bb45-45f5-8860-57d68472db4f">
      <UserInfo>
        <DisplayName>Asia Downer</DisplayName>
        <AccountId>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00C6D6C7A7546A2F44E4B934B8481" ma:contentTypeVersion="12" ma:contentTypeDescription="Create a new document." ma:contentTypeScope="" ma:versionID="c428fb6bc880ef4c9014ffc64ec901b6">
  <xsd:schema xmlns:xsd="http://www.w3.org/2001/XMLSchema" xmlns:xs="http://www.w3.org/2001/XMLSchema" xmlns:p="http://schemas.microsoft.com/office/2006/metadata/properties" xmlns:ns3="5ee363e1-4945-4248-a9d4-898884c3d29b" xmlns:ns4="be49286d-bb45-45f5-8860-57d68472db4f" targetNamespace="http://schemas.microsoft.com/office/2006/metadata/properties" ma:root="true" ma:fieldsID="6422b2573d1da44b7cc24635c8e6559f" ns3:_="" ns4:_="">
    <xsd:import namespace="5ee363e1-4945-4248-a9d4-898884c3d29b"/>
    <xsd:import namespace="be49286d-bb45-45f5-8860-57d68472d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363e1-4945-4248-a9d4-898884c3d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9286d-bb45-45f5-8860-57d68472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06D4-59E1-46AA-AC75-D12EFFD0B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09447-424B-46F1-97B6-0598EFE31B15}">
  <ds:schemaRefs>
    <ds:schemaRef ds:uri="be49286d-bb45-45f5-8860-57d68472db4f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5ee363e1-4945-4248-a9d4-898884c3d29b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4861E2-CCFE-4FCE-BC71-38F60648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363e1-4945-4248-a9d4-898884c3d29b"/>
    <ds:schemaRef ds:uri="be49286d-bb45-45f5-8860-57d68472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3F2FE-EA6D-464C-BD1A-0B3F290C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1938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A</vt:lpstr>
    </vt:vector>
  </TitlesOfParts>
  <Company>CMS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A</dc:title>
  <dc:creator>Robert Mills</dc:creator>
  <cp:lastModifiedBy>Roland, Joella (HRSA)</cp:lastModifiedBy>
  <cp:revision>14</cp:revision>
  <cp:lastPrinted>2016-06-22T12:26:00Z</cp:lastPrinted>
  <dcterms:created xsi:type="dcterms:W3CDTF">2022-08-30T16:40:00Z</dcterms:created>
  <dcterms:modified xsi:type="dcterms:W3CDTF">2022-09-29T19:56:00Z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0x01010023300C6D6C7A7546A2F44E4B934B8481</vt:lpwstr>
  </property>
  <property fmtid="{D5CDD505-2E9C-101B-9397-08002B2CF9AE}" pid="3" name="MediaServiceImageTags">
    <vt:lpwstr/>
  </property>
  <property fmtid="{D5CDD505-2E9C-101B-9397-08002B2CF9AE}" pid="4" name="_dlc_DocIdItemGuid">
    <vt:lpwstr>2cd15d58-845d-4a08-94e9-005e6f744691</vt:lpwstr>
  </property>
</Properties>
</file>