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43A4" w:rsidP="00075DE8" w14:paraId="50788C28" w14:textId="77777777">
      <w:pPr>
        <w:jc w:val="center"/>
      </w:pPr>
      <w:r>
        <w:t>United States Food and Drug Administration</w:t>
      </w:r>
    </w:p>
    <w:p w:rsidR="007043A4" w:rsidP="00075DE8" w14:paraId="3BA5CD2C" w14:textId="77777777">
      <w:pPr>
        <w:jc w:val="center"/>
      </w:pPr>
    </w:p>
    <w:p w:rsidR="005537E4" w:rsidP="005537E4" w14:paraId="62BCE760" w14:textId="77777777">
      <w:pPr>
        <w:pStyle w:val="Default"/>
        <w:jc w:val="center"/>
        <w:rPr>
          <w:b/>
        </w:rPr>
      </w:pPr>
      <w:bookmarkStart w:id="0" w:name="_Hlk58393751"/>
      <w:r w:rsidRPr="00BD75CA">
        <w:rPr>
          <w:b/>
        </w:rPr>
        <w:t>Pilot Survey to Develop Standardized Reporting Forms for Federally Funded</w:t>
      </w:r>
    </w:p>
    <w:p w:rsidR="00B23769" w:rsidP="005537E4" w14:paraId="04053847" w14:textId="77777777">
      <w:pPr>
        <w:jc w:val="center"/>
        <w:rPr>
          <w:b/>
        </w:rPr>
      </w:pPr>
      <w:r w:rsidRPr="00BD75CA">
        <w:rPr>
          <w:b/>
        </w:rPr>
        <w:t xml:space="preserve"> Public Health Projects and Agreements</w:t>
      </w:r>
      <w:bookmarkEnd w:id="0"/>
    </w:p>
    <w:p w:rsidR="005537E4" w:rsidRPr="009A1674" w:rsidP="005537E4" w14:paraId="574CAC92" w14:textId="77777777">
      <w:pPr>
        <w:jc w:val="center"/>
      </w:pPr>
    </w:p>
    <w:p w:rsidR="00EB7538" w:rsidRPr="009A1674" w:rsidP="00B23769" w14:paraId="33854065" w14:textId="77777777">
      <w:pPr>
        <w:jc w:val="center"/>
      </w:pPr>
      <w:r>
        <w:t xml:space="preserve">OMB Control No. or </w:t>
      </w:r>
      <w:r w:rsidRPr="009A1674">
        <w:t>0910-[NEW]</w:t>
      </w:r>
      <w:r w:rsidRPr="009A1674" w:rsidR="00A35D42">
        <w:br/>
      </w:r>
    </w:p>
    <w:p w:rsidR="00EB7538" w:rsidRPr="009A1674" w:rsidP="00B23769" w14:paraId="1A0436FD" w14:textId="77777777">
      <w:pPr>
        <w:jc w:val="center"/>
      </w:pPr>
      <w:r w:rsidRPr="009A1674">
        <w:t>SUPPORTING STATEMENT</w:t>
      </w:r>
    </w:p>
    <w:p w:rsidR="00810FF1" w:rsidP="00B23769" w14:paraId="2EBE48A6" w14:textId="77777777">
      <w:pPr>
        <w:jc w:val="center"/>
        <w:rPr>
          <w:b/>
        </w:rPr>
      </w:pPr>
    </w:p>
    <w:p w:rsidR="00EB7538" w:rsidP="002D4799" w14:paraId="54F5DFBF" w14:textId="77777777">
      <w:pPr>
        <w:spacing w:before="100" w:beforeAutospacing="1" w:after="100" w:afterAutospacing="1"/>
      </w:pPr>
      <w:r>
        <w:t xml:space="preserve">Part </w:t>
      </w:r>
      <w:r w:rsidR="002D4799">
        <w:t>B.</w:t>
      </w:r>
      <w:r w:rsidR="002D4799">
        <w:tab/>
      </w:r>
      <w:r>
        <w:t xml:space="preserve">Statistical Methods </w:t>
      </w:r>
    </w:p>
    <w:p w:rsidR="00125793" w:rsidP="00125793" w14:paraId="77957B40" w14:textId="77777777">
      <w:pPr>
        <w:numPr>
          <w:ilvl w:val="0"/>
          <w:numId w:val="2"/>
        </w:numPr>
        <w:spacing w:before="100" w:beforeAutospacing="1" w:after="100" w:afterAutospacing="1"/>
        <w:rPr>
          <w:u w:val="single"/>
        </w:rPr>
      </w:pPr>
      <w:r w:rsidRPr="00E00EA0">
        <w:rPr>
          <w:u w:val="single"/>
        </w:rPr>
        <w:t>Responden</w:t>
      </w:r>
      <w:r w:rsidRPr="00E00EA0" w:rsidR="004846BF">
        <w:rPr>
          <w:u w:val="single"/>
        </w:rPr>
        <w:t>t Universe and Sampling Methods</w:t>
      </w:r>
    </w:p>
    <w:p w:rsidR="00457ADA" w:rsidP="00125793" w14:paraId="3CA6306D" w14:textId="77777777">
      <w:pPr>
        <w:spacing w:before="100" w:beforeAutospacing="1" w:after="100" w:afterAutospacing="1"/>
        <w:ind w:left="720"/>
      </w:pPr>
      <w:r>
        <w:t xml:space="preserve">The universe for this collection includes State and local government units and professional supporting associations for State and local regulatory programs with oversight of FDA regulated </w:t>
      </w:r>
      <w:r w:rsidR="009D4D0E">
        <w:t>products</w:t>
      </w:r>
      <w:r>
        <w:t>.</w:t>
      </w:r>
      <w:r w:rsidR="009D4D0E">
        <w:t xml:space="preserve"> The total number of unique entities for this collection is estimated to be 135, based on the number </w:t>
      </w:r>
      <w:r w:rsidR="002E04F2">
        <w:t xml:space="preserve">of </w:t>
      </w:r>
      <w:r w:rsidR="009D4D0E">
        <w:t>registered entities who have, or have ever received, funding from the O</w:t>
      </w:r>
      <w:r w:rsidR="00AE0D2E">
        <w:t xml:space="preserve">ffice of </w:t>
      </w:r>
      <w:r w:rsidR="009D4D0E">
        <w:t>R</w:t>
      </w:r>
      <w:r w:rsidR="00AE0D2E">
        <w:t xml:space="preserve">egulatory </w:t>
      </w:r>
      <w:r w:rsidR="009D4D0E">
        <w:t>A</w:t>
      </w:r>
      <w:r w:rsidR="00AE0D2E">
        <w:t>ffairs (ORA)</w:t>
      </w:r>
      <w:r w:rsidR="009D4D0E">
        <w:t xml:space="preserve"> for a public health project.</w:t>
      </w:r>
    </w:p>
    <w:p w:rsidR="00457ADA" w:rsidRPr="0062207D" w:rsidP="00125793" w14:paraId="4E9C87E9" w14:textId="77777777">
      <w:pPr>
        <w:ind w:left="720"/>
      </w:pPr>
      <w:r>
        <w:t xml:space="preserve">This population </w:t>
      </w:r>
      <w:r>
        <w:t xml:space="preserve">is </w:t>
      </w:r>
      <w:r w:rsidR="000B184C">
        <w:t>considered to be</w:t>
      </w:r>
      <w:r w:rsidR="000B184C">
        <w:t xml:space="preserve"> r</w:t>
      </w:r>
      <w:r>
        <w:t xml:space="preserve">elatively static as evidenced by the same entities remaining enrolled in the same </w:t>
      </w:r>
      <w:r w:rsidR="000B184C">
        <w:t xml:space="preserve">ORA funded </w:t>
      </w:r>
      <w:r>
        <w:t>programs since the initiation of the program. The commodities and production types across the U.S. and its territories tend not to change and so the regulatory programs administered by State and local governments charged with protecting public health for these products, and subsequently their participation in specific ORA funded public health projects by commodity or product also tends to see little variation.</w:t>
      </w:r>
    </w:p>
    <w:p w:rsidR="00457ADA" w:rsidP="005A1238" w14:paraId="6616C5F7" w14:textId="77777777">
      <w:pPr>
        <w:ind w:left="1080"/>
      </w:pPr>
    </w:p>
    <w:p w:rsidR="005A1238" w:rsidP="00125793" w14:paraId="12B58A25" w14:textId="77777777">
      <w:pPr>
        <w:ind w:left="720"/>
      </w:pPr>
      <w:r>
        <w:t xml:space="preserve">The table below represents the current enrollment for existing programs covered by this collection. </w:t>
      </w:r>
    </w:p>
    <w:p w:rsidR="005A1238" w:rsidP="005A1238" w14:paraId="5981791E" w14:textId="77777777">
      <w:pPr>
        <w:ind w:left="1080"/>
      </w:pPr>
    </w:p>
    <w:tbl>
      <w:tblPr>
        <w:tblW w:w="474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1530"/>
        <w:gridCol w:w="4051"/>
      </w:tblGrid>
      <w:tr w14:paraId="38C2B7BD" w14:textId="77777777" w:rsidTr="00125793">
        <w:tblPrEx>
          <w:tblW w:w="474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1930" w:type="pct"/>
            <w:shd w:val="clear" w:color="auto" w:fill="auto"/>
            <w:noWrap/>
            <w:vAlign w:val="bottom"/>
            <w:hideMark/>
          </w:tcPr>
          <w:p w:rsidR="005F56EA" w14:paraId="57105F45" w14:textId="77777777">
            <w:pPr>
              <w:rPr>
                <w:b/>
                <w:bCs/>
                <w:color w:val="000000"/>
                <w:sz w:val="22"/>
                <w:szCs w:val="22"/>
              </w:rPr>
            </w:pPr>
            <w:r>
              <w:rPr>
                <w:b/>
                <w:bCs/>
                <w:color w:val="000000"/>
                <w:sz w:val="22"/>
                <w:szCs w:val="22"/>
              </w:rPr>
              <w:t>Program</w:t>
            </w:r>
          </w:p>
        </w:tc>
        <w:tc>
          <w:tcPr>
            <w:tcW w:w="841" w:type="pct"/>
            <w:shd w:val="clear" w:color="auto" w:fill="auto"/>
            <w:noWrap/>
            <w:vAlign w:val="bottom"/>
            <w:hideMark/>
          </w:tcPr>
          <w:p w:rsidR="005F56EA" w:rsidP="005F56EA" w14:paraId="2A23BF12" w14:textId="77777777">
            <w:pPr>
              <w:rPr>
                <w:b/>
                <w:bCs/>
                <w:color w:val="000000"/>
                <w:sz w:val="22"/>
                <w:szCs w:val="22"/>
              </w:rPr>
            </w:pPr>
            <w:r>
              <w:rPr>
                <w:b/>
                <w:bCs/>
                <w:color w:val="000000"/>
                <w:sz w:val="22"/>
                <w:szCs w:val="22"/>
              </w:rPr>
              <w:t>Potential Respondents*</w:t>
            </w:r>
          </w:p>
        </w:tc>
        <w:tc>
          <w:tcPr>
            <w:tcW w:w="2228" w:type="pct"/>
            <w:shd w:val="clear" w:color="auto" w:fill="auto"/>
            <w:noWrap/>
            <w:vAlign w:val="bottom"/>
            <w:hideMark/>
          </w:tcPr>
          <w:p w:rsidR="005F56EA" w14:paraId="3865E9AF" w14:textId="77777777">
            <w:pPr>
              <w:rPr>
                <w:b/>
                <w:bCs/>
                <w:color w:val="000000"/>
                <w:sz w:val="22"/>
                <w:szCs w:val="22"/>
              </w:rPr>
            </w:pPr>
            <w:r>
              <w:rPr>
                <w:b/>
                <w:bCs/>
                <w:color w:val="000000"/>
                <w:sz w:val="22"/>
                <w:szCs w:val="22"/>
              </w:rPr>
              <w:t>Applicable Forms</w:t>
            </w:r>
          </w:p>
        </w:tc>
      </w:tr>
      <w:tr w14:paraId="4617F0FE" w14:textId="77777777" w:rsidTr="00125793">
        <w:tblPrEx>
          <w:tblW w:w="4747" w:type="pct"/>
          <w:tblInd w:w="828" w:type="dxa"/>
          <w:tblLayout w:type="fixed"/>
          <w:tblLook w:val="04A0"/>
        </w:tblPrEx>
        <w:trPr>
          <w:trHeight w:val="315"/>
        </w:trPr>
        <w:tc>
          <w:tcPr>
            <w:tcW w:w="1930" w:type="pct"/>
            <w:vMerge w:val="restart"/>
            <w:shd w:val="clear" w:color="auto" w:fill="auto"/>
            <w:noWrap/>
            <w:vAlign w:val="center"/>
            <w:hideMark/>
          </w:tcPr>
          <w:p w:rsidR="005F56EA" w14:paraId="210FAD59" w14:textId="77777777">
            <w:pPr>
              <w:rPr>
                <w:color w:val="000000"/>
                <w:sz w:val="22"/>
                <w:szCs w:val="22"/>
              </w:rPr>
            </w:pPr>
            <w:r>
              <w:rPr>
                <w:color w:val="000000"/>
                <w:sz w:val="22"/>
                <w:szCs w:val="22"/>
              </w:rPr>
              <w:t>Animal Food Contract</w:t>
            </w:r>
          </w:p>
        </w:tc>
        <w:tc>
          <w:tcPr>
            <w:tcW w:w="841" w:type="pct"/>
            <w:vMerge w:val="restart"/>
            <w:shd w:val="clear" w:color="auto" w:fill="auto"/>
            <w:noWrap/>
            <w:vAlign w:val="center"/>
            <w:hideMark/>
          </w:tcPr>
          <w:p w:rsidR="005F56EA" w14:paraId="7179E115" w14:textId="77777777">
            <w:pPr>
              <w:jc w:val="center"/>
              <w:rPr>
                <w:color w:val="000000"/>
                <w:sz w:val="22"/>
                <w:szCs w:val="22"/>
              </w:rPr>
            </w:pPr>
            <w:r>
              <w:rPr>
                <w:color w:val="000000"/>
                <w:sz w:val="22"/>
                <w:szCs w:val="22"/>
              </w:rPr>
              <w:t>32</w:t>
            </w:r>
          </w:p>
        </w:tc>
        <w:tc>
          <w:tcPr>
            <w:tcW w:w="2228" w:type="pct"/>
            <w:shd w:val="clear" w:color="auto" w:fill="auto"/>
            <w:vAlign w:val="center"/>
            <w:hideMark/>
          </w:tcPr>
          <w:p w:rsidR="005F56EA" w14:paraId="6BBCD3D8" w14:textId="77777777">
            <w:pPr>
              <w:rPr>
                <w:color w:val="000000"/>
              </w:rPr>
            </w:pPr>
            <w:r>
              <w:rPr>
                <w:color w:val="000000"/>
              </w:rPr>
              <w:t>Animal Food Contract Quarterly Summary Report</w:t>
            </w:r>
          </w:p>
        </w:tc>
      </w:tr>
      <w:tr w14:paraId="0D9D427C" w14:textId="77777777" w:rsidTr="00125793">
        <w:tblPrEx>
          <w:tblW w:w="4747" w:type="pct"/>
          <w:tblInd w:w="828" w:type="dxa"/>
          <w:tblLayout w:type="fixed"/>
          <w:tblLook w:val="04A0"/>
        </w:tblPrEx>
        <w:trPr>
          <w:trHeight w:val="300"/>
        </w:trPr>
        <w:tc>
          <w:tcPr>
            <w:tcW w:w="1930" w:type="pct"/>
            <w:vMerge/>
            <w:vAlign w:val="center"/>
            <w:hideMark/>
          </w:tcPr>
          <w:p w:rsidR="005F56EA" w14:paraId="1F850CED" w14:textId="77777777">
            <w:pPr>
              <w:rPr>
                <w:color w:val="000000"/>
                <w:sz w:val="22"/>
                <w:szCs w:val="22"/>
              </w:rPr>
            </w:pPr>
          </w:p>
        </w:tc>
        <w:tc>
          <w:tcPr>
            <w:tcW w:w="841" w:type="pct"/>
            <w:vMerge/>
            <w:vAlign w:val="center"/>
            <w:hideMark/>
          </w:tcPr>
          <w:p w:rsidR="005F56EA" w14:paraId="4E4DB2F8" w14:textId="77777777">
            <w:pPr>
              <w:rPr>
                <w:color w:val="000000"/>
                <w:sz w:val="22"/>
                <w:szCs w:val="22"/>
              </w:rPr>
            </w:pPr>
          </w:p>
        </w:tc>
        <w:tc>
          <w:tcPr>
            <w:tcW w:w="2228" w:type="pct"/>
            <w:shd w:val="clear" w:color="auto" w:fill="auto"/>
            <w:vAlign w:val="bottom"/>
            <w:hideMark/>
          </w:tcPr>
          <w:p w:rsidR="005F56EA" w14:paraId="15D7A9E4" w14:textId="77777777">
            <w:pPr>
              <w:rPr>
                <w:color w:val="000000"/>
                <w:sz w:val="22"/>
                <w:szCs w:val="22"/>
              </w:rPr>
            </w:pPr>
            <w:r>
              <w:rPr>
                <w:color w:val="000000"/>
                <w:sz w:val="22"/>
                <w:szCs w:val="22"/>
              </w:rPr>
              <w:t>Veterinary Medicine Course Preregistration Workbook</w:t>
            </w:r>
          </w:p>
        </w:tc>
      </w:tr>
      <w:tr w14:paraId="1BA36252" w14:textId="77777777" w:rsidTr="00125793">
        <w:tblPrEx>
          <w:tblW w:w="4747" w:type="pct"/>
          <w:tblInd w:w="828" w:type="dxa"/>
          <w:tblLayout w:type="fixed"/>
          <w:tblLook w:val="04A0"/>
        </w:tblPrEx>
        <w:trPr>
          <w:trHeight w:val="315"/>
        </w:trPr>
        <w:tc>
          <w:tcPr>
            <w:tcW w:w="1930" w:type="pct"/>
            <w:vMerge/>
            <w:vAlign w:val="center"/>
            <w:hideMark/>
          </w:tcPr>
          <w:p w:rsidR="005F56EA" w14:paraId="650C3A6E" w14:textId="77777777">
            <w:pPr>
              <w:rPr>
                <w:color w:val="000000"/>
                <w:sz w:val="22"/>
                <w:szCs w:val="22"/>
              </w:rPr>
            </w:pPr>
          </w:p>
        </w:tc>
        <w:tc>
          <w:tcPr>
            <w:tcW w:w="841" w:type="pct"/>
            <w:vMerge/>
            <w:vAlign w:val="center"/>
            <w:hideMark/>
          </w:tcPr>
          <w:p w:rsidR="005F56EA" w14:paraId="212A6E52" w14:textId="77777777">
            <w:pPr>
              <w:rPr>
                <w:color w:val="000000"/>
                <w:sz w:val="22"/>
                <w:szCs w:val="22"/>
              </w:rPr>
            </w:pPr>
          </w:p>
        </w:tc>
        <w:tc>
          <w:tcPr>
            <w:tcW w:w="2228" w:type="pct"/>
            <w:shd w:val="clear" w:color="auto" w:fill="auto"/>
            <w:vAlign w:val="center"/>
            <w:hideMark/>
          </w:tcPr>
          <w:p w:rsidR="005F56EA" w14:paraId="73D709E4" w14:textId="77777777">
            <w:pPr>
              <w:rPr>
                <w:color w:val="000000"/>
              </w:rPr>
            </w:pPr>
            <w:r>
              <w:rPr>
                <w:color w:val="000000"/>
              </w:rPr>
              <w:t>Animal Food Safety Inspection Audit Form</w:t>
            </w:r>
          </w:p>
        </w:tc>
      </w:tr>
      <w:tr w14:paraId="7ADC08B3" w14:textId="77777777" w:rsidTr="00125793">
        <w:tblPrEx>
          <w:tblW w:w="4747" w:type="pct"/>
          <w:tblInd w:w="828" w:type="dxa"/>
          <w:tblLayout w:type="fixed"/>
          <w:tblLook w:val="04A0"/>
        </w:tblPrEx>
        <w:trPr>
          <w:trHeight w:val="630"/>
        </w:trPr>
        <w:tc>
          <w:tcPr>
            <w:tcW w:w="1930" w:type="pct"/>
            <w:vMerge/>
            <w:vAlign w:val="center"/>
            <w:hideMark/>
          </w:tcPr>
          <w:p w:rsidR="005F56EA" w14:paraId="65FFAC3E" w14:textId="77777777">
            <w:pPr>
              <w:rPr>
                <w:color w:val="000000"/>
                <w:sz w:val="22"/>
                <w:szCs w:val="22"/>
              </w:rPr>
            </w:pPr>
          </w:p>
        </w:tc>
        <w:tc>
          <w:tcPr>
            <w:tcW w:w="841" w:type="pct"/>
            <w:vMerge/>
            <w:vAlign w:val="center"/>
            <w:hideMark/>
          </w:tcPr>
          <w:p w:rsidR="005F56EA" w14:paraId="1C7FB92B" w14:textId="77777777">
            <w:pPr>
              <w:rPr>
                <w:color w:val="000000"/>
                <w:sz w:val="22"/>
                <w:szCs w:val="22"/>
              </w:rPr>
            </w:pPr>
          </w:p>
        </w:tc>
        <w:tc>
          <w:tcPr>
            <w:tcW w:w="2228" w:type="pct"/>
            <w:shd w:val="clear" w:color="auto" w:fill="auto"/>
            <w:vAlign w:val="center"/>
            <w:hideMark/>
          </w:tcPr>
          <w:p w:rsidR="005F56EA" w14:paraId="6AEF56A6" w14:textId="77777777">
            <w:pPr>
              <w:rPr>
                <w:color w:val="000000"/>
              </w:rPr>
            </w:pPr>
            <w:r>
              <w:rPr>
                <w:color w:val="000000"/>
              </w:rPr>
              <w:t>Corrective Action Plan for Program and Individual Performance Deficiencies</w:t>
            </w:r>
          </w:p>
        </w:tc>
      </w:tr>
      <w:tr w14:paraId="25011E58" w14:textId="77777777" w:rsidTr="00125793">
        <w:tblPrEx>
          <w:tblW w:w="4747" w:type="pct"/>
          <w:tblInd w:w="828" w:type="dxa"/>
          <w:tblLayout w:type="fixed"/>
          <w:tblLook w:val="04A0"/>
        </w:tblPrEx>
        <w:trPr>
          <w:trHeight w:val="315"/>
        </w:trPr>
        <w:tc>
          <w:tcPr>
            <w:tcW w:w="1930" w:type="pct"/>
            <w:vMerge/>
            <w:vAlign w:val="center"/>
            <w:hideMark/>
          </w:tcPr>
          <w:p w:rsidR="005F56EA" w14:paraId="6646B888" w14:textId="77777777">
            <w:pPr>
              <w:rPr>
                <w:color w:val="000000"/>
                <w:sz w:val="22"/>
                <w:szCs w:val="22"/>
              </w:rPr>
            </w:pPr>
          </w:p>
        </w:tc>
        <w:tc>
          <w:tcPr>
            <w:tcW w:w="841" w:type="pct"/>
            <w:vMerge/>
            <w:vAlign w:val="center"/>
            <w:hideMark/>
          </w:tcPr>
          <w:p w:rsidR="005F56EA" w14:paraId="42221CD6" w14:textId="77777777">
            <w:pPr>
              <w:rPr>
                <w:color w:val="000000"/>
                <w:sz w:val="22"/>
                <w:szCs w:val="22"/>
              </w:rPr>
            </w:pPr>
          </w:p>
        </w:tc>
        <w:tc>
          <w:tcPr>
            <w:tcW w:w="2228" w:type="pct"/>
            <w:shd w:val="clear" w:color="auto" w:fill="auto"/>
            <w:vAlign w:val="center"/>
            <w:hideMark/>
          </w:tcPr>
          <w:p w:rsidR="005F56EA" w14:paraId="31B91902" w14:textId="77777777">
            <w:pPr>
              <w:rPr>
                <w:color w:val="000000"/>
              </w:rPr>
            </w:pPr>
            <w:r>
              <w:rPr>
                <w:color w:val="000000"/>
              </w:rPr>
              <w:t>State Implementation Agreement and Year End Evaluation</w:t>
            </w:r>
          </w:p>
        </w:tc>
      </w:tr>
      <w:tr w14:paraId="0EE52D2C" w14:textId="77777777" w:rsidTr="00125793">
        <w:tblPrEx>
          <w:tblW w:w="4747" w:type="pct"/>
          <w:tblInd w:w="828" w:type="dxa"/>
          <w:tblLayout w:type="fixed"/>
          <w:tblLook w:val="04A0"/>
        </w:tblPrEx>
        <w:trPr>
          <w:trHeight w:val="315"/>
        </w:trPr>
        <w:tc>
          <w:tcPr>
            <w:tcW w:w="1930" w:type="pct"/>
            <w:vMerge/>
            <w:vAlign w:val="center"/>
            <w:hideMark/>
          </w:tcPr>
          <w:p w:rsidR="005F56EA" w14:paraId="36F5EDC9" w14:textId="77777777">
            <w:pPr>
              <w:rPr>
                <w:color w:val="000000"/>
                <w:sz w:val="22"/>
                <w:szCs w:val="22"/>
              </w:rPr>
            </w:pPr>
          </w:p>
        </w:tc>
        <w:tc>
          <w:tcPr>
            <w:tcW w:w="841" w:type="pct"/>
            <w:vMerge/>
            <w:vAlign w:val="center"/>
            <w:hideMark/>
          </w:tcPr>
          <w:p w:rsidR="005F56EA" w14:paraId="13B00D5E" w14:textId="77777777">
            <w:pPr>
              <w:rPr>
                <w:color w:val="000000"/>
                <w:sz w:val="22"/>
                <w:szCs w:val="22"/>
              </w:rPr>
            </w:pPr>
          </w:p>
        </w:tc>
        <w:tc>
          <w:tcPr>
            <w:tcW w:w="2228" w:type="pct"/>
            <w:shd w:val="clear" w:color="auto" w:fill="auto"/>
            <w:vAlign w:val="center"/>
            <w:hideMark/>
          </w:tcPr>
          <w:p w:rsidR="005F56EA" w14:paraId="63FD7E5A" w14:textId="77777777">
            <w:pPr>
              <w:rPr>
                <w:color w:val="000000"/>
              </w:rPr>
            </w:pPr>
            <w:r>
              <w:rPr>
                <w:color w:val="000000"/>
              </w:rPr>
              <w:t>Request for Audit Reduction</w:t>
            </w:r>
          </w:p>
        </w:tc>
      </w:tr>
      <w:tr w14:paraId="64F67D76" w14:textId="77777777" w:rsidTr="00125793">
        <w:tblPrEx>
          <w:tblW w:w="4747" w:type="pct"/>
          <w:tblInd w:w="828" w:type="dxa"/>
          <w:tblLayout w:type="fixed"/>
          <w:tblLook w:val="04A0"/>
        </w:tblPrEx>
        <w:trPr>
          <w:trHeight w:val="315"/>
        </w:trPr>
        <w:tc>
          <w:tcPr>
            <w:tcW w:w="1930" w:type="pct"/>
            <w:vMerge w:val="restart"/>
            <w:shd w:val="clear" w:color="auto" w:fill="auto"/>
            <w:noWrap/>
            <w:vAlign w:val="center"/>
            <w:hideMark/>
          </w:tcPr>
          <w:p w:rsidR="005F56EA" w14:paraId="0902A8BC" w14:textId="77777777">
            <w:pPr>
              <w:rPr>
                <w:color w:val="000000"/>
                <w:sz w:val="22"/>
                <w:szCs w:val="22"/>
              </w:rPr>
            </w:pPr>
            <w:r>
              <w:rPr>
                <w:color w:val="000000"/>
                <w:sz w:val="22"/>
                <w:szCs w:val="22"/>
              </w:rPr>
              <w:t>Animal Food Regulatory Program Standards</w:t>
            </w:r>
          </w:p>
        </w:tc>
        <w:tc>
          <w:tcPr>
            <w:tcW w:w="841" w:type="pct"/>
            <w:vMerge w:val="restart"/>
            <w:shd w:val="clear" w:color="auto" w:fill="auto"/>
            <w:noWrap/>
            <w:vAlign w:val="center"/>
            <w:hideMark/>
          </w:tcPr>
          <w:p w:rsidR="005F56EA" w14:paraId="460FED2B" w14:textId="77777777">
            <w:pPr>
              <w:jc w:val="center"/>
              <w:rPr>
                <w:color w:val="000000"/>
                <w:sz w:val="22"/>
                <w:szCs w:val="22"/>
              </w:rPr>
            </w:pPr>
            <w:r>
              <w:rPr>
                <w:color w:val="000000"/>
                <w:sz w:val="22"/>
                <w:szCs w:val="22"/>
              </w:rPr>
              <w:t>25</w:t>
            </w:r>
          </w:p>
        </w:tc>
        <w:tc>
          <w:tcPr>
            <w:tcW w:w="2228" w:type="pct"/>
            <w:shd w:val="clear" w:color="auto" w:fill="auto"/>
            <w:vAlign w:val="center"/>
            <w:hideMark/>
          </w:tcPr>
          <w:p w:rsidR="005F56EA" w14:paraId="6C0A5F4A" w14:textId="77777777">
            <w:pPr>
              <w:rPr>
                <w:color w:val="000000"/>
              </w:rPr>
            </w:pPr>
            <w:r>
              <w:rPr>
                <w:color w:val="000000"/>
              </w:rPr>
              <w:t>Animal Feed Regulatory Standards (AFRPS) Program Report</w:t>
            </w:r>
          </w:p>
        </w:tc>
      </w:tr>
      <w:tr w14:paraId="42B1E5E8" w14:textId="77777777" w:rsidTr="00125793">
        <w:tblPrEx>
          <w:tblW w:w="4747" w:type="pct"/>
          <w:tblInd w:w="828" w:type="dxa"/>
          <w:tblLayout w:type="fixed"/>
          <w:tblLook w:val="04A0"/>
        </w:tblPrEx>
        <w:trPr>
          <w:trHeight w:val="300"/>
        </w:trPr>
        <w:tc>
          <w:tcPr>
            <w:tcW w:w="1930" w:type="pct"/>
            <w:vMerge/>
            <w:vAlign w:val="center"/>
            <w:hideMark/>
          </w:tcPr>
          <w:p w:rsidR="005F56EA" w14:paraId="5F380124" w14:textId="77777777">
            <w:pPr>
              <w:rPr>
                <w:color w:val="000000"/>
                <w:sz w:val="22"/>
                <w:szCs w:val="22"/>
              </w:rPr>
            </w:pPr>
          </w:p>
        </w:tc>
        <w:tc>
          <w:tcPr>
            <w:tcW w:w="841" w:type="pct"/>
            <w:vMerge/>
            <w:vAlign w:val="center"/>
            <w:hideMark/>
          </w:tcPr>
          <w:p w:rsidR="005F56EA" w14:paraId="0290A3CA" w14:textId="77777777">
            <w:pPr>
              <w:rPr>
                <w:color w:val="000000"/>
                <w:sz w:val="22"/>
                <w:szCs w:val="22"/>
              </w:rPr>
            </w:pPr>
          </w:p>
        </w:tc>
        <w:tc>
          <w:tcPr>
            <w:tcW w:w="2228" w:type="pct"/>
            <w:shd w:val="clear" w:color="auto" w:fill="auto"/>
            <w:vAlign w:val="bottom"/>
            <w:hideMark/>
          </w:tcPr>
          <w:p w:rsidR="005F56EA" w14:paraId="01E82A78" w14:textId="77777777">
            <w:pPr>
              <w:rPr>
                <w:color w:val="000000"/>
                <w:sz w:val="22"/>
                <w:szCs w:val="22"/>
              </w:rPr>
            </w:pPr>
            <w:r>
              <w:rPr>
                <w:color w:val="000000"/>
                <w:sz w:val="22"/>
                <w:szCs w:val="22"/>
              </w:rPr>
              <w:t>Veterinary Medicine Course Preregistration Workbook</w:t>
            </w:r>
          </w:p>
        </w:tc>
      </w:tr>
      <w:tr w14:paraId="22DD37CC" w14:textId="77777777" w:rsidTr="00125793">
        <w:tblPrEx>
          <w:tblW w:w="4747" w:type="pct"/>
          <w:tblInd w:w="828" w:type="dxa"/>
          <w:tblLayout w:type="fixed"/>
          <w:tblLook w:val="04A0"/>
        </w:tblPrEx>
        <w:trPr>
          <w:trHeight w:val="315"/>
        </w:trPr>
        <w:tc>
          <w:tcPr>
            <w:tcW w:w="1930" w:type="pct"/>
            <w:shd w:val="clear" w:color="auto" w:fill="auto"/>
            <w:noWrap/>
            <w:vAlign w:val="center"/>
            <w:hideMark/>
          </w:tcPr>
          <w:p w:rsidR="005F56EA" w14:paraId="3DCDDB7B" w14:textId="77777777">
            <w:pPr>
              <w:rPr>
                <w:color w:val="000000"/>
                <w:sz w:val="22"/>
                <w:szCs w:val="22"/>
              </w:rPr>
            </w:pPr>
            <w:r>
              <w:rPr>
                <w:color w:val="000000"/>
                <w:sz w:val="22"/>
                <w:szCs w:val="22"/>
              </w:rPr>
              <w:t>Egg Contract</w:t>
            </w:r>
          </w:p>
        </w:tc>
        <w:tc>
          <w:tcPr>
            <w:tcW w:w="841" w:type="pct"/>
            <w:shd w:val="clear" w:color="auto" w:fill="auto"/>
            <w:noWrap/>
            <w:vAlign w:val="center"/>
            <w:hideMark/>
          </w:tcPr>
          <w:p w:rsidR="005F56EA" w14:paraId="1D69C697" w14:textId="77777777">
            <w:pPr>
              <w:jc w:val="center"/>
              <w:rPr>
                <w:color w:val="000000"/>
                <w:sz w:val="22"/>
                <w:szCs w:val="22"/>
              </w:rPr>
            </w:pPr>
            <w:r>
              <w:rPr>
                <w:color w:val="000000"/>
                <w:sz w:val="22"/>
                <w:szCs w:val="22"/>
              </w:rPr>
              <w:t>6</w:t>
            </w:r>
          </w:p>
        </w:tc>
        <w:tc>
          <w:tcPr>
            <w:tcW w:w="2228" w:type="pct"/>
            <w:shd w:val="clear" w:color="auto" w:fill="auto"/>
            <w:vAlign w:val="center"/>
            <w:hideMark/>
          </w:tcPr>
          <w:p w:rsidR="005F56EA" w14:paraId="7DF45E93" w14:textId="77777777">
            <w:pPr>
              <w:rPr>
                <w:color w:val="000000"/>
              </w:rPr>
            </w:pPr>
            <w:r>
              <w:rPr>
                <w:color w:val="000000"/>
              </w:rPr>
              <w:t>Egg Contract Quarterly Summary Report</w:t>
            </w:r>
          </w:p>
        </w:tc>
      </w:tr>
      <w:tr w14:paraId="25DEA1A1" w14:textId="77777777" w:rsidTr="00125793">
        <w:tblPrEx>
          <w:tblW w:w="4747" w:type="pct"/>
          <w:tblInd w:w="828" w:type="dxa"/>
          <w:tblLayout w:type="fixed"/>
          <w:tblLook w:val="04A0"/>
        </w:tblPrEx>
        <w:trPr>
          <w:trHeight w:val="630"/>
        </w:trPr>
        <w:tc>
          <w:tcPr>
            <w:tcW w:w="1930" w:type="pct"/>
            <w:shd w:val="clear" w:color="auto" w:fill="auto"/>
            <w:noWrap/>
            <w:vAlign w:val="center"/>
            <w:hideMark/>
          </w:tcPr>
          <w:p w:rsidR="005F56EA" w14:paraId="1BB25378" w14:textId="77777777">
            <w:pPr>
              <w:rPr>
                <w:color w:val="000000"/>
                <w:sz w:val="22"/>
                <w:szCs w:val="22"/>
              </w:rPr>
            </w:pPr>
            <w:r>
              <w:rPr>
                <w:color w:val="000000"/>
                <w:sz w:val="22"/>
                <w:szCs w:val="22"/>
              </w:rPr>
              <w:t>Egg Standards</w:t>
            </w:r>
          </w:p>
        </w:tc>
        <w:tc>
          <w:tcPr>
            <w:tcW w:w="841" w:type="pct"/>
            <w:shd w:val="clear" w:color="auto" w:fill="auto"/>
            <w:noWrap/>
            <w:vAlign w:val="center"/>
            <w:hideMark/>
          </w:tcPr>
          <w:p w:rsidR="005F56EA" w14:paraId="2338EB93" w14:textId="77777777">
            <w:pPr>
              <w:jc w:val="center"/>
              <w:rPr>
                <w:color w:val="000000"/>
                <w:sz w:val="22"/>
                <w:szCs w:val="22"/>
              </w:rPr>
            </w:pPr>
            <w:r>
              <w:rPr>
                <w:color w:val="000000"/>
                <w:sz w:val="22"/>
                <w:szCs w:val="22"/>
              </w:rPr>
              <w:t>2</w:t>
            </w:r>
          </w:p>
        </w:tc>
        <w:tc>
          <w:tcPr>
            <w:tcW w:w="2228" w:type="pct"/>
            <w:shd w:val="clear" w:color="auto" w:fill="auto"/>
            <w:vAlign w:val="center"/>
            <w:hideMark/>
          </w:tcPr>
          <w:p w:rsidR="005F56EA" w14:paraId="59B23D18" w14:textId="77777777">
            <w:pPr>
              <w:rPr>
                <w:color w:val="000000"/>
              </w:rPr>
            </w:pPr>
            <w:r>
              <w:rPr>
                <w:color w:val="000000"/>
              </w:rPr>
              <w:t>General Program Report Form (non-specific for new cooperative agreement and grant programs)</w:t>
            </w:r>
          </w:p>
        </w:tc>
      </w:tr>
      <w:tr w14:paraId="55EBFC55" w14:textId="77777777" w:rsidTr="00125793">
        <w:tblPrEx>
          <w:tblW w:w="4747" w:type="pct"/>
          <w:tblInd w:w="828" w:type="dxa"/>
          <w:tblLayout w:type="fixed"/>
          <w:tblLook w:val="04A0"/>
        </w:tblPrEx>
        <w:trPr>
          <w:trHeight w:val="315"/>
        </w:trPr>
        <w:tc>
          <w:tcPr>
            <w:tcW w:w="1930" w:type="pct"/>
            <w:vMerge w:val="restart"/>
            <w:shd w:val="clear" w:color="auto" w:fill="auto"/>
            <w:noWrap/>
            <w:vAlign w:val="center"/>
            <w:hideMark/>
          </w:tcPr>
          <w:p w:rsidR="005F56EA" w14:paraId="68EB6425" w14:textId="77777777">
            <w:pPr>
              <w:rPr>
                <w:color w:val="000000"/>
                <w:sz w:val="22"/>
                <w:szCs w:val="22"/>
              </w:rPr>
            </w:pPr>
            <w:r>
              <w:rPr>
                <w:color w:val="000000"/>
                <w:sz w:val="22"/>
                <w:szCs w:val="22"/>
              </w:rPr>
              <w:t>Flexible Funding Model</w:t>
            </w:r>
          </w:p>
        </w:tc>
        <w:tc>
          <w:tcPr>
            <w:tcW w:w="841" w:type="pct"/>
            <w:vMerge w:val="restart"/>
            <w:shd w:val="clear" w:color="auto" w:fill="auto"/>
            <w:noWrap/>
            <w:vAlign w:val="center"/>
            <w:hideMark/>
          </w:tcPr>
          <w:p w:rsidR="005F56EA" w14:paraId="296DC44C" w14:textId="77777777">
            <w:pPr>
              <w:jc w:val="center"/>
              <w:rPr>
                <w:color w:val="000000"/>
                <w:sz w:val="22"/>
                <w:szCs w:val="22"/>
              </w:rPr>
            </w:pPr>
            <w:r>
              <w:rPr>
                <w:color w:val="000000"/>
                <w:sz w:val="22"/>
                <w:szCs w:val="22"/>
              </w:rPr>
              <w:t>44</w:t>
            </w:r>
          </w:p>
        </w:tc>
        <w:tc>
          <w:tcPr>
            <w:tcW w:w="2228" w:type="pct"/>
            <w:shd w:val="clear" w:color="auto" w:fill="auto"/>
            <w:vAlign w:val="center"/>
            <w:hideMark/>
          </w:tcPr>
          <w:p w:rsidR="005F56EA" w14:paraId="73105DD0" w14:textId="77777777">
            <w:pPr>
              <w:rPr>
                <w:color w:val="000000"/>
              </w:rPr>
            </w:pPr>
            <w:r>
              <w:rPr>
                <w:color w:val="000000"/>
              </w:rPr>
              <w:t>Flexible Funding Model (FFM) Program Report</w:t>
            </w:r>
          </w:p>
        </w:tc>
      </w:tr>
      <w:tr w14:paraId="2D66F70F" w14:textId="77777777" w:rsidTr="00125793">
        <w:tblPrEx>
          <w:tblW w:w="4747" w:type="pct"/>
          <w:tblInd w:w="828" w:type="dxa"/>
          <w:tblLayout w:type="fixed"/>
          <w:tblLook w:val="04A0"/>
        </w:tblPrEx>
        <w:trPr>
          <w:trHeight w:val="315"/>
        </w:trPr>
        <w:tc>
          <w:tcPr>
            <w:tcW w:w="1930" w:type="pct"/>
            <w:vMerge/>
            <w:vAlign w:val="center"/>
            <w:hideMark/>
          </w:tcPr>
          <w:p w:rsidR="005F56EA" w14:paraId="593C27D0" w14:textId="77777777">
            <w:pPr>
              <w:rPr>
                <w:color w:val="000000"/>
                <w:sz w:val="22"/>
                <w:szCs w:val="22"/>
              </w:rPr>
            </w:pPr>
          </w:p>
        </w:tc>
        <w:tc>
          <w:tcPr>
            <w:tcW w:w="841" w:type="pct"/>
            <w:vMerge/>
            <w:vAlign w:val="center"/>
            <w:hideMark/>
          </w:tcPr>
          <w:p w:rsidR="005F56EA" w14:paraId="73D035B8" w14:textId="77777777">
            <w:pPr>
              <w:rPr>
                <w:color w:val="000000"/>
                <w:sz w:val="22"/>
                <w:szCs w:val="22"/>
              </w:rPr>
            </w:pPr>
          </w:p>
        </w:tc>
        <w:tc>
          <w:tcPr>
            <w:tcW w:w="2228" w:type="pct"/>
            <w:shd w:val="clear" w:color="auto" w:fill="auto"/>
            <w:vAlign w:val="center"/>
            <w:hideMark/>
          </w:tcPr>
          <w:p w:rsidR="005F56EA" w14:paraId="15A9C7E9" w14:textId="77777777">
            <w:pPr>
              <w:rPr>
                <w:color w:val="000000"/>
              </w:rPr>
            </w:pPr>
            <w:r>
              <w:rPr>
                <w:color w:val="000000"/>
              </w:rPr>
              <w:t>Food Protection Task Force (FPTF) Program Report</w:t>
            </w:r>
          </w:p>
        </w:tc>
      </w:tr>
      <w:tr w14:paraId="056094A5" w14:textId="77777777" w:rsidTr="00125793">
        <w:tblPrEx>
          <w:tblW w:w="4747" w:type="pct"/>
          <w:tblInd w:w="828" w:type="dxa"/>
          <w:tblLayout w:type="fixed"/>
          <w:tblLook w:val="04A0"/>
        </w:tblPrEx>
        <w:trPr>
          <w:trHeight w:val="315"/>
        </w:trPr>
        <w:tc>
          <w:tcPr>
            <w:tcW w:w="1930" w:type="pct"/>
            <w:vMerge/>
            <w:vAlign w:val="center"/>
            <w:hideMark/>
          </w:tcPr>
          <w:p w:rsidR="005F56EA" w14:paraId="6220C3E1" w14:textId="77777777">
            <w:pPr>
              <w:rPr>
                <w:color w:val="000000"/>
                <w:sz w:val="22"/>
                <w:szCs w:val="22"/>
              </w:rPr>
            </w:pPr>
          </w:p>
        </w:tc>
        <w:tc>
          <w:tcPr>
            <w:tcW w:w="841" w:type="pct"/>
            <w:vMerge/>
            <w:vAlign w:val="center"/>
            <w:hideMark/>
          </w:tcPr>
          <w:p w:rsidR="005F56EA" w14:paraId="1E0768E1" w14:textId="77777777">
            <w:pPr>
              <w:rPr>
                <w:color w:val="000000"/>
                <w:sz w:val="22"/>
                <w:szCs w:val="22"/>
              </w:rPr>
            </w:pPr>
          </w:p>
        </w:tc>
        <w:tc>
          <w:tcPr>
            <w:tcW w:w="2228" w:type="pct"/>
            <w:shd w:val="clear" w:color="auto" w:fill="auto"/>
            <w:vAlign w:val="center"/>
            <w:hideMark/>
          </w:tcPr>
          <w:p w:rsidR="005F56EA" w14:paraId="1D4F46EC" w14:textId="77777777">
            <w:pPr>
              <w:rPr>
                <w:color w:val="000000"/>
              </w:rPr>
            </w:pPr>
            <w:r>
              <w:rPr>
                <w:color w:val="000000"/>
              </w:rPr>
              <w:t>Manufactured Food Course Preregistration Workbook</w:t>
            </w:r>
          </w:p>
        </w:tc>
      </w:tr>
      <w:tr w14:paraId="50BB7F77" w14:textId="77777777" w:rsidTr="00125793">
        <w:tblPrEx>
          <w:tblW w:w="4747" w:type="pct"/>
          <w:tblInd w:w="828" w:type="dxa"/>
          <w:tblLayout w:type="fixed"/>
          <w:tblLook w:val="04A0"/>
        </w:tblPrEx>
        <w:trPr>
          <w:trHeight w:val="315"/>
        </w:trPr>
        <w:tc>
          <w:tcPr>
            <w:tcW w:w="1930" w:type="pct"/>
            <w:vMerge/>
            <w:vAlign w:val="center"/>
            <w:hideMark/>
          </w:tcPr>
          <w:p w:rsidR="005F56EA" w14:paraId="6533274D" w14:textId="77777777">
            <w:pPr>
              <w:rPr>
                <w:color w:val="000000"/>
                <w:sz w:val="22"/>
                <w:szCs w:val="22"/>
              </w:rPr>
            </w:pPr>
          </w:p>
        </w:tc>
        <w:tc>
          <w:tcPr>
            <w:tcW w:w="841" w:type="pct"/>
            <w:vMerge/>
            <w:vAlign w:val="center"/>
            <w:hideMark/>
          </w:tcPr>
          <w:p w:rsidR="005F56EA" w14:paraId="76779900" w14:textId="77777777">
            <w:pPr>
              <w:rPr>
                <w:color w:val="000000"/>
                <w:sz w:val="22"/>
                <w:szCs w:val="22"/>
              </w:rPr>
            </w:pPr>
          </w:p>
        </w:tc>
        <w:tc>
          <w:tcPr>
            <w:tcW w:w="2228" w:type="pct"/>
            <w:shd w:val="clear" w:color="auto" w:fill="auto"/>
            <w:vAlign w:val="center"/>
            <w:hideMark/>
          </w:tcPr>
          <w:p w:rsidR="005F56EA" w14:paraId="653581A5" w14:textId="77777777">
            <w:pPr>
              <w:rPr>
                <w:color w:val="000000"/>
              </w:rPr>
            </w:pPr>
            <w:r>
              <w:rPr>
                <w:color w:val="000000"/>
              </w:rPr>
              <w:t>Emergency Response Course Preregistration Workbook</w:t>
            </w:r>
          </w:p>
        </w:tc>
      </w:tr>
      <w:tr w14:paraId="43E0BE4D" w14:textId="77777777" w:rsidTr="00125793">
        <w:tblPrEx>
          <w:tblW w:w="4747" w:type="pct"/>
          <w:tblInd w:w="828" w:type="dxa"/>
          <w:tblLayout w:type="fixed"/>
          <w:tblLook w:val="04A0"/>
        </w:tblPrEx>
        <w:trPr>
          <w:trHeight w:val="315"/>
        </w:trPr>
        <w:tc>
          <w:tcPr>
            <w:tcW w:w="1930" w:type="pct"/>
            <w:vMerge w:val="restart"/>
            <w:shd w:val="clear" w:color="auto" w:fill="auto"/>
            <w:noWrap/>
            <w:vAlign w:val="center"/>
            <w:hideMark/>
          </w:tcPr>
          <w:p w:rsidR="005F56EA" w14:paraId="4415E0FB" w14:textId="77777777">
            <w:pPr>
              <w:rPr>
                <w:color w:val="000000"/>
                <w:sz w:val="22"/>
                <w:szCs w:val="22"/>
              </w:rPr>
            </w:pPr>
            <w:r>
              <w:rPr>
                <w:color w:val="000000"/>
                <w:sz w:val="22"/>
                <w:szCs w:val="22"/>
              </w:rPr>
              <w:t xml:space="preserve">Human Food Contract </w:t>
            </w:r>
          </w:p>
        </w:tc>
        <w:tc>
          <w:tcPr>
            <w:tcW w:w="841" w:type="pct"/>
            <w:vMerge w:val="restart"/>
            <w:shd w:val="clear" w:color="auto" w:fill="auto"/>
            <w:noWrap/>
            <w:vAlign w:val="center"/>
            <w:hideMark/>
          </w:tcPr>
          <w:p w:rsidR="005F56EA" w14:paraId="1664D47A" w14:textId="77777777">
            <w:pPr>
              <w:jc w:val="center"/>
              <w:rPr>
                <w:color w:val="000000"/>
                <w:sz w:val="22"/>
                <w:szCs w:val="22"/>
              </w:rPr>
            </w:pPr>
            <w:r>
              <w:rPr>
                <w:color w:val="000000"/>
                <w:sz w:val="22"/>
                <w:szCs w:val="22"/>
              </w:rPr>
              <w:t>48</w:t>
            </w:r>
          </w:p>
        </w:tc>
        <w:tc>
          <w:tcPr>
            <w:tcW w:w="2228" w:type="pct"/>
            <w:shd w:val="clear" w:color="auto" w:fill="auto"/>
            <w:vAlign w:val="center"/>
            <w:hideMark/>
          </w:tcPr>
          <w:p w:rsidR="005F56EA" w14:paraId="35381740" w14:textId="77777777">
            <w:pPr>
              <w:rPr>
                <w:color w:val="000000"/>
              </w:rPr>
            </w:pPr>
            <w:r>
              <w:rPr>
                <w:color w:val="000000"/>
              </w:rPr>
              <w:t>Human Food Contract Quarterly Summary Report</w:t>
            </w:r>
          </w:p>
        </w:tc>
      </w:tr>
      <w:tr w14:paraId="6FBD6294" w14:textId="77777777" w:rsidTr="00125793">
        <w:tblPrEx>
          <w:tblW w:w="4747" w:type="pct"/>
          <w:tblInd w:w="828" w:type="dxa"/>
          <w:tblLayout w:type="fixed"/>
          <w:tblLook w:val="04A0"/>
        </w:tblPrEx>
        <w:trPr>
          <w:trHeight w:val="315"/>
        </w:trPr>
        <w:tc>
          <w:tcPr>
            <w:tcW w:w="1930" w:type="pct"/>
            <w:vMerge/>
            <w:vAlign w:val="center"/>
            <w:hideMark/>
          </w:tcPr>
          <w:p w:rsidR="005F56EA" w14:paraId="1FF177D3" w14:textId="77777777">
            <w:pPr>
              <w:rPr>
                <w:color w:val="000000"/>
                <w:sz w:val="22"/>
                <w:szCs w:val="22"/>
              </w:rPr>
            </w:pPr>
          </w:p>
        </w:tc>
        <w:tc>
          <w:tcPr>
            <w:tcW w:w="841" w:type="pct"/>
            <w:vMerge/>
            <w:vAlign w:val="center"/>
            <w:hideMark/>
          </w:tcPr>
          <w:p w:rsidR="005F56EA" w14:paraId="0D8EAA0E" w14:textId="77777777">
            <w:pPr>
              <w:rPr>
                <w:color w:val="000000"/>
                <w:sz w:val="22"/>
                <w:szCs w:val="22"/>
              </w:rPr>
            </w:pPr>
          </w:p>
        </w:tc>
        <w:tc>
          <w:tcPr>
            <w:tcW w:w="2228" w:type="pct"/>
            <w:shd w:val="clear" w:color="auto" w:fill="auto"/>
            <w:vAlign w:val="center"/>
            <w:hideMark/>
          </w:tcPr>
          <w:p w:rsidR="005F56EA" w14:paraId="351E8ABE" w14:textId="77777777">
            <w:pPr>
              <w:rPr>
                <w:color w:val="000000"/>
              </w:rPr>
            </w:pPr>
            <w:r>
              <w:rPr>
                <w:color w:val="000000"/>
              </w:rPr>
              <w:t>FDA 3610 Field Inspection Audit</w:t>
            </w:r>
          </w:p>
        </w:tc>
      </w:tr>
      <w:tr w14:paraId="61652FDE" w14:textId="77777777" w:rsidTr="00125793">
        <w:tblPrEx>
          <w:tblW w:w="4747" w:type="pct"/>
          <w:tblInd w:w="828" w:type="dxa"/>
          <w:tblLayout w:type="fixed"/>
          <w:tblLook w:val="04A0"/>
        </w:tblPrEx>
        <w:trPr>
          <w:trHeight w:val="630"/>
        </w:trPr>
        <w:tc>
          <w:tcPr>
            <w:tcW w:w="1930" w:type="pct"/>
            <w:vMerge/>
            <w:vAlign w:val="center"/>
            <w:hideMark/>
          </w:tcPr>
          <w:p w:rsidR="005F56EA" w14:paraId="4F7BB383" w14:textId="77777777">
            <w:pPr>
              <w:rPr>
                <w:color w:val="000000"/>
                <w:sz w:val="22"/>
                <w:szCs w:val="22"/>
              </w:rPr>
            </w:pPr>
          </w:p>
        </w:tc>
        <w:tc>
          <w:tcPr>
            <w:tcW w:w="841" w:type="pct"/>
            <w:vMerge/>
            <w:vAlign w:val="center"/>
            <w:hideMark/>
          </w:tcPr>
          <w:p w:rsidR="005F56EA" w14:paraId="57A28A38" w14:textId="77777777">
            <w:pPr>
              <w:rPr>
                <w:color w:val="000000"/>
                <w:sz w:val="22"/>
                <w:szCs w:val="22"/>
              </w:rPr>
            </w:pPr>
          </w:p>
        </w:tc>
        <w:tc>
          <w:tcPr>
            <w:tcW w:w="2228" w:type="pct"/>
            <w:shd w:val="clear" w:color="auto" w:fill="auto"/>
            <w:vAlign w:val="center"/>
            <w:hideMark/>
          </w:tcPr>
          <w:p w:rsidR="005F56EA" w14:paraId="119D7A30" w14:textId="77777777">
            <w:pPr>
              <w:rPr>
                <w:color w:val="000000"/>
              </w:rPr>
            </w:pPr>
            <w:r>
              <w:rPr>
                <w:color w:val="000000"/>
              </w:rPr>
              <w:t>Corrective Action Plan for Program and Individual Performance Deficiencies</w:t>
            </w:r>
          </w:p>
        </w:tc>
      </w:tr>
      <w:tr w14:paraId="303F4C0E" w14:textId="77777777" w:rsidTr="00125793">
        <w:tblPrEx>
          <w:tblW w:w="4747" w:type="pct"/>
          <w:tblInd w:w="828" w:type="dxa"/>
          <w:tblLayout w:type="fixed"/>
          <w:tblLook w:val="04A0"/>
        </w:tblPrEx>
        <w:trPr>
          <w:trHeight w:val="315"/>
        </w:trPr>
        <w:tc>
          <w:tcPr>
            <w:tcW w:w="1930" w:type="pct"/>
            <w:vMerge/>
            <w:vAlign w:val="center"/>
            <w:hideMark/>
          </w:tcPr>
          <w:p w:rsidR="005F56EA" w14:paraId="01EA4CD7" w14:textId="77777777">
            <w:pPr>
              <w:rPr>
                <w:color w:val="000000"/>
                <w:sz w:val="22"/>
                <w:szCs w:val="22"/>
              </w:rPr>
            </w:pPr>
          </w:p>
        </w:tc>
        <w:tc>
          <w:tcPr>
            <w:tcW w:w="841" w:type="pct"/>
            <w:vMerge/>
            <w:vAlign w:val="center"/>
            <w:hideMark/>
          </w:tcPr>
          <w:p w:rsidR="005F56EA" w14:paraId="14928AE2" w14:textId="77777777">
            <w:pPr>
              <w:rPr>
                <w:color w:val="000000"/>
                <w:sz w:val="22"/>
                <w:szCs w:val="22"/>
              </w:rPr>
            </w:pPr>
          </w:p>
        </w:tc>
        <w:tc>
          <w:tcPr>
            <w:tcW w:w="2228" w:type="pct"/>
            <w:shd w:val="clear" w:color="auto" w:fill="auto"/>
            <w:vAlign w:val="center"/>
            <w:hideMark/>
          </w:tcPr>
          <w:p w:rsidR="005F56EA" w14:paraId="54E6AB1D" w14:textId="77777777">
            <w:pPr>
              <w:rPr>
                <w:color w:val="000000"/>
              </w:rPr>
            </w:pPr>
            <w:r>
              <w:rPr>
                <w:color w:val="000000"/>
              </w:rPr>
              <w:t>State Implementation Agreement and Year End Evaluation</w:t>
            </w:r>
          </w:p>
        </w:tc>
      </w:tr>
      <w:tr w14:paraId="0327A2F4" w14:textId="77777777" w:rsidTr="00125793">
        <w:tblPrEx>
          <w:tblW w:w="4747" w:type="pct"/>
          <w:tblInd w:w="828" w:type="dxa"/>
          <w:tblLayout w:type="fixed"/>
          <w:tblLook w:val="04A0"/>
        </w:tblPrEx>
        <w:trPr>
          <w:trHeight w:val="315"/>
        </w:trPr>
        <w:tc>
          <w:tcPr>
            <w:tcW w:w="1930" w:type="pct"/>
            <w:vMerge/>
            <w:vAlign w:val="center"/>
            <w:hideMark/>
          </w:tcPr>
          <w:p w:rsidR="005F56EA" w14:paraId="07558ABC" w14:textId="77777777">
            <w:pPr>
              <w:rPr>
                <w:color w:val="000000"/>
                <w:sz w:val="22"/>
                <w:szCs w:val="22"/>
              </w:rPr>
            </w:pPr>
          </w:p>
        </w:tc>
        <w:tc>
          <w:tcPr>
            <w:tcW w:w="841" w:type="pct"/>
            <w:vMerge/>
            <w:vAlign w:val="center"/>
            <w:hideMark/>
          </w:tcPr>
          <w:p w:rsidR="005F56EA" w14:paraId="77B7F302" w14:textId="77777777">
            <w:pPr>
              <w:rPr>
                <w:color w:val="000000"/>
                <w:sz w:val="22"/>
                <w:szCs w:val="22"/>
              </w:rPr>
            </w:pPr>
          </w:p>
        </w:tc>
        <w:tc>
          <w:tcPr>
            <w:tcW w:w="2228" w:type="pct"/>
            <w:shd w:val="clear" w:color="auto" w:fill="auto"/>
            <w:vAlign w:val="center"/>
            <w:hideMark/>
          </w:tcPr>
          <w:p w:rsidR="005F56EA" w14:paraId="66F29414" w14:textId="77777777">
            <w:pPr>
              <w:rPr>
                <w:color w:val="000000"/>
              </w:rPr>
            </w:pPr>
            <w:r>
              <w:rPr>
                <w:color w:val="000000"/>
              </w:rPr>
              <w:t>Request for Audit Reduction</w:t>
            </w:r>
          </w:p>
        </w:tc>
      </w:tr>
      <w:tr w14:paraId="653585D1" w14:textId="77777777" w:rsidTr="00125793">
        <w:tblPrEx>
          <w:tblW w:w="4747" w:type="pct"/>
          <w:tblInd w:w="828" w:type="dxa"/>
          <w:tblLayout w:type="fixed"/>
          <w:tblLook w:val="04A0"/>
        </w:tblPrEx>
        <w:trPr>
          <w:trHeight w:val="315"/>
        </w:trPr>
        <w:tc>
          <w:tcPr>
            <w:tcW w:w="1930" w:type="pct"/>
            <w:vMerge w:val="restart"/>
            <w:shd w:val="clear" w:color="auto" w:fill="auto"/>
            <w:noWrap/>
            <w:vAlign w:val="center"/>
            <w:hideMark/>
          </w:tcPr>
          <w:p w:rsidR="005F56EA" w14:paraId="22A31C65" w14:textId="77777777">
            <w:pPr>
              <w:rPr>
                <w:color w:val="000000"/>
                <w:sz w:val="22"/>
                <w:szCs w:val="22"/>
              </w:rPr>
            </w:pPr>
            <w:r>
              <w:rPr>
                <w:color w:val="000000"/>
                <w:sz w:val="22"/>
                <w:szCs w:val="22"/>
              </w:rPr>
              <w:t>Laboratory Flexible Funding Model</w:t>
            </w:r>
          </w:p>
        </w:tc>
        <w:tc>
          <w:tcPr>
            <w:tcW w:w="841" w:type="pct"/>
            <w:vMerge w:val="restart"/>
            <w:shd w:val="clear" w:color="auto" w:fill="auto"/>
            <w:noWrap/>
            <w:vAlign w:val="center"/>
            <w:hideMark/>
          </w:tcPr>
          <w:p w:rsidR="005F56EA" w14:paraId="6685198C" w14:textId="77777777">
            <w:pPr>
              <w:jc w:val="center"/>
              <w:rPr>
                <w:color w:val="000000"/>
                <w:sz w:val="22"/>
                <w:szCs w:val="22"/>
              </w:rPr>
            </w:pPr>
            <w:r>
              <w:rPr>
                <w:color w:val="000000"/>
                <w:sz w:val="22"/>
                <w:szCs w:val="22"/>
              </w:rPr>
              <w:t>55</w:t>
            </w:r>
          </w:p>
        </w:tc>
        <w:tc>
          <w:tcPr>
            <w:tcW w:w="2228" w:type="pct"/>
            <w:shd w:val="clear" w:color="auto" w:fill="auto"/>
            <w:vAlign w:val="center"/>
            <w:hideMark/>
          </w:tcPr>
          <w:p w:rsidR="005F56EA" w14:paraId="1B31EBF3" w14:textId="77777777">
            <w:pPr>
              <w:rPr>
                <w:color w:val="000000"/>
              </w:rPr>
            </w:pPr>
            <w:r>
              <w:rPr>
                <w:color w:val="000000"/>
              </w:rPr>
              <w:t>Laboratory Flexible Funding Model (LFFM) Program Report</w:t>
            </w:r>
          </w:p>
        </w:tc>
      </w:tr>
      <w:tr w14:paraId="78D69AE9" w14:textId="77777777" w:rsidTr="00125793">
        <w:tblPrEx>
          <w:tblW w:w="4747" w:type="pct"/>
          <w:tblInd w:w="828" w:type="dxa"/>
          <w:tblLayout w:type="fixed"/>
          <w:tblLook w:val="04A0"/>
        </w:tblPrEx>
        <w:trPr>
          <w:trHeight w:val="315"/>
        </w:trPr>
        <w:tc>
          <w:tcPr>
            <w:tcW w:w="1930" w:type="pct"/>
            <w:vMerge/>
            <w:vAlign w:val="center"/>
            <w:hideMark/>
          </w:tcPr>
          <w:p w:rsidR="005F56EA" w14:paraId="515B9A23" w14:textId="77777777">
            <w:pPr>
              <w:rPr>
                <w:color w:val="000000"/>
                <w:sz w:val="22"/>
                <w:szCs w:val="22"/>
              </w:rPr>
            </w:pPr>
          </w:p>
        </w:tc>
        <w:tc>
          <w:tcPr>
            <w:tcW w:w="841" w:type="pct"/>
            <w:vMerge/>
            <w:vAlign w:val="center"/>
            <w:hideMark/>
          </w:tcPr>
          <w:p w:rsidR="005F56EA" w14:paraId="42350A2E" w14:textId="77777777">
            <w:pPr>
              <w:rPr>
                <w:color w:val="000000"/>
                <w:sz w:val="22"/>
                <w:szCs w:val="22"/>
              </w:rPr>
            </w:pPr>
          </w:p>
        </w:tc>
        <w:tc>
          <w:tcPr>
            <w:tcW w:w="2228" w:type="pct"/>
            <w:shd w:val="clear" w:color="auto" w:fill="auto"/>
            <w:vAlign w:val="center"/>
            <w:hideMark/>
          </w:tcPr>
          <w:p w:rsidR="005F56EA" w14:paraId="07D45BE8" w14:textId="77777777">
            <w:pPr>
              <w:rPr>
                <w:color w:val="000000"/>
              </w:rPr>
            </w:pPr>
            <w:r>
              <w:rPr>
                <w:color w:val="000000"/>
              </w:rPr>
              <w:t xml:space="preserve">LFFM Sample and Activity </w:t>
            </w:r>
            <w:r>
              <w:rPr>
                <w:color w:val="000000"/>
              </w:rPr>
              <w:t>Plan_Proposal</w:t>
            </w:r>
            <w:r>
              <w:rPr>
                <w:color w:val="000000"/>
              </w:rPr>
              <w:t xml:space="preserve"> Template</w:t>
            </w:r>
          </w:p>
        </w:tc>
      </w:tr>
      <w:tr w14:paraId="6639193B" w14:textId="77777777" w:rsidTr="00125793">
        <w:tblPrEx>
          <w:tblW w:w="4747" w:type="pct"/>
          <w:tblInd w:w="828" w:type="dxa"/>
          <w:tblLayout w:type="fixed"/>
          <w:tblLook w:val="04A0"/>
        </w:tblPrEx>
        <w:trPr>
          <w:trHeight w:val="315"/>
        </w:trPr>
        <w:tc>
          <w:tcPr>
            <w:tcW w:w="1930" w:type="pct"/>
            <w:vMerge/>
            <w:vAlign w:val="center"/>
            <w:hideMark/>
          </w:tcPr>
          <w:p w:rsidR="005F56EA" w14:paraId="5C01CF5C" w14:textId="77777777">
            <w:pPr>
              <w:rPr>
                <w:color w:val="000000"/>
                <w:sz w:val="22"/>
                <w:szCs w:val="22"/>
              </w:rPr>
            </w:pPr>
          </w:p>
        </w:tc>
        <w:tc>
          <w:tcPr>
            <w:tcW w:w="841" w:type="pct"/>
            <w:vMerge/>
            <w:vAlign w:val="center"/>
            <w:hideMark/>
          </w:tcPr>
          <w:p w:rsidR="005F56EA" w14:paraId="4C7CD9DB" w14:textId="77777777">
            <w:pPr>
              <w:rPr>
                <w:color w:val="000000"/>
                <w:sz w:val="22"/>
                <w:szCs w:val="22"/>
              </w:rPr>
            </w:pPr>
          </w:p>
        </w:tc>
        <w:tc>
          <w:tcPr>
            <w:tcW w:w="2228" w:type="pct"/>
            <w:shd w:val="clear" w:color="auto" w:fill="auto"/>
            <w:vAlign w:val="center"/>
            <w:hideMark/>
          </w:tcPr>
          <w:p w:rsidR="005F56EA" w14:paraId="6CBE93CD" w14:textId="77777777">
            <w:pPr>
              <w:rPr>
                <w:color w:val="000000"/>
              </w:rPr>
            </w:pPr>
            <w:r>
              <w:rPr>
                <w:color w:val="000000"/>
              </w:rPr>
              <w:t xml:space="preserve">LFFM_SRP-Lab Agreement </w:t>
            </w:r>
            <w:r>
              <w:rPr>
                <w:color w:val="000000"/>
              </w:rPr>
              <w:t>Template_HAF</w:t>
            </w:r>
            <w:r>
              <w:rPr>
                <w:color w:val="000000"/>
              </w:rPr>
              <w:t xml:space="preserve"> Tracks</w:t>
            </w:r>
          </w:p>
        </w:tc>
      </w:tr>
      <w:tr w14:paraId="5E19BC67" w14:textId="77777777" w:rsidTr="00125793">
        <w:tblPrEx>
          <w:tblW w:w="4747" w:type="pct"/>
          <w:tblInd w:w="828" w:type="dxa"/>
          <w:tblLayout w:type="fixed"/>
          <w:tblLook w:val="04A0"/>
        </w:tblPrEx>
        <w:trPr>
          <w:trHeight w:val="315"/>
        </w:trPr>
        <w:tc>
          <w:tcPr>
            <w:tcW w:w="1930" w:type="pct"/>
            <w:vMerge/>
            <w:vAlign w:val="center"/>
            <w:hideMark/>
          </w:tcPr>
          <w:p w:rsidR="005F56EA" w14:paraId="3789CCB8" w14:textId="77777777">
            <w:pPr>
              <w:rPr>
                <w:color w:val="000000"/>
                <w:sz w:val="22"/>
                <w:szCs w:val="22"/>
              </w:rPr>
            </w:pPr>
          </w:p>
        </w:tc>
        <w:tc>
          <w:tcPr>
            <w:tcW w:w="841" w:type="pct"/>
            <w:vMerge/>
            <w:vAlign w:val="center"/>
            <w:hideMark/>
          </w:tcPr>
          <w:p w:rsidR="005F56EA" w14:paraId="3C7F71FB" w14:textId="77777777">
            <w:pPr>
              <w:rPr>
                <w:color w:val="000000"/>
                <w:sz w:val="22"/>
                <w:szCs w:val="22"/>
              </w:rPr>
            </w:pPr>
          </w:p>
        </w:tc>
        <w:tc>
          <w:tcPr>
            <w:tcW w:w="2228" w:type="pct"/>
            <w:shd w:val="clear" w:color="auto" w:fill="auto"/>
            <w:vAlign w:val="center"/>
            <w:hideMark/>
          </w:tcPr>
          <w:p w:rsidR="005F56EA" w14:paraId="00447A70" w14:textId="77777777">
            <w:pPr>
              <w:rPr>
                <w:color w:val="000000"/>
              </w:rPr>
            </w:pPr>
            <w:r>
              <w:rPr>
                <w:color w:val="000000"/>
              </w:rPr>
              <w:t xml:space="preserve">LFFM QTR </w:t>
            </w:r>
            <w:r>
              <w:rPr>
                <w:color w:val="000000"/>
              </w:rPr>
              <w:t>Chem_LFFM_HAF_Results_Sheet</w:t>
            </w:r>
          </w:p>
        </w:tc>
      </w:tr>
      <w:tr w14:paraId="31808D8B" w14:textId="77777777" w:rsidTr="00125793">
        <w:tblPrEx>
          <w:tblW w:w="4747" w:type="pct"/>
          <w:tblInd w:w="828" w:type="dxa"/>
          <w:tblLayout w:type="fixed"/>
          <w:tblLook w:val="04A0"/>
        </w:tblPrEx>
        <w:trPr>
          <w:trHeight w:val="315"/>
        </w:trPr>
        <w:tc>
          <w:tcPr>
            <w:tcW w:w="1930" w:type="pct"/>
            <w:vMerge/>
            <w:vAlign w:val="center"/>
            <w:hideMark/>
          </w:tcPr>
          <w:p w:rsidR="005F56EA" w14:paraId="1C5DB195" w14:textId="77777777">
            <w:pPr>
              <w:rPr>
                <w:color w:val="000000"/>
                <w:sz w:val="22"/>
                <w:szCs w:val="22"/>
              </w:rPr>
            </w:pPr>
          </w:p>
        </w:tc>
        <w:tc>
          <w:tcPr>
            <w:tcW w:w="841" w:type="pct"/>
            <w:vMerge/>
            <w:vAlign w:val="center"/>
            <w:hideMark/>
          </w:tcPr>
          <w:p w:rsidR="005F56EA" w14:paraId="51727426" w14:textId="77777777">
            <w:pPr>
              <w:rPr>
                <w:color w:val="000000"/>
                <w:sz w:val="22"/>
                <w:szCs w:val="22"/>
              </w:rPr>
            </w:pPr>
          </w:p>
        </w:tc>
        <w:tc>
          <w:tcPr>
            <w:tcW w:w="2228" w:type="pct"/>
            <w:shd w:val="clear" w:color="auto" w:fill="auto"/>
            <w:vAlign w:val="center"/>
            <w:hideMark/>
          </w:tcPr>
          <w:p w:rsidR="005F56EA" w14:paraId="2EDEB989" w14:textId="77777777">
            <w:pPr>
              <w:rPr>
                <w:color w:val="000000"/>
              </w:rPr>
            </w:pPr>
            <w:r>
              <w:rPr>
                <w:color w:val="000000"/>
              </w:rPr>
              <w:t>LFFM QTR Data Template Micro HAF Product Testing</w:t>
            </w:r>
          </w:p>
        </w:tc>
      </w:tr>
      <w:tr w14:paraId="66623C7B" w14:textId="77777777" w:rsidTr="00125793">
        <w:tblPrEx>
          <w:tblW w:w="4747" w:type="pct"/>
          <w:tblInd w:w="828" w:type="dxa"/>
          <w:tblLayout w:type="fixed"/>
          <w:tblLook w:val="04A0"/>
        </w:tblPrEx>
        <w:trPr>
          <w:trHeight w:val="315"/>
        </w:trPr>
        <w:tc>
          <w:tcPr>
            <w:tcW w:w="1930" w:type="pct"/>
            <w:shd w:val="clear" w:color="auto" w:fill="auto"/>
            <w:noWrap/>
            <w:vAlign w:val="center"/>
            <w:hideMark/>
          </w:tcPr>
          <w:p w:rsidR="005F56EA" w14:paraId="2BC2DFFE" w14:textId="77777777">
            <w:pPr>
              <w:rPr>
                <w:color w:val="000000"/>
                <w:sz w:val="22"/>
                <w:szCs w:val="22"/>
              </w:rPr>
            </w:pPr>
            <w:r>
              <w:rPr>
                <w:color w:val="000000"/>
                <w:sz w:val="22"/>
                <w:szCs w:val="22"/>
              </w:rPr>
              <w:t>Mammography Quality Standards Act (MQSA) Contract</w:t>
            </w:r>
          </w:p>
        </w:tc>
        <w:tc>
          <w:tcPr>
            <w:tcW w:w="841" w:type="pct"/>
            <w:shd w:val="clear" w:color="auto" w:fill="auto"/>
            <w:noWrap/>
            <w:vAlign w:val="center"/>
            <w:hideMark/>
          </w:tcPr>
          <w:p w:rsidR="005F56EA" w14:paraId="6E17EC96" w14:textId="77777777">
            <w:pPr>
              <w:jc w:val="center"/>
              <w:rPr>
                <w:color w:val="000000"/>
                <w:sz w:val="22"/>
                <w:szCs w:val="22"/>
              </w:rPr>
            </w:pPr>
            <w:r>
              <w:rPr>
                <w:color w:val="000000"/>
                <w:sz w:val="22"/>
                <w:szCs w:val="22"/>
              </w:rPr>
              <w:t>41</w:t>
            </w:r>
          </w:p>
        </w:tc>
        <w:tc>
          <w:tcPr>
            <w:tcW w:w="2228" w:type="pct"/>
            <w:shd w:val="clear" w:color="auto" w:fill="auto"/>
            <w:vAlign w:val="center"/>
            <w:hideMark/>
          </w:tcPr>
          <w:p w:rsidR="005F56EA" w14:paraId="26DC241D" w14:textId="77777777">
            <w:pPr>
              <w:rPr>
                <w:color w:val="000000"/>
              </w:rPr>
            </w:pPr>
            <w:r>
              <w:rPr>
                <w:color w:val="000000"/>
              </w:rPr>
              <w:t>MQSA MEU and Spending Update Report</w:t>
            </w:r>
          </w:p>
        </w:tc>
      </w:tr>
      <w:tr w14:paraId="51F1565D" w14:textId="77777777" w:rsidTr="00125793">
        <w:tblPrEx>
          <w:tblW w:w="4747" w:type="pct"/>
          <w:tblInd w:w="828" w:type="dxa"/>
          <w:tblLayout w:type="fixed"/>
          <w:tblLook w:val="04A0"/>
        </w:tblPrEx>
        <w:trPr>
          <w:trHeight w:val="315"/>
        </w:trPr>
        <w:tc>
          <w:tcPr>
            <w:tcW w:w="1930" w:type="pct"/>
            <w:shd w:val="clear" w:color="auto" w:fill="auto"/>
            <w:noWrap/>
            <w:vAlign w:val="center"/>
            <w:hideMark/>
          </w:tcPr>
          <w:p w:rsidR="005F56EA" w14:paraId="61B7339E" w14:textId="77777777">
            <w:pPr>
              <w:rPr>
                <w:color w:val="000000"/>
                <w:sz w:val="22"/>
                <w:szCs w:val="22"/>
              </w:rPr>
            </w:pPr>
            <w:r>
              <w:rPr>
                <w:color w:val="000000"/>
                <w:sz w:val="22"/>
                <w:szCs w:val="22"/>
              </w:rPr>
              <w:t>Medical Device Contract</w:t>
            </w:r>
          </w:p>
        </w:tc>
        <w:tc>
          <w:tcPr>
            <w:tcW w:w="841" w:type="pct"/>
            <w:shd w:val="clear" w:color="auto" w:fill="auto"/>
            <w:noWrap/>
            <w:vAlign w:val="center"/>
            <w:hideMark/>
          </w:tcPr>
          <w:p w:rsidR="005F56EA" w14:paraId="4C4414AE" w14:textId="77777777">
            <w:pPr>
              <w:jc w:val="center"/>
              <w:rPr>
                <w:color w:val="000000"/>
                <w:sz w:val="22"/>
                <w:szCs w:val="22"/>
              </w:rPr>
            </w:pPr>
            <w:r>
              <w:rPr>
                <w:color w:val="000000"/>
                <w:sz w:val="22"/>
                <w:szCs w:val="22"/>
              </w:rPr>
              <w:t>2</w:t>
            </w:r>
          </w:p>
        </w:tc>
        <w:tc>
          <w:tcPr>
            <w:tcW w:w="2228" w:type="pct"/>
            <w:shd w:val="clear" w:color="auto" w:fill="auto"/>
            <w:vAlign w:val="center"/>
            <w:hideMark/>
          </w:tcPr>
          <w:p w:rsidR="005F56EA" w14:paraId="6ADA40B5" w14:textId="77777777">
            <w:pPr>
              <w:rPr>
                <w:color w:val="000000"/>
              </w:rPr>
            </w:pPr>
            <w:r>
              <w:rPr>
                <w:color w:val="000000"/>
              </w:rPr>
              <w:t>Medical Devices Contract Quarterly Summary Report</w:t>
            </w:r>
          </w:p>
        </w:tc>
      </w:tr>
      <w:tr w14:paraId="47FFD9B0" w14:textId="77777777" w:rsidTr="00125793">
        <w:tblPrEx>
          <w:tblW w:w="4747" w:type="pct"/>
          <w:tblInd w:w="828" w:type="dxa"/>
          <w:tblLayout w:type="fixed"/>
          <w:tblLook w:val="04A0"/>
        </w:tblPrEx>
        <w:trPr>
          <w:trHeight w:val="315"/>
        </w:trPr>
        <w:tc>
          <w:tcPr>
            <w:tcW w:w="1930" w:type="pct"/>
            <w:vMerge w:val="restart"/>
            <w:shd w:val="clear" w:color="auto" w:fill="auto"/>
            <w:noWrap/>
            <w:vAlign w:val="center"/>
            <w:hideMark/>
          </w:tcPr>
          <w:p w:rsidR="005F56EA" w14:paraId="328B1C4E" w14:textId="77777777">
            <w:pPr>
              <w:rPr>
                <w:color w:val="000000"/>
                <w:sz w:val="22"/>
                <w:szCs w:val="22"/>
              </w:rPr>
            </w:pPr>
            <w:r>
              <w:rPr>
                <w:color w:val="000000"/>
                <w:sz w:val="22"/>
                <w:szCs w:val="22"/>
              </w:rPr>
              <w:t>Produce Implementation</w:t>
            </w:r>
          </w:p>
        </w:tc>
        <w:tc>
          <w:tcPr>
            <w:tcW w:w="841" w:type="pct"/>
            <w:vMerge w:val="restart"/>
            <w:shd w:val="clear" w:color="auto" w:fill="auto"/>
            <w:noWrap/>
            <w:vAlign w:val="center"/>
            <w:hideMark/>
          </w:tcPr>
          <w:p w:rsidR="005F56EA" w14:paraId="1DC9B31B" w14:textId="77777777">
            <w:pPr>
              <w:jc w:val="center"/>
              <w:rPr>
                <w:color w:val="000000"/>
                <w:sz w:val="22"/>
                <w:szCs w:val="22"/>
              </w:rPr>
            </w:pPr>
            <w:r>
              <w:rPr>
                <w:color w:val="000000"/>
                <w:sz w:val="22"/>
                <w:szCs w:val="22"/>
              </w:rPr>
              <w:t>56</w:t>
            </w:r>
          </w:p>
        </w:tc>
        <w:tc>
          <w:tcPr>
            <w:tcW w:w="2228" w:type="pct"/>
            <w:shd w:val="clear" w:color="auto" w:fill="auto"/>
            <w:vAlign w:val="center"/>
            <w:hideMark/>
          </w:tcPr>
          <w:p w:rsidR="005F56EA" w14:paraId="5DE8D352" w14:textId="77777777">
            <w:pPr>
              <w:rPr>
                <w:color w:val="000000"/>
              </w:rPr>
            </w:pPr>
            <w:r>
              <w:rPr>
                <w:color w:val="000000"/>
              </w:rPr>
              <w:t>Produce Program Report</w:t>
            </w:r>
          </w:p>
        </w:tc>
      </w:tr>
      <w:tr w14:paraId="43989C4F" w14:textId="77777777" w:rsidTr="00125793">
        <w:tblPrEx>
          <w:tblW w:w="4747" w:type="pct"/>
          <w:tblInd w:w="828" w:type="dxa"/>
          <w:tblLayout w:type="fixed"/>
          <w:tblLook w:val="04A0"/>
        </w:tblPrEx>
        <w:trPr>
          <w:trHeight w:val="315"/>
        </w:trPr>
        <w:tc>
          <w:tcPr>
            <w:tcW w:w="1930" w:type="pct"/>
            <w:vMerge/>
            <w:vAlign w:val="center"/>
            <w:hideMark/>
          </w:tcPr>
          <w:p w:rsidR="005F56EA" w14:paraId="3D4F1A2B" w14:textId="77777777">
            <w:pPr>
              <w:rPr>
                <w:color w:val="000000"/>
                <w:sz w:val="22"/>
                <w:szCs w:val="22"/>
              </w:rPr>
            </w:pPr>
          </w:p>
        </w:tc>
        <w:tc>
          <w:tcPr>
            <w:tcW w:w="841" w:type="pct"/>
            <w:vMerge/>
            <w:vAlign w:val="center"/>
            <w:hideMark/>
          </w:tcPr>
          <w:p w:rsidR="005F56EA" w14:paraId="1EABA64F" w14:textId="77777777">
            <w:pPr>
              <w:rPr>
                <w:color w:val="000000"/>
                <w:sz w:val="22"/>
                <w:szCs w:val="22"/>
              </w:rPr>
            </w:pPr>
          </w:p>
        </w:tc>
        <w:tc>
          <w:tcPr>
            <w:tcW w:w="2228" w:type="pct"/>
            <w:shd w:val="clear" w:color="auto" w:fill="auto"/>
            <w:vAlign w:val="center"/>
            <w:hideMark/>
          </w:tcPr>
          <w:p w:rsidR="005F56EA" w14:paraId="3A17F180" w14:textId="77777777">
            <w:pPr>
              <w:rPr>
                <w:color w:val="000000"/>
              </w:rPr>
            </w:pPr>
            <w:r>
              <w:rPr>
                <w:color w:val="000000"/>
              </w:rPr>
              <w:t xml:space="preserve">Produce </w:t>
            </w:r>
            <w:r>
              <w:rPr>
                <w:color w:val="000000"/>
              </w:rPr>
              <w:t>CAP_Project</w:t>
            </w:r>
            <w:r>
              <w:rPr>
                <w:color w:val="000000"/>
              </w:rPr>
              <w:t xml:space="preserve"> Plan outline</w:t>
            </w:r>
          </w:p>
        </w:tc>
      </w:tr>
      <w:tr w14:paraId="1ACA790B" w14:textId="77777777" w:rsidTr="00125793">
        <w:tblPrEx>
          <w:tblW w:w="4747" w:type="pct"/>
          <w:tblInd w:w="828" w:type="dxa"/>
          <w:tblLayout w:type="fixed"/>
          <w:tblLook w:val="04A0"/>
        </w:tblPrEx>
        <w:trPr>
          <w:trHeight w:val="315"/>
        </w:trPr>
        <w:tc>
          <w:tcPr>
            <w:tcW w:w="1930" w:type="pct"/>
            <w:vMerge/>
            <w:vAlign w:val="center"/>
            <w:hideMark/>
          </w:tcPr>
          <w:p w:rsidR="005F56EA" w14:paraId="50B15040" w14:textId="77777777">
            <w:pPr>
              <w:rPr>
                <w:color w:val="000000"/>
                <w:sz w:val="22"/>
                <w:szCs w:val="22"/>
              </w:rPr>
            </w:pPr>
          </w:p>
        </w:tc>
        <w:tc>
          <w:tcPr>
            <w:tcW w:w="841" w:type="pct"/>
            <w:vMerge/>
            <w:vAlign w:val="center"/>
            <w:hideMark/>
          </w:tcPr>
          <w:p w:rsidR="005F56EA" w14:paraId="3D608104" w14:textId="77777777">
            <w:pPr>
              <w:rPr>
                <w:color w:val="000000"/>
                <w:sz w:val="22"/>
                <w:szCs w:val="22"/>
              </w:rPr>
            </w:pPr>
          </w:p>
        </w:tc>
        <w:tc>
          <w:tcPr>
            <w:tcW w:w="2228" w:type="pct"/>
            <w:shd w:val="clear" w:color="auto" w:fill="auto"/>
            <w:vAlign w:val="center"/>
            <w:hideMark/>
          </w:tcPr>
          <w:p w:rsidR="005F56EA" w14:paraId="3A424128" w14:textId="77777777">
            <w:pPr>
              <w:rPr>
                <w:color w:val="000000"/>
              </w:rPr>
            </w:pPr>
            <w:r>
              <w:rPr>
                <w:color w:val="000000"/>
              </w:rPr>
              <w:t>Produce CAP Assessment Template</w:t>
            </w:r>
          </w:p>
        </w:tc>
      </w:tr>
      <w:tr w14:paraId="7D009355" w14:textId="77777777" w:rsidTr="00125793">
        <w:tblPrEx>
          <w:tblW w:w="4747" w:type="pct"/>
          <w:tblInd w:w="828" w:type="dxa"/>
          <w:tblLayout w:type="fixed"/>
          <w:tblLook w:val="04A0"/>
        </w:tblPrEx>
        <w:trPr>
          <w:trHeight w:val="315"/>
        </w:trPr>
        <w:tc>
          <w:tcPr>
            <w:tcW w:w="1930" w:type="pct"/>
            <w:vMerge/>
            <w:vAlign w:val="center"/>
            <w:hideMark/>
          </w:tcPr>
          <w:p w:rsidR="005F56EA" w14:paraId="649268D8" w14:textId="77777777">
            <w:pPr>
              <w:rPr>
                <w:color w:val="000000"/>
                <w:sz w:val="22"/>
                <w:szCs w:val="22"/>
              </w:rPr>
            </w:pPr>
          </w:p>
        </w:tc>
        <w:tc>
          <w:tcPr>
            <w:tcW w:w="841" w:type="pct"/>
            <w:vMerge/>
            <w:vAlign w:val="center"/>
            <w:hideMark/>
          </w:tcPr>
          <w:p w:rsidR="005F56EA" w14:paraId="5FCD1C1B" w14:textId="77777777">
            <w:pPr>
              <w:rPr>
                <w:color w:val="000000"/>
                <w:sz w:val="22"/>
                <w:szCs w:val="22"/>
              </w:rPr>
            </w:pPr>
          </w:p>
        </w:tc>
        <w:tc>
          <w:tcPr>
            <w:tcW w:w="2228" w:type="pct"/>
            <w:shd w:val="clear" w:color="auto" w:fill="auto"/>
            <w:vAlign w:val="center"/>
            <w:hideMark/>
          </w:tcPr>
          <w:p w:rsidR="005F56EA" w14:paraId="5ABC1864" w14:textId="77777777">
            <w:pPr>
              <w:rPr>
                <w:color w:val="000000"/>
              </w:rPr>
            </w:pPr>
            <w:r>
              <w:rPr>
                <w:color w:val="000000"/>
              </w:rPr>
              <w:t>Produce Course Preregistration Workbook</w:t>
            </w:r>
          </w:p>
        </w:tc>
      </w:tr>
      <w:tr w14:paraId="017C2329" w14:textId="77777777" w:rsidTr="00125793">
        <w:tblPrEx>
          <w:tblW w:w="4747" w:type="pct"/>
          <w:tblInd w:w="828" w:type="dxa"/>
          <w:tblLayout w:type="fixed"/>
          <w:tblLook w:val="04A0"/>
        </w:tblPrEx>
        <w:trPr>
          <w:trHeight w:val="315"/>
        </w:trPr>
        <w:tc>
          <w:tcPr>
            <w:tcW w:w="1930" w:type="pct"/>
            <w:vMerge/>
            <w:vAlign w:val="center"/>
            <w:hideMark/>
          </w:tcPr>
          <w:p w:rsidR="005F56EA" w14:paraId="1A21305F" w14:textId="77777777">
            <w:pPr>
              <w:rPr>
                <w:color w:val="000000"/>
                <w:sz w:val="22"/>
                <w:szCs w:val="22"/>
              </w:rPr>
            </w:pPr>
          </w:p>
        </w:tc>
        <w:tc>
          <w:tcPr>
            <w:tcW w:w="841" w:type="pct"/>
            <w:vMerge/>
            <w:vAlign w:val="center"/>
            <w:hideMark/>
          </w:tcPr>
          <w:p w:rsidR="005F56EA" w14:paraId="0649762C" w14:textId="77777777">
            <w:pPr>
              <w:rPr>
                <w:color w:val="000000"/>
                <w:sz w:val="22"/>
                <w:szCs w:val="22"/>
              </w:rPr>
            </w:pPr>
          </w:p>
        </w:tc>
        <w:tc>
          <w:tcPr>
            <w:tcW w:w="2228" w:type="pct"/>
            <w:shd w:val="clear" w:color="auto" w:fill="auto"/>
            <w:vAlign w:val="center"/>
            <w:hideMark/>
          </w:tcPr>
          <w:p w:rsidR="005F56EA" w14:paraId="4B47184D" w14:textId="77777777">
            <w:pPr>
              <w:rPr>
                <w:color w:val="000000"/>
              </w:rPr>
            </w:pPr>
            <w:r>
              <w:rPr>
                <w:color w:val="000000"/>
              </w:rPr>
              <w:t>Produce Educational Needs Assessment Submission Template</w:t>
            </w:r>
          </w:p>
        </w:tc>
      </w:tr>
      <w:tr w14:paraId="332361D2" w14:textId="77777777" w:rsidTr="00125793">
        <w:tblPrEx>
          <w:tblW w:w="4747" w:type="pct"/>
          <w:tblInd w:w="828" w:type="dxa"/>
          <w:tblLayout w:type="fixed"/>
          <w:tblLook w:val="04A0"/>
        </w:tblPrEx>
        <w:trPr>
          <w:trHeight w:val="315"/>
        </w:trPr>
        <w:tc>
          <w:tcPr>
            <w:tcW w:w="1930" w:type="pct"/>
            <w:vMerge/>
            <w:vAlign w:val="center"/>
            <w:hideMark/>
          </w:tcPr>
          <w:p w:rsidR="005F56EA" w14:paraId="125D7F90" w14:textId="77777777">
            <w:pPr>
              <w:rPr>
                <w:color w:val="000000"/>
                <w:sz w:val="22"/>
                <w:szCs w:val="22"/>
              </w:rPr>
            </w:pPr>
          </w:p>
        </w:tc>
        <w:tc>
          <w:tcPr>
            <w:tcW w:w="841" w:type="pct"/>
            <w:vMerge/>
            <w:vAlign w:val="center"/>
            <w:hideMark/>
          </w:tcPr>
          <w:p w:rsidR="005F56EA" w14:paraId="27F37C79" w14:textId="77777777">
            <w:pPr>
              <w:rPr>
                <w:color w:val="000000"/>
                <w:sz w:val="22"/>
                <w:szCs w:val="22"/>
              </w:rPr>
            </w:pPr>
          </w:p>
        </w:tc>
        <w:tc>
          <w:tcPr>
            <w:tcW w:w="2228" w:type="pct"/>
            <w:shd w:val="clear" w:color="auto" w:fill="auto"/>
            <w:vAlign w:val="center"/>
            <w:hideMark/>
          </w:tcPr>
          <w:p w:rsidR="005F56EA" w14:paraId="42FB0609" w14:textId="77777777">
            <w:pPr>
              <w:rPr>
                <w:color w:val="000000"/>
              </w:rPr>
            </w:pPr>
            <w:r>
              <w:rPr>
                <w:color w:val="000000"/>
              </w:rPr>
              <w:t>Produce Instructions Inspection Aggregate Data</w:t>
            </w:r>
          </w:p>
        </w:tc>
      </w:tr>
      <w:tr w14:paraId="6E69E088" w14:textId="77777777" w:rsidTr="00125793">
        <w:tblPrEx>
          <w:tblW w:w="4747" w:type="pct"/>
          <w:tblInd w:w="828" w:type="dxa"/>
          <w:tblLayout w:type="fixed"/>
          <w:tblLook w:val="04A0"/>
        </w:tblPrEx>
        <w:trPr>
          <w:trHeight w:val="315"/>
        </w:trPr>
        <w:tc>
          <w:tcPr>
            <w:tcW w:w="1930" w:type="pct"/>
            <w:vMerge/>
            <w:vAlign w:val="center"/>
            <w:hideMark/>
          </w:tcPr>
          <w:p w:rsidR="005F56EA" w14:paraId="6F6C8FA6" w14:textId="77777777">
            <w:pPr>
              <w:rPr>
                <w:color w:val="000000"/>
                <w:sz w:val="22"/>
                <w:szCs w:val="22"/>
              </w:rPr>
            </w:pPr>
          </w:p>
        </w:tc>
        <w:tc>
          <w:tcPr>
            <w:tcW w:w="841" w:type="pct"/>
            <w:vMerge/>
            <w:vAlign w:val="center"/>
            <w:hideMark/>
          </w:tcPr>
          <w:p w:rsidR="005F56EA" w14:paraId="32CFD5C2" w14:textId="77777777">
            <w:pPr>
              <w:rPr>
                <w:color w:val="000000"/>
                <w:sz w:val="22"/>
                <w:szCs w:val="22"/>
              </w:rPr>
            </w:pPr>
          </w:p>
        </w:tc>
        <w:tc>
          <w:tcPr>
            <w:tcW w:w="2228" w:type="pct"/>
            <w:shd w:val="clear" w:color="auto" w:fill="auto"/>
            <w:vAlign w:val="center"/>
            <w:hideMark/>
          </w:tcPr>
          <w:p w:rsidR="005F56EA" w14:paraId="6A483017" w14:textId="77777777">
            <w:pPr>
              <w:rPr>
                <w:color w:val="000000"/>
              </w:rPr>
            </w:pPr>
            <w:r>
              <w:rPr>
                <w:color w:val="000000"/>
              </w:rPr>
              <w:t>Produce Inspection Aggregate Data Workbook</w:t>
            </w:r>
          </w:p>
        </w:tc>
      </w:tr>
      <w:tr w14:paraId="1BA0613F" w14:textId="77777777" w:rsidTr="00125793">
        <w:tblPrEx>
          <w:tblW w:w="4747" w:type="pct"/>
          <w:tblInd w:w="828" w:type="dxa"/>
          <w:tblLayout w:type="fixed"/>
          <w:tblLook w:val="04A0"/>
        </w:tblPrEx>
        <w:trPr>
          <w:trHeight w:val="315"/>
        </w:trPr>
        <w:tc>
          <w:tcPr>
            <w:tcW w:w="1930" w:type="pct"/>
            <w:vMerge/>
            <w:vAlign w:val="center"/>
            <w:hideMark/>
          </w:tcPr>
          <w:p w:rsidR="005F56EA" w14:paraId="6ED7BD1C" w14:textId="77777777">
            <w:pPr>
              <w:rPr>
                <w:color w:val="000000"/>
                <w:sz w:val="22"/>
                <w:szCs w:val="22"/>
              </w:rPr>
            </w:pPr>
          </w:p>
        </w:tc>
        <w:tc>
          <w:tcPr>
            <w:tcW w:w="841" w:type="pct"/>
            <w:vMerge/>
            <w:vAlign w:val="center"/>
            <w:hideMark/>
          </w:tcPr>
          <w:p w:rsidR="005F56EA" w14:paraId="657ED72D" w14:textId="77777777">
            <w:pPr>
              <w:rPr>
                <w:color w:val="000000"/>
                <w:sz w:val="22"/>
                <w:szCs w:val="22"/>
              </w:rPr>
            </w:pPr>
          </w:p>
        </w:tc>
        <w:tc>
          <w:tcPr>
            <w:tcW w:w="2228" w:type="pct"/>
            <w:shd w:val="clear" w:color="auto" w:fill="auto"/>
            <w:vAlign w:val="center"/>
            <w:hideMark/>
          </w:tcPr>
          <w:p w:rsidR="005F56EA" w14:paraId="4E11CADD" w14:textId="77777777">
            <w:pPr>
              <w:rPr>
                <w:color w:val="000000"/>
              </w:rPr>
            </w:pPr>
            <w:r>
              <w:rPr>
                <w:color w:val="000000"/>
              </w:rPr>
              <w:t>Produce Instructions Inventory &amp; Education Aggregate Data</w:t>
            </w:r>
          </w:p>
        </w:tc>
      </w:tr>
      <w:tr w14:paraId="7C30AEE0" w14:textId="77777777" w:rsidTr="00125793">
        <w:tblPrEx>
          <w:tblW w:w="4747" w:type="pct"/>
          <w:tblInd w:w="828" w:type="dxa"/>
          <w:tblLayout w:type="fixed"/>
          <w:tblLook w:val="04A0"/>
        </w:tblPrEx>
        <w:trPr>
          <w:trHeight w:val="315"/>
        </w:trPr>
        <w:tc>
          <w:tcPr>
            <w:tcW w:w="1930" w:type="pct"/>
            <w:vMerge/>
            <w:vAlign w:val="center"/>
            <w:hideMark/>
          </w:tcPr>
          <w:p w:rsidR="005F56EA" w14:paraId="72BF6302" w14:textId="77777777">
            <w:pPr>
              <w:rPr>
                <w:color w:val="000000"/>
                <w:sz w:val="22"/>
                <w:szCs w:val="22"/>
              </w:rPr>
            </w:pPr>
          </w:p>
        </w:tc>
        <w:tc>
          <w:tcPr>
            <w:tcW w:w="841" w:type="pct"/>
            <w:vMerge/>
            <w:vAlign w:val="center"/>
            <w:hideMark/>
          </w:tcPr>
          <w:p w:rsidR="005F56EA" w14:paraId="33463B9D" w14:textId="77777777">
            <w:pPr>
              <w:rPr>
                <w:color w:val="000000"/>
                <w:sz w:val="22"/>
                <w:szCs w:val="22"/>
              </w:rPr>
            </w:pPr>
          </w:p>
        </w:tc>
        <w:tc>
          <w:tcPr>
            <w:tcW w:w="2228" w:type="pct"/>
            <w:shd w:val="clear" w:color="auto" w:fill="auto"/>
            <w:vAlign w:val="center"/>
            <w:hideMark/>
          </w:tcPr>
          <w:p w:rsidR="005F56EA" w14:paraId="2869C17D" w14:textId="77777777">
            <w:pPr>
              <w:rPr>
                <w:color w:val="000000"/>
              </w:rPr>
            </w:pPr>
            <w:r>
              <w:rPr>
                <w:color w:val="000000"/>
              </w:rPr>
              <w:t>Produce Inventory &amp; Education Aggregate Data workbook</w:t>
            </w:r>
          </w:p>
        </w:tc>
      </w:tr>
      <w:tr w14:paraId="47D1031B" w14:textId="77777777" w:rsidTr="00125793">
        <w:tblPrEx>
          <w:tblW w:w="4747" w:type="pct"/>
          <w:tblInd w:w="828" w:type="dxa"/>
          <w:tblLayout w:type="fixed"/>
          <w:tblLook w:val="04A0"/>
        </w:tblPrEx>
        <w:trPr>
          <w:trHeight w:val="600"/>
        </w:trPr>
        <w:tc>
          <w:tcPr>
            <w:tcW w:w="1930" w:type="pct"/>
            <w:shd w:val="clear" w:color="auto" w:fill="auto"/>
            <w:noWrap/>
            <w:vAlign w:val="center"/>
            <w:hideMark/>
          </w:tcPr>
          <w:p w:rsidR="005F56EA" w14:paraId="72B1B8BD" w14:textId="77777777">
            <w:pPr>
              <w:rPr>
                <w:color w:val="000000"/>
                <w:sz w:val="22"/>
                <w:szCs w:val="22"/>
              </w:rPr>
            </w:pPr>
            <w:r>
              <w:rPr>
                <w:color w:val="000000"/>
                <w:sz w:val="22"/>
                <w:szCs w:val="22"/>
              </w:rPr>
              <w:t>Scientific Conference Grant</w:t>
            </w:r>
          </w:p>
        </w:tc>
        <w:tc>
          <w:tcPr>
            <w:tcW w:w="841" w:type="pct"/>
            <w:shd w:val="clear" w:color="auto" w:fill="auto"/>
            <w:noWrap/>
            <w:vAlign w:val="center"/>
            <w:hideMark/>
          </w:tcPr>
          <w:p w:rsidR="005F56EA" w14:paraId="2709241F" w14:textId="77777777">
            <w:pPr>
              <w:jc w:val="center"/>
              <w:rPr>
                <w:color w:val="000000"/>
                <w:sz w:val="22"/>
                <w:szCs w:val="22"/>
              </w:rPr>
            </w:pPr>
            <w:r>
              <w:rPr>
                <w:color w:val="000000"/>
                <w:sz w:val="22"/>
                <w:szCs w:val="22"/>
              </w:rPr>
              <w:t>19</w:t>
            </w:r>
          </w:p>
        </w:tc>
        <w:tc>
          <w:tcPr>
            <w:tcW w:w="2228" w:type="pct"/>
            <w:shd w:val="clear" w:color="auto" w:fill="auto"/>
            <w:vAlign w:val="center"/>
            <w:hideMark/>
          </w:tcPr>
          <w:p w:rsidR="005F56EA" w14:paraId="24BB7DAC" w14:textId="77777777">
            <w:pPr>
              <w:rPr>
                <w:color w:val="000000"/>
              </w:rPr>
            </w:pPr>
            <w:r>
              <w:rPr>
                <w:color w:val="000000"/>
              </w:rPr>
              <w:t>Scientific Conference Program Report</w:t>
            </w:r>
          </w:p>
        </w:tc>
      </w:tr>
    </w:tbl>
    <w:p w:rsidR="005F56EA" w:rsidRPr="005F56EA" w:rsidP="005F56EA" w14:paraId="3870F18F" w14:textId="77777777">
      <w:pPr>
        <w:ind w:left="1080"/>
        <w:rPr>
          <w:sz w:val="20"/>
          <w:szCs w:val="20"/>
        </w:rPr>
      </w:pPr>
      <w:r w:rsidRPr="005F56EA">
        <w:rPr>
          <w:sz w:val="20"/>
          <w:szCs w:val="20"/>
        </w:rPr>
        <w:t xml:space="preserve">* Please note that </w:t>
      </w:r>
      <w:r w:rsidR="0062207D">
        <w:rPr>
          <w:sz w:val="20"/>
          <w:szCs w:val="20"/>
        </w:rPr>
        <w:t>a majority of</w:t>
      </w:r>
      <w:r w:rsidR="0062207D">
        <w:rPr>
          <w:sz w:val="20"/>
          <w:szCs w:val="20"/>
        </w:rPr>
        <w:t xml:space="preserve"> enrollees </w:t>
      </w:r>
      <w:r w:rsidRPr="005F56EA">
        <w:rPr>
          <w:sz w:val="20"/>
          <w:szCs w:val="20"/>
        </w:rPr>
        <w:t>participate in multiple programs</w:t>
      </w:r>
      <w:r w:rsidR="0062207D">
        <w:rPr>
          <w:sz w:val="20"/>
          <w:szCs w:val="20"/>
        </w:rPr>
        <w:t xml:space="preserve"> </w:t>
      </w:r>
      <w:r w:rsidR="00944148">
        <w:rPr>
          <w:sz w:val="20"/>
          <w:szCs w:val="20"/>
        </w:rPr>
        <w:t xml:space="preserve">accounting for a total of 330 responses across all programs from 135 unique entities. </w:t>
      </w:r>
    </w:p>
    <w:p w:rsidR="00E23F96" w:rsidP="005F56EA" w14:paraId="5FEFD11D" w14:textId="77777777">
      <w:pPr>
        <w:ind w:left="1080"/>
      </w:pPr>
    </w:p>
    <w:p w:rsidR="005F56EA" w:rsidP="00125793" w14:paraId="0E364165" w14:textId="77777777">
      <w:pPr>
        <w:ind w:left="720"/>
      </w:pPr>
      <w:r>
        <w:t>Initial d</w:t>
      </w:r>
      <w:r>
        <w:t xml:space="preserve">iscussions and feedback </w:t>
      </w:r>
      <w:r w:rsidR="0062207D">
        <w:t>from potential respondents regarding this pilot indicate ORA may expect</w:t>
      </w:r>
      <w:r w:rsidR="00E23F96">
        <w:t xml:space="preserve"> </w:t>
      </w:r>
      <w:r w:rsidR="00B2739B">
        <w:t>100</w:t>
      </w:r>
      <w:r w:rsidR="0062207D">
        <w:t>% response rate.</w:t>
      </w:r>
      <w:r>
        <w:t xml:space="preserve"> </w:t>
      </w:r>
    </w:p>
    <w:p w:rsidR="00E23F96" w:rsidP="005F56EA" w14:paraId="52777CD5" w14:textId="77777777">
      <w:pPr>
        <w:ind w:left="1080"/>
      </w:pPr>
    </w:p>
    <w:p w:rsidR="00E23F96" w:rsidP="00125793" w14:paraId="4CFCD99C" w14:textId="77777777">
      <w:pPr>
        <w:ind w:left="720"/>
      </w:pPr>
      <w:r>
        <w:t>Feedback from potential respondents and internal stakeholders also indicate</w:t>
      </w:r>
      <w:r w:rsidR="00F62D37">
        <w:t>d</w:t>
      </w:r>
      <w:r>
        <w:t xml:space="preserve"> making this collection available to the entire population of respondents </w:t>
      </w:r>
      <w:r w:rsidR="00457ADA">
        <w:t xml:space="preserve">rather than a smaller subset </w:t>
      </w:r>
      <w:r>
        <w:t xml:space="preserve">is highly desirable as it will greatly reduce the current reporting burden required of project participants as well as the time and effort burden for program assessment for ORA technical staff. More specifically, the ORA has data needs that are not addressed or not in a useable format from currently available approved collections for grant, cooperative agreement, or contract reporting. The </w:t>
      </w:r>
      <w:r w:rsidR="00457ADA">
        <w:t xml:space="preserve">traditional </w:t>
      </w:r>
      <w:r>
        <w:t xml:space="preserve">large pdf narrative based submissions resulting from these </w:t>
      </w:r>
      <w:r w:rsidR="00457ADA">
        <w:t xml:space="preserve">generalized </w:t>
      </w:r>
      <w:r>
        <w:t xml:space="preserve">collections are often unusable by ORA staff charged with evaluating the programs or require numerous </w:t>
      </w:r>
      <w:r>
        <w:t>follow-up</w:t>
      </w:r>
      <w:r>
        <w:t xml:space="preserve"> by both parties to </w:t>
      </w:r>
      <w:r w:rsidR="00457ADA">
        <w:t xml:space="preserve">collect </w:t>
      </w:r>
      <w:r>
        <w:t xml:space="preserve">the information </w:t>
      </w:r>
      <w:r w:rsidR="00457ADA">
        <w:t xml:space="preserve">needed to assess the program </w:t>
      </w:r>
      <w:r>
        <w:t xml:space="preserve">in the format </w:t>
      </w:r>
      <w:r w:rsidR="00457ADA">
        <w:t>necessary for evaluation and programmatic reporting.</w:t>
      </w:r>
    </w:p>
    <w:p w:rsidR="00E70368" w:rsidP="003C03CB" w14:paraId="1B351489" w14:textId="77777777">
      <w:pPr>
        <w:numPr>
          <w:ilvl w:val="0"/>
          <w:numId w:val="2"/>
        </w:numPr>
        <w:spacing w:before="100" w:beforeAutospacing="1" w:after="100" w:afterAutospacing="1"/>
      </w:pPr>
      <w:r w:rsidRPr="00125793">
        <w:rPr>
          <w:u w:val="single"/>
        </w:rPr>
        <w:t>Procedures fo</w:t>
      </w:r>
      <w:r w:rsidRPr="00125793" w:rsidR="004846BF">
        <w:rPr>
          <w:u w:val="single"/>
        </w:rPr>
        <w:t>r the Collection of Information</w:t>
      </w:r>
    </w:p>
    <w:p w:rsidR="005804CE" w:rsidP="00E70368" w14:paraId="5E617D98" w14:textId="77777777">
      <w:pPr>
        <w:ind w:left="720"/>
      </w:pPr>
      <w:r>
        <w:t xml:space="preserve">A list of the forms catalog was provided in Supporting Statement Part A. </w:t>
      </w:r>
    </w:p>
    <w:p w:rsidR="005804CE" w:rsidP="00E70368" w14:paraId="5D1C2867" w14:textId="77777777">
      <w:pPr>
        <w:ind w:left="720"/>
      </w:pPr>
    </w:p>
    <w:p w:rsidR="00E70368" w:rsidP="00E70368" w14:paraId="1C46DEBF" w14:textId="77777777">
      <w:pPr>
        <w:ind w:left="720"/>
      </w:pPr>
      <w:r>
        <w:t>The ORA has chosen to include the entire population listed above for this pilot. The ORA proposes this strategy as</w:t>
      </w:r>
      <w:r w:rsidR="00960ECF">
        <w:t>;</w:t>
      </w:r>
      <w:r>
        <w:t xml:space="preserve"> the population size funded project recipients is relatively small, accessible as enrolled recipients of ORA funding projects, and </w:t>
      </w:r>
      <w:r w:rsidR="00960ECF">
        <w:t>cooperative as the nature of these projects are to facilitate partnerships and cooperative exchanges with State and local governments in protecting public health</w:t>
      </w:r>
      <w:r>
        <w:t xml:space="preserve">. </w:t>
      </w:r>
      <w:r w:rsidR="00960ECF">
        <w:t>By</w:t>
      </w:r>
      <w:r>
        <w:t xml:space="preserve"> including the entire </w:t>
      </w:r>
      <w:r w:rsidR="006B7ABE">
        <w:t>population,</w:t>
      </w:r>
      <w:r>
        <w:t xml:space="preserve"> the ORA </w:t>
      </w:r>
      <w:r w:rsidR="00960ECF">
        <w:t xml:space="preserve">intends </w:t>
      </w:r>
      <w:r>
        <w:t>to maximize the statistical power of our pilot and reduce the risk of failing to detect differences in our response population, should they exist (</w:t>
      </w:r>
      <w:r>
        <w:t>i.e.</w:t>
      </w:r>
      <w:r>
        <w:t xml:space="preserve"> Type II errors).</w:t>
      </w:r>
    </w:p>
    <w:p w:rsidR="00960ECF" w:rsidP="00E70368" w14:paraId="65DC0B5E" w14:textId="77777777">
      <w:pPr>
        <w:ind w:left="720"/>
      </w:pPr>
    </w:p>
    <w:p w:rsidR="000B184C" w:rsidRPr="0062207D" w:rsidP="00125793" w14:paraId="45AD0803" w14:textId="77777777">
      <w:pPr>
        <w:ind w:left="180"/>
      </w:pPr>
      <w:r>
        <w:t xml:space="preserve">The population is estimated using all past and current unique entities that have or are receiving ORA funding for public health projects. </w:t>
      </w:r>
      <w:r>
        <w:t xml:space="preserve">This population </w:t>
      </w:r>
      <w:r>
        <w:t>is considered to be</w:t>
      </w:r>
      <w:r>
        <w:t xml:space="preserve"> relatively static as evidenced by the same entities remaining enrolled in the same ORA funded programs since the initiation of the program. The commodities and production types across the U.S. and its </w:t>
      </w:r>
      <w:r>
        <w:t>territories tend not to change on a regional basis and so the regulatory programs administered by specific State and local governments charged with protecting public health for these products, and subsequently their participation in specific ORA funded public health projects by commodity or product also tends to see little variation.</w:t>
      </w:r>
    </w:p>
    <w:p w:rsidR="000B184C" w:rsidP="000B184C" w14:paraId="1A194664" w14:textId="77777777">
      <w:pPr>
        <w:ind w:left="1080"/>
      </w:pPr>
    </w:p>
    <w:p w:rsidR="006B7ABE" w:rsidP="00125793" w14:paraId="56AE2200" w14:textId="77777777">
      <w:pPr>
        <w:ind w:left="180"/>
      </w:pPr>
      <w:r>
        <w:t xml:space="preserve">The ORA intends to further develop and fine tune reporting instruments </w:t>
      </w:r>
      <w:r>
        <w:t>in an effort to</w:t>
      </w:r>
      <w:r>
        <w:t xml:space="preserve"> achieve standardization where possible while collecting useable data to assess funded programmatic performance including ROI/ROV. </w:t>
      </w:r>
      <w:r w:rsidR="00841D11">
        <w:t>Should a form element be deemed inadequate to achieve programmatic evaluation and reporting needs by assigned ORA program staff that element will be reviewed and revised. In addition, a</w:t>
      </w:r>
      <w:r w:rsidR="000B184C">
        <w:t xml:space="preserve"> threshold of 10% of respondents providing incorrect or unusable data, as determined by ORA technical program evaluators, will trigger a review of the question, data table, or section of the form in question. If the reason for failure is not obvious to the ORA technical reviewers, ORA program staff will seek feedback from respondents as to why they answered the way they did before seeking to revise the form.</w:t>
      </w:r>
    </w:p>
    <w:p w:rsidR="006B7ABE" w:rsidP="006B7ABE" w14:paraId="715B3243" w14:textId="77777777">
      <w:pPr>
        <w:ind w:left="720"/>
      </w:pPr>
    </w:p>
    <w:p w:rsidR="00841D11" w:rsidP="00125793" w14:paraId="52A4337E" w14:textId="77777777">
      <w:pPr>
        <w:ind w:left="180"/>
      </w:pPr>
      <w:r>
        <w:t>Respondents will be asked to submit the data using a designated ORA email account</w:t>
      </w:r>
      <w:r w:rsidR="008C45AE">
        <w:t xml:space="preserve"> or designated </w:t>
      </w:r>
      <w:r w:rsidR="008C45AE">
        <w:t>webportal</w:t>
      </w:r>
      <w:r>
        <w:t xml:space="preserve"> for processing by </w:t>
      </w:r>
      <w:r w:rsidR="008C45AE">
        <w:t xml:space="preserve">the </w:t>
      </w:r>
      <w:r>
        <w:t>reporting deadline (2-4 times per year). Once a reporting deadline has passed</w:t>
      </w:r>
      <w:r w:rsidR="008C45AE">
        <w:t>,</w:t>
      </w:r>
      <w:r>
        <w:t xml:space="preserve"> ORA will aggregate the report data into a filterable report for ORA technical evaluators. The technical evaluators, by program, include both subject matter experts in the public health risks targeted by that program and ORA program evaluators responsible for justifying and reporting on public health ROI/ROV metrics for ORA</w:t>
      </w:r>
      <w:r w:rsidR="00B9056D">
        <w:t xml:space="preserve"> funded projects</w:t>
      </w:r>
      <w:r>
        <w:t xml:space="preserve">. </w:t>
      </w:r>
    </w:p>
    <w:p w:rsidR="00B9056D" w:rsidP="00B9056D" w14:paraId="00584C0F" w14:textId="77777777">
      <w:pPr>
        <w:ind w:left="1080"/>
      </w:pPr>
    </w:p>
    <w:p w:rsidR="00B9056D" w:rsidP="00B9056D" w14:paraId="566A8269" w14:textId="77777777">
      <w:pPr>
        <w:ind w:firstLine="720"/>
      </w:pPr>
      <w:r>
        <w:t>Proposed email correspondence regarding pilot:</w:t>
      </w:r>
    </w:p>
    <w:p w:rsidR="00B9056D" w:rsidP="00B9056D" w14:paraId="4F19E15E" w14:textId="77777777">
      <w:pPr>
        <w:ind w:left="1080"/>
      </w:pPr>
    </w:p>
    <w:p w:rsidR="00B9056D" w:rsidP="00B9056D" w14:paraId="2EE7B89A" w14:textId="77777777">
      <w:pPr>
        <w:ind w:firstLine="720"/>
        <w:rPr>
          <w:sz w:val="22"/>
          <w:szCs w:val="22"/>
        </w:rPr>
      </w:pPr>
      <w:r>
        <w:t>Dear [insert program name] participants:</w:t>
      </w:r>
    </w:p>
    <w:p w:rsidR="00B9056D" w:rsidP="00B9056D" w14:paraId="0AA1C38A" w14:textId="77777777"/>
    <w:p w:rsidR="00B9056D" w:rsidP="00125793" w14:paraId="7AD74591" w14:textId="77777777">
      <w:pPr>
        <w:ind w:left="810"/>
      </w:pPr>
      <w:r>
        <w:t xml:space="preserve">This email is a friendly reminder that the [insert report requirement(s)] is due [insert date]. This reporting is a program requirement within the </w:t>
      </w:r>
      <w:r w:rsidRPr="00B9056D">
        <w:t>Funding Opportunity Announcement</w:t>
      </w:r>
      <w:r>
        <w:t xml:space="preserve"> [insert specific FOA reference or hyperlink].</w:t>
      </w:r>
    </w:p>
    <w:p w:rsidR="00B9056D" w:rsidP="00B9056D" w14:paraId="2F94D3F9" w14:textId="77777777">
      <w:pPr>
        <w:ind w:left="720"/>
      </w:pPr>
    </w:p>
    <w:p w:rsidR="00B9056D" w:rsidP="00B9056D" w14:paraId="7B94BA84" w14:textId="77777777">
      <w:pPr>
        <w:ind w:left="720"/>
      </w:pPr>
      <w:r>
        <w:t xml:space="preserve">The ORA Office of Partnerships (OP) is developing a template form that includes all requested fields to make it easier on program participants to structure, maintain, and submit their reports. Use of the template(s) is one way to meet this program reporting requirement. OP has submitted copies of the template(s), as well as other templates provided within the program, as part of an Office of Management and Budget (OMB) Paperwork Reduction Act (PRA) pilot program. </w:t>
      </w:r>
      <w:r w:rsidR="008C45AE">
        <w:t>At this time, u</w:t>
      </w:r>
      <w:r>
        <w:t xml:space="preserve">se of templates provided by the OP is encouraged and voluntary, and is separate from program recipient’s official responsibilities in submitting the RPPR and other reporting required </w:t>
      </w:r>
      <w:r w:rsidR="008C45AE">
        <w:t xml:space="preserve">as described </w:t>
      </w:r>
      <w:r>
        <w:t>in the Notice of Award.</w:t>
      </w:r>
    </w:p>
    <w:p w:rsidR="00B9056D" w:rsidP="00B9056D" w14:paraId="13C44999" w14:textId="77777777">
      <w:pPr>
        <w:ind w:left="720"/>
      </w:pPr>
      <w:r>
        <w:t xml:space="preserve">If you choose to use the template, you may submit it via </w:t>
      </w:r>
      <w:r w:rsidR="008C45AE">
        <w:t>[insert designated submission route]</w:t>
      </w:r>
      <w:r>
        <w:t xml:space="preserve">. </w:t>
      </w:r>
    </w:p>
    <w:p w:rsidR="008C45AE" w:rsidP="00B9056D" w14:paraId="6C483EEE" w14:textId="77777777">
      <w:pPr>
        <w:ind w:left="720"/>
      </w:pPr>
    </w:p>
    <w:p w:rsidR="00B9056D" w:rsidP="00B9056D" w14:paraId="2AA33430" w14:textId="77777777">
      <w:pPr>
        <w:ind w:left="720"/>
      </w:pPr>
      <w:r>
        <w:t xml:space="preserve">As </w:t>
      </w:r>
      <w:r w:rsidR="008C45AE">
        <w:t>this</w:t>
      </w:r>
      <w:r>
        <w:t xml:space="preserve"> report </w:t>
      </w:r>
      <w:r w:rsidR="008C45AE">
        <w:t>is</w:t>
      </w:r>
      <w:r>
        <w:t xml:space="preserve"> a requirement of the award and use of templates cannot be considered an official reporting mechanism </w:t>
      </w:r>
      <w:r w:rsidR="008C45AE">
        <w:t>at this time</w:t>
      </w:r>
      <w:r>
        <w:t xml:space="preserve">, you will receive a second email from OM or OAGS requesting your report so it can be added to your official grant file. We apologize </w:t>
      </w:r>
      <w:r>
        <w:t>for any redundancy and inconvenience during this time and appreciate your understanding and patience.</w:t>
      </w:r>
    </w:p>
    <w:p w:rsidR="00B9056D" w:rsidP="00B9056D" w14:paraId="5215D580" w14:textId="77777777">
      <w:pPr>
        <w:ind w:left="720"/>
      </w:pPr>
    </w:p>
    <w:p w:rsidR="00B9056D" w:rsidP="00B9056D" w14:paraId="2AAC74F4" w14:textId="77777777">
      <w:pPr>
        <w:ind w:left="720"/>
      </w:pPr>
      <w:r>
        <w:t>Please feel free to reach out to your Project Manager and Program Official with any questions.  </w:t>
      </w:r>
    </w:p>
    <w:p w:rsidR="00B9056D" w:rsidP="00B9056D" w14:paraId="350F8C3C" w14:textId="77777777">
      <w:pPr>
        <w:ind w:left="1080"/>
      </w:pPr>
    </w:p>
    <w:p w:rsidR="008C45AE" w:rsidP="00125793" w14:paraId="30839A3D" w14:textId="77777777">
      <w:pPr>
        <w:ind w:left="720"/>
      </w:pPr>
      <w:r>
        <w:t>Data will be aggregated into an easily filtered and sorted excel report for each reporting deadline for program reviewers, allowing them to quickly review responses by form element for all submissions. They will be asked to report any form elements that failed to provide useable data for their evaluation for 10% or more respondents by program. If a review of the form element does not reveal an obvious error in form design the ORA program staff will seek feedback from the respondents</w:t>
      </w:r>
      <w:r w:rsidR="000A7132">
        <w:t xml:space="preserve"> who answered incorrectly.</w:t>
      </w:r>
    </w:p>
    <w:p w:rsidR="008C45AE" w:rsidP="008C45AE" w14:paraId="43C0D1BA" w14:textId="77777777">
      <w:pPr>
        <w:ind w:left="1080"/>
      </w:pPr>
    </w:p>
    <w:p w:rsidR="008C45AE" w:rsidP="008C45AE" w14:paraId="573AB5EB" w14:textId="77777777">
      <w:pPr>
        <w:ind w:left="1080"/>
      </w:pPr>
      <w:r>
        <w:t>Proposed email for seeking feedback</w:t>
      </w:r>
      <w:r w:rsidR="000A7132">
        <w:t>:</w:t>
      </w:r>
    </w:p>
    <w:p w:rsidR="000A7132" w:rsidP="008C45AE" w14:paraId="0261E10D" w14:textId="77777777">
      <w:pPr>
        <w:ind w:left="1080"/>
      </w:pPr>
    </w:p>
    <w:p w:rsidR="000A7132" w:rsidP="008C45AE" w14:paraId="000359B0" w14:textId="77777777">
      <w:pPr>
        <w:ind w:left="1080"/>
      </w:pPr>
      <w:r>
        <w:t xml:space="preserve">Hello, </w:t>
      </w:r>
    </w:p>
    <w:p w:rsidR="000A7132" w:rsidP="008C45AE" w14:paraId="1B945DA1" w14:textId="77777777">
      <w:pPr>
        <w:ind w:left="1080"/>
      </w:pPr>
      <w:r>
        <w:t xml:space="preserve">You recently submitted a report for your participation in the [insert funded program name] using a template we are developing for this program. </w:t>
      </w:r>
    </w:p>
    <w:p w:rsidR="000A7132" w:rsidP="008C45AE" w14:paraId="25D8A5CD" w14:textId="77777777">
      <w:pPr>
        <w:ind w:left="1080"/>
      </w:pPr>
    </w:p>
    <w:p w:rsidR="000A7132" w:rsidP="008C45AE" w14:paraId="035D7B00" w14:textId="77777777">
      <w:pPr>
        <w:ind w:left="1080"/>
      </w:pPr>
      <w:r>
        <w:t xml:space="preserve">Thank you for participating in our pilot, your submission is most helpful to us in evaluating </w:t>
      </w:r>
      <w:r w:rsidR="00B2739B">
        <w:t xml:space="preserve">and improving </w:t>
      </w:r>
      <w:r>
        <w:t xml:space="preserve">the form design for clarity and ease of use by participants </w:t>
      </w:r>
      <w:r w:rsidR="00B2739B">
        <w:t>for</w:t>
      </w:r>
      <w:r>
        <w:t xml:space="preserve"> our funded programs.</w:t>
      </w:r>
    </w:p>
    <w:p w:rsidR="000A7132" w:rsidP="008C45AE" w14:paraId="34445417" w14:textId="77777777">
      <w:pPr>
        <w:ind w:left="1080"/>
      </w:pPr>
    </w:p>
    <w:p w:rsidR="000A7132" w:rsidP="008C45AE" w14:paraId="3C5ACCD3" w14:textId="77777777">
      <w:pPr>
        <w:ind w:left="1080"/>
      </w:pPr>
      <w:r>
        <w:t>We have identified a form element [insert tab, section and question or data table name] that was unable to achieve our purpose for data collection and would like your feedback regarding your submission for that element. Would you please let us know if we may contact you via phone or email for more information on how we could improve this form?</w:t>
      </w:r>
    </w:p>
    <w:p w:rsidR="000A7132" w:rsidP="008C45AE" w14:paraId="027085A9" w14:textId="77777777">
      <w:pPr>
        <w:ind w:left="1080"/>
      </w:pPr>
    </w:p>
    <w:p w:rsidR="000A7132" w:rsidP="008C45AE" w14:paraId="31C4510E" w14:textId="77777777">
      <w:pPr>
        <w:ind w:left="1080"/>
      </w:pPr>
      <w:r>
        <w:t>Thank you,</w:t>
      </w:r>
    </w:p>
    <w:p w:rsidR="000A7132" w:rsidP="008C45AE" w14:paraId="53664374" w14:textId="77777777">
      <w:pPr>
        <w:ind w:left="1080"/>
      </w:pPr>
      <w:r>
        <w:t>[insert Program Manager]</w:t>
      </w:r>
    </w:p>
    <w:p w:rsidR="000A7132" w:rsidP="008C45AE" w14:paraId="1536A0EB" w14:textId="77777777">
      <w:pPr>
        <w:ind w:left="1080"/>
      </w:pPr>
    </w:p>
    <w:p w:rsidR="000A7132" w:rsidP="008C45AE" w14:paraId="6BC820CC" w14:textId="77777777">
      <w:pPr>
        <w:ind w:left="1080"/>
      </w:pPr>
      <w:r>
        <w:t>ORA expects the additional burden for each respondent contacted for a follow-up to not exceed 30 minutes per contact.</w:t>
      </w:r>
    </w:p>
    <w:p w:rsidR="008C45AE" w:rsidP="008C45AE" w14:paraId="779F329C" w14:textId="77777777">
      <w:pPr>
        <w:ind w:left="1080"/>
      </w:pPr>
    </w:p>
    <w:p w:rsidR="00B2739B" w:rsidP="00B2739B" w14:paraId="3165784B" w14:textId="77777777">
      <w:pPr>
        <w:ind w:left="1080"/>
      </w:pPr>
      <w:r>
        <w:t>ORA expects to achieve a 100% response rate</w:t>
      </w:r>
      <w:r w:rsidR="005804CE">
        <w:t xml:space="preserve"> and therefore does not for</w:t>
      </w:r>
      <w:r w:rsidR="00944148">
        <w:t>e</w:t>
      </w:r>
      <w:r w:rsidR="005804CE">
        <w:t>see handling of non-response data</w:t>
      </w:r>
      <w:r>
        <w:t xml:space="preserve">. </w:t>
      </w:r>
    </w:p>
    <w:p w:rsidR="00B2739B" w:rsidP="00B2739B" w14:paraId="1CC4A532" w14:textId="77777777">
      <w:pPr>
        <w:ind w:left="1080"/>
      </w:pPr>
    </w:p>
    <w:p w:rsidR="004C6979" w:rsidRPr="00E00EA0" w:rsidP="00EB7538" w14:paraId="3F0241BC" w14:textId="77777777">
      <w:pPr>
        <w:numPr>
          <w:ilvl w:val="0"/>
          <w:numId w:val="2"/>
        </w:numPr>
        <w:spacing w:before="100" w:beforeAutospacing="1" w:after="100" w:afterAutospacing="1"/>
        <w:rPr>
          <w:u w:val="single"/>
        </w:rPr>
      </w:pPr>
      <w:r w:rsidRPr="00E00EA0">
        <w:rPr>
          <w:u w:val="single"/>
        </w:rPr>
        <w:t xml:space="preserve">Methods to Maximize Response </w:t>
      </w:r>
      <w:r w:rsidRPr="00E00EA0" w:rsidR="004846BF">
        <w:rPr>
          <w:u w:val="single"/>
        </w:rPr>
        <w:t>Rates and Deal with Non</w:t>
      </w:r>
      <w:r w:rsidR="00E00EA0">
        <w:rPr>
          <w:u w:val="single"/>
        </w:rPr>
        <w:t>-</w:t>
      </w:r>
      <w:r w:rsidRPr="00E00EA0" w:rsidR="004846BF">
        <w:rPr>
          <w:u w:val="single"/>
        </w:rPr>
        <w:t>response</w:t>
      </w:r>
    </w:p>
    <w:p w:rsidR="00B2739B" w:rsidP="0012329C" w14:paraId="54A0A994" w14:textId="77777777">
      <w:pPr>
        <w:pStyle w:val="BodyTextIndent2"/>
        <w:spacing w:after="0" w:line="240" w:lineRule="auto"/>
        <w:ind w:left="720"/>
      </w:pPr>
      <w:r>
        <w:t xml:space="preserve">Templates will be introduced via email and technical calls with award recipients. As ORA funded programs are generally cooperative in nature, and feedback regarding historical reporting methods indicates form templates would be welcomed, we do not expect non-response. </w:t>
      </w:r>
    </w:p>
    <w:p w:rsidR="00B2739B" w:rsidP="0012329C" w14:paraId="32967C44" w14:textId="77777777">
      <w:pPr>
        <w:pStyle w:val="BodyTextIndent2"/>
        <w:spacing w:after="0" w:line="240" w:lineRule="auto"/>
        <w:ind w:left="720"/>
      </w:pPr>
    </w:p>
    <w:p w:rsidR="00D44924" w:rsidP="00D44924" w14:paraId="522A0CF3" w14:textId="77777777">
      <w:pPr>
        <w:ind w:left="1080"/>
      </w:pPr>
      <w:r>
        <w:t xml:space="preserve">ORA intends to obtain the most accurate results possible by including the entire recipient population </w:t>
      </w:r>
      <w:r>
        <w:t>in the pilot. By doing so we expect to achieve a stable estimate for the utility of the collection and maximize the statistical power of our pilot.</w:t>
      </w:r>
    </w:p>
    <w:p w:rsidR="00B2739B" w:rsidP="00B2739B" w14:paraId="323FB4B9" w14:textId="77777777">
      <w:pPr>
        <w:pStyle w:val="BodyTextIndent2"/>
        <w:spacing w:after="0" w:line="240" w:lineRule="auto"/>
        <w:ind w:left="720"/>
      </w:pPr>
    </w:p>
    <w:p w:rsidR="00D44924" w:rsidP="00125793" w14:paraId="5104ED01" w14:textId="77777777">
      <w:pPr>
        <w:pStyle w:val="BodyTextIndent2"/>
        <w:spacing w:after="0" w:line="240" w:lineRule="auto"/>
        <w:ind w:left="720"/>
      </w:pPr>
      <w:r>
        <w:t>Should program participants choose not to use the templates under the pilot and follow-up call will be made by the project manager to determine why and, if applicable, (e.g.</w:t>
      </w:r>
      <w:r w:rsidR="005804CE">
        <w:t>,</w:t>
      </w:r>
      <w:r>
        <w:t xml:space="preserve"> the participant was unaware of the pilot template) encourage them to submit. As ORA awards are cooperative in nature, our program managers often need to extend reporting deadlines to accommodate an individual award recipient’s submission and that courtesy would be applied for pilot template submissions as needed.</w:t>
      </w:r>
    </w:p>
    <w:p w:rsidR="004C6979" w:rsidRPr="00E00EA0" w:rsidP="00EB7538" w14:paraId="45052A5C" w14:textId="77777777">
      <w:pPr>
        <w:numPr>
          <w:ilvl w:val="0"/>
          <w:numId w:val="2"/>
        </w:numPr>
        <w:spacing w:before="100" w:beforeAutospacing="1" w:after="100" w:afterAutospacing="1"/>
        <w:rPr>
          <w:u w:val="single"/>
        </w:rPr>
      </w:pPr>
      <w:r w:rsidRPr="00E00EA0">
        <w:rPr>
          <w:u w:val="single"/>
        </w:rPr>
        <w:t>Test of Procedu</w:t>
      </w:r>
      <w:r w:rsidRPr="00E00EA0" w:rsidR="004846BF">
        <w:rPr>
          <w:u w:val="single"/>
        </w:rPr>
        <w:t>res or Methods to be Undertaken</w:t>
      </w:r>
    </w:p>
    <w:p w:rsidR="00F62D37" w:rsidP="00125793" w14:paraId="7236F3F2" w14:textId="77777777">
      <w:pPr>
        <w:ind w:left="720"/>
      </w:pPr>
      <w:r>
        <w:t xml:space="preserve">ORA believes the pilot as submitted will achieve a great reduction in the burden for both ORA funded project recipients and ORA program staff charged with program evaluation. Data quality will also be improved for the recipients by providing targeted instruments with meaningful metrics specific to the funded project to document their program’s success. In addition, the ORA program </w:t>
      </w:r>
      <w:r>
        <w:t>staff</w:t>
      </w:r>
      <w:r>
        <w:t xml:space="preserve"> by providing useable data for their program evaluation and justify ORA’s funding decisions to proactively manage public health risks. A better solution for the ORA’s funded projects ha</w:t>
      </w:r>
      <w:r w:rsidR="00FD1C5E">
        <w:t>s</w:t>
      </w:r>
      <w:r>
        <w:t xml:space="preserve"> been needed for some time</w:t>
      </w:r>
      <w:r w:rsidR="00FD1C5E">
        <w:t>, as may be evident from receiving no public comments during the PRA 60-day and 30-day notice periods.</w:t>
      </w:r>
    </w:p>
    <w:p w:rsidR="002746DB" w:rsidRPr="00E00EA0" w:rsidP="004846BF" w14:paraId="413973AA" w14:textId="77777777">
      <w:pPr>
        <w:numPr>
          <w:ilvl w:val="0"/>
          <w:numId w:val="2"/>
        </w:numPr>
        <w:spacing w:before="100" w:beforeAutospacing="1" w:after="100" w:afterAutospacing="1"/>
        <w:rPr>
          <w:u w:val="single"/>
        </w:rPr>
      </w:pPr>
      <w:r w:rsidRPr="00E00EA0">
        <w:rPr>
          <w:u w:val="single"/>
        </w:rPr>
        <w:t>Individuals Consulted on Statistical Aspects and Individuals Collecting and/or Analyzing Data</w:t>
      </w:r>
    </w:p>
    <w:p w:rsidR="002746DB" w:rsidP="002D4799" w14:paraId="54171833" w14:textId="77777777">
      <w:pPr>
        <w:ind w:left="720"/>
      </w:pPr>
      <w:r>
        <w:t xml:space="preserve">Provide the name and telephone number of individuals consulted on statistical aspects of the design.  Include the name of the FDA unit, contractor(s), grantee(s), or other person(s) who will </w:t>
      </w:r>
      <w:r>
        <w:t>actually collect</w:t>
      </w:r>
      <w:r>
        <w:t xml:space="preserve"> and/or analyze the information for the agency. </w:t>
      </w:r>
    </w:p>
    <w:p w:rsidR="00FD1C5E" w:rsidP="002D4799" w14:paraId="15083565" w14:textId="77777777">
      <w:pPr>
        <w:ind w:left="720"/>
      </w:pPr>
    </w:p>
    <w:p w:rsidR="00FD1C5E" w:rsidRPr="00125793" w:rsidP="002D4799" w14:paraId="76F52780" w14:textId="77777777">
      <w:pPr>
        <w:ind w:left="720"/>
        <w:rPr>
          <w:bCs/>
        </w:rPr>
      </w:pPr>
      <w:r w:rsidRPr="00125793">
        <w:rPr>
          <w:bCs/>
        </w:rPr>
        <w:t>The ORA Office of Partnerships will collect and analyze the information for this pilot.</w:t>
      </w:r>
    </w:p>
    <w:sectPr w:rsidSect="00EB7538">
      <w:footerReference w:type="even" r:id="rId4"/>
      <w:footerReference w:type="default" r:id="rId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034248C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20ED96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5DBA6AB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39C7BD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926DD0"/>
    <w:multiLevelType w:val="hybridMultilevel"/>
    <w:tmpl w:val="473049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60E004A"/>
    <w:multiLevelType w:val="hybridMultilevel"/>
    <w:tmpl w:val="78E44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D9D7543"/>
    <w:multiLevelType w:val="hybridMultilevel"/>
    <w:tmpl w:val="C9F68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0">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0272BC2"/>
    <w:multiLevelType w:val="hybridMultilevel"/>
    <w:tmpl w:val="9B1C2E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545632BB"/>
    <w:multiLevelType w:val="hybridMultilevel"/>
    <w:tmpl w:val="006C6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D3632B9"/>
    <w:multiLevelType w:val="hybridMultilevel"/>
    <w:tmpl w:val="4552E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5012B74"/>
    <w:multiLevelType w:val="hybridMultilevel"/>
    <w:tmpl w:val="56DCAA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3">
    <w:nsid w:val="6E0202CD"/>
    <w:multiLevelType w:val="hybridMultilevel"/>
    <w:tmpl w:val="47528F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48555CD"/>
    <w:multiLevelType w:val="hybridMultilevel"/>
    <w:tmpl w:val="D14AB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8"/>
  </w:num>
  <w:num w:numId="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abstractNumId w:val="24"/>
  </w:num>
  <w:num w:numId="5">
    <w:abstractNumId w:val="8"/>
  </w:num>
  <w:num w:numId="6">
    <w:abstractNumId w:val="27"/>
  </w:num>
  <w:num w:numId="7">
    <w:abstractNumId w:val="35"/>
  </w:num>
  <w:num w:numId="8">
    <w:abstractNumId w:val="5"/>
  </w:num>
  <w:num w:numId="9">
    <w:abstractNumId w:val="28"/>
  </w:num>
  <w:num w:numId="10">
    <w:abstractNumId w:val="23"/>
  </w:num>
  <w:num w:numId="11">
    <w:abstractNumId w:val="10"/>
  </w:num>
  <w:num w:numId="12">
    <w:abstractNumId w:val="39"/>
  </w:num>
  <w:num w:numId="13">
    <w:abstractNumId w:val="21"/>
  </w:num>
  <w:num w:numId="14">
    <w:abstractNumId w:val="9"/>
  </w:num>
  <w:num w:numId="15">
    <w:abstractNumId w:val="17"/>
  </w:num>
  <w:num w:numId="16">
    <w:abstractNumId w:val="16"/>
  </w:num>
  <w:num w:numId="17">
    <w:abstractNumId w:val="34"/>
  </w:num>
  <w:num w:numId="18">
    <w:abstractNumId w:val="38"/>
  </w:num>
  <w:num w:numId="19">
    <w:abstractNumId w:val="36"/>
  </w:num>
  <w:num w:numId="20">
    <w:abstractNumId w:val="20"/>
  </w:num>
  <w:num w:numId="21">
    <w:abstractNumId w:val="15"/>
  </w:num>
  <w:num w:numId="22">
    <w:abstractNumId w:val="4"/>
  </w:num>
  <w:num w:numId="23">
    <w:abstractNumId w:val="31"/>
  </w:num>
  <w:num w:numId="24">
    <w:abstractNumId w:val="25"/>
  </w:num>
  <w:num w:numId="25">
    <w:abstractNumId w:val="13"/>
  </w:num>
  <w:num w:numId="26">
    <w:abstractNumId w:val="7"/>
  </w:num>
  <w:num w:numId="27">
    <w:abstractNumId w:val="40"/>
  </w:num>
  <w:num w:numId="28">
    <w:abstractNumId w:val="32"/>
  </w:num>
  <w:num w:numId="29">
    <w:abstractNumId w:val="6"/>
  </w:num>
  <w:num w:numId="30">
    <w:abstractNumId w:val="19"/>
  </w:num>
  <w:num w:numId="31">
    <w:abstractNumId w:val="3"/>
  </w:num>
  <w:num w:numId="32">
    <w:abstractNumId w:val="1"/>
  </w:num>
  <w:num w:numId="33">
    <w:abstractNumId w:val="22"/>
  </w:num>
  <w:num w:numId="34">
    <w:abstractNumId w:val="37"/>
  </w:num>
  <w:num w:numId="35">
    <w:abstractNumId w:val="14"/>
  </w:num>
  <w:num w:numId="36">
    <w:abstractNumId w:val="29"/>
  </w:num>
  <w:num w:numId="37">
    <w:abstractNumId w:val="11"/>
  </w:num>
  <w:num w:numId="38">
    <w:abstractNumId w:val="26"/>
  </w:num>
  <w:num w:numId="39">
    <w:abstractNumId w:val="30"/>
  </w:num>
  <w:num w:numId="40">
    <w:abstractNumId w:val="2"/>
  </w:num>
  <w:num w:numId="41">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8"/>
    <w:rsid w:val="00012A93"/>
    <w:rsid w:val="00016B75"/>
    <w:rsid w:val="00031A2C"/>
    <w:rsid w:val="00043C7F"/>
    <w:rsid w:val="0006570F"/>
    <w:rsid w:val="00075DE8"/>
    <w:rsid w:val="000A7132"/>
    <w:rsid w:val="000B184C"/>
    <w:rsid w:val="000C560C"/>
    <w:rsid w:val="000D48FD"/>
    <w:rsid w:val="000D5B03"/>
    <w:rsid w:val="000E1C64"/>
    <w:rsid w:val="000F7119"/>
    <w:rsid w:val="00100739"/>
    <w:rsid w:val="00107885"/>
    <w:rsid w:val="00114FC4"/>
    <w:rsid w:val="0012329C"/>
    <w:rsid w:val="00125793"/>
    <w:rsid w:val="00134FA7"/>
    <w:rsid w:val="00137950"/>
    <w:rsid w:val="00152F29"/>
    <w:rsid w:val="00174D54"/>
    <w:rsid w:val="00185270"/>
    <w:rsid w:val="0018739D"/>
    <w:rsid w:val="001A3B5A"/>
    <w:rsid w:val="001B7CE9"/>
    <w:rsid w:val="001D495A"/>
    <w:rsid w:val="001E244C"/>
    <w:rsid w:val="001F1437"/>
    <w:rsid w:val="00225942"/>
    <w:rsid w:val="002259EF"/>
    <w:rsid w:val="00242ED1"/>
    <w:rsid w:val="002444BB"/>
    <w:rsid w:val="00254069"/>
    <w:rsid w:val="00270548"/>
    <w:rsid w:val="00270748"/>
    <w:rsid w:val="002734E5"/>
    <w:rsid w:val="002746DB"/>
    <w:rsid w:val="00277294"/>
    <w:rsid w:val="0027738C"/>
    <w:rsid w:val="00280CAF"/>
    <w:rsid w:val="00282F09"/>
    <w:rsid w:val="00285E7B"/>
    <w:rsid w:val="00291810"/>
    <w:rsid w:val="00294D62"/>
    <w:rsid w:val="00297532"/>
    <w:rsid w:val="00297FFD"/>
    <w:rsid w:val="002A1210"/>
    <w:rsid w:val="002A302D"/>
    <w:rsid w:val="002B2074"/>
    <w:rsid w:val="002D14D8"/>
    <w:rsid w:val="002D4799"/>
    <w:rsid w:val="002E04F2"/>
    <w:rsid w:val="002E3FA4"/>
    <w:rsid w:val="002E53A5"/>
    <w:rsid w:val="003113FF"/>
    <w:rsid w:val="00316340"/>
    <w:rsid w:val="0032277F"/>
    <w:rsid w:val="0033608F"/>
    <w:rsid w:val="00350523"/>
    <w:rsid w:val="0035189D"/>
    <w:rsid w:val="003740BC"/>
    <w:rsid w:val="003801A3"/>
    <w:rsid w:val="00383D90"/>
    <w:rsid w:val="003A1A27"/>
    <w:rsid w:val="003A50CC"/>
    <w:rsid w:val="003B42B3"/>
    <w:rsid w:val="003B6384"/>
    <w:rsid w:val="003C03CB"/>
    <w:rsid w:val="003C4EBB"/>
    <w:rsid w:val="003D1531"/>
    <w:rsid w:val="003E4EC6"/>
    <w:rsid w:val="003E527E"/>
    <w:rsid w:val="003E553E"/>
    <w:rsid w:val="003E7078"/>
    <w:rsid w:val="003F3DF5"/>
    <w:rsid w:val="00411C53"/>
    <w:rsid w:val="00411D11"/>
    <w:rsid w:val="00415E23"/>
    <w:rsid w:val="0041670D"/>
    <w:rsid w:val="00424061"/>
    <w:rsid w:val="00442A3C"/>
    <w:rsid w:val="00443969"/>
    <w:rsid w:val="00447D74"/>
    <w:rsid w:val="00450A74"/>
    <w:rsid w:val="004546BF"/>
    <w:rsid w:val="00457ADA"/>
    <w:rsid w:val="00465350"/>
    <w:rsid w:val="004846BF"/>
    <w:rsid w:val="004B4429"/>
    <w:rsid w:val="004C6979"/>
    <w:rsid w:val="004D13A2"/>
    <w:rsid w:val="004D3E7A"/>
    <w:rsid w:val="004F594B"/>
    <w:rsid w:val="004F61E1"/>
    <w:rsid w:val="00513BF8"/>
    <w:rsid w:val="0052284D"/>
    <w:rsid w:val="00544138"/>
    <w:rsid w:val="005537E4"/>
    <w:rsid w:val="005627F8"/>
    <w:rsid w:val="005804CE"/>
    <w:rsid w:val="00584583"/>
    <w:rsid w:val="00590EEB"/>
    <w:rsid w:val="005A1238"/>
    <w:rsid w:val="005A4099"/>
    <w:rsid w:val="005C38B2"/>
    <w:rsid w:val="005C5029"/>
    <w:rsid w:val="005C55C2"/>
    <w:rsid w:val="005C745C"/>
    <w:rsid w:val="005D4DF5"/>
    <w:rsid w:val="005F56EA"/>
    <w:rsid w:val="00610F09"/>
    <w:rsid w:val="00611D6B"/>
    <w:rsid w:val="0062207D"/>
    <w:rsid w:val="006326EC"/>
    <w:rsid w:val="006438AF"/>
    <w:rsid w:val="00663A42"/>
    <w:rsid w:val="006641C7"/>
    <w:rsid w:val="00670BE2"/>
    <w:rsid w:val="00671FF7"/>
    <w:rsid w:val="006A26C6"/>
    <w:rsid w:val="006A7D5D"/>
    <w:rsid w:val="006B7ABE"/>
    <w:rsid w:val="006D5D57"/>
    <w:rsid w:val="006E475B"/>
    <w:rsid w:val="006F4D6D"/>
    <w:rsid w:val="007043A4"/>
    <w:rsid w:val="00705086"/>
    <w:rsid w:val="00751E66"/>
    <w:rsid w:val="00754497"/>
    <w:rsid w:val="00787C39"/>
    <w:rsid w:val="00795DF3"/>
    <w:rsid w:val="007A373C"/>
    <w:rsid w:val="007B225C"/>
    <w:rsid w:val="007C75B1"/>
    <w:rsid w:val="007D3DFC"/>
    <w:rsid w:val="007E2F07"/>
    <w:rsid w:val="0080776D"/>
    <w:rsid w:val="00810145"/>
    <w:rsid w:val="008108FA"/>
    <w:rsid w:val="00810FF1"/>
    <w:rsid w:val="00814D0D"/>
    <w:rsid w:val="00817384"/>
    <w:rsid w:val="00822336"/>
    <w:rsid w:val="00823DFA"/>
    <w:rsid w:val="00825FFC"/>
    <w:rsid w:val="00841D11"/>
    <w:rsid w:val="00843752"/>
    <w:rsid w:val="0084479F"/>
    <w:rsid w:val="0085725E"/>
    <w:rsid w:val="00885B09"/>
    <w:rsid w:val="00892400"/>
    <w:rsid w:val="008A209D"/>
    <w:rsid w:val="008A22BB"/>
    <w:rsid w:val="008B0E29"/>
    <w:rsid w:val="008B0EFA"/>
    <w:rsid w:val="008B30AB"/>
    <w:rsid w:val="008C45AE"/>
    <w:rsid w:val="008E5F55"/>
    <w:rsid w:val="00905DEF"/>
    <w:rsid w:val="00913B43"/>
    <w:rsid w:val="00930203"/>
    <w:rsid w:val="009311D2"/>
    <w:rsid w:val="009311E6"/>
    <w:rsid w:val="00931275"/>
    <w:rsid w:val="00936AC7"/>
    <w:rsid w:val="00944148"/>
    <w:rsid w:val="00953B64"/>
    <w:rsid w:val="00960ECF"/>
    <w:rsid w:val="00970A88"/>
    <w:rsid w:val="009A1674"/>
    <w:rsid w:val="009C684F"/>
    <w:rsid w:val="009D0400"/>
    <w:rsid w:val="009D074C"/>
    <w:rsid w:val="009D4D0E"/>
    <w:rsid w:val="009F1F1D"/>
    <w:rsid w:val="009F2B4F"/>
    <w:rsid w:val="009F3C63"/>
    <w:rsid w:val="009F66B5"/>
    <w:rsid w:val="00A16221"/>
    <w:rsid w:val="00A20A7D"/>
    <w:rsid w:val="00A35D42"/>
    <w:rsid w:val="00A40A1A"/>
    <w:rsid w:val="00A46CCF"/>
    <w:rsid w:val="00A53451"/>
    <w:rsid w:val="00A70426"/>
    <w:rsid w:val="00A91E9A"/>
    <w:rsid w:val="00A93ED9"/>
    <w:rsid w:val="00A96221"/>
    <w:rsid w:val="00A972F9"/>
    <w:rsid w:val="00AC6A99"/>
    <w:rsid w:val="00AE0D2E"/>
    <w:rsid w:val="00B055EF"/>
    <w:rsid w:val="00B06B5B"/>
    <w:rsid w:val="00B23769"/>
    <w:rsid w:val="00B2739B"/>
    <w:rsid w:val="00B41789"/>
    <w:rsid w:val="00B81808"/>
    <w:rsid w:val="00B86DFA"/>
    <w:rsid w:val="00B9056D"/>
    <w:rsid w:val="00B936D0"/>
    <w:rsid w:val="00BD3D5B"/>
    <w:rsid w:val="00BD75CA"/>
    <w:rsid w:val="00BE3600"/>
    <w:rsid w:val="00C01F6F"/>
    <w:rsid w:val="00C041EA"/>
    <w:rsid w:val="00C149AB"/>
    <w:rsid w:val="00C16929"/>
    <w:rsid w:val="00C36020"/>
    <w:rsid w:val="00C40694"/>
    <w:rsid w:val="00C413DB"/>
    <w:rsid w:val="00C70542"/>
    <w:rsid w:val="00C75CBF"/>
    <w:rsid w:val="00CC2894"/>
    <w:rsid w:val="00CD77C3"/>
    <w:rsid w:val="00CE112C"/>
    <w:rsid w:val="00CF55D4"/>
    <w:rsid w:val="00D065F0"/>
    <w:rsid w:val="00D06ED1"/>
    <w:rsid w:val="00D44924"/>
    <w:rsid w:val="00D546A8"/>
    <w:rsid w:val="00D608DA"/>
    <w:rsid w:val="00D730BF"/>
    <w:rsid w:val="00DB1110"/>
    <w:rsid w:val="00DC3788"/>
    <w:rsid w:val="00DC76C7"/>
    <w:rsid w:val="00DD09F5"/>
    <w:rsid w:val="00DD4201"/>
    <w:rsid w:val="00DD5E9F"/>
    <w:rsid w:val="00DE5711"/>
    <w:rsid w:val="00E00EA0"/>
    <w:rsid w:val="00E138F1"/>
    <w:rsid w:val="00E2309D"/>
    <w:rsid w:val="00E23F96"/>
    <w:rsid w:val="00E264B6"/>
    <w:rsid w:val="00E26758"/>
    <w:rsid w:val="00E37853"/>
    <w:rsid w:val="00E4357B"/>
    <w:rsid w:val="00E63DE5"/>
    <w:rsid w:val="00E65A37"/>
    <w:rsid w:val="00E65EF7"/>
    <w:rsid w:val="00E70368"/>
    <w:rsid w:val="00E77B48"/>
    <w:rsid w:val="00E857FB"/>
    <w:rsid w:val="00E91799"/>
    <w:rsid w:val="00EA21FE"/>
    <w:rsid w:val="00EA34E3"/>
    <w:rsid w:val="00EB7538"/>
    <w:rsid w:val="00EE6468"/>
    <w:rsid w:val="00F1299B"/>
    <w:rsid w:val="00F207A4"/>
    <w:rsid w:val="00F355AC"/>
    <w:rsid w:val="00F5790E"/>
    <w:rsid w:val="00F62D37"/>
    <w:rsid w:val="00F71A5A"/>
    <w:rsid w:val="00F769E0"/>
    <w:rsid w:val="00FA75FE"/>
    <w:rsid w:val="00FB1032"/>
    <w:rsid w:val="00FC6BDE"/>
    <w:rsid w:val="00FD1C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B1E3F9"/>
  <w15:chartTrackingRefBased/>
  <w15:docId w15:val="{B367C4C1-5B2E-4148-8C6E-5A9333F7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 w:type="character" w:styleId="Hyperlink">
    <w:name w:val="Hyperlink"/>
    <w:uiPriority w:val="99"/>
    <w:unhideWhenUsed/>
    <w:rsid w:val="00B9056D"/>
    <w:rPr>
      <w:color w:val="0563C1"/>
      <w:u w:val="single"/>
    </w:rPr>
  </w:style>
  <w:style w:type="paragraph" w:customStyle="1" w:styleId="Default">
    <w:name w:val="Default"/>
    <w:rsid w:val="005537E4"/>
    <w:pPr>
      <w:autoSpaceDE w:val="0"/>
      <w:autoSpaceDN w:val="0"/>
      <w:adjustRightInd w:val="0"/>
    </w:pPr>
    <w:rPr>
      <w:rFonts w:eastAsia="Calibri"/>
      <w:color w:val="000000"/>
      <w:sz w:val="24"/>
      <w:szCs w:val="24"/>
    </w:rPr>
  </w:style>
  <w:style w:type="character" w:styleId="CommentReference">
    <w:name w:val="annotation reference"/>
    <w:rsid w:val="002E04F2"/>
    <w:rPr>
      <w:sz w:val="16"/>
      <w:szCs w:val="16"/>
    </w:rPr>
  </w:style>
  <w:style w:type="paragraph" w:styleId="CommentText">
    <w:name w:val="annotation text"/>
    <w:basedOn w:val="Normal"/>
    <w:link w:val="CommentTextChar"/>
    <w:rsid w:val="002E04F2"/>
    <w:rPr>
      <w:sz w:val="20"/>
      <w:szCs w:val="20"/>
    </w:rPr>
  </w:style>
  <w:style w:type="character" w:customStyle="1" w:styleId="CommentTextChar">
    <w:name w:val="Comment Text Char"/>
    <w:basedOn w:val="DefaultParagraphFont"/>
    <w:link w:val="CommentText"/>
    <w:rsid w:val="002E04F2"/>
  </w:style>
  <w:style w:type="paragraph" w:styleId="CommentSubject">
    <w:name w:val="annotation subject"/>
    <w:basedOn w:val="CommentText"/>
    <w:next w:val="CommentText"/>
    <w:link w:val="CommentSubjectChar"/>
    <w:rsid w:val="002E04F2"/>
    <w:rPr>
      <w:b/>
      <w:bCs/>
    </w:rPr>
  </w:style>
  <w:style w:type="character" w:customStyle="1" w:styleId="CommentSubjectChar">
    <w:name w:val="Comment Subject Char"/>
    <w:link w:val="CommentSubject"/>
    <w:rsid w:val="002E04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Capezzuto, JonnaLynn</cp:lastModifiedBy>
  <cp:revision>2</cp:revision>
  <cp:lastPrinted>2010-12-08T19:17:00Z</cp:lastPrinted>
  <dcterms:created xsi:type="dcterms:W3CDTF">2022-09-22T15:34:00Z</dcterms:created>
  <dcterms:modified xsi:type="dcterms:W3CDTF">2022-09-22T15:34:00Z</dcterms:modified>
</cp:coreProperties>
</file>