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1DE4" w:rsidP="007A1DE4" w14:paraId="18905B04" w14:textId="77777777">
      <w:r>
        <w:t xml:space="preserve">Good afternoon, </w:t>
      </w:r>
    </w:p>
    <w:p w:rsidR="007A1DE4" w:rsidRPr="007A1DE4" w:rsidP="007A1DE4" w14:paraId="071A9EE4" w14:textId="76821763">
      <w:r>
        <w:t xml:space="preserve">DLS </w:t>
      </w:r>
      <w:r w:rsidRPr="007A1DE4">
        <w:t>would like to provide the biomonitoring quality assurance samples for your labs. Please confirm which analyte panels you would like to participate in this year and the shipping address. We will confirm prior to shipping the samples</w:t>
      </w:r>
      <w:r w:rsidRPr="007A1DE4">
        <w:rPr>
          <w:b/>
          <w:bCs/>
        </w:rPr>
        <w:t xml:space="preserve"> </w:t>
      </w:r>
      <w:r>
        <w:t>if</w:t>
      </w:r>
      <w:r w:rsidRPr="007A1DE4">
        <w:t xml:space="preserve"> we are able to do so. As a reminder, below are the BQASP analyte panels that our laboratories can provide. Please respond no later than </w:t>
      </w:r>
      <w:r>
        <w:rPr>
          <w:b/>
          <w:bCs/>
        </w:rPr>
        <w:t>DATE</w:t>
      </w:r>
      <w:r w:rsidRPr="007A1DE4">
        <w:t xml:space="preserve"> and let me know if you have any questions. Thank you! </w:t>
      </w:r>
    </w:p>
    <w:p w:rsidR="007A1DE4" w:rsidRPr="007A1DE4" w:rsidP="007A1DE4" w14:paraId="234E3C37" w14:textId="77777777">
      <w:r w:rsidRPr="007A1DE4">
        <w:t xml:space="preserve">Urine </w:t>
      </w:r>
    </w:p>
    <w:p w:rsidR="007A1DE4" w:rsidRPr="007A1DE4" w:rsidP="007A1DE4" w14:paraId="0B68DAF9" w14:textId="77777777">
      <w:pPr>
        <w:numPr>
          <w:ilvl w:val="0"/>
          <w:numId w:val="1"/>
        </w:numPr>
      </w:pPr>
      <w:r w:rsidRPr="007A1DE4">
        <w:t>Universal Pesticides</w:t>
      </w:r>
    </w:p>
    <w:p w:rsidR="007A1DE4" w:rsidRPr="007A1DE4" w:rsidP="007A1DE4" w14:paraId="50A5343F" w14:textId="77777777">
      <w:pPr>
        <w:numPr>
          <w:ilvl w:val="0"/>
          <w:numId w:val="1"/>
        </w:numPr>
      </w:pPr>
      <w:r w:rsidRPr="007A1DE4">
        <w:t xml:space="preserve">Environmental Phenols </w:t>
      </w:r>
    </w:p>
    <w:p w:rsidR="007A1DE4" w:rsidRPr="007A1DE4" w:rsidP="007A1DE4" w14:paraId="6CD23667" w14:textId="77777777">
      <w:pPr>
        <w:numPr>
          <w:ilvl w:val="0"/>
          <w:numId w:val="1"/>
        </w:numPr>
      </w:pPr>
      <w:r w:rsidRPr="007A1DE4">
        <w:t>Phthalates</w:t>
      </w:r>
    </w:p>
    <w:p w:rsidR="007A1DE4" w:rsidRPr="007A1DE4" w:rsidP="007A1DE4" w14:paraId="577E09F3" w14:textId="77777777">
      <w:pPr>
        <w:numPr>
          <w:ilvl w:val="0"/>
          <w:numId w:val="1"/>
        </w:numPr>
      </w:pPr>
      <w:r w:rsidRPr="007A1DE4">
        <w:t>PAHs</w:t>
      </w:r>
    </w:p>
    <w:p w:rsidR="007A1DE4" w:rsidRPr="007A1DE4" w:rsidP="007A1DE4" w14:paraId="41081CD0" w14:textId="3AF141F2">
      <w:pPr>
        <w:numPr>
          <w:ilvl w:val="0"/>
          <w:numId w:val="1"/>
        </w:numPr>
      </w:pPr>
      <w:r w:rsidRPr="007A1DE4">
        <w:t>Perchlorate</w:t>
      </w:r>
    </w:p>
    <w:p w:rsidR="007A1DE4" w:rsidRPr="007A1DE4" w:rsidP="007A1DE4" w14:paraId="6F46318C" w14:textId="77777777">
      <w:r w:rsidRPr="007A1DE4">
        <w:t xml:space="preserve">Serum </w:t>
      </w:r>
    </w:p>
    <w:p w:rsidR="007A1DE4" w:rsidRPr="007A1DE4" w:rsidP="007A1DE4" w14:paraId="72E7CDD4" w14:textId="77777777">
      <w:pPr>
        <w:numPr>
          <w:ilvl w:val="0"/>
          <w:numId w:val="1"/>
        </w:numPr>
      </w:pPr>
      <w:r w:rsidRPr="007A1DE4">
        <w:t>PFAS</w:t>
      </w:r>
    </w:p>
    <w:p w:rsidR="007A1DE4" w:rsidRPr="007A1DE4" w:rsidP="007A1DE4" w14:paraId="41D03587" w14:textId="77777777">
      <w:pPr>
        <w:numPr>
          <w:ilvl w:val="0"/>
          <w:numId w:val="1"/>
        </w:numPr>
      </w:pPr>
      <w:r w:rsidRPr="007A1DE4">
        <w:t xml:space="preserve">Cotinine (only as needed – 1 shipment) </w:t>
      </w:r>
    </w:p>
    <w:p w:rsidR="00E65D71" w14:paraId="4B0962F4" w14:textId="13C1F27F">
      <w:r>
        <w:t xml:space="preserve">Best, </w:t>
      </w:r>
    </w:p>
    <w:p w:rsidR="0004034B" w14:paraId="16ED631B" w14:textId="6FFBF5E4">
      <w:r w:rsidRPr="0004034B">
        <w:rPr>
          <w:rFonts w:ascii="Calibri" w:eastAsia="Calibri" w:hAnsi="Calibri" w:cs="Times New Roman"/>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120015</wp:posOffset>
                </wp:positionV>
                <wp:extent cx="1085850" cy="472440"/>
                <wp:effectExtent l="0" t="0" r="19050" b="22860"/>
                <wp:wrapTight wrapText="bothSides">
                  <wp:wrapPolygon>
                    <wp:start x="0" y="0"/>
                    <wp:lineTo x="0" y="21774"/>
                    <wp:lineTo x="21600" y="21774"/>
                    <wp:lineTo x="21600" y="0"/>
                    <wp:lineTo x="0" y="0"/>
                  </wp:wrapPolygon>
                </wp:wrapTight>
                <wp:docPr id="3"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5850" cy="472440"/>
                        </a:xfrm>
                        <a:prstGeom prst="rect">
                          <a:avLst/>
                        </a:prstGeom>
                        <a:solidFill>
                          <a:sysClr val="window" lastClr="FFFFFF"/>
                        </a:solidFill>
                        <a:ln w="9525">
                          <a:solidFill>
                            <a:sysClr val="windowText" lastClr="000000"/>
                          </a:solidFill>
                        </a:ln>
                        <a:effectLst/>
                      </wps:spPr>
                      <wps:txbx>
                        <w:txbxContent>
                          <w:p w:rsidR="0004034B" w:rsidP="0004034B" w14:textId="77777777">
                            <w:pPr>
                              <w:pStyle w:val="NormalWeb"/>
                              <w:spacing w:after="0"/>
                            </w:pPr>
                            <w:r w:rsidRPr="0004034B">
                              <w:rPr>
                                <w:rFonts w:ascii="Calibri" w:hAnsi="Calibri"/>
                                <w:color w:val="000000"/>
                                <w:sz w:val="16"/>
                                <w:szCs w:val="16"/>
                              </w:rPr>
                              <w:t>Form Approved</w:t>
                            </w:r>
                          </w:p>
                          <w:p w:rsidR="0004034B" w:rsidP="0004034B" w14:textId="77777777">
                            <w:pPr>
                              <w:pStyle w:val="NormalWeb"/>
                              <w:spacing w:after="0"/>
                            </w:pPr>
                            <w:r w:rsidRPr="0004034B">
                              <w:rPr>
                                <w:rFonts w:ascii="Calibri" w:hAnsi="Calibri"/>
                                <w:color w:val="000000"/>
                                <w:sz w:val="16"/>
                                <w:szCs w:val="16"/>
                              </w:rPr>
                              <w:t xml:space="preserve">OMB No. 0920-xxxx </w:t>
                            </w:r>
                          </w:p>
                          <w:p w:rsidR="0004034B" w:rsidP="0004034B" w14:textId="77777777">
                            <w:pPr>
                              <w:pStyle w:val="NormalWeb"/>
                              <w:spacing w:after="0"/>
                            </w:pPr>
                            <w:r w:rsidRPr="0004034B">
                              <w:rPr>
                                <w:rFonts w:ascii="Calibri" w:hAnsi="Calibri"/>
                                <w:color w:val="000000"/>
                                <w:sz w:val="16"/>
                                <w:szCs w:val="16"/>
                              </w:rPr>
                              <w:t>Exp. Date xx/xx/20xx</w:t>
                            </w:r>
                          </w:p>
                        </w:txbxContent>
                      </wps:txbx>
                      <wps:bodyPr vertOverflow="clip" horzOverflow="clip" wrap="square" rtlCol="0" anchor="t"/>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5" type="#_x0000_t202" style="width:85.5pt;height:37.2pt;margin-top:9.45pt;margin-left:0;mso-height-percent:0;mso-height-relative:margin;mso-position-horizontal:left;mso-position-horizontal-relative:margin;mso-wrap-distance-bottom:0;mso-wrap-distance-left:9pt;mso-wrap-distance-right:9pt;mso-wrap-distance-top:0;mso-wrap-style:square;position:absolute;visibility:visible;v-text-anchor:top;z-index:-251657216" fillcolor="window" strokecolor="black">
                <v:textbox>
                  <w:txbxContent>
                    <w:p w:rsidR="0004034B" w:rsidP="0004034B" w14:paraId="150AA3C2" w14:textId="77777777">
                      <w:pPr>
                        <w:pStyle w:val="NormalWeb"/>
                        <w:spacing w:after="0"/>
                      </w:pPr>
                      <w:r w:rsidRPr="0004034B">
                        <w:rPr>
                          <w:rFonts w:ascii="Calibri" w:hAnsi="Calibri"/>
                          <w:color w:val="000000"/>
                          <w:sz w:val="16"/>
                          <w:szCs w:val="16"/>
                        </w:rPr>
                        <w:t>Form Approved</w:t>
                      </w:r>
                    </w:p>
                    <w:p w:rsidR="0004034B" w:rsidP="0004034B" w14:paraId="5438FE73" w14:textId="77777777">
                      <w:pPr>
                        <w:pStyle w:val="NormalWeb"/>
                        <w:spacing w:after="0"/>
                      </w:pPr>
                      <w:r w:rsidRPr="0004034B">
                        <w:rPr>
                          <w:rFonts w:ascii="Calibri" w:hAnsi="Calibri"/>
                          <w:color w:val="000000"/>
                          <w:sz w:val="16"/>
                          <w:szCs w:val="16"/>
                        </w:rPr>
                        <w:t xml:space="preserve">OMB No. 0920-xxxx </w:t>
                      </w:r>
                    </w:p>
                    <w:p w:rsidR="0004034B" w:rsidP="0004034B" w14:paraId="29866BBA" w14:textId="77777777">
                      <w:pPr>
                        <w:pStyle w:val="NormalWeb"/>
                        <w:spacing w:after="0"/>
                      </w:pPr>
                      <w:r w:rsidRPr="0004034B">
                        <w:rPr>
                          <w:rFonts w:ascii="Calibri" w:hAnsi="Calibri"/>
                          <w:color w:val="000000"/>
                          <w:sz w:val="16"/>
                          <w:szCs w:val="16"/>
                        </w:rPr>
                        <w:t>Exp. Date xx/xx/20xx</w:t>
                      </w:r>
                    </w:p>
                  </w:txbxContent>
                </v:textbox>
                <w10:wrap type="tight"/>
              </v:shape>
            </w:pict>
          </mc:Fallback>
        </mc:AlternateContent>
      </w:r>
    </w:p>
    <w:p w:rsidR="007A1DE4" w14:paraId="1280BF77" w14:textId="702F4CF3">
      <w:r w:rsidRPr="0004034B">
        <w:rPr>
          <w:rFonts w:ascii="Calibri" w:eastAsia="Calibri" w:hAnsi="Calibri" w:cs="Times New Roman"/>
          <w:noProof/>
        </w:rPr>
        <mc:AlternateContent>
          <mc:Choice Requires="wps">
            <w:drawing>
              <wp:anchor distT="45720" distB="45720" distL="114300" distR="114300" simplePos="0" relativeHeight="251660288" behindDoc="1" locked="0" layoutInCell="1" allowOverlap="1">
                <wp:simplePos x="0" y="0"/>
                <wp:positionH relativeFrom="margin">
                  <wp:align>right</wp:align>
                </wp:positionH>
                <wp:positionV relativeFrom="paragraph">
                  <wp:posOffset>474345</wp:posOffset>
                </wp:positionV>
                <wp:extent cx="5928360" cy="1633220"/>
                <wp:effectExtent l="0" t="0" r="15240" b="12700"/>
                <wp:wrapTight wrapText="bothSides">
                  <wp:wrapPolygon>
                    <wp:start x="0" y="0"/>
                    <wp:lineTo x="0" y="21438"/>
                    <wp:lineTo x="21586" y="21438"/>
                    <wp:lineTo x="21586"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8360" cy="1633220"/>
                        </a:xfrm>
                        <a:prstGeom prst="rect">
                          <a:avLst/>
                        </a:prstGeom>
                        <a:solidFill>
                          <a:srgbClr val="FFFFFF"/>
                        </a:solidFill>
                        <a:ln w="9525">
                          <a:solidFill>
                            <a:srgbClr val="000000"/>
                          </a:solidFill>
                          <a:miter lim="800000"/>
                          <a:headEnd/>
                          <a:tailEnd/>
                        </a:ln>
                      </wps:spPr>
                      <wps:txbx>
                        <w:txbxContent>
                          <w:p w:rsidR="0004034B" w:rsidRPr="009D18FF" w:rsidP="0004034B" w14:textId="7992A00F">
                            <w:pPr>
                              <w:spacing w:after="0" w:line="240" w:lineRule="auto"/>
                              <w:rPr>
                                <w:sz w:val="16"/>
                                <w:szCs w:val="16"/>
                              </w:rPr>
                            </w:pPr>
                            <w:r w:rsidRPr="009D18FF">
                              <w:rPr>
                                <w:sz w:val="16"/>
                                <w:szCs w:val="16"/>
                              </w:rPr>
                              <w:t>CDC estimates the average public reporting burden for this</w:t>
                            </w:r>
                            <w:r>
                              <w:rPr>
                                <w:sz w:val="16"/>
                                <w:szCs w:val="16"/>
                              </w:rPr>
                              <w:t xml:space="preserve"> collection of information as </w:t>
                            </w:r>
                            <w:r>
                              <w:rPr>
                                <w:sz w:val="16"/>
                                <w:szCs w:val="16"/>
                              </w:rPr>
                              <w:t>5</w:t>
                            </w:r>
                            <w:r w:rsidRPr="009D18FF">
                              <w:rPr>
                                <w:sz w:val="16"/>
                                <w:szCs w:val="16"/>
                              </w:rPr>
                              <w:t xml:space="preserve"> minutes per response, including the time for reviewing instructions, searching existing data/information sources, </w:t>
                            </w:r>
                            <w:r w:rsidRPr="009D18FF">
                              <w:rPr>
                                <w:sz w:val="16"/>
                                <w:szCs w:val="16"/>
                              </w:rPr>
                              <w:t>gathering</w:t>
                            </w:r>
                            <w:r w:rsidRPr="009D18FF">
                              <w:rPr>
                                <w:sz w:val="16"/>
                                <w:szCs w:val="16"/>
                              </w:rPr>
                              <w:t xml:space="preserve">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(0920-xxxx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6" type="#_x0000_t202" style="width:466.8pt;height:110.6pt;margin-top:37.35pt;margin-left:415.6pt;mso-height-percent:20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5168">
                <v:textbox style="mso-fit-shape-to-text:t">
                  <w:txbxContent>
                    <w:p w:rsidR="0004034B" w:rsidRPr="009D18FF" w:rsidP="0004034B" w14:paraId="4BA0EB2F" w14:textId="7992A00F">
                      <w:pPr>
                        <w:spacing w:after="0" w:line="240" w:lineRule="auto"/>
                        <w:rPr>
                          <w:sz w:val="16"/>
                          <w:szCs w:val="16"/>
                        </w:rPr>
                      </w:pPr>
                      <w:r w:rsidRPr="009D18FF">
                        <w:rPr>
                          <w:sz w:val="16"/>
                          <w:szCs w:val="16"/>
                        </w:rPr>
                        <w:t>CDC estimates the average public reporting burden for this</w:t>
                      </w:r>
                      <w:r>
                        <w:rPr>
                          <w:sz w:val="16"/>
                          <w:szCs w:val="16"/>
                        </w:rPr>
                        <w:t xml:space="preserve"> collection of information as </w:t>
                      </w:r>
                      <w:r>
                        <w:rPr>
                          <w:sz w:val="16"/>
                          <w:szCs w:val="16"/>
                        </w:rPr>
                        <w:t>5</w:t>
                      </w:r>
                      <w:r w:rsidRPr="009D18FF">
                        <w:rPr>
                          <w:sz w:val="16"/>
                          <w:szCs w:val="16"/>
                        </w:rPr>
                        <w:t xml:space="preserve"> minutes per response, including the time for reviewing instructions, searching existing data/information sources, </w:t>
                      </w:r>
                      <w:r w:rsidRPr="009D18FF">
                        <w:rPr>
                          <w:sz w:val="16"/>
                          <w:szCs w:val="16"/>
                        </w:rPr>
                        <w:t>gathering</w:t>
                      </w:r>
                      <w:r w:rsidRPr="009D18FF">
                        <w:rPr>
                          <w:sz w:val="16"/>
                          <w:szCs w:val="16"/>
                        </w:rPr>
                        <w:t xml:space="preserve">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(0920-xxxx</w:t>
                      </w:r>
                      <w:r w:rsidRPr="009D18FF">
                        <w:rPr>
                          <w:sz w:val="16"/>
                          <w:szCs w:val="16"/>
                        </w:rPr>
                        <w:t xml:space="preserve">).   </w:t>
                      </w:r>
                    </w:p>
                  </w:txbxContent>
                </v:textbox>
                <w10:wrap type="tight"/>
              </v:shape>
            </w:pict>
          </mc:Fallback>
        </mc:AlternateContent>
      </w:r>
    </w:p>
    <w:p w:rsidR="0004034B" w14:paraId="39CE56EE" w14:textId="3185AC49"/>
    <w:p w:rsidR="0004034B" w14:paraId="1DE3EA51" w14:textId="104FB279"/>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8B451A"/>
    <w:multiLevelType w:val="hybridMultilevel"/>
    <w:tmpl w:val="6408D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B6"/>
    <w:rsid w:val="0004034B"/>
    <w:rsid w:val="00254AB6"/>
    <w:rsid w:val="0067350B"/>
    <w:rsid w:val="007A1DE4"/>
    <w:rsid w:val="009D18FF"/>
    <w:rsid w:val="00D674E8"/>
    <w:rsid w:val="00E65D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001FE6"/>
  <w15:chartTrackingRefBased/>
  <w15:docId w15:val="{76CA1704-29AA-4385-A6B4-A70AE37B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03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9414-E604-4205-80D4-CB4D776DE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Parcels, Linde (CDC/DDNID/NCEH/DLS)</dc:creator>
  <cp:lastModifiedBy>NCEH-ATSDR</cp:lastModifiedBy>
  <cp:revision>3</cp:revision>
  <dcterms:created xsi:type="dcterms:W3CDTF">2021-05-25T13:31:00Z</dcterms:created>
  <dcterms:modified xsi:type="dcterms:W3CDTF">2021-11-02T18:09:00Z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9456cff5-7dc1-47ee-8c0f-123a27c670f6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2021-05-25T13:31:14Z</vt:lpwstr>
  </property>
  <property fmtid="{D5CDD505-2E9C-101B-9397-08002B2CF9AE}" pid="8" name="MSIP_Label_7b94a7b8-f06c-4dfe-bdcc-9b548fd58c31_SiteId">
    <vt:lpwstr>9ce70869-60db-44fd-abe8-d2767077fc8f</vt:lpwstr>
  </property>
</Properties>
</file>