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E27609" w:rsidP="00FB3BF0" w14:paraId="4AD68EFA" w14:textId="0DB538C7">
      <w:pPr>
        <w:ind w:left="2880" w:firstLine="720"/>
        <w:rPr>
          <w:rFonts w:eastAsia="Times New Roman" w:cs="Times New Roman"/>
          <w:b/>
          <w:bCs/>
          <w:sz w:val="24"/>
          <w:szCs w:val="24"/>
        </w:rPr>
      </w:pPr>
      <w:r w:rsidRPr="00E27609">
        <w:rPr>
          <w:b/>
          <w:bCs/>
          <w:sz w:val="24"/>
          <w:szCs w:val="24"/>
        </w:rPr>
        <w:t xml:space="preserve">Supporting </w:t>
      </w:r>
      <w:r w:rsidRPr="00E27609">
        <w:rPr>
          <w:b/>
          <w:bCs/>
          <w:sz w:val="24"/>
          <w:szCs w:val="24"/>
        </w:rPr>
        <w:t>Statement</w:t>
      </w:r>
      <w:r w:rsidRPr="00E27609">
        <w:rPr>
          <w:b/>
          <w:bCs/>
          <w:sz w:val="24"/>
          <w:szCs w:val="24"/>
        </w:rPr>
        <w:t xml:space="preserve"> A fo</w:t>
      </w:r>
      <w:r w:rsidRPr="00E27609" w:rsidR="00FB3BF0">
        <w:rPr>
          <w:b/>
          <w:bCs/>
          <w:sz w:val="24"/>
          <w:szCs w:val="24"/>
        </w:rPr>
        <w:t>r</w:t>
      </w:r>
    </w:p>
    <w:p w:rsidR="00FB3BF0" w:rsidRPr="00145394" w:rsidP="00FB3BF0" w14:paraId="619D54DF" w14:textId="77777777">
      <w:pPr>
        <w:jc w:val="center"/>
        <w:rPr>
          <w:b/>
          <w:sz w:val="24"/>
          <w:szCs w:val="24"/>
        </w:rPr>
      </w:pPr>
      <w:r w:rsidRPr="00145394">
        <w:rPr>
          <w:b/>
          <w:sz w:val="24"/>
          <w:szCs w:val="24"/>
        </w:rPr>
        <w:t>Request for Human Embryonic Stem Cell Line to be Approved</w:t>
      </w:r>
    </w:p>
    <w:p w:rsidR="00FB3BF0" w:rsidRPr="00145394" w:rsidP="00FB3BF0" w14:paraId="6BCDDBCE" w14:textId="1AFCAE69">
      <w:pPr>
        <w:jc w:val="center"/>
        <w:rPr>
          <w:b/>
          <w:sz w:val="24"/>
          <w:szCs w:val="24"/>
        </w:rPr>
      </w:pPr>
      <w:r w:rsidRPr="00145394">
        <w:rPr>
          <w:b/>
          <w:sz w:val="24"/>
          <w:szCs w:val="24"/>
        </w:rPr>
        <w:t>for Use in NIH Funded Research (</w:t>
      </w:r>
      <w:r w:rsidR="00BD47C3">
        <w:rPr>
          <w:b/>
          <w:sz w:val="24"/>
          <w:szCs w:val="24"/>
        </w:rPr>
        <w:t>OD</w:t>
      </w:r>
      <w:r w:rsidRPr="00145394">
        <w:rPr>
          <w:b/>
          <w:sz w:val="24"/>
          <w:szCs w:val="24"/>
        </w:rPr>
        <w:t>)</w:t>
      </w:r>
    </w:p>
    <w:p w:rsidR="00E27609" w:rsidP="00E27609" w14:paraId="2C97A4C3" w14:textId="1C94EB11">
      <w:pPr>
        <w:jc w:val="center"/>
        <w:rPr>
          <w:b/>
          <w:sz w:val="24"/>
          <w:szCs w:val="24"/>
        </w:rPr>
      </w:pPr>
      <w:r w:rsidRPr="00145394">
        <w:rPr>
          <w:b/>
          <w:sz w:val="24"/>
          <w:szCs w:val="24"/>
        </w:rPr>
        <w:t xml:space="preserve">OMB Control Number </w:t>
      </w:r>
      <w:r>
        <w:rPr>
          <w:b/>
          <w:sz w:val="24"/>
          <w:szCs w:val="24"/>
        </w:rPr>
        <w:t xml:space="preserve">0925-0601, exp., date </w:t>
      </w:r>
      <w:r w:rsidR="003C3C33">
        <w:rPr>
          <w:b/>
          <w:sz w:val="24"/>
          <w:szCs w:val="24"/>
        </w:rPr>
        <w:t>10/31/2022</w:t>
      </w:r>
    </w:p>
    <w:p w:rsidR="00FB3BF0" w:rsidRPr="00145394" w:rsidP="00FB3BF0" w14:paraId="53766426" w14:textId="77777777">
      <w:pPr>
        <w:jc w:val="center"/>
        <w:rPr>
          <w:b/>
          <w:sz w:val="24"/>
          <w:szCs w:val="24"/>
        </w:rPr>
      </w:pPr>
    </w:p>
    <w:p w:rsidR="00FB3BF0" w:rsidP="00FB3BF0" w14:paraId="013F75F3" w14:textId="461A7B18">
      <w:pPr>
        <w:jc w:val="center"/>
        <w:rPr>
          <w:b/>
          <w:sz w:val="24"/>
          <w:szCs w:val="24"/>
        </w:rPr>
      </w:pPr>
      <w:r>
        <w:rPr>
          <w:b/>
          <w:sz w:val="24"/>
          <w:szCs w:val="24"/>
        </w:rPr>
        <w:t xml:space="preserve">August </w:t>
      </w:r>
      <w:r w:rsidR="00E931B8">
        <w:rPr>
          <w:b/>
          <w:sz w:val="24"/>
          <w:szCs w:val="24"/>
        </w:rPr>
        <w:t>22</w:t>
      </w:r>
      <w:r>
        <w:rPr>
          <w:b/>
          <w:sz w:val="24"/>
          <w:szCs w:val="24"/>
        </w:rPr>
        <w:t>,</w:t>
      </w:r>
      <w:r w:rsidR="00C262BE">
        <w:rPr>
          <w:b/>
          <w:sz w:val="24"/>
          <w:szCs w:val="24"/>
        </w:rPr>
        <w:t xml:space="preserve"> 2022</w:t>
      </w:r>
    </w:p>
    <w:p w:rsidR="00FF30CE" w:rsidRPr="008942E9"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14:paraId="580EAAC6" w14:textId="2BA54810">
      <w:pPr>
        <w:pStyle w:val="ListParagraph"/>
        <w:numPr>
          <w:ilvl w:val="0"/>
          <w:numId w:val="11"/>
        </w:numPr>
        <w:spacing w:after="0" w:line="240" w:lineRule="auto"/>
      </w:pPr>
      <w:r>
        <w:t xml:space="preserve">New </w:t>
      </w:r>
    </w:p>
    <w:p w:rsidR="00FF30CE" w:rsidP="00FF30CE" w14:paraId="45BA54F5" w14:textId="77777777">
      <w:pPr>
        <w:numPr>
          <w:ilvl w:val="0"/>
          <w:numId w:val="11"/>
        </w:numPr>
        <w:spacing w:after="0" w:line="240" w:lineRule="auto"/>
      </w:pPr>
      <w:r>
        <w:t>Revision</w:t>
      </w:r>
      <w:r>
        <w:tab/>
      </w:r>
      <w:r>
        <w:tab/>
      </w:r>
      <w:r>
        <w:tab/>
      </w:r>
    </w:p>
    <w:p w:rsidR="00FF30CE" w:rsidP="00FF30CE" w14:paraId="185A0B7B" w14:textId="77777777">
      <w:pPr>
        <w:numPr>
          <w:ilvl w:val="0"/>
          <w:numId w:val="11"/>
        </w:numPr>
        <w:spacing w:after="0" w:line="240" w:lineRule="auto"/>
      </w:pPr>
      <w:r>
        <w:t>Reinstatement with Change</w:t>
      </w:r>
    </w:p>
    <w:p w:rsidR="00FF30CE" w:rsidP="00FF30CE" w14:paraId="5177244E" w14:textId="77777777">
      <w:pPr>
        <w:numPr>
          <w:ilvl w:val="0"/>
          <w:numId w:val="11"/>
        </w:numPr>
        <w:spacing w:after="0" w:line="240" w:lineRule="auto"/>
      </w:pPr>
      <w:r>
        <w:t>Reinstatement without Change</w:t>
      </w:r>
    </w:p>
    <w:p w:rsidR="00FF30CE" w:rsidRPr="0071661B" w:rsidP="00A34ECE" w14:paraId="62B8AE22" w14:textId="6848A62B">
      <w:pPr>
        <w:spacing w:after="0" w:line="240" w:lineRule="auto"/>
        <w:ind w:left="360"/>
      </w:pPr>
      <w:r>
        <w:t>X</w:t>
      </w:r>
      <w:r>
        <w:tab/>
      </w:r>
      <w:r w:rsidRPr="0071661B">
        <w:t>Extension</w:t>
      </w:r>
    </w:p>
    <w:p w:rsidR="00FF30CE" w:rsidP="00FF30CE" w14:paraId="61FD3A79" w14:textId="77777777">
      <w:pPr>
        <w:numPr>
          <w:ilvl w:val="0"/>
          <w:numId w:val="11"/>
        </w:numPr>
        <w:spacing w:after="0" w:line="240" w:lineRule="auto"/>
      </w:pPr>
      <w:r>
        <w:t>Emergency</w:t>
      </w:r>
    </w:p>
    <w:p w:rsidR="00FF30CE" w:rsidP="00FF30CE" w14:paraId="4AB911EB" w14:textId="1E8DCC95">
      <w:pPr>
        <w:numPr>
          <w:ilvl w:val="0"/>
          <w:numId w:val="11"/>
        </w:numPr>
        <w:spacing w:after="0" w:line="240" w:lineRule="auto"/>
      </w:pPr>
      <w:r>
        <w:t>Existing</w:t>
      </w:r>
      <w:r w:rsidR="000A139A">
        <w:t xml:space="preserve"> w/o OMB approval</w:t>
      </w:r>
    </w:p>
    <w:p w:rsidR="00FB3BF0" w:rsidRPr="00145394" w:rsidP="00FB3BF0" w14:paraId="2280B8AB" w14:textId="77777777">
      <w:pPr>
        <w:pStyle w:val="P1-StandPara"/>
        <w:tabs>
          <w:tab w:val="left" w:pos="720"/>
          <w:tab w:val="right" w:leader="dot" w:pos="9504"/>
        </w:tabs>
        <w:spacing w:before="120" w:after="120" w:line="276" w:lineRule="auto"/>
        <w:ind w:left="720" w:firstLine="0"/>
        <w:rPr>
          <w:rFonts w:ascii="Calibri" w:hAnsi="Calibri"/>
          <w:sz w:val="24"/>
          <w:szCs w:val="24"/>
        </w:rPr>
      </w:pPr>
      <w:r w:rsidRPr="00145394">
        <w:rPr>
          <w:rFonts w:ascii="Calibri" w:hAnsi="Calibri"/>
          <w:sz w:val="24"/>
          <w:szCs w:val="24"/>
        </w:rPr>
        <w:t xml:space="preserve">                        </w:t>
      </w:r>
    </w:p>
    <w:p w:rsidR="00FB3BF0" w:rsidRPr="00FB3BF0" w:rsidP="00FB3BF0" w14:paraId="3F393D94" w14:textId="40E17094">
      <w:pPr>
        <w:rPr>
          <w:sz w:val="24"/>
          <w:szCs w:val="24"/>
        </w:rPr>
      </w:pPr>
      <w:r w:rsidRPr="00FB3BF0">
        <w:rPr>
          <w:sz w:val="24"/>
          <w:szCs w:val="24"/>
        </w:rPr>
        <w:t>Name:</w:t>
      </w:r>
      <w:r w:rsidRPr="00FB3BF0">
        <w:rPr>
          <w:sz w:val="24"/>
          <w:szCs w:val="24"/>
        </w:rPr>
        <w:tab/>
      </w:r>
      <w:r>
        <w:rPr>
          <w:sz w:val="24"/>
          <w:szCs w:val="24"/>
        </w:rPr>
        <w:t xml:space="preserve">           </w:t>
      </w:r>
      <w:r w:rsidRPr="00FB3BF0">
        <w:rPr>
          <w:sz w:val="24"/>
          <w:szCs w:val="24"/>
        </w:rPr>
        <w:t xml:space="preserve">Ellen Gadbois </w:t>
      </w:r>
    </w:p>
    <w:p w:rsidR="00FB3BF0" w:rsidRPr="00FB3BF0" w:rsidP="00FB3BF0" w14:paraId="11FC3F38" w14:textId="7CF84158">
      <w:pPr>
        <w:ind w:left="810" w:hanging="900"/>
        <w:rPr>
          <w:sz w:val="24"/>
          <w:szCs w:val="24"/>
        </w:rPr>
      </w:pPr>
      <w:r w:rsidRPr="00FB3BF0">
        <w:rPr>
          <w:sz w:val="24"/>
          <w:szCs w:val="24"/>
        </w:rPr>
        <w:t>Address</w:t>
      </w:r>
      <w:r>
        <w:rPr>
          <w:sz w:val="24"/>
          <w:szCs w:val="24"/>
        </w:rPr>
        <w:t xml:space="preserve">:          </w:t>
      </w:r>
      <w:r w:rsidRPr="00FB3BF0">
        <w:rPr>
          <w:sz w:val="24"/>
          <w:szCs w:val="24"/>
        </w:rPr>
        <w:t xml:space="preserve">Office of Science Policy </w:t>
      </w:r>
    </w:p>
    <w:p w:rsidR="00FB3BF0" w:rsidRPr="00FB3BF0" w:rsidP="00FB3BF0" w14:paraId="151202C4" w14:textId="2E00A180">
      <w:pPr>
        <w:ind w:left="810" w:hanging="900"/>
        <w:rPr>
          <w:sz w:val="24"/>
          <w:szCs w:val="24"/>
        </w:rPr>
      </w:pPr>
      <w:r>
        <w:rPr>
          <w:sz w:val="24"/>
          <w:szCs w:val="24"/>
        </w:rPr>
        <w:t xml:space="preserve">                          </w:t>
      </w:r>
      <w:r w:rsidRPr="00FB3BF0">
        <w:rPr>
          <w:sz w:val="24"/>
          <w:szCs w:val="24"/>
        </w:rPr>
        <w:t xml:space="preserve">National Institutes of Health </w:t>
      </w:r>
    </w:p>
    <w:p w:rsidR="00FB3BF0" w:rsidRPr="00FB3BF0" w:rsidP="00FB3BF0" w14:paraId="6F00CE40" w14:textId="41B18FDA">
      <w:pPr>
        <w:ind w:left="810" w:hanging="900"/>
        <w:rPr>
          <w:sz w:val="24"/>
          <w:szCs w:val="24"/>
        </w:rPr>
      </w:pPr>
      <w:r>
        <w:rPr>
          <w:sz w:val="24"/>
          <w:szCs w:val="24"/>
        </w:rPr>
        <w:t xml:space="preserve">                          </w:t>
      </w:r>
      <w:r w:rsidRPr="00FB3BF0">
        <w:rPr>
          <w:sz w:val="24"/>
          <w:szCs w:val="24"/>
        </w:rPr>
        <w:t>Building 1, Room 281, MSC 0166</w:t>
      </w:r>
    </w:p>
    <w:p w:rsidR="00FB3BF0" w:rsidRPr="00FB3BF0" w:rsidP="00FB3BF0" w14:paraId="0CF55E2C" w14:textId="18FB5B50">
      <w:pPr>
        <w:ind w:left="810" w:hanging="900"/>
        <w:rPr>
          <w:sz w:val="24"/>
          <w:szCs w:val="24"/>
        </w:rPr>
      </w:pPr>
      <w:r>
        <w:rPr>
          <w:sz w:val="24"/>
          <w:szCs w:val="24"/>
        </w:rPr>
        <w:t xml:space="preserve">                          </w:t>
      </w:r>
      <w:r w:rsidRPr="00FB3BF0">
        <w:rPr>
          <w:sz w:val="24"/>
          <w:szCs w:val="24"/>
        </w:rPr>
        <w:t>9000 Rockville Pike</w:t>
      </w:r>
    </w:p>
    <w:p w:rsidR="00FB3BF0" w:rsidRPr="00FB3BF0" w:rsidP="00FB3BF0" w14:paraId="3C2A6745" w14:textId="0E1B8FE5">
      <w:pPr>
        <w:ind w:left="810" w:hanging="900"/>
        <w:rPr>
          <w:sz w:val="24"/>
          <w:szCs w:val="24"/>
        </w:rPr>
      </w:pPr>
      <w:r>
        <w:rPr>
          <w:sz w:val="24"/>
          <w:szCs w:val="24"/>
        </w:rPr>
        <w:t xml:space="preserve">                          </w:t>
      </w:r>
      <w:r w:rsidRPr="00FB3BF0">
        <w:rPr>
          <w:sz w:val="24"/>
          <w:szCs w:val="24"/>
        </w:rPr>
        <w:t xml:space="preserve">Bethesda, MD  20892 </w:t>
      </w:r>
    </w:p>
    <w:p w:rsidR="00FB3BF0" w:rsidRPr="00FB3BF0" w:rsidP="00FB3BF0" w14:paraId="41C89F21" w14:textId="77777777">
      <w:pPr>
        <w:rPr>
          <w:sz w:val="24"/>
          <w:szCs w:val="24"/>
        </w:rPr>
      </w:pPr>
      <w:r w:rsidRPr="00FB3BF0">
        <w:rPr>
          <w:sz w:val="24"/>
          <w:szCs w:val="24"/>
        </w:rPr>
        <w:t>Telephone:</w:t>
      </w:r>
      <w:r w:rsidRPr="00FB3BF0">
        <w:rPr>
          <w:sz w:val="24"/>
          <w:szCs w:val="24"/>
        </w:rPr>
        <w:tab/>
        <w:t>301-594-2567</w:t>
      </w:r>
    </w:p>
    <w:p w:rsidR="00FB3BF0" w:rsidRPr="00FB3BF0" w:rsidP="00FB3BF0" w14:paraId="488D7F64" w14:textId="77777777">
      <w:pPr>
        <w:rPr>
          <w:sz w:val="24"/>
          <w:szCs w:val="24"/>
        </w:rPr>
      </w:pPr>
      <w:r w:rsidRPr="00FB3BF0">
        <w:rPr>
          <w:sz w:val="24"/>
          <w:szCs w:val="24"/>
        </w:rPr>
        <w:t>Fax:</w:t>
      </w:r>
      <w:r w:rsidRPr="00FB3BF0">
        <w:rPr>
          <w:sz w:val="24"/>
          <w:szCs w:val="24"/>
        </w:rPr>
        <w:tab/>
      </w:r>
      <w:r w:rsidRPr="00FB3BF0">
        <w:rPr>
          <w:sz w:val="24"/>
          <w:szCs w:val="24"/>
        </w:rPr>
        <w:tab/>
        <w:t>301-402-0280</w:t>
      </w:r>
    </w:p>
    <w:p w:rsidR="00FB3BF0" w:rsidRPr="00FB3BF0" w:rsidP="00FB3BF0" w14:paraId="775D0753" w14:textId="447343FD">
      <w:pPr>
        <w:rPr>
          <w:sz w:val="24"/>
          <w:szCs w:val="24"/>
        </w:rPr>
      </w:pPr>
      <w:r w:rsidRPr="00FB3BF0">
        <w:rPr>
          <w:sz w:val="24"/>
          <w:szCs w:val="24"/>
        </w:rPr>
        <w:t>Email:</w:t>
      </w:r>
      <w:r w:rsidRPr="00FB3BF0">
        <w:rPr>
          <w:sz w:val="24"/>
          <w:szCs w:val="24"/>
        </w:rPr>
        <w:tab/>
      </w:r>
      <w:r w:rsidRPr="00FB3BF0">
        <w:rPr>
          <w:sz w:val="24"/>
          <w:szCs w:val="24"/>
        </w:rPr>
        <w:tab/>
      </w:r>
      <w:r w:rsidRPr="0076481A" w:rsidR="0076481A">
        <w:rPr>
          <w:sz w:val="24"/>
          <w:szCs w:val="24"/>
        </w:rPr>
        <w:t>ellen</w:t>
      </w:r>
      <w:r w:rsidR="0076481A">
        <w:rPr>
          <w:sz w:val="24"/>
          <w:szCs w:val="24"/>
        </w:rPr>
        <w:t>.gadbois@nih.gov</w:t>
      </w:r>
    </w:p>
    <w:p w:rsidR="00E35DD1" w:rsidP="00BE76A7" w14:paraId="1447E9B1" w14:textId="196C5FDD">
      <w:pPr>
        <w:pStyle w:val="P1-StandPara"/>
        <w:tabs>
          <w:tab w:val="left" w:pos="720"/>
          <w:tab w:val="right" w:leader="dot" w:pos="9504"/>
        </w:tabs>
        <w:spacing w:before="120" w:line="240" w:lineRule="auto"/>
        <w:ind w:firstLine="0"/>
        <w:rPr>
          <w:rFonts w:asciiTheme="minorHAnsi" w:hAnsiTheme="minorHAnsi"/>
          <w:szCs w:val="22"/>
        </w:rPr>
      </w:pPr>
    </w:p>
    <w:p w:rsidR="00E27609" w:rsidP="00BE76A7" w14:paraId="6DA65DD3" w14:textId="226A5EDE">
      <w:pPr>
        <w:pStyle w:val="P1-StandPara"/>
        <w:tabs>
          <w:tab w:val="left" w:pos="720"/>
          <w:tab w:val="right" w:leader="dot" w:pos="9504"/>
        </w:tabs>
        <w:spacing w:before="120" w:line="240" w:lineRule="auto"/>
        <w:ind w:firstLine="0"/>
        <w:rPr>
          <w:rFonts w:asciiTheme="minorHAnsi" w:hAnsiTheme="minorHAnsi"/>
          <w:szCs w:val="22"/>
        </w:rPr>
      </w:pPr>
    </w:p>
    <w:p w:rsidR="00E27609" w:rsidP="00BE76A7" w14:paraId="65C61DD3" w14:textId="7C7303D0">
      <w:pPr>
        <w:pStyle w:val="P1-StandPara"/>
        <w:tabs>
          <w:tab w:val="left" w:pos="720"/>
          <w:tab w:val="right" w:leader="dot" w:pos="9504"/>
        </w:tabs>
        <w:spacing w:before="120" w:line="240" w:lineRule="auto"/>
        <w:ind w:firstLine="0"/>
        <w:rPr>
          <w:rFonts w:asciiTheme="minorHAnsi" w:hAnsiTheme="minorHAnsi"/>
          <w:szCs w:val="22"/>
        </w:rPr>
      </w:pPr>
    </w:p>
    <w:p w:rsidR="00E27609" w:rsidRPr="00E35DD1" w:rsidP="00BE76A7" w14:paraId="63662C6F" w14:textId="77777777">
      <w:pPr>
        <w:pStyle w:val="P1-StandPara"/>
        <w:tabs>
          <w:tab w:val="left" w:pos="720"/>
          <w:tab w:val="right" w:leader="dot" w:pos="9504"/>
        </w:tabs>
        <w:spacing w:before="120" w:line="240" w:lineRule="auto"/>
        <w:ind w:firstLine="0"/>
        <w:rPr>
          <w:rFonts w:asciiTheme="minorHAnsi" w:hAnsiTheme="minorHAnsi"/>
          <w:szCs w:val="22"/>
        </w:rPr>
      </w:pPr>
    </w:p>
    <w:p w:rsidR="00E35DD1" w:rsidRPr="00E35DD1" w:rsidP="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8F5CEE" w14:paraId="717F76FD" w14:textId="77777777">
      <w:pPr>
        <w:rPr>
          <w:rFonts w:ascii="Calibri" w:eastAsia="Times New Roman" w:hAnsi="Calibri" w:cs="Times New Roman"/>
          <w:b/>
          <w:i/>
        </w:rPr>
      </w:pPr>
      <w:r>
        <w:rPr>
          <w:rFonts w:ascii="Calibri" w:hAnsi="Calibri"/>
          <w:b/>
          <w:i/>
        </w:rPr>
        <w:br w:type="page"/>
      </w:r>
    </w:p>
    <w:p w:rsidR="008F5CEE" w:rsidP="00FC2772" w14:paraId="15C6BCA5" w14:textId="77777777">
      <w:pPr>
        <w:pStyle w:val="P1-StandPara"/>
        <w:spacing w:line="276" w:lineRule="auto"/>
        <w:ind w:firstLine="0"/>
        <w:rPr>
          <w:rFonts w:ascii="Calibri" w:hAnsi="Calibri"/>
          <w:b/>
          <w:i/>
          <w:szCs w:val="22"/>
        </w:rPr>
      </w:pPr>
      <w:r w:rsidRPr="00FC2772">
        <w:rPr>
          <w:rFonts w:ascii="Calibri" w:hAnsi="Calibri"/>
          <w:b/>
          <w:i/>
          <w:szCs w:val="22"/>
        </w:rPr>
        <w:t>Attachment</w:t>
      </w:r>
      <w:r>
        <w:rPr>
          <w:rFonts w:ascii="Calibri" w:hAnsi="Calibri"/>
          <w:b/>
          <w:i/>
          <w:szCs w:val="22"/>
        </w:rPr>
        <w:t>s</w:t>
      </w:r>
      <w:r w:rsidRPr="00FC2772">
        <w:rPr>
          <w:rFonts w:ascii="Calibri" w:hAnsi="Calibri"/>
          <w:b/>
          <w:i/>
          <w:szCs w:val="22"/>
        </w:rPr>
        <w:t xml:space="preserve">: </w:t>
      </w:r>
    </w:p>
    <w:p w:rsidR="008F5CEE" w:rsidP="00FC2772" w14:paraId="1D683C26" w14:textId="77777777">
      <w:pPr>
        <w:pStyle w:val="P1-StandPara"/>
        <w:spacing w:line="276" w:lineRule="auto"/>
        <w:ind w:firstLine="0"/>
        <w:rPr>
          <w:rFonts w:ascii="Calibri" w:hAnsi="Calibri"/>
          <w:b/>
          <w:i/>
          <w:szCs w:val="22"/>
        </w:rPr>
      </w:pPr>
    </w:p>
    <w:p w:rsidR="00FC2772" w:rsidRPr="00907667" w:rsidP="00FC2772" w14:paraId="7E5FE1AF" w14:textId="221B182F">
      <w:pPr>
        <w:pStyle w:val="P1-StandPara"/>
        <w:spacing w:line="276" w:lineRule="auto"/>
        <w:ind w:firstLine="0"/>
        <w:rPr>
          <w:rFonts w:ascii="Calibri" w:hAnsi="Calibri"/>
          <w:szCs w:val="22"/>
        </w:rPr>
      </w:pPr>
      <w:r>
        <w:rPr>
          <w:rFonts w:ascii="Calibri" w:hAnsi="Calibri"/>
          <w:szCs w:val="22"/>
        </w:rPr>
        <w:t xml:space="preserve">Attachment 1 NIH </w:t>
      </w:r>
      <w:r w:rsidRPr="00FC2772">
        <w:rPr>
          <w:rFonts w:ascii="Calibri" w:hAnsi="Calibri"/>
          <w:szCs w:val="22"/>
        </w:rPr>
        <w:t>Form 2890</w:t>
      </w:r>
      <w:r>
        <w:rPr>
          <w:rFonts w:ascii="Calibri" w:hAnsi="Calibri"/>
          <w:szCs w:val="22"/>
        </w:rPr>
        <w:t>:</w:t>
      </w:r>
      <w:r w:rsidRPr="00FC2772">
        <w:rPr>
          <w:rFonts w:ascii="Calibri" w:hAnsi="Calibri"/>
          <w:szCs w:val="22"/>
        </w:rPr>
        <w:t xml:space="preserve"> </w:t>
      </w:r>
      <w:r>
        <w:rPr>
          <w:rFonts w:ascii="Calibri" w:hAnsi="Calibri"/>
          <w:szCs w:val="22"/>
        </w:rPr>
        <w:t xml:space="preserve">Request for Human Embryonic Stem Cell Line to be Approved for Use in NIH Funded Research </w:t>
      </w:r>
    </w:p>
    <w:p w:rsidR="00E35DD1" w:rsidP="00907667" w14:paraId="31AA879B" w14:textId="20AC95FD">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fldChar w:fldCharType="end"/>
      </w:r>
      <w:r w:rsidR="00956C7B">
        <w:rPr>
          <w:rFonts w:asciiTheme="minorHAnsi" w:hAnsiTheme="minorHAnsi"/>
          <w:szCs w:val="22"/>
        </w:rPr>
        <w:t xml:space="preserve">Attachment 2 </w:t>
      </w:r>
      <w:r w:rsidR="00956C7B">
        <w:rPr>
          <w:rFonts w:ascii="Calibri" w:hAnsi="Calibri"/>
          <w:szCs w:val="22"/>
        </w:rPr>
        <w:t xml:space="preserve">NIH </w:t>
      </w:r>
      <w:r w:rsidRPr="00FC2772" w:rsidR="00956C7B">
        <w:rPr>
          <w:rFonts w:ascii="Calibri" w:hAnsi="Calibri"/>
          <w:szCs w:val="22"/>
        </w:rPr>
        <w:t>Form 2890</w:t>
      </w:r>
      <w:r w:rsidR="00956C7B">
        <w:rPr>
          <w:rStyle w:val="CommentReference"/>
          <w:rFonts w:asciiTheme="minorHAnsi" w:eastAsiaTheme="minorEastAsia" w:hAnsiTheme="minorHAnsi" w:cstheme="minorBidi"/>
        </w:rPr>
        <w:t xml:space="preserve"> </w:t>
      </w:r>
      <w:r w:rsidR="008F5CEE">
        <w:rPr>
          <w:rFonts w:asciiTheme="minorHAnsi" w:hAnsiTheme="minorHAnsi"/>
          <w:szCs w:val="22"/>
        </w:rPr>
        <w:t>Privacy Impact Assessment</w:t>
      </w:r>
    </w:p>
    <w:p w:rsidR="00BE05DD" w:rsidP="00907667" w14:paraId="1802D039" w14:textId="303151ED">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Attachment 3 30-day Federal Register Notice</w:t>
      </w:r>
    </w:p>
    <w:p w:rsidR="00767E18" w14:paraId="268FDB2B" w14:textId="77777777">
      <w:pPr>
        <w:rPr>
          <w:rFonts w:eastAsia="Times New Roman" w:cs="Times New Roman"/>
          <w:b/>
        </w:rPr>
      </w:pPr>
      <w:r>
        <w:rPr>
          <w:b/>
        </w:rPr>
        <w:br w:type="page"/>
      </w:r>
    </w:p>
    <w:p w:rsidR="006A45F9" w:rsidP="00BE76A7" w14:paraId="605173DA" w14:textId="3FBBE6BE">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976490" w:rsidRPr="00BE4B93" w:rsidP="007C31EB" w14:paraId="4FF2901B" w14:textId="7F16F253">
      <w:pPr>
        <w:spacing w:line="276" w:lineRule="auto"/>
        <w:rPr>
          <w:b/>
        </w:rPr>
      </w:pPr>
      <w:r w:rsidRPr="00BE4B93">
        <w:t>This is an extension of 0925-0601, Request for Human Embryonic Stem Cell Line to be Approved for Use in NIH Funded Research.</w:t>
      </w:r>
      <w:r w:rsidRPr="00BE4B93">
        <w:rPr>
          <w:b/>
        </w:rPr>
        <w:t xml:space="preserve"> </w:t>
      </w:r>
      <w:r w:rsidRPr="00BE4B93">
        <w:t>Executive Order (EO) 13505 states that NIH may support and conduct responsible, scientifically worthy human stem cell research, including human embryonic stem cell (</w:t>
      </w:r>
      <w:r w:rsidRPr="00BE4B93">
        <w:t>hESC</w:t>
      </w:r>
      <w:r w:rsidRPr="00BE4B93">
        <w:t xml:space="preserve">) research. The NIH Guidelines for Human Stem Cell Research (Guidelines), implementing the EO, </w:t>
      </w:r>
      <w:r w:rsidRPr="00BE4B93">
        <w:rPr>
          <w:lang w:val="en"/>
        </w:rPr>
        <w:t>established a</w:t>
      </w:r>
      <w:r w:rsidR="007529A2">
        <w:rPr>
          <w:lang w:val="en"/>
        </w:rPr>
        <w:t>n</w:t>
      </w:r>
      <w:r w:rsidRPr="00BE4B93">
        <w:rPr>
          <w:lang w:val="en"/>
        </w:rPr>
        <w:t xml:space="preserve"> NIH Registry of eligible </w:t>
      </w:r>
      <w:r w:rsidRPr="00BE4B93">
        <w:rPr>
          <w:lang w:val="en"/>
        </w:rPr>
        <w:t>hESC</w:t>
      </w:r>
      <w:r w:rsidRPr="00BE4B93">
        <w:rPr>
          <w:lang w:val="en"/>
        </w:rPr>
        <w:t xml:space="preserve"> lines that comply with the set of standards described in the Guidelines. </w:t>
      </w:r>
      <w:r w:rsidRPr="00BE4B93">
        <w:t xml:space="preserve">The Request for Human Embryonic Stem Cell Line to be Approved for Use in NIH Funded Research will continue to be used by respondents who have </w:t>
      </w:r>
      <w:r w:rsidRPr="00BE4B93">
        <w:t>hESC</w:t>
      </w:r>
      <w:r w:rsidRPr="00BE4B93">
        <w:t xml:space="preserve"> lines and wish for the lines to be approved for use in NIH funded research.  </w:t>
      </w:r>
    </w:p>
    <w:p w:rsidR="000F3043" w:rsidRPr="00E35DD1" w:rsidP="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BE4B93" w:rsidRPr="00BE4B93" w:rsidP="00BE4B93" w14:paraId="50E4AC89" w14:textId="5C31CED8">
      <w:pPr>
        <w:pStyle w:val="P1-StandPara"/>
        <w:tabs>
          <w:tab w:val="left" w:pos="720"/>
          <w:tab w:val="right" w:leader="dot" w:pos="9504"/>
        </w:tabs>
        <w:spacing w:before="120" w:after="120" w:line="276" w:lineRule="auto"/>
        <w:ind w:firstLine="0"/>
        <w:rPr>
          <w:rFonts w:ascii="Calibri" w:hAnsi="Calibri"/>
          <w:szCs w:val="22"/>
        </w:rPr>
      </w:pPr>
      <w:bookmarkStart w:id="0" w:name="_Toc443881743"/>
      <w:bookmarkStart w:id="1" w:name="_Toc451592232"/>
      <w:bookmarkStart w:id="2" w:name="_Toc5610273"/>
      <w:bookmarkStart w:id="3" w:name="_Toc99178779"/>
      <w:r w:rsidRPr="00BE4B93">
        <w:rPr>
          <w:rFonts w:ascii="Calibri" w:hAnsi="Calibri"/>
          <w:szCs w:val="22"/>
        </w:rPr>
        <w:t xml:space="preserve">President Barack H. Obama issued Executive Order (EO) 13505 </w:t>
      </w:r>
      <w:r w:rsidRPr="00BE4B93">
        <w:rPr>
          <w:rFonts w:ascii="Calibri" w:hAnsi="Calibri"/>
          <w:i/>
          <w:iCs/>
          <w:szCs w:val="22"/>
        </w:rPr>
        <w:t>Removing Barriers to Responsible Scientific Research Involving Human Stem Cells</w:t>
      </w:r>
      <w:r w:rsidRPr="00BE4B93">
        <w:rPr>
          <w:rFonts w:ascii="Calibri" w:hAnsi="Calibri"/>
          <w:iCs/>
          <w:szCs w:val="22"/>
        </w:rPr>
        <w:t xml:space="preserve"> on March 9, 2009</w:t>
      </w:r>
      <w:r w:rsidRPr="00BE4B93">
        <w:rPr>
          <w:rFonts w:ascii="Calibri" w:hAnsi="Calibri"/>
          <w:i/>
          <w:iCs/>
          <w:szCs w:val="22"/>
        </w:rPr>
        <w:t>.</w:t>
      </w:r>
      <w:r w:rsidRPr="00BE4B93">
        <w:rPr>
          <w:rFonts w:ascii="Calibri" w:hAnsi="Calibri"/>
          <w:szCs w:val="22"/>
        </w:rPr>
        <w:t>  The EO state</w:t>
      </w:r>
      <w:r w:rsidR="007529A2">
        <w:rPr>
          <w:rFonts w:ascii="Calibri" w:hAnsi="Calibri"/>
          <w:szCs w:val="22"/>
        </w:rPr>
        <w:t>d</w:t>
      </w:r>
      <w:r w:rsidRPr="00BE4B93">
        <w:rPr>
          <w:rFonts w:ascii="Calibri" w:hAnsi="Calibri"/>
          <w:szCs w:val="22"/>
        </w:rPr>
        <w:t xml:space="preserve"> that the Secretary of Health and Human Services, through the Director of NIH, may support and conduct responsible, scientifically worthy human stem cell research, including human embryonic stem cell (</w:t>
      </w:r>
      <w:r w:rsidRPr="00BE4B93">
        <w:rPr>
          <w:rFonts w:ascii="Calibri" w:hAnsi="Calibri"/>
          <w:szCs w:val="22"/>
        </w:rPr>
        <w:t>hESC</w:t>
      </w:r>
      <w:r w:rsidRPr="00BE4B93">
        <w:rPr>
          <w:rFonts w:ascii="Calibri" w:hAnsi="Calibri"/>
          <w:szCs w:val="22"/>
        </w:rPr>
        <w:t>) research, to the extent permitted by law. The EO also direct</w:t>
      </w:r>
      <w:r w:rsidR="007529A2">
        <w:rPr>
          <w:rFonts w:ascii="Calibri" w:hAnsi="Calibri"/>
          <w:szCs w:val="22"/>
        </w:rPr>
        <w:t>ed</w:t>
      </w:r>
      <w:r w:rsidRPr="00BE4B93">
        <w:rPr>
          <w:rFonts w:ascii="Calibri" w:hAnsi="Calibri"/>
          <w:szCs w:val="22"/>
        </w:rPr>
        <w:t xml:space="preserve"> the Secretary, through the Director of NIH, to review existing NIH guidance and other widely recognized guidelines on human stem cell research, including provisions establishing appropriate safeguards, and issue new NIH Guidelines on such research.</w:t>
      </w:r>
    </w:p>
    <w:p w:rsidR="00BE4B93" w:rsidRPr="00BE4B93" w:rsidP="00BE4B93" w14:paraId="6FBBE686" w14:textId="7168AC04">
      <w:pPr>
        <w:pStyle w:val="P1-StandPara"/>
        <w:tabs>
          <w:tab w:val="left" w:pos="720"/>
          <w:tab w:val="right" w:leader="dot" w:pos="9504"/>
        </w:tabs>
        <w:spacing w:before="120" w:after="120" w:line="276" w:lineRule="auto"/>
        <w:ind w:firstLine="0"/>
        <w:rPr>
          <w:rFonts w:ascii="Calibri" w:hAnsi="Calibri"/>
          <w:szCs w:val="22"/>
        </w:rPr>
      </w:pPr>
      <w:r w:rsidRPr="00BE4B93">
        <w:rPr>
          <w:rFonts w:ascii="Calibri" w:hAnsi="Calibri"/>
          <w:szCs w:val="22"/>
        </w:rPr>
        <w:t xml:space="preserve">The NIH Guidelines for Human Stem Cell Research (Guidelines) implementing the EO and establishing policy and procedures under which the NIH will fund such research became effective on July 7, 2009, and are available at </w:t>
      </w:r>
      <w:hyperlink r:id="rId6" w:history="1">
        <w:r w:rsidRPr="00BE4B93">
          <w:rPr>
            <w:rStyle w:val="Hyperlink"/>
            <w:rFonts w:ascii="Calibri" w:hAnsi="Calibri"/>
            <w:szCs w:val="22"/>
          </w:rPr>
          <w:t>http://stemcells.nih.gov/policy/pages/2009guidelines.aspx</w:t>
        </w:r>
      </w:hyperlink>
      <w:r w:rsidRPr="00BE4B93">
        <w:rPr>
          <w:rFonts w:ascii="Calibri" w:hAnsi="Calibri"/>
          <w:szCs w:val="22"/>
        </w:rPr>
        <w:t xml:space="preserve">. The Guidelines </w:t>
      </w:r>
      <w:r w:rsidRPr="00BE4B93">
        <w:rPr>
          <w:rFonts w:ascii="Calibri" w:hAnsi="Calibri"/>
          <w:szCs w:val="22"/>
          <w:lang w:val="en"/>
        </w:rPr>
        <w:t xml:space="preserve">provide scientists who apply for NIH funding with a specific set of standards reflecting currently recognized ethical principles and practices specific to embryo donation, </w:t>
      </w:r>
      <w:r w:rsidRPr="00BE4B93">
        <w:rPr>
          <w:rFonts w:ascii="Calibri" w:hAnsi="Calibri"/>
          <w:szCs w:val="22"/>
        </w:rPr>
        <w:t xml:space="preserve">prescribe the assurances and supporting documentation necessary for NIH funding of research using </w:t>
      </w:r>
      <w:r w:rsidRPr="00BE4B93">
        <w:rPr>
          <w:rFonts w:ascii="Calibri" w:hAnsi="Calibri"/>
          <w:szCs w:val="22"/>
        </w:rPr>
        <w:t>hESCs</w:t>
      </w:r>
      <w:r w:rsidRPr="00BE4B93">
        <w:rPr>
          <w:rFonts w:ascii="Calibri" w:hAnsi="Calibri"/>
          <w:szCs w:val="22"/>
        </w:rPr>
        <w:t xml:space="preserve">, and describe research that is not eligible for NIH funding.  </w:t>
      </w:r>
      <w:r w:rsidRPr="00BE4B93">
        <w:rPr>
          <w:rFonts w:ascii="Calibri" w:hAnsi="Calibri"/>
          <w:szCs w:val="22"/>
          <w:lang w:val="en"/>
        </w:rPr>
        <w:t xml:space="preserve">The Guidelines established a new NIH Registry of eligible </w:t>
      </w:r>
      <w:r w:rsidRPr="00BE4B93">
        <w:rPr>
          <w:rFonts w:ascii="Calibri" w:hAnsi="Calibri"/>
          <w:szCs w:val="22"/>
          <w:lang w:val="en"/>
        </w:rPr>
        <w:t>hESC</w:t>
      </w:r>
      <w:r w:rsidRPr="00BE4B93">
        <w:rPr>
          <w:rFonts w:ascii="Calibri" w:hAnsi="Calibri"/>
          <w:szCs w:val="22"/>
          <w:lang w:val="en"/>
        </w:rPr>
        <w:t xml:space="preserve"> lines that comply with the set of standards described in the Guidelines.  NIH also posts information on </w:t>
      </w:r>
      <w:r w:rsidR="00261DF8">
        <w:rPr>
          <w:rFonts w:ascii="Calibri" w:hAnsi="Calibri"/>
          <w:szCs w:val="22"/>
          <w:lang w:val="en"/>
        </w:rPr>
        <w:t xml:space="preserve">cell </w:t>
      </w:r>
      <w:r w:rsidRPr="00BE4B93">
        <w:rPr>
          <w:rFonts w:ascii="Calibri" w:hAnsi="Calibri"/>
          <w:szCs w:val="22"/>
          <w:lang w:val="en"/>
        </w:rPr>
        <w:t xml:space="preserve">lines that are not approved for use in NIH funding.  </w:t>
      </w:r>
    </w:p>
    <w:p w:rsidR="000F3043" w:rsidRPr="00714BFA" w:rsidP="000F3043" w14:paraId="6713C5AA" w14:textId="77777777">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5D6DE9" w:rsidRPr="00982A3A" w:rsidP="005D6DE9" w14:paraId="07BB96D2" w14:textId="40F19E82">
      <w:r w:rsidRPr="005D6DE9">
        <w:t>The Request for Human Embryonic Stem Cell Line to be Approved for Use in NIH Funded Research (hereafter referred to as Form 2890</w:t>
      </w:r>
      <w:r w:rsidR="009206E5">
        <w:t>; see Attachment 1</w:t>
      </w:r>
      <w:r w:rsidRPr="005D6DE9">
        <w:t xml:space="preserve">) will continue to be used by respondents who have </w:t>
      </w:r>
      <w:r w:rsidRPr="005D6DE9">
        <w:t>hESC</w:t>
      </w:r>
      <w:r w:rsidRPr="005D6DE9">
        <w:t xml:space="preserve"> lines and wish for the lines to be approved for use in NIH funded research.  NIH will continue to review the requests in accord with the NIH Guidelines, by either Administrative Review, or review by the Working Group of the Advisory Committee to the [NIH] Director.  Those </w:t>
      </w:r>
      <w:r w:rsidRPr="005D6DE9">
        <w:t>hESC</w:t>
      </w:r>
      <w:r w:rsidRPr="005D6DE9">
        <w:t xml:space="preserve"> lines that NIH determines meet the criteria of the Guidelines will continue to be posted on the NIH Registry and NIH funded researchers will continue to be required to reference the </w:t>
      </w:r>
      <w:r w:rsidRPr="005D6DE9">
        <w:t>hESC</w:t>
      </w:r>
      <w:r w:rsidRPr="005D6DE9">
        <w:t xml:space="preserve"> lines from the Registry proposed to be used when applying to the NIH for research funding that involves the use of </w:t>
      </w:r>
      <w:r w:rsidRPr="005D6DE9">
        <w:t>hESCs</w:t>
      </w:r>
      <w:r w:rsidRPr="005D6DE9">
        <w:t xml:space="preserve">. The information also will be used for program management, as well as for reporting to Congress and to the public on </w:t>
      </w:r>
      <w:r w:rsidRPr="005D6DE9">
        <w:t>hESC</w:t>
      </w:r>
      <w:r w:rsidRPr="005D6DE9">
        <w:t xml:space="preserve"> lines that are eligible for NIH funding.  </w:t>
      </w:r>
      <w:r w:rsidRPr="005D7C27">
        <w:t xml:space="preserve">Applicants will cite the lines on the PHS 398 and 398 components and the PHS 416, approved by OMB under 0925-0001, Expiration Date: </w:t>
      </w:r>
      <w:r w:rsidR="008A05E8">
        <w:t>September 30, 2024</w:t>
      </w:r>
      <w:r w:rsidRPr="005D7C27">
        <w:t>; and the PHS</w:t>
      </w:r>
      <w:r w:rsidR="00056F5C">
        <w:t xml:space="preserve"> </w:t>
      </w:r>
      <w:r w:rsidRPr="005D7C27">
        <w:t xml:space="preserve">2590 and NIH Implementation of the Research Performance Progress Report (RPPR) approved by OMB under 0925-0002, </w:t>
      </w:r>
      <w:r w:rsidRPr="005D7C27">
        <w:t xml:space="preserve">Expiration Date: </w:t>
      </w:r>
      <w:r w:rsidR="007F762B">
        <w:t>September 30, 2024</w:t>
      </w:r>
      <w:r w:rsidRPr="005D7C27">
        <w:t xml:space="preserve">. </w:t>
      </w:r>
      <w:r w:rsidR="00E81D13">
        <w:t>During the last three years</w:t>
      </w:r>
      <w:r w:rsidRPr="005D7C27">
        <w:t xml:space="preserve">, NIH has approved </w:t>
      </w:r>
      <w:r w:rsidR="005F4422">
        <w:t>77</w:t>
      </w:r>
      <w:r w:rsidRPr="005D7C27">
        <w:t xml:space="preserve"> </w:t>
      </w:r>
      <w:r w:rsidR="00261DF8">
        <w:t>hESC</w:t>
      </w:r>
      <w:r w:rsidR="00261DF8">
        <w:t xml:space="preserve"> lines </w:t>
      </w:r>
      <w:r w:rsidRPr="005D7C27">
        <w:t>for use in NIH-funded research</w:t>
      </w:r>
      <w:r w:rsidRPr="00982A3A" w:rsidR="00982A3A">
        <w:rPr>
          <w:rFonts w:cs="Times New Roman"/>
        </w:rPr>
        <w:t>.</w:t>
      </w:r>
    </w:p>
    <w:p w:rsidR="00A00CF8" w:rsidRPr="00E35DD1" w:rsidP="00A00CF8" w14:paraId="771476A4" w14:textId="77777777">
      <w:pPr>
        <w:rPr>
          <w:b/>
          <w:color w:val="000000" w:themeColor="text1"/>
        </w:rPr>
      </w:pPr>
      <w:r w:rsidRPr="00E35DD1">
        <w:rPr>
          <w:b/>
          <w:color w:val="000000" w:themeColor="text1"/>
        </w:rPr>
        <w:t>A.3     Use of Information Technology and Burden Reduction</w:t>
      </w:r>
    </w:p>
    <w:p w:rsidR="000C3CC7" w:rsidRPr="000C3CC7" w:rsidP="000C3CC7" w14:paraId="3C40098B" w14:textId="77777777">
      <w:pPr>
        <w:rPr>
          <w:color w:val="000000"/>
        </w:rPr>
      </w:pPr>
      <w:bookmarkStart w:id="4" w:name="_Toc443881745"/>
      <w:bookmarkStart w:id="5" w:name="_Toc451592234"/>
      <w:bookmarkStart w:id="6" w:name="_Toc5610275"/>
      <w:bookmarkStart w:id="7" w:name="_Toc99178781"/>
      <w:r w:rsidRPr="000C3CC7">
        <w:rPr>
          <w:color w:val="000000"/>
        </w:rPr>
        <w:t xml:space="preserve">Form 2890 will </w:t>
      </w:r>
      <w:r w:rsidRPr="000C3CC7">
        <w:t xml:space="preserve">continue to </w:t>
      </w:r>
      <w:r w:rsidRPr="000C3CC7">
        <w:rPr>
          <w:color w:val="000000"/>
        </w:rPr>
        <w:t xml:space="preserve">be provided exclusively in a web-based format on the NIH web site, and electronic submission of the data-collection instrument is authenticated against personal profiles and sign-on credentials in the </w:t>
      </w:r>
      <w:r w:rsidRPr="000C3CC7">
        <w:rPr>
          <w:color w:val="000000"/>
        </w:rPr>
        <w:t>eRA</w:t>
      </w:r>
      <w:r w:rsidRPr="000C3CC7">
        <w:rPr>
          <w:color w:val="000000"/>
        </w:rPr>
        <w:t xml:space="preserve"> Commons database.  To the extent possible, data contained in the </w:t>
      </w:r>
      <w:r w:rsidRPr="000C3CC7">
        <w:rPr>
          <w:color w:val="000000"/>
        </w:rPr>
        <w:t>eRA</w:t>
      </w:r>
      <w:r w:rsidRPr="000C3CC7">
        <w:rPr>
          <w:color w:val="000000"/>
        </w:rPr>
        <w:t xml:space="preserve"> Commons account of the respondent is used to pre-populate the respondent’s name, </w:t>
      </w:r>
      <w:r w:rsidRPr="000C3CC7">
        <w:rPr>
          <w:color w:val="000000"/>
        </w:rPr>
        <w:t>institution</w:t>
      </w:r>
      <w:r w:rsidRPr="000C3CC7">
        <w:rPr>
          <w:color w:val="000000"/>
        </w:rPr>
        <w:t xml:space="preserve"> and contact information on Form 2890 to reduce the need for respondents to enter data already in an NIH system.  The web-based Form 2890 is fully integrated with existing electronic systems to minimize the new data being collected.  In addition, the NIH Registry is integrated with existing electronic systems used to support NIH grant application processes.</w:t>
      </w:r>
    </w:p>
    <w:p w:rsidR="000C3CC7" w:rsidRPr="000C3CC7" w:rsidP="000C3CC7" w14:paraId="7FBAF8E0" w14:textId="08A8E455">
      <w:r w:rsidRPr="000C3CC7">
        <w:t>The IT System owner/manager conducted a Privacy Impact Assessment</w:t>
      </w:r>
      <w:r w:rsidR="00A917C5">
        <w:t xml:space="preserve"> (see Attachment 2)</w:t>
      </w:r>
      <w:r w:rsidRPr="000C3CC7">
        <w:t>, which was reviewed and approved by the NIH Senior Official for Privacy and has been renewed yearly.</w:t>
      </w:r>
    </w:p>
    <w:p w:rsidR="00685B30" w:rsidRPr="00C4161B" w:rsidP="00685B30" w14:paraId="2634512F"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0045089D" w:rsidRPr="0045089D" w:rsidP="0045089D" w14:paraId="7C07CF48" w14:textId="3AEF7875">
      <w:bookmarkStart w:id="8" w:name="_Toc443881746"/>
      <w:bookmarkStart w:id="9" w:name="_Toc451592235"/>
      <w:bookmarkStart w:id="10" w:name="_Toc5610276"/>
      <w:bookmarkStart w:id="11" w:name="_Toc99178782"/>
      <w:r w:rsidRPr="006B4B35">
        <w:t>T</w:t>
      </w:r>
      <w:r w:rsidRPr="006B4B35" w:rsidR="000B15D8">
        <w:t xml:space="preserve">here </w:t>
      </w:r>
      <w:r w:rsidRPr="006B4B35" w:rsidR="00294DAE">
        <w:t xml:space="preserve">is </w:t>
      </w:r>
      <w:r w:rsidRPr="006B4B35" w:rsidR="000B15D8">
        <w:t>no duplication in data collection</w:t>
      </w:r>
      <w:r w:rsidRPr="006B4B35" w:rsidR="003541AB">
        <w:t xml:space="preserve"> </w:t>
      </w:r>
      <w:r w:rsidRPr="006B4B35" w:rsidR="005C20AC">
        <w:t xml:space="preserve">by NIH </w:t>
      </w:r>
      <w:r w:rsidRPr="006B4B35" w:rsidR="003541AB">
        <w:t xml:space="preserve">about </w:t>
      </w:r>
      <w:r w:rsidRPr="006B4B35" w:rsidR="003541AB">
        <w:t>hESC</w:t>
      </w:r>
      <w:r w:rsidRPr="006B4B35" w:rsidR="003541AB">
        <w:t xml:space="preserve"> lines</w:t>
      </w:r>
      <w:r w:rsidRPr="006B4B35" w:rsidR="000B15D8">
        <w:t>, and no change</w:t>
      </w:r>
      <w:r w:rsidRPr="006B4B35" w:rsidR="00666E5E">
        <w:t>s</w:t>
      </w:r>
      <w:r w:rsidRPr="006B4B35" w:rsidR="000B15D8">
        <w:t xml:space="preserve"> </w:t>
      </w:r>
      <w:r w:rsidRPr="006B4B35" w:rsidR="006C134F">
        <w:t xml:space="preserve">regarding the collection of information </w:t>
      </w:r>
      <w:r w:rsidRPr="006B4B35" w:rsidR="00666E5E">
        <w:t xml:space="preserve">are </w:t>
      </w:r>
      <w:r w:rsidRPr="006B4B35" w:rsidR="000B15D8">
        <w:t>proposed in this extension request.</w:t>
      </w:r>
      <w:r w:rsidR="000B15D8">
        <w:t xml:space="preserve"> </w:t>
      </w:r>
    </w:p>
    <w:p w:rsidR="00685B30" w:rsidRPr="00C4161B" w:rsidP="00685B30" w14:paraId="2E53429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0045089D" w:rsidRPr="0045089D" w:rsidP="0045089D" w14:paraId="0F0B7B56" w14:textId="77777777">
      <w:bookmarkStart w:id="12" w:name="_Toc443881747"/>
      <w:bookmarkStart w:id="13" w:name="_Toc451592236"/>
      <w:bookmarkStart w:id="14" w:name="_Toc5610277"/>
      <w:bookmarkStart w:id="15" w:name="_Toc99178783"/>
      <w:r w:rsidRPr="0045089D">
        <w:rPr>
          <w:bCs/>
        </w:rPr>
        <w:t xml:space="preserve">The procedures for small businesses and other small entities are the same as for other respondents and do not require special accommodation.  </w:t>
      </w:r>
    </w:p>
    <w:p w:rsidR="00685B30" w:rsidRPr="00C4161B" w:rsidP="00685B30" w14:paraId="4DCCFE8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0045089D" w:rsidRPr="0045089D" w:rsidP="0045089D" w14:paraId="23F89132" w14:textId="77777777">
      <w:pPr>
        <w:rPr>
          <w:bCs/>
        </w:rPr>
      </w:pPr>
      <w:bookmarkStart w:id="16" w:name="_Toc443881748"/>
      <w:bookmarkStart w:id="17" w:name="_Toc451592237"/>
      <w:bookmarkStart w:id="18" w:name="_Toc5610278"/>
      <w:bookmarkStart w:id="19" w:name="_Toc99178784"/>
      <w:r w:rsidRPr="0045089D">
        <w:t xml:space="preserve">Form 2890 </w:t>
      </w:r>
      <w:r w:rsidRPr="0045089D">
        <w:rPr>
          <w:bCs/>
        </w:rPr>
        <w:t xml:space="preserve">represents a one-time information collection.   NIH decisions regarding the inclusion on the Registry of an </w:t>
      </w:r>
      <w:r w:rsidRPr="0045089D">
        <w:rPr>
          <w:bCs/>
        </w:rPr>
        <w:t>hESC</w:t>
      </w:r>
      <w:r w:rsidRPr="0045089D">
        <w:rPr>
          <w:bCs/>
        </w:rPr>
        <w:t xml:space="preserve"> line as eligible for NIH funding are generally final.</w:t>
      </w:r>
    </w:p>
    <w:p w:rsidR="00685B30" w:rsidRPr="00C4161B" w:rsidP="00685B30" w14:paraId="50FA46DF" w14:textId="77777777">
      <w:pPr>
        <w:pStyle w:val="Heading2"/>
        <w:spacing w:line="480"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16"/>
      <w:bookmarkEnd w:id="17"/>
      <w:bookmarkEnd w:id="18"/>
      <w:bookmarkEnd w:id="19"/>
    </w:p>
    <w:p w:rsidR="002C6BE8" w:rsidRPr="002C6BE8" w:rsidP="002C6BE8" w14:paraId="7FA5999F" w14:textId="77777777">
      <w:pPr>
        <w:rPr>
          <w:color w:val="A6A6A6"/>
        </w:rPr>
      </w:pPr>
      <w:r w:rsidRPr="002C6BE8">
        <w:t>No special circumstances are anticipated.</w:t>
      </w:r>
      <w:r w:rsidRPr="002C6BE8">
        <w:rPr>
          <w:bCs/>
        </w:rPr>
        <w:t xml:space="preserve">  </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E35DD1" w14:paraId="42BE9D3A" w14:textId="758A1236">
      <w:pPr>
        <w:pStyle w:val="Heading2"/>
        <w:ind w:left="720" w:hanging="720"/>
        <w:rPr>
          <w:rFonts w:asciiTheme="minorHAnsi" w:hAnsiTheme="minorHAnsi"/>
          <w:b/>
          <w:color w:val="auto"/>
          <w:sz w:val="22"/>
          <w:szCs w:val="22"/>
        </w:rPr>
      </w:pPr>
      <w:bookmarkStart w:id="20" w:name="_Toc443881749"/>
      <w:bookmarkStart w:id="21" w:name="_Toc451592238"/>
      <w:bookmarkStart w:id="22" w:name="_Toc5610279"/>
      <w:bookmarkStart w:id="23" w:name="_Toc99178785"/>
      <w:r w:rsidRPr="00C4161B">
        <w:rPr>
          <w:rFonts w:asciiTheme="minorHAnsi" w:hAnsiTheme="minorHAnsi"/>
          <w:b/>
          <w:color w:val="auto"/>
          <w:sz w:val="22"/>
          <w:szCs w:val="22"/>
        </w:rPr>
        <w:t>A.8</w:t>
      </w:r>
      <w:r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0"/>
    <w:bookmarkEnd w:id="21"/>
    <w:bookmarkEnd w:id="22"/>
    <w:bookmarkEnd w:id="23"/>
    <w:p w:rsidR="002C6BE8" w:rsidP="002C6BE8" w14:paraId="211D3937" w14:textId="78F716EB"/>
    <w:p w:rsidR="005844D2" w:rsidP="002C6BE8" w14:paraId="3A3729F6" w14:textId="03D8C717">
      <w:r>
        <w:t xml:space="preserve">The 60-day FR Notice concerning Form 2890 was published on </w:t>
      </w:r>
      <w:r w:rsidR="00520960">
        <w:t>June 8</w:t>
      </w:r>
      <w:r>
        <w:t xml:space="preserve">, </w:t>
      </w:r>
      <w:r w:rsidR="00412844">
        <w:t>2022</w:t>
      </w:r>
      <w:r>
        <w:t xml:space="preserve">, </w:t>
      </w:r>
      <w:r w:rsidR="00AB6684">
        <w:t>volume</w:t>
      </w:r>
      <w:r w:rsidR="00520960">
        <w:t xml:space="preserve"> 87</w:t>
      </w:r>
      <w:r w:rsidR="00AB6684">
        <w:t xml:space="preserve">, number </w:t>
      </w:r>
      <w:r w:rsidR="00520960">
        <w:t>110</w:t>
      </w:r>
      <w:r w:rsidR="00AB6684">
        <w:t xml:space="preserve">, </w:t>
      </w:r>
      <w:r w:rsidR="00030C39">
        <w:t>pages 34892</w:t>
      </w:r>
      <w:r w:rsidR="00520960">
        <w:rPr>
          <w:rStyle w:val="normaltextrun"/>
          <w:color w:val="000000"/>
          <w:shd w:val="clear" w:color="auto" w:fill="FFFFFF"/>
        </w:rPr>
        <w:t>-34893</w:t>
      </w:r>
      <w:r w:rsidR="009B5594">
        <w:rPr>
          <w:rStyle w:val="normaltextrun"/>
          <w:color w:val="000000"/>
          <w:shd w:val="clear" w:color="auto" w:fill="FFFFFF"/>
        </w:rPr>
        <w:t xml:space="preserve"> (87 FR 34892)</w:t>
      </w:r>
      <w:r>
        <w:t xml:space="preserve">; </w:t>
      </w:r>
      <w:r w:rsidR="00520960">
        <w:t xml:space="preserve">no </w:t>
      </w:r>
      <w:r>
        <w:t xml:space="preserve">comments were received. </w:t>
      </w:r>
    </w:p>
    <w:p w:rsidR="00520960" w:rsidP="00EC5FDD" w14:paraId="74A7678E" w14:textId="77777777">
      <w:pPr>
        <w:pStyle w:val="Heading2"/>
        <w:spacing w:before="0"/>
        <w:ind w:left="720" w:hanging="720"/>
        <w:rPr>
          <w:rFonts w:asciiTheme="minorHAnsi" w:hAnsiTheme="minorHAnsi"/>
          <w:b/>
          <w:color w:val="auto"/>
          <w:sz w:val="22"/>
          <w:szCs w:val="22"/>
        </w:rPr>
      </w:pPr>
    </w:p>
    <w:p w:rsidR="0036208F" w:rsidP="00EC5FDD" w14:paraId="51C2EE07" w14:textId="4BD63B22">
      <w:pPr>
        <w:pStyle w:val="Heading2"/>
        <w:spacing w:before="0"/>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C66889" w:rsidP="00EC5FDD" w14:paraId="14D1F0E7" w14:textId="77777777"/>
    <w:p w:rsidR="002C6BE8" w:rsidRPr="002C6BE8" w:rsidP="00EC5FDD" w14:paraId="290D9697" w14:textId="6434015C">
      <w:r>
        <w:t xml:space="preserve">Within the last three years, </w:t>
      </w:r>
      <w:r w:rsidR="00C66889">
        <w:t xml:space="preserve">Office of the Director staff have </w:t>
      </w:r>
      <w:r w:rsidR="00B910A0">
        <w:t>worked with</w:t>
      </w:r>
      <w:r w:rsidR="00911FFD">
        <w:t xml:space="preserve"> </w:t>
      </w:r>
      <w:r w:rsidR="00AA2D9A">
        <w:t xml:space="preserve">several </w:t>
      </w:r>
      <w:r w:rsidR="00911FFD">
        <w:t>applicant</w:t>
      </w:r>
      <w:r w:rsidR="00AA2D9A">
        <w:t>s</w:t>
      </w:r>
      <w:r w:rsidR="00911FFD">
        <w:t xml:space="preserve"> </w:t>
      </w:r>
      <w:r w:rsidR="00B910A0">
        <w:t xml:space="preserve">to </w:t>
      </w:r>
      <w:r w:rsidR="00793B0F">
        <w:t xml:space="preserve">clarify the information requested in order for </w:t>
      </w:r>
      <w:r w:rsidR="00740DAF">
        <w:t xml:space="preserve">the review process </w:t>
      </w:r>
      <w:r w:rsidR="0098046C">
        <w:t xml:space="preserve">to </w:t>
      </w:r>
      <w:r w:rsidR="00740DAF">
        <w:t>proceed</w:t>
      </w:r>
      <w:r w:rsidR="00911FFD">
        <w:t xml:space="preserve">. </w:t>
      </w:r>
    </w:p>
    <w:p w:rsidR="00685B30" w:rsidRPr="00E35DD1" w:rsidP="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EC5FDD" w:rsidRPr="00EC5FDD" w:rsidP="00EC5FDD" w14:paraId="499D5688" w14:textId="3828C124">
      <w:pPr>
        <w:pStyle w:val="P1-StandPara"/>
        <w:spacing w:line="276" w:lineRule="auto"/>
        <w:ind w:firstLine="0"/>
        <w:rPr>
          <w:rFonts w:ascii="Calibri" w:hAnsi="Calibri"/>
          <w:szCs w:val="22"/>
        </w:rPr>
      </w:pPr>
      <w:r w:rsidRPr="00EC5FDD">
        <w:rPr>
          <w:rFonts w:ascii="Calibri" w:hAnsi="Calibri"/>
          <w:szCs w:val="22"/>
        </w:rPr>
        <w:t xml:space="preserve">There are no plans for payments or gifts to respondents.  </w:t>
      </w:r>
    </w:p>
    <w:p w:rsidR="00EC5FDD" w:rsidRPr="00145394" w:rsidP="00EC5FDD" w14:paraId="0E865E05" w14:textId="77777777">
      <w:pPr>
        <w:pStyle w:val="P1-StandPara"/>
        <w:spacing w:line="276" w:lineRule="auto"/>
        <w:ind w:firstLine="0"/>
        <w:rPr>
          <w:rFonts w:ascii="Calibri" w:hAnsi="Calibri"/>
          <w:sz w:val="24"/>
          <w:szCs w:val="24"/>
        </w:rPr>
      </w:pPr>
    </w:p>
    <w:p w:rsidR="00685B30" w:rsidRPr="00E35DD1" w:rsidP="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EC5FDD" w:rsidRPr="00EC5FDD" w:rsidP="00EC5FDD" w14:paraId="3F7874E3" w14:textId="19A414F6">
      <w:pPr>
        <w:pStyle w:val="P1-StandPara"/>
        <w:spacing w:line="276" w:lineRule="auto"/>
        <w:ind w:firstLine="0"/>
        <w:rPr>
          <w:rFonts w:ascii="Calibri" w:hAnsi="Calibri"/>
          <w:szCs w:val="22"/>
        </w:rPr>
      </w:pPr>
      <w:r w:rsidRPr="00EC5FDD">
        <w:rPr>
          <w:rFonts w:ascii="Calibri" w:hAnsi="Calibri"/>
          <w:szCs w:val="22"/>
        </w:rPr>
        <w:t xml:space="preserve">Personally identifiable information stored in the </w:t>
      </w:r>
      <w:r w:rsidRPr="00EC5FDD">
        <w:rPr>
          <w:rFonts w:ascii="Calibri" w:hAnsi="Calibri"/>
          <w:szCs w:val="22"/>
        </w:rPr>
        <w:t>eRA</w:t>
      </w:r>
      <w:r w:rsidRPr="00EC5FDD">
        <w:rPr>
          <w:rFonts w:ascii="Calibri" w:hAnsi="Calibri"/>
          <w:szCs w:val="22"/>
        </w:rPr>
        <w:t xml:space="preserve"> Commons database in association with the respondent is </w:t>
      </w:r>
      <w:r w:rsidRPr="00EC5FDD">
        <w:rPr>
          <w:rFonts w:ascii="Calibri" w:hAnsi="Calibri"/>
          <w:bCs/>
          <w:szCs w:val="22"/>
        </w:rPr>
        <w:t>maintained in a Privacy Act record system (09-25-</w:t>
      </w:r>
      <w:r w:rsidR="00D54C53">
        <w:rPr>
          <w:rFonts w:ascii="Calibri" w:hAnsi="Calibri"/>
          <w:bCs/>
          <w:szCs w:val="22"/>
        </w:rPr>
        <w:t>0225; Electronic Research Administration (</w:t>
      </w:r>
      <w:r w:rsidR="00D54C53">
        <w:rPr>
          <w:rFonts w:ascii="Calibri" w:hAnsi="Calibri"/>
          <w:bCs/>
          <w:szCs w:val="22"/>
        </w:rPr>
        <w:t>eRA</w:t>
      </w:r>
      <w:r w:rsidR="00D54C53">
        <w:rPr>
          <w:rFonts w:ascii="Calibri" w:hAnsi="Calibri"/>
          <w:bCs/>
          <w:szCs w:val="22"/>
        </w:rPr>
        <w:t>) Records, HHS/NIH/OD/OER</w:t>
      </w:r>
      <w:r w:rsidRPr="00EC5FDD">
        <w:rPr>
          <w:rFonts w:ascii="Calibri" w:hAnsi="Calibri"/>
          <w:bCs/>
          <w:szCs w:val="22"/>
        </w:rPr>
        <w:t xml:space="preserve">).  </w:t>
      </w:r>
      <w:r w:rsidRPr="00EC5FDD">
        <w:rPr>
          <w:rFonts w:ascii="Calibri" w:hAnsi="Calibri"/>
          <w:szCs w:val="22"/>
        </w:rPr>
        <w:t>Information submitted to NIH via Form 2890 is subject to the Freedom of Information Act (FOIA).  The Instructions to Form 2890 (</w:t>
      </w:r>
      <w:r w:rsidR="00AC7525">
        <w:rPr>
          <w:rFonts w:ascii="Calibri" w:hAnsi="Calibri"/>
          <w:szCs w:val="22"/>
        </w:rPr>
        <w:t>s</w:t>
      </w:r>
      <w:r w:rsidRPr="00EC5FDD">
        <w:rPr>
          <w:rFonts w:ascii="Calibri" w:hAnsi="Calibri"/>
          <w:szCs w:val="22"/>
        </w:rPr>
        <w:t>ee Attachment</w:t>
      </w:r>
      <w:r w:rsidR="00AC7525">
        <w:rPr>
          <w:rFonts w:ascii="Calibri" w:hAnsi="Calibri"/>
          <w:szCs w:val="22"/>
        </w:rPr>
        <w:t xml:space="preserve"> 1</w:t>
      </w:r>
      <w:r w:rsidRPr="00EC5FDD">
        <w:rPr>
          <w:rFonts w:ascii="Calibri" w:hAnsi="Calibri"/>
          <w:szCs w:val="22"/>
        </w:rPr>
        <w:t xml:space="preserve">: </w:t>
      </w:r>
      <w:r w:rsidR="00B12958">
        <w:rPr>
          <w:rFonts w:ascii="Calibri" w:hAnsi="Calibri"/>
          <w:szCs w:val="22"/>
        </w:rPr>
        <w:t xml:space="preserve">NIH </w:t>
      </w:r>
      <w:r w:rsidRPr="00EC5FDD">
        <w:rPr>
          <w:rFonts w:ascii="Calibri" w:hAnsi="Calibri"/>
          <w:szCs w:val="22"/>
        </w:rPr>
        <w:t>Form 2890) clearly notify respondents that all materials submitted or saved on the NIH server will be treated by NIH as information which may be made available to the public, and instructs them not to submit financial, commercial, confidential or proprietary information, including consent documents with the personally identifying information of donor(s) of embryos (the individuals who sought reproductive treatment). Submission of consent documents with such information will cause NIH to delete the submitted information from the NIH database and could invalidate the request.</w:t>
      </w:r>
    </w:p>
    <w:p w:rsidR="00E35DD1" w:rsidRPr="00E35DD1" w:rsidP="00E35DD1" w14:paraId="63CCC42F" w14:textId="77777777">
      <w:pPr>
        <w:pStyle w:val="P1-StandPara"/>
        <w:spacing w:line="240" w:lineRule="auto"/>
        <w:ind w:firstLine="0"/>
        <w:rPr>
          <w:rFonts w:asciiTheme="minorHAnsi" w:hAnsiTheme="minorHAnsi"/>
          <w:szCs w:val="22"/>
        </w:rPr>
      </w:pPr>
    </w:p>
    <w:p w:rsidR="00685B30" w:rsidRPr="00E35DD1" w:rsidP="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685B30" w:rsidRPr="009B78E7" w:rsidP="009B78E7" w14:paraId="43B0244E" w14:textId="3F7465E5">
      <w:pPr>
        <w:ind w:right="-684"/>
        <w:rPr>
          <w:bCs/>
        </w:rPr>
      </w:pPr>
      <w:r w:rsidRPr="009B78E7">
        <w:t>No questions of a sensitive nature are requested on Form 2890</w:t>
      </w:r>
      <w:r w:rsidRPr="009B78E7">
        <w:rPr>
          <w:color w:val="000000"/>
        </w:rPr>
        <w:t xml:space="preserve">.  </w:t>
      </w:r>
      <w:r w:rsidRPr="009B78E7">
        <w:rPr>
          <w:bCs/>
        </w:rPr>
        <w:t xml:space="preserve">  </w:t>
      </w:r>
    </w:p>
    <w:p w:rsidR="00685B30" w:rsidRPr="00E35DD1" w:rsidP="00685B30" w14:paraId="576DA571" w14:textId="77777777">
      <w:pPr>
        <w:pStyle w:val="P1-StandPara"/>
        <w:spacing w:line="240" w:lineRule="auto"/>
        <w:ind w:firstLine="0"/>
        <w:rPr>
          <w:rFonts w:asciiTheme="minorHAnsi" w:hAnsiTheme="minorHAnsi"/>
          <w:szCs w:val="22"/>
        </w:rPr>
      </w:pPr>
    </w:p>
    <w:p w:rsidR="00C02C97" w:rsidP="00C02C97" w14:paraId="29430ED6" w14:textId="5F2F6798">
      <w:pPr>
        <w:rPr>
          <w:b/>
        </w:rPr>
      </w:pPr>
      <w:r w:rsidRPr="00E35DD1">
        <w:rPr>
          <w:b/>
        </w:rPr>
        <w:t>A.12</w:t>
      </w:r>
      <w:r w:rsidR="00BF491C">
        <w:rPr>
          <w:b/>
        </w:rPr>
        <w:t>.1</w:t>
      </w:r>
      <w:r w:rsidRPr="00E35DD1">
        <w:rPr>
          <w:b/>
        </w:rPr>
        <w:tab/>
        <w:t>Estimates of Hour Burden Including Annualized Hourly Costs</w:t>
      </w:r>
    </w:p>
    <w:p w:rsidR="00B27A4B" w:rsidRPr="006C043E" w:rsidP="00C02C97" w14:paraId="38A62A08" w14:textId="63A6537E">
      <w:r w:rsidRPr="006C043E">
        <w:t xml:space="preserve">The estimated number of respondents </w:t>
      </w:r>
      <w:r w:rsidRPr="006C043E" w:rsidR="008870FE">
        <w:t xml:space="preserve">in this extension request </w:t>
      </w:r>
      <w:r w:rsidRPr="006C043E">
        <w:t xml:space="preserve">is </w:t>
      </w:r>
      <w:r w:rsidRPr="006C043E" w:rsidR="006C043E">
        <w:t>the same as</w:t>
      </w:r>
      <w:r w:rsidR="006C043E">
        <w:t xml:space="preserve"> in</w:t>
      </w:r>
      <w:r w:rsidRPr="006C043E" w:rsidR="006C043E">
        <w:t xml:space="preserve"> the most recent </w:t>
      </w:r>
      <w:r w:rsidR="006C043E">
        <w:t xml:space="preserve">prior </w:t>
      </w:r>
      <w:r w:rsidRPr="006C043E" w:rsidR="006C043E">
        <w:t>request</w:t>
      </w:r>
      <w:r w:rsidRPr="006C043E">
        <w:t xml:space="preserve">. </w:t>
      </w:r>
    </w:p>
    <w:p w:rsidR="00C24877" w:rsidP="00C24877" w14:paraId="69E5DE25" w14:textId="5583670A">
      <w:pPr>
        <w:jc w:val="center"/>
      </w:pPr>
      <w:r>
        <w:t>Table 12-1 Estimated Annualized Burden Hours</w:t>
      </w:r>
    </w:p>
    <w:tbl>
      <w:tblPr>
        <w:tblW w:w="8562" w:type="dxa"/>
        <w:jc w:val="center"/>
        <w:tblLayout w:type="fixed"/>
        <w:tblCellMar>
          <w:left w:w="100" w:type="dxa"/>
          <w:right w:w="100" w:type="dxa"/>
        </w:tblCellMar>
        <w:tblLook w:val="0000"/>
      </w:tblPr>
      <w:tblGrid>
        <w:gridCol w:w="1491"/>
        <w:gridCol w:w="1440"/>
        <w:gridCol w:w="1592"/>
        <w:gridCol w:w="1578"/>
        <w:gridCol w:w="1315"/>
        <w:gridCol w:w="1146"/>
      </w:tblGrid>
      <w:tr w14:paraId="3695465F" w14:textId="77777777" w:rsidTr="005D26D3">
        <w:tblPrEx>
          <w:tblW w:w="8562" w:type="dxa"/>
          <w:jc w:val="center"/>
          <w:tblLayout w:type="fixed"/>
          <w:tblCellMar>
            <w:left w:w="100" w:type="dxa"/>
            <w:right w:w="100" w:type="dxa"/>
          </w:tblCellMar>
          <w:tblLook w:val="0000"/>
        </w:tblPrEx>
        <w:trPr>
          <w:cantSplit/>
          <w:trHeight w:val="372"/>
          <w:jc w:val="center"/>
        </w:trPr>
        <w:tc>
          <w:tcPr>
            <w:tcW w:w="1491" w:type="dxa"/>
            <w:tcBorders>
              <w:top w:val="single" w:sz="6" w:space="0" w:color="auto"/>
              <w:left w:val="single" w:sz="6" w:space="0" w:color="auto"/>
            </w:tcBorders>
          </w:tcPr>
          <w:p w:rsidR="00540F60" w:rsidRPr="00540F60" w:rsidP="005D26D3" w14:paraId="10DEE657" w14:textId="77777777">
            <w:r w:rsidRPr="00540F60">
              <w:t xml:space="preserve">Form Name </w:t>
            </w:r>
          </w:p>
        </w:tc>
        <w:tc>
          <w:tcPr>
            <w:tcW w:w="1440" w:type="dxa"/>
            <w:tcBorders>
              <w:top w:val="single" w:sz="6" w:space="0" w:color="auto"/>
              <w:left w:val="single" w:sz="6" w:space="0" w:color="auto"/>
            </w:tcBorders>
          </w:tcPr>
          <w:p w:rsidR="00540F60" w:rsidRPr="00540F60" w:rsidP="005D26D3" w14:paraId="523747C9" w14:textId="0416E5FC">
            <w:r w:rsidRPr="00540F60">
              <w:t>Type of Respondent</w:t>
            </w:r>
            <w:r w:rsidR="00F61B46">
              <w:t>s</w:t>
            </w:r>
          </w:p>
        </w:tc>
        <w:tc>
          <w:tcPr>
            <w:tcW w:w="1592" w:type="dxa"/>
            <w:tcBorders>
              <w:top w:val="single" w:sz="6" w:space="0" w:color="auto"/>
              <w:left w:val="single" w:sz="6" w:space="0" w:color="auto"/>
            </w:tcBorders>
          </w:tcPr>
          <w:p w:rsidR="00540F60" w:rsidRPr="00540F60" w:rsidP="005D26D3" w14:paraId="2DC9BBFE" w14:textId="77777777">
            <w:r w:rsidRPr="00540F60">
              <w:t>Number of Respondents</w:t>
            </w:r>
          </w:p>
        </w:tc>
        <w:tc>
          <w:tcPr>
            <w:tcW w:w="1578" w:type="dxa"/>
            <w:tcBorders>
              <w:top w:val="single" w:sz="6" w:space="0" w:color="auto"/>
              <w:left w:val="single" w:sz="6" w:space="0" w:color="auto"/>
            </w:tcBorders>
          </w:tcPr>
          <w:p w:rsidR="00540F60" w:rsidRPr="00540F60" w:rsidP="005D26D3" w14:paraId="2F3DCE2D" w14:textId="77777777">
            <w:r w:rsidRPr="00540F60">
              <w:t>Number of Responses per Respondent</w:t>
            </w:r>
          </w:p>
        </w:tc>
        <w:tc>
          <w:tcPr>
            <w:tcW w:w="1315" w:type="dxa"/>
            <w:tcBorders>
              <w:top w:val="single" w:sz="6" w:space="0" w:color="auto"/>
              <w:left w:val="single" w:sz="6" w:space="0" w:color="auto"/>
            </w:tcBorders>
          </w:tcPr>
          <w:p w:rsidR="00540F60" w:rsidRPr="00540F60" w:rsidP="005D26D3" w14:paraId="711B5216" w14:textId="77777777">
            <w:r w:rsidRPr="00540F60">
              <w:t xml:space="preserve">Average Burden  Per Response </w:t>
            </w:r>
          </w:p>
          <w:p w:rsidR="00540F60" w:rsidRPr="00540F60" w:rsidP="005D26D3" w14:paraId="4029099B" w14:textId="77777777">
            <w:r w:rsidRPr="00540F60">
              <w:t xml:space="preserve">(in hours) </w:t>
            </w:r>
          </w:p>
        </w:tc>
        <w:tc>
          <w:tcPr>
            <w:tcW w:w="1146" w:type="dxa"/>
            <w:tcBorders>
              <w:top w:val="single" w:sz="6" w:space="0" w:color="auto"/>
              <w:left w:val="single" w:sz="6" w:space="0" w:color="auto"/>
              <w:right w:val="single" w:sz="6" w:space="0" w:color="auto"/>
            </w:tcBorders>
          </w:tcPr>
          <w:p w:rsidR="00540F60" w:rsidRPr="00540F60" w:rsidP="005D26D3" w14:paraId="016263A4" w14:textId="233F424B">
            <w:r w:rsidRPr="00540F60">
              <w:t>Total Annual  Burden Hour</w:t>
            </w:r>
            <w:r w:rsidR="00A53F53">
              <w:t>s</w:t>
            </w:r>
            <w:r w:rsidRPr="00540F60">
              <w:t xml:space="preserve"> </w:t>
            </w:r>
          </w:p>
        </w:tc>
      </w:tr>
      <w:tr w14:paraId="783E8DB3" w14:textId="77777777" w:rsidTr="00F61B46">
        <w:tblPrEx>
          <w:tblW w:w="8562" w:type="dxa"/>
          <w:jc w:val="center"/>
          <w:tblLayout w:type="fixed"/>
          <w:tblCellMar>
            <w:left w:w="100" w:type="dxa"/>
            <w:right w:w="100" w:type="dxa"/>
          </w:tblCellMar>
          <w:tblLook w:val="0000"/>
        </w:tblPrEx>
        <w:trPr>
          <w:cantSplit/>
          <w:trHeight w:val="372"/>
          <w:jc w:val="center"/>
        </w:trPr>
        <w:tc>
          <w:tcPr>
            <w:tcW w:w="1491" w:type="dxa"/>
            <w:tcBorders>
              <w:top w:val="single" w:sz="6" w:space="0" w:color="auto"/>
              <w:left w:val="single" w:sz="6" w:space="0" w:color="auto"/>
              <w:bottom w:val="single" w:sz="6" w:space="0" w:color="auto"/>
            </w:tcBorders>
          </w:tcPr>
          <w:p w:rsidR="00540F60" w:rsidRPr="00540F60" w:rsidP="005D26D3" w14:paraId="17B98268" w14:textId="77777777">
            <w:r w:rsidRPr="00540F60">
              <w:rPr>
                <w:bCs/>
              </w:rPr>
              <w:t>2890</w:t>
            </w:r>
          </w:p>
        </w:tc>
        <w:tc>
          <w:tcPr>
            <w:tcW w:w="1440" w:type="dxa"/>
            <w:tcBorders>
              <w:top w:val="single" w:sz="6" w:space="0" w:color="auto"/>
              <w:left w:val="single" w:sz="6" w:space="0" w:color="auto"/>
              <w:bottom w:val="single" w:sz="6" w:space="0" w:color="auto"/>
            </w:tcBorders>
          </w:tcPr>
          <w:p w:rsidR="00540F60" w:rsidRPr="00540F60" w:rsidP="005D26D3" w14:paraId="42CC9132" w14:textId="77777777">
            <w:r w:rsidRPr="00540F60">
              <w:t xml:space="preserve">NIH grantees and others in possession of </w:t>
            </w:r>
            <w:r w:rsidRPr="00540F60">
              <w:t>hESC</w:t>
            </w:r>
            <w:r w:rsidRPr="00540F60">
              <w:t xml:space="preserve"> lines</w:t>
            </w:r>
          </w:p>
        </w:tc>
        <w:tc>
          <w:tcPr>
            <w:tcW w:w="1592" w:type="dxa"/>
            <w:tcBorders>
              <w:top w:val="single" w:sz="6" w:space="0" w:color="auto"/>
              <w:left w:val="single" w:sz="6" w:space="0" w:color="auto"/>
              <w:bottom w:val="single" w:sz="6" w:space="0" w:color="auto"/>
            </w:tcBorders>
          </w:tcPr>
          <w:p w:rsidR="00540F60" w:rsidRPr="00540F60" w:rsidP="005D26D3" w14:paraId="3CEAF498" w14:textId="7924FFBD">
            <w:pPr>
              <w:jc w:val="center"/>
            </w:pPr>
            <w:r>
              <w:t>5</w:t>
            </w:r>
          </w:p>
        </w:tc>
        <w:tc>
          <w:tcPr>
            <w:tcW w:w="1578" w:type="dxa"/>
            <w:tcBorders>
              <w:top w:val="single" w:sz="6" w:space="0" w:color="auto"/>
              <w:left w:val="single" w:sz="6" w:space="0" w:color="auto"/>
              <w:bottom w:val="single" w:sz="6" w:space="0" w:color="auto"/>
            </w:tcBorders>
          </w:tcPr>
          <w:p w:rsidR="00540F60" w:rsidRPr="00540F60" w:rsidP="009431E9" w14:paraId="1CB6455C" w14:textId="19DDBDB5">
            <w:pPr>
              <w:jc w:val="center"/>
            </w:pPr>
            <w:r>
              <w:t>3</w:t>
            </w:r>
          </w:p>
        </w:tc>
        <w:tc>
          <w:tcPr>
            <w:tcW w:w="1315" w:type="dxa"/>
            <w:tcBorders>
              <w:top w:val="single" w:sz="6" w:space="0" w:color="auto"/>
              <w:left w:val="single" w:sz="6" w:space="0" w:color="auto"/>
              <w:bottom w:val="single" w:sz="6" w:space="0" w:color="auto"/>
            </w:tcBorders>
          </w:tcPr>
          <w:p w:rsidR="00540F60" w:rsidRPr="00540F60" w:rsidP="005D26D3" w14:paraId="178FA19B" w14:textId="77777777">
            <w:pPr>
              <w:jc w:val="center"/>
            </w:pPr>
            <w:r w:rsidRPr="00540F60">
              <w:t>17</w:t>
            </w:r>
          </w:p>
        </w:tc>
        <w:tc>
          <w:tcPr>
            <w:tcW w:w="1146" w:type="dxa"/>
            <w:tcBorders>
              <w:top w:val="single" w:sz="6" w:space="0" w:color="auto"/>
              <w:left w:val="single" w:sz="6" w:space="0" w:color="auto"/>
              <w:bottom w:val="single" w:sz="6" w:space="0" w:color="auto"/>
              <w:right w:val="single" w:sz="6" w:space="0" w:color="auto"/>
            </w:tcBorders>
          </w:tcPr>
          <w:p w:rsidR="00540F60" w:rsidRPr="00540F60" w:rsidP="009431E9" w14:paraId="7C378036" w14:textId="1771890A">
            <w:pPr>
              <w:jc w:val="center"/>
            </w:pPr>
            <w:r>
              <w:t>255</w:t>
            </w:r>
          </w:p>
        </w:tc>
      </w:tr>
      <w:tr w14:paraId="441F6CA7" w14:textId="77777777" w:rsidTr="005D26D3">
        <w:tblPrEx>
          <w:tblW w:w="8562" w:type="dxa"/>
          <w:jc w:val="center"/>
          <w:tblLayout w:type="fixed"/>
          <w:tblCellMar>
            <w:left w:w="100" w:type="dxa"/>
            <w:right w:w="100" w:type="dxa"/>
          </w:tblCellMar>
          <w:tblLook w:val="0000"/>
        </w:tblPrEx>
        <w:trPr>
          <w:cantSplit/>
          <w:trHeight w:val="372"/>
          <w:jc w:val="center"/>
        </w:trPr>
        <w:tc>
          <w:tcPr>
            <w:tcW w:w="1491" w:type="dxa"/>
            <w:tcBorders>
              <w:top w:val="single" w:sz="6" w:space="0" w:color="auto"/>
              <w:left w:val="single" w:sz="6" w:space="0" w:color="auto"/>
              <w:bottom w:val="single" w:sz="4" w:space="0" w:color="auto"/>
            </w:tcBorders>
          </w:tcPr>
          <w:p w:rsidR="00F61B46" w:rsidRPr="00540F60" w:rsidP="005D26D3" w14:paraId="7110448F" w14:textId="75461B2B">
            <w:pPr>
              <w:rPr>
                <w:bCs/>
              </w:rPr>
            </w:pPr>
            <w:r>
              <w:rPr>
                <w:bCs/>
              </w:rPr>
              <w:t>Total</w:t>
            </w:r>
          </w:p>
        </w:tc>
        <w:tc>
          <w:tcPr>
            <w:tcW w:w="1440" w:type="dxa"/>
            <w:tcBorders>
              <w:top w:val="single" w:sz="6" w:space="0" w:color="auto"/>
              <w:left w:val="single" w:sz="6" w:space="0" w:color="auto"/>
              <w:bottom w:val="single" w:sz="4" w:space="0" w:color="auto"/>
            </w:tcBorders>
          </w:tcPr>
          <w:p w:rsidR="00F61B46" w:rsidRPr="00540F60" w:rsidP="005D26D3" w14:paraId="18230395" w14:textId="77777777"/>
        </w:tc>
        <w:tc>
          <w:tcPr>
            <w:tcW w:w="1592" w:type="dxa"/>
            <w:tcBorders>
              <w:top w:val="single" w:sz="6" w:space="0" w:color="auto"/>
              <w:left w:val="single" w:sz="6" w:space="0" w:color="auto"/>
              <w:bottom w:val="single" w:sz="4" w:space="0" w:color="auto"/>
            </w:tcBorders>
          </w:tcPr>
          <w:p w:rsidR="00F61B46" w:rsidP="005D26D3" w14:paraId="124D38AF" w14:textId="0ABE3645">
            <w:pPr>
              <w:jc w:val="center"/>
            </w:pPr>
          </w:p>
        </w:tc>
        <w:tc>
          <w:tcPr>
            <w:tcW w:w="1578" w:type="dxa"/>
            <w:tcBorders>
              <w:top w:val="single" w:sz="6" w:space="0" w:color="auto"/>
              <w:left w:val="single" w:sz="6" w:space="0" w:color="auto"/>
              <w:bottom w:val="single" w:sz="4" w:space="0" w:color="auto"/>
            </w:tcBorders>
          </w:tcPr>
          <w:p w:rsidR="00F61B46" w:rsidP="009431E9" w14:paraId="378444FA" w14:textId="063282A9">
            <w:pPr>
              <w:jc w:val="center"/>
            </w:pPr>
            <w:r>
              <w:t>15</w:t>
            </w:r>
          </w:p>
        </w:tc>
        <w:tc>
          <w:tcPr>
            <w:tcW w:w="1315" w:type="dxa"/>
            <w:tcBorders>
              <w:top w:val="single" w:sz="6" w:space="0" w:color="auto"/>
              <w:left w:val="single" w:sz="6" w:space="0" w:color="auto"/>
              <w:bottom w:val="single" w:sz="4" w:space="0" w:color="auto"/>
            </w:tcBorders>
          </w:tcPr>
          <w:p w:rsidR="00F61B46" w:rsidRPr="00540F60" w:rsidP="005D26D3" w14:paraId="6856F586" w14:textId="44FA005C">
            <w:pPr>
              <w:jc w:val="center"/>
            </w:pPr>
          </w:p>
        </w:tc>
        <w:tc>
          <w:tcPr>
            <w:tcW w:w="1146" w:type="dxa"/>
            <w:tcBorders>
              <w:top w:val="single" w:sz="6" w:space="0" w:color="auto"/>
              <w:left w:val="single" w:sz="6" w:space="0" w:color="auto"/>
              <w:bottom w:val="single" w:sz="4" w:space="0" w:color="auto"/>
              <w:right w:val="single" w:sz="6" w:space="0" w:color="auto"/>
            </w:tcBorders>
          </w:tcPr>
          <w:p w:rsidR="00F61B46" w:rsidP="009431E9" w14:paraId="6B15F330" w14:textId="1BFCB190">
            <w:pPr>
              <w:jc w:val="center"/>
            </w:pPr>
            <w:r>
              <w:t>255</w:t>
            </w:r>
          </w:p>
        </w:tc>
      </w:tr>
    </w:tbl>
    <w:p w:rsidR="00540F60" w:rsidP="00C24877" w14:paraId="2D14C539" w14:textId="77777777">
      <w:pPr>
        <w:jc w:val="center"/>
      </w:pPr>
    </w:p>
    <w:p w:rsidR="00540F60" w:rsidP="00C24877" w14:paraId="7BB606DB" w14:textId="4ADB830D">
      <w:pPr>
        <w:jc w:val="center"/>
      </w:pPr>
    </w:p>
    <w:p w:rsidR="00E27609" w:rsidP="00C24877" w14:paraId="623F794A" w14:textId="381CF77B">
      <w:pPr>
        <w:jc w:val="center"/>
      </w:pPr>
    </w:p>
    <w:p w:rsidR="00E27609" w:rsidP="00C24877" w14:paraId="4A4EFD3A" w14:textId="77777777">
      <w:pPr>
        <w:jc w:val="center"/>
      </w:pPr>
    </w:p>
    <w:p w:rsidR="00540F60" w:rsidP="00C24877" w14:paraId="46AC27E5" w14:textId="46DE2F93">
      <w:pPr>
        <w:jc w:val="center"/>
      </w:pPr>
    </w:p>
    <w:p w:rsidR="00EE245F" w:rsidRPr="00EE245F" w:rsidP="0086248B" w14:paraId="4CC3EA16" w14:textId="31B01327">
      <w:pPr>
        <w:spacing w:after="0" w:line="240" w:lineRule="auto"/>
        <w:rPr>
          <w:rFonts w:eastAsia="Times New Roman" w:cs="Times New Roman"/>
          <w:b/>
          <w:smallCaps/>
          <w:color w:val="000000" w:themeColor="text1"/>
        </w:rPr>
      </w:pPr>
      <w:r>
        <w:rPr>
          <w:rFonts w:eastAsia="Times New Roman" w:cs="Times New Roman"/>
          <w:b/>
          <w:smallCaps/>
          <w:color w:val="000000" w:themeColor="text1"/>
        </w:rPr>
        <w:t>A</w:t>
      </w:r>
      <w:r w:rsidRPr="00717158" w:rsidR="005C4013">
        <w:rPr>
          <w:rFonts w:eastAsia="Times New Roman" w:cs="Times New Roman"/>
          <w:b/>
          <w:smallCaps/>
          <w:color w:val="000000" w:themeColor="text1"/>
        </w:rPr>
        <w:t>.12-2</w:t>
      </w:r>
      <w:r w:rsidR="005C4013">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14:paraId="12F83F36" w14:textId="77777777">
      <w:pPr>
        <w:spacing w:after="0" w:line="240" w:lineRule="auto"/>
        <w:rPr>
          <w:rFonts w:eastAsia="Times New Roman" w:cs="Times New Roman"/>
          <w:smallCaps/>
          <w:color w:val="000000" w:themeColor="text1"/>
        </w:rPr>
      </w:pPr>
    </w:p>
    <w:p w:rsidR="00B47774" w:rsidRPr="00145394" w:rsidP="00B47774" w14:paraId="344026C9" w14:textId="77777777">
      <w:pPr>
        <w:spacing w:after="20"/>
        <w:rPr>
          <w:sz w:val="24"/>
          <w:szCs w:val="24"/>
        </w:rPr>
      </w:pPr>
    </w:p>
    <w:tbl>
      <w:tblPr>
        <w:tblW w:w="7192" w:type="dxa"/>
        <w:jc w:val="center"/>
        <w:tblLayout w:type="fixed"/>
        <w:tblCellMar>
          <w:left w:w="100" w:type="dxa"/>
          <w:right w:w="100" w:type="dxa"/>
        </w:tblCellMar>
        <w:tblLook w:val="0000"/>
      </w:tblPr>
      <w:tblGrid>
        <w:gridCol w:w="1491"/>
        <w:gridCol w:w="1575"/>
        <w:gridCol w:w="2146"/>
        <w:gridCol w:w="1980"/>
      </w:tblGrid>
      <w:tr w14:paraId="362E6D66" w14:textId="77777777" w:rsidTr="007E7B97">
        <w:tblPrEx>
          <w:tblW w:w="7192" w:type="dxa"/>
          <w:jc w:val="center"/>
          <w:tblLayout w:type="fixed"/>
          <w:tblCellMar>
            <w:left w:w="100" w:type="dxa"/>
            <w:right w:w="100" w:type="dxa"/>
          </w:tblCellMar>
          <w:tblLook w:val="0000"/>
        </w:tblPrEx>
        <w:trPr>
          <w:cantSplit/>
          <w:trHeight w:val="786"/>
          <w:jc w:val="center"/>
        </w:trPr>
        <w:tc>
          <w:tcPr>
            <w:tcW w:w="1491" w:type="dxa"/>
            <w:tcBorders>
              <w:top w:val="single" w:sz="6" w:space="0" w:color="auto"/>
              <w:left w:val="single" w:sz="6" w:space="0" w:color="auto"/>
              <w:bottom w:val="single" w:sz="4" w:space="0" w:color="auto"/>
            </w:tcBorders>
          </w:tcPr>
          <w:p w:rsidR="000D0A33" w:rsidRPr="004C518E" w:rsidP="005D26D3" w14:paraId="1C1CC3CA" w14:textId="65E836BC">
            <w:r w:rsidRPr="004C518E">
              <w:t>Type of Respondent</w:t>
            </w:r>
            <w:r>
              <w:t>s</w:t>
            </w:r>
            <w:r w:rsidRPr="004C518E">
              <w:t xml:space="preserve">  </w:t>
            </w:r>
          </w:p>
        </w:tc>
        <w:tc>
          <w:tcPr>
            <w:tcW w:w="1575" w:type="dxa"/>
            <w:tcBorders>
              <w:top w:val="single" w:sz="6" w:space="0" w:color="auto"/>
              <w:left w:val="single" w:sz="6" w:space="0" w:color="auto"/>
              <w:bottom w:val="single" w:sz="4" w:space="0" w:color="auto"/>
            </w:tcBorders>
          </w:tcPr>
          <w:p w:rsidR="000D0A33" w:rsidRPr="004C518E" w:rsidP="005D26D3" w14:paraId="0E342596" w14:textId="5290DD96">
            <w:r>
              <w:t xml:space="preserve">Total Annual </w:t>
            </w:r>
            <w:r w:rsidRPr="004C518E">
              <w:t xml:space="preserve">Burden </w:t>
            </w:r>
            <w:r>
              <w:t>Hours</w:t>
            </w:r>
          </w:p>
        </w:tc>
        <w:tc>
          <w:tcPr>
            <w:tcW w:w="2146" w:type="dxa"/>
            <w:tcBorders>
              <w:top w:val="single" w:sz="6" w:space="0" w:color="auto"/>
              <w:left w:val="single" w:sz="6" w:space="0" w:color="auto"/>
              <w:bottom w:val="single" w:sz="4" w:space="0" w:color="auto"/>
            </w:tcBorders>
          </w:tcPr>
          <w:p w:rsidR="000D0A33" w:rsidRPr="004C518E" w:rsidP="005D26D3" w14:paraId="0192AE2F" w14:textId="18DB286D">
            <w:r>
              <w:t>Mean</w:t>
            </w:r>
            <w:r w:rsidRPr="004C518E">
              <w:t xml:space="preserve"> Hourly </w:t>
            </w:r>
            <w:r w:rsidR="007E7B97">
              <w:t xml:space="preserve">Respondent </w:t>
            </w:r>
            <w:r w:rsidRPr="004C518E">
              <w:t>Wage Rate*</w:t>
            </w:r>
          </w:p>
        </w:tc>
        <w:tc>
          <w:tcPr>
            <w:tcW w:w="1980" w:type="dxa"/>
            <w:tcBorders>
              <w:top w:val="single" w:sz="6" w:space="0" w:color="auto"/>
              <w:left w:val="single" w:sz="6" w:space="0" w:color="auto"/>
              <w:bottom w:val="single" w:sz="4" w:space="0" w:color="auto"/>
              <w:right w:val="single" w:sz="6" w:space="0" w:color="auto"/>
            </w:tcBorders>
          </w:tcPr>
          <w:p w:rsidR="000D0A33" w:rsidRPr="004C518E" w:rsidP="005D26D3" w14:paraId="7330E782" w14:textId="77777777">
            <w:r w:rsidRPr="004C518E">
              <w:t>Respondent Cost</w:t>
            </w:r>
          </w:p>
        </w:tc>
      </w:tr>
      <w:tr w14:paraId="4CC876F2" w14:textId="77777777" w:rsidTr="007E7B97">
        <w:tblPrEx>
          <w:tblW w:w="7192" w:type="dxa"/>
          <w:jc w:val="center"/>
          <w:tblLayout w:type="fixed"/>
          <w:tblCellMar>
            <w:left w:w="100" w:type="dxa"/>
            <w:right w:w="100" w:type="dxa"/>
          </w:tblCellMar>
          <w:tblLook w:val="0000"/>
        </w:tblPrEx>
        <w:trPr>
          <w:cantSplit/>
          <w:trHeight w:val="372"/>
          <w:jc w:val="center"/>
        </w:trPr>
        <w:tc>
          <w:tcPr>
            <w:tcW w:w="1491" w:type="dxa"/>
            <w:tcBorders>
              <w:top w:val="single" w:sz="4" w:space="0" w:color="auto"/>
              <w:left w:val="single" w:sz="4" w:space="0" w:color="auto"/>
              <w:bottom w:val="single" w:sz="4" w:space="0" w:color="auto"/>
              <w:right w:val="single" w:sz="4" w:space="0" w:color="auto"/>
            </w:tcBorders>
          </w:tcPr>
          <w:p w:rsidR="000D0A33" w:rsidRPr="004C518E" w:rsidP="005D26D3" w14:paraId="2E27BB25" w14:textId="77777777">
            <w:r w:rsidRPr="004C518E">
              <w:t xml:space="preserve">NIH grantees and others in possession of </w:t>
            </w:r>
            <w:r w:rsidRPr="004C518E">
              <w:t>hESC</w:t>
            </w:r>
            <w:r w:rsidRPr="004C518E">
              <w:t xml:space="preserve"> lines</w:t>
            </w:r>
          </w:p>
        </w:tc>
        <w:tc>
          <w:tcPr>
            <w:tcW w:w="1575" w:type="dxa"/>
            <w:tcBorders>
              <w:top w:val="single" w:sz="4" w:space="0" w:color="auto"/>
              <w:left w:val="single" w:sz="4" w:space="0" w:color="auto"/>
              <w:bottom w:val="single" w:sz="4" w:space="0" w:color="auto"/>
              <w:right w:val="single" w:sz="4" w:space="0" w:color="auto"/>
            </w:tcBorders>
          </w:tcPr>
          <w:p w:rsidR="000D0A33" w:rsidRPr="004C518E" w:rsidP="005D26D3" w14:paraId="42DA01C5" w14:textId="1C17A04E">
            <w:pPr>
              <w:jc w:val="center"/>
            </w:pPr>
            <w:r>
              <w:t>255</w:t>
            </w:r>
          </w:p>
        </w:tc>
        <w:tc>
          <w:tcPr>
            <w:tcW w:w="2146" w:type="dxa"/>
            <w:tcBorders>
              <w:top w:val="single" w:sz="4" w:space="0" w:color="auto"/>
              <w:left w:val="single" w:sz="4" w:space="0" w:color="auto"/>
              <w:bottom w:val="single" w:sz="4" w:space="0" w:color="auto"/>
              <w:right w:val="single" w:sz="4" w:space="0" w:color="auto"/>
            </w:tcBorders>
          </w:tcPr>
          <w:p w:rsidR="000D0A33" w:rsidRPr="004C518E" w:rsidP="005D26D3" w14:paraId="4082AD0C" w14:textId="183318AB">
            <w:pPr>
              <w:jc w:val="center"/>
            </w:pPr>
            <w:r w:rsidRPr="004C518E">
              <w:t>$</w:t>
            </w:r>
            <w:r w:rsidR="00174FD4">
              <w:t>38</w:t>
            </w:r>
            <w:r w:rsidR="00DB1E16">
              <w:t>.8</w:t>
            </w:r>
            <w:r w:rsidR="00174FD4">
              <w:t>1</w:t>
            </w:r>
          </w:p>
        </w:tc>
        <w:tc>
          <w:tcPr>
            <w:tcW w:w="1980" w:type="dxa"/>
            <w:tcBorders>
              <w:top w:val="single" w:sz="4" w:space="0" w:color="auto"/>
              <w:left w:val="single" w:sz="4" w:space="0" w:color="auto"/>
              <w:bottom w:val="single" w:sz="4" w:space="0" w:color="auto"/>
              <w:right w:val="single" w:sz="4" w:space="0" w:color="auto"/>
            </w:tcBorders>
          </w:tcPr>
          <w:p w:rsidR="000D0A33" w:rsidRPr="004C518E" w:rsidP="004B35C2" w14:paraId="70356DF6" w14:textId="543B4BF7">
            <w:r>
              <w:t xml:space="preserve">  </w:t>
            </w:r>
            <w:r w:rsidR="00BE36B8">
              <w:t>$</w:t>
            </w:r>
            <w:r w:rsidR="003C2035">
              <w:t>9,896.55</w:t>
            </w:r>
          </w:p>
        </w:tc>
      </w:tr>
      <w:tr w14:paraId="23BCD816" w14:textId="77777777" w:rsidTr="007E7B97">
        <w:tblPrEx>
          <w:tblW w:w="7192" w:type="dxa"/>
          <w:jc w:val="center"/>
          <w:tblLayout w:type="fixed"/>
          <w:tblCellMar>
            <w:left w:w="100" w:type="dxa"/>
            <w:right w:w="100" w:type="dxa"/>
          </w:tblCellMar>
          <w:tblLook w:val="0000"/>
        </w:tblPrEx>
        <w:trPr>
          <w:cantSplit/>
          <w:trHeight w:val="372"/>
          <w:jc w:val="center"/>
        </w:trPr>
        <w:tc>
          <w:tcPr>
            <w:tcW w:w="1491" w:type="dxa"/>
            <w:tcBorders>
              <w:top w:val="single" w:sz="4" w:space="0" w:color="auto"/>
              <w:left w:val="single" w:sz="4" w:space="0" w:color="auto"/>
              <w:bottom w:val="single" w:sz="4" w:space="0" w:color="auto"/>
              <w:right w:val="single" w:sz="4" w:space="0" w:color="auto"/>
            </w:tcBorders>
          </w:tcPr>
          <w:p w:rsidR="00E71A1F" w:rsidRPr="004C518E" w:rsidP="005D26D3" w14:paraId="324363D2" w14:textId="33BA20F6">
            <w:r>
              <w:t>TOTAL</w:t>
            </w:r>
          </w:p>
        </w:tc>
        <w:tc>
          <w:tcPr>
            <w:tcW w:w="1575" w:type="dxa"/>
            <w:tcBorders>
              <w:top w:val="single" w:sz="4" w:space="0" w:color="auto"/>
              <w:left w:val="single" w:sz="4" w:space="0" w:color="auto"/>
              <w:bottom w:val="single" w:sz="4" w:space="0" w:color="auto"/>
              <w:right w:val="single" w:sz="4" w:space="0" w:color="auto"/>
            </w:tcBorders>
          </w:tcPr>
          <w:p w:rsidR="00E71A1F" w:rsidP="005D26D3" w14:paraId="5E5939EB" w14:textId="24E9545D">
            <w:pPr>
              <w:jc w:val="center"/>
            </w:pPr>
          </w:p>
        </w:tc>
        <w:tc>
          <w:tcPr>
            <w:tcW w:w="2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71A1F" w:rsidRPr="00E71A1F" w:rsidP="005D26D3" w14:paraId="200FC2EA" w14:textId="77777777">
            <w:pPr>
              <w:jc w:val="center"/>
              <w:rPr>
                <w:color w:val="A6A6A6" w:themeColor="background1" w:themeShade="A6"/>
              </w:rPr>
            </w:pPr>
          </w:p>
        </w:tc>
        <w:tc>
          <w:tcPr>
            <w:tcW w:w="1980" w:type="dxa"/>
            <w:tcBorders>
              <w:top w:val="single" w:sz="4" w:space="0" w:color="auto"/>
              <w:left w:val="single" w:sz="4" w:space="0" w:color="auto"/>
              <w:bottom w:val="single" w:sz="4" w:space="0" w:color="auto"/>
              <w:right w:val="single" w:sz="4" w:space="0" w:color="auto"/>
            </w:tcBorders>
          </w:tcPr>
          <w:p w:rsidR="00E71A1F" w:rsidP="004B35C2" w14:paraId="17B55CFB" w14:textId="3BBD52BB">
            <w:r>
              <w:t xml:space="preserve">  $9,896.55</w:t>
            </w:r>
          </w:p>
        </w:tc>
      </w:tr>
    </w:tbl>
    <w:p w:rsidR="002C5D4F" w:rsidRPr="004834A8" w:rsidP="002C5D4F" w14:paraId="0EC0CC02" w14:textId="77777777">
      <w:pPr>
        <w:spacing w:after="0" w:line="240" w:lineRule="auto"/>
        <w:rPr>
          <w:rFonts w:ascii="Times New Roman" w:eastAsia="Times New Roman" w:hAnsi="Times New Roman" w:cs="Times New Roman"/>
          <w:color w:val="000000" w:themeColor="text1"/>
          <w:sz w:val="24"/>
          <w:szCs w:val="24"/>
        </w:rPr>
      </w:pPr>
    </w:p>
    <w:p w:rsidR="004834A8" w:rsidRPr="004834A8" w:rsidP="004834A8" w14:paraId="193627CB" w14:textId="164B188B">
      <w:pPr>
        <w:pStyle w:val="Heading1"/>
        <w:shd w:val="clear" w:color="auto" w:fill="FFFFFF"/>
        <w:spacing w:before="0" w:after="150" w:line="293" w:lineRule="atLeast"/>
        <w:rPr>
          <w:rFonts w:asciiTheme="minorHAnsi" w:hAnsiTheme="minorHAnsi" w:cs="Tahoma"/>
          <w:color w:val="000000" w:themeColor="text1"/>
          <w:sz w:val="22"/>
          <w:szCs w:val="22"/>
        </w:rPr>
      </w:pPr>
      <w:r w:rsidRPr="004834A8">
        <w:rPr>
          <w:rFonts w:asciiTheme="minorHAnsi" w:hAnsiTheme="minorHAnsi"/>
          <w:bCs/>
          <w:color w:val="000000" w:themeColor="text1"/>
          <w:sz w:val="22"/>
          <w:szCs w:val="22"/>
        </w:rPr>
        <w:t xml:space="preserve">*Source: </w:t>
      </w:r>
      <w:r w:rsidRPr="001B49D8">
        <w:rPr>
          <w:rFonts w:asciiTheme="minorHAnsi" w:hAnsiTheme="minorHAnsi"/>
          <w:bCs/>
          <w:color w:val="000000" w:themeColor="text1"/>
          <w:sz w:val="22"/>
          <w:szCs w:val="22"/>
        </w:rPr>
        <w:t xml:space="preserve">U.S. Bureau of Labor Statistics, </w:t>
      </w:r>
      <w:r w:rsidRPr="001B49D8">
        <w:rPr>
          <w:rFonts w:asciiTheme="minorHAnsi" w:hAnsiTheme="minorHAnsi" w:cs="Tahoma"/>
          <w:bCs/>
          <w:color w:val="000000" w:themeColor="text1"/>
          <w:sz w:val="22"/>
          <w:szCs w:val="22"/>
        </w:rPr>
        <w:t xml:space="preserve">May </w:t>
      </w:r>
      <w:r w:rsidR="007626C4">
        <w:rPr>
          <w:rFonts w:asciiTheme="minorHAnsi" w:hAnsiTheme="minorHAnsi" w:cs="Tahoma"/>
          <w:bCs/>
          <w:color w:val="000000" w:themeColor="text1"/>
          <w:sz w:val="22"/>
          <w:szCs w:val="22"/>
        </w:rPr>
        <w:t xml:space="preserve">2021 </w:t>
      </w:r>
      <w:r w:rsidRPr="001B49D8">
        <w:rPr>
          <w:rFonts w:asciiTheme="minorHAnsi" w:hAnsiTheme="minorHAnsi" w:cs="Tahoma"/>
          <w:bCs/>
          <w:color w:val="000000" w:themeColor="text1"/>
          <w:sz w:val="22"/>
          <w:szCs w:val="22"/>
        </w:rPr>
        <w:t xml:space="preserve">National Occupational </w:t>
      </w:r>
      <w:r w:rsidR="001B49D8">
        <w:rPr>
          <w:rFonts w:asciiTheme="minorHAnsi" w:hAnsiTheme="minorHAnsi" w:cs="Tahoma"/>
          <w:bCs/>
          <w:color w:val="000000" w:themeColor="text1"/>
          <w:sz w:val="22"/>
          <w:szCs w:val="22"/>
        </w:rPr>
        <w:t>Employment and Wage Estimates</w:t>
      </w:r>
      <w:r w:rsidR="00DF65EA">
        <w:rPr>
          <w:rFonts w:ascii="Times New Roman" w:hAnsi="Times New Roman" w:cs="Times New Roman"/>
          <w:sz w:val="24"/>
          <w:szCs w:val="24"/>
        </w:rPr>
        <w:t>;</w:t>
      </w:r>
      <w:r w:rsidRPr="004834A8">
        <w:rPr>
          <w:rFonts w:asciiTheme="minorHAnsi" w:hAnsiTheme="minorHAnsi" w:cs="Tahoma"/>
          <w:bCs/>
          <w:color w:val="000000" w:themeColor="text1"/>
          <w:sz w:val="22"/>
          <w:szCs w:val="22"/>
        </w:rPr>
        <w:t xml:space="preserve"> </w:t>
      </w:r>
      <w:hyperlink r:id="rId7" w:history="1">
        <w:r w:rsidRPr="006A6180" w:rsidR="001B49D8">
          <w:rPr>
            <w:rStyle w:val="Hyperlink"/>
            <w:rFonts w:asciiTheme="minorHAnsi" w:hAnsiTheme="minorHAnsi" w:cs="Tahoma"/>
            <w:bCs/>
            <w:sz w:val="22"/>
            <w:szCs w:val="22"/>
          </w:rPr>
          <w:t>https://www.bls.gov/oes/current/oes_nat.htm</w:t>
        </w:r>
      </w:hyperlink>
      <w:r w:rsidR="001B49D8">
        <w:rPr>
          <w:rFonts w:asciiTheme="minorHAnsi" w:hAnsiTheme="minorHAnsi" w:cs="Tahoma"/>
          <w:bCs/>
          <w:color w:val="000000" w:themeColor="text1"/>
          <w:sz w:val="22"/>
          <w:szCs w:val="22"/>
        </w:rPr>
        <w:t xml:space="preserve">; </w:t>
      </w:r>
      <w:r w:rsidR="003C56CD">
        <w:rPr>
          <w:rFonts w:asciiTheme="minorHAnsi" w:hAnsiTheme="minorHAnsi" w:cs="Tahoma"/>
          <w:bCs/>
          <w:color w:val="000000" w:themeColor="text1"/>
          <w:sz w:val="22"/>
          <w:szCs w:val="22"/>
        </w:rPr>
        <w:t xml:space="preserve">occupation code </w:t>
      </w:r>
      <w:r w:rsidRPr="004834A8">
        <w:rPr>
          <w:rFonts w:asciiTheme="minorHAnsi" w:hAnsiTheme="minorHAnsi"/>
          <w:bCs/>
          <w:color w:val="000000" w:themeColor="text1"/>
          <w:sz w:val="22"/>
          <w:szCs w:val="22"/>
        </w:rPr>
        <w:t>19-</w:t>
      </w:r>
      <w:r w:rsidR="001B49D8">
        <w:rPr>
          <w:rFonts w:asciiTheme="minorHAnsi" w:hAnsiTheme="minorHAnsi"/>
          <w:bCs/>
          <w:color w:val="000000" w:themeColor="text1"/>
          <w:sz w:val="22"/>
          <w:szCs w:val="22"/>
        </w:rPr>
        <w:t>0</w:t>
      </w:r>
      <w:r w:rsidRPr="004834A8">
        <w:rPr>
          <w:rFonts w:asciiTheme="minorHAnsi" w:hAnsiTheme="minorHAnsi"/>
          <w:bCs/>
          <w:color w:val="000000" w:themeColor="text1"/>
          <w:sz w:val="22"/>
          <w:szCs w:val="22"/>
        </w:rPr>
        <w:t>0</w:t>
      </w:r>
      <w:r w:rsidR="001B49D8">
        <w:rPr>
          <w:rFonts w:asciiTheme="minorHAnsi" w:hAnsiTheme="minorHAnsi"/>
          <w:bCs/>
          <w:color w:val="000000" w:themeColor="text1"/>
          <w:sz w:val="22"/>
          <w:szCs w:val="22"/>
        </w:rPr>
        <w:t>00</w:t>
      </w:r>
      <w:r w:rsidRPr="004834A8">
        <w:rPr>
          <w:rFonts w:asciiTheme="minorHAnsi" w:hAnsiTheme="minorHAnsi"/>
          <w:bCs/>
          <w:color w:val="000000" w:themeColor="text1"/>
          <w:sz w:val="22"/>
          <w:szCs w:val="22"/>
        </w:rPr>
        <w:t xml:space="preserve"> </w:t>
      </w:r>
      <w:r w:rsidR="00DF65EA">
        <w:rPr>
          <w:rFonts w:asciiTheme="minorHAnsi" w:hAnsiTheme="minorHAnsi"/>
          <w:bCs/>
          <w:color w:val="000000" w:themeColor="text1"/>
          <w:sz w:val="22"/>
          <w:szCs w:val="22"/>
        </w:rPr>
        <w:t>life scientist</w:t>
      </w:r>
      <w:r w:rsidRPr="004834A8">
        <w:rPr>
          <w:rFonts w:asciiTheme="minorHAnsi" w:hAnsiTheme="minorHAnsi"/>
          <w:bCs/>
          <w:color w:val="000000" w:themeColor="text1"/>
          <w:sz w:val="22"/>
          <w:szCs w:val="22"/>
        </w:rPr>
        <w:t xml:space="preserve"> </w:t>
      </w:r>
    </w:p>
    <w:p w:rsidR="00EC1CB6" w:rsidP="00FF72FC" w14:paraId="7C01AB9F" w14:textId="77777777">
      <w:pPr>
        <w:rPr>
          <w:b/>
        </w:rPr>
      </w:pPr>
    </w:p>
    <w:p w:rsidR="00FF72FC" w:rsidRPr="00E35DD1" w:rsidP="00FF72FC" w14:paraId="72B19A1F" w14:textId="3878592B">
      <w:pPr>
        <w:rPr>
          <w:b/>
        </w:rPr>
      </w:pPr>
      <w:r w:rsidRPr="00E35DD1">
        <w:rPr>
          <w:b/>
        </w:rPr>
        <w:t>A.13</w:t>
      </w:r>
      <w:r w:rsidRPr="00E35DD1">
        <w:rPr>
          <w:b/>
        </w:rPr>
        <w:tab/>
        <w:t>Estimate of Other Total Annual Cost Burden to Respondents or Record Keepers</w:t>
      </w:r>
    </w:p>
    <w:p w:rsidR="005837EC" w:rsidRPr="005837EC" w:rsidP="005837EC" w14:paraId="7A930C4F" w14:textId="77777777">
      <w:pPr>
        <w:ind w:right="-684"/>
        <w:rPr>
          <w:bCs/>
        </w:rPr>
      </w:pPr>
      <w:r w:rsidRPr="005837EC">
        <w:rPr>
          <w:bCs/>
        </w:rPr>
        <w:t>There are no other costs, other than time, to participate.</w:t>
      </w:r>
    </w:p>
    <w:p w:rsidR="00FF72FC" w:rsidP="00FF72FC" w14:paraId="5439FC4E" w14:textId="6482A6C3">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E60282" w:rsidP="00AF42AD" w14:paraId="19EF2321" w14:textId="1632AA2D">
      <w:r w:rsidRPr="00FF4424">
        <w:t xml:space="preserve">The </w:t>
      </w:r>
      <w:r w:rsidRPr="00FF4424">
        <w:rPr>
          <w:noProof/>
        </w:rPr>
        <w:t>annualized</w:t>
      </w:r>
      <w:r w:rsidRPr="00FF4424">
        <w:t xml:space="preserve"> cost to the government is </w:t>
      </w:r>
      <w:r w:rsidR="00FF4424">
        <w:t>$</w:t>
      </w:r>
      <w:r w:rsidR="009A40BF">
        <w:rPr>
          <w:rFonts w:ascii="Calibri" w:eastAsia="Times New Roman" w:hAnsi="Calibri" w:cs="Times New Roman"/>
        </w:rPr>
        <w:t>30,805</w:t>
      </w:r>
      <w:r w:rsidRPr="00FF4424">
        <w:t xml:space="preserve">.  </w:t>
      </w:r>
    </w:p>
    <w:tbl>
      <w:tblPr>
        <w:tblW w:w="8139" w:type="dxa"/>
        <w:tblLook w:val="04A0"/>
      </w:tblPr>
      <w:tblGrid>
        <w:gridCol w:w="2780"/>
        <w:gridCol w:w="1340"/>
        <w:gridCol w:w="1052"/>
        <w:gridCol w:w="783"/>
        <w:gridCol w:w="1244"/>
        <w:gridCol w:w="940"/>
      </w:tblGrid>
      <w:tr w14:paraId="0B594BD9" w14:textId="77777777" w:rsidTr="00575490">
        <w:tblPrEx>
          <w:tblW w:w="8139" w:type="dxa"/>
          <w:tblLook w:val="04A0"/>
        </w:tblPrEx>
        <w:trPr>
          <w:trHeight w:val="312"/>
        </w:trPr>
        <w:tc>
          <w:tcPr>
            <w:tcW w:w="27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F64FE" w:rsidRPr="00666386" w:rsidP="003F64FE" w14:paraId="7DAD352D" w14:textId="26563B91">
            <w:pPr>
              <w:spacing w:after="0" w:line="240" w:lineRule="auto"/>
              <w:jc w:val="center"/>
              <w:rPr>
                <w:rFonts w:ascii="Calibri" w:eastAsia="Times New Roman" w:hAnsi="Calibri" w:cs="Times New Roman"/>
                <w:i/>
                <w:iCs/>
              </w:rPr>
            </w:pPr>
            <w:r>
              <w:rPr>
                <w:rFonts w:ascii="Calibri" w:eastAsia="Times New Roman" w:hAnsi="Calibri" w:cs="Times New Roman"/>
                <w:b/>
                <w:bCs/>
                <w:color w:val="000000"/>
              </w:rPr>
              <w:t>Cost Descriptions</w:t>
            </w:r>
          </w:p>
        </w:tc>
        <w:tc>
          <w:tcPr>
            <w:tcW w:w="1340" w:type="dxa"/>
            <w:tcBorders>
              <w:top w:val="single" w:sz="8" w:space="0" w:color="auto"/>
              <w:left w:val="nil"/>
              <w:bottom w:val="nil"/>
              <w:right w:val="single" w:sz="8" w:space="0" w:color="auto"/>
            </w:tcBorders>
            <w:shd w:val="clear" w:color="auto" w:fill="auto"/>
            <w:vAlign w:val="center"/>
            <w:hideMark/>
          </w:tcPr>
          <w:p w:rsidR="003F64FE" w:rsidRPr="00666386" w:rsidP="003F64FE" w14:paraId="78DDE95E" w14:textId="77777777">
            <w:pPr>
              <w:spacing w:after="0" w:line="240" w:lineRule="auto"/>
              <w:jc w:val="center"/>
              <w:rPr>
                <w:rFonts w:ascii="Calibri" w:eastAsia="Times New Roman" w:hAnsi="Calibri" w:cs="Times New Roman"/>
                <w:b/>
                <w:bCs/>
                <w:color w:val="1F497D"/>
              </w:rPr>
            </w:pPr>
            <w:r w:rsidRPr="00666386">
              <w:rPr>
                <w:rFonts w:ascii="Calibri" w:eastAsia="Times New Roman" w:hAnsi="Calibri" w:cs="Times New Roman"/>
                <w:b/>
                <w:bCs/>
                <w:color w:val="1F497D"/>
              </w:rPr>
              <w:t> </w:t>
            </w:r>
          </w:p>
        </w:tc>
        <w:tc>
          <w:tcPr>
            <w:tcW w:w="10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64FE" w:rsidRPr="00666386" w:rsidP="003F64FE" w14:paraId="744EBC3F" w14:textId="77777777">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Salary</w:t>
            </w:r>
          </w:p>
        </w:tc>
        <w:tc>
          <w:tcPr>
            <w:tcW w:w="7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64FE" w:rsidRPr="00666386" w:rsidP="003F64FE" w14:paraId="0B98BBE5" w14:textId="77777777">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 of Effort</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64FE" w:rsidRPr="00666386" w:rsidP="003F64FE" w14:paraId="7D6CEF2B" w14:textId="77777777">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Fringe (if applicable)</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64FE" w:rsidRPr="00666386" w:rsidP="003F64FE" w14:paraId="5720408D" w14:textId="77777777">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Total Cost to Gov’t</w:t>
            </w:r>
          </w:p>
        </w:tc>
      </w:tr>
      <w:tr w14:paraId="21208312" w14:textId="77777777" w:rsidTr="00575490">
        <w:tblPrEx>
          <w:tblW w:w="8139" w:type="dxa"/>
          <w:tblLook w:val="04A0"/>
        </w:tblPrEx>
        <w:trPr>
          <w:trHeight w:val="636"/>
        </w:trPr>
        <w:tc>
          <w:tcPr>
            <w:tcW w:w="2780" w:type="dxa"/>
            <w:vMerge/>
            <w:tcBorders>
              <w:top w:val="single" w:sz="8" w:space="0" w:color="auto"/>
              <w:left w:val="single" w:sz="8" w:space="0" w:color="auto"/>
              <w:bottom w:val="single" w:sz="8" w:space="0" w:color="000000"/>
              <w:right w:val="single" w:sz="8" w:space="0" w:color="auto"/>
            </w:tcBorders>
            <w:vAlign w:val="center"/>
            <w:hideMark/>
          </w:tcPr>
          <w:p w:rsidR="003F64FE" w:rsidRPr="00666386" w:rsidP="003F64FE" w14:paraId="7BBF8983" w14:textId="77777777">
            <w:pPr>
              <w:spacing w:after="0" w:line="240" w:lineRule="auto"/>
              <w:rPr>
                <w:rFonts w:ascii="Calibri" w:eastAsia="Times New Roman" w:hAnsi="Calibri" w:cs="Times New Roman"/>
                <w:i/>
                <w:iCs/>
              </w:rPr>
            </w:pPr>
          </w:p>
        </w:tc>
        <w:tc>
          <w:tcPr>
            <w:tcW w:w="1340" w:type="dxa"/>
            <w:tcBorders>
              <w:top w:val="nil"/>
              <w:left w:val="nil"/>
              <w:bottom w:val="single" w:sz="8" w:space="0" w:color="auto"/>
              <w:right w:val="single" w:sz="8" w:space="0" w:color="auto"/>
            </w:tcBorders>
            <w:shd w:val="clear" w:color="auto" w:fill="auto"/>
            <w:vAlign w:val="center"/>
            <w:hideMark/>
          </w:tcPr>
          <w:p w:rsidR="003F64FE" w:rsidRPr="00666386" w:rsidP="003F64FE" w14:paraId="7E0B63F1" w14:textId="77777777">
            <w:pPr>
              <w:spacing w:after="0" w:line="240" w:lineRule="auto"/>
              <w:jc w:val="center"/>
              <w:rPr>
                <w:rFonts w:ascii="Calibri" w:eastAsia="Times New Roman" w:hAnsi="Calibri" w:cs="Times New Roman"/>
                <w:b/>
                <w:bCs/>
                <w:color w:val="000000"/>
              </w:rPr>
            </w:pPr>
            <w:r w:rsidRPr="00666386">
              <w:rPr>
                <w:rFonts w:ascii="Calibri" w:eastAsia="Times New Roman" w:hAnsi="Calibri" w:cs="Times New Roman"/>
                <w:b/>
                <w:bCs/>
                <w:color w:val="000000"/>
              </w:rPr>
              <w:t>Grade/Step</w:t>
            </w:r>
          </w:p>
        </w:tc>
        <w:tc>
          <w:tcPr>
            <w:tcW w:w="1052" w:type="dxa"/>
            <w:vMerge/>
            <w:tcBorders>
              <w:top w:val="single" w:sz="8" w:space="0" w:color="auto"/>
              <w:left w:val="single" w:sz="8" w:space="0" w:color="auto"/>
              <w:bottom w:val="single" w:sz="8" w:space="0" w:color="000000"/>
              <w:right w:val="single" w:sz="8" w:space="0" w:color="auto"/>
            </w:tcBorders>
            <w:vAlign w:val="center"/>
            <w:hideMark/>
          </w:tcPr>
          <w:p w:rsidR="003F64FE" w:rsidRPr="00666386" w:rsidP="003F64FE" w14:paraId="16061069" w14:textId="77777777">
            <w:pPr>
              <w:spacing w:after="0" w:line="240" w:lineRule="auto"/>
              <w:rPr>
                <w:rFonts w:ascii="Calibri" w:eastAsia="Times New Roman" w:hAnsi="Calibri" w:cs="Times New Roman"/>
                <w:b/>
                <w:bCs/>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3F64FE" w:rsidRPr="00666386" w:rsidP="003F64FE" w14:paraId="01B0495D" w14:textId="77777777">
            <w:pPr>
              <w:spacing w:after="0" w:line="240" w:lineRule="auto"/>
              <w:rPr>
                <w:rFonts w:ascii="Calibri" w:eastAsia="Times New Roman" w:hAnsi="Calibri" w:cs="Times New Roman"/>
                <w:b/>
                <w:bCs/>
              </w:rPr>
            </w:pP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3F64FE" w:rsidRPr="00666386" w:rsidP="003F64FE" w14:paraId="62FB379F" w14:textId="77777777">
            <w:pPr>
              <w:spacing w:after="0" w:line="240" w:lineRule="auto"/>
              <w:rPr>
                <w:rFonts w:ascii="Calibri" w:eastAsia="Times New Roman" w:hAnsi="Calibri" w:cs="Times New Roman"/>
                <w:b/>
                <w:bCs/>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3F64FE" w:rsidRPr="00666386" w:rsidP="003F64FE" w14:paraId="5A91A980" w14:textId="77777777">
            <w:pPr>
              <w:spacing w:after="0" w:line="240" w:lineRule="auto"/>
              <w:rPr>
                <w:rFonts w:ascii="Calibri" w:eastAsia="Times New Roman" w:hAnsi="Calibri" w:cs="Times New Roman"/>
                <w:b/>
                <w:bCs/>
              </w:rPr>
            </w:pPr>
          </w:p>
        </w:tc>
      </w:tr>
      <w:tr w14:paraId="558E828D" w14:textId="77777777" w:rsidTr="00575490">
        <w:tblPrEx>
          <w:tblW w:w="8139" w:type="dxa"/>
          <w:tblLook w:val="04A0"/>
        </w:tblPrEx>
        <w:trPr>
          <w:trHeight w:val="948"/>
        </w:trPr>
        <w:tc>
          <w:tcPr>
            <w:tcW w:w="2780"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E60282" w:rsidRPr="00666386" w:rsidP="003F64FE" w14:paraId="3E58ECE7" w14:textId="454FE2D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Federal Oversight</w:t>
            </w:r>
          </w:p>
        </w:tc>
        <w:tc>
          <w:tcPr>
            <w:tcW w:w="1340" w:type="dxa"/>
            <w:tcBorders>
              <w:top w:val="nil"/>
              <w:left w:val="nil"/>
              <w:bottom w:val="single" w:sz="8" w:space="0" w:color="auto"/>
              <w:right w:val="single" w:sz="8" w:space="0" w:color="auto"/>
            </w:tcBorders>
            <w:shd w:val="clear" w:color="auto" w:fill="F2F2F2" w:themeFill="background1" w:themeFillShade="F2"/>
            <w:vAlign w:val="center"/>
          </w:tcPr>
          <w:p w:rsidR="00E60282" w:rsidRPr="00666386" w:rsidP="003F64FE" w14:paraId="748523F2" w14:textId="77777777">
            <w:pPr>
              <w:spacing w:after="0" w:line="240" w:lineRule="auto"/>
              <w:rPr>
                <w:rFonts w:ascii="Calibri" w:eastAsia="Times New Roman" w:hAnsi="Calibri" w:cs="Times New Roman"/>
              </w:rPr>
            </w:pPr>
          </w:p>
        </w:tc>
        <w:tc>
          <w:tcPr>
            <w:tcW w:w="1052" w:type="dxa"/>
            <w:tcBorders>
              <w:top w:val="nil"/>
              <w:left w:val="nil"/>
              <w:bottom w:val="single" w:sz="8" w:space="0" w:color="auto"/>
              <w:right w:val="single" w:sz="8" w:space="0" w:color="auto"/>
            </w:tcBorders>
            <w:shd w:val="clear" w:color="auto" w:fill="F2F2F2" w:themeFill="background1" w:themeFillShade="F2"/>
            <w:noWrap/>
            <w:vAlign w:val="center"/>
          </w:tcPr>
          <w:p w:rsidR="00E60282" w:rsidP="003F64FE" w14:paraId="32C0E670" w14:textId="77777777">
            <w:pPr>
              <w:spacing w:after="0" w:line="240" w:lineRule="auto"/>
              <w:jc w:val="right"/>
              <w:rPr>
                <w:rFonts w:ascii="Calibri" w:eastAsia="Times New Roman" w:hAnsi="Calibri" w:cs="Times New Roman"/>
              </w:rPr>
            </w:pPr>
          </w:p>
        </w:tc>
        <w:tc>
          <w:tcPr>
            <w:tcW w:w="783" w:type="dxa"/>
            <w:tcBorders>
              <w:top w:val="nil"/>
              <w:left w:val="nil"/>
              <w:bottom w:val="single" w:sz="8" w:space="0" w:color="auto"/>
              <w:right w:val="single" w:sz="8" w:space="0" w:color="auto"/>
            </w:tcBorders>
            <w:shd w:val="clear" w:color="auto" w:fill="F2F2F2" w:themeFill="background1" w:themeFillShade="F2"/>
            <w:noWrap/>
            <w:vAlign w:val="center"/>
          </w:tcPr>
          <w:p w:rsidR="00E60282" w:rsidP="003F64FE" w14:paraId="2D552357" w14:textId="77777777">
            <w:pPr>
              <w:spacing w:after="0" w:line="240" w:lineRule="auto"/>
              <w:jc w:val="right"/>
              <w:rPr>
                <w:rFonts w:ascii="Calibri" w:eastAsia="Times New Roman" w:hAnsi="Calibri" w:cs="Times New Roman"/>
              </w:rPr>
            </w:pPr>
          </w:p>
        </w:tc>
        <w:tc>
          <w:tcPr>
            <w:tcW w:w="1244" w:type="dxa"/>
            <w:tcBorders>
              <w:top w:val="nil"/>
              <w:left w:val="nil"/>
              <w:bottom w:val="single" w:sz="8" w:space="0" w:color="auto"/>
              <w:right w:val="single" w:sz="8" w:space="0" w:color="auto"/>
            </w:tcBorders>
            <w:shd w:val="clear" w:color="auto" w:fill="F2F2F2" w:themeFill="background1" w:themeFillShade="F2"/>
            <w:vAlign w:val="center"/>
          </w:tcPr>
          <w:p w:rsidR="00E60282" w:rsidRPr="00666386" w:rsidP="003F64FE" w14:paraId="3639937A" w14:textId="77777777">
            <w:pPr>
              <w:spacing w:after="0" w:line="240" w:lineRule="auto"/>
              <w:rPr>
                <w:rFonts w:ascii="Calibri" w:eastAsia="Times New Roman" w:hAnsi="Calibri" w:cs="Times New Roman"/>
                <w:color w:val="000000"/>
              </w:rPr>
            </w:pPr>
          </w:p>
        </w:tc>
        <w:tc>
          <w:tcPr>
            <w:tcW w:w="940" w:type="dxa"/>
            <w:tcBorders>
              <w:top w:val="nil"/>
              <w:left w:val="nil"/>
              <w:bottom w:val="single" w:sz="8" w:space="0" w:color="auto"/>
              <w:right w:val="single" w:sz="8" w:space="0" w:color="auto"/>
            </w:tcBorders>
            <w:shd w:val="clear" w:color="auto" w:fill="F2F2F2" w:themeFill="background1" w:themeFillShade="F2"/>
            <w:vAlign w:val="center"/>
          </w:tcPr>
          <w:p w:rsidR="00E60282" w:rsidP="003F64FE" w14:paraId="59DB851D" w14:textId="77777777">
            <w:pPr>
              <w:spacing w:after="0" w:line="240" w:lineRule="auto"/>
              <w:jc w:val="right"/>
              <w:rPr>
                <w:rFonts w:ascii="Calibri" w:eastAsia="Times New Roman" w:hAnsi="Calibri" w:cs="Times New Roman"/>
              </w:rPr>
            </w:pPr>
          </w:p>
        </w:tc>
      </w:tr>
      <w:tr w14:paraId="3F8609D1" w14:textId="77777777" w:rsidTr="00575490">
        <w:tblPrEx>
          <w:tblW w:w="8139" w:type="dxa"/>
          <w:tblLook w:val="04A0"/>
        </w:tblPrEx>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rsidR="003F64FE" w:rsidRPr="00666386" w:rsidP="003F64FE" w14:paraId="77510EC5" w14:textId="77777777">
            <w:pPr>
              <w:spacing w:after="0" w:line="240" w:lineRule="auto"/>
              <w:rPr>
                <w:rFonts w:ascii="Calibri" w:eastAsia="Times New Roman" w:hAnsi="Calibri" w:cs="Times New Roman"/>
                <w:b/>
                <w:bCs/>
                <w:color w:val="000000"/>
              </w:rPr>
            </w:pPr>
            <w:r w:rsidRPr="00666386">
              <w:rPr>
                <w:rFonts w:ascii="Calibri" w:eastAsia="Times New Roman" w:hAnsi="Calibri" w:cs="Times New Roman"/>
                <w:b/>
                <w:bCs/>
                <w:color w:val="000000"/>
              </w:rPr>
              <w:t>NIH Senior Policy Analyst</w:t>
            </w:r>
          </w:p>
        </w:tc>
        <w:tc>
          <w:tcPr>
            <w:tcW w:w="1340" w:type="dxa"/>
            <w:tcBorders>
              <w:top w:val="nil"/>
              <w:left w:val="nil"/>
              <w:bottom w:val="single" w:sz="8" w:space="0" w:color="auto"/>
              <w:right w:val="single" w:sz="8" w:space="0" w:color="auto"/>
            </w:tcBorders>
            <w:shd w:val="clear" w:color="auto" w:fill="auto"/>
            <w:vAlign w:val="center"/>
            <w:hideMark/>
          </w:tcPr>
          <w:p w:rsidR="003F64FE" w:rsidRPr="00666386" w:rsidP="003F64FE" w14:paraId="7BB09579" w14:textId="7835E880">
            <w:pPr>
              <w:spacing w:after="0" w:line="240" w:lineRule="auto"/>
              <w:rPr>
                <w:rFonts w:ascii="Calibri" w:eastAsia="Times New Roman" w:hAnsi="Calibri" w:cs="Times New Roman"/>
              </w:rPr>
            </w:pPr>
            <w:r w:rsidRPr="00666386">
              <w:rPr>
                <w:rFonts w:ascii="Calibri" w:eastAsia="Times New Roman" w:hAnsi="Calibri" w:cs="Times New Roman"/>
              </w:rPr>
              <w:t xml:space="preserve">GS-15/Step </w:t>
            </w:r>
            <w:r w:rsidR="00FF0D1B">
              <w:rPr>
                <w:rFonts w:ascii="Calibri" w:eastAsia="Times New Roman" w:hAnsi="Calibri" w:cs="Times New Roman"/>
              </w:rPr>
              <w:t>10</w:t>
            </w:r>
          </w:p>
        </w:tc>
        <w:tc>
          <w:tcPr>
            <w:tcW w:w="1052" w:type="dxa"/>
            <w:tcBorders>
              <w:top w:val="nil"/>
              <w:left w:val="nil"/>
              <w:bottom w:val="single" w:sz="8" w:space="0" w:color="auto"/>
              <w:right w:val="single" w:sz="8" w:space="0" w:color="auto"/>
            </w:tcBorders>
            <w:shd w:val="clear" w:color="auto" w:fill="auto"/>
            <w:noWrap/>
            <w:vAlign w:val="center"/>
            <w:hideMark/>
          </w:tcPr>
          <w:p w:rsidR="003F64FE" w:rsidRPr="00666386" w:rsidP="003F64FE" w14:paraId="4063312D" w14:textId="48AF6C3C">
            <w:pPr>
              <w:spacing w:after="0" w:line="240" w:lineRule="auto"/>
              <w:jc w:val="right"/>
              <w:rPr>
                <w:rFonts w:ascii="Calibri" w:eastAsia="Times New Roman" w:hAnsi="Calibri" w:cs="Times New Roman"/>
              </w:rPr>
            </w:pPr>
            <w:r>
              <w:rPr>
                <w:rFonts w:ascii="Calibri" w:eastAsia="Times New Roman" w:hAnsi="Calibri" w:cs="Times New Roman"/>
              </w:rPr>
              <w:t>$</w:t>
            </w:r>
            <w:r w:rsidR="001C64F0">
              <w:rPr>
                <w:rFonts w:ascii="Calibri" w:eastAsia="Times New Roman" w:hAnsi="Calibri" w:cs="Times New Roman"/>
              </w:rPr>
              <w:t>176,300</w:t>
            </w:r>
          </w:p>
        </w:tc>
        <w:tc>
          <w:tcPr>
            <w:tcW w:w="783" w:type="dxa"/>
            <w:tcBorders>
              <w:top w:val="nil"/>
              <w:left w:val="nil"/>
              <w:bottom w:val="single" w:sz="8" w:space="0" w:color="auto"/>
              <w:right w:val="single" w:sz="8" w:space="0" w:color="auto"/>
            </w:tcBorders>
            <w:shd w:val="clear" w:color="auto" w:fill="auto"/>
            <w:noWrap/>
            <w:vAlign w:val="center"/>
            <w:hideMark/>
          </w:tcPr>
          <w:p w:rsidR="003F64FE" w:rsidRPr="00666386" w:rsidP="003F64FE" w14:paraId="38626CAE" w14:textId="0FBBD804">
            <w:pPr>
              <w:spacing w:after="0" w:line="240" w:lineRule="auto"/>
              <w:jc w:val="right"/>
              <w:rPr>
                <w:rFonts w:ascii="Calibri" w:eastAsia="Times New Roman" w:hAnsi="Calibri" w:cs="Times New Roman"/>
              </w:rPr>
            </w:pPr>
            <w:r>
              <w:rPr>
                <w:rFonts w:ascii="Calibri" w:eastAsia="Times New Roman" w:hAnsi="Calibri" w:cs="Times New Roman"/>
              </w:rPr>
              <w:t>10</w:t>
            </w:r>
            <w:r w:rsidRPr="00666386">
              <w:rPr>
                <w:rFonts w:ascii="Calibri" w:eastAsia="Times New Roman" w:hAnsi="Calibri" w:cs="Times New Roman"/>
              </w:rPr>
              <w:t>%</w:t>
            </w:r>
          </w:p>
        </w:tc>
        <w:tc>
          <w:tcPr>
            <w:tcW w:w="1244" w:type="dxa"/>
            <w:tcBorders>
              <w:top w:val="nil"/>
              <w:left w:val="nil"/>
              <w:bottom w:val="single" w:sz="8" w:space="0" w:color="auto"/>
              <w:right w:val="single" w:sz="8" w:space="0" w:color="auto"/>
            </w:tcBorders>
            <w:shd w:val="clear" w:color="000000" w:fill="BFBFBF"/>
            <w:vAlign w:val="center"/>
            <w:hideMark/>
          </w:tcPr>
          <w:p w:rsidR="003F64FE" w:rsidRPr="00666386" w:rsidP="003F64FE" w14:paraId="32F0272E" w14:textId="77777777">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940" w:type="dxa"/>
            <w:tcBorders>
              <w:top w:val="nil"/>
              <w:left w:val="nil"/>
              <w:bottom w:val="single" w:sz="8" w:space="0" w:color="auto"/>
              <w:right w:val="single" w:sz="8" w:space="0" w:color="auto"/>
            </w:tcBorders>
            <w:shd w:val="clear" w:color="auto" w:fill="auto"/>
            <w:vAlign w:val="center"/>
            <w:hideMark/>
          </w:tcPr>
          <w:p w:rsidR="003F64FE" w:rsidRPr="00666386" w:rsidP="003F64FE" w14:paraId="421BCCA1" w14:textId="12EF99D3">
            <w:pPr>
              <w:spacing w:after="0" w:line="240" w:lineRule="auto"/>
              <w:jc w:val="right"/>
              <w:rPr>
                <w:rFonts w:ascii="Calibri" w:eastAsia="Times New Roman" w:hAnsi="Calibri" w:cs="Times New Roman"/>
              </w:rPr>
            </w:pPr>
            <w:r>
              <w:rPr>
                <w:rFonts w:ascii="Calibri" w:eastAsia="Times New Roman" w:hAnsi="Calibri" w:cs="Times New Roman"/>
              </w:rPr>
              <w:t>$</w:t>
            </w:r>
            <w:r w:rsidR="001C64F0">
              <w:rPr>
                <w:rFonts w:ascii="Calibri" w:eastAsia="Times New Roman" w:hAnsi="Calibri" w:cs="Times New Roman"/>
              </w:rPr>
              <w:t>1</w:t>
            </w:r>
            <w:r w:rsidR="00C7320D">
              <w:rPr>
                <w:rFonts w:ascii="Calibri" w:eastAsia="Times New Roman" w:hAnsi="Calibri" w:cs="Times New Roman"/>
              </w:rPr>
              <w:t>7,630</w:t>
            </w:r>
          </w:p>
        </w:tc>
      </w:tr>
      <w:tr w14:paraId="179D0016" w14:textId="77777777" w:rsidTr="00575490">
        <w:tblPrEx>
          <w:tblW w:w="8139" w:type="dxa"/>
          <w:tblLook w:val="04A0"/>
        </w:tblPrEx>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rsidR="003F64FE" w:rsidRPr="00666386" w:rsidP="003F64FE" w14:paraId="14335BCA" w14:textId="77777777">
            <w:pPr>
              <w:spacing w:after="0" w:line="240" w:lineRule="auto"/>
              <w:rPr>
                <w:rFonts w:ascii="Calibri" w:eastAsia="Times New Roman" w:hAnsi="Calibri" w:cs="Times New Roman"/>
                <w:b/>
                <w:bCs/>
                <w:color w:val="000000"/>
              </w:rPr>
            </w:pPr>
            <w:r w:rsidRPr="00666386">
              <w:rPr>
                <w:rFonts w:ascii="Calibri" w:eastAsia="Times New Roman" w:hAnsi="Calibri" w:cs="Times New Roman"/>
                <w:b/>
                <w:bCs/>
                <w:color w:val="000000"/>
              </w:rPr>
              <w:t>NIH Policy Analyst</w:t>
            </w:r>
          </w:p>
        </w:tc>
        <w:tc>
          <w:tcPr>
            <w:tcW w:w="1340" w:type="dxa"/>
            <w:tcBorders>
              <w:top w:val="nil"/>
              <w:left w:val="nil"/>
              <w:bottom w:val="single" w:sz="8" w:space="0" w:color="auto"/>
              <w:right w:val="single" w:sz="8" w:space="0" w:color="auto"/>
            </w:tcBorders>
            <w:shd w:val="clear" w:color="auto" w:fill="auto"/>
            <w:vAlign w:val="center"/>
            <w:hideMark/>
          </w:tcPr>
          <w:p w:rsidR="003F64FE" w:rsidRPr="00666386" w:rsidP="003F64FE" w14:paraId="11550517" w14:textId="0367EF45">
            <w:pPr>
              <w:spacing w:after="0" w:line="240" w:lineRule="auto"/>
              <w:rPr>
                <w:rFonts w:ascii="Calibri" w:eastAsia="Times New Roman" w:hAnsi="Calibri" w:cs="Times New Roman"/>
              </w:rPr>
            </w:pPr>
            <w:r w:rsidRPr="00666386">
              <w:rPr>
                <w:rFonts w:ascii="Calibri" w:eastAsia="Times New Roman" w:hAnsi="Calibri" w:cs="Times New Roman"/>
              </w:rPr>
              <w:t xml:space="preserve">GS-13/Step </w:t>
            </w:r>
            <w:r w:rsidR="009823ED">
              <w:rPr>
                <w:rFonts w:ascii="Calibri" w:eastAsia="Times New Roman" w:hAnsi="Calibri" w:cs="Times New Roman"/>
              </w:rPr>
              <w:t>8</w:t>
            </w:r>
          </w:p>
        </w:tc>
        <w:tc>
          <w:tcPr>
            <w:tcW w:w="1052" w:type="dxa"/>
            <w:tcBorders>
              <w:top w:val="nil"/>
              <w:left w:val="nil"/>
              <w:bottom w:val="single" w:sz="8" w:space="0" w:color="auto"/>
              <w:right w:val="single" w:sz="8" w:space="0" w:color="auto"/>
            </w:tcBorders>
            <w:shd w:val="clear" w:color="auto" w:fill="auto"/>
            <w:noWrap/>
            <w:vAlign w:val="center"/>
            <w:hideMark/>
          </w:tcPr>
          <w:p w:rsidR="00D353C4" w:rsidRPr="00666386" w:rsidP="00D353C4" w14:paraId="7B24B6DF" w14:textId="67FD4099">
            <w:pPr>
              <w:jc w:val="both"/>
              <w:rPr>
                <w:color w:val="333333"/>
              </w:rPr>
            </w:pPr>
            <w:r w:rsidRPr="00666386">
              <w:rPr>
                <w:color w:val="333333"/>
              </w:rPr>
              <w:br/>
            </w:r>
            <w:r w:rsidR="00106C5C">
              <w:t>$</w:t>
            </w:r>
            <w:r w:rsidR="001C64F0">
              <w:t>1</w:t>
            </w:r>
            <w:r w:rsidR="00BA00E7">
              <w:t>3</w:t>
            </w:r>
            <w:r w:rsidR="001C64F0">
              <w:t>1,</w:t>
            </w:r>
            <w:r w:rsidR="00BA00E7">
              <w:t>747</w:t>
            </w:r>
          </w:p>
          <w:p w:rsidR="003F64FE" w:rsidRPr="00666386" w:rsidP="003F64FE" w14:paraId="05B0F962" w14:textId="7D27ABB4">
            <w:pPr>
              <w:spacing w:after="0" w:line="240" w:lineRule="auto"/>
              <w:jc w:val="both"/>
              <w:rPr>
                <w:rFonts w:ascii="Calibri" w:eastAsia="Times New Roman" w:hAnsi="Calibri" w:cs="Times New Roman"/>
              </w:rPr>
            </w:pPr>
          </w:p>
        </w:tc>
        <w:tc>
          <w:tcPr>
            <w:tcW w:w="783" w:type="dxa"/>
            <w:tcBorders>
              <w:top w:val="nil"/>
              <w:left w:val="nil"/>
              <w:bottom w:val="single" w:sz="8" w:space="0" w:color="auto"/>
              <w:right w:val="single" w:sz="8" w:space="0" w:color="auto"/>
            </w:tcBorders>
            <w:shd w:val="clear" w:color="auto" w:fill="auto"/>
            <w:noWrap/>
            <w:vAlign w:val="center"/>
            <w:hideMark/>
          </w:tcPr>
          <w:p w:rsidR="003F64FE" w:rsidRPr="00666386" w:rsidP="003F64FE" w14:paraId="715BD6A7" w14:textId="77777777">
            <w:pPr>
              <w:spacing w:after="0" w:line="240" w:lineRule="auto"/>
              <w:jc w:val="right"/>
              <w:rPr>
                <w:rFonts w:ascii="Calibri" w:eastAsia="Times New Roman" w:hAnsi="Calibri" w:cs="Times New Roman"/>
              </w:rPr>
            </w:pPr>
            <w:r w:rsidRPr="00666386">
              <w:rPr>
                <w:rFonts w:ascii="Calibri" w:eastAsia="Times New Roman" w:hAnsi="Calibri" w:cs="Times New Roman"/>
              </w:rPr>
              <w:t>10%</w:t>
            </w:r>
          </w:p>
        </w:tc>
        <w:tc>
          <w:tcPr>
            <w:tcW w:w="1244" w:type="dxa"/>
            <w:tcBorders>
              <w:top w:val="nil"/>
              <w:left w:val="nil"/>
              <w:bottom w:val="single" w:sz="8" w:space="0" w:color="auto"/>
              <w:right w:val="single" w:sz="8" w:space="0" w:color="auto"/>
            </w:tcBorders>
            <w:shd w:val="clear" w:color="000000" w:fill="BFBFBF"/>
            <w:vAlign w:val="center"/>
            <w:hideMark/>
          </w:tcPr>
          <w:p w:rsidR="003F64FE" w:rsidRPr="00666386" w:rsidP="003F64FE" w14:paraId="6B46AB64" w14:textId="77777777">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940" w:type="dxa"/>
            <w:tcBorders>
              <w:top w:val="nil"/>
              <w:left w:val="nil"/>
              <w:bottom w:val="single" w:sz="8" w:space="0" w:color="auto"/>
              <w:right w:val="single" w:sz="8" w:space="0" w:color="auto"/>
            </w:tcBorders>
            <w:shd w:val="clear" w:color="auto" w:fill="auto"/>
            <w:vAlign w:val="center"/>
            <w:hideMark/>
          </w:tcPr>
          <w:p w:rsidR="003F64FE" w:rsidRPr="00666386" w:rsidP="003F64FE" w14:paraId="112A1CBC" w14:textId="71ACAB95">
            <w:pPr>
              <w:spacing w:after="0" w:line="240" w:lineRule="auto"/>
              <w:jc w:val="right"/>
              <w:rPr>
                <w:rFonts w:ascii="Calibri" w:eastAsia="Times New Roman" w:hAnsi="Calibri" w:cs="Times New Roman"/>
              </w:rPr>
            </w:pPr>
            <w:r>
              <w:rPr>
                <w:rFonts w:ascii="Calibri" w:eastAsia="Times New Roman" w:hAnsi="Calibri" w:cs="Times New Roman"/>
              </w:rPr>
              <w:t>$</w:t>
            </w:r>
            <w:r w:rsidR="00C7320D">
              <w:rPr>
                <w:rFonts w:ascii="Calibri" w:eastAsia="Times New Roman" w:hAnsi="Calibri" w:cs="Times New Roman"/>
              </w:rPr>
              <w:t>1</w:t>
            </w:r>
            <w:r w:rsidR="00BA00E7">
              <w:rPr>
                <w:rFonts w:ascii="Calibri" w:eastAsia="Times New Roman" w:hAnsi="Calibri" w:cs="Times New Roman"/>
              </w:rPr>
              <w:t>3</w:t>
            </w:r>
            <w:r w:rsidR="00C7320D">
              <w:rPr>
                <w:rFonts w:ascii="Calibri" w:eastAsia="Times New Roman" w:hAnsi="Calibri" w:cs="Times New Roman"/>
              </w:rPr>
              <w:t>,</w:t>
            </w:r>
            <w:r w:rsidR="00BF1D15">
              <w:rPr>
                <w:rFonts w:ascii="Calibri" w:eastAsia="Times New Roman" w:hAnsi="Calibri" w:cs="Times New Roman"/>
              </w:rPr>
              <w:t>175</w:t>
            </w:r>
          </w:p>
        </w:tc>
      </w:tr>
      <w:tr w14:paraId="75383AAB" w14:textId="77777777" w:rsidTr="00575490">
        <w:tblPrEx>
          <w:tblW w:w="8139" w:type="dxa"/>
          <w:tblLook w:val="04A0"/>
        </w:tblPrEx>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tcPr>
          <w:p w:rsidR="00E60282" w:rsidRPr="00666386" w:rsidP="003F64FE" w14:paraId="57A2C1FB" w14:textId="49608B0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Contractor Cost</w:t>
            </w:r>
          </w:p>
        </w:tc>
        <w:tc>
          <w:tcPr>
            <w:tcW w:w="1340" w:type="dxa"/>
            <w:tcBorders>
              <w:top w:val="nil"/>
              <w:left w:val="nil"/>
              <w:bottom w:val="single" w:sz="8" w:space="0" w:color="auto"/>
              <w:right w:val="single" w:sz="8" w:space="0" w:color="auto"/>
            </w:tcBorders>
            <w:shd w:val="clear" w:color="auto" w:fill="auto"/>
            <w:vAlign w:val="center"/>
          </w:tcPr>
          <w:p w:rsidR="00E60282" w:rsidRPr="00666386" w:rsidP="003F64FE" w14:paraId="19F89B25" w14:textId="77777777">
            <w:pPr>
              <w:spacing w:after="0" w:line="240" w:lineRule="auto"/>
              <w:rPr>
                <w:rFonts w:ascii="Calibri" w:eastAsia="Times New Roman" w:hAnsi="Calibri" w:cs="Times New Roman"/>
              </w:rPr>
            </w:pPr>
          </w:p>
        </w:tc>
        <w:tc>
          <w:tcPr>
            <w:tcW w:w="1052" w:type="dxa"/>
            <w:tcBorders>
              <w:top w:val="nil"/>
              <w:left w:val="nil"/>
              <w:bottom w:val="single" w:sz="8" w:space="0" w:color="auto"/>
              <w:right w:val="single" w:sz="8" w:space="0" w:color="auto"/>
            </w:tcBorders>
            <w:shd w:val="clear" w:color="auto" w:fill="auto"/>
            <w:noWrap/>
            <w:vAlign w:val="center"/>
          </w:tcPr>
          <w:p w:rsidR="00E60282" w:rsidRPr="00666386" w:rsidP="00D353C4" w14:paraId="71648F90" w14:textId="77777777">
            <w:pPr>
              <w:jc w:val="both"/>
              <w:rPr>
                <w:color w:val="333333"/>
              </w:rPr>
            </w:pPr>
          </w:p>
        </w:tc>
        <w:tc>
          <w:tcPr>
            <w:tcW w:w="783" w:type="dxa"/>
            <w:tcBorders>
              <w:top w:val="nil"/>
              <w:left w:val="nil"/>
              <w:bottom w:val="single" w:sz="8" w:space="0" w:color="auto"/>
              <w:right w:val="single" w:sz="8" w:space="0" w:color="auto"/>
            </w:tcBorders>
            <w:shd w:val="clear" w:color="auto" w:fill="auto"/>
            <w:noWrap/>
            <w:vAlign w:val="center"/>
          </w:tcPr>
          <w:p w:rsidR="00E60282" w:rsidRPr="00666386" w:rsidP="003F64FE" w14:paraId="39E47F33" w14:textId="77777777">
            <w:pPr>
              <w:spacing w:after="0" w:line="240" w:lineRule="auto"/>
              <w:jc w:val="right"/>
              <w:rPr>
                <w:rFonts w:ascii="Calibri" w:eastAsia="Times New Roman" w:hAnsi="Calibri" w:cs="Times New Roman"/>
              </w:rPr>
            </w:pPr>
          </w:p>
        </w:tc>
        <w:tc>
          <w:tcPr>
            <w:tcW w:w="1244" w:type="dxa"/>
            <w:tcBorders>
              <w:top w:val="nil"/>
              <w:left w:val="nil"/>
              <w:bottom w:val="single" w:sz="8" w:space="0" w:color="auto"/>
              <w:right w:val="single" w:sz="8" w:space="0" w:color="auto"/>
            </w:tcBorders>
            <w:shd w:val="clear" w:color="000000" w:fill="BFBFBF"/>
            <w:vAlign w:val="center"/>
          </w:tcPr>
          <w:p w:rsidR="00E60282" w:rsidRPr="00666386" w:rsidP="003F64FE" w14:paraId="0DF092FC" w14:textId="77777777">
            <w:pPr>
              <w:spacing w:after="0" w:line="240" w:lineRule="auto"/>
              <w:rPr>
                <w:rFonts w:ascii="Calibri" w:eastAsia="Times New Roman" w:hAnsi="Calibri" w:cs="Times New Roman"/>
                <w:color w:val="000000"/>
              </w:rPr>
            </w:pPr>
          </w:p>
        </w:tc>
        <w:tc>
          <w:tcPr>
            <w:tcW w:w="940" w:type="dxa"/>
            <w:tcBorders>
              <w:top w:val="nil"/>
              <w:left w:val="nil"/>
              <w:bottom w:val="single" w:sz="8" w:space="0" w:color="auto"/>
              <w:right w:val="single" w:sz="8" w:space="0" w:color="auto"/>
            </w:tcBorders>
            <w:shd w:val="clear" w:color="auto" w:fill="auto"/>
            <w:vAlign w:val="center"/>
          </w:tcPr>
          <w:p w:rsidR="00E60282" w:rsidP="003F64FE" w14:paraId="61437DA6" w14:textId="77777777">
            <w:pPr>
              <w:spacing w:after="0" w:line="240" w:lineRule="auto"/>
              <w:jc w:val="right"/>
              <w:rPr>
                <w:rFonts w:ascii="Calibri" w:eastAsia="Times New Roman" w:hAnsi="Calibri" w:cs="Times New Roman"/>
              </w:rPr>
            </w:pPr>
          </w:p>
        </w:tc>
      </w:tr>
      <w:tr w14:paraId="228A95E3" w14:textId="77777777" w:rsidTr="00575490">
        <w:tblPrEx>
          <w:tblW w:w="8139" w:type="dxa"/>
          <w:tblLook w:val="04A0"/>
        </w:tblPrEx>
        <w:trPr>
          <w:trHeight w:val="324"/>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rsidR="003F64FE" w:rsidRPr="00666386" w:rsidP="003F64FE" w14:paraId="7D1910C6" w14:textId="77777777">
            <w:pPr>
              <w:spacing w:after="0" w:line="240" w:lineRule="auto"/>
              <w:rPr>
                <w:rFonts w:ascii="Calibri" w:eastAsia="Times New Roman" w:hAnsi="Calibri" w:cs="Times New Roman"/>
                <w:b/>
                <w:bCs/>
              </w:rPr>
            </w:pPr>
            <w:r w:rsidRPr="00666386">
              <w:rPr>
                <w:rFonts w:ascii="Calibri" w:eastAsia="Times New Roman" w:hAnsi="Calibri" w:cs="Times New Roman"/>
                <w:b/>
                <w:bCs/>
              </w:rPr>
              <w:t xml:space="preserve">Total </w:t>
            </w:r>
          </w:p>
        </w:tc>
        <w:tc>
          <w:tcPr>
            <w:tcW w:w="1340" w:type="dxa"/>
            <w:tcBorders>
              <w:top w:val="nil"/>
              <w:left w:val="nil"/>
              <w:bottom w:val="single" w:sz="8" w:space="0" w:color="auto"/>
              <w:right w:val="single" w:sz="8" w:space="0" w:color="auto"/>
            </w:tcBorders>
            <w:shd w:val="clear" w:color="auto" w:fill="auto"/>
            <w:vAlign w:val="center"/>
            <w:hideMark/>
          </w:tcPr>
          <w:p w:rsidR="003F64FE" w:rsidRPr="00666386" w:rsidP="003F64FE" w14:paraId="45A57264" w14:textId="77777777">
            <w:pPr>
              <w:spacing w:after="0" w:line="240" w:lineRule="auto"/>
              <w:rPr>
                <w:rFonts w:ascii="Calibri" w:eastAsia="Times New Roman" w:hAnsi="Calibri" w:cs="Times New Roman"/>
              </w:rPr>
            </w:pPr>
            <w:r w:rsidRPr="00666386">
              <w:rPr>
                <w:rFonts w:ascii="Calibri" w:eastAsia="Times New Roman" w:hAnsi="Calibri" w:cs="Times New Roman"/>
              </w:rPr>
              <w:t> </w:t>
            </w:r>
          </w:p>
        </w:tc>
        <w:tc>
          <w:tcPr>
            <w:tcW w:w="1052" w:type="dxa"/>
            <w:tcBorders>
              <w:top w:val="nil"/>
              <w:left w:val="nil"/>
              <w:bottom w:val="single" w:sz="8" w:space="0" w:color="auto"/>
              <w:right w:val="single" w:sz="8" w:space="0" w:color="auto"/>
            </w:tcBorders>
            <w:shd w:val="clear" w:color="auto" w:fill="auto"/>
            <w:noWrap/>
            <w:vAlign w:val="bottom"/>
            <w:hideMark/>
          </w:tcPr>
          <w:p w:rsidR="003F64FE" w:rsidRPr="00666386" w:rsidP="003F64FE" w14:paraId="772246E8" w14:textId="77777777">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783" w:type="dxa"/>
            <w:tcBorders>
              <w:top w:val="nil"/>
              <w:left w:val="nil"/>
              <w:bottom w:val="single" w:sz="8" w:space="0" w:color="auto"/>
              <w:right w:val="single" w:sz="8" w:space="0" w:color="auto"/>
            </w:tcBorders>
            <w:shd w:val="clear" w:color="auto" w:fill="auto"/>
            <w:noWrap/>
            <w:vAlign w:val="bottom"/>
            <w:hideMark/>
          </w:tcPr>
          <w:p w:rsidR="003F64FE" w:rsidRPr="00666386" w:rsidP="003F64FE" w14:paraId="790737A7" w14:textId="77777777">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1244" w:type="dxa"/>
            <w:tcBorders>
              <w:top w:val="nil"/>
              <w:left w:val="nil"/>
              <w:bottom w:val="single" w:sz="8" w:space="0" w:color="auto"/>
              <w:right w:val="single" w:sz="8" w:space="0" w:color="auto"/>
            </w:tcBorders>
            <w:shd w:val="clear" w:color="auto" w:fill="auto"/>
            <w:vAlign w:val="center"/>
            <w:hideMark/>
          </w:tcPr>
          <w:p w:rsidR="003F64FE" w:rsidRPr="00666386" w:rsidP="003F64FE" w14:paraId="24EEE7CC" w14:textId="2D099983">
            <w:pPr>
              <w:spacing w:after="0" w:line="240" w:lineRule="auto"/>
              <w:rPr>
                <w:rFonts w:ascii="Calibri" w:eastAsia="Times New Roman" w:hAnsi="Calibri" w:cs="Times New Roman"/>
              </w:rPr>
            </w:pPr>
            <w:r w:rsidRPr="00666386">
              <w:rPr>
                <w:rFonts w:ascii="Calibri" w:eastAsia="Times New Roman" w:hAnsi="Calibri" w:cs="Times New Roman"/>
              </w:rPr>
              <w:t> </w:t>
            </w:r>
          </w:p>
        </w:tc>
        <w:tc>
          <w:tcPr>
            <w:tcW w:w="940" w:type="dxa"/>
            <w:tcBorders>
              <w:top w:val="nil"/>
              <w:left w:val="nil"/>
              <w:bottom w:val="single" w:sz="8" w:space="0" w:color="auto"/>
              <w:right w:val="single" w:sz="8" w:space="0" w:color="auto"/>
            </w:tcBorders>
            <w:shd w:val="clear" w:color="auto" w:fill="auto"/>
            <w:vAlign w:val="center"/>
            <w:hideMark/>
          </w:tcPr>
          <w:p w:rsidR="003F64FE" w:rsidRPr="00666386" w:rsidP="003F64FE" w14:paraId="7C3F46C3" w14:textId="4736AB45">
            <w:pPr>
              <w:spacing w:after="0" w:line="240" w:lineRule="auto"/>
              <w:rPr>
                <w:rFonts w:ascii="Calibri" w:eastAsia="Times New Roman" w:hAnsi="Calibri" w:cs="Times New Roman"/>
              </w:rPr>
            </w:pPr>
            <w:r>
              <w:rPr>
                <w:rFonts w:ascii="Calibri" w:eastAsia="Times New Roman" w:hAnsi="Calibri" w:cs="Times New Roman"/>
              </w:rPr>
              <w:t>$</w:t>
            </w:r>
            <w:r w:rsidR="00D87AD3">
              <w:rPr>
                <w:rFonts w:ascii="Calibri" w:eastAsia="Times New Roman" w:hAnsi="Calibri" w:cs="Times New Roman"/>
              </w:rPr>
              <w:t>30,805</w:t>
            </w:r>
          </w:p>
        </w:tc>
      </w:tr>
    </w:tbl>
    <w:p w:rsidR="0037291F" w:rsidRPr="0037291F" w:rsidP="003F64FE" w14:paraId="0DBBBAA0" w14:textId="77777777">
      <w:pPr>
        <w:widowControl w:val="0"/>
        <w:adjustRightInd w:val="0"/>
        <w:snapToGrid w:val="0"/>
        <w:spacing w:after="0" w:line="240" w:lineRule="auto"/>
        <w:rPr>
          <w:rFonts w:ascii="Times New Roman" w:eastAsia="Times New Roman" w:hAnsi="Times New Roman" w:cs="Times New Roman"/>
          <w:color w:val="0000FF"/>
          <w:sz w:val="24"/>
          <w:szCs w:val="24"/>
        </w:rPr>
      </w:pPr>
    </w:p>
    <w:p w:rsidR="0037291F" w:rsidP="00FF72FC" w14:paraId="134E7E5A" w14:textId="549173C1">
      <w:pPr>
        <w:rPr>
          <w:rStyle w:val="Hyperlink"/>
        </w:rPr>
      </w:pPr>
      <w:r>
        <w:t>*</w:t>
      </w:r>
      <w:r w:rsidRPr="00D6330B">
        <w:t xml:space="preserve">the Salary in table above is cited from </w:t>
      </w:r>
      <w:hyperlink r:id="rId8" w:history="1">
        <w:r w:rsidR="007561AE">
          <w:rPr>
            <w:rStyle w:val="Hyperlink"/>
          </w:rPr>
          <w:t>https://www.opm.gov/policy-data-oversight/pay-leave/salaries-wages/salary-tables/pdf/2022/DCB.pdf</w:t>
        </w:r>
      </w:hyperlink>
    </w:p>
    <w:p w:rsidR="00B431A5" w:rsidRPr="00B431A5" w:rsidP="00FF72FC" w14:paraId="4D358C9A" w14:textId="77777777">
      <w:pPr>
        <w:rPr>
          <w:color w:val="002060"/>
        </w:rPr>
      </w:pPr>
    </w:p>
    <w:p w:rsidR="00FF72FC" w:rsidRPr="00E35DD1" w:rsidP="00FF72FC" w14:paraId="4551EBE8" w14:textId="77777777">
      <w:pPr>
        <w:rPr>
          <w:b/>
        </w:rPr>
      </w:pPr>
      <w:r w:rsidRPr="00E35DD1">
        <w:rPr>
          <w:b/>
        </w:rPr>
        <w:t>A.15</w:t>
      </w:r>
      <w:r w:rsidRPr="00E35DD1">
        <w:rPr>
          <w:b/>
        </w:rPr>
        <w:tab/>
        <w:t>Explanation for Program Changes or Adjustments</w:t>
      </w:r>
    </w:p>
    <w:p w:rsidR="00EC272E" w:rsidRPr="00B27A4B" w:rsidP="00EC272E" w14:paraId="1A96F8B3" w14:textId="467B7FEA">
      <w:bookmarkStart w:id="24" w:name="_Toc443881759"/>
      <w:bookmarkStart w:id="25" w:name="_Toc451592246"/>
      <w:bookmarkStart w:id="26" w:name="_Toc5610287"/>
      <w:bookmarkStart w:id="27" w:name="_Toc99178793"/>
      <w:r w:rsidRPr="009B6DD6">
        <w:t xml:space="preserve">This is an extension of a currently approved submission. There are no substantive changes to the data collection.  </w:t>
      </w:r>
      <w:r w:rsidRPr="00FF6DBC">
        <w:t xml:space="preserve">The estimated number of respondents in this extension request is </w:t>
      </w:r>
      <w:r w:rsidRPr="00FF6DBC" w:rsidR="005C09D2">
        <w:t xml:space="preserve">expected to be similar to </w:t>
      </w:r>
      <w:r w:rsidRPr="00FF6DBC" w:rsidR="00FF6DBC">
        <w:t>the prior period</w:t>
      </w:r>
      <w:r w:rsidRPr="00FF6DBC">
        <w:t>.</w:t>
      </w:r>
      <w:r>
        <w:t xml:space="preserve"> </w:t>
      </w:r>
    </w:p>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4"/>
      <w:bookmarkEnd w:id="25"/>
      <w:bookmarkEnd w:id="26"/>
      <w:bookmarkEnd w:id="27"/>
    </w:p>
    <w:p w:rsidR="00FF72FC" w:rsidRPr="00E35DD1" w:rsidP="00FF72FC" w14:paraId="6FE438DD" w14:textId="0F035FFF">
      <w:r w:rsidRPr="00F56954">
        <w:t xml:space="preserve">This request is for approval of use of forms related to administration of PHS research programs; there is no tabulation, publication, or project time schedule. Data collection activities are ongoing. </w:t>
      </w:r>
    </w:p>
    <w:p w:rsidR="00FF72FC" w:rsidRPr="005C4013" w:rsidP="00FF72FC" w14:paraId="216672D1" w14:textId="77777777">
      <w:pPr>
        <w:rPr>
          <w:b/>
        </w:rPr>
      </w:pPr>
      <w:r w:rsidRPr="005C4013">
        <w:rPr>
          <w:b/>
        </w:rPr>
        <w:t>A.17</w:t>
      </w:r>
      <w:r w:rsidRPr="005C4013">
        <w:rPr>
          <w:b/>
        </w:rPr>
        <w:tab/>
        <w:t>Reason(s) Display of OMB Expiration Date is Inappropriate</w:t>
      </w:r>
    </w:p>
    <w:p w:rsidR="009B6DD6" w:rsidRPr="009B6DD6" w:rsidP="009B6DD6" w14:paraId="4929F859" w14:textId="7CAE80CB">
      <w:r>
        <w:t xml:space="preserve">None. </w:t>
      </w:r>
      <w:r w:rsidRPr="009B6DD6">
        <w:t>The expiration date will be displayed on the main page of the web-based form.</w:t>
      </w:r>
    </w:p>
    <w:p w:rsidR="0057480E" w:rsidRPr="005C4013" w:rsidP="00FF72FC" w14:paraId="7190591D" w14:textId="77777777">
      <w:pPr>
        <w:rPr>
          <w:b/>
        </w:rPr>
      </w:pPr>
      <w:r w:rsidRPr="005C4013">
        <w:rPr>
          <w:b/>
        </w:rPr>
        <w:t>A.18</w:t>
      </w:r>
      <w:r w:rsidRPr="005C4013">
        <w:rPr>
          <w:b/>
        </w:rPr>
        <w:tab/>
        <w:t>Exceptions to Certification for Paperwork Reduction Act Submissions</w:t>
      </w:r>
    </w:p>
    <w:p w:rsidR="009B6DD6" w:rsidRPr="009B6DD6" w:rsidP="009B6DD6" w14:paraId="02010CE9" w14:textId="60A079D5">
      <w:r w:rsidRPr="009B6DD6">
        <w:t xml:space="preserve"> </w:t>
      </w:r>
      <w:r w:rsidR="009B693F">
        <w:t>None</w:t>
      </w:r>
    </w:p>
    <w:p w:rsidR="00FF72FC" w:rsidRPr="00E35DD1" w:rsidP="00FF72FC" w14:paraId="49B7AE09" w14:textId="1D73E410"/>
    <w:sectPr w:rsidSect="00FE6EA5">
      <w:footerReference w:type="even" r:id="rId9"/>
      <w:footerReference w:type="default" r:id="rId10"/>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8FD">
      <w:rPr>
        <w:rStyle w:val="PageNumber"/>
        <w:noProof/>
      </w:rPr>
      <w:t>6</w:t>
    </w:r>
    <w:r>
      <w:rPr>
        <w:rStyle w:val="PageNumber"/>
      </w:rPr>
      <w:fldChar w:fldCharType="end"/>
    </w:r>
  </w:p>
  <w:p w:rsidR="00D23882" w:rsidP="004A70E1" w14:paraId="64873C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7108"/>
    <w:rsid w:val="00014D5B"/>
    <w:rsid w:val="00024385"/>
    <w:rsid w:val="00024899"/>
    <w:rsid w:val="00030C39"/>
    <w:rsid w:val="00034096"/>
    <w:rsid w:val="00056F5C"/>
    <w:rsid w:val="00076235"/>
    <w:rsid w:val="00095C92"/>
    <w:rsid w:val="000A139A"/>
    <w:rsid w:val="000B15D8"/>
    <w:rsid w:val="000C3CC7"/>
    <w:rsid w:val="000D0A33"/>
    <w:rsid w:val="000E3CF2"/>
    <w:rsid w:val="000F3043"/>
    <w:rsid w:val="00100939"/>
    <w:rsid w:val="00101E78"/>
    <w:rsid w:val="00106C5C"/>
    <w:rsid w:val="00114539"/>
    <w:rsid w:val="00145394"/>
    <w:rsid w:val="00151442"/>
    <w:rsid w:val="00170EC9"/>
    <w:rsid w:val="00171FE7"/>
    <w:rsid w:val="00174FD4"/>
    <w:rsid w:val="00181106"/>
    <w:rsid w:val="00190C83"/>
    <w:rsid w:val="00195414"/>
    <w:rsid w:val="001B49D8"/>
    <w:rsid w:val="001C64F0"/>
    <w:rsid w:val="001D06C6"/>
    <w:rsid w:val="00234D37"/>
    <w:rsid w:val="00242BDF"/>
    <w:rsid w:val="00255F7C"/>
    <w:rsid w:val="00261DF8"/>
    <w:rsid w:val="002670CD"/>
    <w:rsid w:val="00275A2F"/>
    <w:rsid w:val="002770FA"/>
    <w:rsid w:val="002779B0"/>
    <w:rsid w:val="00291B8C"/>
    <w:rsid w:val="002944AD"/>
    <w:rsid w:val="00294DAE"/>
    <w:rsid w:val="00296BEC"/>
    <w:rsid w:val="002A402C"/>
    <w:rsid w:val="002C5D4F"/>
    <w:rsid w:val="002C6BE8"/>
    <w:rsid w:val="002E03C3"/>
    <w:rsid w:val="002F3E8C"/>
    <w:rsid w:val="002F4317"/>
    <w:rsid w:val="00300479"/>
    <w:rsid w:val="00312856"/>
    <w:rsid w:val="00337CAC"/>
    <w:rsid w:val="00337E1A"/>
    <w:rsid w:val="003541AB"/>
    <w:rsid w:val="0036208F"/>
    <w:rsid w:val="0037291F"/>
    <w:rsid w:val="00375806"/>
    <w:rsid w:val="003A6C28"/>
    <w:rsid w:val="003C2035"/>
    <w:rsid w:val="003C3C33"/>
    <w:rsid w:val="003C56CD"/>
    <w:rsid w:val="003D6979"/>
    <w:rsid w:val="003E63DA"/>
    <w:rsid w:val="003F64FE"/>
    <w:rsid w:val="003F7538"/>
    <w:rsid w:val="00401886"/>
    <w:rsid w:val="00404886"/>
    <w:rsid w:val="00412844"/>
    <w:rsid w:val="00442AB0"/>
    <w:rsid w:val="00442B5B"/>
    <w:rsid w:val="004501E3"/>
    <w:rsid w:val="0045089D"/>
    <w:rsid w:val="00460FCB"/>
    <w:rsid w:val="00466801"/>
    <w:rsid w:val="004716CF"/>
    <w:rsid w:val="00480C53"/>
    <w:rsid w:val="004834A8"/>
    <w:rsid w:val="00497B81"/>
    <w:rsid w:val="004A70E1"/>
    <w:rsid w:val="004B35C2"/>
    <w:rsid w:val="004C4B9F"/>
    <w:rsid w:val="004C518E"/>
    <w:rsid w:val="004D544A"/>
    <w:rsid w:val="004E5A32"/>
    <w:rsid w:val="005150E7"/>
    <w:rsid w:val="00520960"/>
    <w:rsid w:val="00536C12"/>
    <w:rsid w:val="00540F60"/>
    <w:rsid w:val="00545A03"/>
    <w:rsid w:val="0057374B"/>
    <w:rsid w:val="0057480E"/>
    <w:rsid w:val="00575490"/>
    <w:rsid w:val="005827A8"/>
    <w:rsid w:val="005837EC"/>
    <w:rsid w:val="005844D2"/>
    <w:rsid w:val="005B19EF"/>
    <w:rsid w:val="005B6DAD"/>
    <w:rsid w:val="005C09D2"/>
    <w:rsid w:val="005C20AC"/>
    <w:rsid w:val="005C4013"/>
    <w:rsid w:val="005D26D3"/>
    <w:rsid w:val="005D6DE9"/>
    <w:rsid w:val="005D7C27"/>
    <w:rsid w:val="005E675D"/>
    <w:rsid w:val="005E6DF9"/>
    <w:rsid w:val="005F4422"/>
    <w:rsid w:val="005F4A54"/>
    <w:rsid w:val="00616FAF"/>
    <w:rsid w:val="00641209"/>
    <w:rsid w:val="00644341"/>
    <w:rsid w:val="00647793"/>
    <w:rsid w:val="00652D8F"/>
    <w:rsid w:val="006539A1"/>
    <w:rsid w:val="00666386"/>
    <w:rsid w:val="00666E5E"/>
    <w:rsid w:val="00681F63"/>
    <w:rsid w:val="00685B30"/>
    <w:rsid w:val="006A45F9"/>
    <w:rsid w:val="006A6180"/>
    <w:rsid w:val="006B4B35"/>
    <w:rsid w:val="006B624F"/>
    <w:rsid w:val="006C043E"/>
    <w:rsid w:val="006C134F"/>
    <w:rsid w:val="006C5E35"/>
    <w:rsid w:val="006D6272"/>
    <w:rsid w:val="006F1CCA"/>
    <w:rsid w:val="00703A8B"/>
    <w:rsid w:val="007063F8"/>
    <w:rsid w:val="00714BFA"/>
    <w:rsid w:val="0071661B"/>
    <w:rsid w:val="00717158"/>
    <w:rsid w:val="00740DAF"/>
    <w:rsid w:val="007423AF"/>
    <w:rsid w:val="007469AD"/>
    <w:rsid w:val="007529A2"/>
    <w:rsid w:val="007547E7"/>
    <w:rsid w:val="007561AE"/>
    <w:rsid w:val="00756DDA"/>
    <w:rsid w:val="007626C4"/>
    <w:rsid w:val="0076481A"/>
    <w:rsid w:val="00767C53"/>
    <w:rsid w:val="00767E18"/>
    <w:rsid w:val="00772F41"/>
    <w:rsid w:val="00780D7E"/>
    <w:rsid w:val="00793B0F"/>
    <w:rsid w:val="007A0CA3"/>
    <w:rsid w:val="007B44B0"/>
    <w:rsid w:val="007C14EE"/>
    <w:rsid w:val="007C31EB"/>
    <w:rsid w:val="007D11BF"/>
    <w:rsid w:val="007D402F"/>
    <w:rsid w:val="007D76C3"/>
    <w:rsid w:val="007E7B97"/>
    <w:rsid w:val="007F762B"/>
    <w:rsid w:val="00800E0B"/>
    <w:rsid w:val="00826F88"/>
    <w:rsid w:val="008359FA"/>
    <w:rsid w:val="00845DEE"/>
    <w:rsid w:val="00856725"/>
    <w:rsid w:val="0086248B"/>
    <w:rsid w:val="00863C96"/>
    <w:rsid w:val="00873589"/>
    <w:rsid w:val="0087465B"/>
    <w:rsid w:val="00882C51"/>
    <w:rsid w:val="008870FE"/>
    <w:rsid w:val="008942E9"/>
    <w:rsid w:val="00894FF4"/>
    <w:rsid w:val="008A05E8"/>
    <w:rsid w:val="008C48FD"/>
    <w:rsid w:val="008D07B4"/>
    <w:rsid w:val="008F5CEE"/>
    <w:rsid w:val="00904DCE"/>
    <w:rsid w:val="00907667"/>
    <w:rsid w:val="00911FFD"/>
    <w:rsid w:val="00915F04"/>
    <w:rsid w:val="009206E5"/>
    <w:rsid w:val="00931FBC"/>
    <w:rsid w:val="00941822"/>
    <w:rsid w:val="009431E9"/>
    <w:rsid w:val="00946A55"/>
    <w:rsid w:val="00956C7B"/>
    <w:rsid w:val="009747F4"/>
    <w:rsid w:val="00976490"/>
    <w:rsid w:val="0097710B"/>
    <w:rsid w:val="0098046C"/>
    <w:rsid w:val="009823ED"/>
    <w:rsid w:val="00982A3A"/>
    <w:rsid w:val="009938D8"/>
    <w:rsid w:val="009A0148"/>
    <w:rsid w:val="009A40BF"/>
    <w:rsid w:val="009B5594"/>
    <w:rsid w:val="009B693F"/>
    <w:rsid w:val="009B6CF5"/>
    <w:rsid w:val="009B6DD6"/>
    <w:rsid w:val="009B78E7"/>
    <w:rsid w:val="009C1D6D"/>
    <w:rsid w:val="009C3E9D"/>
    <w:rsid w:val="009E1DD1"/>
    <w:rsid w:val="009F71A2"/>
    <w:rsid w:val="00A00CF8"/>
    <w:rsid w:val="00A0660E"/>
    <w:rsid w:val="00A34ECE"/>
    <w:rsid w:val="00A45BCD"/>
    <w:rsid w:val="00A53F53"/>
    <w:rsid w:val="00A570CC"/>
    <w:rsid w:val="00A6350F"/>
    <w:rsid w:val="00A77853"/>
    <w:rsid w:val="00A917C5"/>
    <w:rsid w:val="00A97E28"/>
    <w:rsid w:val="00AA2D9A"/>
    <w:rsid w:val="00AB0D78"/>
    <w:rsid w:val="00AB3298"/>
    <w:rsid w:val="00AB6684"/>
    <w:rsid w:val="00AB736C"/>
    <w:rsid w:val="00AB7E9C"/>
    <w:rsid w:val="00AC2001"/>
    <w:rsid w:val="00AC7525"/>
    <w:rsid w:val="00AF2DC3"/>
    <w:rsid w:val="00AF42AD"/>
    <w:rsid w:val="00B00EB3"/>
    <w:rsid w:val="00B03736"/>
    <w:rsid w:val="00B12958"/>
    <w:rsid w:val="00B2767E"/>
    <w:rsid w:val="00B27A4B"/>
    <w:rsid w:val="00B31022"/>
    <w:rsid w:val="00B431A5"/>
    <w:rsid w:val="00B47774"/>
    <w:rsid w:val="00B70C76"/>
    <w:rsid w:val="00B87B69"/>
    <w:rsid w:val="00B910A0"/>
    <w:rsid w:val="00B93C77"/>
    <w:rsid w:val="00B96691"/>
    <w:rsid w:val="00BA00E7"/>
    <w:rsid w:val="00BD47C3"/>
    <w:rsid w:val="00BE05DD"/>
    <w:rsid w:val="00BE3475"/>
    <w:rsid w:val="00BE36B8"/>
    <w:rsid w:val="00BE4B93"/>
    <w:rsid w:val="00BE5EFA"/>
    <w:rsid w:val="00BE76A7"/>
    <w:rsid w:val="00BF1D15"/>
    <w:rsid w:val="00BF491C"/>
    <w:rsid w:val="00BF6BDE"/>
    <w:rsid w:val="00C02C97"/>
    <w:rsid w:val="00C17E3F"/>
    <w:rsid w:val="00C24877"/>
    <w:rsid w:val="00C262BE"/>
    <w:rsid w:val="00C335E8"/>
    <w:rsid w:val="00C40F61"/>
    <w:rsid w:val="00C4161B"/>
    <w:rsid w:val="00C43F0E"/>
    <w:rsid w:val="00C5496F"/>
    <w:rsid w:val="00C61DEC"/>
    <w:rsid w:val="00C66889"/>
    <w:rsid w:val="00C7320D"/>
    <w:rsid w:val="00C76797"/>
    <w:rsid w:val="00C76FE2"/>
    <w:rsid w:val="00C8416F"/>
    <w:rsid w:val="00CF36BD"/>
    <w:rsid w:val="00D06674"/>
    <w:rsid w:val="00D07B9B"/>
    <w:rsid w:val="00D12103"/>
    <w:rsid w:val="00D12EF8"/>
    <w:rsid w:val="00D20294"/>
    <w:rsid w:val="00D23882"/>
    <w:rsid w:val="00D34BE5"/>
    <w:rsid w:val="00D353C4"/>
    <w:rsid w:val="00D54C53"/>
    <w:rsid w:val="00D6330B"/>
    <w:rsid w:val="00D64199"/>
    <w:rsid w:val="00D7280E"/>
    <w:rsid w:val="00D87AD3"/>
    <w:rsid w:val="00D93385"/>
    <w:rsid w:val="00DB1217"/>
    <w:rsid w:val="00DB1E16"/>
    <w:rsid w:val="00DD284E"/>
    <w:rsid w:val="00DD6A01"/>
    <w:rsid w:val="00DE110F"/>
    <w:rsid w:val="00DE5570"/>
    <w:rsid w:val="00DF65EA"/>
    <w:rsid w:val="00E03967"/>
    <w:rsid w:val="00E06ECF"/>
    <w:rsid w:val="00E26907"/>
    <w:rsid w:val="00E27609"/>
    <w:rsid w:val="00E35DD1"/>
    <w:rsid w:val="00E36B6A"/>
    <w:rsid w:val="00E54F7B"/>
    <w:rsid w:val="00E56374"/>
    <w:rsid w:val="00E60282"/>
    <w:rsid w:val="00E67B10"/>
    <w:rsid w:val="00E71A1F"/>
    <w:rsid w:val="00E72390"/>
    <w:rsid w:val="00E817E1"/>
    <w:rsid w:val="00E81D13"/>
    <w:rsid w:val="00E931B8"/>
    <w:rsid w:val="00EA25F2"/>
    <w:rsid w:val="00EA37D2"/>
    <w:rsid w:val="00EB7E3E"/>
    <w:rsid w:val="00EC1CB6"/>
    <w:rsid w:val="00EC272E"/>
    <w:rsid w:val="00EC5FDD"/>
    <w:rsid w:val="00EE245F"/>
    <w:rsid w:val="00EE5A75"/>
    <w:rsid w:val="00EF3B17"/>
    <w:rsid w:val="00F209F9"/>
    <w:rsid w:val="00F22E5F"/>
    <w:rsid w:val="00F33485"/>
    <w:rsid w:val="00F56954"/>
    <w:rsid w:val="00F56CEF"/>
    <w:rsid w:val="00F61B46"/>
    <w:rsid w:val="00F82F0A"/>
    <w:rsid w:val="00FB346E"/>
    <w:rsid w:val="00FB3BF0"/>
    <w:rsid w:val="00FB6B88"/>
    <w:rsid w:val="00FB73D6"/>
    <w:rsid w:val="00FC2772"/>
    <w:rsid w:val="00FD04FA"/>
    <w:rsid w:val="00FE6EA5"/>
    <w:rsid w:val="00FF0D1B"/>
    <w:rsid w:val="00FF30CE"/>
    <w:rsid w:val="00FF4424"/>
    <w:rsid w:val="00FF6DBC"/>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customStyle="1" w:styleId="data1">
    <w:name w:val="data1"/>
    <w:basedOn w:val="DefaultParagraphFont"/>
    <w:rsid w:val="0087465B"/>
    <w:rPr>
      <w:color w:val="000000"/>
    </w:rPr>
  </w:style>
  <w:style w:type="character" w:styleId="UnresolvedMention">
    <w:name w:val="Unresolved Mention"/>
    <w:basedOn w:val="DefaultParagraphFont"/>
    <w:uiPriority w:val="99"/>
    <w:semiHidden/>
    <w:unhideWhenUsed/>
    <w:rsid w:val="00DF65EA"/>
    <w:rPr>
      <w:color w:val="605E5C"/>
      <w:shd w:val="clear" w:color="auto" w:fill="E1DFDD"/>
    </w:rPr>
  </w:style>
  <w:style w:type="character" w:customStyle="1" w:styleId="normaltextrun">
    <w:name w:val="normaltextrun"/>
    <w:basedOn w:val="DefaultParagraphFont"/>
    <w:rsid w:val="0052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temcells.nih.gov/policy/pages/2009guidelines.aspx"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pdf/2022/DCB.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688145-E53E-4DF1-8976-8962F1EC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2022-08-24T19:48:00Z</dcterms:created>
  <dcterms:modified xsi:type="dcterms:W3CDTF">2022-08-24T19:48:00Z</dcterms:modified>
</cp:coreProperties>
</file>