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1E6B" w:rsidP="00521E6B" w14:paraId="2ABE3BD3" w14:textId="77777777">
      <w:pPr>
        <w:jc w:val="center"/>
        <w:rPr>
          <w:b/>
          <w:sz w:val="28"/>
          <w:szCs w:val="28"/>
        </w:rPr>
      </w:pPr>
      <w:r w:rsidRPr="00456179">
        <w:rPr>
          <w:b/>
          <w:sz w:val="28"/>
          <w:szCs w:val="28"/>
        </w:rPr>
        <w:t>SUPPORTING STATEMENT</w:t>
      </w:r>
    </w:p>
    <w:p w:rsidR="00521E6B" w:rsidP="00521E6B" w14:paraId="5F09DA01" w14:textId="77777777">
      <w:pPr>
        <w:jc w:val="center"/>
        <w:rPr>
          <w:b/>
          <w:sz w:val="28"/>
          <w:szCs w:val="28"/>
        </w:rPr>
      </w:pPr>
    </w:p>
    <w:p w:rsidR="00521E6B" w:rsidP="00521E6B" w14:paraId="17FD35BA" w14:textId="77777777">
      <w:pPr>
        <w:jc w:val="center"/>
        <w:rPr>
          <w:sz w:val="28"/>
          <w:szCs w:val="28"/>
        </w:rPr>
      </w:pPr>
      <w:r>
        <w:rPr>
          <w:b/>
          <w:sz w:val="28"/>
          <w:szCs w:val="28"/>
        </w:rPr>
        <w:t>Part A</w:t>
      </w:r>
    </w:p>
    <w:p w:rsidR="00521E6B" w:rsidP="00521E6B" w14:paraId="6802E07B" w14:textId="77777777">
      <w:pPr>
        <w:jc w:val="center"/>
        <w:rPr>
          <w:sz w:val="28"/>
          <w:szCs w:val="28"/>
        </w:rPr>
      </w:pPr>
    </w:p>
    <w:p w:rsidR="00521E6B" w:rsidP="00521E6B" w14:paraId="516ACC90" w14:textId="77777777">
      <w:pPr>
        <w:jc w:val="center"/>
        <w:rPr>
          <w:sz w:val="28"/>
          <w:szCs w:val="28"/>
        </w:rPr>
      </w:pPr>
    </w:p>
    <w:p w:rsidR="00521E6B" w:rsidP="00521E6B" w14:paraId="09369026" w14:textId="77777777">
      <w:pPr>
        <w:jc w:val="center"/>
        <w:rPr>
          <w:sz w:val="28"/>
          <w:szCs w:val="28"/>
        </w:rPr>
      </w:pPr>
    </w:p>
    <w:p w:rsidR="00521E6B" w:rsidP="00521E6B" w14:paraId="0D44C17F" w14:textId="77777777">
      <w:pPr>
        <w:jc w:val="center"/>
        <w:rPr>
          <w:sz w:val="28"/>
          <w:szCs w:val="28"/>
        </w:rPr>
      </w:pPr>
    </w:p>
    <w:p w:rsidR="00521E6B" w:rsidP="00521E6B" w14:paraId="21BFE7C0" w14:textId="77777777">
      <w:pPr>
        <w:jc w:val="center"/>
        <w:rPr>
          <w:sz w:val="28"/>
          <w:szCs w:val="28"/>
        </w:rPr>
      </w:pPr>
    </w:p>
    <w:p w:rsidR="00521E6B" w:rsidP="00521E6B" w14:paraId="5A2A7695" w14:textId="77777777">
      <w:pPr>
        <w:jc w:val="center"/>
        <w:rPr>
          <w:sz w:val="28"/>
          <w:szCs w:val="28"/>
        </w:rPr>
      </w:pPr>
    </w:p>
    <w:p w:rsidR="00521E6B" w:rsidP="00521E6B" w14:paraId="2A14170F" w14:textId="3A147C4C">
      <w:pPr>
        <w:jc w:val="center"/>
        <w:rPr>
          <w:sz w:val="28"/>
          <w:szCs w:val="28"/>
        </w:rPr>
      </w:pPr>
      <w:r w:rsidRPr="00C64E30">
        <w:rPr>
          <w:b/>
          <w:bCs/>
          <w:i/>
          <w:iCs/>
          <w:sz w:val="28"/>
          <w:szCs w:val="28"/>
        </w:rPr>
        <w:t>Medical Expenditure Panel Survey (</w:t>
      </w:r>
      <w:r w:rsidRPr="00C64E30" w:rsidR="00345CB0">
        <w:rPr>
          <w:b/>
          <w:bCs/>
          <w:i/>
          <w:iCs/>
          <w:sz w:val="28"/>
          <w:szCs w:val="28"/>
        </w:rPr>
        <w:t xml:space="preserve">MEPS) </w:t>
      </w:r>
      <w:r w:rsidRPr="00BB58AE" w:rsidR="00345CB0">
        <w:rPr>
          <w:sz w:val="28"/>
          <w:szCs w:val="28"/>
        </w:rPr>
        <w:t>COVID</w:t>
      </w:r>
      <w:r w:rsidRPr="00AE45F6" w:rsidR="007174E0">
        <w:rPr>
          <w:b/>
          <w:sz w:val="28"/>
          <w:szCs w:val="28"/>
        </w:rPr>
        <w:t>-19 Changes</w:t>
      </w:r>
      <w:r w:rsidRPr="00AE45F6" w:rsidR="00BB58AE">
        <w:t xml:space="preserve"> </w:t>
      </w:r>
    </w:p>
    <w:p w:rsidR="00521E6B" w:rsidP="00521E6B" w14:paraId="5FC567A0" w14:textId="77777777">
      <w:pPr>
        <w:jc w:val="center"/>
        <w:rPr>
          <w:sz w:val="28"/>
          <w:szCs w:val="28"/>
        </w:rPr>
      </w:pPr>
    </w:p>
    <w:p w:rsidR="00521E6B" w:rsidRPr="00B95455" w:rsidP="00521E6B" w14:paraId="33254269" w14:textId="71FAC739">
      <w:pPr>
        <w:jc w:val="center"/>
        <w:rPr>
          <w:b/>
          <w:sz w:val="28"/>
          <w:szCs w:val="28"/>
        </w:rPr>
      </w:pPr>
      <w:r>
        <w:rPr>
          <w:b/>
          <w:sz w:val="28"/>
          <w:szCs w:val="28"/>
        </w:rPr>
        <w:t xml:space="preserve">June </w:t>
      </w:r>
      <w:r>
        <w:rPr>
          <w:b/>
          <w:sz w:val="28"/>
          <w:szCs w:val="28"/>
        </w:rPr>
        <w:t>20</w:t>
      </w:r>
      <w:r w:rsidR="00A07599">
        <w:rPr>
          <w:b/>
          <w:sz w:val="28"/>
          <w:szCs w:val="28"/>
        </w:rPr>
        <w:t>22</w:t>
      </w:r>
    </w:p>
    <w:p w:rsidR="00521E6B" w:rsidP="00521E6B" w14:paraId="37719574" w14:textId="77777777">
      <w:pPr>
        <w:jc w:val="center"/>
        <w:rPr>
          <w:i/>
          <w:sz w:val="28"/>
          <w:szCs w:val="28"/>
        </w:rPr>
      </w:pPr>
    </w:p>
    <w:p w:rsidR="00521E6B" w:rsidP="00521E6B" w14:paraId="1B7F5EC8" w14:textId="77777777">
      <w:pPr>
        <w:jc w:val="center"/>
        <w:rPr>
          <w:sz w:val="28"/>
          <w:szCs w:val="28"/>
        </w:rPr>
      </w:pPr>
    </w:p>
    <w:p w:rsidR="00521E6B" w:rsidP="00521E6B" w14:paraId="0063D7C1" w14:textId="77777777">
      <w:pPr>
        <w:jc w:val="center"/>
        <w:rPr>
          <w:sz w:val="28"/>
          <w:szCs w:val="28"/>
        </w:rPr>
      </w:pPr>
    </w:p>
    <w:p w:rsidR="00521E6B" w:rsidP="00521E6B" w14:paraId="1158CA54" w14:textId="77777777">
      <w:pPr>
        <w:jc w:val="center"/>
        <w:rPr>
          <w:sz w:val="28"/>
          <w:szCs w:val="28"/>
        </w:rPr>
      </w:pPr>
    </w:p>
    <w:p w:rsidR="00521E6B" w:rsidP="00521E6B" w14:paraId="1656A960" w14:textId="77777777">
      <w:pPr>
        <w:jc w:val="center"/>
        <w:rPr>
          <w:sz w:val="28"/>
          <w:szCs w:val="28"/>
        </w:rPr>
      </w:pPr>
    </w:p>
    <w:p w:rsidR="00521E6B" w:rsidP="00521E6B" w14:paraId="15AC73D8" w14:textId="77777777">
      <w:pPr>
        <w:jc w:val="center"/>
        <w:rPr>
          <w:sz w:val="28"/>
          <w:szCs w:val="28"/>
        </w:rPr>
      </w:pPr>
    </w:p>
    <w:p w:rsidR="00521E6B" w:rsidP="00521E6B" w14:paraId="13E4D256" w14:textId="77777777">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CB7234" w:rsidP="00CB7234" w14:paraId="4C65E100" w14:textId="77777777">
      <w:pPr>
        <w:jc w:val="center"/>
        <w:rPr>
          <w:sz w:val="28"/>
          <w:szCs w:val="28"/>
        </w:rPr>
      </w:pPr>
    </w:p>
    <w:p w:rsidR="00CB7234" w:rsidP="00CB7234" w14:paraId="7B758C07" w14:textId="77777777">
      <w:pPr>
        <w:jc w:val="center"/>
        <w:rPr>
          <w:sz w:val="28"/>
          <w:szCs w:val="28"/>
        </w:rPr>
      </w:pPr>
    </w:p>
    <w:p w:rsidR="00CB7234" w:rsidP="00CB7234" w14:paraId="6789E273" w14:textId="77777777">
      <w:pPr>
        <w:jc w:val="center"/>
        <w:rPr>
          <w:sz w:val="28"/>
          <w:szCs w:val="28"/>
        </w:rPr>
      </w:pPr>
    </w:p>
    <w:p w:rsidR="00CB7234" w:rsidP="00CB7234" w14:paraId="2FC14400" w14:textId="77777777">
      <w:pPr>
        <w:jc w:val="center"/>
        <w:rPr>
          <w:sz w:val="28"/>
          <w:szCs w:val="28"/>
        </w:rPr>
      </w:pPr>
    </w:p>
    <w:p w:rsidR="00CB7234" w:rsidP="00CB7234" w14:paraId="245A6EE5" w14:textId="77777777">
      <w:pPr>
        <w:rPr>
          <w:sz w:val="28"/>
          <w:szCs w:val="28"/>
        </w:rPr>
      </w:pPr>
    </w:p>
    <w:p w:rsidR="00CB7234" w:rsidP="00CB7234" w14:paraId="3C5D1830" w14:textId="77777777">
      <w:pPr>
        <w:rPr>
          <w:sz w:val="28"/>
          <w:szCs w:val="28"/>
        </w:rPr>
      </w:pPr>
    </w:p>
    <w:p w:rsidR="00CB7234" w:rsidRPr="00CB7234" w:rsidP="00CB7234" w14:paraId="5A75D0D6" w14:textId="77777777">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Content>
        <w:p w:rsidR="008C5826" w:rsidRPr="008C5826" w14:paraId="74D9950E" w14:textId="77777777">
          <w:pPr>
            <w:pStyle w:val="TOCHeading"/>
            <w:rPr>
              <w:rFonts w:ascii="Times New Roman" w:hAnsi="Times New Roman" w:cs="Times New Roman"/>
            </w:rPr>
          </w:pPr>
          <w:r w:rsidRPr="008C5826">
            <w:rPr>
              <w:rFonts w:ascii="Times New Roman" w:hAnsi="Times New Roman" w:cs="Times New Roman"/>
            </w:rPr>
            <w:t>Table of Contents</w:t>
          </w:r>
        </w:p>
        <w:p w:rsidR="005F628B" w14:paraId="5A3828D4" w14:textId="27BF161C">
          <w:pPr>
            <w:pStyle w:val="TOC2"/>
            <w:rPr>
              <w:rStyle w:val="Hyperlink"/>
            </w:rPr>
          </w:pPr>
          <w:r w:rsidRPr="008C5826">
            <w:fldChar w:fldCharType="begin"/>
          </w:r>
          <w:r w:rsidRPr="008C5826" w:rsidR="008C5826">
            <w:instrText xml:space="preserve"> TOC \o "1-3" \h \z \u </w:instrText>
          </w:r>
          <w:r w:rsidRPr="008C5826">
            <w:fldChar w:fldCharType="separate"/>
          </w:r>
          <w:hyperlink w:anchor="_Toc290559153" w:history="1">
            <w:r w:rsidRPr="0099649B" w:rsidR="002038FD">
              <w:rPr>
                <w:rStyle w:val="Hyperlink"/>
              </w:rPr>
              <w:t>A.  JUSTIFICATION</w:t>
            </w:r>
            <w:r w:rsidRPr="00425494" w:rsidR="00425494">
              <w:rPr>
                <w:rStyle w:val="Hyperlink"/>
                <w:webHidden/>
              </w:rPr>
              <w:tab/>
            </w:r>
            <w:r w:rsidRPr="00425494">
              <w:rPr>
                <w:rStyle w:val="Hyperlink"/>
                <w:webHidden/>
              </w:rPr>
              <w:fldChar w:fldCharType="begin"/>
            </w:r>
            <w:r w:rsidRPr="00425494" w:rsidR="00425494">
              <w:rPr>
                <w:rStyle w:val="Hyperlink"/>
                <w:webHidden/>
              </w:rPr>
              <w:instrText xml:space="preserve"> PAGEREF _Toc290559153 \h </w:instrText>
            </w:r>
            <w:r w:rsidRPr="00425494">
              <w:rPr>
                <w:rStyle w:val="Hyperlink"/>
                <w:webHidden/>
              </w:rPr>
              <w:fldChar w:fldCharType="separate"/>
            </w:r>
            <w:r w:rsidR="00AE45F6">
              <w:rPr>
                <w:rStyle w:val="Hyperlink"/>
                <w:webHidden/>
              </w:rPr>
              <w:t>3</w:t>
            </w:r>
            <w:r w:rsidRPr="00425494">
              <w:rPr>
                <w:rStyle w:val="Hyperlink"/>
                <w:webHidden/>
              </w:rPr>
              <w:fldChar w:fldCharType="end"/>
            </w:r>
          </w:hyperlink>
        </w:p>
        <w:p w:rsidR="005F628B" w14:paraId="378338D7" w14:textId="62116ACE">
          <w:pPr>
            <w:pStyle w:val="TOC2"/>
            <w:rPr>
              <w:rStyle w:val="Hyperlink"/>
            </w:rPr>
          </w:pPr>
          <w:hyperlink w:anchor="_Toc290559154" w:history="1">
            <w:r w:rsidRPr="0099649B" w:rsidR="002038FD">
              <w:rPr>
                <w:rStyle w:val="Hyperlink"/>
              </w:rPr>
              <w:t>1.  Need for Information</w:t>
            </w:r>
            <w:r w:rsidRPr="00425494" w:rsidR="00425494">
              <w:rPr>
                <w:rStyle w:val="Hyperlink"/>
                <w:webHidden/>
              </w:rPr>
              <w:tab/>
            </w:r>
            <w:r w:rsidRPr="00425494" w:rsidR="004A024B">
              <w:rPr>
                <w:rStyle w:val="Hyperlink"/>
                <w:webHidden/>
              </w:rPr>
              <w:fldChar w:fldCharType="begin"/>
            </w:r>
            <w:r w:rsidRPr="00425494" w:rsidR="00425494">
              <w:rPr>
                <w:rStyle w:val="Hyperlink"/>
                <w:webHidden/>
              </w:rPr>
              <w:instrText xml:space="preserve"> PAGEREF _Toc290559154 \h </w:instrText>
            </w:r>
            <w:r w:rsidRPr="00425494" w:rsidR="004A024B">
              <w:rPr>
                <w:rStyle w:val="Hyperlink"/>
                <w:webHidden/>
              </w:rPr>
              <w:fldChar w:fldCharType="separate"/>
            </w:r>
            <w:r w:rsidR="00AE45F6">
              <w:rPr>
                <w:rStyle w:val="Hyperlink"/>
                <w:webHidden/>
              </w:rPr>
              <w:t>3</w:t>
            </w:r>
            <w:r w:rsidRPr="00425494" w:rsidR="004A024B">
              <w:rPr>
                <w:rStyle w:val="Hyperlink"/>
                <w:webHidden/>
              </w:rPr>
              <w:fldChar w:fldCharType="end"/>
            </w:r>
          </w:hyperlink>
        </w:p>
        <w:p w:rsidR="005F628B" w14:paraId="40285231" w14:textId="513B4F48">
          <w:pPr>
            <w:pStyle w:val="TOC2"/>
            <w:rPr>
              <w:rStyle w:val="Hyperlink"/>
            </w:rPr>
          </w:pPr>
          <w:hyperlink w:anchor="_Toc290559155" w:history="1">
            <w:r w:rsidRPr="0099649B" w:rsidR="002038FD">
              <w:rPr>
                <w:rStyle w:val="Hyperlink"/>
              </w:rPr>
              <w:t>2.  How, by Whom, and for What Purpose Information Will Be Used</w:t>
            </w:r>
            <w:r w:rsidRPr="00425494" w:rsidR="00425494">
              <w:rPr>
                <w:rStyle w:val="Hyperlink"/>
                <w:webHidden/>
              </w:rPr>
              <w:tab/>
            </w:r>
            <w:r w:rsidR="008F0E75">
              <w:rPr>
                <w:rStyle w:val="Hyperlink"/>
                <w:webHidden/>
              </w:rPr>
              <w:t>4</w:t>
            </w:r>
          </w:hyperlink>
        </w:p>
        <w:p w:rsidR="005F628B" w14:paraId="65E60395" w14:textId="6B5D4CF4">
          <w:pPr>
            <w:pStyle w:val="TOC2"/>
            <w:rPr>
              <w:rStyle w:val="Hyperlink"/>
            </w:rPr>
          </w:pPr>
          <w:hyperlink w:anchor="_Toc290559156" w:history="1">
            <w:r w:rsidRPr="0099649B" w:rsidR="002038FD">
              <w:rPr>
                <w:rStyle w:val="Hyperlink"/>
              </w:rPr>
              <w:t>3. Use of Improved Information Technology</w:t>
            </w:r>
            <w:r w:rsidRPr="00425494" w:rsidR="00425494">
              <w:rPr>
                <w:rStyle w:val="Hyperlink"/>
                <w:webHidden/>
              </w:rPr>
              <w:tab/>
            </w:r>
            <w:r w:rsidR="008F0E75">
              <w:rPr>
                <w:rStyle w:val="Hyperlink"/>
                <w:webHidden/>
              </w:rPr>
              <w:t>5</w:t>
            </w:r>
          </w:hyperlink>
        </w:p>
        <w:p w:rsidR="005F628B" w14:paraId="4424468B" w14:textId="755E17A3">
          <w:pPr>
            <w:pStyle w:val="TOC2"/>
            <w:rPr>
              <w:rStyle w:val="Hyperlink"/>
            </w:rPr>
          </w:pPr>
          <w:hyperlink w:anchor="_Toc290559157" w:history="1">
            <w:r w:rsidRPr="0099649B" w:rsidR="002038FD">
              <w:rPr>
                <w:rStyle w:val="Hyperlink"/>
              </w:rPr>
              <w:t>4. Efforts to Identify Duplication</w:t>
            </w:r>
            <w:r w:rsidRPr="00425494" w:rsidR="00425494">
              <w:rPr>
                <w:rStyle w:val="Hyperlink"/>
                <w:webHidden/>
              </w:rPr>
              <w:tab/>
            </w:r>
            <w:r w:rsidR="008F0E75">
              <w:rPr>
                <w:rStyle w:val="Hyperlink"/>
                <w:webHidden/>
              </w:rPr>
              <w:t>5</w:t>
            </w:r>
          </w:hyperlink>
        </w:p>
        <w:p w:rsidR="005F628B" w14:paraId="3EB30D0D" w14:textId="35BDB0BE">
          <w:pPr>
            <w:pStyle w:val="TOC2"/>
            <w:rPr>
              <w:rStyle w:val="Hyperlink"/>
            </w:rPr>
          </w:pPr>
          <w:hyperlink w:anchor="_Toc290559158" w:history="1">
            <w:r w:rsidRPr="0099649B" w:rsidR="002038FD">
              <w:rPr>
                <w:rStyle w:val="Hyperlink"/>
              </w:rPr>
              <w:t>6.  Consequences if Information Collected Less Frequently</w:t>
            </w:r>
            <w:r w:rsidRPr="00425494" w:rsidR="00425494">
              <w:rPr>
                <w:rStyle w:val="Hyperlink"/>
                <w:webHidden/>
              </w:rPr>
              <w:tab/>
            </w:r>
            <w:r w:rsidR="008F0E75">
              <w:rPr>
                <w:rStyle w:val="Hyperlink"/>
                <w:webHidden/>
              </w:rPr>
              <w:t>5</w:t>
            </w:r>
          </w:hyperlink>
        </w:p>
        <w:p w:rsidR="005F628B" w14:paraId="76087B4B" w14:textId="49322B7C">
          <w:pPr>
            <w:pStyle w:val="TOC2"/>
            <w:rPr>
              <w:rStyle w:val="Hyperlink"/>
            </w:rPr>
          </w:pPr>
          <w:hyperlink w:anchor="_Toc290559159" w:history="1">
            <w:r w:rsidRPr="0099649B" w:rsidR="002038FD">
              <w:rPr>
                <w:rStyle w:val="Hyperlink"/>
              </w:rPr>
              <w:t>7.  Special Circumstances</w:t>
            </w:r>
            <w:r w:rsidRPr="00425494" w:rsidR="00425494">
              <w:rPr>
                <w:rStyle w:val="Hyperlink"/>
                <w:webHidden/>
              </w:rPr>
              <w:tab/>
            </w:r>
            <w:r w:rsidR="008F0E75">
              <w:rPr>
                <w:rStyle w:val="Hyperlink"/>
                <w:webHidden/>
              </w:rPr>
              <w:t>5</w:t>
            </w:r>
          </w:hyperlink>
        </w:p>
        <w:p w:rsidR="00425494" w:rsidRPr="00425494" w:rsidP="008F0E75" w14:paraId="3E6EE8B4" w14:textId="77777777">
          <w:pPr>
            <w:pStyle w:val="TOC2"/>
            <w:rPr>
              <w:rStyle w:val="Hyperlink"/>
              <w:color w:val="auto"/>
              <w:u w:val="none"/>
            </w:rPr>
          </w:pPr>
          <w:r w:rsidRPr="008F0E75">
            <w:rPr>
              <w:rStyle w:val="Hyperlink"/>
              <w:color w:val="auto"/>
              <w:u w:val="none"/>
            </w:rPr>
            <w:t>8.</w:t>
          </w:r>
          <w:r w:rsidRPr="008F0E75" w:rsidR="008F0E75">
            <w:rPr>
              <w:rStyle w:val="Hyperlink"/>
              <w:color w:val="auto"/>
              <w:u w:val="none"/>
            </w:rPr>
            <w:t xml:space="preserve"> </w:t>
          </w:r>
          <w:r w:rsidRPr="00425494">
            <w:rPr>
              <w:rStyle w:val="Hyperlink"/>
              <w:color w:val="auto"/>
              <w:u w:val="none"/>
            </w:rPr>
            <w:t>Federal Register Notice and Outside Consultations</w:t>
          </w:r>
          <w:r w:rsidRPr="00425494">
            <w:rPr>
              <w:rStyle w:val="Hyperlink"/>
              <w:color w:val="auto"/>
              <w:u w:val="none"/>
            </w:rPr>
            <w:tab/>
            <w:t>5</w:t>
          </w:r>
          <w:r w:rsidRPr="00425494">
            <w:rPr>
              <w:rStyle w:val="Hyperlink"/>
              <w:color w:val="auto"/>
              <w:u w:val="none"/>
            </w:rPr>
            <w:tab/>
          </w:r>
        </w:p>
        <w:p w:rsidR="005F628B" w14:paraId="3FE20FFE" w14:textId="24BB124F">
          <w:pPr>
            <w:pStyle w:val="TOC2"/>
            <w:rPr>
              <w:rFonts w:asciiTheme="minorHAnsi" w:eastAsiaTheme="minorEastAsia" w:hAnsiTheme="minorHAnsi" w:cstheme="minorBidi"/>
              <w:sz w:val="22"/>
              <w:szCs w:val="22"/>
            </w:rPr>
          </w:pPr>
          <w:hyperlink w:anchor="_Toc290559160" w:history="1">
            <w:r w:rsidRPr="0099649B" w:rsidR="002038FD">
              <w:rPr>
                <w:rStyle w:val="Hyperlink"/>
              </w:rPr>
              <w:t>9.  Payments/Gifts to Respondents</w:t>
            </w:r>
            <w:r w:rsidRPr="00425494" w:rsidR="00425494">
              <w:rPr>
                <w:rStyle w:val="Hyperlink"/>
                <w:webHidden/>
              </w:rPr>
              <w:tab/>
            </w:r>
            <w:r w:rsidR="008F0E75">
              <w:rPr>
                <w:rStyle w:val="Hyperlink"/>
                <w:webHidden/>
              </w:rPr>
              <w:t>6</w:t>
            </w:r>
          </w:hyperlink>
        </w:p>
        <w:p w:rsidR="005F628B" w14:paraId="5E8C4B81" w14:textId="37BA2782">
          <w:pPr>
            <w:pStyle w:val="TOC2"/>
            <w:rPr>
              <w:rFonts w:asciiTheme="minorHAnsi" w:eastAsiaTheme="minorEastAsia" w:hAnsiTheme="minorHAnsi" w:cstheme="minorBidi"/>
              <w:sz w:val="22"/>
              <w:szCs w:val="22"/>
            </w:rPr>
          </w:pPr>
          <w:hyperlink w:anchor="_Toc290559161" w:history="1">
            <w:r w:rsidRPr="0099649B" w:rsidR="002038FD">
              <w:rPr>
                <w:rStyle w:val="Hyperlink"/>
              </w:rPr>
              <w:t>10.  Assurance of Confidentiality</w:t>
            </w:r>
            <w:r w:rsidR="002038FD">
              <w:rPr>
                <w:webHidden/>
              </w:rPr>
              <w:tab/>
            </w:r>
            <w:r w:rsidR="008F0E75">
              <w:rPr>
                <w:webHidden/>
              </w:rPr>
              <w:t>6</w:t>
            </w:r>
          </w:hyperlink>
        </w:p>
        <w:p w:rsidR="005F628B" w14:paraId="47397199" w14:textId="7B8A72A6">
          <w:pPr>
            <w:pStyle w:val="TOC2"/>
            <w:rPr>
              <w:rFonts w:asciiTheme="minorHAnsi" w:eastAsiaTheme="minorEastAsia" w:hAnsiTheme="minorHAnsi" w:cstheme="minorBidi"/>
              <w:sz w:val="22"/>
              <w:szCs w:val="22"/>
            </w:rPr>
          </w:pPr>
          <w:hyperlink w:anchor="_Toc290559162" w:history="1">
            <w:r w:rsidRPr="0099649B" w:rsidR="002038FD">
              <w:rPr>
                <w:rStyle w:val="Hyperlink"/>
              </w:rPr>
              <w:t>11.  Questions of a Sensitive Nature</w:t>
            </w:r>
            <w:r w:rsidR="002038FD">
              <w:rPr>
                <w:webHidden/>
              </w:rPr>
              <w:tab/>
            </w:r>
            <w:r w:rsidR="008F0E75">
              <w:rPr>
                <w:webHidden/>
              </w:rPr>
              <w:t>6</w:t>
            </w:r>
          </w:hyperlink>
        </w:p>
        <w:p w:rsidR="005F628B" w14:paraId="01C7DD57" w14:textId="095D5500">
          <w:pPr>
            <w:pStyle w:val="TOC2"/>
            <w:rPr>
              <w:rFonts w:asciiTheme="minorHAnsi" w:eastAsiaTheme="minorEastAsia" w:hAnsiTheme="minorHAnsi" w:cstheme="minorBidi"/>
              <w:sz w:val="22"/>
              <w:szCs w:val="22"/>
            </w:rPr>
          </w:pPr>
          <w:hyperlink w:anchor="_Toc290559163" w:history="1">
            <w:r w:rsidRPr="0099649B" w:rsidR="002038FD">
              <w:rPr>
                <w:rStyle w:val="Hyperlink"/>
              </w:rPr>
              <w:t>12.  Estimates of Annualized Burden Hours and Costs</w:t>
            </w:r>
            <w:r w:rsidR="002038FD">
              <w:rPr>
                <w:webHidden/>
              </w:rPr>
              <w:tab/>
            </w:r>
            <w:r w:rsidR="008F0E75">
              <w:rPr>
                <w:webHidden/>
              </w:rPr>
              <w:t>6</w:t>
            </w:r>
          </w:hyperlink>
        </w:p>
        <w:p w:rsidR="005F628B" w14:paraId="6B831584" w14:textId="5C929CDE">
          <w:pPr>
            <w:pStyle w:val="TOC2"/>
            <w:rPr>
              <w:rFonts w:asciiTheme="minorHAnsi" w:eastAsiaTheme="minorEastAsia" w:hAnsiTheme="minorHAnsi" w:cstheme="minorBidi"/>
              <w:sz w:val="22"/>
              <w:szCs w:val="22"/>
            </w:rPr>
          </w:pPr>
          <w:hyperlink w:anchor="_Toc290559164" w:history="1">
            <w:r w:rsidRPr="0099649B" w:rsidR="002038FD">
              <w:rPr>
                <w:rStyle w:val="Hyperlink"/>
              </w:rPr>
              <w:t>13.   Estimates of Annualized Respondent Capital and Maintenance Costs</w:t>
            </w:r>
            <w:r w:rsidR="002038FD">
              <w:rPr>
                <w:webHidden/>
              </w:rPr>
              <w:tab/>
            </w:r>
            <w:r w:rsidR="008F0E75">
              <w:rPr>
                <w:webHidden/>
              </w:rPr>
              <w:t>7</w:t>
            </w:r>
          </w:hyperlink>
        </w:p>
        <w:p w:rsidR="005F628B" w14:paraId="1EDD4AAA" w14:textId="7F98CF81">
          <w:pPr>
            <w:pStyle w:val="TOC2"/>
            <w:rPr>
              <w:rFonts w:asciiTheme="minorHAnsi" w:eastAsiaTheme="minorEastAsia" w:hAnsiTheme="minorHAnsi" w:cstheme="minorBidi"/>
              <w:sz w:val="22"/>
              <w:szCs w:val="22"/>
            </w:rPr>
          </w:pPr>
          <w:hyperlink w:anchor="_Toc290559165" w:history="1">
            <w:r w:rsidRPr="00855A83" w:rsidR="002038FD">
              <w:rPr>
                <w:rStyle w:val="Hyperlink"/>
              </w:rPr>
              <w:t>14.  Estimates of Annualized Cost to the Government</w:t>
            </w:r>
            <w:r w:rsidR="002038FD">
              <w:rPr>
                <w:webHidden/>
              </w:rPr>
              <w:tab/>
            </w:r>
            <w:r w:rsidR="008F0E75">
              <w:rPr>
                <w:webHidden/>
              </w:rPr>
              <w:t>7</w:t>
            </w:r>
          </w:hyperlink>
        </w:p>
        <w:p w:rsidR="005F628B" w14:paraId="2A8620EB" w14:textId="245D866B">
          <w:pPr>
            <w:pStyle w:val="TOC2"/>
            <w:rPr>
              <w:rFonts w:asciiTheme="minorHAnsi" w:eastAsiaTheme="minorEastAsia" w:hAnsiTheme="minorHAnsi" w:cstheme="minorBidi"/>
              <w:sz w:val="22"/>
              <w:szCs w:val="22"/>
            </w:rPr>
          </w:pPr>
          <w:hyperlink w:anchor="_Toc290559166" w:history="1">
            <w:r w:rsidRPr="0099649B" w:rsidR="002038FD">
              <w:rPr>
                <w:rStyle w:val="Hyperlink"/>
              </w:rPr>
              <w:t>15.  Change in Burden</w:t>
            </w:r>
            <w:r w:rsidR="002038FD">
              <w:rPr>
                <w:webHidden/>
              </w:rPr>
              <w:tab/>
            </w:r>
            <w:r w:rsidR="008F0E75">
              <w:rPr>
                <w:webHidden/>
              </w:rPr>
              <w:t>7</w:t>
            </w:r>
          </w:hyperlink>
        </w:p>
        <w:p w:rsidR="005F628B" w14:paraId="76A9A3F2" w14:textId="32FA88C5">
          <w:pPr>
            <w:pStyle w:val="TOC2"/>
            <w:rPr>
              <w:rFonts w:asciiTheme="minorHAnsi" w:eastAsiaTheme="minorEastAsia" w:hAnsiTheme="minorHAnsi" w:cstheme="minorBidi"/>
              <w:sz w:val="22"/>
              <w:szCs w:val="22"/>
            </w:rPr>
          </w:pPr>
          <w:hyperlink w:anchor="_Toc290559167" w:history="1">
            <w:r w:rsidRPr="0099649B" w:rsidR="002038FD">
              <w:rPr>
                <w:rStyle w:val="Hyperlink"/>
              </w:rPr>
              <w:t>16.  Time Schedule, Publication and Analysis Plans</w:t>
            </w:r>
            <w:r w:rsidR="002038FD">
              <w:rPr>
                <w:webHidden/>
              </w:rPr>
              <w:tab/>
            </w:r>
            <w:r w:rsidR="008F0E75">
              <w:rPr>
                <w:webHidden/>
              </w:rPr>
              <w:t>7</w:t>
            </w:r>
          </w:hyperlink>
        </w:p>
        <w:p w:rsidR="005F628B" w14:paraId="65036D2E" w14:textId="505DB57F">
          <w:pPr>
            <w:pStyle w:val="TOC2"/>
            <w:rPr>
              <w:rFonts w:asciiTheme="minorHAnsi" w:eastAsiaTheme="minorEastAsia" w:hAnsiTheme="minorHAnsi" w:cstheme="minorBidi"/>
              <w:sz w:val="22"/>
              <w:szCs w:val="22"/>
            </w:rPr>
          </w:pPr>
          <w:hyperlink w:anchor="_Toc290559168" w:history="1">
            <w:r w:rsidRPr="0099649B" w:rsidR="002038FD">
              <w:rPr>
                <w:rStyle w:val="Hyperlink"/>
              </w:rPr>
              <w:t>17.  Exemption for Display of Expiration Date</w:t>
            </w:r>
            <w:r w:rsidR="002038FD">
              <w:rPr>
                <w:webHidden/>
              </w:rPr>
              <w:tab/>
            </w:r>
            <w:r w:rsidR="008F0E75">
              <w:rPr>
                <w:webHidden/>
              </w:rPr>
              <w:t>8</w:t>
            </w:r>
          </w:hyperlink>
        </w:p>
        <w:p w:rsidR="008C5826" w14:paraId="4F8057B3" w14:textId="77777777">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rsidR="00CB7234" w:rsidP="00CB7234" w14:paraId="09B14DA4" w14:textId="77777777">
      <w:pPr>
        <w:rPr>
          <w:b/>
          <w:sz w:val="24"/>
          <w:szCs w:val="24"/>
        </w:rPr>
      </w:pPr>
      <w:r>
        <w:rPr>
          <w:b/>
          <w:sz w:val="24"/>
          <w:szCs w:val="24"/>
        </w:rPr>
        <w:br w:type="page"/>
      </w:r>
    </w:p>
    <w:p w:rsidR="0057087C" w:rsidRPr="008C5826" w:rsidP="008C5826" w14:paraId="71FC375C" w14:textId="77777777">
      <w:pPr>
        <w:pStyle w:val="Heading1"/>
        <w:rPr>
          <w:color w:val="auto"/>
          <w:sz w:val="24"/>
          <w:szCs w:val="24"/>
        </w:rPr>
      </w:pPr>
      <w:bookmarkStart w:id="0" w:name="_Toc290559153"/>
      <w:r w:rsidRPr="008C5826">
        <w:rPr>
          <w:color w:val="auto"/>
          <w:sz w:val="24"/>
          <w:szCs w:val="24"/>
        </w:rPr>
        <w:t>A.</w:t>
      </w:r>
      <w:r>
        <w:rPr>
          <w:sz w:val="24"/>
          <w:szCs w:val="24"/>
        </w:rPr>
        <w:t xml:space="preserve">  </w:t>
      </w:r>
      <w:r w:rsidRPr="008C5826">
        <w:rPr>
          <w:color w:val="auto"/>
          <w:sz w:val="24"/>
          <w:szCs w:val="24"/>
        </w:rPr>
        <w:t>JUSTIFICATION</w:t>
      </w:r>
      <w:bookmarkEnd w:id="0"/>
    </w:p>
    <w:p w:rsidR="0057087C" w:rsidRPr="00CB177A" w14:paraId="73E4B9C2" w14:textId="77777777">
      <w:pPr>
        <w:rPr>
          <w:sz w:val="24"/>
          <w:szCs w:val="24"/>
        </w:rPr>
      </w:pPr>
    </w:p>
    <w:p w:rsidR="001D16FA" w:rsidRPr="001D16FA" w:rsidP="001D16FA" w14:paraId="28B732B3" w14:textId="77777777">
      <w:pPr>
        <w:pStyle w:val="Heading2"/>
        <w:rPr>
          <w:sz w:val="24"/>
          <w:szCs w:val="24"/>
        </w:rPr>
      </w:pPr>
      <w:bookmarkStart w:id="1" w:name="_Toc290559154"/>
      <w:r w:rsidRPr="008C5826">
        <w:rPr>
          <w:color w:val="auto"/>
          <w:sz w:val="24"/>
          <w:szCs w:val="24"/>
        </w:rPr>
        <w:t xml:space="preserve">1.  </w:t>
      </w:r>
      <w:r w:rsidRPr="008C5826">
        <w:rPr>
          <w:color w:val="auto"/>
          <w:sz w:val="24"/>
          <w:szCs w:val="24"/>
          <w:u w:val="single"/>
        </w:rPr>
        <w:t>Need for Information</w:t>
      </w:r>
      <w:bookmarkEnd w:id="1"/>
    </w:p>
    <w:p w:rsidR="006B0624" w14:paraId="1720D42C" w14:textId="77777777">
      <w:pPr>
        <w:rPr>
          <w:sz w:val="24"/>
          <w:szCs w:val="24"/>
        </w:rPr>
      </w:pPr>
    </w:p>
    <w:p w:rsidR="00BB58AE" w:rsidRPr="00420A8F" w:rsidP="00BB58AE" w14:paraId="617858F9" w14:textId="77777777">
      <w:pPr>
        <w:rPr>
          <w:sz w:val="24"/>
          <w:szCs w:val="24"/>
        </w:rPr>
      </w:pPr>
      <w:r w:rsidRPr="00420A8F">
        <w:rPr>
          <w:sz w:val="24"/>
          <w:szCs w:val="24"/>
        </w:rPr>
        <w:t>The mission of the Agency for Healthcare Research and Quality (AHRQ) is to produce evidence to make health care safer, higher quality, more accessible, equitable and affordable, and to work within the U.S. Department of Health and Human Services and with other partners to make sure that the evidence is understood and used.</w:t>
      </w:r>
    </w:p>
    <w:p w:rsidR="00BB58AE" w:rsidRPr="00420A8F" w:rsidP="00BB58AE" w14:paraId="60FA431D" w14:textId="77777777">
      <w:pPr>
        <w:rPr>
          <w:sz w:val="24"/>
          <w:szCs w:val="24"/>
        </w:rPr>
      </w:pPr>
    </w:p>
    <w:p w:rsidR="001D16FA" w:rsidP="0035405B" w14:paraId="7BED96A2" w14:textId="77777777">
      <w:pPr>
        <w:rPr>
          <w:sz w:val="24"/>
          <w:szCs w:val="24"/>
        </w:rPr>
      </w:pPr>
      <w:r w:rsidRPr="00420A8F">
        <w:rPr>
          <w:sz w:val="24"/>
          <w:szCs w:val="24"/>
        </w:rPr>
        <w:t>AHRQ shall promote health care quality improvement by</w:t>
      </w:r>
      <w:r w:rsidR="0070123B">
        <w:rPr>
          <w:sz w:val="24"/>
          <w:szCs w:val="24"/>
        </w:rPr>
        <w:t xml:space="preserve"> c</w:t>
      </w:r>
      <w:r w:rsidRPr="00420A8F">
        <w:rPr>
          <w:sz w:val="24"/>
          <w:szCs w:val="24"/>
        </w:rPr>
        <w:t>ollecting data on and producing measures of the quality, safety, effectiveness, and efficiency of American health care and health care systems; fostering the development of knowledge about improving health care, health care systems, and capacity; and</w:t>
      </w:r>
      <w:r w:rsidR="0070123B">
        <w:rPr>
          <w:sz w:val="24"/>
          <w:szCs w:val="24"/>
        </w:rPr>
        <w:t xml:space="preserve"> </w:t>
      </w:r>
      <w:r w:rsidRPr="00420A8F">
        <w:rPr>
          <w:sz w:val="24"/>
          <w:szCs w:val="24"/>
        </w:rPr>
        <w:t>partnering with stakeholders to implement proven strategies for health care improvement.</w:t>
      </w:r>
      <w:r w:rsidR="0070123B">
        <w:rPr>
          <w:sz w:val="24"/>
          <w:szCs w:val="24"/>
        </w:rPr>
        <w:t xml:space="preserve">  </w:t>
      </w:r>
      <w:r w:rsidRPr="00420A8F">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B58AE" w:rsidP="0035405B" w14:paraId="64B8C2A7" w14:textId="77777777">
      <w:pPr>
        <w:rPr>
          <w:sz w:val="24"/>
          <w:szCs w:val="24"/>
        </w:rPr>
      </w:pPr>
    </w:p>
    <w:p w:rsidR="0035405B" w:rsidRPr="00420A8F" w:rsidP="0035405B" w14:paraId="1F107FF9" w14:textId="77777777">
      <w:pPr>
        <w:rPr>
          <w:bCs/>
          <w:sz w:val="24"/>
          <w:szCs w:val="24"/>
        </w:rPr>
      </w:pPr>
      <w:r w:rsidRPr="00420A8F">
        <w:rPr>
          <w:bCs/>
          <w:sz w:val="24"/>
          <w:szCs w:val="24"/>
        </w:rPr>
        <w:t>The MEPS</w:t>
      </w:r>
      <w:r w:rsidRPr="00420A8F">
        <w:rPr>
          <w:bCs/>
          <w:sz w:val="24"/>
          <w:szCs w:val="24"/>
        </w:rPr>
        <w:t xml:space="preserve"> survey consists of </w:t>
      </w:r>
      <w:r w:rsidR="00D00076">
        <w:rPr>
          <w:bCs/>
          <w:sz w:val="24"/>
          <w:szCs w:val="24"/>
        </w:rPr>
        <w:t xml:space="preserve">the following </w:t>
      </w:r>
      <w:r w:rsidRPr="00420A8F">
        <w:rPr>
          <w:bCs/>
          <w:sz w:val="24"/>
          <w:szCs w:val="24"/>
        </w:rPr>
        <w:t xml:space="preserve">three </w:t>
      </w:r>
      <w:r w:rsidRPr="00A04F7A" w:rsidR="00D00076">
        <w:rPr>
          <w:bCs/>
          <w:sz w:val="24"/>
          <w:szCs w:val="24"/>
        </w:rPr>
        <w:t>components</w:t>
      </w:r>
      <w:r w:rsidRPr="00420A8F">
        <w:rPr>
          <w:bCs/>
          <w:sz w:val="24"/>
          <w:szCs w:val="24"/>
        </w:rPr>
        <w:t xml:space="preserve"> and has been conducted annu</w:t>
      </w:r>
      <w:r w:rsidR="00281B88">
        <w:rPr>
          <w:bCs/>
          <w:sz w:val="24"/>
          <w:szCs w:val="24"/>
        </w:rPr>
        <w:t>a</w:t>
      </w:r>
      <w:r w:rsidRPr="00420A8F">
        <w:rPr>
          <w:bCs/>
          <w:sz w:val="24"/>
          <w:szCs w:val="24"/>
        </w:rPr>
        <w:t xml:space="preserve">lly since 1996: </w:t>
      </w:r>
      <w:r w:rsidRPr="00420A8F">
        <w:rPr>
          <w:bCs/>
          <w:sz w:val="24"/>
          <w:szCs w:val="24"/>
        </w:rPr>
        <w:t xml:space="preserve"> </w:t>
      </w:r>
    </w:p>
    <w:p w:rsidR="0035405B" w:rsidRPr="00420A8F" w:rsidP="0035405B" w14:paraId="570A3E3C" w14:textId="77777777">
      <w:pPr>
        <w:rPr>
          <w:bCs/>
          <w:sz w:val="24"/>
          <w:szCs w:val="24"/>
        </w:rPr>
      </w:pPr>
    </w:p>
    <w:p w:rsidR="0035405B" w:rsidRPr="00420A8F" w:rsidP="0035405B" w14:paraId="3F026847" w14:textId="77777777">
      <w:pPr>
        <w:numPr>
          <w:ilvl w:val="0"/>
          <w:numId w:val="47"/>
        </w:numPr>
        <w:ind w:left="450" w:hanging="450"/>
        <w:rPr>
          <w:sz w:val="24"/>
          <w:szCs w:val="24"/>
        </w:rPr>
      </w:pPr>
      <w:r w:rsidRPr="00420A8F">
        <w:rPr>
          <w:sz w:val="24"/>
          <w:szCs w:val="24"/>
        </w:rPr>
        <w:t>Household Component: A sample of households participating in the National Health Interview Survey (NHIS) in the prior calendar year are interviewed 5 times over a 2 and one half (2.5) year period.  These 5 interviews yield two years of information on use of, and expenditures for, health care, sources of payment for that health care, insurance status, employment, health status and health care quality.</w:t>
      </w:r>
    </w:p>
    <w:p w:rsidR="0035405B" w:rsidRPr="00420A8F" w:rsidP="00420A8F" w14:paraId="5A673585" w14:textId="77777777">
      <w:pPr>
        <w:numPr>
          <w:ilvl w:val="0"/>
          <w:numId w:val="47"/>
        </w:numPr>
        <w:ind w:left="450" w:hanging="450"/>
        <w:rPr>
          <w:sz w:val="24"/>
          <w:szCs w:val="24"/>
        </w:rPr>
      </w:pPr>
      <w:r w:rsidRPr="00420A8F">
        <w:rPr>
          <w:sz w:val="24"/>
          <w:szCs w:val="24"/>
        </w:rPr>
        <w:t xml:space="preserve">Medical Provider Component: The MEPS-MPC collects information from medical and financial records maintained by hospitals, physicians, </w:t>
      </w:r>
      <w:r w:rsidRPr="00420A8F">
        <w:rPr>
          <w:sz w:val="24"/>
          <w:szCs w:val="24"/>
        </w:rPr>
        <w:t>pharmacies</w:t>
      </w:r>
      <w:r w:rsidRPr="00420A8F">
        <w:rPr>
          <w:sz w:val="24"/>
          <w:szCs w:val="24"/>
        </w:rPr>
        <w:t xml:space="preserve"> and home health agencies named as sources of care by household respondents.  </w:t>
      </w:r>
    </w:p>
    <w:p w:rsidR="0035405B" w:rsidRPr="00420A8F" w:rsidP="00420A8F" w14:paraId="447D2554" w14:textId="77777777">
      <w:pPr>
        <w:numPr>
          <w:ilvl w:val="0"/>
          <w:numId w:val="47"/>
        </w:numPr>
        <w:ind w:left="450" w:hanging="450"/>
        <w:rPr>
          <w:sz w:val="24"/>
          <w:szCs w:val="24"/>
        </w:rPr>
      </w:pPr>
      <w:r w:rsidRPr="00420A8F">
        <w:rPr>
          <w:sz w:val="24"/>
          <w:szCs w:val="24"/>
        </w:rPr>
        <w:t>Insurance Component (MEPS-IC): The MEPS-IC collects information on establishment characteristics, insurance offerings and premiums from employers.  The MEPS-IC is conducted by the Census Bureau for AHRQ and is cleared separately.</w:t>
      </w:r>
    </w:p>
    <w:p w:rsidR="0035405B" w:rsidRPr="00420A8F" w:rsidP="0035405B" w14:paraId="100DE494" w14:textId="77777777">
      <w:pPr>
        <w:rPr>
          <w:sz w:val="24"/>
          <w:szCs w:val="24"/>
          <w:highlight w:val="yellow"/>
        </w:rPr>
      </w:pPr>
    </w:p>
    <w:p w:rsidR="0035405B" w:rsidRPr="00420A8F" w:rsidP="0035405B" w14:paraId="0006CC2C" w14:textId="654E5CB6">
      <w:pPr>
        <w:rPr>
          <w:sz w:val="24"/>
          <w:szCs w:val="24"/>
        </w:rPr>
      </w:pPr>
      <w:r w:rsidRPr="00420A8F">
        <w:rPr>
          <w:sz w:val="24"/>
          <w:szCs w:val="24"/>
        </w:rPr>
        <w:t xml:space="preserve">This request is for the MEPS-HC only.  The OMB Control Number for the MEPS-HC and MPC is 0935-0118, which was last approved by OMB on </w:t>
      </w:r>
      <w:r w:rsidR="009E3E54">
        <w:rPr>
          <w:rFonts w:ascii="ArialMT" w:hAnsi="ArialMT" w:cs="ArialMT"/>
        </w:rPr>
        <w:t>11/18/2020</w:t>
      </w:r>
      <w:r w:rsidRPr="00420A8F">
        <w:rPr>
          <w:sz w:val="24"/>
          <w:szCs w:val="24"/>
        </w:rPr>
        <w:t>, and will expire on November 30, 202</w:t>
      </w:r>
      <w:r w:rsidR="009E3E54">
        <w:rPr>
          <w:sz w:val="24"/>
          <w:szCs w:val="24"/>
        </w:rPr>
        <w:t>3</w:t>
      </w:r>
      <w:r w:rsidRPr="00420A8F">
        <w:rPr>
          <w:sz w:val="24"/>
          <w:szCs w:val="24"/>
        </w:rPr>
        <w:t xml:space="preserve">.  </w:t>
      </w:r>
    </w:p>
    <w:p w:rsidR="0035405B" w:rsidRPr="00DA394A" w:rsidP="00207BF6" w14:paraId="1FD375A0" w14:textId="77777777">
      <w:pPr>
        <w:rPr>
          <w:sz w:val="24"/>
          <w:szCs w:val="24"/>
        </w:rPr>
      </w:pPr>
    </w:p>
    <w:p w:rsidR="00704FF1" w:rsidP="00273167" w14:paraId="1B18AF29" w14:textId="1B229440">
      <w:pPr>
        <w:rPr>
          <w:sz w:val="24"/>
          <w:szCs w:val="24"/>
        </w:rPr>
      </w:pPr>
      <w:r w:rsidRPr="00F76AD1">
        <w:rPr>
          <w:sz w:val="24"/>
          <w:szCs w:val="24"/>
        </w:rPr>
        <w:t xml:space="preserve">The purpose of this request is to </w:t>
      </w:r>
      <w:r w:rsidR="00153B3F">
        <w:rPr>
          <w:sz w:val="24"/>
          <w:szCs w:val="24"/>
        </w:rPr>
        <w:t xml:space="preserve">add </w:t>
      </w:r>
      <w:r w:rsidR="00A07599">
        <w:rPr>
          <w:sz w:val="24"/>
          <w:szCs w:val="24"/>
        </w:rPr>
        <w:t>questions related to COVID-19</w:t>
      </w:r>
      <w:r w:rsidRPr="00F76AD1">
        <w:rPr>
          <w:sz w:val="24"/>
          <w:szCs w:val="24"/>
        </w:rPr>
        <w:t xml:space="preserve"> </w:t>
      </w:r>
      <w:r w:rsidR="00A249E5">
        <w:rPr>
          <w:sz w:val="24"/>
          <w:szCs w:val="24"/>
        </w:rPr>
        <w:t xml:space="preserve">diagnoses </w:t>
      </w:r>
      <w:r w:rsidR="00A07599">
        <w:rPr>
          <w:sz w:val="24"/>
          <w:szCs w:val="24"/>
        </w:rPr>
        <w:t>in</w:t>
      </w:r>
      <w:r w:rsidRPr="00F76AD1" w:rsidR="00F863A4">
        <w:rPr>
          <w:sz w:val="24"/>
          <w:szCs w:val="24"/>
        </w:rPr>
        <w:t xml:space="preserve"> MEPS </w:t>
      </w:r>
      <w:r w:rsidRPr="00F76AD1" w:rsidR="00D75EB1">
        <w:rPr>
          <w:sz w:val="24"/>
          <w:szCs w:val="24"/>
        </w:rPr>
        <w:t>(</w:t>
      </w:r>
      <w:r w:rsidRPr="00F76AD1" w:rsidR="00A1240B">
        <w:rPr>
          <w:sz w:val="24"/>
          <w:szCs w:val="24"/>
        </w:rPr>
        <w:t xml:space="preserve">see </w:t>
      </w:r>
      <w:r w:rsidRPr="00F76AD1" w:rsidR="00D75EB1">
        <w:rPr>
          <w:sz w:val="24"/>
          <w:szCs w:val="24"/>
        </w:rPr>
        <w:t>Attachment</w:t>
      </w:r>
      <w:r w:rsidR="00FD6642">
        <w:rPr>
          <w:sz w:val="24"/>
          <w:szCs w:val="24"/>
        </w:rPr>
        <w:t xml:space="preserve"> A</w:t>
      </w:r>
      <w:r w:rsidRPr="00F76AD1" w:rsidR="00D75EB1">
        <w:rPr>
          <w:sz w:val="24"/>
          <w:szCs w:val="24"/>
        </w:rPr>
        <w:t>)</w:t>
      </w:r>
      <w:r w:rsidRPr="00F76AD1" w:rsidR="00F863A4">
        <w:rPr>
          <w:sz w:val="24"/>
          <w:szCs w:val="24"/>
        </w:rPr>
        <w:t>.</w:t>
      </w:r>
      <w:r w:rsidRPr="00F76AD1">
        <w:rPr>
          <w:sz w:val="24"/>
          <w:szCs w:val="24"/>
        </w:rPr>
        <w:t xml:space="preserve"> </w:t>
      </w:r>
      <w:r w:rsidR="00A07599">
        <w:rPr>
          <w:sz w:val="24"/>
          <w:szCs w:val="24"/>
        </w:rPr>
        <w:t>New</w:t>
      </w:r>
      <w:r w:rsidRPr="00F76AD1" w:rsidR="00F863A4">
        <w:rPr>
          <w:sz w:val="24"/>
          <w:szCs w:val="24"/>
        </w:rPr>
        <w:t xml:space="preserve"> </w:t>
      </w:r>
      <w:r w:rsidR="00323FE4">
        <w:rPr>
          <w:sz w:val="24"/>
          <w:szCs w:val="24"/>
        </w:rPr>
        <w:t>round 1</w:t>
      </w:r>
      <w:r w:rsidR="00A514D9">
        <w:rPr>
          <w:sz w:val="24"/>
          <w:szCs w:val="24"/>
        </w:rPr>
        <w:t xml:space="preserve"> </w:t>
      </w:r>
      <w:r w:rsidRPr="00F76AD1" w:rsidR="00F863A4">
        <w:rPr>
          <w:sz w:val="24"/>
          <w:szCs w:val="24"/>
        </w:rPr>
        <w:t xml:space="preserve">questions on COVID-19 </w:t>
      </w:r>
      <w:r w:rsidRPr="00F76AD1" w:rsidR="00073430">
        <w:rPr>
          <w:sz w:val="24"/>
          <w:szCs w:val="24"/>
        </w:rPr>
        <w:t>capture</w:t>
      </w:r>
      <w:r w:rsidRPr="00F76AD1" w:rsidR="00F863A4">
        <w:rPr>
          <w:sz w:val="24"/>
          <w:szCs w:val="24"/>
        </w:rPr>
        <w:t xml:space="preserve"> information on</w:t>
      </w:r>
      <w:r w:rsidR="00A07599">
        <w:rPr>
          <w:sz w:val="24"/>
          <w:szCs w:val="24"/>
        </w:rPr>
        <w:t xml:space="preserve"> whether household members have ever had COVID-19 and when </w:t>
      </w:r>
      <w:r w:rsidR="00A514D9">
        <w:rPr>
          <w:sz w:val="24"/>
          <w:szCs w:val="24"/>
        </w:rPr>
        <w:t xml:space="preserve">they most recently had COVID-19.  Follow-up questions in later </w:t>
      </w:r>
      <w:r w:rsidR="00A07599">
        <w:rPr>
          <w:sz w:val="24"/>
          <w:szCs w:val="24"/>
        </w:rPr>
        <w:t>round</w:t>
      </w:r>
      <w:r w:rsidR="00A514D9">
        <w:rPr>
          <w:sz w:val="24"/>
          <w:szCs w:val="24"/>
        </w:rPr>
        <w:t>s</w:t>
      </w:r>
      <w:r w:rsidR="00A07599">
        <w:rPr>
          <w:sz w:val="24"/>
          <w:szCs w:val="24"/>
        </w:rPr>
        <w:t xml:space="preserve"> determine if household members have had COVID-19 in the interview reference period. </w:t>
      </w:r>
      <w:r w:rsidR="0087700C">
        <w:rPr>
          <w:sz w:val="24"/>
          <w:szCs w:val="24"/>
        </w:rPr>
        <w:t xml:space="preserve">These questions are intended to leverage the strengths of MEPS, including </w:t>
      </w:r>
      <w:r w:rsidR="00061BEA">
        <w:rPr>
          <w:sz w:val="24"/>
          <w:szCs w:val="24"/>
        </w:rPr>
        <w:t xml:space="preserve">the existing </w:t>
      </w:r>
      <w:r w:rsidR="0087700C">
        <w:rPr>
          <w:sz w:val="24"/>
          <w:szCs w:val="24"/>
        </w:rPr>
        <w:t xml:space="preserve">detailed healthcare event and expenditure reporting, </w:t>
      </w:r>
      <w:r w:rsidR="00061BEA">
        <w:rPr>
          <w:sz w:val="24"/>
          <w:szCs w:val="24"/>
        </w:rPr>
        <w:t xml:space="preserve">in order </w:t>
      </w:r>
      <w:r w:rsidRPr="0087700C" w:rsidR="0087700C">
        <w:rPr>
          <w:sz w:val="24"/>
          <w:szCs w:val="24"/>
        </w:rPr>
        <w:t>to</w:t>
      </w:r>
      <w:r w:rsidRPr="0087700C" w:rsidR="0087700C">
        <w:rPr>
          <w:sz w:val="24"/>
          <w:szCs w:val="24"/>
        </w:rPr>
        <w:t xml:space="preserve"> </w:t>
      </w:r>
      <w:r w:rsidR="0087700C">
        <w:rPr>
          <w:sz w:val="24"/>
          <w:szCs w:val="24"/>
        </w:rPr>
        <w:t xml:space="preserve">enable analysis of </w:t>
      </w:r>
      <w:r w:rsidR="00061BEA">
        <w:rPr>
          <w:sz w:val="24"/>
          <w:szCs w:val="24"/>
        </w:rPr>
        <w:t xml:space="preserve">any </w:t>
      </w:r>
      <w:r w:rsidRPr="0087700C" w:rsidR="0087700C">
        <w:rPr>
          <w:sz w:val="24"/>
          <w:szCs w:val="24"/>
        </w:rPr>
        <w:t>potential increased healthcare burden following acute COVID-19 infections</w:t>
      </w:r>
      <w:r w:rsidR="0087700C">
        <w:rPr>
          <w:sz w:val="24"/>
          <w:szCs w:val="24"/>
        </w:rPr>
        <w:t>.</w:t>
      </w:r>
      <w:r w:rsidRPr="0087700C" w:rsidR="0087700C">
        <w:rPr>
          <w:sz w:val="24"/>
          <w:szCs w:val="24"/>
        </w:rPr>
        <w:t xml:space="preserve"> </w:t>
      </w:r>
    </w:p>
    <w:p w:rsidR="006540A4" w:rsidP="00F219C3" w14:paraId="7DB13F83" w14:textId="13DE6FAA">
      <w:pPr>
        <w:rPr>
          <w:sz w:val="24"/>
          <w:szCs w:val="24"/>
        </w:rPr>
      </w:pPr>
    </w:p>
    <w:p w:rsidR="006540A4" w:rsidP="00F219C3" w14:paraId="576E95F6" w14:textId="639DD013">
      <w:pPr>
        <w:rPr>
          <w:sz w:val="24"/>
          <w:szCs w:val="24"/>
        </w:rPr>
      </w:pPr>
      <w:r>
        <w:rPr>
          <w:sz w:val="24"/>
          <w:szCs w:val="24"/>
        </w:rPr>
        <w:t xml:space="preserve">The questions will be </w:t>
      </w:r>
      <w:r w:rsidR="00B642AB">
        <w:rPr>
          <w:sz w:val="24"/>
          <w:szCs w:val="24"/>
        </w:rPr>
        <w:t>asked of all MEPS sample members</w:t>
      </w:r>
      <w:r>
        <w:rPr>
          <w:sz w:val="24"/>
          <w:szCs w:val="24"/>
        </w:rPr>
        <w:t xml:space="preserve"> with a single household respondent reporting for </w:t>
      </w:r>
      <w:r w:rsidR="00B642AB">
        <w:rPr>
          <w:sz w:val="24"/>
          <w:szCs w:val="24"/>
        </w:rPr>
        <w:t>the household</w:t>
      </w:r>
      <w:r>
        <w:rPr>
          <w:sz w:val="24"/>
          <w:szCs w:val="24"/>
        </w:rPr>
        <w:t xml:space="preserve">.  </w:t>
      </w:r>
      <w:r w:rsidR="00E634B6">
        <w:rPr>
          <w:sz w:val="24"/>
          <w:szCs w:val="24"/>
        </w:rPr>
        <w:t xml:space="preserve">The first two questions serve as gate questions and only respondents who report having a COVID-19 diagnosis in the </w:t>
      </w:r>
      <w:r w:rsidR="00B642AB">
        <w:rPr>
          <w:sz w:val="24"/>
          <w:szCs w:val="24"/>
        </w:rPr>
        <w:t xml:space="preserve">relevant </w:t>
      </w:r>
      <w:r w:rsidR="00B642AB">
        <w:rPr>
          <w:sz w:val="24"/>
          <w:szCs w:val="24"/>
        </w:rPr>
        <w:t>time period</w:t>
      </w:r>
      <w:r w:rsidR="00E634B6">
        <w:rPr>
          <w:sz w:val="24"/>
          <w:szCs w:val="24"/>
        </w:rPr>
        <w:t xml:space="preserve"> will receive follow-up questions about the timing of their most recent infection.  </w:t>
      </w:r>
      <w:r w:rsidR="00AE5111">
        <w:rPr>
          <w:sz w:val="24"/>
          <w:szCs w:val="24"/>
        </w:rPr>
        <w:t xml:space="preserve">These questions will be administered in the existing Priority Conditions Enumeration section of MEPS, which includes a similar series of questions about whether household members have ever been diagnosed with certain </w:t>
      </w:r>
      <w:r w:rsidR="00B642AB">
        <w:rPr>
          <w:sz w:val="24"/>
          <w:szCs w:val="24"/>
        </w:rPr>
        <w:t xml:space="preserve">medical conditions.  </w:t>
      </w:r>
      <w:r w:rsidR="00AE5111">
        <w:rPr>
          <w:sz w:val="24"/>
          <w:szCs w:val="24"/>
        </w:rPr>
        <w:t xml:space="preserve">  </w:t>
      </w:r>
    </w:p>
    <w:p w:rsidR="00445667" w:rsidP="00F219C3" w14:paraId="1AAC0E29" w14:textId="55A7F543">
      <w:pPr>
        <w:rPr>
          <w:sz w:val="24"/>
          <w:szCs w:val="24"/>
        </w:rPr>
      </w:pPr>
    </w:p>
    <w:p w:rsidR="003B3DF6" w:rsidP="003B3DF6" w14:paraId="5452E286" w14:textId="4A50A80F">
      <w:pPr>
        <w:rPr>
          <w:sz w:val="24"/>
          <w:szCs w:val="24"/>
        </w:rPr>
      </w:pPr>
      <w:r>
        <w:rPr>
          <w:sz w:val="24"/>
          <w:szCs w:val="24"/>
        </w:rPr>
        <w:t xml:space="preserve">Historically, MEPS has been conducted using Computer Assisted Personal Interviewing (CAPI) where field interviews conduct interviews with household respondents in person.  However, MEPS is currently being conducted via multiple modes, including face-to-face, phone, and virtual interviewing, due to the ongoing COVID-19 pandemic.  </w:t>
      </w:r>
    </w:p>
    <w:p w:rsidR="003B3DF6" w:rsidP="003B3DF6" w14:paraId="3BE150C0" w14:textId="53A25876">
      <w:pPr>
        <w:rPr>
          <w:sz w:val="24"/>
          <w:szCs w:val="24"/>
        </w:rPr>
      </w:pPr>
    </w:p>
    <w:p w:rsidR="00DF7EE6" w:rsidP="00F219C3" w14:paraId="4464942D" w14:textId="3301D9AD">
      <w:pPr>
        <w:rPr>
          <w:sz w:val="24"/>
          <w:szCs w:val="24"/>
        </w:rPr>
      </w:pPr>
      <w:r>
        <w:rPr>
          <w:sz w:val="24"/>
          <w:szCs w:val="24"/>
        </w:rPr>
        <w:t xml:space="preserve">The information collected on COVID-19 diagnoses will undergo editing and be reviewed for </w:t>
      </w:r>
      <w:r w:rsidR="00BD45B0">
        <w:rPr>
          <w:sz w:val="24"/>
          <w:szCs w:val="24"/>
        </w:rPr>
        <w:t xml:space="preserve">data quality, including </w:t>
      </w:r>
      <w:r>
        <w:rPr>
          <w:sz w:val="24"/>
          <w:szCs w:val="24"/>
        </w:rPr>
        <w:t xml:space="preserve">consistency with publicly available sources of data on COVID-19 infections.  Additionally, the resulting variables will be included on the annual MEPS </w:t>
      </w:r>
      <w:r>
        <w:rPr>
          <w:sz w:val="24"/>
          <w:szCs w:val="24"/>
        </w:rPr>
        <w:t>full-year</w:t>
      </w:r>
      <w:r>
        <w:rPr>
          <w:sz w:val="24"/>
          <w:szCs w:val="24"/>
        </w:rPr>
        <w:t xml:space="preserve"> consolidated public use data files after being</w:t>
      </w:r>
      <w:r w:rsidR="00BD45B0">
        <w:rPr>
          <w:sz w:val="24"/>
          <w:szCs w:val="24"/>
        </w:rPr>
        <w:t xml:space="preserve"> assessed </w:t>
      </w:r>
      <w:r>
        <w:rPr>
          <w:sz w:val="24"/>
          <w:szCs w:val="24"/>
        </w:rPr>
        <w:t xml:space="preserve">for any potential disclosure concerns. </w:t>
      </w:r>
    </w:p>
    <w:p w:rsidR="002229DB" w:rsidRPr="008F68B7" w:rsidP="00F219C3" w14:paraId="690899D0" w14:textId="77777777">
      <w:pPr>
        <w:rPr>
          <w:color w:val="1F497D"/>
          <w:sz w:val="24"/>
          <w:szCs w:val="24"/>
          <w:highlight w:val="yellow"/>
        </w:rPr>
      </w:pPr>
    </w:p>
    <w:p w:rsidR="00143B6B" w:rsidRPr="00BB58AE" w:rsidP="00143B6B" w14:paraId="5DC6CFB0" w14:textId="77777777">
      <w:pPr>
        <w:rPr>
          <w:sz w:val="24"/>
          <w:szCs w:val="24"/>
        </w:rPr>
      </w:pPr>
      <w:r w:rsidRPr="00ED6419">
        <w:rPr>
          <w:bCs/>
          <w:sz w:val="24"/>
          <w:szCs w:val="24"/>
        </w:rPr>
        <w:t>This study is being conducted by AHRQ through its contractors, Westat and RTI International,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rsidR="00D027EA" w:rsidP="00D027EA" w14:paraId="2F1A88E0" w14:textId="77777777">
      <w:pPr>
        <w:rPr>
          <w:sz w:val="24"/>
          <w:szCs w:val="24"/>
        </w:rPr>
      </w:pPr>
    </w:p>
    <w:p w:rsidR="0057087C" w:rsidRPr="008C5826" w:rsidP="008C5826" w14:paraId="2801CF78" w14:textId="77777777">
      <w:pPr>
        <w:pStyle w:val="Heading2"/>
        <w:rPr>
          <w:color w:val="auto"/>
          <w:sz w:val="24"/>
          <w:szCs w:val="24"/>
        </w:rPr>
      </w:pPr>
      <w:bookmarkStart w:id="2" w:name="_Toc290559155"/>
      <w:r w:rsidRPr="008C5826">
        <w:rPr>
          <w:color w:val="auto"/>
          <w:sz w:val="24"/>
          <w:szCs w:val="24"/>
        </w:rPr>
        <w:t xml:space="preserve">2.  </w:t>
      </w:r>
      <w:r w:rsidRPr="008C5826">
        <w:rPr>
          <w:color w:val="auto"/>
          <w:sz w:val="24"/>
          <w:szCs w:val="24"/>
          <w:u w:val="single"/>
        </w:rPr>
        <w:t xml:space="preserve">How, by Whom, and for </w:t>
      </w:r>
      <w:r w:rsidRPr="002931EC">
        <w:rPr>
          <w:color w:val="auto"/>
          <w:sz w:val="24"/>
          <w:szCs w:val="24"/>
          <w:u w:val="single"/>
        </w:rPr>
        <w:t>What Purpose Information Will Be Used</w:t>
      </w:r>
      <w:bookmarkEnd w:id="2"/>
    </w:p>
    <w:p w:rsidR="006B0624" w14:paraId="6880FD1E" w14:textId="77777777">
      <w:pPr>
        <w:rPr>
          <w:sz w:val="24"/>
          <w:szCs w:val="24"/>
        </w:rPr>
      </w:pPr>
    </w:p>
    <w:p w:rsidR="00073430" w:rsidP="00073430" w14:paraId="377B4F86" w14:textId="38445D0B">
      <w:pPr>
        <w:tabs>
          <w:tab w:val="left" w:pos="360"/>
        </w:tabs>
        <w:rPr>
          <w:sz w:val="24"/>
          <w:szCs w:val="24"/>
        </w:rPr>
      </w:pPr>
      <w:r w:rsidRPr="00F76AD1">
        <w:rPr>
          <w:sz w:val="24"/>
          <w:szCs w:val="24"/>
        </w:rPr>
        <w:t>The new CAPI questions collecting information about COVID-19 will be folded into the regular processing stream of MEPS data to produce estimates of health care utilization and expenditures.</w:t>
      </w:r>
      <w:r w:rsidR="00FE3083">
        <w:rPr>
          <w:sz w:val="24"/>
          <w:szCs w:val="24"/>
        </w:rPr>
        <w:t xml:space="preserve">  Th</w:t>
      </w:r>
      <w:r w:rsidR="000C7D26">
        <w:rPr>
          <w:sz w:val="24"/>
          <w:szCs w:val="24"/>
        </w:rPr>
        <w:t xml:space="preserve">e information collected </w:t>
      </w:r>
      <w:r w:rsidR="00323FE4">
        <w:rPr>
          <w:sz w:val="24"/>
          <w:szCs w:val="24"/>
        </w:rPr>
        <w:t xml:space="preserve">on COVID-19 diagnoses </w:t>
      </w:r>
      <w:r w:rsidR="000C7D26">
        <w:rPr>
          <w:sz w:val="24"/>
          <w:szCs w:val="24"/>
        </w:rPr>
        <w:t xml:space="preserve">will be used to compare healthcare utilization and expenditures between those who have had confirmed COVID-19 and those who have not.  Additionally, the information collected on </w:t>
      </w:r>
      <w:r w:rsidR="00FA604D">
        <w:rPr>
          <w:sz w:val="24"/>
          <w:szCs w:val="24"/>
        </w:rPr>
        <w:t>the timing of recent infection</w:t>
      </w:r>
      <w:r w:rsidR="003D6BDF">
        <w:rPr>
          <w:sz w:val="24"/>
          <w:szCs w:val="24"/>
        </w:rPr>
        <w:t>s</w:t>
      </w:r>
      <w:r w:rsidR="00FA604D">
        <w:rPr>
          <w:sz w:val="24"/>
          <w:szCs w:val="24"/>
        </w:rPr>
        <w:t xml:space="preserve"> </w:t>
      </w:r>
      <w:r w:rsidR="003D6BDF">
        <w:rPr>
          <w:sz w:val="24"/>
          <w:szCs w:val="24"/>
        </w:rPr>
        <w:t xml:space="preserve">can be used to </w:t>
      </w:r>
      <w:r w:rsidR="00124C9D">
        <w:rPr>
          <w:sz w:val="24"/>
          <w:szCs w:val="24"/>
        </w:rPr>
        <w:t>either</w:t>
      </w:r>
      <w:r w:rsidR="003D6BDF">
        <w:rPr>
          <w:sz w:val="24"/>
          <w:szCs w:val="24"/>
        </w:rPr>
        <w:t xml:space="preserve"> include or exclude recent infections from calendar year </w:t>
      </w:r>
      <w:r w:rsidR="00530D4E">
        <w:rPr>
          <w:sz w:val="24"/>
          <w:szCs w:val="24"/>
        </w:rPr>
        <w:t xml:space="preserve">or round-specific estimates of </w:t>
      </w:r>
      <w:r w:rsidR="003D6BDF">
        <w:rPr>
          <w:sz w:val="24"/>
          <w:szCs w:val="24"/>
        </w:rPr>
        <w:t>healthcare utilization and expenditure</w:t>
      </w:r>
      <w:r w:rsidR="00530D4E">
        <w:rPr>
          <w:sz w:val="24"/>
          <w:szCs w:val="24"/>
        </w:rPr>
        <w:t xml:space="preserve">s.  </w:t>
      </w:r>
      <w:r w:rsidR="001112E4">
        <w:rPr>
          <w:sz w:val="24"/>
          <w:szCs w:val="24"/>
        </w:rPr>
        <w:t>This allows researchers to examine both shorter-term and longer-term impacts of a COVID-19 diagnosis on healthcare utilization and expenditures.</w:t>
      </w:r>
    </w:p>
    <w:p w:rsidR="0046059B" w:rsidP="00073430" w14:paraId="31B2374E" w14:textId="1D0069AE">
      <w:pPr>
        <w:tabs>
          <w:tab w:val="left" w:pos="360"/>
        </w:tabs>
        <w:rPr>
          <w:sz w:val="24"/>
          <w:szCs w:val="24"/>
        </w:rPr>
      </w:pPr>
    </w:p>
    <w:p w:rsidR="0046059B" w:rsidP="00073430" w14:paraId="33E2F07C" w14:textId="71AF4880">
      <w:pPr>
        <w:tabs>
          <w:tab w:val="left" w:pos="360"/>
        </w:tabs>
        <w:rPr>
          <w:sz w:val="24"/>
          <w:szCs w:val="24"/>
        </w:rPr>
      </w:pPr>
      <w:r>
        <w:rPr>
          <w:sz w:val="24"/>
          <w:szCs w:val="24"/>
        </w:rPr>
        <w:t xml:space="preserve">The first two questions are taken from the 2022 National Health Interview Survey (NHIS), with minor adjustments to account for a single household respondent in MEPS and multiple rounds of interviewing.  </w:t>
      </w:r>
    </w:p>
    <w:p w:rsidR="00165E85" w:rsidP="00D027EA" w14:paraId="1A96C9D1" w14:textId="4DB79CB3">
      <w:pPr>
        <w:tabs>
          <w:tab w:val="left" w:pos="360"/>
        </w:tabs>
        <w:rPr>
          <w:sz w:val="24"/>
          <w:szCs w:val="24"/>
        </w:rPr>
      </w:pPr>
    </w:p>
    <w:p w:rsidR="00A63B83" w:rsidRPr="00C43666" w:rsidP="00A63B83" w14:paraId="1522D0E6" w14:textId="2DBF8898">
      <w:pPr>
        <w:pStyle w:val="Heading2"/>
        <w:rPr>
          <w:sz w:val="24"/>
        </w:rPr>
      </w:pPr>
      <w:bookmarkStart w:id="3" w:name="_Toc151782178"/>
      <w:bookmarkStart w:id="4" w:name="_Toc158526218"/>
      <w:bookmarkStart w:id="5" w:name="_Toc290559156"/>
      <w:r w:rsidRPr="00C43666">
        <w:rPr>
          <w:rFonts w:ascii="Times New Roman" w:eastAsia="Times New Roman" w:hAnsi="Times New Roman" w:cs="Times New Roman"/>
          <w:bCs w:val="0"/>
          <w:color w:val="auto"/>
          <w:sz w:val="24"/>
          <w:szCs w:val="24"/>
        </w:rPr>
        <w:t xml:space="preserve">3. </w:t>
      </w:r>
      <w:r w:rsidRPr="00C43666">
        <w:rPr>
          <w:rFonts w:ascii="Times New Roman" w:eastAsia="Times New Roman" w:hAnsi="Times New Roman" w:cs="Times New Roman"/>
          <w:bCs w:val="0"/>
          <w:color w:val="auto"/>
          <w:sz w:val="24"/>
          <w:szCs w:val="24"/>
          <w:u w:val="single"/>
        </w:rPr>
        <w:t>Use of Improved Information Technology</w:t>
      </w:r>
      <w:bookmarkEnd w:id="3"/>
      <w:bookmarkEnd w:id="4"/>
      <w:bookmarkEnd w:id="5"/>
    </w:p>
    <w:p w:rsidR="00A63B83" w:rsidRPr="00C43666" w:rsidP="00D027EA" w14:paraId="73B4B3C2" w14:textId="77777777">
      <w:pPr>
        <w:tabs>
          <w:tab w:val="left" w:pos="360"/>
        </w:tabs>
        <w:rPr>
          <w:sz w:val="24"/>
          <w:szCs w:val="24"/>
        </w:rPr>
      </w:pPr>
    </w:p>
    <w:p w:rsidR="00D027EA" w:rsidP="00D027EA" w14:paraId="071A2ED7" w14:textId="62300911">
      <w:pPr>
        <w:tabs>
          <w:tab w:val="left" w:pos="360"/>
        </w:tabs>
        <w:rPr>
          <w:sz w:val="24"/>
          <w:szCs w:val="24"/>
        </w:rPr>
      </w:pPr>
      <w:r w:rsidRPr="00A17D28">
        <w:rPr>
          <w:sz w:val="24"/>
          <w:szCs w:val="24"/>
        </w:rPr>
        <w:t>As in previous panels of the MEPS-HC, a CAPI instrument will be used</w:t>
      </w:r>
      <w:r>
        <w:rPr>
          <w:sz w:val="24"/>
          <w:szCs w:val="24"/>
        </w:rPr>
        <w:t xml:space="preserve"> </w:t>
      </w:r>
      <w:r w:rsidR="00551BDA">
        <w:rPr>
          <w:sz w:val="24"/>
          <w:szCs w:val="24"/>
        </w:rPr>
        <w:t xml:space="preserve">as the primary mode </w:t>
      </w:r>
      <w:r>
        <w:rPr>
          <w:sz w:val="24"/>
          <w:szCs w:val="24"/>
        </w:rPr>
        <w:t>for the core MEPS interview</w:t>
      </w:r>
      <w:r w:rsidRPr="00A17D28">
        <w:rPr>
          <w:sz w:val="24"/>
          <w:szCs w:val="24"/>
        </w:rPr>
        <w:t xml:space="preserve">. Beginning in 2018, a new, modernized CAPI instrument was used for data collection. Programmed in Version 4.8 of Blaise commercial off the shelf (COTS), the new </w:t>
      </w:r>
      <w:r w:rsidRPr="00A17D28">
        <w:rPr>
          <w:sz w:val="24"/>
          <w:szCs w:val="24"/>
        </w:rPr>
        <w:t>instrument is designed to streamline administration of the CAPI interview, simplify the response task for both the respondent and interviewer, and increase respondent reporting while maintaining or reducing costs</w:t>
      </w:r>
      <w:r w:rsidR="00551BDA">
        <w:rPr>
          <w:sz w:val="24"/>
          <w:szCs w:val="24"/>
        </w:rPr>
        <w:t>.</w:t>
      </w:r>
    </w:p>
    <w:p w:rsidR="00E12E46" w:rsidP="00D027EA" w14:paraId="44BB5FB9" w14:textId="4372A8C5">
      <w:pPr>
        <w:tabs>
          <w:tab w:val="left" w:pos="360"/>
        </w:tabs>
        <w:rPr>
          <w:sz w:val="24"/>
          <w:szCs w:val="24"/>
        </w:rPr>
      </w:pPr>
    </w:p>
    <w:p w:rsidR="00E12E46" w:rsidP="00D027EA" w14:paraId="20C153ED" w14:textId="3BEAB8A1">
      <w:pPr>
        <w:tabs>
          <w:tab w:val="left" w:pos="360"/>
        </w:tabs>
        <w:rPr>
          <w:sz w:val="24"/>
          <w:szCs w:val="24"/>
        </w:rPr>
      </w:pPr>
      <w:r>
        <w:rPr>
          <w:sz w:val="24"/>
          <w:szCs w:val="24"/>
        </w:rPr>
        <w:t xml:space="preserve">Additionally, the use of Computer Assisted Virtual Interviewing (CAVI) has recently been offered to MEPS respondents who have COVID-19 concerns.  Depending on COVID-19 circumstances, expanded use of CAVI interviewing may be implemented.  </w:t>
      </w:r>
    </w:p>
    <w:p w:rsidR="00844F78" w:rsidP="00D027EA" w14:paraId="4AA5CA28" w14:textId="55494BC1">
      <w:pPr>
        <w:tabs>
          <w:tab w:val="left" w:pos="360"/>
        </w:tabs>
        <w:rPr>
          <w:sz w:val="24"/>
          <w:szCs w:val="24"/>
        </w:rPr>
      </w:pPr>
    </w:p>
    <w:p w:rsidR="00A63B83" w:rsidRPr="009902DB" w:rsidP="00A63B83" w14:paraId="12839F09" w14:textId="77777777">
      <w:pPr>
        <w:pStyle w:val="Heading2"/>
        <w:rPr>
          <w:rFonts w:ascii="Times New Roman" w:eastAsia="Times New Roman" w:hAnsi="Times New Roman" w:cs="Times New Roman"/>
          <w:bCs w:val="0"/>
          <w:color w:val="auto"/>
          <w:sz w:val="24"/>
          <w:szCs w:val="24"/>
        </w:rPr>
      </w:pPr>
      <w:bookmarkStart w:id="6" w:name="_Toc151782179"/>
      <w:bookmarkStart w:id="7" w:name="_Toc158526219"/>
      <w:bookmarkStart w:id="8" w:name="_Toc290559157"/>
      <w:r w:rsidRPr="00425494">
        <w:rPr>
          <w:rFonts w:ascii="Times New Roman" w:eastAsia="Times New Roman" w:hAnsi="Times New Roman" w:cs="Times New Roman"/>
          <w:bCs w:val="0"/>
          <w:color w:val="auto"/>
          <w:sz w:val="24"/>
          <w:szCs w:val="24"/>
        </w:rPr>
        <w:t xml:space="preserve">4. </w:t>
      </w:r>
      <w:r w:rsidRPr="00425494">
        <w:rPr>
          <w:rFonts w:ascii="Times New Roman" w:eastAsia="Times New Roman" w:hAnsi="Times New Roman" w:cs="Times New Roman"/>
          <w:bCs w:val="0"/>
          <w:color w:val="auto"/>
          <w:sz w:val="24"/>
          <w:szCs w:val="24"/>
          <w:u w:val="single"/>
        </w:rPr>
        <w:t>Efforts to Identify Duplication</w:t>
      </w:r>
      <w:bookmarkEnd w:id="6"/>
      <w:bookmarkEnd w:id="7"/>
      <w:bookmarkEnd w:id="8"/>
    </w:p>
    <w:p w:rsidR="00A63B83" w:rsidP="00D027EA" w14:paraId="5E78E732" w14:textId="77777777">
      <w:pPr>
        <w:tabs>
          <w:tab w:val="left" w:pos="360"/>
        </w:tabs>
        <w:rPr>
          <w:sz w:val="24"/>
          <w:szCs w:val="24"/>
        </w:rPr>
      </w:pPr>
    </w:p>
    <w:p w:rsidR="00073430" w:rsidP="00073430" w14:paraId="5F4A5B94" w14:textId="04D99B19">
      <w:pPr>
        <w:rPr>
          <w:color w:val="221E1F"/>
          <w:sz w:val="24"/>
          <w:szCs w:val="24"/>
        </w:rPr>
      </w:pPr>
      <w:r w:rsidRPr="00E55E4B">
        <w:rPr>
          <w:sz w:val="24"/>
          <w:szCs w:val="24"/>
        </w:rPr>
        <w:t xml:space="preserve">There is no other survey that is now or has been recently conducted that meet </w:t>
      </w:r>
      <w:r w:rsidRPr="00E55E4B">
        <w:rPr>
          <w:sz w:val="24"/>
          <w:szCs w:val="24"/>
        </w:rPr>
        <w:t>all of</w:t>
      </w:r>
      <w:r w:rsidRPr="00E55E4B">
        <w:rPr>
          <w:sz w:val="24"/>
          <w:szCs w:val="24"/>
        </w:rPr>
        <w:t xml:space="preserve"> the objectives of the MEPS.  </w:t>
      </w:r>
      <w:r w:rsidRPr="00F76AD1">
        <w:rPr>
          <w:sz w:val="24"/>
          <w:szCs w:val="24"/>
        </w:rPr>
        <w:t>Collecting data related to COVID-19 is new</w:t>
      </w:r>
      <w:r w:rsidRPr="00F76AD1" w:rsidR="004055D5">
        <w:rPr>
          <w:sz w:val="24"/>
          <w:szCs w:val="24"/>
        </w:rPr>
        <w:t xml:space="preserve"> due to the</w:t>
      </w:r>
      <w:r w:rsidR="005A2690">
        <w:rPr>
          <w:sz w:val="24"/>
          <w:szCs w:val="24"/>
        </w:rPr>
        <w:t xml:space="preserve"> COVID-19</w:t>
      </w:r>
      <w:r w:rsidRPr="00F76AD1" w:rsidR="004055D5">
        <w:rPr>
          <w:sz w:val="24"/>
          <w:szCs w:val="24"/>
        </w:rPr>
        <w:t xml:space="preserve"> pandemic.</w:t>
      </w:r>
    </w:p>
    <w:p w:rsidR="00073430" w:rsidP="00D027EA" w14:paraId="42A8249E" w14:textId="77777777">
      <w:pPr>
        <w:tabs>
          <w:tab w:val="left" w:pos="360"/>
        </w:tabs>
        <w:rPr>
          <w:sz w:val="24"/>
          <w:szCs w:val="24"/>
        </w:rPr>
      </w:pPr>
    </w:p>
    <w:p w:rsidR="00A63B83" w:rsidP="00D027EA" w14:paraId="479191CC" w14:textId="77777777">
      <w:pPr>
        <w:tabs>
          <w:tab w:val="left" w:pos="360"/>
        </w:tabs>
        <w:rPr>
          <w:b/>
          <w:sz w:val="24"/>
          <w:szCs w:val="24"/>
        </w:rPr>
      </w:pPr>
      <w:bookmarkStart w:id="9" w:name="_Toc151782180"/>
      <w:bookmarkStart w:id="10" w:name="_Toc158526220"/>
      <w:r w:rsidRPr="00A63B83">
        <w:rPr>
          <w:b/>
          <w:sz w:val="24"/>
          <w:szCs w:val="24"/>
        </w:rPr>
        <w:t xml:space="preserve">5. </w:t>
      </w:r>
      <w:r w:rsidRPr="00425494" w:rsidR="00425494">
        <w:rPr>
          <w:b/>
          <w:sz w:val="24"/>
          <w:szCs w:val="24"/>
          <w:u w:val="single"/>
        </w:rPr>
        <w:t>Involvement of Small Entities</w:t>
      </w:r>
      <w:bookmarkEnd w:id="9"/>
      <w:bookmarkEnd w:id="10"/>
    </w:p>
    <w:p w:rsidR="00A63B83" w:rsidP="00D027EA" w14:paraId="36931521" w14:textId="77777777">
      <w:pPr>
        <w:tabs>
          <w:tab w:val="left" w:pos="360"/>
        </w:tabs>
        <w:rPr>
          <w:b/>
          <w:sz w:val="24"/>
          <w:szCs w:val="24"/>
        </w:rPr>
      </w:pPr>
    </w:p>
    <w:p w:rsidR="00A63B83" w:rsidRPr="00A63B83" w:rsidP="00D027EA" w14:paraId="439E5A8B" w14:textId="77777777">
      <w:pPr>
        <w:tabs>
          <w:tab w:val="left" w:pos="360"/>
        </w:tabs>
        <w:rPr>
          <w:sz w:val="24"/>
          <w:szCs w:val="24"/>
        </w:rPr>
      </w:pPr>
      <w:r w:rsidRPr="00420A8F">
        <w:rPr>
          <w:sz w:val="24"/>
          <w:szCs w:val="24"/>
        </w:rPr>
        <w:t xml:space="preserve">The MEPS-HC collects information only from households. </w:t>
      </w:r>
    </w:p>
    <w:p w:rsidR="002D262B" w:rsidP="002D262B" w14:paraId="2D04723F" w14:textId="77777777">
      <w:pPr>
        <w:pStyle w:val="Heading2"/>
        <w:rPr>
          <w:color w:val="auto"/>
          <w:sz w:val="24"/>
          <w:szCs w:val="24"/>
          <w:u w:val="single"/>
        </w:rPr>
      </w:pPr>
      <w:bookmarkStart w:id="11" w:name="_Toc290559158"/>
      <w:r>
        <w:rPr>
          <w:color w:val="auto"/>
          <w:sz w:val="24"/>
          <w:szCs w:val="24"/>
        </w:rPr>
        <w:t>6</w:t>
      </w:r>
      <w:r w:rsidRPr="008C5826" w:rsidR="0057087C">
        <w:rPr>
          <w:color w:val="auto"/>
          <w:sz w:val="24"/>
          <w:szCs w:val="24"/>
        </w:rPr>
        <w:t xml:space="preserve">.  </w:t>
      </w:r>
      <w:r w:rsidRPr="008C5826">
        <w:rPr>
          <w:color w:val="auto"/>
          <w:sz w:val="24"/>
          <w:szCs w:val="24"/>
          <w:u w:val="single"/>
        </w:rPr>
        <w:t xml:space="preserve">Consequences </w:t>
      </w:r>
      <w:r w:rsidRPr="001936AB">
        <w:rPr>
          <w:color w:val="auto"/>
          <w:sz w:val="24"/>
          <w:szCs w:val="24"/>
          <w:u w:val="single"/>
        </w:rPr>
        <w:t>if Information Collected Less Frequently</w:t>
      </w:r>
      <w:bookmarkEnd w:id="11"/>
    </w:p>
    <w:p w:rsidR="00073430" w:rsidP="004B22BA" w14:paraId="1E9F9602" w14:textId="77777777"/>
    <w:p w:rsidR="00073430" w:rsidRPr="001F0F9D" w:rsidP="00073430" w14:paraId="6B4A8A43" w14:textId="383B512B">
      <w:pPr>
        <w:rPr>
          <w:sz w:val="24"/>
          <w:szCs w:val="24"/>
        </w:rPr>
      </w:pPr>
      <w:r w:rsidRPr="00F76AD1">
        <w:rPr>
          <w:bCs/>
          <w:sz w:val="24"/>
          <w:szCs w:val="24"/>
        </w:rPr>
        <w:t xml:space="preserve">The CAPI questions on COVID-19 will become part of the core MEPS interview that is administered with all panels and rounds beginning with </w:t>
      </w:r>
      <w:r w:rsidR="00325341">
        <w:rPr>
          <w:bCs/>
          <w:sz w:val="24"/>
          <w:szCs w:val="24"/>
        </w:rPr>
        <w:t>Panel 24 Round 9</w:t>
      </w:r>
      <w:r w:rsidRPr="00F76AD1">
        <w:rPr>
          <w:bCs/>
          <w:sz w:val="24"/>
          <w:szCs w:val="24"/>
        </w:rPr>
        <w:t xml:space="preserve">, and </w:t>
      </w:r>
      <w:r w:rsidR="00325341">
        <w:rPr>
          <w:bCs/>
          <w:sz w:val="24"/>
          <w:szCs w:val="24"/>
        </w:rPr>
        <w:t>Panel 26 Round 5, Panel 27 Round 3, and Panel 28 Round 1 in January 2023</w:t>
      </w:r>
      <w:r w:rsidRPr="00F76AD1">
        <w:rPr>
          <w:bCs/>
          <w:sz w:val="24"/>
          <w:szCs w:val="24"/>
        </w:rPr>
        <w:t>.</w:t>
      </w:r>
      <w:r w:rsidRPr="00E63DAD">
        <w:rPr>
          <w:bCs/>
          <w:sz w:val="24"/>
          <w:szCs w:val="24"/>
        </w:rPr>
        <w:t xml:space="preserve">  </w:t>
      </w:r>
    </w:p>
    <w:p w:rsidR="002D262B" w:rsidRPr="00CB177A" w:rsidP="002D262B" w14:paraId="25A72DBE" w14:textId="77777777">
      <w:pPr>
        <w:rPr>
          <w:sz w:val="24"/>
          <w:szCs w:val="24"/>
        </w:rPr>
      </w:pPr>
    </w:p>
    <w:p w:rsidR="002D262B" w:rsidRPr="008C5826" w:rsidP="002D262B" w14:paraId="2917A322" w14:textId="77777777">
      <w:pPr>
        <w:pStyle w:val="Heading2"/>
        <w:rPr>
          <w:color w:val="auto"/>
          <w:sz w:val="24"/>
          <w:szCs w:val="24"/>
        </w:rPr>
      </w:pPr>
      <w:bookmarkStart w:id="12" w:name="_Toc290559159"/>
      <w:r>
        <w:rPr>
          <w:color w:val="auto"/>
          <w:sz w:val="24"/>
          <w:szCs w:val="24"/>
        </w:rPr>
        <w:t>7</w:t>
      </w:r>
      <w:r w:rsidRPr="008C5826" w:rsidR="0057087C">
        <w:rPr>
          <w:color w:val="auto"/>
          <w:sz w:val="24"/>
          <w:szCs w:val="24"/>
        </w:rPr>
        <w:t xml:space="preserve">.  </w:t>
      </w:r>
      <w:r w:rsidRPr="001936AB">
        <w:rPr>
          <w:color w:val="auto"/>
          <w:sz w:val="24"/>
          <w:szCs w:val="24"/>
          <w:u w:val="single"/>
        </w:rPr>
        <w:t>Special Circumstances</w:t>
      </w:r>
      <w:bookmarkEnd w:id="12"/>
    </w:p>
    <w:p w:rsidR="002D262B" w:rsidRPr="00CB177A" w:rsidP="002D262B" w14:paraId="0ADA1F74" w14:textId="77777777">
      <w:pPr>
        <w:rPr>
          <w:sz w:val="24"/>
          <w:szCs w:val="24"/>
        </w:rPr>
      </w:pPr>
    </w:p>
    <w:p w:rsidR="002D262B" w:rsidP="002D262B" w14:paraId="6CF55F48" w14:textId="1EACE66C">
      <w:pPr>
        <w:rPr>
          <w:sz w:val="24"/>
          <w:szCs w:val="24"/>
        </w:rPr>
      </w:pPr>
      <w:r w:rsidRPr="00A17D28">
        <w:rPr>
          <w:sz w:val="24"/>
          <w:szCs w:val="24"/>
        </w:rPr>
        <w:t>Aside from offering compensation to respondents, the MEPS-HC will fully comply with 5 CFR 1320.6.</w:t>
      </w:r>
    </w:p>
    <w:p w:rsidR="009167C4" w:rsidP="002D262B" w14:paraId="1C554B90" w14:textId="77777777">
      <w:pPr>
        <w:rPr>
          <w:sz w:val="24"/>
          <w:szCs w:val="24"/>
        </w:rPr>
      </w:pPr>
    </w:p>
    <w:p w:rsidR="009167C4" w:rsidRPr="009167C4" w:rsidP="009167C4" w14:paraId="0F409747" w14:textId="77777777">
      <w:pPr>
        <w:rPr>
          <w:b/>
          <w:bCs/>
          <w:i/>
          <w:iCs/>
          <w:sz w:val="24"/>
          <w:szCs w:val="24"/>
        </w:rPr>
      </w:pPr>
      <w:bookmarkStart w:id="13" w:name="_Toc151782183"/>
      <w:bookmarkStart w:id="14" w:name="_Toc158526223"/>
      <w:r w:rsidRPr="009167C4">
        <w:rPr>
          <w:b/>
          <w:bCs/>
          <w:i/>
          <w:iCs/>
          <w:sz w:val="24"/>
          <w:szCs w:val="24"/>
        </w:rPr>
        <w:t xml:space="preserve">8. </w:t>
      </w:r>
      <w:bookmarkEnd w:id="13"/>
      <w:bookmarkEnd w:id="14"/>
      <w:r w:rsidRPr="00425494" w:rsidR="00425494">
        <w:rPr>
          <w:b/>
          <w:bCs/>
          <w:i/>
          <w:iCs/>
          <w:sz w:val="24"/>
          <w:szCs w:val="24"/>
          <w:u w:val="single"/>
        </w:rPr>
        <w:t>Federal Register Notice and Outside Consultations</w:t>
      </w:r>
    </w:p>
    <w:p w:rsidR="009167C4" w:rsidRPr="009167C4" w:rsidP="009167C4" w14:paraId="3BF8289B" w14:textId="77777777">
      <w:pPr>
        <w:rPr>
          <w:sz w:val="24"/>
          <w:szCs w:val="24"/>
        </w:rPr>
      </w:pPr>
    </w:p>
    <w:p w:rsidR="009167C4" w:rsidP="009167C4" w14:paraId="3A3A836C" w14:textId="77777777">
      <w:pPr>
        <w:rPr>
          <w:b/>
          <w:bCs/>
          <w:i/>
          <w:iCs/>
          <w:sz w:val="24"/>
          <w:szCs w:val="24"/>
        </w:rPr>
      </w:pPr>
      <w:r w:rsidRPr="009167C4">
        <w:rPr>
          <w:b/>
          <w:i/>
          <w:sz w:val="24"/>
          <w:szCs w:val="24"/>
        </w:rPr>
        <w:t>8.a.</w:t>
      </w:r>
      <w:r w:rsidRPr="009167C4">
        <w:rPr>
          <w:sz w:val="24"/>
          <w:szCs w:val="24"/>
        </w:rPr>
        <w:t xml:space="preserve"> </w:t>
      </w:r>
      <w:r w:rsidRPr="009167C4">
        <w:rPr>
          <w:b/>
          <w:bCs/>
          <w:i/>
          <w:iCs/>
          <w:sz w:val="24"/>
          <w:szCs w:val="24"/>
        </w:rPr>
        <w:t>Federal Register Notice</w:t>
      </w:r>
    </w:p>
    <w:p w:rsidR="00DA394A" w:rsidP="009167C4" w14:paraId="71D09A27" w14:textId="77777777">
      <w:pPr>
        <w:rPr>
          <w:b/>
          <w:bCs/>
          <w:i/>
          <w:iCs/>
          <w:sz w:val="24"/>
          <w:szCs w:val="24"/>
        </w:rPr>
      </w:pPr>
    </w:p>
    <w:p w:rsidR="0043762C" w:rsidP="004F7754" w14:paraId="7E429580" w14:textId="42822057">
      <w:pPr>
        <w:rPr>
          <w:bCs/>
          <w:iCs/>
          <w:sz w:val="24"/>
          <w:szCs w:val="24"/>
        </w:rPr>
      </w:pPr>
      <w:r w:rsidRPr="0037574D">
        <w:rPr>
          <w:sz w:val="24"/>
          <w:szCs w:val="24"/>
        </w:rPr>
        <w:t>A 60-day Federal Register Notice was published in the Federal Register on J</w:t>
      </w:r>
      <w:r>
        <w:rPr>
          <w:sz w:val="24"/>
          <w:szCs w:val="24"/>
        </w:rPr>
        <w:t>uly</w:t>
      </w:r>
      <w:r w:rsidRPr="0037574D">
        <w:rPr>
          <w:sz w:val="24"/>
          <w:szCs w:val="24"/>
        </w:rPr>
        <w:t xml:space="preserve"> </w:t>
      </w:r>
      <w:r>
        <w:rPr>
          <w:sz w:val="24"/>
          <w:szCs w:val="24"/>
        </w:rPr>
        <w:t>11</w:t>
      </w:r>
      <w:r w:rsidRPr="0037574D">
        <w:rPr>
          <w:sz w:val="24"/>
          <w:szCs w:val="24"/>
        </w:rPr>
        <w:t>, 20</w:t>
      </w:r>
      <w:r>
        <w:rPr>
          <w:sz w:val="24"/>
          <w:szCs w:val="24"/>
        </w:rPr>
        <w:t>22</w:t>
      </w:r>
      <w:r w:rsidRPr="0037574D">
        <w:rPr>
          <w:sz w:val="24"/>
          <w:szCs w:val="24"/>
        </w:rPr>
        <w:t xml:space="preserve">, vol. </w:t>
      </w:r>
      <w:r>
        <w:rPr>
          <w:sz w:val="24"/>
          <w:szCs w:val="24"/>
        </w:rPr>
        <w:t>8</w:t>
      </w:r>
      <w:r w:rsidRPr="0037574D">
        <w:rPr>
          <w:sz w:val="24"/>
          <w:szCs w:val="24"/>
        </w:rPr>
        <w:t xml:space="preserve">7, No. </w:t>
      </w:r>
      <w:r w:rsidR="002F2DD9">
        <w:rPr>
          <w:sz w:val="24"/>
          <w:szCs w:val="24"/>
        </w:rPr>
        <w:t>131</w:t>
      </w:r>
      <w:r w:rsidRPr="0037574D">
        <w:rPr>
          <w:sz w:val="24"/>
          <w:szCs w:val="24"/>
        </w:rPr>
        <w:t xml:space="preserve"> </w:t>
      </w:r>
      <w:r>
        <w:rPr>
          <w:sz w:val="24"/>
          <w:szCs w:val="24"/>
        </w:rPr>
        <w:t>Page</w:t>
      </w:r>
      <w:r w:rsidRPr="0037574D">
        <w:rPr>
          <w:sz w:val="24"/>
          <w:szCs w:val="24"/>
        </w:rPr>
        <w:t xml:space="preserve"> </w:t>
      </w:r>
      <w:r>
        <w:rPr>
          <w:sz w:val="24"/>
          <w:szCs w:val="24"/>
        </w:rPr>
        <w:t>41126</w:t>
      </w:r>
      <w:r w:rsidRPr="0037574D">
        <w:rPr>
          <w:sz w:val="24"/>
          <w:szCs w:val="24"/>
        </w:rPr>
        <w:t xml:space="preserve"> (see </w:t>
      </w:r>
      <w:r>
        <w:rPr>
          <w:sz w:val="24"/>
          <w:szCs w:val="24"/>
        </w:rPr>
        <w:t>A</w:t>
      </w:r>
      <w:r w:rsidRPr="0037574D">
        <w:rPr>
          <w:sz w:val="24"/>
          <w:szCs w:val="24"/>
        </w:rPr>
        <w:t xml:space="preserve">ttachment </w:t>
      </w:r>
      <w:r>
        <w:rPr>
          <w:sz w:val="24"/>
          <w:szCs w:val="24"/>
        </w:rPr>
        <w:t>C</w:t>
      </w:r>
      <w:r w:rsidRPr="0037574D">
        <w:rPr>
          <w:sz w:val="24"/>
          <w:szCs w:val="24"/>
        </w:rPr>
        <w:t>). There were no public comments.</w:t>
      </w:r>
      <w:r w:rsidR="004F7754">
        <w:rPr>
          <w:sz w:val="24"/>
          <w:szCs w:val="24"/>
        </w:rPr>
        <w:t xml:space="preserve"> </w:t>
      </w:r>
      <w:r w:rsidRPr="00613676" w:rsidR="004F7754">
        <w:rPr>
          <w:bCs/>
          <w:iCs/>
          <w:sz w:val="24"/>
          <w:szCs w:val="24"/>
        </w:rPr>
        <w:t xml:space="preserve">AHRQ received </w:t>
      </w:r>
      <w:r w:rsidR="004F7754">
        <w:rPr>
          <w:bCs/>
          <w:iCs/>
          <w:sz w:val="24"/>
          <w:szCs w:val="24"/>
        </w:rPr>
        <w:t>one comment from</w:t>
      </w:r>
      <w:r w:rsidR="004F7754">
        <w:rPr>
          <w:bCs/>
          <w:iCs/>
          <w:sz w:val="24"/>
          <w:szCs w:val="24"/>
        </w:rPr>
        <w:t xml:space="preserve"> </w:t>
      </w:r>
      <w:bookmarkStart w:id="15" w:name="_Hlk115096806"/>
      <w:r w:rsidRPr="00613676" w:rsidR="004F7754">
        <w:rPr>
          <w:bCs/>
          <w:iCs/>
          <w:sz w:val="24"/>
          <w:szCs w:val="24"/>
        </w:rPr>
        <w:t xml:space="preserve">The Bureau of Economic Analysis (BEA) </w:t>
      </w:r>
      <w:r w:rsidR="004F7754">
        <w:rPr>
          <w:bCs/>
          <w:iCs/>
          <w:sz w:val="24"/>
          <w:szCs w:val="24"/>
        </w:rPr>
        <w:t xml:space="preserve">in strong support </w:t>
      </w:r>
      <w:r w:rsidR="004F7754">
        <w:rPr>
          <w:bCs/>
          <w:iCs/>
          <w:sz w:val="24"/>
          <w:szCs w:val="24"/>
        </w:rPr>
        <w:t>o</w:t>
      </w:r>
      <w:r w:rsidR="004F7754">
        <w:rPr>
          <w:bCs/>
          <w:iCs/>
          <w:sz w:val="24"/>
          <w:szCs w:val="24"/>
        </w:rPr>
        <w:t>f the questions for this proposed data collection</w:t>
      </w:r>
      <w:r w:rsidR="004F7754">
        <w:rPr>
          <w:bCs/>
          <w:iCs/>
          <w:sz w:val="24"/>
          <w:szCs w:val="24"/>
        </w:rPr>
        <w:t xml:space="preserve"> (see Attachment D)</w:t>
      </w:r>
      <w:r w:rsidR="004F7754">
        <w:rPr>
          <w:bCs/>
          <w:iCs/>
          <w:sz w:val="24"/>
          <w:szCs w:val="24"/>
        </w:rPr>
        <w:t>.</w:t>
      </w:r>
      <w:r w:rsidRPr="00613676" w:rsidR="004F7754">
        <w:rPr>
          <w:bCs/>
          <w:iCs/>
          <w:sz w:val="24"/>
          <w:szCs w:val="24"/>
        </w:rPr>
        <w:t xml:space="preserve">  </w:t>
      </w:r>
      <w:bookmarkEnd w:id="15"/>
    </w:p>
    <w:p w:rsidR="004F7754" w:rsidP="004F7754" w14:paraId="4F4478E3" w14:textId="77777777">
      <w:pPr>
        <w:rPr>
          <w:sz w:val="24"/>
          <w:szCs w:val="24"/>
        </w:rPr>
      </w:pPr>
    </w:p>
    <w:p w:rsidR="009167C4" w:rsidP="009167C4" w14:paraId="00E7790E" w14:textId="77777777">
      <w:pPr>
        <w:rPr>
          <w:b/>
          <w:bCs/>
          <w:i/>
          <w:iCs/>
          <w:sz w:val="24"/>
          <w:szCs w:val="24"/>
        </w:rPr>
      </w:pPr>
      <w:r w:rsidRPr="009167C4">
        <w:rPr>
          <w:b/>
          <w:bCs/>
          <w:i/>
          <w:iCs/>
          <w:sz w:val="24"/>
          <w:szCs w:val="24"/>
        </w:rPr>
        <w:t>8.b.  Outside Consultations</w:t>
      </w:r>
    </w:p>
    <w:p w:rsidR="009902DB" w:rsidP="009167C4" w14:paraId="4B1BB25A" w14:textId="77777777">
      <w:pPr>
        <w:rPr>
          <w:b/>
          <w:bCs/>
          <w:i/>
          <w:iCs/>
          <w:sz w:val="24"/>
          <w:szCs w:val="24"/>
        </w:rPr>
      </w:pPr>
    </w:p>
    <w:p w:rsidR="00A17D28" w:rsidP="00A17D28" w14:paraId="4D133D20" w14:textId="00AC1BCA">
      <w:pPr>
        <w:rPr>
          <w:sz w:val="28"/>
          <w:szCs w:val="24"/>
        </w:rPr>
      </w:pPr>
      <w:bookmarkStart w:id="16" w:name="_Toc290559160"/>
      <w:r w:rsidRPr="00A17D28">
        <w:rPr>
          <w:sz w:val="28"/>
          <w:szCs w:val="24"/>
        </w:rPr>
        <w:t>Individuals or groups outside the Agency consulted about the MEPS project over the last several years are listed below:</w:t>
      </w:r>
    </w:p>
    <w:p w:rsidR="00A17D28" w:rsidRPr="00A17D28" w:rsidP="00A17D28" w14:paraId="65B2B38D" w14:textId="77777777">
      <w:pPr>
        <w:rPr>
          <w:sz w:val="22"/>
        </w:rPr>
      </w:pPr>
    </w:p>
    <w:p w:rsidR="00A17D28" w:rsidRPr="00A17D28" w:rsidP="00A17D28" w14:paraId="761CC5EB" w14:textId="77777777">
      <w:pPr>
        <w:rPr>
          <w:b/>
          <w:sz w:val="22"/>
        </w:rPr>
      </w:pPr>
      <w:r w:rsidRPr="00A17D28">
        <w:rPr>
          <w:b/>
          <w:sz w:val="22"/>
        </w:rPr>
        <w:t>Table 1.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5647"/>
      </w:tblGrid>
      <w:tr w14:paraId="6E2384CE" w14:textId="77777777" w:rsidTr="00A17D2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30" w:type="dxa"/>
            <w:tcBorders>
              <w:top w:val="single" w:sz="4" w:space="0" w:color="auto"/>
              <w:left w:val="single" w:sz="4" w:space="0" w:color="auto"/>
              <w:bottom w:val="single" w:sz="4" w:space="0" w:color="auto"/>
              <w:right w:val="single" w:sz="4" w:space="0" w:color="auto"/>
            </w:tcBorders>
            <w:hideMark/>
          </w:tcPr>
          <w:p w:rsidR="00A17D28" w:rsidRPr="00A17D28" w14:paraId="48E1CBA5" w14:textId="77777777">
            <w:pPr>
              <w:rPr>
                <w:b/>
                <w:sz w:val="24"/>
                <w:szCs w:val="22"/>
              </w:rPr>
            </w:pPr>
            <w:r w:rsidRPr="00A17D28">
              <w:rPr>
                <w:b/>
                <w:sz w:val="24"/>
                <w:szCs w:val="22"/>
              </w:rPr>
              <w:t>Name</w:t>
            </w:r>
          </w:p>
        </w:tc>
        <w:tc>
          <w:tcPr>
            <w:tcW w:w="5647" w:type="dxa"/>
            <w:tcBorders>
              <w:top w:val="single" w:sz="4" w:space="0" w:color="auto"/>
              <w:left w:val="single" w:sz="4" w:space="0" w:color="auto"/>
              <w:bottom w:val="single" w:sz="4" w:space="0" w:color="auto"/>
              <w:right w:val="single" w:sz="4" w:space="0" w:color="auto"/>
            </w:tcBorders>
            <w:hideMark/>
          </w:tcPr>
          <w:p w:rsidR="00A17D28" w:rsidRPr="00A17D28" w14:paraId="194E5BC6" w14:textId="77777777">
            <w:pPr>
              <w:rPr>
                <w:b/>
                <w:sz w:val="24"/>
                <w:szCs w:val="22"/>
              </w:rPr>
            </w:pPr>
            <w:r w:rsidRPr="00A17D28">
              <w:rPr>
                <w:b/>
                <w:sz w:val="24"/>
                <w:szCs w:val="22"/>
              </w:rPr>
              <w:t>Affiliation</w:t>
            </w:r>
          </w:p>
        </w:tc>
      </w:tr>
      <w:tr w14:paraId="64FC3021" w14:textId="77777777" w:rsidTr="00A17D28">
        <w:tblPrEx>
          <w:tblW w:w="0" w:type="auto"/>
          <w:tblInd w:w="108" w:type="dxa"/>
          <w:tblLook w:val="04A0"/>
        </w:tblPrEx>
        <w:tc>
          <w:tcPr>
            <w:tcW w:w="3330" w:type="dxa"/>
            <w:tcBorders>
              <w:top w:val="single" w:sz="4" w:space="0" w:color="auto"/>
              <w:left w:val="single" w:sz="4" w:space="0" w:color="auto"/>
              <w:bottom w:val="single" w:sz="4" w:space="0" w:color="auto"/>
              <w:right w:val="single" w:sz="4" w:space="0" w:color="auto"/>
            </w:tcBorders>
            <w:hideMark/>
          </w:tcPr>
          <w:p w:rsidR="00A17D28" w:rsidRPr="00A17D28" w14:paraId="63AAD6C8" w14:textId="77777777">
            <w:pPr>
              <w:rPr>
                <w:sz w:val="24"/>
                <w:szCs w:val="22"/>
              </w:rPr>
            </w:pPr>
            <w:r w:rsidRPr="00A17D28">
              <w:rPr>
                <w:sz w:val="24"/>
                <w:szCs w:val="22"/>
              </w:rPr>
              <w:t>Stephen Blumberg, Ph.D.</w:t>
            </w:r>
          </w:p>
        </w:tc>
        <w:tc>
          <w:tcPr>
            <w:tcW w:w="5647" w:type="dxa"/>
            <w:tcBorders>
              <w:top w:val="single" w:sz="4" w:space="0" w:color="auto"/>
              <w:left w:val="single" w:sz="4" w:space="0" w:color="auto"/>
              <w:bottom w:val="single" w:sz="4" w:space="0" w:color="auto"/>
              <w:right w:val="single" w:sz="4" w:space="0" w:color="auto"/>
            </w:tcBorders>
            <w:hideMark/>
          </w:tcPr>
          <w:p w:rsidR="00A17D28" w:rsidRPr="00A17D28" w14:paraId="2BFEB1EA" w14:textId="77777777">
            <w:pPr>
              <w:pStyle w:val="PlainText"/>
              <w:rPr>
                <w:szCs w:val="22"/>
              </w:rPr>
            </w:pPr>
            <w:r w:rsidRPr="00A17D28">
              <w:rPr>
                <w:szCs w:val="22"/>
              </w:rPr>
              <w:t>National Center for Health Statistics, Division of Health Interview Statistics</w:t>
            </w:r>
          </w:p>
        </w:tc>
      </w:tr>
      <w:tr w14:paraId="3AE295F4" w14:textId="77777777" w:rsidTr="00A17D28">
        <w:tblPrEx>
          <w:tblW w:w="0" w:type="auto"/>
          <w:tblInd w:w="108" w:type="dxa"/>
          <w:tblLook w:val="04A0"/>
        </w:tblPrEx>
        <w:tc>
          <w:tcPr>
            <w:tcW w:w="3330" w:type="dxa"/>
            <w:tcBorders>
              <w:top w:val="single" w:sz="4" w:space="0" w:color="auto"/>
              <w:left w:val="single" w:sz="4" w:space="0" w:color="auto"/>
              <w:bottom w:val="single" w:sz="4" w:space="0" w:color="auto"/>
              <w:right w:val="single" w:sz="4" w:space="0" w:color="auto"/>
            </w:tcBorders>
            <w:hideMark/>
          </w:tcPr>
          <w:p w:rsidR="00A17D28" w:rsidRPr="00A17D28" w14:paraId="39CF3ED3" w14:textId="77777777">
            <w:pPr>
              <w:rPr>
                <w:sz w:val="24"/>
                <w:szCs w:val="22"/>
              </w:rPr>
            </w:pPr>
            <w:r w:rsidRPr="00A17D28">
              <w:rPr>
                <w:sz w:val="24"/>
                <w:szCs w:val="22"/>
              </w:rPr>
              <w:t>J. Michael Brick, Ph.D.</w:t>
            </w:r>
          </w:p>
        </w:tc>
        <w:tc>
          <w:tcPr>
            <w:tcW w:w="5647" w:type="dxa"/>
            <w:tcBorders>
              <w:top w:val="single" w:sz="4" w:space="0" w:color="auto"/>
              <w:left w:val="single" w:sz="4" w:space="0" w:color="auto"/>
              <w:bottom w:val="single" w:sz="4" w:space="0" w:color="auto"/>
              <w:right w:val="single" w:sz="4" w:space="0" w:color="auto"/>
            </w:tcBorders>
            <w:hideMark/>
          </w:tcPr>
          <w:p w:rsidR="00A17D28" w:rsidRPr="00A17D28" w14:paraId="5EAA0083" w14:textId="77777777">
            <w:pPr>
              <w:pStyle w:val="PlainText"/>
              <w:rPr>
                <w:szCs w:val="22"/>
              </w:rPr>
            </w:pPr>
            <w:r w:rsidRPr="00A17D28">
              <w:rPr>
                <w:szCs w:val="22"/>
              </w:rPr>
              <w:t>Westat</w:t>
            </w:r>
          </w:p>
        </w:tc>
      </w:tr>
      <w:tr w14:paraId="60387C87" w14:textId="77777777" w:rsidTr="00A17D28">
        <w:tblPrEx>
          <w:tblW w:w="0" w:type="auto"/>
          <w:tblInd w:w="108" w:type="dxa"/>
          <w:tblLook w:val="04A0"/>
        </w:tblPrEx>
        <w:tc>
          <w:tcPr>
            <w:tcW w:w="3330" w:type="dxa"/>
            <w:tcBorders>
              <w:top w:val="single" w:sz="4" w:space="0" w:color="auto"/>
              <w:left w:val="single" w:sz="4" w:space="0" w:color="auto"/>
              <w:bottom w:val="single" w:sz="4" w:space="0" w:color="auto"/>
              <w:right w:val="single" w:sz="4" w:space="0" w:color="auto"/>
            </w:tcBorders>
            <w:hideMark/>
          </w:tcPr>
          <w:p w:rsidR="00A17D28" w:rsidRPr="00A17D28" w14:paraId="219F8EDB" w14:textId="77777777">
            <w:pPr>
              <w:pStyle w:val="PlainText"/>
              <w:rPr>
                <w:szCs w:val="22"/>
              </w:rPr>
            </w:pPr>
            <w:r w:rsidRPr="00A17D28">
              <w:rPr>
                <w:szCs w:val="22"/>
              </w:rPr>
              <w:t>Ralph DiGaetano, Ph.D.</w:t>
            </w:r>
          </w:p>
        </w:tc>
        <w:tc>
          <w:tcPr>
            <w:tcW w:w="5647" w:type="dxa"/>
            <w:tcBorders>
              <w:top w:val="single" w:sz="4" w:space="0" w:color="auto"/>
              <w:left w:val="single" w:sz="4" w:space="0" w:color="auto"/>
              <w:bottom w:val="single" w:sz="4" w:space="0" w:color="auto"/>
              <w:right w:val="single" w:sz="4" w:space="0" w:color="auto"/>
            </w:tcBorders>
            <w:hideMark/>
          </w:tcPr>
          <w:p w:rsidR="00A17D28" w:rsidRPr="00A17D28" w14:paraId="0138198A" w14:textId="77777777">
            <w:pPr>
              <w:pStyle w:val="PlainText"/>
              <w:rPr>
                <w:szCs w:val="22"/>
              </w:rPr>
            </w:pPr>
            <w:r w:rsidRPr="00A17D28">
              <w:rPr>
                <w:szCs w:val="22"/>
              </w:rPr>
              <w:t>Westat</w:t>
            </w:r>
          </w:p>
        </w:tc>
      </w:tr>
      <w:tr w14:paraId="621811CB" w14:textId="77777777" w:rsidTr="00A17D28">
        <w:tblPrEx>
          <w:tblW w:w="0" w:type="auto"/>
          <w:tblInd w:w="108" w:type="dxa"/>
          <w:tblLook w:val="04A0"/>
        </w:tblPrEx>
        <w:tc>
          <w:tcPr>
            <w:tcW w:w="3330" w:type="dxa"/>
            <w:tcBorders>
              <w:top w:val="single" w:sz="4" w:space="0" w:color="auto"/>
              <w:left w:val="single" w:sz="4" w:space="0" w:color="auto"/>
              <w:bottom w:val="single" w:sz="4" w:space="0" w:color="auto"/>
              <w:right w:val="single" w:sz="4" w:space="0" w:color="auto"/>
            </w:tcBorders>
            <w:hideMark/>
          </w:tcPr>
          <w:p w:rsidR="00A17D28" w:rsidRPr="00A17D28" w14:paraId="6AC13D2E" w14:textId="77777777">
            <w:pPr>
              <w:rPr>
                <w:sz w:val="24"/>
                <w:szCs w:val="22"/>
              </w:rPr>
            </w:pPr>
            <w:hyperlink r:id="rId5" w:tooltip="mailto:duffys@nida.nih.gov" w:history="1">
              <w:r w:rsidRPr="00A17D28">
                <w:rPr>
                  <w:rStyle w:val="Hyperlink"/>
                  <w:color w:val="000000"/>
                  <w:sz w:val="24"/>
                  <w:szCs w:val="22"/>
                  <w:u w:val="none"/>
                </w:rPr>
                <w:t>Ting</w:t>
              </w:r>
            </w:hyperlink>
            <w:r w:rsidRPr="00A17D28">
              <w:rPr>
                <w:sz w:val="24"/>
                <w:szCs w:val="22"/>
              </w:rPr>
              <w:t xml:space="preserve"> Yan, Ph.D.</w:t>
            </w:r>
          </w:p>
        </w:tc>
        <w:tc>
          <w:tcPr>
            <w:tcW w:w="5647" w:type="dxa"/>
            <w:tcBorders>
              <w:top w:val="single" w:sz="4" w:space="0" w:color="auto"/>
              <w:left w:val="single" w:sz="4" w:space="0" w:color="auto"/>
              <w:bottom w:val="single" w:sz="4" w:space="0" w:color="auto"/>
              <w:right w:val="single" w:sz="4" w:space="0" w:color="auto"/>
            </w:tcBorders>
            <w:hideMark/>
          </w:tcPr>
          <w:p w:rsidR="00A17D28" w:rsidRPr="00A17D28" w14:paraId="1255011B" w14:textId="77777777">
            <w:pPr>
              <w:rPr>
                <w:sz w:val="24"/>
                <w:szCs w:val="22"/>
              </w:rPr>
            </w:pPr>
            <w:r w:rsidRPr="00A17D28">
              <w:rPr>
                <w:sz w:val="24"/>
                <w:szCs w:val="22"/>
              </w:rPr>
              <w:t>Westat</w:t>
            </w:r>
          </w:p>
        </w:tc>
      </w:tr>
    </w:tbl>
    <w:p w:rsidR="002D262B" w:rsidRPr="00A17D28" w:rsidP="00A17D28" w14:paraId="7018AAB1" w14:textId="1CEAC160">
      <w:pPr>
        <w:pStyle w:val="Heading2"/>
        <w:rPr>
          <w:color w:val="auto"/>
          <w:sz w:val="24"/>
          <w:szCs w:val="24"/>
        </w:rPr>
      </w:pPr>
      <w:r>
        <w:rPr>
          <w:color w:val="auto"/>
          <w:sz w:val="24"/>
          <w:szCs w:val="24"/>
        </w:rPr>
        <w:t>9</w:t>
      </w:r>
      <w:r w:rsidRPr="002F0C82" w:rsidR="0057087C">
        <w:rPr>
          <w:color w:val="auto"/>
          <w:sz w:val="24"/>
          <w:szCs w:val="24"/>
        </w:rPr>
        <w:t xml:space="preserve">.  </w:t>
      </w:r>
      <w:r w:rsidRPr="002D262B">
        <w:rPr>
          <w:color w:val="auto"/>
          <w:sz w:val="24"/>
          <w:szCs w:val="24"/>
          <w:u w:val="single"/>
        </w:rPr>
        <w:t>Payments/Gifts to Respondents</w:t>
      </w:r>
      <w:bookmarkEnd w:id="16"/>
    </w:p>
    <w:p w:rsidR="00A17D28" w:rsidP="002D262B" w14:paraId="25468A4A" w14:textId="55E0B4E0">
      <w:pPr>
        <w:pStyle w:val="Heading2"/>
        <w:rPr>
          <w:rFonts w:ascii="Times New Roman" w:eastAsia="Times New Roman" w:hAnsi="Times New Roman" w:cs="Times New Roman"/>
          <w:b w:val="0"/>
          <w:bCs w:val="0"/>
          <w:color w:val="auto"/>
          <w:sz w:val="24"/>
          <w:szCs w:val="24"/>
        </w:rPr>
      </w:pPr>
      <w:bookmarkStart w:id="17" w:name="_Toc290559161"/>
      <w:r w:rsidRPr="00A17D28">
        <w:rPr>
          <w:rFonts w:ascii="Times New Roman" w:eastAsia="Times New Roman" w:hAnsi="Times New Roman" w:cs="Times New Roman"/>
          <w:b w:val="0"/>
          <w:bCs w:val="0"/>
          <w:color w:val="auto"/>
          <w:sz w:val="24"/>
          <w:szCs w:val="24"/>
        </w:rPr>
        <w:t>MEPS-HC respondents will be offered a monetary incentive as a token of appreciation for their participation in the MEPS. An incentive has been offered to respondents at the end of each round since the inception of MEPS in 1996; the current amount of $50 per round has been in place since 2011 (OMB approval obtained January 26, 2010 version 1).  For household respondents, participation includes not only time being interviewed, but also keeping track of their medical events and expenditures between interviews.</w:t>
      </w:r>
      <w:r w:rsidR="00090215">
        <w:rPr>
          <w:rFonts w:ascii="Times New Roman" w:eastAsia="Times New Roman" w:hAnsi="Times New Roman" w:cs="Times New Roman"/>
          <w:b w:val="0"/>
          <w:bCs w:val="0"/>
          <w:color w:val="auto"/>
          <w:sz w:val="24"/>
          <w:szCs w:val="24"/>
        </w:rPr>
        <w:t xml:space="preserve">  </w:t>
      </w:r>
      <w:r w:rsidRPr="00A17D28">
        <w:rPr>
          <w:rFonts w:ascii="Times New Roman" w:eastAsia="Times New Roman" w:hAnsi="Times New Roman" w:cs="Times New Roman"/>
          <w:b w:val="0"/>
          <w:bCs w:val="0"/>
          <w:color w:val="auto"/>
          <w:sz w:val="24"/>
          <w:szCs w:val="24"/>
        </w:rPr>
        <w:t>Household respondents will be informed of the incentive at the first in-person contact and all eligible respondents will be given the same amount.  No incentive will be offered to respondents to the Adult SAQs, Diabetes Care SAQ, or Veteran SAQ.</w:t>
      </w:r>
    </w:p>
    <w:p w:rsidR="002D262B" w:rsidRPr="008C5826" w:rsidP="002D262B" w14:paraId="63E09E63" w14:textId="1DA6DBAF">
      <w:pPr>
        <w:pStyle w:val="Heading2"/>
        <w:rPr>
          <w:color w:val="auto"/>
          <w:sz w:val="24"/>
          <w:szCs w:val="24"/>
        </w:rPr>
      </w:pPr>
      <w:r>
        <w:rPr>
          <w:color w:val="auto"/>
          <w:sz w:val="24"/>
          <w:szCs w:val="24"/>
        </w:rPr>
        <w:t>10</w:t>
      </w:r>
      <w:r w:rsidRPr="008C5826" w:rsidR="0057087C">
        <w:rPr>
          <w:color w:val="auto"/>
          <w:sz w:val="24"/>
          <w:szCs w:val="24"/>
        </w:rPr>
        <w:t xml:space="preserve">.  </w:t>
      </w:r>
      <w:r w:rsidRPr="008C5826">
        <w:rPr>
          <w:color w:val="auto"/>
          <w:sz w:val="24"/>
          <w:szCs w:val="24"/>
          <w:u w:val="single"/>
        </w:rPr>
        <w:t>Assurance of Confidentiality</w:t>
      </w:r>
      <w:bookmarkEnd w:id="17"/>
    </w:p>
    <w:p w:rsidR="002D262B" w:rsidRPr="00CB177A" w:rsidP="002D262B" w14:paraId="3B292072" w14:textId="77777777">
      <w:pPr>
        <w:rPr>
          <w:sz w:val="24"/>
          <w:szCs w:val="24"/>
        </w:rPr>
      </w:pPr>
    </w:p>
    <w:p w:rsidR="00A5243C" w:rsidRPr="00420A8F" w:rsidP="00A5243C" w14:paraId="33CE7F25" w14:textId="77777777">
      <w:pPr>
        <w:autoSpaceDE w:val="0"/>
        <w:autoSpaceDN w:val="0"/>
        <w:rPr>
          <w:sz w:val="24"/>
          <w:szCs w:val="24"/>
        </w:rPr>
      </w:pPr>
      <w:r w:rsidRPr="00420A8F">
        <w:rPr>
          <w:sz w:val="24"/>
          <w:szCs w:val="24"/>
        </w:rPr>
        <w:t>Confidentiality is protected by Sections 944(c) and 308(d) of the Public Health Service Act (42 U.S.C. 299c-3(c) and 42 U.S.C. 242m(d)).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D262B" w:rsidP="002D262B" w14:paraId="13F07E18" w14:textId="77777777">
      <w:pPr>
        <w:pStyle w:val="Heading2"/>
        <w:rPr>
          <w:color w:val="auto"/>
          <w:sz w:val="24"/>
          <w:szCs w:val="24"/>
          <w:u w:val="single"/>
        </w:rPr>
      </w:pPr>
      <w:bookmarkStart w:id="18" w:name="_Toc290559162"/>
      <w:r>
        <w:rPr>
          <w:color w:val="auto"/>
          <w:sz w:val="24"/>
          <w:szCs w:val="24"/>
        </w:rPr>
        <w:t>11</w:t>
      </w:r>
      <w:r w:rsidRPr="008C5826" w:rsidR="0057087C">
        <w:rPr>
          <w:color w:val="auto"/>
          <w:sz w:val="24"/>
          <w:szCs w:val="24"/>
        </w:rPr>
        <w:t xml:space="preserve">.  </w:t>
      </w:r>
      <w:r w:rsidRPr="008C5826">
        <w:rPr>
          <w:color w:val="auto"/>
          <w:sz w:val="24"/>
          <w:szCs w:val="24"/>
          <w:u w:val="single"/>
        </w:rPr>
        <w:t>Questions of a Sensitive Nature</w:t>
      </w:r>
      <w:bookmarkEnd w:id="18"/>
    </w:p>
    <w:p w:rsidR="00876064" w:rsidP="00876064" w14:paraId="0C22156B" w14:textId="77777777"/>
    <w:p w:rsidR="00AE4DC7" w:rsidRPr="00F76AD1" w:rsidP="00876064" w14:paraId="129C7447" w14:textId="7D989FE0">
      <w:pPr>
        <w:rPr>
          <w:sz w:val="24"/>
          <w:szCs w:val="24"/>
        </w:rPr>
      </w:pPr>
      <w:r w:rsidRPr="00F76AD1">
        <w:rPr>
          <w:sz w:val="24"/>
          <w:szCs w:val="24"/>
        </w:rPr>
        <w:t>As additions to the MEPS core CAPI questionnaire, the sensitivity of questions related to COVID-19 are comparable to the rest of the MEPS interview.</w:t>
      </w:r>
    </w:p>
    <w:p w:rsidR="00AE4DC7" w:rsidRPr="00F76AD1" w:rsidP="00876064" w14:paraId="1725896F" w14:textId="77777777">
      <w:pPr>
        <w:rPr>
          <w:sz w:val="24"/>
          <w:szCs w:val="24"/>
        </w:rPr>
      </w:pPr>
    </w:p>
    <w:p w:rsidR="002D262B" w:rsidRPr="00F76AD1" w:rsidP="002D262B" w14:paraId="69BB7462" w14:textId="47F687C5">
      <w:pPr>
        <w:pStyle w:val="Heading2"/>
        <w:rPr>
          <w:color w:val="auto"/>
          <w:sz w:val="24"/>
          <w:szCs w:val="24"/>
          <w:u w:val="single"/>
        </w:rPr>
      </w:pPr>
      <w:bookmarkStart w:id="19" w:name="_Toc290559163"/>
      <w:r w:rsidRPr="00F76AD1">
        <w:rPr>
          <w:color w:val="auto"/>
          <w:sz w:val="24"/>
          <w:szCs w:val="24"/>
        </w:rPr>
        <w:t>12</w:t>
      </w:r>
      <w:r w:rsidRPr="00F76AD1" w:rsidR="0057087C">
        <w:rPr>
          <w:color w:val="auto"/>
          <w:sz w:val="24"/>
          <w:szCs w:val="24"/>
        </w:rPr>
        <w:t xml:space="preserve">.  </w:t>
      </w:r>
      <w:r w:rsidRPr="00F76AD1">
        <w:rPr>
          <w:color w:val="auto"/>
          <w:sz w:val="24"/>
          <w:szCs w:val="24"/>
          <w:u w:val="single"/>
        </w:rPr>
        <w:t xml:space="preserve">Estimates of </w:t>
      </w:r>
      <w:r w:rsidRPr="00F76AD1" w:rsidR="00D3626A">
        <w:rPr>
          <w:color w:val="auto"/>
          <w:sz w:val="24"/>
          <w:szCs w:val="24"/>
          <w:u w:val="single"/>
        </w:rPr>
        <w:t>Annualized</w:t>
      </w:r>
      <w:r w:rsidRPr="00F76AD1">
        <w:rPr>
          <w:color w:val="auto"/>
          <w:sz w:val="24"/>
          <w:szCs w:val="24"/>
          <w:u w:val="single"/>
        </w:rPr>
        <w:t xml:space="preserve"> Burden Hours and Costs</w:t>
      </w:r>
      <w:bookmarkEnd w:id="19"/>
    </w:p>
    <w:p w:rsidR="00AE4DC7" w:rsidRPr="00F76AD1" w:rsidP="00E55E4B" w14:paraId="576CC245" w14:textId="77777777"/>
    <w:p w:rsidR="00336855" w:rsidRPr="0097228B" w:rsidP="00336855" w14:paraId="0265B5C6" w14:textId="2ED5E96C">
      <w:pPr>
        <w:rPr>
          <w:sz w:val="24"/>
          <w:szCs w:val="24"/>
        </w:rPr>
      </w:pPr>
      <w:bookmarkStart w:id="20" w:name="_Hlk103096398"/>
      <w:r w:rsidRPr="00F76AD1">
        <w:rPr>
          <w:sz w:val="24"/>
          <w:szCs w:val="24"/>
        </w:rPr>
        <w:t xml:space="preserve">Exhibit 1 shows the estimated annualized burden hours for </w:t>
      </w:r>
      <w:r w:rsidR="00A648DE">
        <w:rPr>
          <w:sz w:val="24"/>
          <w:szCs w:val="24"/>
        </w:rPr>
        <w:t>respondents’</w:t>
      </w:r>
      <w:r w:rsidRPr="00F76AD1">
        <w:rPr>
          <w:sz w:val="24"/>
          <w:szCs w:val="24"/>
        </w:rPr>
        <w:t xml:space="preserve"> time to participate in this research.  </w:t>
      </w:r>
      <w:r w:rsidRPr="00F76AD1" w:rsidR="00AE4DC7">
        <w:rPr>
          <w:sz w:val="24"/>
          <w:szCs w:val="24"/>
        </w:rPr>
        <w:t>The addition of several question</w:t>
      </w:r>
      <w:r w:rsidRPr="00F76AD1" w:rsidR="00D75EB1">
        <w:rPr>
          <w:sz w:val="24"/>
          <w:szCs w:val="24"/>
        </w:rPr>
        <w:t xml:space="preserve">s related to COVID-19 </w:t>
      </w:r>
      <w:r w:rsidRPr="00F76AD1">
        <w:rPr>
          <w:sz w:val="24"/>
          <w:szCs w:val="24"/>
        </w:rPr>
        <w:t>adds minimal burden in hours and costs to the core CAPI interview, estimated to add 1 minute per interview</w:t>
      </w:r>
      <w:r w:rsidRPr="00F76AD1" w:rsidR="002340CB">
        <w:rPr>
          <w:sz w:val="24"/>
          <w:szCs w:val="24"/>
        </w:rPr>
        <w:t xml:space="preserve"> and a total of 222 </w:t>
      </w:r>
      <w:r w:rsidRPr="00F76AD1">
        <w:rPr>
          <w:sz w:val="24"/>
          <w:szCs w:val="24"/>
        </w:rPr>
        <w:t>burden hours</w:t>
      </w:r>
      <w:r w:rsidR="00A17D28">
        <w:rPr>
          <w:sz w:val="24"/>
          <w:szCs w:val="24"/>
        </w:rPr>
        <w:t>.</w:t>
      </w:r>
    </w:p>
    <w:p w:rsidR="002D262B" w:rsidP="002D262B" w14:paraId="12FB2534" w14:textId="77777777">
      <w:r>
        <w:rPr>
          <w:sz w:val="24"/>
          <w:szCs w:val="24"/>
          <w:highlight w:val="yellow"/>
        </w:rPr>
        <w:t xml:space="preserve"> </w:t>
      </w:r>
    </w:p>
    <w:p w:rsidR="002D262B" w:rsidRPr="00E11C70" w:rsidP="002D262B" w14:paraId="47CEFF2E" w14:textId="7D23A82C">
      <w:pPr>
        <w:rPr>
          <w:sz w:val="24"/>
          <w:szCs w:val="24"/>
        </w:rPr>
      </w:pPr>
      <w:r>
        <w:rPr>
          <w:sz w:val="24"/>
          <w:szCs w:val="24"/>
        </w:rPr>
        <w:t xml:space="preserve">Exhibit 2 shows the estimated </w:t>
      </w:r>
      <w:r w:rsidRPr="00E11C70">
        <w:rPr>
          <w:sz w:val="24"/>
          <w:szCs w:val="24"/>
        </w:rPr>
        <w:t>annualized cost burden associated with respondents’ time to participate in this research.  The total cost burden is estimated to be $</w:t>
      </w:r>
      <w:r w:rsidR="00A648DE">
        <w:rPr>
          <w:sz w:val="24"/>
          <w:szCs w:val="24"/>
        </w:rPr>
        <w:t>6,218</w:t>
      </w:r>
      <w:r w:rsidRPr="00E11C70">
        <w:rPr>
          <w:sz w:val="24"/>
          <w:szCs w:val="24"/>
        </w:rPr>
        <w:t xml:space="preserve"> annually</w:t>
      </w:r>
      <w:r w:rsidR="00A648DE">
        <w:rPr>
          <w:sz w:val="24"/>
          <w:szCs w:val="24"/>
        </w:rPr>
        <w:t>.</w:t>
      </w:r>
      <w:r w:rsidRPr="00E11C70" w:rsidR="008D0B3B">
        <w:rPr>
          <w:sz w:val="24"/>
          <w:szCs w:val="24"/>
        </w:rPr>
        <w:t xml:space="preserve"> </w:t>
      </w:r>
    </w:p>
    <w:p w:rsidR="002D262B" w:rsidRPr="00E11C70" w:rsidP="005F1211" w14:paraId="6B205688" w14:textId="77777777">
      <w:pPr>
        <w:rPr>
          <w:sz w:val="24"/>
          <w:szCs w:val="24"/>
        </w:rPr>
      </w:pPr>
      <w:r w:rsidRPr="00E11C70">
        <w:rPr>
          <w:sz w:val="24"/>
          <w:szCs w:val="24"/>
        </w:rPr>
        <w:tab/>
      </w:r>
    </w:p>
    <w:p w:rsidR="002D262B" w:rsidRPr="00E11C70" w:rsidP="002D262B" w14:paraId="52A4A2E8" w14:textId="77777777">
      <w:pPr>
        <w:rPr>
          <w:b/>
          <w:bCs/>
          <w:sz w:val="24"/>
          <w:szCs w:val="24"/>
        </w:rPr>
      </w:pPr>
      <w:r w:rsidRPr="00E11C70">
        <w:rPr>
          <w:b/>
          <w:bCs/>
          <w:sz w:val="24"/>
          <w:szCs w:val="24"/>
        </w:rPr>
        <w:t>Exhibit 1</w:t>
      </w:r>
      <w:r w:rsidRPr="00E11C70" w:rsidR="009902DB">
        <w:rPr>
          <w:b/>
          <w:bCs/>
          <w:sz w:val="24"/>
          <w:szCs w:val="24"/>
        </w:rPr>
        <w:t>:</w:t>
      </w:r>
      <w:r w:rsidRPr="00E11C70">
        <w:rPr>
          <w:b/>
          <w:bCs/>
          <w:sz w:val="24"/>
          <w:szCs w:val="24"/>
        </w:rPr>
        <w:t>  Estimated annualized burden hours</w:t>
      </w:r>
    </w:p>
    <w:tbl>
      <w:tblPr>
        <w:tblW w:w="0" w:type="auto"/>
        <w:tblInd w:w="108" w:type="dxa"/>
        <w:tblCellMar>
          <w:left w:w="0" w:type="dxa"/>
          <w:right w:w="0" w:type="dxa"/>
        </w:tblCellMar>
        <w:tblLook w:val="0000"/>
      </w:tblPr>
      <w:tblGrid>
        <w:gridCol w:w="3870"/>
        <w:gridCol w:w="1440"/>
        <w:gridCol w:w="1530"/>
        <w:gridCol w:w="1080"/>
        <w:gridCol w:w="990"/>
      </w:tblGrid>
      <w:tr w14:paraId="2B98A82F" w14:textId="77777777" w:rsidTr="00441938">
        <w:tblPrEx>
          <w:tblW w:w="0" w:type="auto"/>
          <w:tblInd w:w="108" w:type="dxa"/>
          <w:tblCellMar>
            <w:left w:w="0" w:type="dxa"/>
            <w:right w:w="0" w:type="dxa"/>
          </w:tblCellMar>
          <w:tblLook w:val="0000"/>
        </w:tblPrEx>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E11C70" w:rsidP="002D262B" w14:paraId="110A6FBB" w14:textId="77777777">
            <w:pPr>
              <w:rPr>
                <w:sz w:val="24"/>
                <w:szCs w:val="24"/>
              </w:rPr>
            </w:pPr>
            <w:r w:rsidRPr="00E11C70">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E11C70" w:rsidP="002D262B" w14:paraId="586D1D6B" w14:textId="77777777">
            <w:pPr>
              <w:jc w:val="center"/>
              <w:rPr>
                <w:sz w:val="24"/>
                <w:szCs w:val="24"/>
              </w:rPr>
            </w:pPr>
            <w:r w:rsidRPr="00E11C70">
              <w:rPr>
                <w:sz w:val="24"/>
                <w:szCs w:val="24"/>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E11C70" w:rsidP="002D262B" w14:paraId="6D0E6C75" w14:textId="77777777">
            <w:pPr>
              <w:jc w:val="center"/>
              <w:rPr>
                <w:sz w:val="24"/>
                <w:szCs w:val="24"/>
              </w:rPr>
            </w:pPr>
            <w:r w:rsidRPr="00E11C70">
              <w:rPr>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2D262B" w:rsidRPr="00E11C70" w:rsidP="002D262B" w14:paraId="5D63B57F" w14:textId="77777777">
            <w:pPr>
              <w:jc w:val="center"/>
              <w:rPr>
                <w:sz w:val="24"/>
                <w:szCs w:val="24"/>
              </w:rPr>
            </w:pPr>
            <w:r w:rsidRPr="00E11C70">
              <w:rPr>
                <w:sz w:val="24"/>
                <w:szCs w:val="24"/>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E11C70" w:rsidP="002D262B" w14:paraId="55369FAE" w14:textId="77777777">
            <w:pPr>
              <w:jc w:val="center"/>
              <w:rPr>
                <w:sz w:val="24"/>
                <w:szCs w:val="24"/>
              </w:rPr>
            </w:pPr>
            <w:r w:rsidRPr="00E11C70">
              <w:rPr>
                <w:sz w:val="24"/>
                <w:szCs w:val="24"/>
              </w:rPr>
              <w:t>Total burden hours</w:t>
            </w:r>
          </w:p>
        </w:tc>
      </w:tr>
      <w:tr w14:paraId="5404F94C" w14:textId="77777777" w:rsidTr="00441938">
        <w:tblPrEx>
          <w:tblW w:w="0" w:type="auto"/>
          <w:tblInd w:w="108" w:type="dxa"/>
          <w:tblCellMar>
            <w:left w:w="0" w:type="dxa"/>
            <w:right w:w="0" w:type="dxa"/>
          </w:tblCellMar>
          <w:tblLook w:val="0000"/>
        </w:tblPrEx>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28F1" w:rsidRPr="00E11C70" w:rsidP="00A17D28" w14:paraId="1A78E1FA" w14:textId="0D4FDA52">
            <w:pPr>
              <w:rPr>
                <w:bCs/>
                <w:sz w:val="24"/>
                <w:szCs w:val="24"/>
              </w:rPr>
            </w:pPr>
            <w:r w:rsidRPr="00E11C70">
              <w:rPr>
                <w:bCs/>
                <w:sz w:val="24"/>
                <w:szCs w:val="24"/>
              </w:rPr>
              <w:t xml:space="preserve">COVID-19 </w:t>
            </w:r>
            <w:r w:rsidRPr="00E11C70" w:rsidR="000F0D09">
              <w:rPr>
                <w:bCs/>
                <w:sz w:val="24"/>
                <w:szCs w:val="24"/>
              </w:rPr>
              <w:t>questions included in the MEPS questionnaire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28F1" w:rsidRPr="00E11C70" w:rsidP="0097228B" w14:paraId="2A81F190" w14:textId="77777777">
            <w:pPr>
              <w:jc w:val="center"/>
              <w:rPr>
                <w:bCs/>
                <w:sz w:val="24"/>
                <w:szCs w:val="24"/>
              </w:rPr>
            </w:pPr>
            <w:r w:rsidRPr="00E11C70">
              <w:rPr>
                <w:bCs/>
                <w:sz w:val="24"/>
                <w:szCs w:val="24"/>
              </w:rPr>
              <w:t>13,338</w:t>
            </w:r>
            <w:r w:rsidRPr="00E11C70" w:rsidR="00B91A21">
              <w:rPr>
                <w:bCs/>
                <w:sz w:val="24"/>
                <w:szCs w:val="24"/>
              </w:rPr>
              <w:t>*</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28F1" w:rsidRPr="00E11C70" w:rsidP="002D262B" w14:paraId="561CEE90" w14:textId="77777777">
            <w:pPr>
              <w:jc w:val="center"/>
              <w:rPr>
                <w:sz w:val="24"/>
                <w:szCs w:val="24"/>
              </w:rPr>
            </w:pPr>
            <w:r w:rsidRPr="00E11C70">
              <w:rPr>
                <w:sz w:val="24"/>
                <w:szCs w:val="24"/>
              </w:rPr>
              <w:t>1</w:t>
            </w:r>
          </w:p>
        </w:tc>
        <w:tc>
          <w:tcPr>
            <w:tcW w:w="1080" w:type="dxa"/>
            <w:tcBorders>
              <w:top w:val="single" w:sz="8" w:space="0" w:color="auto"/>
              <w:left w:val="nil"/>
              <w:bottom w:val="single" w:sz="8" w:space="0" w:color="auto"/>
              <w:right w:val="single" w:sz="8" w:space="0" w:color="auto"/>
            </w:tcBorders>
            <w:vAlign w:val="center"/>
          </w:tcPr>
          <w:p w:rsidR="00ED28F1" w:rsidRPr="00E11C70" w:rsidP="0097228B" w14:paraId="2EF8EE91" w14:textId="77777777">
            <w:pPr>
              <w:jc w:val="center"/>
              <w:rPr>
                <w:sz w:val="24"/>
                <w:szCs w:val="24"/>
              </w:rPr>
            </w:pPr>
            <w:r w:rsidRPr="00E11C70">
              <w:rPr>
                <w:sz w:val="24"/>
                <w:szCs w:val="24"/>
              </w:rPr>
              <w:t>1</w:t>
            </w:r>
            <w:r w:rsidRPr="00E11C70">
              <w:rPr>
                <w:sz w:val="24"/>
                <w:szCs w:val="24"/>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28F1" w:rsidRPr="00E11C70" w:rsidP="0097228B" w14:paraId="1EE50BDE" w14:textId="77777777">
            <w:pPr>
              <w:jc w:val="center"/>
              <w:rPr>
                <w:sz w:val="24"/>
                <w:szCs w:val="24"/>
              </w:rPr>
            </w:pPr>
            <w:r w:rsidRPr="00E11C70">
              <w:rPr>
                <w:sz w:val="24"/>
                <w:szCs w:val="24"/>
              </w:rPr>
              <w:t>222</w:t>
            </w:r>
          </w:p>
        </w:tc>
      </w:tr>
    </w:tbl>
    <w:p w:rsidR="002D262B" w:rsidRPr="005E5935" w:rsidP="00B91A21" w14:paraId="1DE0DC72" w14:textId="77777777">
      <w:pPr>
        <w:rPr>
          <w:sz w:val="24"/>
          <w:szCs w:val="24"/>
        </w:rPr>
      </w:pPr>
      <w:r w:rsidRPr="00E11C70">
        <w:rPr>
          <w:sz w:val="24"/>
          <w:szCs w:val="24"/>
        </w:rPr>
        <w:t>*While the expected number of responding units for the annual estimates is 12,804, it is necessary to adjust for survey attrition of initial respondents by a fac</w:t>
      </w:r>
      <w:r w:rsidRPr="00E11C70" w:rsidR="00075673">
        <w:rPr>
          <w:sz w:val="24"/>
          <w:szCs w:val="24"/>
        </w:rPr>
        <w:t>tor of 0.96</w:t>
      </w:r>
      <w:r w:rsidR="00075673">
        <w:rPr>
          <w:sz w:val="24"/>
          <w:szCs w:val="24"/>
        </w:rPr>
        <w:t xml:space="preserve"> (13.338=12/804/0.96) </w:t>
      </w:r>
      <w:r>
        <w:rPr>
          <w:sz w:val="24"/>
          <w:szCs w:val="24"/>
        </w:rPr>
        <w:t xml:space="preserve"> </w:t>
      </w:r>
    </w:p>
    <w:p w:rsidR="003675FA" w:rsidP="002D262B" w14:paraId="5675CBBE" w14:textId="77777777">
      <w:pPr>
        <w:rPr>
          <w:b/>
          <w:sz w:val="24"/>
          <w:szCs w:val="24"/>
        </w:rPr>
      </w:pPr>
    </w:p>
    <w:p w:rsidR="002D262B" w:rsidP="002D262B" w14:paraId="0016190F" w14:textId="77777777">
      <w:pPr>
        <w:rPr>
          <w:b/>
          <w:sz w:val="24"/>
          <w:szCs w:val="24"/>
        </w:rPr>
      </w:pPr>
      <w:r>
        <w:rPr>
          <w:b/>
          <w:sz w:val="24"/>
          <w:szCs w:val="24"/>
        </w:rPr>
        <w:t>E</w:t>
      </w:r>
      <w:r w:rsidRPr="009921DC">
        <w:rPr>
          <w:b/>
          <w:sz w:val="24"/>
          <w:szCs w:val="24"/>
        </w:rPr>
        <w:t>xhibit 2</w:t>
      </w:r>
      <w:r w:rsidR="009902DB">
        <w:rPr>
          <w:b/>
          <w:sz w:val="24"/>
          <w:szCs w:val="24"/>
        </w:rPr>
        <w:t>:</w:t>
      </w:r>
      <w:r w:rsidRPr="009921DC">
        <w:rPr>
          <w:b/>
          <w:sz w:val="24"/>
          <w:szCs w:val="24"/>
        </w:rPr>
        <w:t xml:space="preserve">  Estimated annualized cost burden</w:t>
      </w:r>
    </w:p>
    <w:tbl>
      <w:tblPr>
        <w:tblW w:w="0" w:type="auto"/>
        <w:tblInd w:w="108" w:type="dxa"/>
        <w:tblCellMar>
          <w:left w:w="0" w:type="dxa"/>
          <w:right w:w="0" w:type="dxa"/>
        </w:tblCellMar>
        <w:tblLook w:val="0000"/>
      </w:tblPr>
      <w:tblGrid>
        <w:gridCol w:w="3780"/>
        <w:gridCol w:w="1440"/>
        <w:gridCol w:w="900"/>
        <w:gridCol w:w="1440"/>
        <w:gridCol w:w="1350"/>
      </w:tblGrid>
      <w:tr w14:paraId="03A4BAD7" w14:textId="77777777" w:rsidTr="00441938">
        <w:tblPrEx>
          <w:tblW w:w="0" w:type="auto"/>
          <w:tblInd w:w="108" w:type="dxa"/>
          <w:tblCellMar>
            <w:left w:w="0" w:type="dxa"/>
            <w:right w:w="0" w:type="dxa"/>
          </w:tblCellMar>
          <w:tblLook w:val="0000"/>
        </w:tblPrEx>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P="002D262B" w14:paraId="6ACC108A" w14:textId="77777777">
            <w:pPr>
              <w:rPr>
                <w:sz w:val="24"/>
                <w:szCs w:val="24"/>
              </w:rPr>
            </w:pPr>
            <w:r w:rsidRPr="00426D1D">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P="002D262B" w14:paraId="31A371E6" w14:textId="77777777">
            <w:pPr>
              <w:jc w:val="center"/>
              <w:rPr>
                <w:sz w:val="24"/>
                <w:szCs w:val="24"/>
              </w:rPr>
            </w:pPr>
            <w:r w:rsidRPr="00426D1D">
              <w:rPr>
                <w:sz w:val="24"/>
                <w:szCs w:val="24"/>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P="002D262B" w14:paraId="66555E18" w14:textId="77777777">
            <w:pPr>
              <w:jc w:val="center"/>
              <w:rPr>
                <w:sz w:val="24"/>
                <w:szCs w:val="24"/>
              </w:rPr>
            </w:pPr>
            <w:r w:rsidRPr="00426D1D">
              <w:rPr>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P="002D262B" w14:paraId="74079AE1" w14:textId="77777777">
            <w:pPr>
              <w:jc w:val="center"/>
              <w:rPr>
                <w:sz w:val="24"/>
                <w:szCs w:val="24"/>
              </w:rPr>
            </w:pPr>
            <w:r w:rsidRPr="00426D1D">
              <w:rPr>
                <w:sz w:val="24"/>
                <w:szCs w:val="24"/>
              </w:rPr>
              <w:t>Average hourly wage rate*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P="002D262B" w14:paraId="62CD939C" w14:textId="67E09F10">
            <w:pPr>
              <w:jc w:val="center"/>
              <w:rPr>
                <w:sz w:val="24"/>
                <w:szCs w:val="24"/>
              </w:rPr>
            </w:pPr>
            <w:r>
              <w:rPr>
                <w:sz w:val="24"/>
                <w:szCs w:val="24"/>
              </w:rPr>
              <w:t>R</w:t>
            </w:r>
            <w:r w:rsidR="001A67E0">
              <w:rPr>
                <w:sz w:val="24"/>
                <w:szCs w:val="24"/>
              </w:rPr>
              <w:t xml:space="preserve">espondent </w:t>
            </w:r>
            <w:r w:rsidRPr="00426D1D">
              <w:rPr>
                <w:sz w:val="24"/>
                <w:szCs w:val="24"/>
              </w:rPr>
              <w:t>cost</w:t>
            </w:r>
            <w:r>
              <w:rPr>
                <w:sz w:val="24"/>
                <w:szCs w:val="24"/>
              </w:rPr>
              <w:t>s</w:t>
            </w:r>
            <w:r w:rsidRPr="00426D1D">
              <w:rPr>
                <w:sz w:val="24"/>
                <w:szCs w:val="24"/>
              </w:rPr>
              <w:t xml:space="preserve"> </w:t>
            </w:r>
          </w:p>
        </w:tc>
      </w:tr>
      <w:tr w14:paraId="1895F23F" w14:textId="77777777" w:rsidTr="00441938">
        <w:tblPrEx>
          <w:tblW w:w="0" w:type="auto"/>
          <w:tblInd w:w="108" w:type="dxa"/>
          <w:tblCellMar>
            <w:left w:w="0" w:type="dxa"/>
            <w:right w:w="0" w:type="dxa"/>
          </w:tblCellMar>
          <w:tblLook w:val="0000"/>
        </w:tblPrEx>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430E0" w:rsidRPr="00E11C70" w:rsidP="00A17D28" w14:paraId="61A0848C" w14:textId="3DF1353F">
            <w:pPr>
              <w:rPr>
                <w:bCs/>
                <w:sz w:val="24"/>
                <w:szCs w:val="24"/>
              </w:rPr>
            </w:pPr>
            <w:r w:rsidRPr="00E11C70">
              <w:rPr>
                <w:bCs/>
                <w:sz w:val="24"/>
                <w:szCs w:val="24"/>
              </w:rPr>
              <w:t>COVID-19 questions included in the MEPS questionnaire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430E0" w:rsidRPr="00E11C70" w:rsidP="009F1E8C" w14:paraId="6609E2C5" w14:textId="77777777">
            <w:pPr>
              <w:jc w:val="center"/>
              <w:rPr>
                <w:sz w:val="24"/>
                <w:szCs w:val="24"/>
              </w:rPr>
            </w:pPr>
            <w:r w:rsidRPr="00E11C70">
              <w:rPr>
                <w:sz w:val="24"/>
                <w:szCs w:val="24"/>
              </w:rPr>
              <w:t>13,338</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430E0" w:rsidRPr="00E11C70" w:rsidP="009F1E8C" w14:paraId="244D9FB2" w14:textId="77777777">
            <w:pPr>
              <w:jc w:val="center"/>
              <w:rPr>
                <w:sz w:val="24"/>
                <w:szCs w:val="24"/>
              </w:rPr>
            </w:pPr>
            <w:r w:rsidRPr="00E11C70">
              <w:rPr>
                <w:sz w:val="24"/>
                <w:szCs w:val="24"/>
              </w:rPr>
              <w:t>222</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430E0" w:rsidRPr="00E11C70" w:rsidP="00A67C40" w14:paraId="50F43A5E" w14:textId="485FFF61">
            <w:pPr>
              <w:jc w:val="center"/>
              <w:rPr>
                <w:sz w:val="24"/>
                <w:szCs w:val="24"/>
              </w:rPr>
            </w:pPr>
            <w:r w:rsidRPr="00E11C70">
              <w:rPr>
                <w:sz w:val="24"/>
                <w:szCs w:val="24"/>
              </w:rPr>
              <w:t>$</w:t>
            </w:r>
            <w:r w:rsidR="00A67C40">
              <w:rPr>
                <w:sz w:val="24"/>
                <w:szCs w:val="24"/>
              </w:rPr>
              <w:t>28.01</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430E0" w:rsidRPr="00E11C70" w:rsidP="00E164B9" w14:paraId="447005A9" w14:textId="17900EEC">
            <w:pPr>
              <w:jc w:val="right"/>
              <w:rPr>
                <w:sz w:val="24"/>
                <w:szCs w:val="24"/>
              </w:rPr>
            </w:pPr>
            <w:r w:rsidRPr="00E11C70">
              <w:rPr>
                <w:sz w:val="24"/>
                <w:szCs w:val="24"/>
              </w:rPr>
              <w:t>$</w:t>
            </w:r>
            <w:r w:rsidR="00A67C40">
              <w:rPr>
                <w:sz w:val="24"/>
                <w:szCs w:val="24"/>
              </w:rPr>
              <w:t>6,218</w:t>
            </w:r>
          </w:p>
        </w:tc>
      </w:tr>
    </w:tbl>
    <w:p w:rsidR="002D262B" w:rsidP="002D262B" w14:paraId="198B8E7D" w14:textId="5E9C558A">
      <w:r w:rsidRPr="00571D43">
        <w:rPr>
          <w:color w:val="000000"/>
        </w:rPr>
        <w:t>*Based upon mean hourly wage, “May 20</w:t>
      </w:r>
      <w:r>
        <w:rPr>
          <w:color w:val="000000"/>
        </w:rPr>
        <w:t>21</w:t>
      </w:r>
      <w:r w:rsidRPr="00571D43">
        <w:rPr>
          <w:color w:val="000000"/>
        </w:rPr>
        <w:t xml:space="preserve"> National Occupational Employment and Wage Estimates United States,” U.S. Department of Labor, Bureau of Labor Statistics, retrieved at https://www.bls.gov/oes/current/oes_nat.htm#00-0000</w:t>
      </w:r>
    </w:p>
    <w:bookmarkEnd w:id="20"/>
    <w:p w:rsidR="00FD1E6F" w:rsidP="002D262B" w14:paraId="19E6184C" w14:textId="77777777"/>
    <w:p w:rsidR="002D262B" w:rsidRPr="00C15767" w:rsidP="002D262B" w14:paraId="2B3EC8A5" w14:textId="77777777">
      <w:pPr>
        <w:pStyle w:val="Heading2"/>
        <w:rPr>
          <w:color w:val="auto"/>
          <w:sz w:val="24"/>
          <w:szCs w:val="24"/>
        </w:rPr>
      </w:pPr>
      <w:bookmarkStart w:id="21" w:name="_Toc290559164"/>
      <w:r>
        <w:rPr>
          <w:color w:val="auto"/>
          <w:sz w:val="24"/>
          <w:szCs w:val="24"/>
        </w:rPr>
        <w:t>13</w:t>
      </w:r>
      <w:r w:rsidRPr="008C5826">
        <w:rPr>
          <w:color w:val="auto"/>
          <w:sz w:val="24"/>
          <w:szCs w:val="24"/>
        </w:rPr>
        <w:t xml:space="preserve">.   </w:t>
      </w:r>
      <w:r w:rsidRPr="008F00D1" w:rsidR="008F00D1">
        <w:rPr>
          <w:color w:val="auto"/>
          <w:sz w:val="24"/>
          <w:szCs w:val="24"/>
          <w:u w:val="single"/>
        </w:rPr>
        <w:t>Estimates of Annualized Respondent Capital and Maintenance Costs</w:t>
      </w:r>
      <w:bookmarkEnd w:id="21"/>
    </w:p>
    <w:p w:rsidR="002D262B" w:rsidRPr="00C15767" w:rsidP="002D262B" w14:paraId="22A41BCA" w14:textId="77777777">
      <w:pPr>
        <w:rPr>
          <w:sz w:val="24"/>
          <w:szCs w:val="24"/>
        </w:rPr>
      </w:pPr>
    </w:p>
    <w:p w:rsidR="00A5243C" w:rsidP="00A5243C" w14:paraId="0CCAD08E" w14:textId="77777777">
      <w:pPr>
        <w:spacing w:before="120"/>
        <w:rPr>
          <w:sz w:val="24"/>
          <w:szCs w:val="24"/>
        </w:rPr>
      </w:pPr>
      <w:r w:rsidRPr="00420A8F">
        <w:rPr>
          <w:sz w:val="24"/>
          <w:szCs w:val="24"/>
        </w:rPr>
        <w:t xml:space="preserve">Capital and maintenance costs include the purchase of equipment, computers or computer software or services, or storage facilities for records, </w:t>
      </w:r>
      <w:r w:rsidRPr="00420A8F">
        <w:rPr>
          <w:sz w:val="24"/>
          <w:szCs w:val="24"/>
        </w:rPr>
        <w:t>as a result of</w:t>
      </w:r>
      <w:r w:rsidRPr="00420A8F">
        <w:rPr>
          <w:sz w:val="24"/>
          <w:szCs w:val="24"/>
        </w:rPr>
        <w:t xml:space="preserve"> complying with this data collection.  There are no direct costs to respondents other than their time to participate in the study.</w:t>
      </w:r>
    </w:p>
    <w:p w:rsidR="00322EE4" w:rsidRPr="00420A8F" w:rsidP="00A5243C" w14:paraId="5BAF8597" w14:textId="687A5911">
      <w:pPr>
        <w:spacing w:before="120"/>
        <w:rPr>
          <w:sz w:val="24"/>
          <w:szCs w:val="24"/>
        </w:rPr>
      </w:pPr>
    </w:p>
    <w:p w:rsidR="002D262B" w:rsidP="002D262B" w14:paraId="77A4DFEC" w14:textId="2A8C1658">
      <w:pPr>
        <w:pStyle w:val="Heading2"/>
        <w:rPr>
          <w:color w:val="auto"/>
          <w:sz w:val="24"/>
          <w:szCs w:val="24"/>
          <w:u w:val="single"/>
        </w:rPr>
      </w:pPr>
      <w:bookmarkStart w:id="22" w:name="_Toc290559165"/>
      <w:r w:rsidRPr="00645B1A">
        <w:rPr>
          <w:color w:val="auto"/>
          <w:sz w:val="24"/>
          <w:szCs w:val="24"/>
        </w:rPr>
        <w:t>14</w:t>
      </w:r>
      <w:r w:rsidRPr="00645B1A">
        <w:rPr>
          <w:color w:val="auto"/>
          <w:sz w:val="24"/>
          <w:szCs w:val="24"/>
        </w:rPr>
        <w:t xml:space="preserve">.  </w:t>
      </w:r>
      <w:r w:rsidRPr="006E3499">
        <w:rPr>
          <w:color w:val="auto"/>
          <w:sz w:val="24"/>
          <w:szCs w:val="24"/>
          <w:u w:val="single"/>
        </w:rPr>
        <w:t>Estimates of Annualized Cost to the Government</w:t>
      </w:r>
      <w:bookmarkEnd w:id="22"/>
    </w:p>
    <w:p w:rsidR="00F0236B" w:rsidRPr="00F0236B" w:rsidP="00F0236B" w14:paraId="5B41E710" w14:textId="77777777"/>
    <w:p w:rsidR="002D262B" w:rsidP="002D262B" w14:paraId="0B2F5A6C" w14:textId="44AB6BA5">
      <w:pPr>
        <w:rPr>
          <w:sz w:val="24"/>
          <w:szCs w:val="24"/>
        </w:rPr>
      </w:pPr>
      <w:r w:rsidRPr="00645B1A">
        <w:rPr>
          <w:sz w:val="24"/>
          <w:szCs w:val="24"/>
        </w:rPr>
        <w:t>Exhibit 3</w:t>
      </w:r>
      <w:r>
        <w:rPr>
          <w:sz w:val="24"/>
          <w:szCs w:val="24"/>
        </w:rPr>
        <w:t>a</w:t>
      </w:r>
      <w:r w:rsidRPr="00645B1A">
        <w:rPr>
          <w:sz w:val="24"/>
          <w:szCs w:val="24"/>
        </w:rPr>
        <w:t xml:space="preserve"> shows the estimated total cost for </w:t>
      </w:r>
      <w:r w:rsidRPr="00E11C70">
        <w:rPr>
          <w:sz w:val="24"/>
          <w:szCs w:val="24"/>
        </w:rPr>
        <w:t xml:space="preserve">the COVID-19 </w:t>
      </w:r>
      <w:r>
        <w:rPr>
          <w:sz w:val="24"/>
          <w:szCs w:val="24"/>
        </w:rPr>
        <w:t xml:space="preserve">conditions </w:t>
      </w:r>
      <w:r w:rsidRPr="00E11C70">
        <w:rPr>
          <w:sz w:val="24"/>
          <w:szCs w:val="24"/>
        </w:rPr>
        <w:t>questions.  The</w:t>
      </w:r>
      <w:r w:rsidR="004A4EF7">
        <w:rPr>
          <w:sz w:val="24"/>
          <w:szCs w:val="24"/>
        </w:rPr>
        <w:t xml:space="preserve"> estimated annualized</w:t>
      </w:r>
      <w:r w:rsidRPr="00E11C70">
        <w:rPr>
          <w:sz w:val="24"/>
          <w:szCs w:val="24"/>
        </w:rPr>
        <w:t xml:space="preserve"> cost is approximately $</w:t>
      </w:r>
      <w:r>
        <w:rPr>
          <w:sz w:val="24"/>
          <w:szCs w:val="24"/>
        </w:rPr>
        <w:t xml:space="preserve">70,500.  </w:t>
      </w:r>
      <w:r w:rsidRPr="00645B1A">
        <w:rPr>
          <w:sz w:val="24"/>
          <w:szCs w:val="24"/>
        </w:rPr>
        <w:t xml:space="preserve"> </w:t>
      </w:r>
    </w:p>
    <w:p w:rsidR="00E74482" w:rsidRPr="00645B1A" w:rsidP="002D262B" w14:paraId="66415446" w14:textId="77777777">
      <w:pPr>
        <w:rPr>
          <w:sz w:val="24"/>
          <w:szCs w:val="24"/>
        </w:rPr>
      </w:pPr>
    </w:p>
    <w:p w:rsidR="00E74482" w:rsidRPr="00E74482" w:rsidP="00E74482" w14:paraId="7E473564" w14:textId="4EDC214A">
      <w:pPr>
        <w:rPr>
          <w:sz w:val="24"/>
          <w:szCs w:val="24"/>
        </w:rPr>
      </w:pPr>
      <w:bookmarkStart w:id="23" w:name="_Toc290559166"/>
      <w:r w:rsidRPr="00E74482">
        <w:rPr>
          <w:b/>
          <w:bCs/>
          <w:color w:val="000000"/>
          <w:sz w:val="24"/>
          <w:szCs w:val="24"/>
        </w:rPr>
        <w:t>Exhibit 3a.  Estimated Annualized Cost</w:t>
      </w:r>
    </w:p>
    <w:tbl>
      <w:tblPr>
        <w:tblW w:w="0" w:type="auto"/>
        <w:tblInd w:w="108" w:type="dxa"/>
        <w:tblCellMar>
          <w:left w:w="0" w:type="dxa"/>
          <w:right w:w="0" w:type="dxa"/>
        </w:tblCellMar>
        <w:tblLook w:val="04A0"/>
      </w:tblPr>
      <w:tblGrid>
        <w:gridCol w:w="3600"/>
        <w:gridCol w:w="1980"/>
      </w:tblGrid>
      <w:tr w14:paraId="475FF576" w14:textId="77777777" w:rsidTr="00E74482">
        <w:tblPrEx>
          <w:tblW w:w="0" w:type="auto"/>
          <w:tblInd w:w="108" w:type="dxa"/>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949F0" w:rsidRPr="00E74482" w14:paraId="0CD83059" w14:textId="77777777">
            <w:pPr>
              <w:rPr>
                <w:rFonts w:ascii="Calibri" w:hAnsi="Calibri" w:cs="Calibri"/>
                <w:b/>
                <w:bCs/>
                <w:sz w:val="24"/>
                <w:szCs w:val="24"/>
              </w:rPr>
            </w:pPr>
            <w:r w:rsidRPr="00E74482">
              <w:rPr>
                <w:b/>
                <w:bCs/>
                <w:sz w:val="24"/>
                <w:szCs w:val="24"/>
              </w:rPr>
              <w:t xml:space="preserve">Cost Component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49F0" w:rsidRPr="00E74482" w14:paraId="511C57C5" w14:textId="77777777">
            <w:pPr>
              <w:jc w:val="center"/>
              <w:rPr>
                <w:b/>
                <w:bCs/>
                <w:sz w:val="24"/>
                <w:szCs w:val="24"/>
              </w:rPr>
            </w:pPr>
            <w:r w:rsidRPr="00E74482">
              <w:rPr>
                <w:b/>
                <w:bCs/>
                <w:sz w:val="24"/>
                <w:szCs w:val="24"/>
              </w:rPr>
              <w:t>Annualized Cost</w:t>
            </w:r>
          </w:p>
        </w:tc>
      </w:tr>
      <w:tr w14:paraId="0EF80F41" w14:textId="77777777" w:rsidTr="00E74482">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49F0" w:rsidRPr="00E74482" w:rsidP="00E74482" w14:paraId="475881FD" w14:textId="77777777">
            <w:pPr>
              <w:rPr>
                <w:sz w:val="24"/>
                <w:szCs w:val="24"/>
              </w:rPr>
            </w:pPr>
            <w:r w:rsidRPr="00E74482">
              <w:rPr>
                <w:sz w:val="24"/>
                <w:szCs w:val="24"/>
              </w:rPr>
              <w:t>Project Development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949F0" w:rsidRPr="00E74482" w:rsidP="00E74482" w14:paraId="20B9B240" w14:textId="22DC8543">
            <w:pPr>
              <w:jc w:val="center"/>
              <w:rPr>
                <w:sz w:val="24"/>
                <w:szCs w:val="24"/>
              </w:rPr>
            </w:pPr>
            <w:r w:rsidRPr="00E74482">
              <w:rPr>
                <w:sz w:val="24"/>
                <w:szCs w:val="24"/>
              </w:rPr>
              <w:t>$32,000</w:t>
            </w:r>
          </w:p>
        </w:tc>
      </w:tr>
      <w:tr w14:paraId="2AE3C12D" w14:textId="77777777" w:rsidTr="00E74482">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49F0" w:rsidRPr="00E74482" w:rsidP="00E74482" w14:paraId="5D6DE776" w14:textId="77777777">
            <w:pPr>
              <w:rPr>
                <w:sz w:val="24"/>
                <w:szCs w:val="24"/>
              </w:rPr>
            </w:pPr>
            <w:r w:rsidRPr="00E74482">
              <w:rPr>
                <w:sz w:val="24"/>
                <w:szCs w:val="24"/>
              </w:rPr>
              <w:t>Data Collection Activities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949F0" w:rsidRPr="00E74482" w:rsidP="00E74482" w14:paraId="550B3B03" w14:textId="00F11C75">
            <w:pPr>
              <w:jc w:val="center"/>
              <w:rPr>
                <w:sz w:val="24"/>
                <w:szCs w:val="24"/>
              </w:rPr>
            </w:pPr>
            <w:r w:rsidRPr="00E74482">
              <w:rPr>
                <w:sz w:val="24"/>
                <w:szCs w:val="24"/>
              </w:rPr>
              <w:t>$8,500</w:t>
            </w:r>
          </w:p>
        </w:tc>
      </w:tr>
      <w:tr w14:paraId="599B41B4" w14:textId="77777777" w:rsidTr="0061748F">
        <w:tblPrEx>
          <w:tblW w:w="0" w:type="auto"/>
          <w:tblInd w:w="108" w:type="dxa"/>
          <w:tblCellMar>
            <w:left w:w="0" w:type="dxa"/>
            <w:right w:w="0" w:type="dxa"/>
          </w:tblCellMar>
          <w:tblLook w:val="04A0"/>
        </w:tblPrEx>
        <w:tc>
          <w:tcPr>
            <w:tcW w:w="36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7949F0" w:rsidRPr="00E74482" w:rsidP="00E74482" w14:paraId="7E76A214" w14:textId="77777777">
            <w:pPr>
              <w:rPr>
                <w:sz w:val="24"/>
                <w:szCs w:val="24"/>
              </w:rPr>
            </w:pPr>
            <w:r w:rsidRPr="00E74482">
              <w:rPr>
                <w:sz w:val="24"/>
                <w:szCs w:val="24"/>
              </w:rPr>
              <w:t>Data Processing and Analysis</w:t>
            </w:r>
          </w:p>
        </w:tc>
        <w:tc>
          <w:tcPr>
            <w:tcW w:w="1980" w:type="dxa"/>
            <w:tcBorders>
              <w:top w:val="nil"/>
              <w:left w:val="nil"/>
              <w:bottom w:val="single" w:sz="12" w:space="0" w:color="auto"/>
              <w:right w:val="single" w:sz="8" w:space="0" w:color="auto"/>
            </w:tcBorders>
            <w:tcMar>
              <w:top w:w="0" w:type="dxa"/>
              <w:left w:w="108" w:type="dxa"/>
              <w:bottom w:w="0" w:type="dxa"/>
              <w:right w:w="108" w:type="dxa"/>
            </w:tcMar>
            <w:vAlign w:val="center"/>
          </w:tcPr>
          <w:p w:rsidR="007949F0" w:rsidRPr="00E74482" w:rsidP="00E74482" w14:paraId="0B79C585" w14:textId="3CDD6210">
            <w:pPr>
              <w:jc w:val="center"/>
              <w:rPr>
                <w:sz w:val="24"/>
                <w:szCs w:val="24"/>
              </w:rPr>
            </w:pPr>
            <w:r w:rsidRPr="00E74482">
              <w:rPr>
                <w:sz w:val="24"/>
                <w:szCs w:val="24"/>
              </w:rPr>
              <w:t>$30,000</w:t>
            </w:r>
          </w:p>
        </w:tc>
      </w:tr>
      <w:tr w14:paraId="53B22C5F" w14:textId="77777777" w:rsidTr="0061748F">
        <w:tblPrEx>
          <w:tblW w:w="0" w:type="auto"/>
          <w:tblInd w:w="108" w:type="dxa"/>
          <w:tblCellMar>
            <w:left w:w="0" w:type="dxa"/>
            <w:right w:w="0" w:type="dxa"/>
          </w:tblCellMar>
          <w:tblLook w:val="04A0"/>
        </w:tblPrEx>
        <w:tc>
          <w:tcPr>
            <w:tcW w:w="360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1748F" w:rsidRPr="0061748F" w:rsidP="00E74482" w14:paraId="14D9DAFC" w14:textId="30FE5773">
            <w:pPr>
              <w:rPr>
                <w:b/>
                <w:bCs/>
                <w:sz w:val="24"/>
                <w:szCs w:val="24"/>
              </w:rPr>
            </w:pPr>
            <w:r>
              <w:rPr>
                <w:b/>
                <w:bCs/>
                <w:sz w:val="24"/>
                <w:szCs w:val="24"/>
              </w:rPr>
              <w:t>Total</w:t>
            </w:r>
          </w:p>
        </w:tc>
        <w:tc>
          <w:tcPr>
            <w:tcW w:w="19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1748F" w:rsidRPr="0061748F" w:rsidP="00E74482" w14:paraId="04B2A009" w14:textId="35815644">
            <w:pPr>
              <w:jc w:val="center"/>
              <w:rPr>
                <w:b/>
                <w:bCs/>
                <w:sz w:val="24"/>
                <w:szCs w:val="24"/>
              </w:rPr>
            </w:pPr>
            <w:r w:rsidRPr="0061748F">
              <w:rPr>
                <w:b/>
                <w:bCs/>
                <w:sz w:val="24"/>
                <w:szCs w:val="24"/>
              </w:rPr>
              <w:t>$70,500</w:t>
            </w:r>
          </w:p>
        </w:tc>
      </w:tr>
    </w:tbl>
    <w:p w:rsidR="00E419A9" w:rsidP="00F0236B" w14:paraId="368AFF33" w14:textId="1DF72E13">
      <w:pPr>
        <w:rPr>
          <w:sz w:val="24"/>
          <w:szCs w:val="24"/>
        </w:rPr>
      </w:pPr>
    </w:p>
    <w:p w:rsidR="00E419A9" w:rsidP="00F0236B" w14:paraId="2E60E7ED" w14:textId="77777777">
      <w:pPr>
        <w:rPr>
          <w:sz w:val="24"/>
          <w:szCs w:val="24"/>
        </w:rPr>
      </w:pPr>
    </w:p>
    <w:p w:rsidR="0061748F" w:rsidP="00F0236B" w14:paraId="6E8C787C" w14:textId="77777777">
      <w:pPr>
        <w:rPr>
          <w:sz w:val="24"/>
          <w:szCs w:val="24"/>
        </w:rPr>
      </w:pPr>
    </w:p>
    <w:p w:rsidR="00E419A9" w:rsidP="00F0236B" w14:paraId="7E7E1B5F" w14:textId="7E9FB4AB">
      <w:pPr>
        <w:rPr>
          <w:sz w:val="24"/>
          <w:szCs w:val="24"/>
        </w:rPr>
      </w:pPr>
      <w:r>
        <w:rPr>
          <w:sz w:val="24"/>
          <w:szCs w:val="24"/>
        </w:rPr>
        <w:t xml:space="preserve">Exhibit 3b shows the estimated federal government personnel costs.  </w:t>
      </w:r>
      <w:r w:rsidR="004A4EF7">
        <w:rPr>
          <w:sz w:val="24"/>
          <w:szCs w:val="24"/>
        </w:rPr>
        <w:t xml:space="preserve">The estimated federal government personnel cost is approximately $49,133.40. </w:t>
      </w:r>
    </w:p>
    <w:p w:rsidR="006E7025" w:rsidP="00F0236B" w14:paraId="4FE30F0A" w14:textId="54C4C37B">
      <w:pPr>
        <w:rPr>
          <w:sz w:val="24"/>
          <w:szCs w:val="24"/>
        </w:rPr>
      </w:pPr>
    </w:p>
    <w:p w:rsidR="006E7025" w:rsidP="00F0236B" w14:paraId="1B8C1F27" w14:textId="6993C9FF">
      <w:pPr>
        <w:rPr>
          <w:sz w:val="24"/>
          <w:szCs w:val="24"/>
        </w:rPr>
      </w:pPr>
    </w:p>
    <w:p w:rsidR="006E7025" w:rsidP="00F0236B" w14:paraId="65B929A1" w14:textId="77777777">
      <w:pPr>
        <w:rPr>
          <w:sz w:val="24"/>
          <w:szCs w:val="24"/>
        </w:rPr>
      </w:pPr>
    </w:p>
    <w:p w:rsidR="00E419A9" w:rsidRPr="00E419A9" w:rsidP="00F0236B" w14:paraId="0EA24056" w14:textId="77777777">
      <w:pPr>
        <w:rPr>
          <w:sz w:val="24"/>
          <w:szCs w:val="24"/>
        </w:rPr>
      </w:pPr>
    </w:p>
    <w:p w:rsidR="00E419A9" w:rsidP="00F0236B" w14:paraId="3155E4F2" w14:textId="473CD68E">
      <w:pPr>
        <w:rPr>
          <w:sz w:val="24"/>
          <w:szCs w:val="24"/>
        </w:rPr>
      </w:pPr>
    </w:p>
    <w:p w:rsidR="00E419A9" w:rsidRPr="00E419A9" w:rsidP="00F0236B" w14:paraId="03FFF0BD" w14:textId="77777777">
      <w:pPr>
        <w:rPr>
          <w:sz w:val="24"/>
          <w:szCs w:val="24"/>
        </w:rPr>
      </w:pPr>
    </w:p>
    <w:p w:rsidR="0061748F" w:rsidP="00E419A9" w14:paraId="05A2D3E1" w14:textId="77777777">
      <w:pPr>
        <w:ind w:firstLine="90"/>
        <w:rPr>
          <w:b/>
          <w:sz w:val="24"/>
          <w:szCs w:val="24"/>
        </w:rPr>
      </w:pPr>
    </w:p>
    <w:p w:rsidR="00E419A9" w:rsidRPr="00E419A9" w:rsidP="00E419A9" w14:paraId="51434C92" w14:textId="5CA01DC4">
      <w:pPr>
        <w:ind w:firstLine="90"/>
        <w:rPr>
          <w:b/>
          <w:sz w:val="24"/>
          <w:szCs w:val="24"/>
        </w:rPr>
      </w:pPr>
      <w:r w:rsidRPr="00E419A9">
        <w:rPr>
          <w:b/>
          <w:sz w:val="24"/>
          <w:szCs w:val="24"/>
        </w:rPr>
        <w:t>Exhibit 3b. Federal Government Personnel Cost</w:t>
      </w:r>
    </w:p>
    <w:tbl>
      <w:tblPr>
        <w:tblW w:w="9135" w:type="dxa"/>
        <w:tblInd w:w="-10" w:type="dxa"/>
        <w:tblLayout w:type="fixed"/>
        <w:tblCellMar>
          <w:left w:w="0" w:type="dxa"/>
          <w:right w:w="0" w:type="dxa"/>
        </w:tblCellMar>
        <w:tblLook w:val="04A0"/>
      </w:tblPr>
      <w:tblGrid>
        <w:gridCol w:w="3006"/>
        <w:gridCol w:w="806"/>
        <w:gridCol w:w="979"/>
        <w:gridCol w:w="1448"/>
        <w:gridCol w:w="1114"/>
        <w:gridCol w:w="1782"/>
      </w:tblGrid>
      <w:tr w14:paraId="02E115F0" w14:textId="77777777" w:rsidTr="00CF61D1">
        <w:tblPrEx>
          <w:tblW w:w="9135" w:type="dxa"/>
          <w:tblInd w:w="-10" w:type="dxa"/>
          <w:tblLayout w:type="fixed"/>
          <w:tblCellMar>
            <w:left w:w="0" w:type="dxa"/>
            <w:right w:w="0" w:type="dxa"/>
          </w:tblCellMar>
          <w:tblLook w:val="04A0"/>
        </w:tblPrEx>
        <w:trPr>
          <w:trHeight w:val="572"/>
        </w:trPr>
        <w:tc>
          <w:tcPr>
            <w:tcW w:w="3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F61D1" w:rsidRPr="00CF61D1" w:rsidP="00650699" w14:paraId="39DE76D3" w14:textId="77777777">
            <w:pPr>
              <w:rPr>
                <w:rFonts w:eastAsia="Calibri"/>
                <w:b/>
                <w:bCs/>
                <w:sz w:val="24"/>
                <w:szCs w:val="24"/>
              </w:rPr>
            </w:pPr>
            <w:r w:rsidRPr="00CF61D1">
              <w:rPr>
                <w:b/>
                <w:bCs/>
                <w:color w:val="000000"/>
                <w:sz w:val="24"/>
                <w:szCs w:val="24"/>
              </w:rPr>
              <w:t>Tasks/Personnel</w:t>
            </w:r>
          </w:p>
        </w:tc>
        <w:tc>
          <w:tcPr>
            <w:tcW w:w="806" w:type="dxa"/>
            <w:tcBorders>
              <w:top w:val="single" w:sz="8" w:space="0" w:color="auto"/>
              <w:left w:val="nil"/>
              <w:bottom w:val="single" w:sz="8" w:space="0" w:color="auto"/>
              <w:right w:val="nil"/>
            </w:tcBorders>
            <w:hideMark/>
          </w:tcPr>
          <w:p w:rsidR="00CF61D1" w:rsidRPr="00CF61D1" w:rsidP="00650699" w14:paraId="26815D8A" w14:textId="77777777">
            <w:pPr>
              <w:jc w:val="center"/>
              <w:rPr>
                <w:rFonts w:eastAsia="Calibri"/>
                <w:b/>
                <w:bCs/>
                <w:sz w:val="24"/>
                <w:szCs w:val="24"/>
              </w:rPr>
            </w:pPr>
            <w:r w:rsidRPr="00CF61D1">
              <w:rPr>
                <w:b/>
                <w:bCs/>
                <w:sz w:val="24"/>
                <w:szCs w:val="24"/>
              </w:rPr>
              <w:t>Staff</w:t>
            </w:r>
          </w:p>
          <w:p w:rsidR="00CF61D1" w:rsidRPr="00CF61D1" w:rsidP="00650699" w14:paraId="4BEE3C4B" w14:textId="77777777">
            <w:pPr>
              <w:jc w:val="center"/>
              <w:rPr>
                <w:rFonts w:eastAsia="Calibri"/>
                <w:b/>
                <w:bCs/>
                <w:sz w:val="24"/>
                <w:szCs w:val="24"/>
              </w:rPr>
            </w:pPr>
            <w:r w:rsidRPr="00CF61D1">
              <w:rPr>
                <w:b/>
                <w:bCs/>
                <w:sz w:val="24"/>
                <w:szCs w:val="24"/>
              </w:rPr>
              <w:t>Count</w:t>
            </w:r>
          </w:p>
        </w:tc>
        <w:tc>
          <w:tcPr>
            <w:tcW w:w="979" w:type="dxa"/>
            <w:tcBorders>
              <w:top w:val="single" w:sz="8" w:space="0" w:color="auto"/>
              <w:left w:val="nil"/>
              <w:bottom w:val="single" w:sz="8" w:space="0" w:color="auto"/>
              <w:right w:val="single" w:sz="8" w:space="0" w:color="auto"/>
            </w:tcBorders>
          </w:tcPr>
          <w:p w:rsidR="00CF61D1" w:rsidRPr="00CF61D1" w:rsidP="00650699" w14:paraId="0D8BD5D4" w14:textId="77777777">
            <w:pPr>
              <w:rPr>
                <w:rFonts w:eastAsia="Calibri"/>
                <w:b/>
                <w:bCs/>
                <w:sz w:val="24"/>
                <w:szCs w:val="24"/>
              </w:rPr>
            </w:pP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4896CB8E" w14:textId="77777777">
            <w:pPr>
              <w:jc w:val="center"/>
              <w:rPr>
                <w:rFonts w:eastAsia="Calibri"/>
                <w:b/>
                <w:bCs/>
                <w:sz w:val="24"/>
                <w:szCs w:val="24"/>
              </w:rPr>
            </w:pPr>
            <w:r w:rsidRPr="00CF61D1">
              <w:rPr>
                <w:b/>
                <w:bCs/>
                <w:sz w:val="24"/>
                <w:szCs w:val="24"/>
              </w:rPr>
              <w:t>Annual Salary</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5C0BE080" w14:textId="77777777">
            <w:pPr>
              <w:jc w:val="center"/>
              <w:rPr>
                <w:rFonts w:eastAsia="Calibri"/>
                <w:b/>
                <w:bCs/>
                <w:sz w:val="24"/>
                <w:szCs w:val="24"/>
              </w:rPr>
            </w:pPr>
            <w:r w:rsidRPr="00CF61D1">
              <w:rPr>
                <w:b/>
                <w:bCs/>
                <w:sz w:val="24"/>
                <w:szCs w:val="24"/>
              </w:rPr>
              <w:t>% of Time</w:t>
            </w:r>
          </w:p>
        </w:tc>
        <w:tc>
          <w:tcPr>
            <w:tcW w:w="1782" w:type="dxa"/>
            <w:tcBorders>
              <w:top w:val="single" w:sz="8" w:space="0" w:color="auto"/>
              <w:left w:val="nil"/>
              <w:bottom w:val="single" w:sz="8" w:space="0" w:color="auto"/>
              <w:right w:val="single" w:sz="8" w:space="0" w:color="auto"/>
            </w:tcBorders>
          </w:tcPr>
          <w:p w:rsidR="00CF61D1" w:rsidRPr="00CF61D1" w:rsidP="00650699" w14:paraId="4EB06724" w14:textId="77777777">
            <w:pPr>
              <w:jc w:val="center"/>
              <w:rPr>
                <w:rFonts w:eastAsia="Calibri"/>
                <w:b/>
                <w:bCs/>
                <w:sz w:val="24"/>
                <w:szCs w:val="24"/>
              </w:rPr>
            </w:pPr>
          </w:p>
          <w:p w:rsidR="00CF61D1" w:rsidRPr="00CF61D1" w:rsidP="00650699" w14:paraId="6071A558" w14:textId="77777777">
            <w:pPr>
              <w:jc w:val="center"/>
              <w:rPr>
                <w:rFonts w:eastAsia="Calibri"/>
                <w:b/>
                <w:bCs/>
                <w:sz w:val="24"/>
                <w:szCs w:val="24"/>
              </w:rPr>
            </w:pPr>
            <w:r w:rsidRPr="00CF61D1">
              <w:rPr>
                <w:b/>
                <w:bCs/>
                <w:sz w:val="24"/>
                <w:szCs w:val="24"/>
              </w:rPr>
              <w:t>Cost</w:t>
            </w:r>
          </w:p>
        </w:tc>
      </w:tr>
      <w:tr w14:paraId="12CD0F50" w14:textId="77777777" w:rsidTr="00CF61D1">
        <w:tblPrEx>
          <w:tblW w:w="9135" w:type="dxa"/>
          <w:tblInd w:w="-10" w:type="dxa"/>
          <w:tblLayout w:type="fixed"/>
          <w:tblCellMar>
            <w:left w:w="0" w:type="dxa"/>
            <w:right w:w="0" w:type="dxa"/>
          </w:tblCellMar>
          <w:tblLook w:val="04A0"/>
        </w:tblPrEx>
        <w:trPr>
          <w:trHeight w:val="260"/>
        </w:trPr>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10133A0F" w14:textId="77777777">
            <w:pPr>
              <w:rPr>
                <w:rFonts w:eastAsia="Calibri"/>
                <w:sz w:val="24"/>
                <w:szCs w:val="24"/>
              </w:rPr>
            </w:pPr>
            <w:r w:rsidRPr="00CF61D1">
              <w:rPr>
                <w:sz w:val="24"/>
                <w:szCs w:val="24"/>
              </w:rPr>
              <w:t>Management Support: GS-15, Step 5 average</w:t>
            </w:r>
          </w:p>
        </w:tc>
        <w:tc>
          <w:tcPr>
            <w:tcW w:w="806" w:type="dxa"/>
            <w:tcBorders>
              <w:top w:val="nil"/>
              <w:left w:val="nil"/>
              <w:bottom w:val="single" w:sz="8" w:space="0" w:color="auto"/>
              <w:right w:val="nil"/>
            </w:tcBorders>
          </w:tcPr>
          <w:p w:rsidR="00CF61D1" w:rsidRPr="00CF61D1" w:rsidP="00650699" w14:paraId="3F0A5A0C" w14:textId="5BB4EBAA">
            <w:pPr>
              <w:jc w:val="right"/>
              <w:rPr>
                <w:rFonts w:eastAsia="Calibri"/>
                <w:sz w:val="24"/>
                <w:szCs w:val="24"/>
              </w:rPr>
            </w:pPr>
          </w:p>
        </w:tc>
        <w:tc>
          <w:tcPr>
            <w:tcW w:w="979" w:type="dxa"/>
            <w:tcBorders>
              <w:top w:val="nil"/>
              <w:left w:val="nil"/>
              <w:bottom w:val="single" w:sz="8" w:space="0" w:color="auto"/>
              <w:right w:val="single" w:sz="8" w:space="0" w:color="auto"/>
            </w:tcBorders>
          </w:tcPr>
          <w:p w:rsidR="00CF61D1" w:rsidRPr="00CF61D1" w:rsidP="00CF61D1" w14:paraId="0B2D5E92" w14:textId="46C1CB2C">
            <w:pPr>
              <w:rPr>
                <w:rFonts w:eastAsia="Calibri"/>
                <w:sz w:val="24"/>
                <w:szCs w:val="24"/>
              </w:rPr>
            </w:pPr>
            <w:r w:rsidRPr="00CF61D1">
              <w:rPr>
                <w:rFonts w:eastAsia="Calibri"/>
                <w:sz w:val="24"/>
                <w:szCs w:val="24"/>
              </w:rPr>
              <w:t>1</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6691C334" w14:textId="77777777">
            <w:pPr>
              <w:jc w:val="right"/>
              <w:rPr>
                <w:rFonts w:eastAsia="Calibri"/>
                <w:sz w:val="24"/>
                <w:szCs w:val="24"/>
              </w:rPr>
            </w:pPr>
          </w:p>
          <w:p w:rsidR="00CF61D1" w:rsidRPr="00CF61D1" w:rsidP="00650699" w14:paraId="00FA9CA1" w14:textId="748DA122">
            <w:pPr>
              <w:jc w:val="right"/>
              <w:rPr>
                <w:rFonts w:eastAsia="Calibri"/>
                <w:sz w:val="24"/>
                <w:szCs w:val="24"/>
              </w:rPr>
            </w:pPr>
            <w:r w:rsidRPr="00CF61D1">
              <w:rPr>
                <w:color w:val="363636"/>
                <w:sz w:val="24"/>
                <w:szCs w:val="24"/>
                <w:shd w:val="clear" w:color="auto" w:fill="FFFFFF"/>
              </w:rPr>
              <w:t>$168,282</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29576DD5" w14:textId="77777777">
            <w:pPr>
              <w:jc w:val="right"/>
              <w:rPr>
                <w:rFonts w:eastAsia="Calibri"/>
                <w:sz w:val="24"/>
                <w:szCs w:val="24"/>
              </w:rPr>
            </w:pPr>
          </w:p>
          <w:p w:rsidR="00CF61D1" w:rsidRPr="00CF61D1" w:rsidP="00650699" w14:paraId="1A1D57B4" w14:textId="255F0319">
            <w:pPr>
              <w:jc w:val="right"/>
              <w:rPr>
                <w:rFonts w:eastAsia="Calibri"/>
                <w:sz w:val="24"/>
                <w:szCs w:val="24"/>
              </w:rPr>
            </w:pPr>
            <w:r w:rsidRPr="00CF61D1">
              <w:rPr>
                <w:sz w:val="24"/>
                <w:szCs w:val="24"/>
              </w:rPr>
              <w:t>5%</w:t>
            </w:r>
          </w:p>
        </w:tc>
        <w:tc>
          <w:tcPr>
            <w:tcW w:w="1782" w:type="dxa"/>
            <w:tcBorders>
              <w:top w:val="nil"/>
              <w:left w:val="nil"/>
              <w:bottom w:val="single" w:sz="8" w:space="0" w:color="auto"/>
              <w:right w:val="single" w:sz="8" w:space="0" w:color="auto"/>
            </w:tcBorders>
          </w:tcPr>
          <w:p w:rsidR="00CF61D1" w:rsidRPr="00CF61D1" w:rsidP="00650699" w14:paraId="72BA52C4" w14:textId="77777777">
            <w:pPr>
              <w:jc w:val="right"/>
              <w:rPr>
                <w:rFonts w:eastAsia="Calibri"/>
                <w:sz w:val="24"/>
                <w:szCs w:val="24"/>
              </w:rPr>
            </w:pPr>
          </w:p>
          <w:p w:rsidR="00CF61D1" w:rsidRPr="00CF61D1" w:rsidP="00650699" w14:paraId="71061E80" w14:textId="34D65920">
            <w:pPr>
              <w:jc w:val="right"/>
              <w:rPr>
                <w:rFonts w:eastAsia="Calibri"/>
                <w:sz w:val="24"/>
                <w:szCs w:val="24"/>
              </w:rPr>
            </w:pPr>
            <w:r>
              <w:rPr>
                <w:rFonts w:eastAsia="Calibri"/>
                <w:sz w:val="24"/>
                <w:szCs w:val="24"/>
              </w:rPr>
              <w:t>$8,414.1</w:t>
            </w:r>
          </w:p>
        </w:tc>
      </w:tr>
      <w:tr w14:paraId="74271E9C" w14:textId="77777777" w:rsidTr="00CF61D1">
        <w:tblPrEx>
          <w:tblW w:w="9135" w:type="dxa"/>
          <w:tblInd w:w="-10" w:type="dxa"/>
          <w:tblLayout w:type="fixed"/>
          <w:tblCellMar>
            <w:left w:w="0" w:type="dxa"/>
            <w:right w:w="0" w:type="dxa"/>
          </w:tblCellMar>
          <w:tblLook w:val="04A0"/>
        </w:tblPrEx>
        <w:trPr>
          <w:trHeight w:val="391"/>
        </w:trPr>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5FD11872" w14:textId="77777777">
            <w:pPr>
              <w:rPr>
                <w:rFonts w:eastAsia="Calibri"/>
                <w:sz w:val="24"/>
                <w:szCs w:val="24"/>
              </w:rPr>
            </w:pPr>
            <w:r w:rsidRPr="00CF61D1">
              <w:rPr>
                <w:sz w:val="24"/>
                <w:szCs w:val="24"/>
              </w:rPr>
              <w:t>Survey/Statistical Support: GS-14, Step 5 average</w:t>
            </w:r>
          </w:p>
        </w:tc>
        <w:tc>
          <w:tcPr>
            <w:tcW w:w="806" w:type="dxa"/>
            <w:tcBorders>
              <w:top w:val="nil"/>
              <w:left w:val="nil"/>
              <w:bottom w:val="single" w:sz="8" w:space="0" w:color="auto"/>
              <w:right w:val="nil"/>
            </w:tcBorders>
          </w:tcPr>
          <w:p w:rsidR="00CF61D1" w:rsidRPr="00CF61D1" w:rsidP="00650699" w14:paraId="73A3C9F1" w14:textId="77777777">
            <w:pPr>
              <w:jc w:val="right"/>
              <w:rPr>
                <w:rFonts w:eastAsia="Calibri"/>
                <w:sz w:val="24"/>
                <w:szCs w:val="24"/>
              </w:rPr>
            </w:pPr>
          </w:p>
          <w:p w:rsidR="00CF61D1" w:rsidRPr="00CF61D1" w:rsidP="00650699" w14:paraId="6D871E68" w14:textId="5AB72899">
            <w:pPr>
              <w:jc w:val="right"/>
              <w:rPr>
                <w:rFonts w:eastAsia="Calibri"/>
                <w:sz w:val="24"/>
                <w:szCs w:val="24"/>
              </w:rPr>
            </w:pPr>
            <w:r>
              <w:rPr>
                <w:rFonts w:eastAsia="Calibri"/>
                <w:sz w:val="24"/>
                <w:szCs w:val="24"/>
              </w:rPr>
              <w:t xml:space="preserve">  </w:t>
            </w:r>
            <w:r w:rsidRPr="00CF61D1">
              <w:rPr>
                <w:rFonts w:eastAsia="Calibri"/>
                <w:sz w:val="24"/>
                <w:szCs w:val="24"/>
              </w:rPr>
              <w:t>2</w:t>
            </w:r>
          </w:p>
        </w:tc>
        <w:tc>
          <w:tcPr>
            <w:tcW w:w="979" w:type="dxa"/>
            <w:tcBorders>
              <w:top w:val="nil"/>
              <w:left w:val="nil"/>
              <w:bottom w:val="single" w:sz="8" w:space="0" w:color="auto"/>
              <w:right w:val="single" w:sz="8" w:space="0" w:color="auto"/>
            </w:tcBorders>
          </w:tcPr>
          <w:p w:rsidR="00CF61D1" w:rsidRPr="00CF61D1" w:rsidP="00CF61D1" w14:paraId="73A65F5C" w14:textId="77777777">
            <w:pPr>
              <w:rPr>
                <w:rFonts w:eastAsia="Calibri"/>
                <w:sz w:val="24"/>
                <w:szCs w:val="24"/>
              </w:rPr>
            </w:pP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50A535B2" w14:textId="2A881E29">
            <w:pPr>
              <w:jc w:val="right"/>
              <w:rPr>
                <w:rFonts w:eastAsia="Calibri"/>
                <w:sz w:val="24"/>
                <w:szCs w:val="24"/>
              </w:rPr>
            </w:pPr>
            <w:r w:rsidRPr="00CF61D1">
              <w:rPr>
                <w:sz w:val="24"/>
                <w:szCs w:val="24"/>
              </w:rPr>
              <w:t>$</w:t>
            </w:r>
            <w:r w:rsidRPr="00CF61D1">
              <w:rPr>
                <w:color w:val="363636"/>
                <w:sz w:val="24"/>
                <w:szCs w:val="24"/>
                <w:shd w:val="clear" w:color="auto" w:fill="FFFFFF"/>
              </w:rPr>
              <w:t>143,064</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6D09CF71" w14:textId="41D07FE3">
            <w:pPr>
              <w:jc w:val="right"/>
              <w:rPr>
                <w:rFonts w:eastAsia="Calibri"/>
                <w:sz w:val="24"/>
                <w:szCs w:val="24"/>
              </w:rPr>
            </w:pPr>
            <w:r w:rsidRPr="00CF61D1">
              <w:rPr>
                <w:sz w:val="24"/>
                <w:szCs w:val="24"/>
              </w:rPr>
              <w:t>10%</w:t>
            </w:r>
          </w:p>
        </w:tc>
        <w:tc>
          <w:tcPr>
            <w:tcW w:w="1782" w:type="dxa"/>
            <w:tcBorders>
              <w:top w:val="nil"/>
              <w:left w:val="nil"/>
              <w:bottom w:val="single" w:sz="8" w:space="0" w:color="auto"/>
              <w:right w:val="single" w:sz="8" w:space="0" w:color="auto"/>
            </w:tcBorders>
          </w:tcPr>
          <w:p w:rsidR="00CF61D1" w:rsidRPr="00CF61D1" w:rsidP="00650699" w14:paraId="2C6823D4" w14:textId="0AE4C32E">
            <w:pPr>
              <w:jc w:val="right"/>
              <w:rPr>
                <w:rFonts w:eastAsia="Calibri"/>
                <w:sz w:val="24"/>
                <w:szCs w:val="24"/>
              </w:rPr>
            </w:pPr>
          </w:p>
          <w:p w:rsidR="00CF61D1" w:rsidRPr="00CF61D1" w:rsidP="00650699" w14:paraId="32334692" w14:textId="5143764A">
            <w:pPr>
              <w:jc w:val="right"/>
              <w:rPr>
                <w:rFonts w:eastAsia="Calibri"/>
                <w:sz w:val="24"/>
                <w:szCs w:val="24"/>
              </w:rPr>
            </w:pPr>
            <w:r>
              <w:rPr>
                <w:rFonts w:eastAsia="Calibri"/>
                <w:sz w:val="24"/>
                <w:szCs w:val="24"/>
              </w:rPr>
              <w:t>$28,612.8</w:t>
            </w:r>
          </w:p>
        </w:tc>
      </w:tr>
      <w:tr w14:paraId="425F269F" w14:textId="77777777" w:rsidTr="00CF61D1">
        <w:tblPrEx>
          <w:tblW w:w="9135" w:type="dxa"/>
          <w:tblInd w:w="-10" w:type="dxa"/>
          <w:tblLayout w:type="fixed"/>
          <w:tblCellMar>
            <w:left w:w="0" w:type="dxa"/>
            <w:right w:w="0" w:type="dxa"/>
          </w:tblCellMar>
          <w:tblLook w:val="04A0"/>
        </w:tblPrEx>
        <w:trPr>
          <w:trHeight w:val="391"/>
        </w:trPr>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1BCE4321" w14:textId="77777777">
            <w:pPr>
              <w:rPr>
                <w:rFonts w:eastAsia="Calibri"/>
                <w:sz w:val="24"/>
                <w:szCs w:val="24"/>
              </w:rPr>
            </w:pPr>
            <w:r w:rsidRPr="00CF61D1">
              <w:rPr>
                <w:sz w:val="24"/>
                <w:szCs w:val="24"/>
              </w:rPr>
              <w:t>Research Support: GS-13, Step 5 average</w:t>
            </w:r>
          </w:p>
        </w:tc>
        <w:tc>
          <w:tcPr>
            <w:tcW w:w="806" w:type="dxa"/>
            <w:tcBorders>
              <w:top w:val="nil"/>
              <w:left w:val="nil"/>
              <w:bottom w:val="single" w:sz="8" w:space="0" w:color="auto"/>
              <w:right w:val="nil"/>
            </w:tcBorders>
          </w:tcPr>
          <w:p w:rsidR="00CF61D1" w:rsidRPr="00CF61D1" w:rsidP="00650699" w14:paraId="52F21796" w14:textId="77777777">
            <w:pPr>
              <w:jc w:val="right"/>
              <w:rPr>
                <w:rFonts w:eastAsia="Calibri"/>
                <w:sz w:val="24"/>
                <w:szCs w:val="24"/>
              </w:rPr>
            </w:pPr>
          </w:p>
          <w:p w:rsidR="00CF61D1" w:rsidRPr="00CF61D1" w:rsidP="00650699" w14:paraId="2C7FC416" w14:textId="77777777">
            <w:pPr>
              <w:jc w:val="right"/>
              <w:rPr>
                <w:rFonts w:eastAsia="Calibri"/>
                <w:sz w:val="24"/>
                <w:szCs w:val="24"/>
              </w:rPr>
            </w:pPr>
            <w:r w:rsidRPr="00CF61D1">
              <w:rPr>
                <w:rFonts w:eastAsia="Calibri"/>
                <w:sz w:val="24"/>
                <w:szCs w:val="24"/>
              </w:rPr>
              <w:t>1</w:t>
            </w:r>
          </w:p>
        </w:tc>
        <w:tc>
          <w:tcPr>
            <w:tcW w:w="979" w:type="dxa"/>
            <w:tcBorders>
              <w:top w:val="nil"/>
              <w:left w:val="nil"/>
              <w:bottom w:val="single" w:sz="8" w:space="0" w:color="auto"/>
              <w:right w:val="single" w:sz="8" w:space="0" w:color="auto"/>
            </w:tcBorders>
          </w:tcPr>
          <w:p w:rsidR="00CF61D1" w:rsidRPr="00CF61D1" w:rsidP="00650699" w14:paraId="3C925DBA" w14:textId="77777777">
            <w:pPr>
              <w:jc w:val="right"/>
              <w:rPr>
                <w:rFonts w:eastAsia="Calibri"/>
                <w:sz w:val="24"/>
                <w:szCs w:val="24"/>
              </w:rPr>
            </w:pP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56228B53" w14:textId="77777777">
            <w:pPr>
              <w:jc w:val="right"/>
              <w:rPr>
                <w:rFonts w:eastAsia="Calibri"/>
                <w:sz w:val="24"/>
                <w:szCs w:val="24"/>
              </w:rPr>
            </w:pPr>
          </w:p>
          <w:p w:rsidR="00CF61D1" w:rsidRPr="00CF61D1" w:rsidP="00650699" w14:paraId="0647D86E" w14:textId="43297870">
            <w:pPr>
              <w:jc w:val="right"/>
              <w:rPr>
                <w:rFonts w:eastAsia="Calibri"/>
                <w:sz w:val="24"/>
                <w:szCs w:val="24"/>
              </w:rPr>
            </w:pPr>
            <w:r w:rsidRPr="00CF61D1">
              <w:rPr>
                <w:sz w:val="24"/>
                <w:szCs w:val="24"/>
              </w:rPr>
              <w:t>$</w:t>
            </w:r>
            <w:r w:rsidRPr="00CF61D1">
              <w:rPr>
                <w:color w:val="363636"/>
                <w:sz w:val="24"/>
                <w:szCs w:val="24"/>
                <w:shd w:val="clear" w:color="auto" w:fill="FFFFFF"/>
              </w:rPr>
              <w:t>121,065</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0D46AF4F" w14:textId="77777777">
            <w:pPr>
              <w:jc w:val="right"/>
              <w:rPr>
                <w:rFonts w:eastAsia="Calibri"/>
                <w:sz w:val="24"/>
                <w:szCs w:val="24"/>
              </w:rPr>
            </w:pPr>
          </w:p>
          <w:p w:rsidR="00CF61D1" w:rsidRPr="00CF61D1" w:rsidP="00650699" w14:paraId="6BC017C7" w14:textId="342E17A7">
            <w:pPr>
              <w:jc w:val="right"/>
              <w:rPr>
                <w:rFonts w:eastAsia="Calibri"/>
                <w:sz w:val="24"/>
                <w:szCs w:val="24"/>
              </w:rPr>
            </w:pPr>
            <w:r w:rsidRPr="00CF61D1">
              <w:rPr>
                <w:sz w:val="24"/>
                <w:szCs w:val="24"/>
              </w:rPr>
              <w:t>10%</w:t>
            </w:r>
          </w:p>
        </w:tc>
        <w:tc>
          <w:tcPr>
            <w:tcW w:w="1782" w:type="dxa"/>
            <w:tcBorders>
              <w:top w:val="nil"/>
              <w:left w:val="nil"/>
              <w:bottom w:val="single" w:sz="8" w:space="0" w:color="auto"/>
              <w:right w:val="single" w:sz="8" w:space="0" w:color="auto"/>
            </w:tcBorders>
          </w:tcPr>
          <w:p w:rsidR="00CF61D1" w:rsidRPr="00CF61D1" w:rsidP="00650699" w14:paraId="435D2255" w14:textId="77777777">
            <w:pPr>
              <w:jc w:val="right"/>
              <w:rPr>
                <w:rFonts w:eastAsia="Calibri"/>
                <w:sz w:val="24"/>
                <w:szCs w:val="24"/>
              </w:rPr>
            </w:pPr>
          </w:p>
          <w:p w:rsidR="00CF61D1" w:rsidRPr="00CF61D1" w:rsidP="00650699" w14:paraId="66FAE63A" w14:textId="02C88CA3">
            <w:pPr>
              <w:jc w:val="right"/>
              <w:rPr>
                <w:rFonts w:eastAsia="Calibri"/>
                <w:sz w:val="24"/>
                <w:szCs w:val="24"/>
              </w:rPr>
            </w:pPr>
            <w:r>
              <w:rPr>
                <w:rFonts w:eastAsia="Calibri"/>
                <w:sz w:val="24"/>
                <w:szCs w:val="24"/>
              </w:rPr>
              <w:t>$12,106.5</w:t>
            </w:r>
          </w:p>
        </w:tc>
      </w:tr>
      <w:tr w14:paraId="4D7193AF" w14:textId="77777777" w:rsidTr="00CF61D1">
        <w:tblPrEx>
          <w:tblW w:w="9135" w:type="dxa"/>
          <w:tblInd w:w="-10" w:type="dxa"/>
          <w:tblLayout w:type="fixed"/>
          <w:tblCellMar>
            <w:left w:w="0" w:type="dxa"/>
            <w:right w:w="0" w:type="dxa"/>
          </w:tblCellMar>
          <w:tblLook w:val="04A0"/>
        </w:tblPrEx>
        <w:trPr>
          <w:trHeight w:val="280"/>
        </w:trPr>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1D1" w:rsidRPr="00CF61D1" w:rsidP="00650699" w14:paraId="0D0E710E" w14:textId="77777777">
            <w:pPr>
              <w:rPr>
                <w:rFonts w:eastAsia="Calibri"/>
                <w:sz w:val="24"/>
                <w:szCs w:val="24"/>
              </w:rPr>
            </w:pPr>
            <w:r w:rsidRPr="00CF61D1">
              <w:rPr>
                <w:b/>
                <w:bCs/>
                <w:color w:val="000000"/>
                <w:sz w:val="24"/>
                <w:szCs w:val="24"/>
              </w:rPr>
              <w:t>Total</w:t>
            </w:r>
          </w:p>
        </w:tc>
        <w:tc>
          <w:tcPr>
            <w:tcW w:w="806" w:type="dxa"/>
            <w:tcBorders>
              <w:top w:val="nil"/>
              <w:left w:val="nil"/>
              <w:bottom w:val="single" w:sz="8" w:space="0" w:color="auto"/>
              <w:right w:val="nil"/>
            </w:tcBorders>
          </w:tcPr>
          <w:p w:rsidR="00CF61D1" w:rsidRPr="00CF61D1" w:rsidP="00650699" w14:paraId="7E13D450" w14:textId="77777777">
            <w:pPr>
              <w:jc w:val="right"/>
              <w:rPr>
                <w:rFonts w:eastAsia="Calibri"/>
                <w:sz w:val="24"/>
                <w:szCs w:val="24"/>
              </w:rPr>
            </w:pPr>
          </w:p>
        </w:tc>
        <w:tc>
          <w:tcPr>
            <w:tcW w:w="979" w:type="dxa"/>
            <w:tcBorders>
              <w:top w:val="nil"/>
              <w:left w:val="nil"/>
              <w:bottom w:val="single" w:sz="8" w:space="0" w:color="auto"/>
              <w:right w:val="single" w:sz="8" w:space="0" w:color="auto"/>
            </w:tcBorders>
          </w:tcPr>
          <w:p w:rsidR="00CF61D1" w:rsidRPr="00CF61D1" w:rsidP="00650699" w14:paraId="59C50409" w14:textId="576FD713">
            <w:pPr>
              <w:jc w:val="right"/>
              <w:rPr>
                <w:rFonts w:eastAsia="Calibri"/>
                <w:sz w:val="24"/>
                <w:szCs w:val="24"/>
              </w:rPr>
            </w:pP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7638BA96" w14:textId="77777777">
            <w:pPr>
              <w:jc w:val="right"/>
              <w:rPr>
                <w:rFonts w:eastAsia="Calibri"/>
                <w:sz w:val="24"/>
                <w:szCs w:val="24"/>
              </w:rPr>
            </w:pP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61D1" w:rsidRPr="00CF61D1" w:rsidP="00650699" w14:paraId="795B0D37" w14:textId="77777777">
            <w:pPr>
              <w:jc w:val="right"/>
              <w:rPr>
                <w:rFonts w:eastAsia="Calibri"/>
                <w:sz w:val="24"/>
                <w:szCs w:val="24"/>
              </w:rPr>
            </w:pPr>
          </w:p>
        </w:tc>
        <w:tc>
          <w:tcPr>
            <w:tcW w:w="1782" w:type="dxa"/>
            <w:tcBorders>
              <w:top w:val="nil"/>
              <w:left w:val="nil"/>
              <w:bottom w:val="single" w:sz="8" w:space="0" w:color="auto"/>
              <w:right w:val="single" w:sz="8" w:space="0" w:color="auto"/>
            </w:tcBorders>
            <w:hideMark/>
          </w:tcPr>
          <w:p w:rsidR="00CF61D1" w:rsidRPr="00B75DFC" w:rsidP="00650699" w14:paraId="3516F995" w14:textId="36CF7900">
            <w:pPr>
              <w:jc w:val="right"/>
              <w:rPr>
                <w:rFonts w:eastAsia="Calibri"/>
                <w:b/>
                <w:bCs/>
                <w:sz w:val="24"/>
                <w:szCs w:val="24"/>
              </w:rPr>
            </w:pPr>
            <w:r w:rsidRPr="00B75DFC">
              <w:rPr>
                <w:rFonts w:eastAsia="Calibri"/>
                <w:b/>
                <w:bCs/>
                <w:sz w:val="24"/>
                <w:szCs w:val="24"/>
              </w:rPr>
              <w:t>$49,133.4</w:t>
            </w:r>
          </w:p>
        </w:tc>
      </w:tr>
    </w:tbl>
    <w:p w:rsidR="00CF61D1" w:rsidP="00E419A9" w14:paraId="0B12F467" w14:textId="77777777">
      <w:pPr>
        <w:rPr>
          <w:rFonts w:ascii="Calibri" w:hAnsi="Calibri"/>
          <w:color w:val="000000"/>
          <w:szCs w:val="22"/>
        </w:rPr>
      </w:pPr>
    </w:p>
    <w:p w:rsidR="00E419A9" w:rsidP="00E419A9" w14:paraId="0D3C8C10" w14:textId="5964CCD5">
      <w:r>
        <w:rPr>
          <w:rFonts w:ascii="Calibri" w:hAnsi="Calibri"/>
          <w:color w:val="000000"/>
          <w:szCs w:val="22"/>
        </w:rPr>
        <w:t>Annual salaries based on 20</w:t>
      </w:r>
      <w:r w:rsidR="00CF61D1">
        <w:rPr>
          <w:rFonts w:ascii="Calibri" w:hAnsi="Calibri"/>
          <w:color w:val="000000"/>
          <w:szCs w:val="22"/>
        </w:rPr>
        <w:t>22</w:t>
      </w:r>
      <w:r w:rsidRPr="000C6156">
        <w:rPr>
          <w:rFonts w:ascii="Calibri" w:hAnsi="Calibri"/>
          <w:color w:val="000000"/>
          <w:szCs w:val="22"/>
        </w:rPr>
        <w:t xml:space="preserve"> OPM Pay Schedule for Washington/DC area:</w:t>
      </w:r>
      <w:r w:rsidRPr="000C6156">
        <w:rPr>
          <w:rFonts w:ascii="Calibri" w:hAnsi="Calibri"/>
          <w:sz w:val="22"/>
          <w:szCs w:val="22"/>
        </w:rPr>
        <w:t xml:space="preserve"> </w:t>
      </w:r>
      <w:hyperlink r:id="rId6" w:history="1">
        <w:r w:rsidRPr="00EA6694" w:rsidR="00CF61D1">
          <w:rPr>
            <w:rStyle w:val="Hyperlink"/>
          </w:rPr>
          <w:t>https://www.opm.gov/policy-data-oversight/pay-leave/salaries-wages/salary-tables/22Tables/html/DCB.aspx</w:t>
        </w:r>
      </w:hyperlink>
    </w:p>
    <w:p w:rsidR="00CF61D1" w:rsidRPr="000C6156" w:rsidP="00E419A9" w14:paraId="150B69D7" w14:textId="77777777">
      <w:pPr>
        <w:rPr>
          <w:rFonts w:ascii="Calibri" w:hAnsi="Calibri"/>
          <w:sz w:val="22"/>
          <w:szCs w:val="22"/>
        </w:rPr>
      </w:pPr>
    </w:p>
    <w:p w:rsidR="00E419A9" w:rsidRPr="00F0236B" w:rsidP="00F0236B" w14:paraId="2054210E" w14:textId="77777777"/>
    <w:p w:rsidR="002D262B" w:rsidRPr="008C5826" w:rsidP="002D262B" w14:paraId="11A9935D" w14:textId="2A34B446">
      <w:pPr>
        <w:pStyle w:val="Heading2"/>
        <w:rPr>
          <w:color w:val="auto"/>
          <w:sz w:val="24"/>
          <w:szCs w:val="24"/>
        </w:rPr>
      </w:pPr>
      <w:r w:rsidRPr="008C5826">
        <w:rPr>
          <w:color w:val="auto"/>
          <w:sz w:val="24"/>
          <w:szCs w:val="24"/>
        </w:rPr>
        <w:t>1</w:t>
      </w:r>
      <w:r w:rsidR="00C15767">
        <w:rPr>
          <w:color w:val="auto"/>
          <w:sz w:val="24"/>
          <w:szCs w:val="24"/>
        </w:rPr>
        <w:t>5</w:t>
      </w:r>
      <w:r w:rsidRPr="008C5826">
        <w:rPr>
          <w:color w:val="auto"/>
          <w:sz w:val="24"/>
          <w:szCs w:val="24"/>
        </w:rPr>
        <w:t xml:space="preserve">.  </w:t>
      </w:r>
      <w:r w:rsidRPr="008C5826">
        <w:rPr>
          <w:color w:val="auto"/>
          <w:sz w:val="24"/>
          <w:szCs w:val="24"/>
          <w:u w:val="single"/>
        </w:rPr>
        <w:t>Change in Burden</w:t>
      </w:r>
      <w:bookmarkEnd w:id="23"/>
    </w:p>
    <w:p w:rsidR="00C8297F" w:rsidRPr="00CB177A" w:rsidP="002D262B" w14:paraId="3187150D" w14:textId="77777777">
      <w:pPr>
        <w:rPr>
          <w:sz w:val="24"/>
          <w:szCs w:val="24"/>
        </w:rPr>
      </w:pPr>
    </w:p>
    <w:p w:rsidR="002D262B" w:rsidRPr="00E11C70" w:rsidP="002D262B" w14:paraId="263F6B64" w14:textId="5F11FF3A">
      <w:pPr>
        <w:rPr>
          <w:sz w:val="24"/>
          <w:szCs w:val="24"/>
        </w:rPr>
      </w:pPr>
      <w:r w:rsidRPr="00A67C40">
        <w:rPr>
          <w:sz w:val="24"/>
          <w:szCs w:val="24"/>
        </w:rPr>
        <w:t xml:space="preserve">The total estimated annual burden hours for the MEPS have </w:t>
      </w:r>
      <w:r>
        <w:rPr>
          <w:sz w:val="24"/>
          <w:szCs w:val="24"/>
        </w:rPr>
        <w:t>increased</w:t>
      </w:r>
      <w:r w:rsidRPr="00A67C40">
        <w:rPr>
          <w:sz w:val="24"/>
          <w:szCs w:val="24"/>
        </w:rPr>
        <w:t xml:space="preserve"> from </w:t>
      </w:r>
      <w:r>
        <w:rPr>
          <w:sz w:val="24"/>
          <w:szCs w:val="24"/>
        </w:rPr>
        <w:t>88,309</w:t>
      </w:r>
      <w:r w:rsidRPr="00A67C40">
        <w:rPr>
          <w:sz w:val="24"/>
          <w:szCs w:val="24"/>
        </w:rPr>
        <w:t xml:space="preserve"> hours in the previous clearance to </w:t>
      </w:r>
      <w:r>
        <w:rPr>
          <w:sz w:val="24"/>
          <w:szCs w:val="24"/>
        </w:rPr>
        <w:t>88,531</w:t>
      </w:r>
      <w:r w:rsidRPr="00A67C40">
        <w:rPr>
          <w:sz w:val="24"/>
          <w:szCs w:val="24"/>
        </w:rPr>
        <w:t xml:space="preserve"> hours in this clearance request, a</w:t>
      </w:r>
      <w:r>
        <w:rPr>
          <w:sz w:val="24"/>
          <w:szCs w:val="24"/>
        </w:rPr>
        <w:t>n increase</w:t>
      </w:r>
      <w:r w:rsidRPr="00A67C40">
        <w:rPr>
          <w:sz w:val="24"/>
          <w:szCs w:val="24"/>
        </w:rPr>
        <w:t xml:space="preserve"> of</w:t>
      </w:r>
      <w:r>
        <w:rPr>
          <w:sz w:val="24"/>
          <w:szCs w:val="24"/>
        </w:rPr>
        <w:t xml:space="preserve"> 222</w:t>
      </w:r>
      <w:r w:rsidRPr="00A67C40">
        <w:rPr>
          <w:sz w:val="24"/>
          <w:szCs w:val="24"/>
        </w:rPr>
        <w:t xml:space="preserve"> hours </w:t>
      </w:r>
      <w:r w:rsidRPr="00E11C70">
        <w:rPr>
          <w:sz w:val="24"/>
          <w:szCs w:val="24"/>
        </w:rPr>
        <w:t>due to the addition of the COVID-19 related questions</w:t>
      </w:r>
      <w:r>
        <w:rPr>
          <w:sz w:val="24"/>
          <w:szCs w:val="24"/>
        </w:rPr>
        <w:t>.</w:t>
      </w:r>
    </w:p>
    <w:p w:rsidR="00F97A06" w:rsidRPr="00E11C70" w:rsidP="002D262B" w14:paraId="6A07A2BC" w14:textId="77777777">
      <w:pPr>
        <w:pStyle w:val="Heading2"/>
        <w:rPr>
          <w:color w:val="auto"/>
          <w:sz w:val="24"/>
          <w:szCs w:val="24"/>
        </w:rPr>
      </w:pPr>
      <w:bookmarkStart w:id="24" w:name="_Toc290559167"/>
    </w:p>
    <w:p w:rsidR="002D262B" w:rsidRPr="00E11C70" w:rsidP="002D262B" w14:paraId="41FAE41B" w14:textId="77777777">
      <w:pPr>
        <w:pStyle w:val="Heading2"/>
        <w:rPr>
          <w:b w:val="0"/>
          <w:color w:val="auto"/>
          <w:sz w:val="24"/>
          <w:szCs w:val="24"/>
        </w:rPr>
      </w:pPr>
      <w:r w:rsidRPr="00E11C70">
        <w:rPr>
          <w:color w:val="auto"/>
          <w:sz w:val="24"/>
          <w:szCs w:val="24"/>
        </w:rPr>
        <w:t>1</w:t>
      </w:r>
      <w:r w:rsidRPr="00E11C70" w:rsidR="00C15767">
        <w:rPr>
          <w:color w:val="auto"/>
          <w:sz w:val="24"/>
          <w:szCs w:val="24"/>
        </w:rPr>
        <w:t>6</w:t>
      </w:r>
      <w:r w:rsidRPr="00E11C70">
        <w:rPr>
          <w:color w:val="auto"/>
          <w:sz w:val="24"/>
          <w:szCs w:val="24"/>
        </w:rPr>
        <w:t xml:space="preserve">.  </w:t>
      </w:r>
      <w:r w:rsidRPr="00E11C70">
        <w:rPr>
          <w:color w:val="auto"/>
          <w:sz w:val="24"/>
          <w:u w:val="single"/>
        </w:rPr>
        <w:t>Time Schedule, Publication and Analysis Plans</w:t>
      </w:r>
      <w:bookmarkEnd w:id="24"/>
    </w:p>
    <w:p w:rsidR="002D262B" w:rsidRPr="00E11C70" w:rsidP="002D262B" w14:paraId="510DC988" w14:textId="77777777">
      <w:pPr>
        <w:rPr>
          <w:sz w:val="24"/>
          <w:szCs w:val="24"/>
        </w:rPr>
      </w:pPr>
    </w:p>
    <w:p w:rsidR="00AE4DC7" w:rsidP="00AE4DC7" w14:paraId="18F94B90" w14:textId="632519BC">
      <w:pPr>
        <w:rPr>
          <w:bCs/>
          <w:sz w:val="24"/>
          <w:szCs w:val="24"/>
        </w:rPr>
      </w:pPr>
      <w:r w:rsidRPr="00E11C70">
        <w:rPr>
          <w:bCs/>
          <w:sz w:val="24"/>
          <w:szCs w:val="24"/>
        </w:rPr>
        <w:t xml:space="preserve">The questions related to COVID-19 will become part of the core MEPS interview that is administered with all panels and rounds beginning with </w:t>
      </w:r>
      <w:r w:rsidR="00A67C40">
        <w:rPr>
          <w:bCs/>
          <w:sz w:val="24"/>
          <w:szCs w:val="24"/>
        </w:rPr>
        <w:t>Panel 24 Round 9</w:t>
      </w:r>
      <w:r w:rsidRPr="00F76AD1" w:rsidR="00A67C40">
        <w:rPr>
          <w:bCs/>
          <w:sz w:val="24"/>
          <w:szCs w:val="24"/>
        </w:rPr>
        <w:t xml:space="preserve">, and </w:t>
      </w:r>
      <w:r w:rsidR="00A67C40">
        <w:rPr>
          <w:bCs/>
          <w:sz w:val="24"/>
          <w:szCs w:val="24"/>
        </w:rPr>
        <w:t>Panel 26 Round 5, Panel 27 Round 3, and Panel 28 Round 1 in January 2023</w:t>
      </w:r>
      <w:r w:rsidRPr="00E11C70">
        <w:rPr>
          <w:bCs/>
          <w:sz w:val="24"/>
          <w:szCs w:val="24"/>
        </w:rPr>
        <w:t xml:space="preserve">.  </w:t>
      </w:r>
    </w:p>
    <w:p w:rsidR="00A67C40" w:rsidRPr="00E11C70" w:rsidP="00AE4DC7" w14:paraId="1D79CF0C" w14:textId="77777777">
      <w:pPr>
        <w:rPr>
          <w:bCs/>
          <w:sz w:val="24"/>
          <w:szCs w:val="24"/>
        </w:rPr>
      </w:pPr>
    </w:p>
    <w:p w:rsidR="00CB4633" w:rsidP="00CB4633" w14:paraId="2B7FF6D5" w14:textId="4829A998">
      <w:pPr>
        <w:rPr>
          <w:bCs/>
          <w:sz w:val="24"/>
          <w:szCs w:val="24"/>
        </w:rPr>
      </w:pPr>
      <w:r w:rsidRPr="00A67C40">
        <w:rPr>
          <w:bCs/>
          <w:sz w:val="24"/>
          <w:szCs w:val="24"/>
        </w:rPr>
        <w:t xml:space="preserve">Data collected from the MEPS will be used in a variety of descriptive analyses.  Our website www.meps.ahrq.gov contains examples of publications.  Those publications include statistical briefs, research findings, chartbooks, and journal articles.   In addition, tabular data is presented on </w:t>
      </w:r>
      <w:r w:rsidR="00784D8E">
        <w:rPr>
          <w:bCs/>
          <w:sz w:val="24"/>
          <w:szCs w:val="24"/>
        </w:rPr>
        <w:t xml:space="preserve">an online </w:t>
      </w:r>
      <w:r w:rsidR="00241BAA">
        <w:rPr>
          <w:bCs/>
          <w:sz w:val="24"/>
          <w:szCs w:val="24"/>
        </w:rPr>
        <w:t xml:space="preserve">data </w:t>
      </w:r>
      <w:r w:rsidR="00784D8E">
        <w:rPr>
          <w:bCs/>
          <w:sz w:val="24"/>
          <w:szCs w:val="24"/>
        </w:rPr>
        <w:t>analysis tools website (datatools.ahrq.gov)</w:t>
      </w:r>
      <w:r w:rsidRPr="00A67C40">
        <w:rPr>
          <w:bCs/>
          <w:sz w:val="24"/>
          <w:szCs w:val="24"/>
        </w:rPr>
        <w:t xml:space="preserve"> as interactive</w:t>
      </w:r>
      <w:r w:rsidR="00261E4F">
        <w:rPr>
          <w:bCs/>
          <w:sz w:val="24"/>
          <w:szCs w:val="24"/>
        </w:rPr>
        <w:t xml:space="preserve"> graphs and</w:t>
      </w:r>
      <w:r w:rsidRPr="00A67C40">
        <w:rPr>
          <w:bCs/>
          <w:sz w:val="24"/>
          <w:szCs w:val="24"/>
        </w:rPr>
        <w:t xml:space="preserve"> tables</w:t>
      </w:r>
      <w:r w:rsidR="00784D8E">
        <w:rPr>
          <w:bCs/>
          <w:sz w:val="24"/>
          <w:szCs w:val="24"/>
        </w:rPr>
        <w:t xml:space="preserve">.  </w:t>
      </w:r>
      <w:r w:rsidRPr="00A67C40">
        <w:rPr>
          <w:bCs/>
          <w:sz w:val="24"/>
          <w:szCs w:val="24"/>
        </w:rPr>
        <w:t>Special analytic reports will be issued on an ad-hoc basis, and other analyses will be presented at annual meetings of professional associations and in professional journals.</w:t>
      </w:r>
    </w:p>
    <w:p w:rsidR="00A67C40" w:rsidRPr="00775D82" w:rsidP="00CB4633" w14:paraId="56D82F66" w14:textId="77777777">
      <w:pPr>
        <w:rPr>
          <w:sz w:val="24"/>
          <w:szCs w:val="24"/>
        </w:rPr>
      </w:pPr>
    </w:p>
    <w:p w:rsidR="00232A98" w:rsidRPr="00232A98" w:rsidP="00232A98" w14:paraId="672D0372" w14:textId="77777777">
      <w:pPr>
        <w:rPr>
          <w:rFonts w:cs="Arial"/>
          <w:sz w:val="24"/>
          <w:szCs w:val="24"/>
        </w:rPr>
      </w:pPr>
      <w:r w:rsidRPr="00775D82">
        <w:rPr>
          <w:sz w:val="24"/>
          <w:szCs w:val="24"/>
        </w:rPr>
        <w:t>To the extent possible</w:t>
      </w:r>
      <w:r w:rsidRPr="00775D82" w:rsidR="00896D53">
        <w:rPr>
          <w:sz w:val="24"/>
          <w:szCs w:val="24"/>
        </w:rPr>
        <w:t>,</w:t>
      </w:r>
      <w:r w:rsidRPr="00775D82">
        <w:rPr>
          <w:sz w:val="24"/>
          <w:szCs w:val="24"/>
        </w:rPr>
        <w:t xml:space="preserve"> we release public use </w:t>
      </w:r>
      <w:r w:rsidRPr="00775D82" w:rsidR="00896D53">
        <w:rPr>
          <w:sz w:val="24"/>
          <w:szCs w:val="24"/>
        </w:rPr>
        <w:t xml:space="preserve">data </w:t>
      </w:r>
      <w:r w:rsidRPr="00775D82">
        <w:rPr>
          <w:sz w:val="24"/>
          <w:szCs w:val="24"/>
        </w:rPr>
        <w:t>files from this project as soon as possible.</w:t>
      </w:r>
    </w:p>
    <w:p w:rsidR="00A27C34" w14:paraId="44EA23DA" w14:textId="77777777">
      <w:pPr>
        <w:rPr>
          <w:sz w:val="24"/>
          <w:szCs w:val="24"/>
        </w:rPr>
      </w:pPr>
    </w:p>
    <w:p w:rsidR="0057087C" w:rsidRPr="008C5826" w:rsidP="008C5826" w14:paraId="656E2A33" w14:textId="77777777">
      <w:pPr>
        <w:pStyle w:val="Heading2"/>
        <w:rPr>
          <w:color w:val="auto"/>
          <w:sz w:val="24"/>
          <w:szCs w:val="24"/>
        </w:rPr>
      </w:pPr>
      <w:bookmarkStart w:id="25" w:name="_Toc290559168"/>
      <w:r w:rsidRPr="008C5826">
        <w:rPr>
          <w:color w:val="auto"/>
          <w:sz w:val="24"/>
          <w:szCs w:val="24"/>
        </w:rPr>
        <w:t>1</w:t>
      </w:r>
      <w:r w:rsidR="00C15767">
        <w:rPr>
          <w:color w:val="auto"/>
          <w:sz w:val="24"/>
          <w:szCs w:val="24"/>
        </w:rPr>
        <w:t>7</w:t>
      </w:r>
      <w:r w:rsidRPr="008C5826">
        <w:rPr>
          <w:color w:val="auto"/>
          <w:sz w:val="24"/>
          <w:szCs w:val="24"/>
        </w:rPr>
        <w:t xml:space="preserve">.  </w:t>
      </w:r>
      <w:r w:rsidRPr="008C5826">
        <w:rPr>
          <w:color w:val="auto"/>
          <w:sz w:val="24"/>
          <w:szCs w:val="24"/>
          <w:u w:val="single"/>
        </w:rPr>
        <w:t>Exemption for Display of Expiration Date</w:t>
      </w:r>
      <w:bookmarkEnd w:id="25"/>
    </w:p>
    <w:p w:rsidR="0057087C" w:rsidRPr="00CB177A" w14:paraId="4E55D5B8" w14:textId="77777777">
      <w:pPr>
        <w:rPr>
          <w:sz w:val="24"/>
          <w:szCs w:val="24"/>
        </w:rPr>
      </w:pPr>
    </w:p>
    <w:p w:rsidR="00FE0070" w:rsidRPr="00775D82" w:rsidP="00FE0070" w14:paraId="4DF4E2F6" w14:textId="77777777">
      <w:pPr>
        <w:rPr>
          <w:rFonts w:ascii="Arial" w:hAnsi="Arial" w:cs="Arial"/>
          <w:b/>
          <w:sz w:val="24"/>
          <w:szCs w:val="24"/>
        </w:rPr>
      </w:pPr>
      <w:r w:rsidRPr="00775D82">
        <w:rPr>
          <w:sz w:val="24"/>
          <w:szCs w:val="24"/>
        </w:rPr>
        <w:t>AHRQ does not seek this exemption.</w:t>
      </w:r>
    </w:p>
    <w:p w:rsidR="0057087C" w:rsidRPr="00CB177A" w14:paraId="46B3DF84" w14:textId="77777777">
      <w:pPr>
        <w:rPr>
          <w:sz w:val="24"/>
          <w:szCs w:val="24"/>
        </w:rPr>
      </w:pPr>
    </w:p>
    <w:p w:rsidR="003B44DE" w14:paraId="5CD33E6E" w14:textId="77777777">
      <w:pPr>
        <w:rPr>
          <w:b/>
          <w:sz w:val="24"/>
          <w:szCs w:val="24"/>
          <w:u w:val="single"/>
        </w:rPr>
      </w:pPr>
    </w:p>
    <w:p w:rsidR="003B44DE" w14:paraId="6B323531" w14:textId="77777777">
      <w:pPr>
        <w:rPr>
          <w:b/>
          <w:sz w:val="24"/>
          <w:szCs w:val="24"/>
          <w:u w:val="single"/>
        </w:rPr>
      </w:pPr>
    </w:p>
    <w:p w:rsidR="00ED3641" w14:paraId="7D92B739" w14:textId="2F0EF0A2">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C00276" w:rsidP="00C00276" w14:paraId="008BF19C" w14:textId="77777777">
      <w:bookmarkStart w:id="26" w:name="_Toc277862455"/>
    </w:p>
    <w:p w:rsidR="00A1240B" w:rsidRPr="00E11C70" w:rsidP="00246072" w14:paraId="6D9ADD73" w14:textId="77777777">
      <w:pPr>
        <w:rPr>
          <w:sz w:val="24"/>
          <w:szCs w:val="24"/>
        </w:rPr>
      </w:pPr>
      <w:r w:rsidRPr="00E11C70">
        <w:rPr>
          <w:sz w:val="24"/>
          <w:szCs w:val="24"/>
        </w:rPr>
        <w:t>Attachment A – COVID-19 Questions</w:t>
      </w:r>
    </w:p>
    <w:p w:rsidR="00A1240B" w:rsidRPr="002B4AA8" w:rsidP="00246072" w14:paraId="7419DED4" w14:textId="77777777">
      <w:pPr>
        <w:rPr>
          <w:sz w:val="24"/>
          <w:szCs w:val="24"/>
          <w:highlight w:val="yellow"/>
        </w:rPr>
      </w:pPr>
    </w:p>
    <w:p w:rsidR="00246072" w:rsidRPr="00A67C40" w:rsidP="00246072" w14:paraId="736BCA29" w14:textId="7EFE63C0">
      <w:pPr>
        <w:rPr>
          <w:sz w:val="24"/>
          <w:szCs w:val="24"/>
        </w:rPr>
      </w:pPr>
      <w:r w:rsidRPr="00A67C40">
        <w:rPr>
          <w:sz w:val="24"/>
          <w:szCs w:val="24"/>
        </w:rPr>
        <w:t>Attachment B</w:t>
      </w:r>
      <w:r w:rsidRPr="00A67C40">
        <w:rPr>
          <w:sz w:val="24"/>
          <w:szCs w:val="24"/>
        </w:rPr>
        <w:t xml:space="preserve"> - MEPS New COVID-19 Items</w:t>
      </w:r>
      <w:r w:rsidRPr="00A67C40" w:rsidR="00A1240B">
        <w:rPr>
          <w:sz w:val="24"/>
          <w:szCs w:val="24"/>
        </w:rPr>
        <w:t xml:space="preserve"> Crosswalk</w:t>
      </w:r>
    </w:p>
    <w:p w:rsidR="00CC1282" w:rsidRPr="002B4AA8" w:rsidP="00FE0070" w14:paraId="5D6F1D72" w14:textId="77777777">
      <w:pPr>
        <w:rPr>
          <w:sz w:val="24"/>
          <w:szCs w:val="24"/>
          <w:highlight w:val="yellow"/>
        </w:rPr>
      </w:pPr>
    </w:p>
    <w:p w:rsidR="00710C59" w:rsidP="00710C59" w14:paraId="7D81CC42" w14:textId="6A308F7C">
      <w:pPr>
        <w:rPr>
          <w:sz w:val="24"/>
          <w:szCs w:val="24"/>
        </w:rPr>
      </w:pPr>
      <w:r>
        <w:rPr>
          <w:sz w:val="24"/>
          <w:szCs w:val="24"/>
        </w:rPr>
        <w:t xml:space="preserve">Attachment </w:t>
      </w:r>
      <w:r w:rsidR="00A67C40">
        <w:rPr>
          <w:sz w:val="24"/>
          <w:szCs w:val="24"/>
        </w:rPr>
        <w:t>C</w:t>
      </w:r>
      <w:r>
        <w:rPr>
          <w:sz w:val="24"/>
          <w:szCs w:val="24"/>
        </w:rPr>
        <w:t xml:space="preserve"> – 60 Day FRN</w:t>
      </w:r>
    </w:p>
    <w:p w:rsidR="004F7754" w:rsidP="00710C59" w14:paraId="63FD72AB" w14:textId="0D24F62C">
      <w:pPr>
        <w:rPr>
          <w:sz w:val="24"/>
          <w:szCs w:val="24"/>
        </w:rPr>
      </w:pPr>
    </w:p>
    <w:p w:rsidR="004F7754" w:rsidP="00710C59" w14:paraId="5E04A69D" w14:textId="002F7770">
      <w:pPr>
        <w:rPr>
          <w:sz w:val="24"/>
          <w:szCs w:val="24"/>
        </w:rPr>
      </w:pPr>
      <w:r>
        <w:rPr>
          <w:sz w:val="24"/>
          <w:szCs w:val="24"/>
        </w:rPr>
        <w:t>Attachment D – Public Comment (</w:t>
      </w:r>
      <w:r w:rsidRPr="00613676">
        <w:rPr>
          <w:bCs/>
          <w:iCs/>
          <w:sz w:val="24"/>
          <w:szCs w:val="24"/>
        </w:rPr>
        <w:t>The Bureau of Economic Analysis (BEA</w:t>
      </w:r>
      <w:r w:rsidRPr="00613676">
        <w:rPr>
          <w:bCs/>
          <w:iCs/>
          <w:sz w:val="24"/>
          <w:szCs w:val="24"/>
        </w:rPr>
        <w:t>)</w:t>
      </w:r>
      <w:r>
        <w:rPr>
          <w:sz w:val="24"/>
          <w:szCs w:val="24"/>
        </w:rPr>
        <w:t xml:space="preserve"> )</w:t>
      </w:r>
      <w:r>
        <w:rPr>
          <w:sz w:val="24"/>
          <w:szCs w:val="24"/>
        </w:rPr>
        <w:t>.</w:t>
      </w:r>
    </w:p>
    <w:p w:rsidR="00DD51C3" w:rsidP="00FE0070" w14:paraId="7785EE7E" w14:textId="77777777">
      <w:pPr>
        <w:rPr>
          <w:sz w:val="24"/>
          <w:szCs w:val="24"/>
        </w:rPr>
      </w:pPr>
    </w:p>
    <w:p w:rsidR="00710C59" w:rsidP="00FE0070" w14:paraId="681B54FA" w14:textId="77777777">
      <w:pPr>
        <w:rPr>
          <w:sz w:val="24"/>
          <w:szCs w:val="24"/>
        </w:rPr>
      </w:pPr>
    </w:p>
    <w:p w:rsidR="00DD51C3" w:rsidRPr="00775D82" w:rsidP="00FE0070" w14:paraId="7B97E8BD" w14:textId="77777777">
      <w:pPr>
        <w:rPr>
          <w:sz w:val="24"/>
          <w:szCs w:val="24"/>
        </w:rPr>
      </w:pPr>
    </w:p>
    <w:p w:rsidR="00FE0070" w:rsidRPr="00775D82" w:rsidP="00FE0070" w14:paraId="0DC88669" w14:textId="77777777">
      <w:pPr>
        <w:rPr>
          <w:sz w:val="24"/>
          <w:szCs w:val="24"/>
        </w:rPr>
      </w:pPr>
    </w:p>
    <w:p w:rsidR="00FE0070" w:rsidRPr="00775D82" w:rsidP="00FE0070" w14:paraId="60D92569" w14:textId="77777777">
      <w:pPr>
        <w:rPr>
          <w:sz w:val="24"/>
          <w:szCs w:val="24"/>
        </w:rPr>
      </w:pPr>
    </w:p>
    <w:bookmarkEnd w:id="26"/>
    <w:p w:rsidR="00C00276" w:rsidRPr="005F628B" w:rsidP="00DA394A" w14:paraId="057D20FD" w14:textId="77777777">
      <w:pPr>
        <w:rPr>
          <w:sz w:val="24"/>
          <w:szCs w:val="24"/>
        </w:rPr>
      </w:pPr>
    </w:p>
    <w:sectPr w:rsidSect="00FA3B94">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E" w14:paraId="2E32203E"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3E4E" w14:paraId="540BBE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E" w14:paraId="5F6C4BA4" w14:textId="7AB2A99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37537">
      <w:rPr>
        <w:rStyle w:val="PageNumber"/>
        <w:noProof/>
      </w:rPr>
      <w:t>6</w:t>
    </w:r>
    <w:r>
      <w:rPr>
        <w:rStyle w:val="PageNumber"/>
      </w:rPr>
      <w:fldChar w:fldCharType="end"/>
    </w:r>
  </w:p>
  <w:p w:rsidR="00823E4E" w14:paraId="589EA93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nsid w:val="04571D98"/>
    <w:multiLevelType w:val="hybridMultilevel"/>
    <w:tmpl w:val="DE96E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nsid w:val="0B1D1B62"/>
    <w:multiLevelType w:val="hybridMultilevel"/>
    <w:tmpl w:val="FB28D5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nsid w:val="10CA4DEF"/>
    <w:multiLevelType w:val="hybridMultilevel"/>
    <w:tmpl w:val="452AC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1">
    <w:nsid w:val="16F6000E"/>
    <w:multiLevelType w:val="hybridMultilevel"/>
    <w:tmpl w:val="99F4A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4">
    <w:nsid w:val="27180C3C"/>
    <w:multiLevelType w:val="hybridMultilevel"/>
    <w:tmpl w:val="3D484F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9AA1096"/>
    <w:multiLevelType w:val="hybridMultilevel"/>
    <w:tmpl w:val="62EA4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BC8482A"/>
    <w:multiLevelType w:val="hybridMultilevel"/>
    <w:tmpl w:val="7E0271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8">
    <w:nsid w:val="308F2B70"/>
    <w:multiLevelType w:val="hybridMultilevel"/>
    <w:tmpl w:val="7794F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2">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3">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9">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0">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2">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3">
    <w:nsid w:val="576761C7"/>
    <w:multiLevelType w:val="hybridMultilevel"/>
    <w:tmpl w:val="CD249BEE"/>
    <w:lvl w:ilvl="0">
      <w:start w:val="1"/>
      <w:numFmt w:val="bullet"/>
      <w:lvlText w:val=""/>
      <w:lvlJc w:val="left"/>
      <w:pPr>
        <w:ind w:left="1440" w:hanging="360"/>
      </w:pPr>
      <w:rPr>
        <w:rFonts w:ascii="Symbol" w:hAnsi="Symbol"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5">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6">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7">
    <w:nsid w:val="649270DA"/>
    <w:multiLevelType w:val="hybridMultilevel"/>
    <w:tmpl w:val="5564797C"/>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9">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0">
    <w:nsid w:val="6D6D2F94"/>
    <w:multiLevelType w:val="hybridMultilevel"/>
    <w:tmpl w:val="F0F6A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707AEC"/>
    <w:multiLevelType w:val="hybridMultilevel"/>
    <w:tmpl w:val="28A6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133C14"/>
    <w:multiLevelType w:val="hybridMultilevel"/>
    <w:tmpl w:val="3BA80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4">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5">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6">
    <w:nsid w:val="7E7E73CB"/>
    <w:multiLevelType w:val="hybridMultilevel"/>
    <w:tmpl w:val="0D2C93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F441EB8"/>
    <w:multiLevelType w:val="hybridMultilevel"/>
    <w:tmpl w:val="46B01A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4"/>
  </w:num>
  <w:num w:numId="3">
    <w:abstractNumId w:val="1"/>
  </w:num>
  <w:num w:numId="4">
    <w:abstractNumId w:val="36"/>
  </w:num>
  <w:num w:numId="5">
    <w:abstractNumId w:val="21"/>
  </w:num>
  <w:num w:numId="6">
    <w:abstractNumId w:val="25"/>
  </w:num>
  <w:num w:numId="7">
    <w:abstractNumId w:val="19"/>
  </w:num>
  <w:num w:numId="8">
    <w:abstractNumId w:val="13"/>
  </w:num>
  <w:num w:numId="9">
    <w:abstractNumId w:val="39"/>
  </w:num>
  <w:num w:numId="10">
    <w:abstractNumId w:val="3"/>
  </w:num>
  <w:num w:numId="11">
    <w:abstractNumId w:val="26"/>
  </w:num>
  <w:num w:numId="12">
    <w:abstractNumId w:val="44"/>
  </w:num>
  <w:num w:numId="13">
    <w:abstractNumId w:val="23"/>
  </w:num>
  <w:num w:numId="14">
    <w:abstractNumId w:val="29"/>
  </w:num>
  <w:num w:numId="15">
    <w:abstractNumId w:val="9"/>
  </w:num>
  <w:num w:numId="16">
    <w:abstractNumId w:val="43"/>
  </w:num>
  <w:num w:numId="17">
    <w:abstractNumId w:val="30"/>
  </w:num>
  <w:num w:numId="18">
    <w:abstractNumId w:val="45"/>
  </w:num>
  <w:num w:numId="19">
    <w:abstractNumId w:val="27"/>
  </w:num>
  <w:num w:numId="20">
    <w:abstractNumId w:val="4"/>
  </w:num>
  <w:num w:numId="21">
    <w:abstractNumId w:val="17"/>
  </w:num>
  <w:num w:numId="22">
    <w:abstractNumId w:val="24"/>
  </w:num>
  <w:num w:numId="23">
    <w:abstractNumId w:val="38"/>
  </w:num>
  <w:num w:numId="24">
    <w:abstractNumId w:val="6"/>
  </w:num>
  <w:num w:numId="25">
    <w:abstractNumId w:val="20"/>
  </w:num>
  <w:num w:numId="26">
    <w:abstractNumId w:val="28"/>
  </w:num>
  <w:num w:numId="27">
    <w:abstractNumId w:val="10"/>
  </w:num>
  <w:num w:numId="28">
    <w:abstractNumId w:val="35"/>
  </w:num>
  <w:num w:numId="29">
    <w:abstractNumId w:val="12"/>
  </w:num>
  <w:num w:numId="30">
    <w:abstractNumId w:val="0"/>
  </w:num>
  <w:num w:numId="31">
    <w:abstractNumId w:val="32"/>
  </w:num>
  <w:num w:numId="32">
    <w:abstractNumId w:val="22"/>
  </w:num>
  <w:num w:numId="33">
    <w:abstractNumId w:val="46"/>
  </w:num>
  <w:num w:numId="34">
    <w:abstractNumId w:val="2"/>
  </w:num>
  <w:num w:numId="35">
    <w:abstractNumId w:val="31"/>
  </w:num>
  <w:num w:numId="36">
    <w:abstractNumId w:val="16"/>
  </w:num>
  <w:num w:numId="37">
    <w:abstractNumId w:val="47"/>
  </w:num>
  <w:num w:numId="38">
    <w:abstractNumId w:val="14"/>
  </w:num>
  <w:num w:numId="39">
    <w:abstractNumId w:val="15"/>
  </w:num>
  <w:num w:numId="40">
    <w:abstractNumId w:val="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1"/>
  </w:num>
  <w:num w:numId="44">
    <w:abstractNumId w:val="42"/>
  </w:num>
  <w:num w:numId="45">
    <w:abstractNumId w:val="18"/>
  </w:num>
  <w:num w:numId="46">
    <w:abstractNumId w:val="7"/>
  </w:num>
  <w:num w:numId="47">
    <w:abstractNumId w:val="3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61"/>
    <w:rsid w:val="00000E24"/>
    <w:rsid w:val="00002ED1"/>
    <w:rsid w:val="00004F18"/>
    <w:rsid w:val="00012C91"/>
    <w:rsid w:val="00012DB6"/>
    <w:rsid w:val="000137E3"/>
    <w:rsid w:val="00015CA7"/>
    <w:rsid w:val="00017360"/>
    <w:rsid w:val="00017B9E"/>
    <w:rsid w:val="000200F6"/>
    <w:rsid w:val="000263CD"/>
    <w:rsid w:val="00026470"/>
    <w:rsid w:val="0003322A"/>
    <w:rsid w:val="00033751"/>
    <w:rsid w:val="00034BAC"/>
    <w:rsid w:val="00036409"/>
    <w:rsid w:val="000366AC"/>
    <w:rsid w:val="000432D9"/>
    <w:rsid w:val="00043753"/>
    <w:rsid w:val="00044EB2"/>
    <w:rsid w:val="0005082E"/>
    <w:rsid w:val="00050A98"/>
    <w:rsid w:val="00050FE6"/>
    <w:rsid w:val="000511AC"/>
    <w:rsid w:val="0005180E"/>
    <w:rsid w:val="00052A3F"/>
    <w:rsid w:val="00060E80"/>
    <w:rsid w:val="00061BEA"/>
    <w:rsid w:val="00063BBF"/>
    <w:rsid w:val="000642AB"/>
    <w:rsid w:val="00065B5E"/>
    <w:rsid w:val="00067206"/>
    <w:rsid w:val="00067354"/>
    <w:rsid w:val="00067AF0"/>
    <w:rsid w:val="00073430"/>
    <w:rsid w:val="00073F86"/>
    <w:rsid w:val="000748C8"/>
    <w:rsid w:val="00075353"/>
    <w:rsid w:val="00075673"/>
    <w:rsid w:val="000761E1"/>
    <w:rsid w:val="000804BF"/>
    <w:rsid w:val="00081C1F"/>
    <w:rsid w:val="00082B7B"/>
    <w:rsid w:val="00085CF8"/>
    <w:rsid w:val="00086453"/>
    <w:rsid w:val="00090215"/>
    <w:rsid w:val="00090F13"/>
    <w:rsid w:val="0009249F"/>
    <w:rsid w:val="00092EF4"/>
    <w:rsid w:val="00095106"/>
    <w:rsid w:val="00095C35"/>
    <w:rsid w:val="00095C91"/>
    <w:rsid w:val="00097889"/>
    <w:rsid w:val="000A1346"/>
    <w:rsid w:val="000A3475"/>
    <w:rsid w:val="000A34EB"/>
    <w:rsid w:val="000A37B3"/>
    <w:rsid w:val="000A4B34"/>
    <w:rsid w:val="000A5379"/>
    <w:rsid w:val="000B0490"/>
    <w:rsid w:val="000B37F9"/>
    <w:rsid w:val="000B48BF"/>
    <w:rsid w:val="000C16CC"/>
    <w:rsid w:val="000C17F8"/>
    <w:rsid w:val="000C2DC2"/>
    <w:rsid w:val="000C2EC4"/>
    <w:rsid w:val="000C5819"/>
    <w:rsid w:val="000C6156"/>
    <w:rsid w:val="000C6BD8"/>
    <w:rsid w:val="000C74A1"/>
    <w:rsid w:val="000C7D26"/>
    <w:rsid w:val="000E21BA"/>
    <w:rsid w:val="000E2EEF"/>
    <w:rsid w:val="000E51C1"/>
    <w:rsid w:val="000E7227"/>
    <w:rsid w:val="000E7EA0"/>
    <w:rsid w:val="000F0D09"/>
    <w:rsid w:val="000F0D3E"/>
    <w:rsid w:val="000F299A"/>
    <w:rsid w:val="000F47D4"/>
    <w:rsid w:val="000F4EDF"/>
    <w:rsid w:val="000F7251"/>
    <w:rsid w:val="00101D28"/>
    <w:rsid w:val="00107DEC"/>
    <w:rsid w:val="001112E4"/>
    <w:rsid w:val="0011206C"/>
    <w:rsid w:val="001152BB"/>
    <w:rsid w:val="001204B7"/>
    <w:rsid w:val="00120AA8"/>
    <w:rsid w:val="0012407C"/>
    <w:rsid w:val="00124293"/>
    <w:rsid w:val="00124C9D"/>
    <w:rsid w:val="00126516"/>
    <w:rsid w:val="00127E95"/>
    <w:rsid w:val="001302F5"/>
    <w:rsid w:val="0013058C"/>
    <w:rsid w:val="00131093"/>
    <w:rsid w:val="00132CA3"/>
    <w:rsid w:val="00136179"/>
    <w:rsid w:val="001430E0"/>
    <w:rsid w:val="00143B6B"/>
    <w:rsid w:val="00144ECD"/>
    <w:rsid w:val="001508BD"/>
    <w:rsid w:val="00150BD2"/>
    <w:rsid w:val="00151BCD"/>
    <w:rsid w:val="00153B3F"/>
    <w:rsid w:val="00157544"/>
    <w:rsid w:val="00164D22"/>
    <w:rsid w:val="00165E85"/>
    <w:rsid w:val="00167858"/>
    <w:rsid w:val="001704FF"/>
    <w:rsid w:val="001711B9"/>
    <w:rsid w:val="00171DDF"/>
    <w:rsid w:val="0017401B"/>
    <w:rsid w:val="00177B44"/>
    <w:rsid w:val="00180BDC"/>
    <w:rsid w:val="00185B21"/>
    <w:rsid w:val="00190033"/>
    <w:rsid w:val="0019245F"/>
    <w:rsid w:val="001928C4"/>
    <w:rsid w:val="001936AB"/>
    <w:rsid w:val="00193B15"/>
    <w:rsid w:val="00195BA0"/>
    <w:rsid w:val="00196A27"/>
    <w:rsid w:val="00196D72"/>
    <w:rsid w:val="001A16CF"/>
    <w:rsid w:val="001A3607"/>
    <w:rsid w:val="001A67E0"/>
    <w:rsid w:val="001B13E5"/>
    <w:rsid w:val="001B1921"/>
    <w:rsid w:val="001B4100"/>
    <w:rsid w:val="001B4AA9"/>
    <w:rsid w:val="001B5FDD"/>
    <w:rsid w:val="001C0EE7"/>
    <w:rsid w:val="001C2BF0"/>
    <w:rsid w:val="001C513A"/>
    <w:rsid w:val="001C5583"/>
    <w:rsid w:val="001D16FA"/>
    <w:rsid w:val="001D4682"/>
    <w:rsid w:val="001D6B6C"/>
    <w:rsid w:val="001E18B9"/>
    <w:rsid w:val="001E452E"/>
    <w:rsid w:val="001F008C"/>
    <w:rsid w:val="001F0F9D"/>
    <w:rsid w:val="001F0FC0"/>
    <w:rsid w:val="002003A0"/>
    <w:rsid w:val="00201C1E"/>
    <w:rsid w:val="002038FD"/>
    <w:rsid w:val="00207BF6"/>
    <w:rsid w:val="002112A0"/>
    <w:rsid w:val="0021252A"/>
    <w:rsid w:val="002129D3"/>
    <w:rsid w:val="0021366F"/>
    <w:rsid w:val="002148C5"/>
    <w:rsid w:val="00216DFA"/>
    <w:rsid w:val="00217C22"/>
    <w:rsid w:val="00220446"/>
    <w:rsid w:val="002229DB"/>
    <w:rsid w:val="00223D7B"/>
    <w:rsid w:val="00224B00"/>
    <w:rsid w:val="002250C6"/>
    <w:rsid w:val="00232A98"/>
    <w:rsid w:val="002340CB"/>
    <w:rsid w:val="00234933"/>
    <w:rsid w:val="00236C09"/>
    <w:rsid w:val="00237FD9"/>
    <w:rsid w:val="0024077A"/>
    <w:rsid w:val="00241BAA"/>
    <w:rsid w:val="00243694"/>
    <w:rsid w:val="00246072"/>
    <w:rsid w:val="00252307"/>
    <w:rsid w:val="0025398D"/>
    <w:rsid w:val="002604D8"/>
    <w:rsid w:val="00261E4F"/>
    <w:rsid w:val="00262784"/>
    <w:rsid w:val="002630DD"/>
    <w:rsid w:val="00266286"/>
    <w:rsid w:val="002667F9"/>
    <w:rsid w:val="00266D8B"/>
    <w:rsid w:val="00271DB0"/>
    <w:rsid w:val="00272355"/>
    <w:rsid w:val="00273167"/>
    <w:rsid w:val="0027562C"/>
    <w:rsid w:val="00281234"/>
    <w:rsid w:val="00281B88"/>
    <w:rsid w:val="00281C87"/>
    <w:rsid w:val="00284A5F"/>
    <w:rsid w:val="0028792E"/>
    <w:rsid w:val="00287B42"/>
    <w:rsid w:val="00290CF8"/>
    <w:rsid w:val="00291087"/>
    <w:rsid w:val="00291686"/>
    <w:rsid w:val="00292A27"/>
    <w:rsid w:val="002931EC"/>
    <w:rsid w:val="00293F72"/>
    <w:rsid w:val="00294E96"/>
    <w:rsid w:val="00295441"/>
    <w:rsid w:val="00297A54"/>
    <w:rsid w:val="002A14D6"/>
    <w:rsid w:val="002A1E79"/>
    <w:rsid w:val="002A2F0B"/>
    <w:rsid w:val="002A31A1"/>
    <w:rsid w:val="002A3BA3"/>
    <w:rsid w:val="002A481E"/>
    <w:rsid w:val="002A4963"/>
    <w:rsid w:val="002A6974"/>
    <w:rsid w:val="002A712B"/>
    <w:rsid w:val="002A71E1"/>
    <w:rsid w:val="002B10C0"/>
    <w:rsid w:val="002B1BD8"/>
    <w:rsid w:val="002B312B"/>
    <w:rsid w:val="002B3F36"/>
    <w:rsid w:val="002B4AA8"/>
    <w:rsid w:val="002B4F2E"/>
    <w:rsid w:val="002B609D"/>
    <w:rsid w:val="002C0B1B"/>
    <w:rsid w:val="002C4500"/>
    <w:rsid w:val="002C5116"/>
    <w:rsid w:val="002C52BB"/>
    <w:rsid w:val="002C626E"/>
    <w:rsid w:val="002C6699"/>
    <w:rsid w:val="002C74A9"/>
    <w:rsid w:val="002D262B"/>
    <w:rsid w:val="002D3B00"/>
    <w:rsid w:val="002D4122"/>
    <w:rsid w:val="002D52C2"/>
    <w:rsid w:val="002D6431"/>
    <w:rsid w:val="002D7D44"/>
    <w:rsid w:val="002E0179"/>
    <w:rsid w:val="002E094D"/>
    <w:rsid w:val="002E0FA4"/>
    <w:rsid w:val="002E1720"/>
    <w:rsid w:val="002E59CE"/>
    <w:rsid w:val="002E5FED"/>
    <w:rsid w:val="002E67CA"/>
    <w:rsid w:val="002F019C"/>
    <w:rsid w:val="002F0C82"/>
    <w:rsid w:val="002F2DD9"/>
    <w:rsid w:val="003034B8"/>
    <w:rsid w:val="00303B74"/>
    <w:rsid w:val="00304BDC"/>
    <w:rsid w:val="003066AE"/>
    <w:rsid w:val="00310717"/>
    <w:rsid w:val="00312519"/>
    <w:rsid w:val="00313B23"/>
    <w:rsid w:val="00313F4B"/>
    <w:rsid w:val="00322EE4"/>
    <w:rsid w:val="00323FE4"/>
    <w:rsid w:val="003251E0"/>
    <w:rsid w:val="00325341"/>
    <w:rsid w:val="003321EC"/>
    <w:rsid w:val="00334CC3"/>
    <w:rsid w:val="0033654A"/>
    <w:rsid w:val="00336855"/>
    <w:rsid w:val="0034083A"/>
    <w:rsid w:val="00342E5C"/>
    <w:rsid w:val="003442B1"/>
    <w:rsid w:val="00344CF4"/>
    <w:rsid w:val="00345CB0"/>
    <w:rsid w:val="0034684E"/>
    <w:rsid w:val="003506E6"/>
    <w:rsid w:val="0035373D"/>
    <w:rsid w:val="0035405B"/>
    <w:rsid w:val="00354DC9"/>
    <w:rsid w:val="003561B0"/>
    <w:rsid w:val="00356BBB"/>
    <w:rsid w:val="003675FA"/>
    <w:rsid w:val="003746CE"/>
    <w:rsid w:val="003756C7"/>
    <w:rsid w:val="0037574D"/>
    <w:rsid w:val="00376292"/>
    <w:rsid w:val="003765FA"/>
    <w:rsid w:val="00380D0C"/>
    <w:rsid w:val="003824AD"/>
    <w:rsid w:val="00383D96"/>
    <w:rsid w:val="00385052"/>
    <w:rsid w:val="003859F2"/>
    <w:rsid w:val="00386011"/>
    <w:rsid w:val="003902D0"/>
    <w:rsid w:val="00390684"/>
    <w:rsid w:val="003908A6"/>
    <w:rsid w:val="00393EE3"/>
    <w:rsid w:val="00395DB1"/>
    <w:rsid w:val="003A28C6"/>
    <w:rsid w:val="003A35B6"/>
    <w:rsid w:val="003A5074"/>
    <w:rsid w:val="003B020A"/>
    <w:rsid w:val="003B1A4B"/>
    <w:rsid w:val="003B1BA2"/>
    <w:rsid w:val="003B1C64"/>
    <w:rsid w:val="003B2FF6"/>
    <w:rsid w:val="003B31B8"/>
    <w:rsid w:val="003B3DF6"/>
    <w:rsid w:val="003B3E67"/>
    <w:rsid w:val="003B44DE"/>
    <w:rsid w:val="003B6B5D"/>
    <w:rsid w:val="003B729B"/>
    <w:rsid w:val="003C0686"/>
    <w:rsid w:val="003C24EF"/>
    <w:rsid w:val="003C6555"/>
    <w:rsid w:val="003D0095"/>
    <w:rsid w:val="003D1394"/>
    <w:rsid w:val="003D3D00"/>
    <w:rsid w:val="003D5983"/>
    <w:rsid w:val="003D6BDF"/>
    <w:rsid w:val="003E406D"/>
    <w:rsid w:val="003E6A62"/>
    <w:rsid w:val="003F1422"/>
    <w:rsid w:val="003F4206"/>
    <w:rsid w:val="003F4788"/>
    <w:rsid w:val="003F47FA"/>
    <w:rsid w:val="003F738E"/>
    <w:rsid w:val="00400233"/>
    <w:rsid w:val="00400D38"/>
    <w:rsid w:val="004049B1"/>
    <w:rsid w:val="004055D5"/>
    <w:rsid w:val="004151F8"/>
    <w:rsid w:val="00420A8F"/>
    <w:rsid w:val="0042302B"/>
    <w:rsid w:val="00424EEA"/>
    <w:rsid w:val="00425494"/>
    <w:rsid w:val="00426150"/>
    <w:rsid w:val="00426D1D"/>
    <w:rsid w:val="0043398E"/>
    <w:rsid w:val="004351D7"/>
    <w:rsid w:val="00435ADA"/>
    <w:rsid w:val="0043662E"/>
    <w:rsid w:val="0043762C"/>
    <w:rsid w:val="00437F79"/>
    <w:rsid w:val="00441938"/>
    <w:rsid w:val="004420BA"/>
    <w:rsid w:val="004445CB"/>
    <w:rsid w:val="00445667"/>
    <w:rsid w:val="00447A17"/>
    <w:rsid w:val="004504F7"/>
    <w:rsid w:val="00456179"/>
    <w:rsid w:val="00456342"/>
    <w:rsid w:val="0046059B"/>
    <w:rsid w:val="004621B2"/>
    <w:rsid w:val="00467352"/>
    <w:rsid w:val="00470F34"/>
    <w:rsid w:val="0047429C"/>
    <w:rsid w:val="00474935"/>
    <w:rsid w:val="00474B31"/>
    <w:rsid w:val="00476766"/>
    <w:rsid w:val="00476C50"/>
    <w:rsid w:val="004809EC"/>
    <w:rsid w:val="00480D19"/>
    <w:rsid w:val="004818C7"/>
    <w:rsid w:val="00485763"/>
    <w:rsid w:val="00492371"/>
    <w:rsid w:val="004932C3"/>
    <w:rsid w:val="00495A6C"/>
    <w:rsid w:val="00496A66"/>
    <w:rsid w:val="00496F64"/>
    <w:rsid w:val="004A024B"/>
    <w:rsid w:val="004A1CFD"/>
    <w:rsid w:val="004A1E47"/>
    <w:rsid w:val="004A273E"/>
    <w:rsid w:val="004A4EF7"/>
    <w:rsid w:val="004A611A"/>
    <w:rsid w:val="004B22BA"/>
    <w:rsid w:val="004B45AC"/>
    <w:rsid w:val="004B611E"/>
    <w:rsid w:val="004C1E37"/>
    <w:rsid w:val="004C2187"/>
    <w:rsid w:val="004C76B3"/>
    <w:rsid w:val="004C76E8"/>
    <w:rsid w:val="004D09CC"/>
    <w:rsid w:val="004D0EB7"/>
    <w:rsid w:val="004D2857"/>
    <w:rsid w:val="004D4BAC"/>
    <w:rsid w:val="004D4ECD"/>
    <w:rsid w:val="004D574C"/>
    <w:rsid w:val="004F7754"/>
    <w:rsid w:val="00500456"/>
    <w:rsid w:val="00501E20"/>
    <w:rsid w:val="00502A66"/>
    <w:rsid w:val="00503AE3"/>
    <w:rsid w:val="00503B44"/>
    <w:rsid w:val="00504919"/>
    <w:rsid w:val="00505819"/>
    <w:rsid w:val="00505A66"/>
    <w:rsid w:val="00512104"/>
    <w:rsid w:val="005125A7"/>
    <w:rsid w:val="00514D9F"/>
    <w:rsid w:val="00521983"/>
    <w:rsid w:val="00521E6B"/>
    <w:rsid w:val="00523B5C"/>
    <w:rsid w:val="005258E9"/>
    <w:rsid w:val="0052643D"/>
    <w:rsid w:val="00530D4E"/>
    <w:rsid w:val="00531077"/>
    <w:rsid w:val="005319BF"/>
    <w:rsid w:val="00531CAB"/>
    <w:rsid w:val="005354E5"/>
    <w:rsid w:val="005409BD"/>
    <w:rsid w:val="005416A6"/>
    <w:rsid w:val="005432BA"/>
    <w:rsid w:val="00543C65"/>
    <w:rsid w:val="00545588"/>
    <w:rsid w:val="00545ADE"/>
    <w:rsid w:val="00551BDA"/>
    <w:rsid w:val="005540E9"/>
    <w:rsid w:val="005549A4"/>
    <w:rsid w:val="0055505C"/>
    <w:rsid w:val="00555F00"/>
    <w:rsid w:val="0055755B"/>
    <w:rsid w:val="005615AD"/>
    <w:rsid w:val="0056316F"/>
    <w:rsid w:val="00565937"/>
    <w:rsid w:val="00565A75"/>
    <w:rsid w:val="0056703D"/>
    <w:rsid w:val="0057087C"/>
    <w:rsid w:val="00571D43"/>
    <w:rsid w:val="00571FC1"/>
    <w:rsid w:val="00575BB6"/>
    <w:rsid w:val="00577626"/>
    <w:rsid w:val="00580E7E"/>
    <w:rsid w:val="00581770"/>
    <w:rsid w:val="00581C43"/>
    <w:rsid w:val="00581E66"/>
    <w:rsid w:val="005837F0"/>
    <w:rsid w:val="00593E09"/>
    <w:rsid w:val="005A01F6"/>
    <w:rsid w:val="005A2564"/>
    <w:rsid w:val="005A2690"/>
    <w:rsid w:val="005A2897"/>
    <w:rsid w:val="005A43EA"/>
    <w:rsid w:val="005A4F9B"/>
    <w:rsid w:val="005B3296"/>
    <w:rsid w:val="005B3E91"/>
    <w:rsid w:val="005C174C"/>
    <w:rsid w:val="005C40AF"/>
    <w:rsid w:val="005C589F"/>
    <w:rsid w:val="005E0759"/>
    <w:rsid w:val="005E5935"/>
    <w:rsid w:val="005E634F"/>
    <w:rsid w:val="005F1211"/>
    <w:rsid w:val="005F2D9B"/>
    <w:rsid w:val="005F628B"/>
    <w:rsid w:val="005F79B9"/>
    <w:rsid w:val="006056F1"/>
    <w:rsid w:val="006075C5"/>
    <w:rsid w:val="00607AC2"/>
    <w:rsid w:val="00611158"/>
    <w:rsid w:val="00611EAA"/>
    <w:rsid w:val="00613676"/>
    <w:rsid w:val="00616008"/>
    <w:rsid w:val="0061748F"/>
    <w:rsid w:val="00627DEE"/>
    <w:rsid w:val="00634D9E"/>
    <w:rsid w:val="00634DCA"/>
    <w:rsid w:val="00634EF0"/>
    <w:rsid w:val="00641780"/>
    <w:rsid w:val="006450DA"/>
    <w:rsid w:val="0064510B"/>
    <w:rsid w:val="00645A56"/>
    <w:rsid w:val="00645B1A"/>
    <w:rsid w:val="00645F14"/>
    <w:rsid w:val="00650699"/>
    <w:rsid w:val="006540A4"/>
    <w:rsid w:val="00656B74"/>
    <w:rsid w:val="00661146"/>
    <w:rsid w:val="00661756"/>
    <w:rsid w:val="0066333F"/>
    <w:rsid w:val="00663504"/>
    <w:rsid w:val="006635C4"/>
    <w:rsid w:val="00670774"/>
    <w:rsid w:val="006715F4"/>
    <w:rsid w:val="00671A01"/>
    <w:rsid w:val="00675B28"/>
    <w:rsid w:val="00677A0B"/>
    <w:rsid w:val="0068129B"/>
    <w:rsid w:val="0068314B"/>
    <w:rsid w:val="006831FE"/>
    <w:rsid w:val="0068447E"/>
    <w:rsid w:val="00685981"/>
    <w:rsid w:val="00687C77"/>
    <w:rsid w:val="00687D73"/>
    <w:rsid w:val="00691D98"/>
    <w:rsid w:val="00691EDB"/>
    <w:rsid w:val="00692247"/>
    <w:rsid w:val="00692368"/>
    <w:rsid w:val="0069626B"/>
    <w:rsid w:val="00697397"/>
    <w:rsid w:val="006A00E2"/>
    <w:rsid w:val="006A1341"/>
    <w:rsid w:val="006A56C5"/>
    <w:rsid w:val="006A6058"/>
    <w:rsid w:val="006A7FFD"/>
    <w:rsid w:val="006B00CE"/>
    <w:rsid w:val="006B03F6"/>
    <w:rsid w:val="006B0624"/>
    <w:rsid w:val="006B0C7C"/>
    <w:rsid w:val="006B56AA"/>
    <w:rsid w:val="006B6655"/>
    <w:rsid w:val="006C131A"/>
    <w:rsid w:val="006C1F1C"/>
    <w:rsid w:val="006C2838"/>
    <w:rsid w:val="006C73F1"/>
    <w:rsid w:val="006C769D"/>
    <w:rsid w:val="006D1D07"/>
    <w:rsid w:val="006D2082"/>
    <w:rsid w:val="006D4818"/>
    <w:rsid w:val="006D6CBD"/>
    <w:rsid w:val="006E11A5"/>
    <w:rsid w:val="006E3134"/>
    <w:rsid w:val="006E3499"/>
    <w:rsid w:val="006E50AC"/>
    <w:rsid w:val="006E55FB"/>
    <w:rsid w:val="006E56BE"/>
    <w:rsid w:val="006E7025"/>
    <w:rsid w:val="006E7313"/>
    <w:rsid w:val="006E7551"/>
    <w:rsid w:val="006F3C73"/>
    <w:rsid w:val="0070013C"/>
    <w:rsid w:val="0070123B"/>
    <w:rsid w:val="0070244E"/>
    <w:rsid w:val="0070407B"/>
    <w:rsid w:val="00704FF1"/>
    <w:rsid w:val="007056FA"/>
    <w:rsid w:val="00705D68"/>
    <w:rsid w:val="0070607F"/>
    <w:rsid w:val="00706735"/>
    <w:rsid w:val="0070750C"/>
    <w:rsid w:val="00710C59"/>
    <w:rsid w:val="007136B3"/>
    <w:rsid w:val="0071504C"/>
    <w:rsid w:val="00716493"/>
    <w:rsid w:val="007174E0"/>
    <w:rsid w:val="0071781D"/>
    <w:rsid w:val="00717C13"/>
    <w:rsid w:val="007201ED"/>
    <w:rsid w:val="007202A6"/>
    <w:rsid w:val="00722B9A"/>
    <w:rsid w:val="007256CB"/>
    <w:rsid w:val="00726493"/>
    <w:rsid w:val="007322C4"/>
    <w:rsid w:val="007324AF"/>
    <w:rsid w:val="007325D7"/>
    <w:rsid w:val="00733EA7"/>
    <w:rsid w:val="00737537"/>
    <w:rsid w:val="00740DCD"/>
    <w:rsid w:val="007439B6"/>
    <w:rsid w:val="00743E46"/>
    <w:rsid w:val="00747121"/>
    <w:rsid w:val="0074731F"/>
    <w:rsid w:val="0075020F"/>
    <w:rsid w:val="00752416"/>
    <w:rsid w:val="00754F13"/>
    <w:rsid w:val="00760494"/>
    <w:rsid w:val="00761E6E"/>
    <w:rsid w:val="0076612D"/>
    <w:rsid w:val="007674A8"/>
    <w:rsid w:val="00767BD6"/>
    <w:rsid w:val="00767C9B"/>
    <w:rsid w:val="00770D38"/>
    <w:rsid w:val="0077196C"/>
    <w:rsid w:val="007737F8"/>
    <w:rsid w:val="007743BC"/>
    <w:rsid w:val="00774431"/>
    <w:rsid w:val="00775D82"/>
    <w:rsid w:val="007779A1"/>
    <w:rsid w:val="007801FE"/>
    <w:rsid w:val="007817CC"/>
    <w:rsid w:val="00781C6A"/>
    <w:rsid w:val="00783B2C"/>
    <w:rsid w:val="007847E9"/>
    <w:rsid w:val="00784D8E"/>
    <w:rsid w:val="00784D93"/>
    <w:rsid w:val="00786060"/>
    <w:rsid w:val="007908D9"/>
    <w:rsid w:val="007932AB"/>
    <w:rsid w:val="007949F0"/>
    <w:rsid w:val="00795947"/>
    <w:rsid w:val="00796865"/>
    <w:rsid w:val="0079770B"/>
    <w:rsid w:val="007A27ED"/>
    <w:rsid w:val="007A2B3D"/>
    <w:rsid w:val="007A35CD"/>
    <w:rsid w:val="007B6019"/>
    <w:rsid w:val="007B6379"/>
    <w:rsid w:val="007C08AB"/>
    <w:rsid w:val="007C5E94"/>
    <w:rsid w:val="007C6307"/>
    <w:rsid w:val="007D4805"/>
    <w:rsid w:val="007D53F8"/>
    <w:rsid w:val="007D6028"/>
    <w:rsid w:val="007D7D61"/>
    <w:rsid w:val="007E2449"/>
    <w:rsid w:val="007E7063"/>
    <w:rsid w:val="007F0536"/>
    <w:rsid w:val="007F0E22"/>
    <w:rsid w:val="00801D71"/>
    <w:rsid w:val="00802AA0"/>
    <w:rsid w:val="0080568B"/>
    <w:rsid w:val="00810325"/>
    <w:rsid w:val="0081084E"/>
    <w:rsid w:val="00811272"/>
    <w:rsid w:val="00811992"/>
    <w:rsid w:val="0081432A"/>
    <w:rsid w:val="00821B7C"/>
    <w:rsid w:val="00823E4E"/>
    <w:rsid w:val="0082432A"/>
    <w:rsid w:val="00827FA6"/>
    <w:rsid w:val="00834E1F"/>
    <w:rsid w:val="008376AF"/>
    <w:rsid w:val="00841FA9"/>
    <w:rsid w:val="00844A74"/>
    <w:rsid w:val="00844F78"/>
    <w:rsid w:val="00845D99"/>
    <w:rsid w:val="0084643A"/>
    <w:rsid w:val="008516D6"/>
    <w:rsid w:val="00851729"/>
    <w:rsid w:val="008530B0"/>
    <w:rsid w:val="00854C19"/>
    <w:rsid w:val="00855A83"/>
    <w:rsid w:val="00857420"/>
    <w:rsid w:val="00857B73"/>
    <w:rsid w:val="00857DB8"/>
    <w:rsid w:val="00860CD5"/>
    <w:rsid w:val="00860F68"/>
    <w:rsid w:val="00861D59"/>
    <w:rsid w:val="00863732"/>
    <w:rsid w:val="00865BD9"/>
    <w:rsid w:val="00865E38"/>
    <w:rsid w:val="0086634F"/>
    <w:rsid w:val="008700A6"/>
    <w:rsid w:val="00871B7A"/>
    <w:rsid w:val="008732C2"/>
    <w:rsid w:val="0087428B"/>
    <w:rsid w:val="00876064"/>
    <w:rsid w:val="00876E02"/>
    <w:rsid w:val="0087700C"/>
    <w:rsid w:val="00877B4F"/>
    <w:rsid w:val="00886F0E"/>
    <w:rsid w:val="00890B8A"/>
    <w:rsid w:val="008915B2"/>
    <w:rsid w:val="00896C0D"/>
    <w:rsid w:val="00896D53"/>
    <w:rsid w:val="008971D1"/>
    <w:rsid w:val="008974AF"/>
    <w:rsid w:val="00897CC0"/>
    <w:rsid w:val="008A20BC"/>
    <w:rsid w:val="008A22DD"/>
    <w:rsid w:val="008A2745"/>
    <w:rsid w:val="008A2DF5"/>
    <w:rsid w:val="008A5CB6"/>
    <w:rsid w:val="008B1271"/>
    <w:rsid w:val="008B5136"/>
    <w:rsid w:val="008B5819"/>
    <w:rsid w:val="008B5EBB"/>
    <w:rsid w:val="008B64FF"/>
    <w:rsid w:val="008C054A"/>
    <w:rsid w:val="008C2434"/>
    <w:rsid w:val="008C2816"/>
    <w:rsid w:val="008C2C12"/>
    <w:rsid w:val="008C5826"/>
    <w:rsid w:val="008C5AE1"/>
    <w:rsid w:val="008C79AB"/>
    <w:rsid w:val="008D0B3B"/>
    <w:rsid w:val="008D2620"/>
    <w:rsid w:val="008D7061"/>
    <w:rsid w:val="008E1187"/>
    <w:rsid w:val="008E228A"/>
    <w:rsid w:val="008E2AB0"/>
    <w:rsid w:val="008E5EDA"/>
    <w:rsid w:val="008E793E"/>
    <w:rsid w:val="008F00D1"/>
    <w:rsid w:val="008F0E75"/>
    <w:rsid w:val="008F17A0"/>
    <w:rsid w:val="008F3918"/>
    <w:rsid w:val="008F68B7"/>
    <w:rsid w:val="00902AEB"/>
    <w:rsid w:val="00904D8B"/>
    <w:rsid w:val="0090733D"/>
    <w:rsid w:val="00907576"/>
    <w:rsid w:val="00907F46"/>
    <w:rsid w:val="009105AD"/>
    <w:rsid w:val="00913E41"/>
    <w:rsid w:val="009167C4"/>
    <w:rsid w:val="009213AF"/>
    <w:rsid w:val="009222D0"/>
    <w:rsid w:val="00923466"/>
    <w:rsid w:val="00925214"/>
    <w:rsid w:val="00925A4F"/>
    <w:rsid w:val="00930F8D"/>
    <w:rsid w:val="009331E5"/>
    <w:rsid w:val="00933C5D"/>
    <w:rsid w:val="00934440"/>
    <w:rsid w:val="00937FEA"/>
    <w:rsid w:val="0094006E"/>
    <w:rsid w:val="00942D36"/>
    <w:rsid w:val="00946397"/>
    <w:rsid w:val="009465D6"/>
    <w:rsid w:val="0094723D"/>
    <w:rsid w:val="00950800"/>
    <w:rsid w:val="00953D3B"/>
    <w:rsid w:val="00954654"/>
    <w:rsid w:val="00957D0D"/>
    <w:rsid w:val="00960092"/>
    <w:rsid w:val="00960C47"/>
    <w:rsid w:val="00961DA7"/>
    <w:rsid w:val="00962E3D"/>
    <w:rsid w:val="00965706"/>
    <w:rsid w:val="00965A17"/>
    <w:rsid w:val="009669DE"/>
    <w:rsid w:val="00966BA9"/>
    <w:rsid w:val="0097228B"/>
    <w:rsid w:val="00974CC7"/>
    <w:rsid w:val="00976550"/>
    <w:rsid w:val="009902DB"/>
    <w:rsid w:val="009916E1"/>
    <w:rsid w:val="009921DC"/>
    <w:rsid w:val="009927E2"/>
    <w:rsid w:val="00995175"/>
    <w:rsid w:val="00995C3C"/>
    <w:rsid w:val="0099649B"/>
    <w:rsid w:val="009A2E6E"/>
    <w:rsid w:val="009A7432"/>
    <w:rsid w:val="009A7F25"/>
    <w:rsid w:val="009B18AC"/>
    <w:rsid w:val="009B3269"/>
    <w:rsid w:val="009B33AD"/>
    <w:rsid w:val="009B4C1E"/>
    <w:rsid w:val="009C0399"/>
    <w:rsid w:val="009C0552"/>
    <w:rsid w:val="009C0B1A"/>
    <w:rsid w:val="009C4DBA"/>
    <w:rsid w:val="009C7611"/>
    <w:rsid w:val="009D2473"/>
    <w:rsid w:val="009D5BA9"/>
    <w:rsid w:val="009D7665"/>
    <w:rsid w:val="009E0D66"/>
    <w:rsid w:val="009E1B23"/>
    <w:rsid w:val="009E3E54"/>
    <w:rsid w:val="009E6F2C"/>
    <w:rsid w:val="009E6FA5"/>
    <w:rsid w:val="009F10AC"/>
    <w:rsid w:val="009F1E8C"/>
    <w:rsid w:val="009F205E"/>
    <w:rsid w:val="009F2587"/>
    <w:rsid w:val="009F3A5C"/>
    <w:rsid w:val="009F3BFB"/>
    <w:rsid w:val="009F6642"/>
    <w:rsid w:val="00A007D4"/>
    <w:rsid w:val="00A01DCD"/>
    <w:rsid w:val="00A0280F"/>
    <w:rsid w:val="00A03C13"/>
    <w:rsid w:val="00A04F7A"/>
    <w:rsid w:val="00A05E23"/>
    <w:rsid w:val="00A07599"/>
    <w:rsid w:val="00A1240B"/>
    <w:rsid w:val="00A13BEE"/>
    <w:rsid w:val="00A17D28"/>
    <w:rsid w:val="00A2134F"/>
    <w:rsid w:val="00A249E5"/>
    <w:rsid w:val="00A27784"/>
    <w:rsid w:val="00A27C34"/>
    <w:rsid w:val="00A308A7"/>
    <w:rsid w:val="00A31138"/>
    <w:rsid w:val="00A33BF1"/>
    <w:rsid w:val="00A3537D"/>
    <w:rsid w:val="00A360C3"/>
    <w:rsid w:val="00A40AB5"/>
    <w:rsid w:val="00A418CF"/>
    <w:rsid w:val="00A44794"/>
    <w:rsid w:val="00A46A7B"/>
    <w:rsid w:val="00A514D9"/>
    <w:rsid w:val="00A5243C"/>
    <w:rsid w:val="00A63B83"/>
    <w:rsid w:val="00A641C0"/>
    <w:rsid w:val="00A648D7"/>
    <w:rsid w:val="00A648DE"/>
    <w:rsid w:val="00A65355"/>
    <w:rsid w:val="00A65BFF"/>
    <w:rsid w:val="00A67C40"/>
    <w:rsid w:val="00A74773"/>
    <w:rsid w:val="00A82717"/>
    <w:rsid w:val="00A853EA"/>
    <w:rsid w:val="00A87A6C"/>
    <w:rsid w:val="00A91B46"/>
    <w:rsid w:val="00A91BC4"/>
    <w:rsid w:val="00A9229F"/>
    <w:rsid w:val="00A92ABA"/>
    <w:rsid w:val="00A93ECD"/>
    <w:rsid w:val="00A94523"/>
    <w:rsid w:val="00A95693"/>
    <w:rsid w:val="00A97A52"/>
    <w:rsid w:val="00AA1E9A"/>
    <w:rsid w:val="00AA2277"/>
    <w:rsid w:val="00AB5F81"/>
    <w:rsid w:val="00AB73D9"/>
    <w:rsid w:val="00AC12D9"/>
    <w:rsid w:val="00AC38AD"/>
    <w:rsid w:val="00AC7BBC"/>
    <w:rsid w:val="00AD0F19"/>
    <w:rsid w:val="00AD217E"/>
    <w:rsid w:val="00AD4E91"/>
    <w:rsid w:val="00AE45F6"/>
    <w:rsid w:val="00AE477A"/>
    <w:rsid w:val="00AE4DC7"/>
    <w:rsid w:val="00AE5111"/>
    <w:rsid w:val="00AE5F5B"/>
    <w:rsid w:val="00AF15FE"/>
    <w:rsid w:val="00AF2595"/>
    <w:rsid w:val="00AF2BEB"/>
    <w:rsid w:val="00AF338D"/>
    <w:rsid w:val="00AF6CD6"/>
    <w:rsid w:val="00B0121B"/>
    <w:rsid w:val="00B025C5"/>
    <w:rsid w:val="00B040CA"/>
    <w:rsid w:val="00B044C0"/>
    <w:rsid w:val="00B05670"/>
    <w:rsid w:val="00B07E46"/>
    <w:rsid w:val="00B1494E"/>
    <w:rsid w:val="00B20693"/>
    <w:rsid w:val="00B32183"/>
    <w:rsid w:val="00B32FCF"/>
    <w:rsid w:val="00B33200"/>
    <w:rsid w:val="00B500B6"/>
    <w:rsid w:val="00B55759"/>
    <w:rsid w:val="00B55BD5"/>
    <w:rsid w:val="00B55D6F"/>
    <w:rsid w:val="00B57628"/>
    <w:rsid w:val="00B60C68"/>
    <w:rsid w:val="00B6138E"/>
    <w:rsid w:val="00B636EF"/>
    <w:rsid w:val="00B63BEC"/>
    <w:rsid w:val="00B642AB"/>
    <w:rsid w:val="00B65495"/>
    <w:rsid w:val="00B662C1"/>
    <w:rsid w:val="00B6693D"/>
    <w:rsid w:val="00B7348F"/>
    <w:rsid w:val="00B75DFC"/>
    <w:rsid w:val="00B771D0"/>
    <w:rsid w:val="00B77823"/>
    <w:rsid w:val="00B80683"/>
    <w:rsid w:val="00B81537"/>
    <w:rsid w:val="00B826B5"/>
    <w:rsid w:val="00B84EB0"/>
    <w:rsid w:val="00B85D30"/>
    <w:rsid w:val="00B85F8B"/>
    <w:rsid w:val="00B86872"/>
    <w:rsid w:val="00B86DAD"/>
    <w:rsid w:val="00B916CE"/>
    <w:rsid w:val="00B91A21"/>
    <w:rsid w:val="00B927F7"/>
    <w:rsid w:val="00B93EB3"/>
    <w:rsid w:val="00B95455"/>
    <w:rsid w:val="00B974BE"/>
    <w:rsid w:val="00B9763E"/>
    <w:rsid w:val="00BA06C9"/>
    <w:rsid w:val="00BA2491"/>
    <w:rsid w:val="00BA274E"/>
    <w:rsid w:val="00BA3895"/>
    <w:rsid w:val="00BA4973"/>
    <w:rsid w:val="00BA6A7F"/>
    <w:rsid w:val="00BB1520"/>
    <w:rsid w:val="00BB1FA2"/>
    <w:rsid w:val="00BB58AE"/>
    <w:rsid w:val="00BB77CE"/>
    <w:rsid w:val="00BC2805"/>
    <w:rsid w:val="00BC3A1E"/>
    <w:rsid w:val="00BC5AC3"/>
    <w:rsid w:val="00BC713E"/>
    <w:rsid w:val="00BD0745"/>
    <w:rsid w:val="00BD16D7"/>
    <w:rsid w:val="00BD1BE6"/>
    <w:rsid w:val="00BD3B1F"/>
    <w:rsid w:val="00BD45B0"/>
    <w:rsid w:val="00BD4B65"/>
    <w:rsid w:val="00BD56D2"/>
    <w:rsid w:val="00BD71D7"/>
    <w:rsid w:val="00BE1A77"/>
    <w:rsid w:val="00BE3251"/>
    <w:rsid w:val="00BE3FEE"/>
    <w:rsid w:val="00BE68D6"/>
    <w:rsid w:val="00BE6BB4"/>
    <w:rsid w:val="00BF0C54"/>
    <w:rsid w:val="00C00276"/>
    <w:rsid w:val="00C00301"/>
    <w:rsid w:val="00C0267A"/>
    <w:rsid w:val="00C03E00"/>
    <w:rsid w:val="00C052D2"/>
    <w:rsid w:val="00C05851"/>
    <w:rsid w:val="00C11001"/>
    <w:rsid w:val="00C12559"/>
    <w:rsid w:val="00C12A80"/>
    <w:rsid w:val="00C12FC2"/>
    <w:rsid w:val="00C15767"/>
    <w:rsid w:val="00C16A6A"/>
    <w:rsid w:val="00C2445A"/>
    <w:rsid w:val="00C260A9"/>
    <w:rsid w:val="00C30D44"/>
    <w:rsid w:val="00C30F81"/>
    <w:rsid w:val="00C35D50"/>
    <w:rsid w:val="00C43666"/>
    <w:rsid w:val="00C44919"/>
    <w:rsid w:val="00C456ED"/>
    <w:rsid w:val="00C4670E"/>
    <w:rsid w:val="00C47354"/>
    <w:rsid w:val="00C50303"/>
    <w:rsid w:val="00C53759"/>
    <w:rsid w:val="00C563A5"/>
    <w:rsid w:val="00C567DB"/>
    <w:rsid w:val="00C605C5"/>
    <w:rsid w:val="00C623B8"/>
    <w:rsid w:val="00C62900"/>
    <w:rsid w:val="00C64E30"/>
    <w:rsid w:val="00C65831"/>
    <w:rsid w:val="00C74AD0"/>
    <w:rsid w:val="00C8297F"/>
    <w:rsid w:val="00C83AB2"/>
    <w:rsid w:val="00C864CC"/>
    <w:rsid w:val="00C86735"/>
    <w:rsid w:val="00C92AE6"/>
    <w:rsid w:val="00C92C5D"/>
    <w:rsid w:val="00C931C4"/>
    <w:rsid w:val="00C97BAD"/>
    <w:rsid w:val="00CA17C4"/>
    <w:rsid w:val="00CA4E0A"/>
    <w:rsid w:val="00CA552F"/>
    <w:rsid w:val="00CB0B27"/>
    <w:rsid w:val="00CB177A"/>
    <w:rsid w:val="00CB18D5"/>
    <w:rsid w:val="00CB325B"/>
    <w:rsid w:val="00CB442E"/>
    <w:rsid w:val="00CB4633"/>
    <w:rsid w:val="00CB7234"/>
    <w:rsid w:val="00CC1282"/>
    <w:rsid w:val="00CC3F0F"/>
    <w:rsid w:val="00CC5F75"/>
    <w:rsid w:val="00CC5FE7"/>
    <w:rsid w:val="00CC7580"/>
    <w:rsid w:val="00CD41D5"/>
    <w:rsid w:val="00CD49BE"/>
    <w:rsid w:val="00CD689B"/>
    <w:rsid w:val="00CD737E"/>
    <w:rsid w:val="00CE3C46"/>
    <w:rsid w:val="00CE53F1"/>
    <w:rsid w:val="00CE7F0B"/>
    <w:rsid w:val="00CF2230"/>
    <w:rsid w:val="00CF2524"/>
    <w:rsid w:val="00CF3065"/>
    <w:rsid w:val="00CF3B31"/>
    <w:rsid w:val="00CF3BCC"/>
    <w:rsid w:val="00CF4E26"/>
    <w:rsid w:val="00CF61D1"/>
    <w:rsid w:val="00D00076"/>
    <w:rsid w:val="00D00FD7"/>
    <w:rsid w:val="00D01066"/>
    <w:rsid w:val="00D027EA"/>
    <w:rsid w:val="00D02BEE"/>
    <w:rsid w:val="00D036F2"/>
    <w:rsid w:val="00D04744"/>
    <w:rsid w:val="00D04A7E"/>
    <w:rsid w:val="00D07533"/>
    <w:rsid w:val="00D079ED"/>
    <w:rsid w:val="00D136AE"/>
    <w:rsid w:val="00D16036"/>
    <w:rsid w:val="00D17C7A"/>
    <w:rsid w:val="00D20104"/>
    <w:rsid w:val="00D216F6"/>
    <w:rsid w:val="00D25494"/>
    <w:rsid w:val="00D26193"/>
    <w:rsid w:val="00D32803"/>
    <w:rsid w:val="00D35569"/>
    <w:rsid w:val="00D3626A"/>
    <w:rsid w:val="00D370CB"/>
    <w:rsid w:val="00D4238C"/>
    <w:rsid w:val="00D4306F"/>
    <w:rsid w:val="00D51955"/>
    <w:rsid w:val="00D52BD4"/>
    <w:rsid w:val="00D530DB"/>
    <w:rsid w:val="00D55542"/>
    <w:rsid w:val="00D55E55"/>
    <w:rsid w:val="00D63CB8"/>
    <w:rsid w:val="00D666EC"/>
    <w:rsid w:val="00D72058"/>
    <w:rsid w:val="00D72350"/>
    <w:rsid w:val="00D7384D"/>
    <w:rsid w:val="00D741A0"/>
    <w:rsid w:val="00D75EB1"/>
    <w:rsid w:val="00D801BF"/>
    <w:rsid w:val="00D80746"/>
    <w:rsid w:val="00D8296F"/>
    <w:rsid w:val="00D84393"/>
    <w:rsid w:val="00D867A7"/>
    <w:rsid w:val="00D86D7F"/>
    <w:rsid w:val="00D92212"/>
    <w:rsid w:val="00D937E7"/>
    <w:rsid w:val="00D9385D"/>
    <w:rsid w:val="00D97FAF"/>
    <w:rsid w:val="00DA050A"/>
    <w:rsid w:val="00DA394A"/>
    <w:rsid w:val="00DA5221"/>
    <w:rsid w:val="00DC53CD"/>
    <w:rsid w:val="00DC70EA"/>
    <w:rsid w:val="00DD3D69"/>
    <w:rsid w:val="00DD41DB"/>
    <w:rsid w:val="00DD51C3"/>
    <w:rsid w:val="00DE1161"/>
    <w:rsid w:val="00DE1E45"/>
    <w:rsid w:val="00DE2574"/>
    <w:rsid w:val="00DE580F"/>
    <w:rsid w:val="00DE5F61"/>
    <w:rsid w:val="00DF06E7"/>
    <w:rsid w:val="00DF411A"/>
    <w:rsid w:val="00DF4DC7"/>
    <w:rsid w:val="00DF7EE6"/>
    <w:rsid w:val="00E004CF"/>
    <w:rsid w:val="00E03E27"/>
    <w:rsid w:val="00E04AF5"/>
    <w:rsid w:val="00E0665C"/>
    <w:rsid w:val="00E1076D"/>
    <w:rsid w:val="00E11C70"/>
    <w:rsid w:val="00E12E46"/>
    <w:rsid w:val="00E16002"/>
    <w:rsid w:val="00E164B9"/>
    <w:rsid w:val="00E209C2"/>
    <w:rsid w:val="00E250DF"/>
    <w:rsid w:val="00E25D6F"/>
    <w:rsid w:val="00E26B60"/>
    <w:rsid w:val="00E27378"/>
    <w:rsid w:val="00E34199"/>
    <w:rsid w:val="00E3791D"/>
    <w:rsid w:val="00E416F0"/>
    <w:rsid w:val="00E419A9"/>
    <w:rsid w:val="00E42BB9"/>
    <w:rsid w:val="00E461AA"/>
    <w:rsid w:val="00E47DAA"/>
    <w:rsid w:val="00E53CA4"/>
    <w:rsid w:val="00E53E4C"/>
    <w:rsid w:val="00E53FCE"/>
    <w:rsid w:val="00E555D1"/>
    <w:rsid w:val="00E55E4B"/>
    <w:rsid w:val="00E634B6"/>
    <w:rsid w:val="00E63DAD"/>
    <w:rsid w:val="00E65E1F"/>
    <w:rsid w:val="00E73281"/>
    <w:rsid w:val="00E73E80"/>
    <w:rsid w:val="00E7447A"/>
    <w:rsid w:val="00E74482"/>
    <w:rsid w:val="00E74CD6"/>
    <w:rsid w:val="00E755BB"/>
    <w:rsid w:val="00E76705"/>
    <w:rsid w:val="00E80587"/>
    <w:rsid w:val="00E862D9"/>
    <w:rsid w:val="00E86E2F"/>
    <w:rsid w:val="00E90A2D"/>
    <w:rsid w:val="00E90C88"/>
    <w:rsid w:val="00E90D86"/>
    <w:rsid w:val="00E93F1A"/>
    <w:rsid w:val="00E94659"/>
    <w:rsid w:val="00E955CD"/>
    <w:rsid w:val="00E95AAF"/>
    <w:rsid w:val="00EA00E4"/>
    <w:rsid w:val="00EA4ECD"/>
    <w:rsid w:val="00EA6694"/>
    <w:rsid w:val="00EA6FA6"/>
    <w:rsid w:val="00EA7F44"/>
    <w:rsid w:val="00EB13DF"/>
    <w:rsid w:val="00EB1ED9"/>
    <w:rsid w:val="00EB3E8D"/>
    <w:rsid w:val="00EC2238"/>
    <w:rsid w:val="00EC3137"/>
    <w:rsid w:val="00EC3877"/>
    <w:rsid w:val="00EC51ED"/>
    <w:rsid w:val="00EC6281"/>
    <w:rsid w:val="00EC68DE"/>
    <w:rsid w:val="00EC7774"/>
    <w:rsid w:val="00ED28F1"/>
    <w:rsid w:val="00ED2CE7"/>
    <w:rsid w:val="00ED3641"/>
    <w:rsid w:val="00ED6419"/>
    <w:rsid w:val="00ED731A"/>
    <w:rsid w:val="00EE469C"/>
    <w:rsid w:val="00EE55A8"/>
    <w:rsid w:val="00EF0400"/>
    <w:rsid w:val="00EF1DFB"/>
    <w:rsid w:val="00EF791C"/>
    <w:rsid w:val="00F01696"/>
    <w:rsid w:val="00F01FF1"/>
    <w:rsid w:val="00F0236B"/>
    <w:rsid w:val="00F042C7"/>
    <w:rsid w:val="00F063D1"/>
    <w:rsid w:val="00F0644F"/>
    <w:rsid w:val="00F154FB"/>
    <w:rsid w:val="00F15C89"/>
    <w:rsid w:val="00F17E4C"/>
    <w:rsid w:val="00F204F5"/>
    <w:rsid w:val="00F219C3"/>
    <w:rsid w:val="00F22740"/>
    <w:rsid w:val="00F24598"/>
    <w:rsid w:val="00F25685"/>
    <w:rsid w:val="00F300DA"/>
    <w:rsid w:val="00F32125"/>
    <w:rsid w:val="00F33497"/>
    <w:rsid w:val="00F33E0C"/>
    <w:rsid w:val="00F34008"/>
    <w:rsid w:val="00F370A3"/>
    <w:rsid w:val="00F41AD4"/>
    <w:rsid w:val="00F41D05"/>
    <w:rsid w:val="00F42B97"/>
    <w:rsid w:val="00F46D67"/>
    <w:rsid w:val="00F47EF7"/>
    <w:rsid w:val="00F5357F"/>
    <w:rsid w:val="00F53E98"/>
    <w:rsid w:val="00F56E07"/>
    <w:rsid w:val="00F60538"/>
    <w:rsid w:val="00F6067B"/>
    <w:rsid w:val="00F7182A"/>
    <w:rsid w:val="00F72129"/>
    <w:rsid w:val="00F752AD"/>
    <w:rsid w:val="00F76AD1"/>
    <w:rsid w:val="00F77591"/>
    <w:rsid w:val="00F801E1"/>
    <w:rsid w:val="00F805FC"/>
    <w:rsid w:val="00F811C6"/>
    <w:rsid w:val="00F827E9"/>
    <w:rsid w:val="00F863A4"/>
    <w:rsid w:val="00F86551"/>
    <w:rsid w:val="00F9100C"/>
    <w:rsid w:val="00F91745"/>
    <w:rsid w:val="00F92565"/>
    <w:rsid w:val="00F96D6C"/>
    <w:rsid w:val="00F97106"/>
    <w:rsid w:val="00F97A06"/>
    <w:rsid w:val="00FA0563"/>
    <w:rsid w:val="00FA3320"/>
    <w:rsid w:val="00FA3B94"/>
    <w:rsid w:val="00FA5B12"/>
    <w:rsid w:val="00FA604D"/>
    <w:rsid w:val="00FB2226"/>
    <w:rsid w:val="00FB3821"/>
    <w:rsid w:val="00FC1327"/>
    <w:rsid w:val="00FC1924"/>
    <w:rsid w:val="00FC4966"/>
    <w:rsid w:val="00FC57AB"/>
    <w:rsid w:val="00FC7D48"/>
    <w:rsid w:val="00FD0579"/>
    <w:rsid w:val="00FD1E6F"/>
    <w:rsid w:val="00FD234D"/>
    <w:rsid w:val="00FD2457"/>
    <w:rsid w:val="00FD3F67"/>
    <w:rsid w:val="00FD6422"/>
    <w:rsid w:val="00FD6642"/>
    <w:rsid w:val="00FD6872"/>
    <w:rsid w:val="00FD7930"/>
    <w:rsid w:val="00FE0070"/>
    <w:rsid w:val="00FE09B1"/>
    <w:rsid w:val="00FE1284"/>
    <w:rsid w:val="00FE3083"/>
    <w:rsid w:val="00FE7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9F22F"/>
  <w15:docId w15:val="{EC50100F-F438-4D8C-ACFA-ED41C8A2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855"/>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9F2587"/>
  </w:style>
  <w:style w:type="paragraph" w:styleId="Revision">
    <w:name w:val="Revision"/>
    <w:hidden/>
    <w:uiPriority w:val="99"/>
    <w:semiHidden/>
    <w:rsid w:val="00DA394A"/>
  </w:style>
  <w:style w:type="paragraph" w:styleId="PlainText">
    <w:name w:val="Plain Text"/>
    <w:basedOn w:val="Normal"/>
    <w:link w:val="PlainTextChar"/>
    <w:semiHidden/>
    <w:unhideWhenUsed/>
    <w:rsid w:val="00A17D28"/>
    <w:rPr>
      <w:sz w:val="24"/>
      <w:szCs w:val="24"/>
    </w:rPr>
  </w:style>
  <w:style w:type="character" w:customStyle="1" w:styleId="PlainTextChar">
    <w:name w:val="Plain Text Char"/>
    <w:basedOn w:val="DefaultParagraphFont"/>
    <w:link w:val="PlainText"/>
    <w:semiHidden/>
    <w:rsid w:val="00A17D28"/>
    <w:rPr>
      <w:sz w:val="24"/>
      <w:szCs w:val="24"/>
    </w:rPr>
  </w:style>
  <w:style w:type="character" w:styleId="UnresolvedMention">
    <w:name w:val="Unresolved Mention"/>
    <w:basedOn w:val="DefaultParagraphFont"/>
    <w:uiPriority w:val="99"/>
    <w:semiHidden/>
    <w:unhideWhenUsed/>
    <w:rsid w:val="00CF6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uffys@nida.nih.gov" TargetMode="External" /><Relationship Id="rId6" Type="http://schemas.openxmlformats.org/officeDocument/2006/relationships/hyperlink" Target="https://www.opm.gov/policy-data-oversight/pay-leave/salaries-wages/salary-tables/22Tables/html/DCB.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0141-93B5-4754-B693-036CE68C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2199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Brown, Erwin (AHRQ/CFACT)</cp:lastModifiedBy>
  <cp:revision>11</cp:revision>
  <cp:lastPrinted>2020-10-07T18:47:00Z</cp:lastPrinted>
  <dcterms:created xsi:type="dcterms:W3CDTF">2022-05-26T19:21:00Z</dcterms:created>
  <dcterms:modified xsi:type="dcterms:W3CDTF">2022-09-26T19:00:00Z</dcterms:modified>
</cp:coreProperties>
</file>