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20F0" w:rsidP="009B633D" w14:paraId="28A225B4" w14:textId="77777777">
      <w:pPr>
        <w:jc w:val="center"/>
        <w:rPr>
          <w:sz w:val="28"/>
          <w:szCs w:val="28"/>
        </w:rPr>
      </w:pPr>
    </w:p>
    <w:p w:rsidR="002520F0" w:rsidP="009B633D" w14:paraId="6F8D219C" w14:textId="77777777">
      <w:pPr>
        <w:jc w:val="center"/>
        <w:rPr>
          <w:sz w:val="28"/>
          <w:szCs w:val="28"/>
        </w:rPr>
      </w:pPr>
    </w:p>
    <w:p w:rsidR="009B633D" w:rsidP="009B633D" w14:paraId="144F58DB" w14:textId="77777777">
      <w:pPr>
        <w:jc w:val="center"/>
        <w:rPr>
          <w:sz w:val="28"/>
          <w:szCs w:val="28"/>
        </w:rPr>
      </w:pPr>
    </w:p>
    <w:p w:rsidR="009B633D" w:rsidRPr="00E70711" w:rsidP="009B633D" w14:paraId="431094B6" w14:textId="77777777">
      <w:pPr>
        <w:jc w:val="center"/>
        <w:rPr>
          <w:b/>
          <w:sz w:val="32"/>
          <w:szCs w:val="32"/>
        </w:rPr>
      </w:pPr>
      <w:r w:rsidRPr="00E70711">
        <w:rPr>
          <w:b/>
          <w:sz w:val="32"/>
          <w:szCs w:val="32"/>
        </w:rPr>
        <w:t>SUPPORTING STATEMENT</w:t>
      </w:r>
    </w:p>
    <w:p w:rsidR="00635119" w:rsidRPr="00E70711" w:rsidP="009B633D" w14:paraId="6E25EB12" w14:textId="77777777">
      <w:pPr>
        <w:jc w:val="center"/>
        <w:rPr>
          <w:b/>
          <w:sz w:val="32"/>
          <w:szCs w:val="32"/>
        </w:rPr>
      </w:pPr>
    </w:p>
    <w:p w:rsidR="009B633D" w:rsidRPr="00E70711" w:rsidP="009B633D" w14:paraId="3FB81364" w14:textId="43DFF512">
      <w:pPr>
        <w:jc w:val="center"/>
        <w:rPr>
          <w:sz w:val="32"/>
          <w:szCs w:val="32"/>
        </w:rPr>
      </w:pPr>
      <w:r w:rsidRPr="00E70711">
        <w:rPr>
          <w:b/>
          <w:sz w:val="32"/>
          <w:szCs w:val="32"/>
        </w:rPr>
        <w:t>Part A</w:t>
      </w:r>
    </w:p>
    <w:p w:rsidR="009B633D" w:rsidRPr="00E70711" w:rsidP="009B633D" w14:paraId="13CCB4EE" w14:textId="77777777">
      <w:pPr>
        <w:jc w:val="center"/>
        <w:rPr>
          <w:sz w:val="32"/>
          <w:szCs w:val="32"/>
        </w:rPr>
      </w:pPr>
    </w:p>
    <w:p w:rsidR="009B633D" w:rsidRPr="00E70711" w:rsidP="009B633D" w14:paraId="2F45BA85" w14:textId="77777777">
      <w:pPr>
        <w:jc w:val="center"/>
        <w:rPr>
          <w:sz w:val="32"/>
          <w:szCs w:val="32"/>
        </w:rPr>
      </w:pPr>
    </w:p>
    <w:p w:rsidR="009B633D" w:rsidRPr="00E70711" w:rsidP="009B633D" w14:paraId="211152AA" w14:textId="77777777">
      <w:pPr>
        <w:jc w:val="center"/>
        <w:rPr>
          <w:sz w:val="32"/>
          <w:szCs w:val="32"/>
        </w:rPr>
      </w:pPr>
    </w:p>
    <w:p w:rsidR="009B633D" w:rsidRPr="00E70711" w:rsidP="009B633D" w14:paraId="309D0F23" w14:textId="77777777">
      <w:pPr>
        <w:jc w:val="center"/>
        <w:rPr>
          <w:sz w:val="32"/>
          <w:szCs w:val="32"/>
        </w:rPr>
      </w:pPr>
    </w:p>
    <w:p w:rsidR="009B633D" w:rsidRPr="00E70711" w:rsidP="009B633D" w14:paraId="145A8137" w14:textId="77777777">
      <w:pPr>
        <w:jc w:val="center"/>
        <w:rPr>
          <w:sz w:val="32"/>
          <w:szCs w:val="32"/>
        </w:rPr>
      </w:pPr>
    </w:p>
    <w:p w:rsidR="009B633D" w:rsidRPr="00E70711" w:rsidP="009B633D" w14:paraId="6F1BEA1A" w14:textId="77777777">
      <w:pPr>
        <w:jc w:val="center"/>
        <w:rPr>
          <w:sz w:val="32"/>
          <w:szCs w:val="32"/>
        </w:rPr>
      </w:pPr>
    </w:p>
    <w:p w:rsidR="00507969" w:rsidRPr="00E70711" w:rsidP="00507969" w14:paraId="51098ACD" w14:textId="79A26D76">
      <w:pPr>
        <w:pStyle w:val="NORCCoverTitle"/>
        <w:spacing w:before="240" w:after="120" w:line="240" w:lineRule="auto"/>
        <w:jc w:val="center"/>
        <w:rPr>
          <w:rFonts w:ascii="Times New Roman" w:hAnsi="Times New Roman"/>
          <w:b/>
          <w:sz w:val="32"/>
          <w:szCs w:val="32"/>
        </w:rPr>
      </w:pPr>
      <w:r w:rsidRPr="00E70711">
        <w:rPr>
          <w:rFonts w:ascii="Times New Roman" w:hAnsi="Times New Roman"/>
          <w:b/>
          <w:sz w:val="32"/>
          <w:szCs w:val="32"/>
        </w:rPr>
        <w:t xml:space="preserve">The AHRQ Safety Program for Methicillin-Resistant </w:t>
      </w:r>
      <w:r w:rsidRPr="00E70711">
        <w:rPr>
          <w:rFonts w:ascii="Times New Roman" w:hAnsi="Times New Roman"/>
          <w:b/>
          <w:i/>
          <w:iCs/>
          <w:sz w:val="32"/>
          <w:szCs w:val="32"/>
        </w:rPr>
        <w:t xml:space="preserve">Staphylococcus </w:t>
      </w:r>
      <w:r w:rsidRPr="00E70711" w:rsidR="00AB6736">
        <w:rPr>
          <w:rFonts w:ascii="Times New Roman" w:hAnsi="Times New Roman"/>
          <w:b/>
          <w:i/>
          <w:iCs/>
          <w:sz w:val="32"/>
          <w:szCs w:val="32"/>
        </w:rPr>
        <w:t>a</w:t>
      </w:r>
      <w:r w:rsidRPr="00E70711">
        <w:rPr>
          <w:rFonts w:ascii="Times New Roman" w:hAnsi="Times New Roman"/>
          <w:b/>
          <w:i/>
          <w:iCs/>
          <w:sz w:val="32"/>
          <w:szCs w:val="32"/>
        </w:rPr>
        <w:t>ureus</w:t>
      </w:r>
      <w:r w:rsidRPr="00E70711">
        <w:rPr>
          <w:rFonts w:ascii="Times New Roman" w:hAnsi="Times New Roman"/>
          <w:b/>
          <w:sz w:val="32"/>
          <w:szCs w:val="32"/>
        </w:rPr>
        <w:t xml:space="preserve"> (MRSA) Prevention</w:t>
      </w:r>
    </w:p>
    <w:p w:rsidR="009B633D" w:rsidRPr="00E70711" w:rsidP="009B633D" w14:paraId="5FDFA977" w14:textId="77777777">
      <w:pPr>
        <w:jc w:val="center"/>
        <w:rPr>
          <w:sz w:val="28"/>
          <w:szCs w:val="28"/>
        </w:rPr>
      </w:pPr>
    </w:p>
    <w:p w:rsidR="009B633D" w:rsidRPr="00E70711" w:rsidP="009B633D" w14:paraId="22752694" w14:textId="77777777">
      <w:pPr>
        <w:jc w:val="center"/>
        <w:rPr>
          <w:sz w:val="28"/>
          <w:szCs w:val="28"/>
        </w:rPr>
      </w:pPr>
    </w:p>
    <w:p w:rsidR="009B633D" w:rsidRPr="00E70711" w:rsidP="009B633D" w14:paraId="0355C845" w14:textId="77777777">
      <w:pPr>
        <w:jc w:val="center"/>
        <w:rPr>
          <w:sz w:val="28"/>
          <w:szCs w:val="28"/>
        </w:rPr>
      </w:pPr>
    </w:p>
    <w:p w:rsidR="009B633D" w:rsidRPr="00E70711" w:rsidP="009B633D" w14:paraId="0CF0C401" w14:textId="77777777">
      <w:pPr>
        <w:jc w:val="center"/>
        <w:rPr>
          <w:sz w:val="28"/>
          <w:szCs w:val="28"/>
        </w:rPr>
      </w:pPr>
    </w:p>
    <w:p w:rsidR="009B633D" w:rsidRPr="00E70711" w:rsidP="009B633D" w14:paraId="0B9C120A" w14:textId="5FFA3E4D">
      <w:pPr>
        <w:jc w:val="center"/>
        <w:rPr>
          <w:sz w:val="28"/>
          <w:szCs w:val="28"/>
        </w:rPr>
      </w:pPr>
      <w:r w:rsidRPr="001E7F9E">
        <w:rPr>
          <w:sz w:val="28"/>
          <w:szCs w:val="28"/>
          <w:highlight w:val="yellow"/>
        </w:rPr>
        <w:t xml:space="preserve">June </w:t>
      </w:r>
      <w:r w:rsidRPr="001E7F9E" w:rsidR="000B2C2E">
        <w:rPr>
          <w:sz w:val="28"/>
          <w:szCs w:val="28"/>
          <w:highlight w:val="yellow"/>
        </w:rPr>
        <w:t>1</w:t>
      </w:r>
      <w:r w:rsidRPr="001E7F9E" w:rsidR="00EE3FC9">
        <w:rPr>
          <w:sz w:val="28"/>
          <w:szCs w:val="28"/>
          <w:highlight w:val="yellow"/>
        </w:rPr>
        <w:t>6</w:t>
      </w:r>
      <w:r w:rsidRPr="001E7F9E" w:rsidR="008A4C17">
        <w:rPr>
          <w:sz w:val="28"/>
          <w:szCs w:val="28"/>
          <w:highlight w:val="yellow"/>
        </w:rPr>
        <w:t>, 202</w:t>
      </w:r>
      <w:r w:rsidRPr="001E7F9E" w:rsidR="00405F26">
        <w:rPr>
          <w:sz w:val="28"/>
          <w:szCs w:val="28"/>
          <w:highlight w:val="yellow"/>
        </w:rPr>
        <w:t>2</w:t>
      </w:r>
    </w:p>
    <w:p w:rsidR="009B633D" w:rsidRPr="00E70711" w:rsidP="009B633D" w14:paraId="7D6CBB88" w14:textId="77777777">
      <w:pPr>
        <w:jc w:val="center"/>
        <w:rPr>
          <w:i/>
          <w:sz w:val="28"/>
          <w:szCs w:val="28"/>
        </w:rPr>
      </w:pPr>
    </w:p>
    <w:p w:rsidR="009B633D" w:rsidRPr="00E70711" w:rsidP="009B633D" w14:paraId="4F634F8F" w14:textId="77777777">
      <w:pPr>
        <w:jc w:val="center"/>
        <w:rPr>
          <w:sz w:val="28"/>
          <w:szCs w:val="28"/>
        </w:rPr>
      </w:pPr>
    </w:p>
    <w:p w:rsidR="009B633D" w:rsidRPr="00E70711" w:rsidP="009B633D" w14:paraId="2FF0043B" w14:textId="77777777">
      <w:pPr>
        <w:jc w:val="center"/>
        <w:rPr>
          <w:sz w:val="28"/>
          <w:szCs w:val="28"/>
        </w:rPr>
      </w:pPr>
    </w:p>
    <w:p w:rsidR="009B633D" w:rsidRPr="00E70711" w:rsidP="009B633D" w14:paraId="25DF18C3" w14:textId="77777777">
      <w:pPr>
        <w:jc w:val="center"/>
        <w:rPr>
          <w:sz w:val="28"/>
          <w:szCs w:val="28"/>
        </w:rPr>
      </w:pPr>
    </w:p>
    <w:p w:rsidR="009B633D" w:rsidRPr="00E70711" w:rsidP="009B633D" w14:paraId="7AC5B5B2" w14:textId="77777777">
      <w:pPr>
        <w:jc w:val="center"/>
        <w:rPr>
          <w:sz w:val="28"/>
          <w:szCs w:val="28"/>
        </w:rPr>
      </w:pPr>
    </w:p>
    <w:p w:rsidR="009B633D" w:rsidRPr="00E70711" w:rsidP="009B633D" w14:paraId="0DD86B19" w14:textId="77777777">
      <w:pPr>
        <w:jc w:val="center"/>
        <w:rPr>
          <w:sz w:val="28"/>
          <w:szCs w:val="28"/>
        </w:rPr>
      </w:pPr>
    </w:p>
    <w:p w:rsidR="009B633D" w:rsidRPr="00E70711" w:rsidP="009B633D" w14:paraId="42915441" w14:textId="73153A8F">
      <w:pPr>
        <w:jc w:val="center"/>
        <w:rPr>
          <w:sz w:val="28"/>
          <w:szCs w:val="28"/>
        </w:rPr>
      </w:pPr>
      <w:r w:rsidRPr="00E70711">
        <w:rPr>
          <w:sz w:val="28"/>
          <w:szCs w:val="28"/>
        </w:rPr>
        <w:t xml:space="preserve">Agency </w:t>
      </w:r>
      <w:r w:rsidRPr="00E70711" w:rsidR="009614BB">
        <w:rPr>
          <w:sz w:val="28"/>
          <w:szCs w:val="28"/>
        </w:rPr>
        <w:t>for</w:t>
      </w:r>
      <w:r w:rsidRPr="00E70711">
        <w:rPr>
          <w:sz w:val="28"/>
          <w:szCs w:val="28"/>
        </w:rPr>
        <w:t xml:space="preserve"> Healthcare Research and Quality (AHRQ)</w:t>
      </w:r>
    </w:p>
    <w:p w:rsidR="009B633D" w:rsidRPr="00E70711" w14:paraId="5C5A27F7" w14:textId="77777777">
      <w:pPr>
        <w:rPr>
          <w:sz w:val="28"/>
          <w:szCs w:val="28"/>
        </w:rPr>
      </w:pPr>
    </w:p>
    <w:p w:rsidR="009B633D" w:rsidRPr="00E70711" w14:paraId="09BC0D38" w14:textId="77777777">
      <w:pPr>
        <w:rPr>
          <w:sz w:val="28"/>
          <w:szCs w:val="28"/>
        </w:rPr>
      </w:pPr>
    </w:p>
    <w:p w:rsidR="00EB58F3" w:rsidRPr="00E70711" w:rsidP="00233775" w14:paraId="0E53D2B2" w14:textId="77777777">
      <w:pPr>
        <w:pStyle w:val="GridTable31"/>
        <w:rPr>
          <w:b w:val="0"/>
        </w:rPr>
      </w:pPr>
      <w:r w:rsidRPr="00E70711">
        <w:rPr>
          <w:b w:val="0"/>
        </w:rPr>
        <w:br w:type="page"/>
      </w:r>
      <w:r w:rsidRPr="00E70711" w:rsidR="00233775">
        <w:rPr>
          <w:b w:val="0"/>
          <w:color w:val="5B9BD5"/>
        </w:rPr>
        <w:t>Table of Contents</w:t>
      </w:r>
    </w:p>
    <w:p w:rsidR="009420AE" w14:paraId="00AEA7D0" w14:textId="56FBB3AF">
      <w:pPr>
        <w:pStyle w:val="TOC1"/>
        <w:tabs>
          <w:tab w:val="right" w:leader="dot" w:pos="8630"/>
        </w:tabs>
        <w:rPr>
          <w:rFonts w:asciiTheme="minorHAnsi" w:eastAsiaTheme="minorEastAsia" w:hAnsiTheme="minorHAnsi" w:cstheme="minorBidi"/>
          <w:noProof/>
          <w:sz w:val="22"/>
          <w:szCs w:val="22"/>
        </w:rPr>
      </w:pPr>
      <w:r w:rsidRPr="00E70711">
        <w:rPr>
          <w:b/>
        </w:rPr>
        <w:fldChar w:fldCharType="begin"/>
      </w:r>
      <w:r w:rsidRPr="00E70711">
        <w:rPr>
          <w:b/>
        </w:rPr>
        <w:instrText xml:space="preserve"> TOC \o "1-3" \h \z \u </w:instrText>
      </w:r>
      <w:r w:rsidRPr="00E70711">
        <w:rPr>
          <w:b/>
        </w:rPr>
        <w:fldChar w:fldCharType="separate"/>
      </w:r>
      <w:hyperlink w:anchor="_Toc73965296" w:history="1">
        <w:r w:rsidRPr="0063012B">
          <w:rPr>
            <w:rStyle w:val="Hyperlink"/>
            <w:noProof/>
          </w:rPr>
          <w:t>A. Justification</w:t>
        </w:r>
        <w:r>
          <w:rPr>
            <w:noProof/>
            <w:webHidden/>
          </w:rPr>
          <w:tab/>
        </w:r>
        <w:r>
          <w:rPr>
            <w:noProof/>
            <w:webHidden/>
          </w:rPr>
          <w:fldChar w:fldCharType="begin"/>
        </w:r>
        <w:r>
          <w:rPr>
            <w:noProof/>
            <w:webHidden/>
          </w:rPr>
          <w:instrText xml:space="preserve"> PAGEREF _Toc73965296 \h </w:instrText>
        </w:r>
        <w:r>
          <w:rPr>
            <w:noProof/>
            <w:webHidden/>
          </w:rPr>
          <w:fldChar w:fldCharType="separate"/>
        </w:r>
        <w:r>
          <w:rPr>
            <w:noProof/>
            <w:webHidden/>
          </w:rPr>
          <w:t>3</w:t>
        </w:r>
        <w:r>
          <w:rPr>
            <w:noProof/>
            <w:webHidden/>
          </w:rPr>
          <w:fldChar w:fldCharType="end"/>
        </w:r>
      </w:hyperlink>
    </w:p>
    <w:p w:rsidR="009420AE" w14:paraId="47688C23" w14:textId="1129250E">
      <w:pPr>
        <w:pStyle w:val="TOC2"/>
        <w:tabs>
          <w:tab w:val="right" w:leader="dot" w:pos="8630"/>
        </w:tabs>
        <w:rPr>
          <w:rFonts w:asciiTheme="minorHAnsi" w:eastAsiaTheme="minorEastAsia" w:hAnsiTheme="minorHAnsi" w:cstheme="minorBidi"/>
          <w:noProof/>
          <w:sz w:val="22"/>
          <w:szCs w:val="22"/>
        </w:rPr>
      </w:pPr>
      <w:hyperlink w:anchor="_Toc73965297" w:history="1">
        <w:r w:rsidRPr="0063012B">
          <w:rPr>
            <w:rStyle w:val="Hyperlink"/>
            <w:noProof/>
          </w:rPr>
          <w:t>1. Circumstances that make the collection of information necessary</w:t>
        </w:r>
        <w:r>
          <w:rPr>
            <w:noProof/>
            <w:webHidden/>
          </w:rPr>
          <w:tab/>
        </w:r>
        <w:r>
          <w:rPr>
            <w:noProof/>
            <w:webHidden/>
          </w:rPr>
          <w:fldChar w:fldCharType="begin"/>
        </w:r>
        <w:r>
          <w:rPr>
            <w:noProof/>
            <w:webHidden/>
          </w:rPr>
          <w:instrText xml:space="preserve"> PAGEREF _Toc73965297 \h </w:instrText>
        </w:r>
        <w:r>
          <w:rPr>
            <w:noProof/>
            <w:webHidden/>
          </w:rPr>
          <w:fldChar w:fldCharType="separate"/>
        </w:r>
        <w:r>
          <w:rPr>
            <w:noProof/>
            <w:webHidden/>
          </w:rPr>
          <w:t>3</w:t>
        </w:r>
        <w:r>
          <w:rPr>
            <w:noProof/>
            <w:webHidden/>
          </w:rPr>
          <w:fldChar w:fldCharType="end"/>
        </w:r>
      </w:hyperlink>
    </w:p>
    <w:p w:rsidR="009420AE" w14:paraId="10D4EFB0" w14:textId="727F53D0">
      <w:pPr>
        <w:pStyle w:val="TOC2"/>
        <w:tabs>
          <w:tab w:val="right" w:leader="dot" w:pos="8630"/>
        </w:tabs>
        <w:rPr>
          <w:rFonts w:asciiTheme="minorHAnsi" w:eastAsiaTheme="minorEastAsia" w:hAnsiTheme="minorHAnsi" w:cstheme="minorBidi"/>
          <w:noProof/>
          <w:sz w:val="22"/>
          <w:szCs w:val="22"/>
        </w:rPr>
      </w:pPr>
      <w:hyperlink w:anchor="_Toc73965298" w:history="1">
        <w:r w:rsidRPr="0063012B">
          <w:rPr>
            <w:rStyle w:val="Hyperlink"/>
            <w:noProof/>
          </w:rPr>
          <w:t>2. Purpose and Use of Information</w:t>
        </w:r>
        <w:r>
          <w:rPr>
            <w:noProof/>
            <w:webHidden/>
          </w:rPr>
          <w:tab/>
        </w:r>
        <w:r>
          <w:rPr>
            <w:noProof/>
            <w:webHidden/>
          </w:rPr>
          <w:fldChar w:fldCharType="begin"/>
        </w:r>
        <w:r>
          <w:rPr>
            <w:noProof/>
            <w:webHidden/>
          </w:rPr>
          <w:instrText xml:space="preserve"> PAGEREF _Toc73965298 \h </w:instrText>
        </w:r>
        <w:r>
          <w:rPr>
            <w:noProof/>
            <w:webHidden/>
          </w:rPr>
          <w:fldChar w:fldCharType="separate"/>
        </w:r>
        <w:r>
          <w:rPr>
            <w:noProof/>
            <w:webHidden/>
          </w:rPr>
          <w:t>5</w:t>
        </w:r>
        <w:r>
          <w:rPr>
            <w:noProof/>
            <w:webHidden/>
          </w:rPr>
          <w:fldChar w:fldCharType="end"/>
        </w:r>
      </w:hyperlink>
    </w:p>
    <w:p w:rsidR="009420AE" w14:paraId="53FBF121" w14:textId="19BF4894">
      <w:pPr>
        <w:pStyle w:val="TOC2"/>
        <w:tabs>
          <w:tab w:val="right" w:leader="dot" w:pos="8630"/>
        </w:tabs>
        <w:rPr>
          <w:rFonts w:asciiTheme="minorHAnsi" w:eastAsiaTheme="minorEastAsia" w:hAnsiTheme="minorHAnsi" w:cstheme="minorBidi"/>
          <w:noProof/>
          <w:sz w:val="22"/>
          <w:szCs w:val="22"/>
        </w:rPr>
      </w:pPr>
      <w:hyperlink w:anchor="_Toc73965299" w:history="1">
        <w:r w:rsidRPr="0063012B">
          <w:rPr>
            <w:rStyle w:val="Hyperlink"/>
            <w:noProof/>
          </w:rPr>
          <w:t>3. Use of Improved Information Technology</w:t>
        </w:r>
        <w:r>
          <w:rPr>
            <w:noProof/>
            <w:webHidden/>
          </w:rPr>
          <w:tab/>
        </w:r>
        <w:r>
          <w:rPr>
            <w:noProof/>
            <w:webHidden/>
          </w:rPr>
          <w:fldChar w:fldCharType="begin"/>
        </w:r>
        <w:r>
          <w:rPr>
            <w:noProof/>
            <w:webHidden/>
          </w:rPr>
          <w:instrText xml:space="preserve"> PAGEREF _Toc73965299 \h </w:instrText>
        </w:r>
        <w:r>
          <w:rPr>
            <w:noProof/>
            <w:webHidden/>
          </w:rPr>
          <w:fldChar w:fldCharType="separate"/>
        </w:r>
        <w:r>
          <w:rPr>
            <w:noProof/>
            <w:webHidden/>
          </w:rPr>
          <w:t>7</w:t>
        </w:r>
        <w:r>
          <w:rPr>
            <w:noProof/>
            <w:webHidden/>
          </w:rPr>
          <w:fldChar w:fldCharType="end"/>
        </w:r>
      </w:hyperlink>
    </w:p>
    <w:p w:rsidR="009420AE" w14:paraId="035E4FB1" w14:textId="5A500C89">
      <w:pPr>
        <w:pStyle w:val="TOC2"/>
        <w:tabs>
          <w:tab w:val="right" w:leader="dot" w:pos="8630"/>
        </w:tabs>
        <w:rPr>
          <w:rFonts w:asciiTheme="minorHAnsi" w:eastAsiaTheme="minorEastAsia" w:hAnsiTheme="minorHAnsi" w:cstheme="minorBidi"/>
          <w:noProof/>
          <w:sz w:val="22"/>
          <w:szCs w:val="22"/>
        </w:rPr>
      </w:pPr>
      <w:hyperlink w:anchor="_Toc73965300" w:history="1">
        <w:r w:rsidRPr="0063012B">
          <w:rPr>
            <w:rStyle w:val="Hyperlink"/>
            <w:noProof/>
          </w:rPr>
          <w:t>5. Involvement of Small Entities</w:t>
        </w:r>
        <w:r>
          <w:rPr>
            <w:noProof/>
            <w:webHidden/>
          </w:rPr>
          <w:tab/>
        </w:r>
        <w:r>
          <w:rPr>
            <w:noProof/>
            <w:webHidden/>
          </w:rPr>
          <w:fldChar w:fldCharType="begin"/>
        </w:r>
        <w:r>
          <w:rPr>
            <w:noProof/>
            <w:webHidden/>
          </w:rPr>
          <w:instrText xml:space="preserve"> PAGEREF _Toc73965300 \h </w:instrText>
        </w:r>
        <w:r>
          <w:rPr>
            <w:noProof/>
            <w:webHidden/>
          </w:rPr>
          <w:fldChar w:fldCharType="separate"/>
        </w:r>
        <w:r>
          <w:rPr>
            <w:noProof/>
            <w:webHidden/>
          </w:rPr>
          <w:t>9</w:t>
        </w:r>
        <w:r>
          <w:rPr>
            <w:noProof/>
            <w:webHidden/>
          </w:rPr>
          <w:fldChar w:fldCharType="end"/>
        </w:r>
      </w:hyperlink>
    </w:p>
    <w:p w:rsidR="009420AE" w14:paraId="5423DE77" w14:textId="4BFDDB81">
      <w:pPr>
        <w:pStyle w:val="TOC2"/>
        <w:tabs>
          <w:tab w:val="right" w:leader="dot" w:pos="8630"/>
        </w:tabs>
        <w:rPr>
          <w:rFonts w:asciiTheme="minorHAnsi" w:eastAsiaTheme="minorEastAsia" w:hAnsiTheme="minorHAnsi" w:cstheme="minorBidi"/>
          <w:noProof/>
          <w:sz w:val="22"/>
          <w:szCs w:val="22"/>
        </w:rPr>
      </w:pPr>
      <w:hyperlink w:anchor="_Toc73965301" w:history="1">
        <w:r w:rsidRPr="0063012B">
          <w:rPr>
            <w:rStyle w:val="Hyperlink"/>
            <w:noProof/>
          </w:rPr>
          <w:t>6. Consequences if Information Collected Less Frequently</w:t>
        </w:r>
        <w:r>
          <w:rPr>
            <w:noProof/>
            <w:webHidden/>
          </w:rPr>
          <w:tab/>
        </w:r>
        <w:r>
          <w:rPr>
            <w:noProof/>
            <w:webHidden/>
          </w:rPr>
          <w:fldChar w:fldCharType="begin"/>
        </w:r>
        <w:r>
          <w:rPr>
            <w:noProof/>
            <w:webHidden/>
          </w:rPr>
          <w:instrText xml:space="preserve"> PAGEREF _Toc73965301 \h </w:instrText>
        </w:r>
        <w:r>
          <w:rPr>
            <w:noProof/>
            <w:webHidden/>
          </w:rPr>
          <w:fldChar w:fldCharType="separate"/>
        </w:r>
        <w:r>
          <w:rPr>
            <w:noProof/>
            <w:webHidden/>
          </w:rPr>
          <w:t>9</w:t>
        </w:r>
        <w:r>
          <w:rPr>
            <w:noProof/>
            <w:webHidden/>
          </w:rPr>
          <w:fldChar w:fldCharType="end"/>
        </w:r>
      </w:hyperlink>
    </w:p>
    <w:p w:rsidR="009420AE" w14:paraId="7F1A58AA" w14:textId="64DAC7BE">
      <w:pPr>
        <w:pStyle w:val="TOC2"/>
        <w:tabs>
          <w:tab w:val="right" w:leader="dot" w:pos="8630"/>
        </w:tabs>
        <w:rPr>
          <w:rFonts w:asciiTheme="minorHAnsi" w:eastAsiaTheme="minorEastAsia" w:hAnsiTheme="minorHAnsi" w:cstheme="minorBidi"/>
          <w:noProof/>
          <w:sz w:val="22"/>
          <w:szCs w:val="22"/>
        </w:rPr>
      </w:pPr>
      <w:hyperlink w:anchor="_Toc73965302" w:history="1">
        <w:r w:rsidRPr="0063012B">
          <w:rPr>
            <w:rStyle w:val="Hyperlink"/>
            <w:noProof/>
          </w:rPr>
          <w:t>7. Special Circumstances</w:t>
        </w:r>
        <w:r>
          <w:rPr>
            <w:noProof/>
            <w:webHidden/>
          </w:rPr>
          <w:tab/>
        </w:r>
        <w:r>
          <w:rPr>
            <w:noProof/>
            <w:webHidden/>
          </w:rPr>
          <w:fldChar w:fldCharType="begin"/>
        </w:r>
        <w:r>
          <w:rPr>
            <w:noProof/>
            <w:webHidden/>
          </w:rPr>
          <w:instrText xml:space="preserve"> PAGEREF _Toc73965302 \h </w:instrText>
        </w:r>
        <w:r>
          <w:rPr>
            <w:noProof/>
            <w:webHidden/>
          </w:rPr>
          <w:fldChar w:fldCharType="separate"/>
        </w:r>
        <w:r>
          <w:rPr>
            <w:noProof/>
            <w:webHidden/>
          </w:rPr>
          <w:t>10</w:t>
        </w:r>
        <w:r>
          <w:rPr>
            <w:noProof/>
            <w:webHidden/>
          </w:rPr>
          <w:fldChar w:fldCharType="end"/>
        </w:r>
      </w:hyperlink>
    </w:p>
    <w:p w:rsidR="009420AE" w14:paraId="30C85F01" w14:textId="382DA2BC">
      <w:pPr>
        <w:pStyle w:val="TOC2"/>
        <w:tabs>
          <w:tab w:val="right" w:leader="dot" w:pos="8630"/>
        </w:tabs>
        <w:rPr>
          <w:rFonts w:asciiTheme="minorHAnsi" w:eastAsiaTheme="minorEastAsia" w:hAnsiTheme="minorHAnsi" w:cstheme="minorBidi"/>
          <w:noProof/>
          <w:sz w:val="22"/>
          <w:szCs w:val="22"/>
        </w:rPr>
      </w:pPr>
      <w:hyperlink w:anchor="_Toc73965303" w:history="1">
        <w:r w:rsidRPr="0063012B">
          <w:rPr>
            <w:rStyle w:val="Hyperlink"/>
            <w:noProof/>
          </w:rPr>
          <w:t>8. Federal Register Notice and Outside Consultations</w:t>
        </w:r>
        <w:r>
          <w:rPr>
            <w:noProof/>
            <w:webHidden/>
          </w:rPr>
          <w:tab/>
        </w:r>
        <w:r>
          <w:rPr>
            <w:noProof/>
            <w:webHidden/>
          </w:rPr>
          <w:fldChar w:fldCharType="begin"/>
        </w:r>
        <w:r>
          <w:rPr>
            <w:noProof/>
            <w:webHidden/>
          </w:rPr>
          <w:instrText xml:space="preserve"> PAGEREF _Toc73965303 \h </w:instrText>
        </w:r>
        <w:r>
          <w:rPr>
            <w:noProof/>
            <w:webHidden/>
          </w:rPr>
          <w:fldChar w:fldCharType="separate"/>
        </w:r>
        <w:r>
          <w:rPr>
            <w:noProof/>
            <w:webHidden/>
          </w:rPr>
          <w:t>10</w:t>
        </w:r>
        <w:r>
          <w:rPr>
            <w:noProof/>
            <w:webHidden/>
          </w:rPr>
          <w:fldChar w:fldCharType="end"/>
        </w:r>
      </w:hyperlink>
    </w:p>
    <w:p w:rsidR="009420AE" w14:paraId="11F17CE9" w14:textId="49C8D08D">
      <w:pPr>
        <w:pStyle w:val="TOC2"/>
        <w:tabs>
          <w:tab w:val="right" w:leader="dot" w:pos="8630"/>
        </w:tabs>
        <w:rPr>
          <w:rFonts w:asciiTheme="minorHAnsi" w:eastAsiaTheme="minorEastAsia" w:hAnsiTheme="minorHAnsi" w:cstheme="minorBidi"/>
          <w:noProof/>
          <w:sz w:val="22"/>
          <w:szCs w:val="22"/>
        </w:rPr>
      </w:pPr>
      <w:hyperlink w:anchor="_Toc73965304" w:history="1">
        <w:r w:rsidRPr="0063012B">
          <w:rPr>
            <w:rStyle w:val="Hyperlink"/>
            <w:noProof/>
          </w:rPr>
          <w:t>8.a. Federal Register Notice</w:t>
        </w:r>
        <w:r>
          <w:rPr>
            <w:noProof/>
            <w:webHidden/>
          </w:rPr>
          <w:tab/>
        </w:r>
        <w:r>
          <w:rPr>
            <w:noProof/>
            <w:webHidden/>
          </w:rPr>
          <w:fldChar w:fldCharType="begin"/>
        </w:r>
        <w:r>
          <w:rPr>
            <w:noProof/>
            <w:webHidden/>
          </w:rPr>
          <w:instrText xml:space="preserve"> PAGEREF _Toc73965304 \h </w:instrText>
        </w:r>
        <w:r>
          <w:rPr>
            <w:noProof/>
            <w:webHidden/>
          </w:rPr>
          <w:fldChar w:fldCharType="separate"/>
        </w:r>
        <w:r>
          <w:rPr>
            <w:noProof/>
            <w:webHidden/>
          </w:rPr>
          <w:t>10</w:t>
        </w:r>
        <w:r>
          <w:rPr>
            <w:noProof/>
            <w:webHidden/>
          </w:rPr>
          <w:fldChar w:fldCharType="end"/>
        </w:r>
      </w:hyperlink>
    </w:p>
    <w:p w:rsidR="009420AE" w14:paraId="7851BE6C" w14:textId="37F58B4A">
      <w:pPr>
        <w:pStyle w:val="TOC2"/>
        <w:tabs>
          <w:tab w:val="right" w:leader="dot" w:pos="8630"/>
        </w:tabs>
        <w:rPr>
          <w:rFonts w:asciiTheme="minorHAnsi" w:eastAsiaTheme="minorEastAsia" w:hAnsiTheme="minorHAnsi" w:cstheme="minorBidi"/>
          <w:noProof/>
          <w:sz w:val="22"/>
          <w:szCs w:val="22"/>
        </w:rPr>
      </w:pPr>
      <w:hyperlink w:anchor="_Toc73965305" w:history="1">
        <w:r w:rsidRPr="0063012B">
          <w:rPr>
            <w:rStyle w:val="Hyperlink"/>
            <w:noProof/>
          </w:rPr>
          <w:t>8.b. Outside Consultations</w:t>
        </w:r>
        <w:r>
          <w:rPr>
            <w:noProof/>
            <w:webHidden/>
          </w:rPr>
          <w:tab/>
        </w:r>
        <w:r>
          <w:rPr>
            <w:noProof/>
            <w:webHidden/>
          </w:rPr>
          <w:fldChar w:fldCharType="begin"/>
        </w:r>
        <w:r>
          <w:rPr>
            <w:noProof/>
            <w:webHidden/>
          </w:rPr>
          <w:instrText xml:space="preserve"> PAGEREF _Toc73965305 \h </w:instrText>
        </w:r>
        <w:r>
          <w:rPr>
            <w:noProof/>
            <w:webHidden/>
          </w:rPr>
          <w:fldChar w:fldCharType="separate"/>
        </w:r>
        <w:r>
          <w:rPr>
            <w:noProof/>
            <w:webHidden/>
          </w:rPr>
          <w:t>10</w:t>
        </w:r>
        <w:r>
          <w:rPr>
            <w:noProof/>
            <w:webHidden/>
          </w:rPr>
          <w:fldChar w:fldCharType="end"/>
        </w:r>
      </w:hyperlink>
    </w:p>
    <w:p w:rsidR="009420AE" w14:paraId="730335E2" w14:textId="61ED5618">
      <w:pPr>
        <w:pStyle w:val="TOC2"/>
        <w:tabs>
          <w:tab w:val="right" w:leader="dot" w:pos="8630"/>
        </w:tabs>
        <w:rPr>
          <w:rFonts w:asciiTheme="minorHAnsi" w:eastAsiaTheme="minorEastAsia" w:hAnsiTheme="minorHAnsi" w:cstheme="minorBidi"/>
          <w:noProof/>
          <w:sz w:val="22"/>
          <w:szCs w:val="22"/>
        </w:rPr>
      </w:pPr>
      <w:hyperlink w:anchor="_Toc73965306" w:history="1">
        <w:r w:rsidRPr="0063012B">
          <w:rPr>
            <w:rStyle w:val="Hyperlink"/>
            <w:noProof/>
          </w:rPr>
          <w:t>9. Payments/Gifts to Respondents</w:t>
        </w:r>
        <w:r>
          <w:rPr>
            <w:noProof/>
            <w:webHidden/>
          </w:rPr>
          <w:tab/>
        </w:r>
        <w:r>
          <w:rPr>
            <w:noProof/>
            <w:webHidden/>
          </w:rPr>
          <w:fldChar w:fldCharType="begin"/>
        </w:r>
        <w:r>
          <w:rPr>
            <w:noProof/>
            <w:webHidden/>
          </w:rPr>
          <w:instrText xml:space="preserve"> PAGEREF _Toc73965306 \h </w:instrText>
        </w:r>
        <w:r>
          <w:rPr>
            <w:noProof/>
            <w:webHidden/>
          </w:rPr>
          <w:fldChar w:fldCharType="separate"/>
        </w:r>
        <w:r>
          <w:rPr>
            <w:noProof/>
            <w:webHidden/>
          </w:rPr>
          <w:t>10</w:t>
        </w:r>
        <w:r>
          <w:rPr>
            <w:noProof/>
            <w:webHidden/>
          </w:rPr>
          <w:fldChar w:fldCharType="end"/>
        </w:r>
      </w:hyperlink>
    </w:p>
    <w:p w:rsidR="009420AE" w14:paraId="5D371AA8" w14:textId="690CCA1B">
      <w:pPr>
        <w:pStyle w:val="TOC2"/>
        <w:tabs>
          <w:tab w:val="right" w:leader="dot" w:pos="8630"/>
        </w:tabs>
        <w:rPr>
          <w:rFonts w:asciiTheme="minorHAnsi" w:eastAsiaTheme="minorEastAsia" w:hAnsiTheme="minorHAnsi" w:cstheme="minorBidi"/>
          <w:noProof/>
          <w:sz w:val="22"/>
          <w:szCs w:val="22"/>
        </w:rPr>
      </w:pPr>
      <w:hyperlink w:anchor="_Toc73965307" w:history="1">
        <w:r w:rsidRPr="0063012B">
          <w:rPr>
            <w:rStyle w:val="Hyperlink"/>
            <w:noProof/>
          </w:rPr>
          <w:t>10. Assurance of Confidentiality</w:t>
        </w:r>
        <w:r>
          <w:rPr>
            <w:noProof/>
            <w:webHidden/>
          </w:rPr>
          <w:tab/>
        </w:r>
        <w:r>
          <w:rPr>
            <w:noProof/>
            <w:webHidden/>
          </w:rPr>
          <w:fldChar w:fldCharType="begin"/>
        </w:r>
        <w:r>
          <w:rPr>
            <w:noProof/>
            <w:webHidden/>
          </w:rPr>
          <w:instrText xml:space="preserve"> PAGEREF _Toc73965307 \h </w:instrText>
        </w:r>
        <w:r>
          <w:rPr>
            <w:noProof/>
            <w:webHidden/>
          </w:rPr>
          <w:fldChar w:fldCharType="separate"/>
        </w:r>
        <w:r>
          <w:rPr>
            <w:noProof/>
            <w:webHidden/>
          </w:rPr>
          <w:t>10</w:t>
        </w:r>
        <w:r>
          <w:rPr>
            <w:noProof/>
            <w:webHidden/>
          </w:rPr>
          <w:fldChar w:fldCharType="end"/>
        </w:r>
      </w:hyperlink>
    </w:p>
    <w:p w:rsidR="009420AE" w14:paraId="26068D1A" w14:textId="2AB26386">
      <w:pPr>
        <w:pStyle w:val="TOC2"/>
        <w:tabs>
          <w:tab w:val="right" w:leader="dot" w:pos="8630"/>
        </w:tabs>
        <w:rPr>
          <w:rFonts w:asciiTheme="minorHAnsi" w:eastAsiaTheme="minorEastAsia" w:hAnsiTheme="minorHAnsi" w:cstheme="minorBidi"/>
          <w:noProof/>
          <w:sz w:val="22"/>
          <w:szCs w:val="22"/>
        </w:rPr>
      </w:pPr>
      <w:hyperlink w:anchor="_Toc73965308" w:history="1">
        <w:r w:rsidRPr="0063012B">
          <w:rPr>
            <w:rStyle w:val="Hyperlink"/>
            <w:noProof/>
          </w:rPr>
          <w:t>11. Questions of a Sensitive Nature</w:t>
        </w:r>
        <w:r>
          <w:rPr>
            <w:noProof/>
            <w:webHidden/>
          </w:rPr>
          <w:tab/>
        </w:r>
        <w:r>
          <w:rPr>
            <w:noProof/>
            <w:webHidden/>
          </w:rPr>
          <w:fldChar w:fldCharType="begin"/>
        </w:r>
        <w:r>
          <w:rPr>
            <w:noProof/>
            <w:webHidden/>
          </w:rPr>
          <w:instrText xml:space="preserve"> PAGEREF _Toc73965308 \h </w:instrText>
        </w:r>
        <w:r>
          <w:rPr>
            <w:noProof/>
            <w:webHidden/>
          </w:rPr>
          <w:fldChar w:fldCharType="separate"/>
        </w:r>
        <w:r>
          <w:rPr>
            <w:noProof/>
            <w:webHidden/>
          </w:rPr>
          <w:t>11</w:t>
        </w:r>
        <w:r>
          <w:rPr>
            <w:noProof/>
            <w:webHidden/>
          </w:rPr>
          <w:fldChar w:fldCharType="end"/>
        </w:r>
      </w:hyperlink>
    </w:p>
    <w:p w:rsidR="009420AE" w14:paraId="645FF1C4" w14:textId="18A0CCDF">
      <w:pPr>
        <w:pStyle w:val="TOC2"/>
        <w:tabs>
          <w:tab w:val="right" w:leader="dot" w:pos="8630"/>
        </w:tabs>
        <w:rPr>
          <w:rFonts w:asciiTheme="minorHAnsi" w:eastAsiaTheme="minorEastAsia" w:hAnsiTheme="minorHAnsi" w:cstheme="minorBidi"/>
          <w:noProof/>
          <w:sz w:val="22"/>
          <w:szCs w:val="22"/>
        </w:rPr>
      </w:pPr>
      <w:hyperlink w:anchor="_Toc73965309" w:history="1">
        <w:r w:rsidRPr="0063012B">
          <w:rPr>
            <w:rStyle w:val="Hyperlink"/>
            <w:noProof/>
          </w:rPr>
          <w:t>12. Estimates of Annualized Burden Hours and Costs</w:t>
        </w:r>
        <w:r>
          <w:rPr>
            <w:noProof/>
            <w:webHidden/>
          </w:rPr>
          <w:tab/>
        </w:r>
        <w:r>
          <w:rPr>
            <w:noProof/>
            <w:webHidden/>
          </w:rPr>
          <w:fldChar w:fldCharType="begin"/>
        </w:r>
        <w:r>
          <w:rPr>
            <w:noProof/>
            <w:webHidden/>
          </w:rPr>
          <w:instrText xml:space="preserve"> PAGEREF _Toc73965309 \h </w:instrText>
        </w:r>
        <w:r>
          <w:rPr>
            <w:noProof/>
            <w:webHidden/>
          </w:rPr>
          <w:fldChar w:fldCharType="separate"/>
        </w:r>
        <w:r>
          <w:rPr>
            <w:noProof/>
            <w:webHidden/>
          </w:rPr>
          <w:t>11</w:t>
        </w:r>
        <w:r>
          <w:rPr>
            <w:noProof/>
            <w:webHidden/>
          </w:rPr>
          <w:fldChar w:fldCharType="end"/>
        </w:r>
      </w:hyperlink>
    </w:p>
    <w:p w:rsidR="009420AE" w14:paraId="4FCAC571" w14:textId="6BE03B89">
      <w:pPr>
        <w:pStyle w:val="TOC2"/>
        <w:tabs>
          <w:tab w:val="right" w:leader="dot" w:pos="8630"/>
        </w:tabs>
        <w:rPr>
          <w:rFonts w:asciiTheme="minorHAnsi" w:eastAsiaTheme="minorEastAsia" w:hAnsiTheme="minorHAnsi" w:cstheme="minorBidi"/>
          <w:noProof/>
          <w:sz w:val="22"/>
          <w:szCs w:val="22"/>
        </w:rPr>
      </w:pPr>
      <w:hyperlink w:anchor="_Toc73965310" w:history="1">
        <w:r w:rsidRPr="0063012B">
          <w:rPr>
            <w:rStyle w:val="Hyperlink"/>
            <w:noProof/>
          </w:rPr>
          <w:t>13. Estimates of Annualized Respondent Capital and Maintenance Costs</w:t>
        </w:r>
        <w:r>
          <w:rPr>
            <w:noProof/>
            <w:webHidden/>
          </w:rPr>
          <w:tab/>
        </w:r>
        <w:r>
          <w:rPr>
            <w:noProof/>
            <w:webHidden/>
          </w:rPr>
          <w:fldChar w:fldCharType="begin"/>
        </w:r>
        <w:r>
          <w:rPr>
            <w:noProof/>
            <w:webHidden/>
          </w:rPr>
          <w:instrText xml:space="preserve"> PAGEREF _Toc73965310 \h </w:instrText>
        </w:r>
        <w:r>
          <w:rPr>
            <w:noProof/>
            <w:webHidden/>
          </w:rPr>
          <w:fldChar w:fldCharType="separate"/>
        </w:r>
        <w:r>
          <w:rPr>
            <w:noProof/>
            <w:webHidden/>
          </w:rPr>
          <w:t>18</w:t>
        </w:r>
        <w:r>
          <w:rPr>
            <w:noProof/>
            <w:webHidden/>
          </w:rPr>
          <w:fldChar w:fldCharType="end"/>
        </w:r>
      </w:hyperlink>
    </w:p>
    <w:p w:rsidR="009420AE" w14:paraId="310566B4" w14:textId="1458DD46">
      <w:pPr>
        <w:pStyle w:val="TOC2"/>
        <w:tabs>
          <w:tab w:val="right" w:leader="dot" w:pos="8630"/>
        </w:tabs>
        <w:rPr>
          <w:rFonts w:asciiTheme="minorHAnsi" w:eastAsiaTheme="minorEastAsia" w:hAnsiTheme="minorHAnsi" w:cstheme="minorBidi"/>
          <w:noProof/>
          <w:sz w:val="22"/>
          <w:szCs w:val="22"/>
        </w:rPr>
      </w:pPr>
      <w:hyperlink w:anchor="_Toc73965311" w:history="1">
        <w:r w:rsidRPr="0063012B">
          <w:rPr>
            <w:rStyle w:val="Hyperlink"/>
            <w:noProof/>
          </w:rPr>
          <w:t>14. Estimates of Total and Annualized Cost to the Government</w:t>
        </w:r>
        <w:r>
          <w:rPr>
            <w:noProof/>
            <w:webHidden/>
          </w:rPr>
          <w:tab/>
        </w:r>
        <w:r>
          <w:rPr>
            <w:noProof/>
            <w:webHidden/>
          </w:rPr>
          <w:fldChar w:fldCharType="begin"/>
        </w:r>
        <w:r>
          <w:rPr>
            <w:noProof/>
            <w:webHidden/>
          </w:rPr>
          <w:instrText xml:space="preserve"> PAGEREF _Toc73965311 \h </w:instrText>
        </w:r>
        <w:r>
          <w:rPr>
            <w:noProof/>
            <w:webHidden/>
          </w:rPr>
          <w:fldChar w:fldCharType="separate"/>
        </w:r>
        <w:r>
          <w:rPr>
            <w:noProof/>
            <w:webHidden/>
          </w:rPr>
          <w:t>18</w:t>
        </w:r>
        <w:r>
          <w:rPr>
            <w:noProof/>
            <w:webHidden/>
          </w:rPr>
          <w:fldChar w:fldCharType="end"/>
        </w:r>
      </w:hyperlink>
    </w:p>
    <w:p w:rsidR="009420AE" w14:paraId="3741DB63" w14:textId="302D8C7D">
      <w:pPr>
        <w:pStyle w:val="TOC2"/>
        <w:tabs>
          <w:tab w:val="right" w:leader="dot" w:pos="8630"/>
        </w:tabs>
        <w:rPr>
          <w:rFonts w:asciiTheme="minorHAnsi" w:eastAsiaTheme="minorEastAsia" w:hAnsiTheme="minorHAnsi" w:cstheme="minorBidi"/>
          <w:noProof/>
          <w:sz w:val="22"/>
          <w:szCs w:val="22"/>
        </w:rPr>
      </w:pPr>
      <w:hyperlink w:anchor="_Toc73965312" w:history="1">
        <w:r w:rsidRPr="0063012B">
          <w:rPr>
            <w:rStyle w:val="Hyperlink"/>
            <w:noProof/>
          </w:rPr>
          <w:t>15. Changes in Hour Burden</w:t>
        </w:r>
        <w:r>
          <w:rPr>
            <w:noProof/>
            <w:webHidden/>
          </w:rPr>
          <w:tab/>
        </w:r>
        <w:r>
          <w:rPr>
            <w:noProof/>
            <w:webHidden/>
          </w:rPr>
          <w:fldChar w:fldCharType="begin"/>
        </w:r>
        <w:r>
          <w:rPr>
            <w:noProof/>
            <w:webHidden/>
          </w:rPr>
          <w:instrText xml:space="preserve"> PAGEREF _Toc73965312 \h </w:instrText>
        </w:r>
        <w:r>
          <w:rPr>
            <w:noProof/>
            <w:webHidden/>
          </w:rPr>
          <w:fldChar w:fldCharType="separate"/>
        </w:r>
        <w:r>
          <w:rPr>
            <w:noProof/>
            <w:webHidden/>
          </w:rPr>
          <w:t>18</w:t>
        </w:r>
        <w:r>
          <w:rPr>
            <w:noProof/>
            <w:webHidden/>
          </w:rPr>
          <w:fldChar w:fldCharType="end"/>
        </w:r>
      </w:hyperlink>
    </w:p>
    <w:p w:rsidR="009420AE" w14:paraId="748A3031" w14:textId="5E736AE1">
      <w:pPr>
        <w:pStyle w:val="TOC2"/>
        <w:tabs>
          <w:tab w:val="right" w:leader="dot" w:pos="8630"/>
        </w:tabs>
        <w:rPr>
          <w:rFonts w:asciiTheme="minorHAnsi" w:eastAsiaTheme="minorEastAsia" w:hAnsiTheme="minorHAnsi" w:cstheme="minorBidi"/>
          <w:noProof/>
          <w:sz w:val="22"/>
          <w:szCs w:val="22"/>
        </w:rPr>
      </w:pPr>
      <w:hyperlink w:anchor="_Toc73965313" w:history="1">
        <w:r w:rsidRPr="0063012B">
          <w:rPr>
            <w:rStyle w:val="Hyperlink"/>
            <w:noProof/>
          </w:rPr>
          <w:t>16. Time Schedule, Publication and Analysis Plans</w:t>
        </w:r>
        <w:r>
          <w:rPr>
            <w:noProof/>
            <w:webHidden/>
          </w:rPr>
          <w:tab/>
        </w:r>
        <w:r>
          <w:rPr>
            <w:noProof/>
            <w:webHidden/>
          </w:rPr>
          <w:fldChar w:fldCharType="begin"/>
        </w:r>
        <w:r>
          <w:rPr>
            <w:noProof/>
            <w:webHidden/>
          </w:rPr>
          <w:instrText xml:space="preserve"> PAGEREF _Toc73965313 \h </w:instrText>
        </w:r>
        <w:r>
          <w:rPr>
            <w:noProof/>
            <w:webHidden/>
          </w:rPr>
          <w:fldChar w:fldCharType="separate"/>
        </w:r>
        <w:r>
          <w:rPr>
            <w:noProof/>
            <w:webHidden/>
          </w:rPr>
          <w:t>19</w:t>
        </w:r>
        <w:r>
          <w:rPr>
            <w:noProof/>
            <w:webHidden/>
          </w:rPr>
          <w:fldChar w:fldCharType="end"/>
        </w:r>
      </w:hyperlink>
    </w:p>
    <w:p w:rsidR="009420AE" w14:paraId="7467AFB9" w14:textId="0CD820EB">
      <w:pPr>
        <w:pStyle w:val="TOC2"/>
        <w:tabs>
          <w:tab w:val="right" w:leader="dot" w:pos="8630"/>
        </w:tabs>
        <w:rPr>
          <w:rFonts w:asciiTheme="minorHAnsi" w:eastAsiaTheme="minorEastAsia" w:hAnsiTheme="minorHAnsi" w:cstheme="minorBidi"/>
          <w:noProof/>
          <w:sz w:val="22"/>
          <w:szCs w:val="22"/>
        </w:rPr>
      </w:pPr>
      <w:hyperlink w:anchor="_Toc73965314" w:history="1">
        <w:r w:rsidRPr="0063012B">
          <w:rPr>
            <w:rStyle w:val="Hyperlink"/>
            <w:noProof/>
          </w:rPr>
          <w:t>17. Exemption for Display of Expiration Date</w:t>
        </w:r>
        <w:r>
          <w:rPr>
            <w:noProof/>
            <w:webHidden/>
          </w:rPr>
          <w:tab/>
        </w:r>
        <w:r>
          <w:rPr>
            <w:noProof/>
            <w:webHidden/>
          </w:rPr>
          <w:fldChar w:fldCharType="begin"/>
        </w:r>
        <w:r>
          <w:rPr>
            <w:noProof/>
            <w:webHidden/>
          </w:rPr>
          <w:instrText xml:space="preserve"> PAGEREF _Toc73965314 \h </w:instrText>
        </w:r>
        <w:r>
          <w:rPr>
            <w:noProof/>
            <w:webHidden/>
          </w:rPr>
          <w:fldChar w:fldCharType="separate"/>
        </w:r>
        <w:r>
          <w:rPr>
            <w:noProof/>
            <w:webHidden/>
          </w:rPr>
          <w:t>19</w:t>
        </w:r>
        <w:r>
          <w:rPr>
            <w:noProof/>
            <w:webHidden/>
          </w:rPr>
          <w:fldChar w:fldCharType="end"/>
        </w:r>
      </w:hyperlink>
    </w:p>
    <w:p w:rsidR="009420AE" w14:paraId="48CD4A03" w14:textId="5A738F6B">
      <w:pPr>
        <w:pStyle w:val="TOC2"/>
        <w:tabs>
          <w:tab w:val="right" w:leader="dot" w:pos="8630"/>
        </w:tabs>
        <w:rPr>
          <w:rFonts w:asciiTheme="minorHAnsi" w:eastAsiaTheme="minorEastAsia" w:hAnsiTheme="minorHAnsi" w:cstheme="minorBidi"/>
          <w:noProof/>
          <w:sz w:val="22"/>
          <w:szCs w:val="22"/>
        </w:rPr>
      </w:pPr>
      <w:hyperlink w:anchor="_Toc73965315" w:history="1">
        <w:r w:rsidRPr="0063012B">
          <w:rPr>
            <w:rStyle w:val="Hyperlink"/>
            <w:noProof/>
          </w:rPr>
          <w:t>List of Attachments</w:t>
        </w:r>
        <w:r>
          <w:rPr>
            <w:noProof/>
            <w:webHidden/>
          </w:rPr>
          <w:tab/>
        </w:r>
        <w:r>
          <w:rPr>
            <w:noProof/>
            <w:webHidden/>
          </w:rPr>
          <w:fldChar w:fldCharType="begin"/>
        </w:r>
        <w:r>
          <w:rPr>
            <w:noProof/>
            <w:webHidden/>
          </w:rPr>
          <w:instrText xml:space="preserve"> PAGEREF _Toc73965315 \h </w:instrText>
        </w:r>
        <w:r>
          <w:rPr>
            <w:noProof/>
            <w:webHidden/>
          </w:rPr>
          <w:fldChar w:fldCharType="separate"/>
        </w:r>
        <w:r>
          <w:rPr>
            <w:noProof/>
            <w:webHidden/>
          </w:rPr>
          <w:t>19</w:t>
        </w:r>
        <w:r>
          <w:rPr>
            <w:noProof/>
            <w:webHidden/>
          </w:rPr>
          <w:fldChar w:fldCharType="end"/>
        </w:r>
      </w:hyperlink>
    </w:p>
    <w:p w:rsidR="009420AE" w14:paraId="069D2E09" w14:textId="1E51D09E">
      <w:pPr>
        <w:pStyle w:val="TOC2"/>
        <w:tabs>
          <w:tab w:val="right" w:leader="dot" w:pos="8630"/>
        </w:tabs>
        <w:rPr>
          <w:rFonts w:asciiTheme="minorHAnsi" w:eastAsiaTheme="minorEastAsia" w:hAnsiTheme="minorHAnsi" w:cstheme="minorBidi"/>
          <w:noProof/>
          <w:sz w:val="22"/>
          <w:szCs w:val="22"/>
        </w:rPr>
      </w:pPr>
      <w:hyperlink w:anchor="_Toc73965316" w:history="1">
        <w:r w:rsidRPr="0063012B">
          <w:rPr>
            <w:rStyle w:val="Hyperlink"/>
            <w:noProof/>
          </w:rPr>
          <w:t>References</w:t>
        </w:r>
        <w:r>
          <w:rPr>
            <w:noProof/>
            <w:webHidden/>
          </w:rPr>
          <w:tab/>
        </w:r>
        <w:r>
          <w:rPr>
            <w:noProof/>
            <w:webHidden/>
          </w:rPr>
          <w:fldChar w:fldCharType="begin"/>
        </w:r>
        <w:r>
          <w:rPr>
            <w:noProof/>
            <w:webHidden/>
          </w:rPr>
          <w:instrText xml:space="preserve"> PAGEREF _Toc73965316 \h </w:instrText>
        </w:r>
        <w:r>
          <w:rPr>
            <w:noProof/>
            <w:webHidden/>
          </w:rPr>
          <w:fldChar w:fldCharType="separate"/>
        </w:r>
        <w:r>
          <w:rPr>
            <w:noProof/>
            <w:webHidden/>
          </w:rPr>
          <w:t>20</w:t>
        </w:r>
        <w:r>
          <w:rPr>
            <w:noProof/>
            <w:webHidden/>
          </w:rPr>
          <w:fldChar w:fldCharType="end"/>
        </w:r>
      </w:hyperlink>
    </w:p>
    <w:p w:rsidR="009B633D" w:rsidRPr="00E70711" w:rsidP="009B633D" w14:paraId="5BD958D4" w14:textId="77777777">
      <w:pPr>
        <w:jc w:val="center"/>
        <w:rPr>
          <w:b/>
        </w:rPr>
      </w:pPr>
      <w:r w:rsidRPr="00E70711">
        <w:rPr>
          <w:b/>
        </w:rPr>
        <w:fldChar w:fldCharType="end"/>
      </w:r>
    </w:p>
    <w:p w:rsidR="0080641B" w:rsidP="009B633D" w14:paraId="2D7F8D78" w14:textId="77777777">
      <w:pPr>
        <w:pStyle w:val="Heading1"/>
      </w:pPr>
      <w:r w:rsidRPr="00E70711">
        <w:br w:type="page"/>
      </w:r>
      <w:bookmarkStart w:id="0" w:name="_Toc151782175"/>
      <w:bookmarkStart w:id="1" w:name="_Toc158526215"/>
      <w:bookmarkStart w:id="2" w:name="_Toc73964937"/>
      <w:bookmarkStart w:id="3" w:name="_Toc73965296"/>
    </w:p>
    <w:p w:rsidR="0080641B" w:rsidRPr="00D84A59" w:rsidP="0080641B" w14:paraId="07BC9D10" w14:textId="77777777">
      <w:pPr>
        <w:pStyle w:val="Heading1"/>
        <w:rPr>
          <w:rFonts w:ascii="Times New Roman" w:hAnsi="Times New Roman" w:cs="Times New Roman"/>
          <w:sz w:val="24"/>
          <w:szCs w:val="24"/>
          <w:highlight w:val="yellow"/>
        </w:rPr>
      </w:pPr>
      <w:r w:rsidRPr="00D84A59">
        <w:rPr>
          <w:rFonts w:ascii="Times New Roman" w:hAnsi="Times New Roman" w:cs="Times New Roman"/>
          <w:sz w:val="24"/>
          <w:szCs w:val="24"/>
          <w:highlight w:val="yellow"/>
        </w:rPr>
        <w:t>Overview of Revision</w:t>
      </w:r>
    </w:p>
    <w:p w:rsidR="0080641B" w:rsidRPr="00D84A59" w:rsidP="0080641B" w14:paraId="69E22A14" w14:textId="77777777">
      <w:pPr>
        <w:rPr>
          <w:highlight w:val="yellow"/>
        </w:rPr>
      </w:pPr>
    </w:p>
    <w:p w:rsidR="0080641B" w:rsidRPr="00D84A59" w:rsidP="0080641B" w14:paraId="2475351B" w14:textId="3EDE6C0A">
      <w:pPr>
        <w:widowControl w:val="0"/>
        <w:autoSpaceDE w:val="0"/>
        <w:autoSpaceDN w:val="0"/>
        <w:adjustRightInd w:val="0"/>
        <w:rPr>
          <w:highlight w:val="yellow"/>
        </w:rPr>
      </w:pPr>
      <w:r w:rsidRPr="00D84A59">
        <w:rPr>
          <w:highlight w:val="yellow"/>
        </w:rPr>
        <w:t xml:space="preserve">The Agency for Healthcare Research and Quality (AHRQ) requests to revise the currently approved </w:t>
      </w:r>
      <w:r w:rsidRPr="00D84A59">
        <w:rPr>
          <w:b/>
          <w:i/>
          <w:highlight w:val="yellow"/>
        </w:rPr>
        <w:t>AHRQ Safety Program for Methicillin-Resistant Staphylococcus aureus (MRSA) Prevention</w:t>
      </w:r>
      <w:r w:rsidRPr="00D84A59">
        <w:rPr>
          <w:i/>
          <w:highlight w:val="yellow"/>
        </w:rPr>
        <w:t xml:space="preserve">. </w:t>
      </w:r>
      <w:r w:rsidRPr="0014252A">
        <w:rPr>
          <w:iCs/>
          <w:highlight w:val="yellow"/>
        </w:rPr>
        <w:t xml:space="preserve">The </w:t>
      </w:r>
      <w:r w:rsidRPr="0014252A">
        <w:rPr>
          <w:i/>
          <w:highlight w:val="yellow"/>
        </w:rPr>
        <w:t>AHRQ Safety Program for MRSA Prevention’s</w:t>
      </w:r>
      <w:r w:rsidRPr="00D84A59">
        <w:rPr>
          <w:highlight w:val="yellow"/>
        </w:rPr>
        <w:t xml:space="preserve"> purpose is to reduce the incidence and prevalence of infections caused by MRSA in a variety of settings. </w:t>
      </w:r>
    </w:p>
    <w:p w:rsidR="006B1ED8" w:rsidRPr="00D84A59" w:rsidP="0080641B" w14:paraId="72C0B7A6" w14:textId="665250A4">
      <w:pPr>
        <w:widowControl w:val="0"/>
        <w:autoSpaceDE w:val="0"/>
        <w:autoSpaceDN w:val="0"/>
        <w:adjustRightInd w:val="0"/>
        <w:rPr>
          <w:highlight w:val="yellow"/>
        </w:rPr>
      </w:pPr>
    </w:p>
    <w:p w:rsidR="006B1ED8" w:rsidRPr="00D84A59" w:rsidP="006B1ED8" w14:paraId="542F258A" w14:textId="1DF15CC8">
      <w:pPr>
        <w:widowControl w:val="0"/>
        <w:autoSpaceDE w:val="0"/>
        <w:autoSpaceDN w:val="0"/>
        <w:adjustRightInd w:val="0"/>
        <w:rPr>
          <w:highlight w:val="yellow"/>
        </w:rPr>
      </w:pPr>
      <w:r w:rsidRPr="00D84A59">
        <w:rPr>
          <w:highlight w:val="yellow"/>
        </w:rPr>
        <w:t xml:space="preserve">The </w:t>
      </w:r>
      <w:r w:rsidRPr="0014252A">
        <w:rPr>
          <w:bCs/>
          <w:i/>
          <w:iCs/>
          <w:highlight w:val="yellow"/>
        </w:rPr>
        <w:t xml:space="preserve">AHRQ Safety Program for </w:t>
      </w:r>
      <w:r w:rsidRPr="0014252A" w:rsidR="00B34F49">
        <w:rPr>
          <w:bCs/>
          <w:i/>
          <w:iCs/>
          <w:highlight w:val="yellow"/>
        </w:rPr>
        <w:t>MRSA Prevention</w:t>
      </w:r>
      <w:r w:rsidRPr="00D84A59">
        <w:rPr>
          <w:highlight w:val="yellow"/>
        </w:rPr>
        <w:t xml:space="preserve"> was last approved by OMB on </w:t>
      </w:r>
      <w:r w:rsidRPr="00D84A59" w:rsidR="0076422E">
        <w:rPr>
          <w:highlight w:val="yellow"/>
        </w:rPr>
        <w:t>August</w:t>
      </w:r>
      <w:r w:rsidRPr="00D84A59">
        <w:rPr>
          <w:highlight w:val="yellow"/>
        </w:rPr>
        <w:t xml:space="preserve"> </w:t>
      </w:r>
      <w:r w:rsidRPr="00D84A59" w:rsidR="00B34F49">
        <w:rPr>
          <w:highlight w:val="yellow"/>
        </w:rPr>
        <w:t>31</w:t>
      </w:r>
      <w:r w:rsidRPr="00D84A59">
        <w:rPr>
          <w:highlight w:val="yellow"/>
        </w:rPr>
        <w:t xml:space="preserve">, </w:t>
      </w:r>
      <w:r w:rsidRPr="00D84A59">
        <w:rPr>
          <w:highlight w:val="yellow"/>
        </w:rPr>
        <w:t>20</w:t>
      </w:r>
      <w:r w:rsidRPr="00D84A59" w:rsidR="00B34F49">
        <w:rPr>
          <w:highlight w:val="yellow"/>
        </w:rPr>
        <w:t>21</w:t>
      </w:r>
      <w:r w:rsidRPr="00D84A59">
        <w:rPr>
          <w:highlight w:val="yellow"/>
        </w:rPr>
        <w:t xml:space="preserve"> and will expire on </w:t>
      </w:r>
      <w:r w:rsidRPr="00D84A59" w:rsidR="0076422E">
        <w:rPr>
          <w:highlight w:val="yellow"/>
        </w:rPr>
        <w:t>August</w:t>
      </w:r>
      <w:r w:rsidRPr="00D84A59" w:rsidR="00B34F49">
        <w:rPr>
          <w:highlight w:val="yellow"/>
        </w:rPr>
        <w:t xml:space="preserve"> 31, 2024</w:t>
      </w:r>
      <w:r w:rsidRPr="00D84A59">
        <w:rPr>
          <w:highlight w:val="yellow"/>
        </w:rPr>
        <w:t xml:space="preserve">.  The OMB control number for the </w:t>
      </w:r>
      <w:r w:rsidRPr="0014252A">
        <w:rPr>
          <w:bCs/>
          <w:i/>
          <w:iCs/>
          <w:highlight w:val="yellow"/>
        </w:rPr>
        <w:t xml:space="preserve">AHRQ Safety Program for </w:t>
      </w:r>
      <w:r w:rsidRPr="0014252A" w:rsidR="00B34F49">
        <w:rPr>
          <w:bCs/>
          <w:i/>
          <w:iCs/>
          <w:highlight w:val="yellow"/>
        </w:rPr>
        <w:t>MRSA Prevention</w:t>
      </w:r>
      <w:r w:rsidRPr="00D84A59">
        <w:rPr>
          <w:highlight w:val="yellow"/>
        </w:rPr>
        <w:t xml:space="preserve"> is 0935-0</w:t>
      </w:r>
      <w:r w:rsidRPr="00D84A59" w:rsidR="00B34F49">
        <w:rPr>
          <w:highlight w:val="yellow"/>
        </w:rPr>
        <w:t>260</w:t>
      </w:r>
      <w:r w:rsidRPr="00D84A59">
        <w:rPr>
          <w:highlight w:val="yellow"/>
        </w:rPr>
        <w:t xml:space="preserve">.  </w:t>
      </w:r>
      <w:r w:rsidRPr="00D84A59">
        <w:rPr>
          <w:highlight w:val="yellow"/>
        </w:rPr>
        <w:t>All of</w:t>
      </w:r>
      <w:r w:rsidRPr="00D84A59">
        <w:rPr>
          <w:highlight w:val="yellow"/>
        </w:rPr>
        <w:t xml:space="preserve"> the supporting documents for the current </w:t>
      </w:r>
      <w:r w:rsidRPr="0014252A">
        <w:rPr>
          <w:bCs/>
          <w:i/>
          <w:iCs/>
          <w:highlight w:val="yellow"/>
        </w:rPr>
        <w:t xml:space="preserve">AHRQ Safety Program </w:t>
      </w:r>
      <w:r w:rsidRPr="0014252A" w:rsidR="00B34F49">
        <w:rPr>
          <w:bCs/>
          <w:i/>
          <w:iCs/>
          <w:highlight w:val="yellow"/>
        </w:rPr>
        <w:t>MRSA Prevention</w:t>
      </w:r>
      <w:r w:rsidRPr="00D84A59">
        <w:rPr>
          <w:highlight w:val="yellow"/>
        </w:rPr>
        <w:t xml:space="preserve"> can be downloaded from OMB’s website at </w:t>
      </w:r>
      <w:hyperlink r:id="rId9" w:history="1">
        <w:r w:rsidRPr="0014252A" w:rsidR="00B34F49">
          <w:rPr>
            <w:rStyle w:val="Hyperlink"/>
            <w:bCs/>
            <w:highlight w:val="yellow"/>
          </w:rPr>
          <w:t>https://www.reginfo.gov/public/do/PRAViewICR?ref_nbr=202107-0935-003</w:t>
        </w:r>
      </w:hyperlink>
      <w:r w:rsidRPr="0014252A" w:rsidR="00B34F49">
        <w:rPr>
          <w:bCs/>
          <w:highlight w:val="yellow"/>
        </w:rPr>
        <w:t>.</w:t>
      </w:r>
    </w:p>
    <w:p w:rsidR="007034A9" w:rsidRPr="00D84A59" w:rsidP="007034A9" w14:paraId="5D3F3436" w14:textId="77777777">
      <w:pPr>
        <w:rPr>
          <w:highlight w:val="yellow"/>
        </w:rPr>
      </w:pPr>
    </w:p>
    <w:p w:rsidR="007034A9" w:rsidRPr="0014252A" w:rsidP="007034A9" w14:paraId="5CC2D9E0" w14:textId="774FD92C">
      <w:pPr>
        <w:rPr>
          <w:highlight w:val="yellow"/>
        </w:rPr>
      </w:pPr>
      <w:r w:rsidRPr="00D84A59">
        <w:rPr>
          <w:highlight w:val="yellow"/>
        </w:rPr>
        <w:t xml:space="preserve">The revision for the </w:t>
      </w:r>
      <w:r w:rsidRPr="00D84A59">
        <w:rPr>
          <w:i/>
          <w:color w:val="000000"/>
          <w:highlight w:val="yellow"/>
        </w:rPr>
        <w:t xml:space="preserve">AHRQ Safety Program for </w:t>
      </w:r>
      <w:r w:rsidRPr="00D84A59">
        <w:rPr>
          <w:i/>
          <w:highlight w:val="yellow"/>
        </w:rPr>
        <w:t>MRSA Prevention</w:t>
      </w:r>
      <w:r w:rsidRPr="00D84A59">
        <w:rPr>
          <w:i/>
          <w:highlight w:val="yellow"/>
        </w:rPr>
        <w:t xml:space="preserve"> </w:t>
      </w:r>
      <w:r w:rsidRPr="0014252A">
        <w:rPr>
          <w:iCs/>
          <w:highlight w:val="yellow"/>
        </w:rPr>
        <w:t>includes</w:t>
      </w:r>
      <w:r w:rsidRPr="00D84A59">
        <w:rPr>
          <w:color w:val="000000"/>
          <w:highlight w:val="yellow"/>
        </w:rPr>
        <w:t xml:space="preserve"> </w:t>
      </w:r>
      <w:r w:rsidRPr="00667EE9">
        <w:rPr>
          <w:highlight w:val="yellow"/>
        </w:rPr>
        <w:t xml:space="preserve">the following </w:t>
      </w:r>
      <w:r w:rsidRPr="005B7AF9">
        <w:rPr>
          <w:highlight w:val="yellow"/>
        </w:rPr>
        <w:t>modifications:</w:t>
      </w:r>
    </w:p>
    <w:p w:rsidR="007034A9" w:rsidRPr="0014252A" w:rsidP="007034A9" w14:paraId="3A2D538C" w14:textId="77777777">
      <w:pPr>
        <w:rPr>
          <w:highlight w:val="yellow"/>
        </w:rPr>
      </w:pPr>
    </w:p>
    <w:p w:rsidR="00652A5B" w:rsidRPr="00AD76F8" w:rsidP="00AD76F8" w14:paraId="6B99C18B" w14:textId="66EEC851">
      <w:pPr>
        <w:pStyle w:val="ListParagraph"/>
        <w:numPr>
          <w:ilvl w:val="0"/>
          <w:numId w:val="58"/>
        </w:numPr>
        <w:rPr>
          <w:highlight w:val="yellow"/>
        </w:rPr>
      </w:pPr>
      <w:r w:rsidRPr="00D84A59">
        <w:rPr>
          <w:highlight w:val="yellow"/>
        </w:rPr>
        <w:t>ICU/Non-ICU</w:t>
      </w:r>
      <w:r w:rsidRPr="00D84A59" w:rsidR="00B1664B">
        <w:rPr>
          <w:highlight w:val="yellow"/>
        </w:rPr>
        <w:t xml:space="preserve"> cohort</w:t>
      </w:r>
      <w:r w:rsidRPr="00D84A59">
        <w:rPr>
          <w:highlight w:val="yellow"/>
        </w:rPr>
        <w:t xml:space="preserve">: The optional point prevalence data will be collected at baseline (pre-intervention) and </w:t>
      </w:r>
      <w:r w:rsidRPr="00D84A59" w:rsidR="000D5174">
        <w:rPr>
          <w:highlight w:val="yellow"/>
        </w:rPr>
        <w:t>every six months</w:t>
      </w:r>
      <w:r w:rsidRPr="00D84A59">
        <w:rPr>
          <w:highlight w:val="yellow"/>
        </w:rPr>
        <w:t xml:space="preserve"> throughout the </w:t>
      </w:r>
      <w:r w:rsidRPr="00D84A59" w:rsidR="00182FAC">
        <w:rPr>
          <w:highlight w:val="yellow"/>
        </w:rPr>
        <w:t xml:space="preserve">18-month </w:t>
      </w:r>
      <w:r w:rsidRPr="00D84A59">
        <w:rPr>
          <w:highlight w:val="yellow"/>
        </w:rPr>
        <w:t>implementation period</w:t>
      </w:r>
      <w:r w:rsidRPr="00D84A59" w:rsidR="00FB6B82">
        <w:rPr>
          <w:highlight w:val="yellow"/>
        </w:rPr>
        <w:t xml:space="preserve"> rather than only at baseline.</w:t>
      </w:r>
      <w:r w:rsidR="002678F5">
        <w:rPr>
          <w:highlight w:val="yellow"/>
        </w:rPr>
        <w:t xml:space="preserve"> </w:t>
      </w:r>
      <w:r w:rsidRPr="00D84A59" w:rsidR="00182FAC">
        <w:rPr>
          <w:highlight w:val="yellow"/>
        </w:rPr>
        <w:t xml:space="preserve"> Thus, it will be collected a total of four times.</w:t>
      </w:r>
      <w:r w:rsidRPr="00D84A59">
        <w:rPr>
          <w:highlight w:val="yellow"/>
        </w:rPr>
        <w:t xml:space="preserve"> </w:t>
      </w:r>
      <w:bookmarkStart w:id="4" w:name="OLE_LINK1"/>
      <w:r w:rsidRPr="00311C66" w:rsidR="00AD76F8">
        <w:rPr>
          <w:highlight w:val="yellow"/>
        </w:rPr>
        <w:t xml:space="preserve">In addition to the change in the frequency of collection of point prevalence data, the program will accept hospital data collected using the new Version 2.0 of the AHRQ Hospital Survey on Patient Safety Culture (HSOPS) as an alternative to the original HSOPS Version 1.0. HSOPS Version 2.0 is a shorter instrument with a total of 40 survey items compared with 51 survey items in the HSOPS Version 1.0. </w:t>
      </w:r>
      <w:r w:rsidRPr="00311C66" w:rsidR="006B34F8">
        <w:rPr>
          <w:highlight w:val="yellow"/>
        </w:rPr>
        <w:t>ICU/non-ICU cohort participants</w:t>
      </w:r>
      <w:r w:rsidRPr="00311C66" w:rsidR="00AD76F8">
        <w:rPr>
          <w:highlight w:val="yellow"/>
        </w:rPr>
        <w:t xml:space="preserve"> may choose to submit either Version 1.0 or Version 2.0. </w:t>
      </w:r>
      <w:bookmarkEnd w:id="4"/>
      <w:r w:rsidRPr="00AD76F8">
        <w:rPr>
          <w:highlight w:val="yellow"/>
        </w:rPr>
        <w:t xml:space="preserve">The clinical outcomes measures for the ICU/Non-ICU (Attachment J) cohort have been updated from the version included in the original OMB review. </w:t>
      </w:r>
    </w:p>
    <w:p w:rsidR="007034A9" w:rsidRPr="00D84A59" w:rsidP="007034A9" w14:paraId="0AC44ADA" w14:textId="77777777">
      <w:pPr>
        <w:ind w:left="360"/>
        <w:rPr>
          <w:highlight w:val="yellow"/>
        </w:rPr>
      </w:pPr>
    </w:p>
    <w:p w:rsidR="00CA09FC" w:rsidRPr="0014252A" w14:paraId="25D53D06" w14:textId="5EA63ED8">
      <w:pPr>
        <w:pStyle w:val="ListParagraph"/>
        <w:numPr>
          <w:ilvl w:val="0"/>
          <w:numId w:val="58"/>
        </w:numPr>
        <w:rPr>
          <w:highlight w:val="yellow"/>
          <w:u w:val="single"/>
        </w:rPr>
      </w:pPr>
      <w:r w:rsidRPr="00D84A59">
        <w:rPr>
          <w:highlight w:val="yellow"/>
        </w:rPr>
        <w:t>Surgical Services</w:t>
      </w:r>
      <w:r w:rsidRPr="00D84A59" w:rsidR="00B1664B">
        <w:rPr>
          <w:highlight w:val="yellow"/>
        </w:rPr>
        <w:t xml:space="preserve"> cohort</w:t>
      </w:r>
      <w:r w:rsidRPr="00D84A59">
        <w:rPr>
          <w:highlight w:val="yellow"/>
        </w:rPr>
        <w:t xml:space="preserve">: After a discussion with the </w:t>
      </w:r>
      <w:r w:rsidRPr="00D84A59" w:rsidR="00182FAC">
        <w:rPr>
          <w:highlight w:val="yellow"/>
        </w:rPr>
        <w:t xml:space="preserve">program’s </w:t>
      </w:r>
      <w:r w:rsidRPr="00D84A59">
        <w:rPr>
          <w:highlight w:val="yellow"/>
        </w:rPr>
        <w:t xml:space="preserve">Technical Expert Panel (TEP), it was decided to collect </w:t>
      </w:r>
      <w:r w:rsidRPr="00D84A59" w:rsidR="00A86135">
        <w:rPr>
          <w:highlight w:val="yellow"/>
        </w:rPr>
        <w:t>surgical site infection (</w:t>
      </w:r>
      <w:r w:rsidRPr="00D84A59" w:rsidR="009F2CE1">
        <w:rPr>
          <w:highlight w:val="yellow"/>
        </w:rPr>
        <w:t>SSI</w:t>
      </w:r>
      <w:r w:rsidRPr="00D84A59" w:rsidR="00A86135">
        <w:rPr>
          <w:highlight w:val="yellow"/>
        </w:rPr>
        <w:t>)</w:t>
      </w:r>
      <w:r w:rsidRPr="00D84A59" w:rsidR="009F2CE1">
        <w:rPr>
          <w:highlight w:val="yellow"/>
        </w:rPr>
        <w:t xml:space="preserve"> outcome </w:t>
      </w:r>
      <w:r w:rsidRPr="00D84A59" w:rsidR="00AB3D95">
        <w:rPr>
          <w:highlight w:val="yellow"/>
        </w:rPr>
        <w:t xml:space="preserve">data on </w:t>
      </w:r>
      <w:r w:rsidRPr="00D84A59" w:rsidR="00215D8B">
        <w:rPr>
          <w:highlight w:val="yellow"/>
        </w:rPr>
        <w:t xml:space="preserve">a </w:t>
      </w:r>
      <w:r w:rsidRPr="00D84A59">
        <w:rPr>
          <w:highlight w:val="yellow"/>
        </w:rPr>
        <w:t xml:space="preserve">different </w:t>
      </w:r>
      <w:r w:rsidRPr="00D84A59" w:rsidR="00215D8B">
        <w:rPr>
          <w:highlight w:val="yellow"/>
        </w:rPr>
        <w:t xml:space="preserve">subset of </w:t>
      </w:r>
      <w:r w:rsidRPr="00D84A59">
        <w:rPr>
          <w:highlight w:val="yellow"/>
        </w:rPr>
        <w:t xml:space="preserve">surgical </w:t>
      </w:r>
      <w:r w:rsidRPr="00D84A59" w:rsidR="00AB3D95">
        <w:rPr>
          <w:highlight w:val="yellow"/>
        </w:rPr>
        <w:t>procedures performed</w:t>
      </w:r>
      <w:r w:rsidRPr="00D84A59">
        <w:rPr>
          <w:highlight w:val="yellow"/>
        </w:rPr>
        <w:t xml:space="preserve"> within the cardiac surgery, orthopedic surgery</w:t>
      </w:r>
      <w:r w:rsidRPr="00D84A59" w:rsidR="001E26CB">
        <w:rPr>
          <w:highlight w:val="yellow"/>
        </w:rPr>
        <w:t>, and neurosurgery</w:t>
      </w:r>
      <w:r w:rsidRPr="00D84A59" w:rsidR="00AB3D95">
        <w:rPr>
          <w:highlight w:val="yellow"/>
        </w:rPr>
        <w:t xml:space="preserve"> </w:t>
      </w:r>
      <w:r w:rsidRPr="00D84A59" w:rsidR="00182FAC">
        <w:rPr>
          <w:highlight w:val="yellow"/>
        </w:rPr>
        <w:t>specialty areas</w:t>
      </w:r>
      <w:r w:rsidRPr="00D84A59">
        <w:rPr>
          <w:highlight w:val="yellow"/>
        </w:rPr>
        <w:t xml:space="preserve">. </w:t>
      </w:r>
      <w:r w:rsidRPr="00D84A59">
        <w:rPr>
          <w:highlight w:val="yellow"/>
        </w:rPr>
        <w:t>The clinical outcomes measures for the Surgical Services (Attachment K) cohort have been updated from the version included in the original OMB review</w:t>
      </w:r>
      <w:r w:rsidRPr="00D84A59" w:rsidR="00215D8B">
        <w:rPr>
          <w:highlight w:val="yellow"/>
        </w:rPr>
        <w:t xml:space="preserve"> to reflect the changes in surgical types</w:t>
      </w:r>
      <w:r w:rsidRPr="00D84A59">
        <w:rPr>
          <w:highlight w:val="yellow"/>
        </w:rPr>
        <w:t xml:space="preserve">. </w:t>
      </w:r>
    </w:p>
    <w:p w:rsidR="00CA09FC" w:rsidRPr="00D84A59" w:rsidP="00F91BDB" w14:paraId="0092D5B1" w14:textId="77777777">
      <w:pPr>
        <w:pStyle w:val="ListParagraph"/>
        <w:rPr>
          <w:highlight w:val="yellow"/>
        </w:rPr>
      </w:pPr>
    </w:p>
    <w:p w:rsidR="00CA09FC" w:rsidRPr="00D84A59" w:rsidP="00CA09FC" w14:paraId="0AB30B05" w14:textId="2C9D0B4E">
      <w:pPr>
        <w:pStyle w:val="ListParagraph"/>
        <w:rPr>
          <w:highlight w:val="yellow"/>
        </w:rPr>
      </w:pPr>
      <w:r w:rsidRPr="00D84A59">
        <w:rPr>
          <w:highlight w:val="yellow"/>
        </w:rPr>
        <w:t xml:space="preserve">For all three surgical specialties, hospitals will </w:t>
      </w:r>
      <w:r w:rsidRPr="00D84A59" w:rsidR="006F0590">
        <w:rPr>
          <w:highlight w:val="yellow"/>
        </w:rPr>
        <w:t>have the opportunity</w:t>
      </w:r>
      <w:r w:rsidRPr="00D84A59">
        <w:rPr>
          <w:highlight w:val="yellow"/>
        </w:rPr>
        <w:t xml:space="preserve"> to confer rights to the program to their SSI data submitted via National Healthcare Safety Network (NHSN). </w:t>
      </w:r>
      <w:r w:rsidRPr="005C23AE" w:rsidR="005C23AE">
        <w:rPr>
          <w:highlight w:val="yellow"/>
        </w:rPr>
        <w:t xml:space="preserve">Hospitals confer rights to their NHSN data by giving the program permission to access their data directly from NHSN.  </w:t>
      </w:r>
      <w:r w:rsidRPr="00D84A59">
        <w:rPr>
          <w:highlight w:val="yellow"/>
        </w:rPr>
        <w:t xml:space="preserve">In addition, hospitals with cardiac surgery teams enrolled in the program </w:t>
      </w:r>
      <w:r>
        <w:rPr>
          <w:highlight w:val="yellow"/>
        </w:rPr>
        <w:t xml:space="preserve">will be asked to </w:t>
      </w:r>
      <w:r w:rsidR="00A86135">
        <w:rPr>
          <w:highlight w:val="yellow"/>
        </w:rPr>
        <w:t>provide</w:t>
      </w:r>
      <w:r>
        <w:rPr>
          <w:highlight w:val="yellow"/>
        </w:rPr>
        <w:t xml:space="preserve"> </w:t>
      </w:r>
      <w:r w:rsidR="009F2CE1">
        <w:rPr>
          <w:highlight w:val="yellow"/>
        </w:rPr>
        <w:t xml:space="preserve">data elements that are </w:t>
      </w:r>
      <w:r>
        <w:rPr>
          <w:highlight w:val="yellow"/>
        </w:rPr>
        <w:t xml:space="preserve">regularly </w:t>
      </w:r>
      <w:r w:rsidR="009F2CE1">
        <w:rPr>
          <w:highlight w:val="yellow"/>
        </w:rPr>
        <w:t>collected and submitted to the</w:t>
      </w:r>
      <w:r w:rsidR="00C150CB">
        <w:rPr>
          <w:highlight w:val="yellow"/>
        </w:rPr>
        <w:t xml:space="preserve"> </w:t>
      </w:r>
      <w:r w:rsidRPr="0014252A" w:rsidR="001E26CB">
        <w:rPr>
          <w:highlight w:val="yellow"/>
        </w:rPr>
        <w:t>Society of Thoracic Surgeons</w:t>
      </w:r>
      <w:r w:rsidRPr="00D84A59" w:rsidR="001E26CB">
        <w:rPr>
          <w:highlight w:val="yellow"/>
        </w:rPr>
        <w:t xml:space="preserve"> (STS). </w:t>
      </w:r>
      <w:r w:rsidRPr="00D84A59">
        <w:rPr>
          <w:highlight w:val="yellow"/>
        </w:rPr>
        <w:t>STS d</w:t>
      </w:r>
      <w:r w:rsidRPr="00D84A59" w:rsidR="00CA5FC4">
        <w:rPr>
          <w:highlight w:val="yellow"/>
        </w:rPr>
        <w:t xml:space="preserve">ata </w:t>
      </w:r>
      <w:r w:rsidRPr="00D84A59">
        <w:rPr>
          <w:highlight w:val="yellow"/>
        </w:rPr>
        <w:t xml:space="preserve">elements </w:t>
      </w:r>
      <w:r w:rsidRPr="00D84A59" w:rsidR="00215D8B">
        <w:rPr>
          <w:highlight w:val="yellow"/>
        </w:rPr>
        <w:t xml:space="preserve">for cardiac surgeries </w:t>
      </w:r>
      <w:r w:rsidRPr="00D84A59">
        <w:rPr>
          <w:highlight w:val="yellow"/>
        </w:rPr>
        <w:t>will include</w:t>
      </w:r>
      <w:r w:rsidRPr="00D84A59" w:rsidR="00CA5FC4">
        <w:rPr>
          <w:highlight w:val="yellow"/>
        </w:rPr>
        <w:t xml:space="preserve"> </w:t>
      </w:r>
      <w:r w:rsidRPr="0014252A" w:rsidR="00E42A5F">
        <w:rPr>
          <w:highlight w:val="yellow"/>
        </w:rPr>
        <w:t xml:space="preserve">procedures that involve sternotomy and </w:t>
      </w:r>
      <w:r w:rsidRPr="00D84A59" w:rsidR="00CA5FC4">
        <w:rPr>
          <w:highlight w:val="yellow"/>
        </w:rPr>
        <w:t>hospital</w:t>
      </w:r>
      <w:r w:rsidRPr="00D84A59" w:rsidR="006B6910">
        <w:rPr>
          <w:highlight w:val="yellow"/>
        </w:rPr>
        <w:t xml:space="preserve"> readmission </w:t>
      </w:r>
      <w:r w:rsidRPr="00D84A59" w:rsidR="00C150CB">
        <w:rPr>
          <w:highlight w:val="yellow"/>
        </w:rPr>
        <w:t>due</w:t>
      </w:r>
      <w:r w:rsidRPr="00D84A59" w:rsidR="000F6995">
        <w:rPr>
          <w:highlight w:val="yellow"/>
        </w:rPr>
        <w:t xml:space="preserve"> </w:t>
      </w:r>
      <w:r w:rsidRPr="00D84A59" w:rsidR="00C150CB">
        <w:rPr>
          <w:highlight w:val="yellow"/>
        </w:rPr>
        <w:t>to</w:t>
      </w:r>
      <w:r w:rsidRPr="00D84A59" w:rsidR="006B6910">
        <w:rPr>
          <w:highlight w:val="yellow"/>
        </w:rPr>
        <w:t xml:space="preserve"> </w:t>
      </w:r>
      <w:r w:rsidRPr="00D84A59" w:rsidR="00C150CB">
        <w:rPr>
          <w:highlight w:val="yellow"/>
        </w:rPr>
        <w:t>E</w:t>
      </w:r>
      <w:r w:rsidRPr="00D84A59" w:rsidR="006B6910">
        <w:rPr>
          <w:highlight w:val="yellow"/>
        </w:rPr>
        <w:t xml:space="preserve">ndocarditis, </w:t>
      </w:r>
      <w:r w:rsidRPr="00D84A59" w:rsidR="006B6910">
        <w:rPr>
          <w:highlight w:val="yellow"/>
        </w:rPr>
        <w:t xml:space="preserve">infection (conduit </w:t>
      </w:r>
      <w:r w:rsidRPr="00D84A59" w:rsidR="000F6995">
        <w:rPr>
          <w:highlight w:val="yellow"/>
        </w:rPr>
        <w:t>harvest</w:t>
      </w:r>
      <w:r w:rsidRPr="00D84A59" w:rsidR="006B6910">
        <w:rPr>
          <w:highlight w:val="yellow"/>
        </w:rPr>
        <w:t xml:space="preserve"> site), infection (deep sternum/mediastinitis), Pneumonia, Sepsis, </w:t>
      </w:r>
      <w:r w:rsidRPr="00D84A59" w:rsidR="000F6995">
        <w:rPr>
          <w:highlight w:val="yellow"/>
        </w:rPr>
        <w:t xml:space="preserve">or </w:t>
      </w:r>
      <w:r w:rsidRPr="00D84A59" w:rsidR="006B6910">
        <w:rPr>
          <w:highlight w:val="yellow"/>
        </w:rPr>
        <w:t>wound (drainage, cellulitis)</w:t>
      </w:r>
      <w:r w:rsidRPr="00D84A59" w:rsidR="00CA5FC4">
        <w:rPr>
          <w:highlight w:val="yellow"/>
        </w:rPr>
        <w:t xml:space="preserve">. </w:t>
      </w:r>
      <w:r w:rsidRPr="00D84A59" w:rsidR="006B6910">
        <w:rPr>
          <w:highlight w:val="yellow"/>
        </w:rPr>
        <w:t xml:space="preserve"> </w:t>
      </w:r>
    </w:p>
    <w:p w:rsidR="00CA09FC" w:rsidRPr="00D84A59" w:rsidP="00CA09FC" w14:paraId="3A2C887F" w14:textId="77777777">
      <w:pPr>
        <w:pStyle w:val="ListParagraph"/>
        <w:rPr>
          <w:highlight w:val="yellow"/>
        </w:rPr>
      </w:pPr>
    </w:p>
    <w:p w:rsidR="000B2C2E" w:rsidRPr="0014252A" w:rsidP="00F91BDB" w14:paraId="5D888E6E" w14:textId="0E8AE459">
      <w:pPr>
        <w:pStyle w:val="ListParagraph"/>
        <w:rPr>
          <w:highlight w:val="yellow"/>
          <w:lang w:val="en"/>
        </w:rPr>
      </w:pPr>
      <w:r w:rsidRPr="00D84A59">
        <w:rPr>
          <w:highlight w:val="yellow"/>
          <w:lang w:val="en"/>
        </w:rPr>
        <w:t>The</w:t>
      </w:r>
      <w:r w:rsidRPr="00D84A59" w:rsidR="00DB0E6F">
        <w:rPr>
          <w:highlight w:val="yellow"/>
          <w:lang w:val="en"/>
        </w:rPr>
        <w:t xml:space="preserve"> original OMB submission estimated </w:t>
      </w:r>
      <w:r w:rsidRPr="00D84A59" w:rsidR="006F0590">
        <w:rPr>
          <w:highlight w:val="yellow"/>
          <w:lang w:val="en"/>
        </w:rPr>
        <w:t>that 8</w:t>
      </w:r>
      <w:r w:rsidRPr="00D84A59" w:rsidR="00DB0E6F">
        <w:rPr>
          <w:highlight w:val="yellow"/>
          <w:lang w:val="en"/>
        </w:rPr>
        <w:t xml:space="preserve">0% of </w:t>
      </w:r>
      <w:r w:rsidRPr="00D84A59" w:rsidR="006F0590">
        <w:rPr>
          <w:highlight w:val="yellow"/>
          <w:lang w:val="en"/>
        </w:rPr>
        <w:t xml:space="preserve">enrolled </w:t>
      </w:r>
      <w:r w:rsidRPr="00D84A59" w:rsidR="00DB0E6F">
        <w:rPr>
          <w:highlight w:val="yellow"/>
          <w:lang w:val="en"/>
        </w:rPr>
        <w:t>surgical services would confer rights to</w:t>
      </w:r>
      <w:r w:rsidRPr="00D84A59" w:rsidR="006F0590">
        <w:rPr>
          <w:highlight w:val="yellow"/>
          <w:lang w:val="en"/>
        </w:rPr>
        <w:t xml:space="preserve"> share their</w:t>
      </w:r>
      <w:r w:rsidRPr="00D84A59" w:rsidR="00DB0E6F">
        <w:rPr>
          <w:highlight w:val="yellow"/>
          <w:lang w:val="en"/>
        </w:rPr>
        <w:t xml:space="preserve"> NHSN</w:t>
      </w:r>
      <w:r w:rsidRPr="00D84A59" w:rsidR="006F0590">
        <w:rPr>
          <w:highlight w:val="yellow"/>
          <w:lang w:val="en"/>
        </w:rPr>
        <w:t xml:space="preserve"> data with the program and that only 20% would </w:t>
      </w:r>
      <w:r w:rsidRPr="00D84A59" w:rsidR="00EB2CB8">
        <w:rPr>
          <w:highlight w:val="yellow"/>
          <w:lang w:val="en"/>
        </w:rPr>
        <w:t xml:space="preserve">elect to </w:t>
      </w:r>
      <w:r w:rsidRPr="00D84A59" w:rsidR="006F0590">
        <w:rPr>
          <w:highlight w:val="yellow"/>
          <w:lang w:val="en"/>
        </w:rPr>
        <w:t xml:space="preserve">submit </w:t>
      </w:r>
      <w:r w:rsidRPr="00D84A59" w:rsidR="00EB2CB8">
        <w:rPr>
          <w:highlight w:val="yellow"/>
          <w:lang w:val="en"/>
        </w:rPr>
        <w:t xml:space="preserve">the data elements </w:t>
      </w:r>
      <w:r w:rsidRPr="00D84A59" w:rsidR="006F0590">
        <w:rPr>
          <w:highlight w:val="yellow"/>
          <w:lang w:val="en"/>
        </w:rPr>
        <w:t>directly via the secure program website</w:t>
      </w:r>
      <w:r w:rsidRPr="00D84A59" w:rsidR="00DB0E6F">
        <w:rPr>
          <w:highlight w:val="yellow"/>
          <w:lang w:val="en"/>
        </w:rPr>
        <w:t xml:space="preserve">. </w:t>
      </w:r>
      <w:r w:rsidRPr="00D84A59" w:rsidR="00EB2CB8">
        <w:rPr>
          <w:highlight w:val="yellow"/>
          <w:lang w:val="en"/>
        </w:rPr>
        <w:t xml:space="preserve">Hospitals with orthopedic and neurosurgery surgical specialties enrolled in the program will still </w:t>
      </w:r>
      <w:r w:rsidRPr="00D84A59" w:rsidR="00CA09FC">
        <w:rPr>
          <w:highlight w:val="yellow"/>
          <w:lang w:val="en"/>
        </w:rPr>
        <w:t>have the opportunity to</w:t>
      </w:r>
      <w:r w:rsidRPr="00D84A59" w:rsidR="00CA09FC">
        <w:rPr>
          <w:highlight w:val="yellow"/>
          <w:lang w:val="en"/>
        </w:rPr>
        <w:t xml:space="preserve"> choose to</w:t>
      </w:r>
      <w:r w:rsidRPr="00D84A59" w:rsidR="00EB2CB8">
        <w:rPr>
          <w:highlight w:val="yellow"/>
          <w:lang w:val="en"/>
        </w:rPr>
        <w:t xml:space="preserve"> </w:t>
      </w:r>
      <w:r w:rsidRPr="00D84A59" w:rsidR="00CA09FC">
        <w:rPr>
          <w:highlight w:val="yellow"/>
          <w:lang w:val="en"/>
        </w:rPr>
        <w:t xml:space="preserve">submit all program data via conferral of NHSN rights. </w:t>
      </w:r>
      <w:r w:rsidRPr="0014252A">
        <w:rPr>
          <w:highlight w:val="yellow"/>
          <w:lang w:val="en"/>
        </w:rPr>
        <w:t xml:space="preserve">We estimate that 50% of 300 enrolled units (n=150) will be orthopedic and neurosurgical </w:t>
      </w:r>
      <w:r w:rsidRPr="0014252A" w:rsidR="004124EF">
        <w:rPr>
          <w:highlight w:val="yellow"/>
          <w:lang w:val="en"/>
        </w:rPr>
        <w:t>specialties</w:t>
      </w:r>
      <w:r w:rsidRPr="0014252A">
        <w:rPr>
          <w:highlight w:val="yellow"/>
          <w:lang w:val="en"/>
        </w:rPr>
        <w:t xml:space="preserve"> that will confer NHSN data rights to the program. These hospitals will not need to submit any data directly to the program. </w:t>
      </w:r>
    </w:p>
    <w:p w:rsidR="000B2C2E" w:rsidRPr="0014252A" w:rsidP="00F91BDB" w14:paraId="02314CA4" w14:textId="77777777">
      <w:pPr>
        <w:pStyle w:val="ListParagraph"/>
        <w:rPr>
          <w:highlight w:val="yellow"/>
          <w:lang w:val="en"/>
        </w:rPr>
      </w:pPr>
    </w:p>
    <w:p w:rsidR="007034A9" w:rsidP="00D31167" w14:paraId="27784911" w14:textId="289B56E1">
      <w:pPr>
        <w:pStyle w:val="ListParagraph"/>
        <w:rPr>
          <w:highlight w:val="yellow"/>
        </w:rPr>
      </w:pPr>
      <w:r w:rsidRPr="0014252A">
        <w:rPr>
          <w:highlight w:val="yellow"/>
          <w:lang w:val="en"/>
        </w:rPr>
        <w:t xml:space="preserve">The remaining 50% of 300 enrolled units (n=150) are estimated to be either cardiac surgical specialties that need to submit STS data or orthopedic or neurosurgical </w:t>
      </w:r>
      <w:r w:rsidRPr="0014252A" w:rsidR="004124EF">
        <w:rPr>
          <w:highlight w:val="yellow"/>
          <w:lang w:val="en"/>
        </w:rPr>
        <w:t>specialties</w:t>
      </w:r>
      <w:r w:rsidRPr="0014252A">
        <w:rPr>
          <w:highlight w:val="yellow"/>
          <w:lang w:val="en"/>
        </w:rPr>
        <w:t xml:space="preserve"> that do not confer NHSN</w:t>
      </w:r>
      <w:r w:rsidRPr="0014252A" w:rsidR="004124EF">
        <w:rPr>
          <w:highlight w:val="yellow"/>
          <w:lang w:val="en"/>
        </w:rPr>
        <w:t xml:space="preserve"> data rights to the program. These hospitals are assumed to have some burden for either pulling and submitting STS data extracts for cardiac surgical specialties or pulling and submitting NHSN data elements for orthopedic or neurosurgical specialties that do not confer rights to NHSN. </w:t>
      </w:r>
      <w:r w:rsidRPr="0014252A" w:rsidR="00A86135">
        <w:rPr>
          <w:highlight w:val="yellow"/>
        </w:rPr>
        <w:t xml:space="preserve">We assume </w:t>
      </w:r>
      <w:r w:rsidRPr="0014252A" w:rsidR="004124EF">
        <w:rPr>
          <w:highlight w:val="yellow"/>
        </w:rPr>
        <w:t>1 hour for the initial data pull and 30 minutes for each subsequent quarterly data pull.</w:t>
      </w:r>
    </w:p>
    <w:p w:rsidR="002678F5" w:rsidP="00D31167" w14:paraId="6A60C742" w14:textId="1DC920CC">
      <w:pPr>
        <w:pStyle w:val="ListParagraph"/>
        <w:rPr>
          <w:highlight w:val="yellow"/>
        </w:rPr>
      </w:pPr>
    </w:p>
    <w:p w:rsidR="002678F5" w:rsidRPr="001E7F9E" w:rsidP="002678F5" w14:paraId="47FBE237" w14:textId="2B3EABD4">
      <w:pPr>
        <w:pStyle w:val="ListParagraph"/>
        <w:rPr>
          <w:highlight w:val="yellow"/>
        </w:rPr>
      </w:pPr>
      <w:r w:rsidRPr="00311C66">
        <w:rPr>
          <w:highlight w:val="yellow"/>
        </w:rPr>
        <w:t>Additionally, for the surgical services cohort, the program will accept hospital data collected using the new Version 2.0 of the AHRQ Hospital Survey on Patient Safety Culture (HSOPS) </w:t>
      </w:r>
      <w:r w:rsidRPr="00311C66" w:rsidR="00ED3151">
        <w:rPr>
          <w:highlight w:val="yellow"/>
        </w:rPr>
        <w:t>instead of</w:t>
      </w:r>
      <w:r w:rsidRPr="00311C66">
        <w:rPr>
          <w:highlight w:val="yellow"/>
        </w:rPr>
        <w:t xml:space="preserve"> the original HSOPS Version 1.0. HSOPS. </w:t>
      </w:r>
      <w:r w:rsidRPr="001E7F9E">
        <w:rPr>
          <w:highlight w:val="yellow"/>
        </w:rPr>
        <w:t>T</w:t>
      </w:r>
      <w:r w:rsidRPr="001E7F9E" w:rsidR="00F3409A">
        <w:rPr>
          <w:highlight w:val="yellow"/>
        </w:rPr>
        <w:t xml:space="preserve">here is a reduction in burden from </w:t>
      </w:r>
      <w:r w:rsidRPr="001E7F9E" w:rsidR="002232CD">
        <w:rPr>
          <w:highlight w:val="yellow"/>
        </w:rPr>
        <w:t>15 minutes to 12.5 minutes per survey</w:t>
      </w:r>
      <w:r w:rsidRPr="001E7F9E" w:rsidR="00F3409A">
        <w:rPr>
          <w:highlight w:val="yellow"/>
        </w:rPr>
        <w:t xml:space="preserve"> for the HSOPS 2.0</w:t>
      </w:r>
      <w:r w:rsidRPr="001E7F9E" w:rsidR="002232CD">
        <w:rPr>
          <w:highlight w:val="yellow"/>
        </w:rPr>
        <w:t xml:space="preserve"> due to the shorter length of the instrument compared to Version 1.0</w:t>
      </w:r>
      <w:r w:rsidRPr="001E7F9E" w:rsidR="00F3409A">
        <w:rPr>
          <w:highlight w:val="yellow"/>
        </w:rPr>
        <w:t>.</w:t>
      </w:r>
    </w:p>
    <w:p w:rsidR="00FB6B82" w:rsidP="00F91BDB" w14:paraId="50AA1F06" w14:textId="5E64B6CB">
      <w:pPr>
        <w:rPr>
          <w:b/>
          <w:bCs/>
          <w:highlight w:val="yellow"/>
          <w:lang w:val="en"/>
        </w:rPr>
      </w:pPr>
    </w:p>
    <w:p w:rsidR="002678F5" w:rsidRPr="0014252A" w:rsidP="00F91BDB" w14:paraId="58C56AB4" w14:textId="500920D2">
      <w:pPr>
        <w:rPr>
          <w:b/>
          <w:bCs/>
          <w:highlight w:val="yellow"/>
          <w:lang w:val="en"/>
        </w:rPr>
      </w:pPr>
      <w:r>
        <w:rPr>
          <w:b/>
          <w:bCs/>
          <w:highlight w:val="yellow"/>
          <w:lang w:val="en"/>
        </w:rPr>
        <w:t xml:space="preserve"> </w:t>
      </w:r>
    </w:p>
    <w:p w:rsidR="007034A9" w14:paraId="1C193F5D" w14:textId="6CAE4D04">
      <w:pPr>
        <w:pStyle w:val="ListParagraph"/>
        <w:numPr>
          <w:ilvl w:val="0"/>
          <w:numId w:val="58"/>
        </w:numPr>
        <w:rPr>
          <w:highlight w:val="yellow"/>
        </w:rPr>
      </w:pPr>
      <w:r w:rsidRPr="00D84A59">
        <w:rPr>
          <w:highlight w:val="yellow"/>
        </w:rPr>
        <w:t>Long-Term Care</w:t>
      </w:r>
      <w:r w:rsidRPr="00D84A59" w:rsidR="00182FAC">
        <w:rPr>
          <w:highlight w:val="yellow"/>
        </w:rPr>
        <w:t xml:space="preserve"> (LTC)</w:t>
      </w:r>
      <w:r w:rsidRPr="00D84A59" w:rsidR="00B1664B">
        <w:rPr>
          <w:highlight w:val="yellow"/>
        </w:rPr>
        <w:t xml:space="preserve"> cohort</w:t>
      </w:r>
      <w:r w:rsidRPr="00D84A59">
        <w:rPr>
          <w:highlight w:val="yellow"/>
        </w:rPr>
        <w:t xml:space="preserve">: The LTC cohort will now </w:t>
      </w:r>
      <w:r w:rsidRPr="00D84A59" w:rsidR="00E61AA4">
        <w:rPr>
          <w:highlight w:val="yellow"/>
        </w:rPr>
        <w:t xml:space="preserve">also </w:t>
      </w:r>
      <w:r w:rsidRPr="00D84A59">
        <w:rPr>
          <w:highlight w:val="yellow"/>
        </w:rPr>
        <w:t xml:space="preserve">submit the </w:t>
      </w:r>
      <w:r w:rsidRPr="00D84A59" w:rsidR="00FB7187">
        <w:rPr>
          <w:highlight w:val="yellow"/>
        </w:rPr>
        <w:t>Minimum Data Set (</w:t>
      </w:r>
      <w:r w:rsidRPr="00D84A59">
        <w:rPr>
          <w:highlight w:val="yellow"/>
        </w:rPr>
        <w:t>MDS</w:t>
      </w:r>
      <w:r w:rsidRPr="0014252A" w:rsidR="00FB7187">
        <w:rPr>
          <w:highlight w:val="yellow"/>
        </w:rPr>
        <w:t>)</w:t>
      </w:r>
      <w:r w:rsidRPr="00D84A59">
        <w:rPr>
          <w:highlight w:val="yellow"/>
        </w:rPr>
        <w:t xml:space="preserve"> 3.0 M Skin Conditions data elements. These elements are currently collected by CMS</w:t>
      </w:r>
      <w:r w:rsidRPr="00D84A59" w:rsidR="00182FAC">
        <w:rPr>
          <w:highlight w:val="yellow"/>
        </w:rPr>
        <w:t>-</w:t>
      </w:r>
      <w:r w:rsidRPr="00D84A59">
        <w:rPr>
          <w:highlight w:val="yellow"/>
        </w:rPr>
        <w:t xml:space="preserve">certified LTC facilities </w:t>
      </w:r>
      <w:r w:rsidRPr="00D84A59" w:rsidR="00B92964">
        <w:rPr>
          <w:highlight w:val="yellow"/>
        </w:rPr>
        <w:t>to</w:t>
      </w:r>
      <w:r w:rsidRPr="00D84A59">
        <w:rPr>
          <w:highlight w:val="yellow"/>
        </w:rPr>
        <w:t xml:space="preserve"> remain compliant. </w:t>
      </w:r>
      <w:r w:rsidRPr="00D84A59" w:rsidR="00182FAC">
        <w:rPr>
          <w:highlight w:val="yellow"/>
        </w:rPr>
        <w:t xml:space="preserve">Since the MDS 3.0 </w:t>
      </w:r>
      <w:r w:rsidRPr="00D84A59" w:rsidR="006B1ED8">
        <w:rPr>
          <w:highlight w:val="yellow"/>
        </w:rPr>
        <w:t xml:space="preserve">data is already being collected for CMS, LTC facilities would be asked to submit the same data to the program after transmittal to CMS. </w:t>
      </w:r>
      <w:r w:rsidRPr="00D84A59">
        <w:rPr>
          <w:highlight w:val="yellow"/>
        </w:rPr>
        <w:t>As a result, there is a minimal change in burden (</w:t>
      </w:r>
      <w:r w:rsidRPr="00D84A59">
        <w:rPr>
          <w:highlight w:val="yellow"/>
        </w:rPr>
        <w:t>i.e.</w:t>
      </w:r>
      <w:r w:rsidRPr="00D84A59">
        <w:rPr>
          <w:highlight w:val="yellow"/>
        </w:rPr>
        <w:t xml:space="preserve"> from five hours to six</w:t>
      </w:r>
      <w:r w:rsidRPr="00D84A59" w:rsidR="00B92964">
        <w:rPr>
          <w:highlight w:val="yellow"/>
        </w:rPr>
        <w:t xml:space="preserve"> </w:t>
      </w:r>
      <w:r w:rsidRPr="00D84A59" w:rsidR="006B1ED8">
        <w:rPr>
          <w:highlight w:val="yellow"/>
        </w:rPr>
        <w:t xml:space="preserve">hours </w:t>
      </w:r>
      <w:r w:rsidRPr="00D84A59" w:rsidR="00B92964">
        <w:rPr>
          <w:highlight w:val="yellow"/>
        </w:rPr>
        <w:t>for</w:t>
      </w:r>
      <w:r w:rsidRPr="00D84A59" w:rsidR="006B1ED8">
        <w:rPr>
          <w:highlight w:val="yellow"/>
        </w:rPr>
        <w:t xml:space="preserve"> the</w:t>
      </w:r>
      <w:r w:rsidRPr="00D84A59" w:rsidR="00B92964">
        <w:rPr>
          <w:highlight w:val="yellow"/>
        </w:rPr>
        <w:t xml:space="preserve"> initial data pull and </w:t>
      </w:r>
      <w:r w:rsidRPr="00D84A59" w:rsidR="006B1ED8">
        <w:rPr>
          <w:highlight w:val="yellow"/>
        </w:rPr>
        <w:t xml:space="preserve">from 30 minutes to </w:t>
      </w:r>
      <w:r w:rsidRPr="00D84A59" w:rsidR="00B92964">
        <w:rPr>
          <w:highlight w:val="yellow"/>
        </w:rPr>
        <w:t>45 minutes for additional pulls</w:t>
      </w:r>
      <w:r w:rsidRPr="00D84A59">
        <w:rPr>
          <w:highlight w:val="yellow"/>
        </w:rPr>
        <w:t>). This is further outlined below.</w:t>
      </w:r>
      <w:r w:rsidRPr="00D84A59" w:rsidR="00652A5B">
        <w:rPr>
          <w:highlight w:val="yellow"/>
        </w:rPr>
        <w:t xml:space="preserve"> The clinical outcomes measures for the LTC (Attachment L) cohort have been updated from the version included in the original OMB review.</w:t>
      </w:r>
    </w:p>
    <w:p w:rsidR="002678F5" w:rsidRPr="00D84A59" w:rsidP="002678F5" w14:paraId="75CD7B46" w14:textId="77777777">
      <w:pPr>
        <w:pStyle w:val="ListParagraph"/>
        <w:rPr>
          <w:highlight w:val="yellow"/>
        </w:rPr>
      </w:pPr>
    </w:p>
    <w:p w:rsidR="00C530B0" w:rsidRPr="00D84A59" w:rsidP="00F91BDB" w14:paraId="65EA1EBD" w14:textId="77777777">
      <w:pPr>
        <w:pStyle w:val="ListParagraph"/>
        <w:rPr>
          <w:highlight w:val="yellow"/>
        </w:rPr>
      </w:pPr>
    </w:p>
    <w:p w:rsidR="007034A9" w:rsidRPr="00D84A59" w:rsidP="0080641B" w14:paraId="7B002D76" w14:textId="6F9663BA">
      <w:pPr>
        <w:widowControl w:val="0"/>
        <w:autoSpaceDE w:val="0"/>
        <w:autoSpaceDN w:val="0"/>
        <w:adjustRightInd w:val="0"/>
        <w:rPr>
          <w:highlight w:val="yellow"/>
        </w:rPr>
      </w:pPr>
    </w:p>
    <w:p w:rsidR="00306A1C" w:rsidRPr="00D84A59" w:rsidP="0080641B" w14:paraId="777CC696" w14:textId="5DE0E617">
      <w:pPr>
        <w:widowControl w:val="0"/>
        <w:autoSpaceDE w:val="0"/>
        <w:autoSpaceDN w:val="0"/>
        <w:adjustRightInd w:val="0"/>
        <w:rPr>
          <w:highlight w:val="yellow"/>
        </w:rPr>
      </w:pPr>
      <w:r w:rsidRPr="00D84A59">
        <w:rPr>
          <w:b/>
          <w:highlight w:val="yellow"/>
        </w:rPr>
        <w:t xml:space="preserve">Table 1.  Estimated additional annualized burden hours </w:t>
      </w:r>
    </w:p>
    <w:tbl>
      <w:tblPr>
        <w:tblStyle w:val="TableGrid"/>
        <w:tblW w:w="9625" w:type="dxa"/>
        <w:tblLook w:val="04A0"/>
      </w:tblPr>
      <w:tblGrid>
        <w:gridCol w:w="2065"/>
        <w:gridCol w:w="2252"/>
        <w:gridCol w:w="2159"/>
        <w:gridCol w:w="3149"/>
      </w:tblGrid>
      <w:tr w14:paraId="3888F789" w14:textId="6E377D51" w:rsidTr="00F91BDB">
        <w:tblPrEx>
          <w:tblW w:w="9625" w:type="dxa"/>
          <w:tblLook w:val="04A0"/>
        </w:tblPrEx>
        <w:tc>
          <w:tcPr>
            <w:tcW w:w="2065" w:type="dxa"/>
          </w:tcPr>
          <w:p w:rsidR="00497E2A" w:rsidRPr="0014252A" w:rsidP="0080641B" w14:paraId="0496ED49" w14:textId="1559896E">
            <w:pPr>
              <w:widowControl w:val="0"/>
              <w:autoSpaceDE w:val="0"/>
              <w:autoSpaceDN w:val="0"/>
              <w:adjustRightInd w:val="0"/>
              <w:rPr>
                <w:bCs/>
                <w:sz w:val="20"/>
                <w:szCs w:val="20"/>
                <w:highlight w:val="yellow"/>
              </w:rPr>
            </w:pPr>
            <w:bookmarkStart w:id="5" w:name="_Hlk100729690"/>
          </w:p>
        </w:tc>
        <w:tc>
          <w:tcPr>
            <w:tcW w:w="2252" w:type="dxa"/>
          </w:tcPr>
          <w:p w:rsidR="00497E2A" w:rsidRPr="0014252A" w:rsidP="0080641B" w14:paraId="2D19CB15" w14:textId="0181A3D1">
            <w:pPr>
              <w:widowControl w:val="0"/>
              <w:autoSpaceDE w:val="0"/>
              <w:autoSpaceDN w:val="0"/>
              <w:adjustRightInd w:val="0"/>
              <w:rPr>
                <w:bCs/>
                <w:sz w:val="20"/>
                <w:szCs w:val="20"/>
                <w:highlight w:val="yellow"/>
              </w:rPr>
            </w:pPr>
            <w:r w:rsidRPr="0014252A">
              <w:rPr>
                <w:bCs/>
                <w:sz w:val="20"/>
                <w:szCs w:val="20"/>
                <w:highlight w:val="yellow"/>
              </w:rPr>
              <w:t xml:space="preserve">Number of Respondents </w:t>
            </w:r>
          </w:p>
        </w:tc>
        <w:tc>
          <w:tcPr>
            <w:tcW w:w="2159" w:type="dxa"/>
          </w:tcPr>
          <w:p w:rsidR="00497E2A" w:rsidRPr="0014252A" w:rsidP="0080641B" w14:paraId="5190BBFF" w14:textId="4647C1EB">
            <w:pPr>
              <w:widowControl w:val="0"/>
              <w:autoSpaceDE w:val="0"/>
              <w:autoSpaceDN w:val="0"/>
              <w:adjustRightInd w:val="0"/>
              <w:rPr>
                <w:bCs/>
                <w:sz w:val="20"/>
                <w:szCs w:val="20"/>
                <w:highlight w:val="yellow"/>
              </w:rPr>
            </w:pPr>
            <w:r w:rsidRPr="0014252A">
              <w:rPr>
                <w:bCs/>
                <w:sz w:val="20"/>
                <w:szCs w:val="20"/>
                <w:highlight w:val="yellow"/>
              </w:rPr>
              <w:t>Total Burden Hours</w:t>
            </w:r>
          </w:p>
        </w:tc>
        <w:tc>
          <w:tcPr>
            <w:tcW w:w="3149" w:type="dxa"/>
          </w:tcPr>
          <w:p w:rsidR="00497E2A" w:rsidRPr="0014252A" w:rsidP="0080641B" w14:paraId="61CF70E7" w14:textId="4CE20265">
            <w:pPr>
              <w:widowControl w:val="0"/>
              <w:autoSpaceDE w:val="0"/>
              <w:autoSpaceDN w:val="0"/>
              <w:adjustRightInd w:val="0"/>
              <w:rPr>
                <w:bCs/>
                <w:sz w:val="20"/>
                <w:szCs w:val="20"/>
                <w:highlight w:val="yellow"/>
              </w:rPr>
            </w:pPr>
            <w:r w:rsidRPr="0014252A">
              <w:rPr>
                <w:bCs/>
                <w:sz w:val="20"/>
                <w:szCs w:val="20"/>
                <w:highlight w:val="yellow"/>
              </w:rPr>
              <w:t>Total Cost Burden</w:t>
            </w:r>
          </w:p>
        </w:tc>
      </w:tr>
      <w:tr w14:paraId="44A0AA0E" w14:textId="03C6419E" w:rsidTr="00F91BDB">
        <w:tblPrEx>
          <w:tblW w:w="9625" w:type="dxa"/>
          <w:tblLook w:val="04A0"/>
        </w:tblPrEx>
        <w:tc>
          <w:tcPr>
            <w:tcW w:w="2065" w:type="dxa"/>
          </w:tcPr>
          <w:p w:rsidR="00497E2A" w:rsidRPr="0014252A" w:rsidP="0080641B" w14:paraId="798D0AB3" w14:textId="105DF1AD">
            <w:pPr>
              <w:widowControl w:val="0"/>
              <w:autoSpaceDE w:val="0"/>
              <w:autoSpaceDN w:val="0"/>
              <w:adjustRightInd w:val="0"/>
              <w:rPr>
                <w:bCs/>
                <w:sz w:val="20"/>
                <w:szCs w:val="20"/>
                <w:highlight w:val="yellow"/>
              </w:rPr>
            </w:pPr>
            <w:r w:rsidRPr="0014252A">
              <w:rPr>
                <w:bCs/>
                <w:sz w:val="20"/>
                <w:szCs w:val="20"/>
                <w:highlight w:val="yellow"/>
              </w:rPr>
              <w:t>Original OMB Annualized (3 Year) Submission</w:t>
            </w:r>
          </w:p>
        </w:tc>
        <w:tc>
          <w:tcPr>
            <w:tcW w:w="2252" w:type="dxa"/>
          </w:tcPr>
          <w:p w:rsidR="00497E2A" w:rsidRPr="0014252A" w:rsidP="00497E2A" w14:paraId="5A54A0D4" w14:textId="77777777">
            <w:pPr>
              <w:rPr>
                <w:bCs/>
                <w:color w:val="000000"/>
                <w:sz w:val="20"/>
                <w:szCs w:val="20"/>
                <w:highlight w:val="yellow"/>
              </w:rPr>
            </w:pPr>
            <w:r w:rsidRPr="0014252A">
              <w:rPr>
                <w:bCs/>
                <w:color w:val="000000"/>
                <w:sz w:val="20"/>
                <w:szCs w:val="20"/>
                <w:highlight w:val="yellow"/>
              </w:rPr>
              <w:t>13429</w:t>
            </w:r>
          </w:p>
          <w:p w:rsidR="00497E2A" w:rsidRPr="0014252A" w:rsidP="0080641B" w14:paraId="32E05D41" w14:textId="77777777">
            <w:pPr>
              <w:widowControl w:val="0"/>
              <w:autoSpaceDE w:val="0"/>
              <w:autoSpaceDN w:val="0"/>
              <w:adjustRightInd w:val="0"/>
              <w:rPr>
                <w:bCs/>
                <w:sz w:val="20"/>
                <w:szCs w:val="20"/>
                <w:highlight w:val="yellow"/>
              </w:rPr>
            </w:pPr>
          </w:p>
        </w:tc>
        <w:tc>
          <w:tcPr>
            <w:tcW w:w="2159" w:type="dxa"/>
          </w:tcPr>
          <w:p w:rsidR="00497E2A" w:rsidRPr="0014252A" w:rsidP="00497E2A" w14:paraId="05419197" w14:textId="77777777">
            <w:pPr>
              <w:rPr>
                <w:bCs/>
                <w:color w:val="000000"/>
                <w:sz w:val="20"/>
                <w:szCs w:val="20"/>
                <w:highlight w:val="yellow"/>
              </w:rPr>
            </w:pPr>
            <w:r w:rsidRPr="0014252A">
              <w:rPr>
                <w:bCs/>
                <w:color w:val="000000"/>
                <w:sz w:val="20"/>
                <w:szCs w:val="20"/>
                <w:highlight w:val="yellow"/>
              </w:rPr>
              <w:t>11552</w:t>
            </w:r>
          </w:p>
          <w:p w:rsidR="00497E2A" w:rsidRPr="0014252A" w:rsidP="00F91BDB" w14:paraId="64665390" w14:textId="77777777">
            <w:pPr>
              <w:widowControl w:val="0"/>
              <w:autoSpaceDE w:val="0"/>
              <w:autoSpaceDN w:val="0"/>
              <w:adjustRightInd w:val="0"/>
              <w:jc w:val="right"/>
              <w:rPr>
                <w:bCs/>
                <w:sz w:val="20"/>
                <w:szCs w:val="20"/>
                <w:highlight w:val="yellow"/>
              </w:rPr>
            </w:pPr>
          </w:p>
        </w:tc>
        <w:tc>
          <w:tcPr>
            <w:tcW w:w="3149" w:type="dxa"/>
          </w:tcPr>
          <w:p w:rsidR="00497E2A" w:rsidRPr="0014252A" w:rsidP="00497E2A" w14:paraId="672688CB" w14:textId="7106BC1D">
            <w:pPr>
              <w:rPr>
                <w:bCs/>
                <w:color w:val="000000"/>
                <w:sz w:val="20"/>
                <w:szCs w:val="20"/>
                <w:highlight w:val="yellow"/>
              </w:rPr>
            </w:pPr>
            <w:r w:rsidRPr="0014252A">
              <w:rPr>
                <w:bCs/>
                <w:color w:val="000000"/>
                <w:sz w:val="20"/>
                <w:szCs w:val="20"/>
                <w:highlight w:val="yellow"/>
              </w:rPr>
              <w:t>$</w:t>
            </w:r>
            <w:bookmarkStart w:id="6" w:name="OLE_LINK8"/>
            <w:r w:rsidRPr="0014252A">
              <w:rPr>
                <w:bCs/>
                <w:color w:val="000000"/>
                <w:sz w:val="20"/>
                <w:szCs w:val="20"/>
                <w:highlight w:val="yellow"/>
              </w:rPr>
              <w:t xml:space="preserve">540,325.83 </w:t>
            </w:r>
            <w:bookmarkEnd w:id="6"/>
          </w:p>
          <w:p w:rsidR="00497E2A" w:rsidRPr="0014252A" w:rsidP="00497E2A" w14:paraId="67CFEED0" w14:textId="77777777">
            <w:pPr>
              <w:rPr>
                <w:bCs/>
                <w:color w:val="000000"/>
                <w:sz w:val="20"/>
                <w:szCs w:val="20"/>
                <w:highlight w:val="yellow"/>
              </w:rPr>
            </w:pPr>
          </w:p>
        </w:tc>
      </w:tr>
      <w:tr w14:paraId="5D1B7C90" w14:textId="04493839" w:rsidTr="00F91BDB">
        <w:tblPrEx>
          <w:tblW w:w="9625" w:type="dxa"/>
          <w:tblLook w:val="04A0"/>
        </w:tblPrEx>
        <w:tc>
          <w:tcPr>
            <w:tcW w:w="2065" w:type="dxa"/>
          </w:tcPr>
          <w:p w:rsidR="00497E2A" w:rsidRPr="001E7F9E" w:rsidP="0080641B" w14:paraId="62A8C6C2" w14:textId="49198478">
            <w:pPr>
              <w:widowControl w:val="0"/>
              <w:autoSpaceDE w:val="0"/>
              <w:autoSpaceDN w:val="0"/>
              <w:adjustRightInd w:val="0"/>
              <w:rPr>
                <w:bCs/>
                <w:sz w:val="20"/>
                <w:szCs w:val="20"/>
                <w:highlight w:val="yellow"/>
              </w:rPr>
            </w:pPr>
            <w:r w:rsidRPr="001E7F9E">
              <w:rPr>
                <w:sz w:val="20"/>
                <w:szCs w:val="20"/>
                <w:highlight w:val="yellow"/>
              </w:rPr>
              <w:t>Revised</w:t>
            </w:r>
            <w:r w:rsidRPr="001E7F9E">
              <w:rPr>
                <w:bCs/>
                <w:sz w:val="20"/>
                <w:szCs w:val="20"/>
                <w:highlight w:val="yellow"/>
              </w:rPr>
              <w:t xml:space="preserve"> OMB </w:t>
            </w:r>
            <w:r w:rsidRPr="001E7F9E">
              <w:rPr>
                <w:bCs/>
                <w:sz w:val="20"/>
                <w:szCs w:val="20"/>
                <w:highlight w:val="yellow"/>
              </w:rPr>
              <w:t>Annualized (3 Year Submission)</w:t>
            </w:r>
          </w:p>
        </w:tc>
        <w:tc>
          <w:tcPr>
            <w:tcW w:w="2252" w:type="dxa"/>
          </w:tcPr>
          <w:p w:rsidR="00497E2A" w:rsidRPr="001E7F9E" w:rsidP="00497E2A" w14:paraId="39F692F6" w14:textId="4168FE85">
            <w:pPr>
              <w:rPr>
                <w:bCs/>
                <w:color w:val="000000"/>
                <w:sz w:val="20"/>
                <w:szCs w:val="20"/>
                <w:highlight w:val="yellow"/>
              </w:rPr>
            </w:pPr>
            <w:r w:rsidRPr="001E7F9E">
              <w:rPr>
                <w:bCs/>
                <w:color w:val="000000"/>
                <w:sz w:val="20"/>
                <w:szCs w:val="20"/>
                <w:highlight w:val="yellow"/>
              </w:rPr>
              <w:t>13</w:t>
            </w:r>
            <w:r w:rsidRPr="001E7F9E" w:rsidR="00D56952">
              <w:rPr>
                <w:color w:val="000000"/>
                <w:sz w:val="20"/>
                <w:szCs w:val="20"/>
                <w:highlight w:val="yellow"/>
              </w:rPr>
              <w:t>51</w:t>
            </w:r>
            <w:r w:rsidR="00FB1892">
              <w:rPr>
                <w:color w:val="000000"/>
                <w:sz w:val="20"/>
                <w:szCs w:val="20"/>
                <w:highlight w:val="yellow"/>
              </w:rPr>
              <w:t>6</w:t>
            </w:r>
          </w:p>
          <w:p w:rsidR="00497E2A" w:rsidRPr="001E7F9E" w:rsidP="0080641B" w14:paraId="7FDDDAFD" w14:textId="77777777">
            <w:pPr>
              <w:widowControl w:val="0"/>
              <w:autoSpaceDE w:val="0"/>
              <w:autoSpaceDN w:val="0"/>
              <w:adjustRightInd w:val="0"/>
              <w:rPr>
                <w:bCs/>
                <w:sz w:val="20"/>
                <w:szCs w:val="20"/>
                <w:highlight w:val="yellow"/>
              </w:rPr>
            </w:pPr>
          </w:p>
        </w:tc>
        <w:tc>
          <w:tcPr>
            <w:tcW w:w="2159" w:type="dxa"/>
          </w:tcPr>
          <w:p w:rsidR="00497E2A" w:rsidRPr="001E7F9E" w:rsidP="0080641B" w14:paraId="7D2705EE" w14:textId="220DB2F2">
            <w:pPr>
              <w:widowControl w:val="0"/>
              <w:autoSpaceDE w:val="0"/>
              <w:autoSpaceDN w:val="0"/>
              <w:adjustRightInd w:val="0"/>
              <w:rPr>
                <w:bCs/>
                <w:sz w:val="20"/>
                <w:szCs w:val="20"/>
                <w:highlight w:val="yellow"/>
              </w:rPr>
            </w:pPr>
            <w:r w:rsidRPr="001E7F9E">
              <w:rPr>
                <w:bCs/>
                <w:sz w:val="20"/>
                <w:szCs w:val="20"/>
                <w:highlight w:val="yellow"/>
              </w:rPr>
              <w:t>1</w:t>
            </w:r>
            <w:r w:rsidRPr="001E7F9E" w:rsidR="00EE3FC9">
              <w:rPr>
                <w:bCs/>
                <w:sz w:val="20"/>
                <w:szCs w:val="20"/>
                <w:highlight w:val="yellow"/>
              </w:rPr>
              <w:t>20</w:t>
            </w:r>
            <w:r w:rsidRPr="001E7F9E" w:rsidR="0075737B">
              <w:rPr>
                <w:bCs/>
                <w:sz w:val="20"/>
                <w:szCs w:val="20"/>
                <w:highlight w:val="yellow"/>
              </w:rPr>
              <w:t>49</w:t>
            </w:r>
          </w:p>
        </w:tc>
        <w:tc>
          <w:tcPr>
            <w:tcW w:w="3149" w:type="dxa"/>
          </w:tcPr>
          <w:p w:rsidR="00497E2A" w:rsidRPr="001E7F9E" w:rsidP="00497E2A" w14:paraId="1E3A8122" w14:textId="179EEB98">
            <w:pPr>
              <w:rPr>
                <w:bCs/>
                <w:color w:val="000000"/>
                <w:sz w:val="20"/>
                <w:szCs w:val="20"/>
                <w:highlight w:val="yellow"/>
              </w:rPr>
            </w:pPr>
            <w:r w:rsidRPr="001E7F9E">
              <w:rPr>
                <w:bCs/>
                <w:color w:val="000000"/>
                <w:sz w:val="20"/>
                <w:szCs w:val="20"/>
                <w:highlight w:val="yellow"/>
              </w:rPr>
              <w:t>$</w:t>
            </w:r>
            <w:r w:rsidRPr="001E7F9E" w:rsidR="002C66F0">
              <w:rPr>
                <w:bCs/>
                <w:color w:val="000000"/>
                <w:sz w:val="20"/>
                <w:szCs w:val="20"/>
                <w:highlight w:val="yellow"/>
              </w:rPr>
              <w:t>5</w:t>
            </w:r>
            <w:r w:rsidRPr="001E7F9E" w:rsidR="00EE3FC9">
              <w:rPr>
                <w:bCs/>
                <w:color w:val="000000"/>
                <w:sz w:val="20"/>
                <w:szCs w:val="20"/>
                <w:highlight w:val="yellow"/>
              </w:rPr>
              <w:t>54,</w:t>
            </w:r>
            <w:r w:rsidRPr="001E7F9E" w:rsidR="0075737B">
              <w:rPr>
                <w:bCs/>
                <w:color w:val="000000"/>
                <w:sz w:val="20"/>
                <w:szCs w:val="20"/>
                <w:highlight w:val="yellow"/>
              </w:rPr>
              <w:t>535.77</w:t>
            </w:r>
          </w:p>
          <w:p w:rsidR="00497E2A" w:rsidRPr="001E7F9E" w:rsidP="0080641B" w14:paraId="07FE9969" w14:textId="77777777">
            <w:pPr>
              <w:widowControl w:val="0"/>
              <w:autoSpaceDE w:val="0"/>
              <w:autoSpaceDN w:val="0"/>
              <w:adjustRightInd w:val="0"/>
              <w:rPr>
                <w:bCs/>
                <w:sz w:val="20"/>
                <w:szCs w:val="20"/>
                <w:highlight w:val="yellow"/>
              </w:rPr>
            </w:pPr>
          </w:p>
        </w:tc>
      </w:tr>
      <w:tr w14:paraId="3F12E7FD" w14:textId="77777777" w:rsidTr="00497E2A">
        <w:tblPrEx>
          <w:tblW w:w="9625" w:type="dxa"/>
          <w:tblLook w:val="04A0"/>
        </w:tblPrEx>
        <w:tc>
          <w:tcPr>
            <w:tcW w:w="2065" w:type="dxa"/>
          </w:tcPr>
          <w:p w:rsidR="00497E2A" w:rsidRPr="001E7F9E" w:rsidP="0080641B" w14:paraId="38676DF2" w14:textId="2B1C0112">
            <w:pPr>
              <w:widowControl w:val="0"/>
              <w:autoSpaceDE w:val="0"/>
              <w:autoSpaceDN w:val="0"/>
              <w:adjustRightInd w:val="0"/>
              <w:rPr>
                <w:b/>
                <w:sz w:val="20"/>
                <w:szCs w:val="20"/>
                <w:highlight w:val="yellow"/>
              </w:rPr>
            </w:pPr>
            <w:r w:rsidRPr="001E7F9E">
              <w:rPr>
                <w:b/>
                <w:sz w:val="20"/>
                <w:szCs w:val="20"/>
                <w:highlight w:val="yellow"/>
              </w:rPr>
              <w:t xml:space="preserve"> Difference</w:t>
            </w:r>
          </w:p>
        </w:tc>
        <w:tc>
          <w:tcPr>
            <w:tcW w:w="2252" w:type="dxa"/>
          </w:tcPr>
          <w:p w:rsidR="00497E2A" w:rsidRPr="001E7F9E" w:rsidP="00497E2A" w14:paraId="72F1B1CE" w14:textId="339B51F9">
            <w:pPr>
              <w:rPr>
                <w:b/>
                <w:color w:val="000000"/>
                <w:sz w:val="20"/>
                <w:szCs w:val="20"/>
                <w:highlight w:val="yellow"/>
              </w:rPr>
            </w:pPr>
            <w:r w:rsidRPr="001E7F9E">
              <w:rPr>
                <w:b/>
                <w:color w:val="000000"/>
                <w:sz w:val="20"/>
                <w:szCs w:val="20"/>
                <w:highlight w:val="yellow"/>
              </w:rPr>
              <w:t xml:space="preserve">+ </w:t>
            </w:r>
            <w:r w:rsidRPr="001E7F9E" w:rsidR="00D56952">
              <w:rPr>
                <w:b/>
                <w:color w:val="000000"/>
                <w:sz w:val="20"/>
                <w:szCs w:val="20"/>
                <w:highlight w:val="yellow"/>
              </w:rPr>
              <w:t>8</w:t>
            </w:r>
            <w:r w:rsidR="00FB1892">
              <w:rPr>
                <w:b/>
                <w:color w:val="000000"/>
                <w:sz w:val="20"/>
                <w:szCs w:val="20"/>
                <w:highlight w:val="yellow"/>
              </w:rPr>
              <w:t>7</w:t>
            </w:r>
          </w:p>
        </w:tc>
        <w:tc>
          <w:tcPr>
            <w:tcW w:w="2159" w:type="dxa"/>
          </w:tcPr>
          <w:p w:rsidR="00497E2A" w:rsidRPr="001E7F9E" w:rsidP="0080641B" w14:paraId="3D3F2452" w14:textId="664DB3C4">
            <w:pPr>
              <w:widowControl w:val="0"/>
              <w:autoSpaceDE w:val="0"/>
              <w:autoSpaceDN w:val="0"/>
              <w:adjustRightInd w:val="0"/>
              <w:rPr>
                <w:b/>
                <w:sz w:val="20"/>
                <w:szCs w:val="20"/>
                <w:highlight w:val="yellow"/>
              </w:rPr>
            </w:pPr>
            <w:r w:rsidRPr="001E7F9E">
              <w:rPr>
                <w:b/>
                <w:sz w:val="20"/>
                <w:szCs w:val="20"/>
                <w:highlight w:val="yellow"/>
              </w:rPr>
              <w:t>+</w:t>
            </w:r>
            <w:r w:rsidRPr="001E7F9E" w:rsidR="001E7F9E">
              <w:rPr>
                <w:b/>
                <w:sz w:val="20"/>
                <w:szCs w:val="20"/>
                <w:highlight w:val="yellow"/>
              </w:rPr>
              <w:t>497</w:t>
            </w:r>
          </w:p>
        </w:tc>
        <w:tc>
          <w:tcPr>
            <w:tcW w:w="3149" w:type="dxa"/>
          </w:tcPr>
          <w:p w:rsidR="00497E2A" w:rsidRPr="001E7F9E" w:rsidP="00497E2A" w14:paraId="3A613AA0" w14:textId="74325085">
            <w:pPr>
              <w:rPr>
                <w:b/>
                <w:color w:val="000000"/>
                <w:sz w:val="20"/>
                <w:szCs w:val="20"/>
                <w:highlight w:val="yellow"/>
              </w:rPr>
            </w:pPr>
            <w:r w:rsidRPr="001E7F9E">
              <w:rPr>
                <w:b/>
                <w:color w:val="000000"/>
                <w:sz w:val="20"/>
                <w:szCs w:val="20"/>
                <w:highlight w:val="yellow"/>
              </w:rPr>
              <w:t>+ $</w:t>
            </w:r>
            <w:r w:rsidRPr="001E7F9E" w:rsidR="00EE3FC9">
              <w:rPr>
                <w:b/>
                <w:color w:val="000000"/>
                <w:sz w:val="20"/>
                <w:szCs w:val="20"/>
                <w:highlight w:val="yellow"/>
              </w:rPr>
              <w:t>14,</w:t>
            </w:r>
            <w:r w:rsidRPr="001E7F9E" w:rsidR="0075737B">
              <w:rPr>
                <w:b/>
                <w:color w:val="000000"/>
                <w:sz w:val="20"/>
                <w:szCs w:val="20"/>
                <w:highlight w:val="yellow"/>
              </w:rPr>
              <w:t>209.94</w:t>
            </w:r>
          </w:p>
        </w:tc>
      </w:tr>
      <w:bookmarkEnd w:id="5"/>
    </w:tbl>
    <w:p w:rsidR="0080641B" w:rsidRPr="004614D4" w:rsidP="0080641B" w14:paraId="3F831F9B" w14:textId="77777777">
      <w:pPr>
        <w:widowControl w:val="0"/>
        <w:autoSpaceDE w:val="0"/>
        <w:autoSpaceDN w:val="0"/>
        <w:adjustRightInd w:val="0"/>
        <w:rPr>
          <w:bCs/>
          <w:highlight w:val="yellow"/>
        </w:rPr>
      </w:pPr>
    </w:p>
    <w:p w:rsidR="009B633D" w:rsidRPr="00E70711" w:rsidP="009B633D" w14:paraId="3C31B0B5" w14:textId="4D00A9D1">
      <w:pPr>
        <w:pStyle w:val="Heading1"/>
        <w:rPr>
          <w:sz w:val="24"/>
          <w:szCs w:val="24"/>
        </w:rPr>
      </w:pPr>
      <w:r w:rsidRPr="00E70711">
        <w:rPr>
          <w:sz w:val="24"/>
          <w:szCs w:val="24"/>
        </w:rPr>
        <w:t>A. Justification</w:t>
      </w:r>
      <w:bookmarkEnd w:id="0"/>
      <w:bookmarkEnd w:id="1"/>
      <w:bookmarkEnd w:id="2"/>
      <w:bookmarkEnd w:id="3"/>
    </w:p>
    <w:p w:rsidR="009B633D" w:rsidRPr="00E70711" w:rsidP="009B633D" w14:paraId="5954D49D" w14:textId="77777777"/>
    <w:p w:rsidR="009B633D" w:rsidRPr="00E70711" w:rsidP="006014DB" w14:paraId="266D621B" w14:textId="77777777">
      <w:pPr>
        <w:pStyle w:val="Heading2"/>
        <w:spacing w:before="0" w:after="0"/>
        <w:rPr>
          <w:sz w:val="24"/>
          <w:szCs w:val="24"/>
        </w:rPr>
      </w:pPr>
      <w:bookmarkStart w:id="7" w:name="_Toc151782176"/>
      <w:bookmarkStart w:id="8" w:name="_Toc158526216"/>
      <w:bookmarkStart w:id="9" w:name="_Toc73964938"/>
      <w:bookmarkStart w:id="10" w:name="_Toc73965297"/>
      <w:r w:rsidRPr="00E70711">
        <w:rPr>
          <w:sz w:val="24"/>
          <w:szCs w:val="24"/>
        </w:rPr>
        <w:t xml:space="preserve">1. </w:t>
      </w:r>
      <w:bookmarkEnd w:id="7"/>
      <w:bookmarkEnd w:id="8"/>
      <w:r w:rsidRPr="00E70711" w:rsidR="006014DB">
        <w:rPr>
          <w:sz w:val="24"/>
          <w:szCs w:val="24"/>
        </w:rPr>
        <w:t>Circumstances that make the collection of information necessary</w:t>
      </w:r>
      <w:bookmarkEnd w:id="9"/>
      <w:bookmarkEnd w:id="10"/>
    </w:p>
    <w:p w:rsidR="006014DB" w:rsidRPr="00E70711" w:rsidP="006014DB" w14:paraId="4D595BD5" w14:textId="77777777"/>
    <w:p w:rsidR="000A140E" w:rsidRPr="00E70711" w:rsidP="000A140E" w14:paraId="7824D2CB" w14:textId="77777777">
      <w:r w:rsidRPr="00E70711">
        <w:t xml:space="preserve">The mission of the Agency for Healthcare Research and Quality (AHRQ) set out in its authorizing legislation, The Healthcare Research and Quality Act of 1999 (see </w:t>
      </w:r>
      <w:hyperlink r:id="rId10" w:history="1">
        <w:r w:rsidRPr="00E70711" w:rsidR="00DB1BBA">
          <w:rPr>
            <w:rStyle w:val="Hyperlink"/>
          </w:rPr>
          <w:t>http://www.ahrq.gov/hrqa99.pdf</w:t>
        </w:r>
      </w:hyperlink>
      <w:r w:rsidRPr="00E70711">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RPr="00E70711" w:rsidP="00606400" w14:paraId="37B79C79" w14:textId="77777777">
      <w:pPr>
        <w:tabs>
          <w:tab w:val="left" w:pos="360"/>
        </w:tabs>
      </w:pPr>
      <w:r w:rsidRPr="00E70711">
        <w:tab/>
      </w:r>
    </w:p>
    <w:p w:rsidR="00606400" w:rsidRPr="00E70711" w:rsidP="00606400" w14:paraId="19FAA8FF" w14:textId="77777777">
      <w:pPr>
        <w:tabs>
          <w:tab w:val="left" w:pos="360"/>
        </w:tabs>
        <w:ind w:left="360"/>
      </w:pPr>
      <w:r w:rsidRPr="00E70711">
        <w:t>1.</w:t>
      </w:r>
      <w:r w:rsidRPr="00E70711">
        <w:tab/>
      </w:r>
      <w:r w:rsidRPr="00E70711" w:rsidR="00DB1BBA">
        <w:t>R</w:t>
      </w:r>
      <w:r w:rsidRPr="00E70711">
        <w:t>esearch that develops and presents scientific evidence regardi</w:t>
      </w:r>
      <w:r w:rsidRPr="00E70711" w:rsidR="00AA1DDC">
        <w:t xml:space="preserve">ng all aspects of </w:t>
      </w:r>
      <w:r w:rsidRPr="00E70711" w:rsidR="00AA1DDC">
        <w:tab/>
      </w:r>
      <w:r w:rsidRPr="00E70711" w:rsidR="00AA1DDC">
        <w:tab/>
        <w:t>health care</w:t>
      </w:r>
      <w:r w:rsidRPr="00E70711" w:rsidR="00325B9C">
        <w:t>;</w:t>
      </w:r>
      <w:r w:rsidRPr="00E70711" w:rsidR="00B645ED">
        <w:t xml:space="preserve"> and</w:t>
      </w:r>
    </w:p>
    <w:p w:rsidR="00325B9C" w:rsidRPr="00E70711" w:rsidP="00606400" w14:paraId="40320CB6" w14:textId="77777777">
      <w:pPr>
        <w:tabs>
          <w:tab w:val="left" w:pos="360"/>
        </w:tabs>
        <w:ind w:left="360"/>
      </w:pPr>
    </w:p>
    <w:p w:rsidR="00325B9C" w:rsidRPr="00E70711" w:rsidP="00606400" w14:paraId="5B1E864C" w14:textId="77777777">
      <w:pPr>
        <w:tabs>
          <w:tab w:val="left" w:pos="360"/>
        </w:tabs>
        <w:ind w:left="360"/>
      </w:pPr>
      <w:r w:rsidRPr="00E70711">
        <w:t>2.</w:t>
      </w:r>
      <w:r w:rsidRPr="00E70711">
        <w:tab/>
      </w:r>
      <w:r w:rsidRPr="00E70711" w:rsidR="00DB1BBA">
        <w:t>T</w:t>
      </w:r>
      <w:r w:rsidRPr="00E70711" w:rsidR="00B645ED">
        <w:t xml:space="preserve">he synthesis and dissemination of available scientific evidence for use by </w:t>
      </w:r>
      <w:r w:rsidRPr="00E70711" w:rsidR="00B645ED">
        <w:tab/>
        <w:t xml:space="preserve">patients, consumers, practitioners, providers, purchasers, policy makers, and </w:t>
      </w:r>
      <w:r w:rsidRPr="00E70711" w:rsidR="00B645ED">
        <w:tab/>
        <w:t>educators; and</w:t>
      </w:r>
    </w:p>
    <w:p w:rsidR="00B645ED" w:rsidRPr="00E70711" w:rsidP="00606400" w14:paraId="3D12E5D4" w14:textId="77777777">
      <w:pPr>
        <w:tabs>
          <w:tab w:val="left" w:pos="360"/>
        </w:tabs>
        <w:ind w:left="360"/>
      </w:pPr>
    </w:p>
    <w:p w:rsidR="00B645ED" w:rsidRPr="00E70711" w:rsidP="00606400" w14:paraId="1907D627" w14:textId="77777777">
      <w:pPr>
        <w:tabs>
          <w:tab w:val="left" w:pos="360"/>
        </w:tabs>
        <w:ind w:left="360"/>
      </w:pPr>
      <w:r w:rsidRPr="00E70711">
        <w:t>3.</w:t>
      </w:r>
      <w:r w:rsidRPr="00E70711">
        <w:tab/>
        <w:t>I</w:t>
      </w:r>
      <w:r w:rsidRPr="00E70711">
        <w:t>nitiatives to advance private and public efforts to improve health care quality.</w:t>
      </w:r>
    </w:p>
    <w:p w:rsidR="00B645ED" w:rsidRPr="00E70711" w:rsidP="00B645ED" w14:paraId="5CAF4B5E" w14:textId="77777777">
      <w:pPr>
        <w:tabs>
          <w:tab w:val="left" w:pos="360"/>
        </w:tabs>
      </w:pPr>
    </w:p>
    <w:p w:rsidR="008450C0" w:rsidRPr="00E70711" w:rsidP="00B645ED" w14:paraId="4BEB2DA3" w14:textId="77777777">
      <w:pPr>
        <w:tabs>
          <w:tab w:val="left" w:pos="360"/>
        </w:tabs>
      </w:pPr>
      <w:r w:rsidRPr="00E70711">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DB1BBA" w:rsidRPr="00E70711" w:rsidP="00B645ED" w14:paraId="1842B3EA" w14:textId="77777777">
      <w:pPr>
        <w:tabs>
          <w:tab w:val="left" w:pos="360"/>
        </w:tabs>
      </w:pPr>
    </w:p>
    <w:p w:rsidR="00DB1BBA" w:rsidRPr="00E70711" w:rsidP="00B645ED" w14:paraId="51FCC87C" w14:textId="77777777">
      <w:pPr>
        <w:tabs>
          <w:tab w:val="left" w:pos="360"/>
        </w:tabs>
        <w:rPr>
          <w:b/>
        </w:rPr>
      </w:pPr>
      <w:r w:rsidRPr="00E70711">
        <w:rPr>
          <w:b/>
        </w:rPr>
        <w:t xml:space="preserve">Background </w:t>
      </w:r>
      <w:r w:rsidRPr="00E70711" w:rsidR="00420AEC">
        <w:rPr>
          <w:b/>
        </w:rPr>
        <w:t>for this Collection</w:t>
      </w:r>
    </w:p>
    <w:p w:rsidR="008450C0" w:rsidRPr="00E70711" w:rsidP="00B645ED" w14:paraId="69A42AE4" w14:textId="77777777">
      <w:pPr>
        <w:tabs>
          <w:tab w:val="left" w:pos="360"/>
        </w:tabs>
      </w:pPr>
    </w:p>
    <w:p w:rsidR="00F45DFC" w:rsidRPr="000E2C54" w:rsidP="00C14D37" w14:paraId="5A0E519B" w14:textId="1E231185">
      <w:pPr>
        <w:rPr>
          <w:color w:val="000000"/>
        </w:rPr>
      </w:pPr>
      <w:r w:rsidRPr="000E2C54">
        <w:rPr>
          <w:color w:val="000000"/>
        </w:rPr>
        <w:t>As part of the HHS HAI National Action Plan (NAP), AHRQ has supported the implementation and adoption of the Comprehensive Unit-based Safety Program (CUSP) to reduce Central-Line Associated Bloodstream Infections (CLABSI) and Catheter-Associated Urinary Tract Infections (CAUTI), and subsequently applied CUSP to other clinical challenges, including reducing surgical site infections and improving care for mechanically ventilated patients. As part of the National Action Plan for Combating Antibiotic-Resistant Bacteria (CARB NAP), the HHS HAI National Action Plan, and Healthy People 2030 goals, AHRQ will now apply the principles and concepts that have been learned from these HAI reduction efforts to the prevention of MRSA invasive infections</w:t>
      </w:r>
      <w:r w:rsidRPr="000E2C54" w:rsidR="00092734">
        <w:rPr>
          <w:color w:val="000000"/>
        </w:rPr>
        <w:t xml:space="preserve"> (defined as MRSA bacteremia)</w:t>
      </w:r>
      <w:r w:rsidRPr="000E2C54">
        <w:rPr>
          <w:color w:val="000000"/>
        </w:rPr>
        <w:t>.</w:t>
      </w:r>
    </w:p>
    <w:p w:rsidR="00F45DFC" w:rsidRPr="000E2C54" w:rsidP="00C14D37" w14:paraId="725D8CE9" w14:textId="77777777">
      <w:pPr>
        <w:rPr>
          <w:color w:val="000000"/>
        </w:rPr>
      </w:pPr>
    </w:p>
    <w:p w:rsidR="00BF53CF" w:rsidRPr="000E2C54" w:rsidP="00C14D37" w14:paraId="6420F29E" w14:textId="1107FE87">
      <w:pPr>
        <w:ind w:left="-5" w:right="1"/>
      </w:pPr>
      <w:r w:rsidRPr="000E2C54">
        <w:t xml:space="preserve">Healthcare-associated infections, or HAIs, are a highly significant cause of illness and death for patients in the U.S. At any given time, HAIs affect one out of every 31 hospital inpatients. More than a million of these infections occur across our </w:t>
      </w:r>
      <w:r w:rsidRPr="000E2C54" w:rsidR="00EC6EAF">
        <w:t xml:space="preserve">health care system every year. </w:t>
      </w:r>
      <w:r w:rsidRPr="000E2C54">
        <w:t>This leads to significant patient harm and loss of life, and costs billions of dollars each year in</w:t>
      </w:r>
      <w:r w:rsidRPr="000E2C54" w:rsidR="00EC6EAF">
        <w:t xml:space="preserve"> medical and non-medical costs.</w:t>
      </w:r>
      <w:r w:rsidRPr="000E2C54">
        <w:t xml:space="preserve"> In addition, the 3 million Americans currently residing in U.S. nursing homes experience a staggering 2-3 million HAIs each year.</w:t>
      </w:r>
      <w:r>
        <w:rPr>
          <w:rStyle w:val="EndnoteReference"/>
        </w:rPr>
        <w:endnoteReference w:id="3"/>
      </w:r>
      <w:r w:rsidRPr="000E2C54">
        <w:t xml:space="preserve"> </w:t>
      </w:r>
    </w:p>
    <w:p w:rsidR="00BF53CF" w:rsidRPr="000E2C54" w:rsidP="00C14D37" w14:paraId="5F08810C" w14:textId="77777777">
      <w:pPr>
        <w:spacing w:line="259" w:lineRule="auto"/>
      </w:pPr>
      <w:r w:rsidRPr="000E2C54">
        <w:t xml:space="preserve"> </w:t>
      </w:r>
    </w:p>
    <w:p w:rsidR="00BF53CF" w:rsidRPr="000E2C54" w:rsidP="00C14D37" w14:paraId="644B878B" w14:textId="77777777">
      <w:pPr>
        <w:ind w:left="-5" w:right="1"/>
      </w:pPr>
      <w:r w:rsidRPr="000E2C54">
        <w:t>Particular concern</w:t>
      </w:r>
      <w:r w:rsidRPr="000E2C54">
        <w:t xml:space="preserve"> has arisen related to the persistent prevalence of methicillin-resistant </w:t>
      </w:r>
    </w:p>
    <w:p w:rsidR="00BF53CF" w:rsidRPr="000E2C54" w:rsidP="000E0C7E" w14:paraId="409BC5B3" w14:textId="6CBE5306">
      <w:pPr>
        <w:spacing w:after="1"/>
        <w:ind w:left="-5" w:right="207"/>
      </w:pPr>
      <w:r w:rsidRPr="000E2C54">
        <w:rPr>
          <w:i/>
        </w:rPr>
        <w:t xml:space="preserve">Staphylococcus aureus </w:t>
      </w:r>
      <w:r w:rsidRPr="000E2C54" w:rsidR="00C14D37">
        <w:t>(MRSA).</w:t>
      </w:r>
      <w:r w:rsidRPr="000E2C54" w:rsidR="00EC6EAF">
        <w:t xml:space="preserve"> </w:t>
      </w:r>
      <w:r w:rsidRPr="000E2C54">
        <w:t xml:space="preserve">This bacterium affects both communities and healthcare facilities, but </w:t>
      </w:r>
      <w:r w:rsidRPr="000E2C54">
        <w:t>the majority of</w:t>
      </w:r>
      <w:r w:rsidRPr="000E2C54">
        <w:t xml:space="preserve"> morbidity and mortality occurs in critically and chronically ill patients. While MRSA was rare in the US through the 1970s, its prevalence in US health care facilities began rising in the 1980s and had continued to do so. In 2000, MRSA was responsible for 133,</w:t>
      </w:r>
      <w:r w:rsidRPr="000E2C54" w:rsidR="00693086">
        <w:t>510</w:t>
      </w:r>
      <w:r w:rsidRPr="000E2C54">
        <w:t xml:space="preserve"> hospitalizations in children and adults. This number more than doubled by 2005, with 278,</w:t>
      </w:r>
      <w:r w:rsidRPr="000E2C54" w:rsidR="00693086">
        <w:t>203</w:t>
      </w:r>
      <w:r w:rsidRPr="000E2C54">
        <w:t xml:space="preserve"> hospitalizations along with</w:t>
      </w:r>
      <w:r w:rsidRPr="000E2C54" w:rsidR="00EC6EAF">
        <w:t xml:space="preserve"> </w:t>
      </w:r>
      <w:r w:rsidRPr="000E2C54">
        <w:t>56,</w:t>
      </w:r>
      <w:r w:rsidRPr="000E2C54" w:rsidR="00693086">
        <w:t>248</w:t>
      </w:r>
      <w:r w:rsidRPr="000E2C54">
        <w:t xml:space="preserve"> septic events and </w:t>
      </w:r>
      <w:r w:rsidRPr="000E2C54" w:rsidR="00693086">
        <w:t>6,639</w:t>
      </w:r>
      <w:r w:rsidRPr="000E2C54" w:rsidR="00652EBB">
        <w:t xml:space="preserve"> </w:t>
      </w:r>
      <w:r w:rsidRPr="000E2C54">
        <w:t>deaths being attributed to MRSA.</w:t>
      </w:r>
      <w:r>
        <w:rPr>
          <w:rStyle w:val="EndnoteReference"/>
        </w:rPr>
        <w:endnoteReference w:id="4"/>
      </w:r>
      <w:r w:rsidRPr="000E2C54">
        <w:t xml:space="preserve"> MRSA has become a major form of hospital</w:t>
      </w:r>
      <w:r w:rsidRPr="000E2C54" w:rsidR="00FB1E0C">
        <w:t xml:space="preserve"> </w:t>
      </w:r>
      <w:r w:rsidRPr="000E2C54">
        <w:t xml:space="preserve">associated </w:t>
      </w:r>
      <w:r w:rsidRPr="000E2C54">
        <w:rPr>
          <w:i/>
        </w:rPr>
        <w:t xml:space="preserve">Staphylococcus aureus </w:t>
      </w:r>
      <w:r w:rsidRPr="000E2C54">
        <w:t>infection</w:t>
      </w:r>
      <w:r w:rsidRPr="000E2C54" w:rsidR="00B82E8F">
        <w:t>.</w:t>
      </w:r>
      <w:r>
        <w:rPr>
          <w:rStyle w:val="EndnoteReference"/>
        </w:rPr>
        <w:endnoteReference w:id="5"/>
      </w:r>
      <w:r w:rsidRPr="000E2C54">
        <w:rPr>
          <w:sz w:val="37"/>
          <w:vertAlign w:val="superscript"/>
        </w:rPr>
        <w:t xml:space="preserve"> </w:t>
      </w:r>
    </w:p>
    <w:p w:rsidR="00BF53CF" w:rsidRPr="000E2C54" w:rsidP="00C14D37" w14:paraId="32FC3494" w14:textId="77777777">
      <w:pPr>
        <w:spacing w:line="259" w:lineRule="auto"/>
      </w:pPr>
      <w:r w:rsidRPr="000E2C54">
        <w:t xml:space="preserve"> </w:t>
      </w:r>
    </w:p>
    <w:p w:rsidR="00E73A00" w:rsidRPr="000E2C54" w:rsidP="00C14D37" w14:paraId="726B5433" w14:textId="43EC7FA9">
      <w:pPr>
        <w:pStyle w:val="Default"/>
      </w:pPr>
      <w:r w:rsidRPr="000E2C54">
        <w:t xml:space="preserve">For various patient safety initiatives, AHRQ has promoted the implementation and adoption of the Comprehensive Unit-based Safety Program (CUSP) approach which combines clinical and cultural (i.e., </w:t>
      </w:r>
      <w:r w:rsidRPr="000E2C54">
        <w:t>technical</w:t>
      </w:r>
      <w:r w:rsidRPr="000E2C54">
        <w:t xml:space="preserve"> and adaptive) intervention components to facilitate the implementation of technical bundles to improve patient safety. For MRSA prevention, it is likely that a combination of technical approaches is indicated, including decolonization</w:t>
      </w:r>
      <w:r w:rsidRPr="000E2C54" w:rsidR="00D163D9">
        <w:t>,</w:t>
      </w:r>
      <w:r w:rsidRPr="000E2C54">
        <w:t xml:space="preserve"> along with classic infection control practices such as hand hygiene, environmental cleaning, general HAI prevention, and contact precautions/isolation. Implementation of these technical approaches would benefit greatly from the cultural and behavioral inter</w:t>
      </w:r>
      <w:r w:rsidRPr="000E2C54" w:rsidR="005955D0">
        <w:t xml:space="preserve">ventions incorporated in CUSP. </w:t>
      </w:r>
      <w:r w:rsidRPr="000E2C54">
        <w:t xml:space="preserve">AHRQ expects that this approach, which includes a focus on teamwork, communication, and patient engagement, will enhance the effectiveness of interventions to reduce MRSA infection that will be implemented and evaluated </w:t>
      </w:r>
      <w:r w:rsidRPr="000E2C54" w:rsidR="00016C5F">
        <w:t>as part of this project</w:t>
      </w:r>
      <w:r w:rsidRPr="000E2C54">
        <w:t xml:space="preserve">.  </w:t>
      </w:r>
    </w:p>
    <w:p w:rsidR="00127339" w:rsidRPr="000E2C54" w:rsidP="00C14D37" w14:paraId="5E38314C" w14:textId="77777777">
      <w:pPr>
        <w:pStyle w:val="Default"/>
      </w:pPr>
    </w:p>
    <w:p w:rsidR="00127339" w:rsidRPr="000E2C54" w:rsidP="00016C5F" w14:paraId="12C11E62" w14:textId="6CD52AA7">
      <w:r w:rsidRPr="000E2C54">
        <w:t xml:space="preserve">This project will assist hospital units and long-term care </w:t>
      </w:r>
      <w:r w:rsidRPr="000E2C54" w:rsidR="00466270">
        <w:t>(LTC)</w:t>
      </w:r>
      <w:r w:rsidRPr="000E2C54">
        <w:t xml:space="preserve"> facilities in adopting and implementing technical approaches to reduce MRSA infections. It will be </w:t>
      </w:r>
      <w:r w:rsidRPr="000E2C54">
        <w:t xml:space="preserve">implemented in </w:t>
      </w:r>
      <w:r w:rsidRPr="000E2C54" w:rsidR="00892162">
        <w:t xml:space="preserve">four </w:t>
      </w:r>
      <w:r w:rsidRPr="000E2C54">
        <w:t>cohorts:</w:t>
      </w:r>
    </w:p>
    <w:p w:rsidR="00892162" w:rsidRPr="000E2C54" w:rsidP="00127339" w14:paraId="500C654E" w14:textId="403ADCCC">
      <w:pPr>
        <w:pStyle w:val="ColorfulList-Accent11"/>
        <w:numPr>
          <w:ilvl w:val="0"/>
          <w:numId w:val="29"/>
        </w:numPr>
      </w:pPr>
      <w:r w:rsidRPr="000E2C54">
        <w:t xml:space="preserve">at least </w:t>
      </w:r>
      <w:r w:rsidRPr="000E2C54" w:rsidR="00127339">
        <w:t xml:space="preserve">400 ICUs </w:t>
      </w:r>
    </w:p>
    <w:p w:rsidR="00127339" w:rsidRPr="000E2C54" w:rsidP="00127339" w14:paraId="15B741BD" w14:textId="70904D10">
      <w:pPr>
        <w:pStyle w:val="ColorfulList-Accent11"/>
        <w:numPr>
          <w:ilvl w:val="0"/>
          <w:numId w:val="29"/>
        </w:numPr>
      </w:pPr>
      <w:r w:rsidRPr="000E2C54">
        <w:t xml:space="preserve">at least </w:t>
      </w:r>
      <w:r w:rsidRPr="000E2C54">
        <w:t>400 non-ICUs</w:t>
      </w:r>
    </w:p>
    <w:p w:rsidR="00127339" w:rsidRPr="000E2C54" w:rsidP="00127339" w14:paraId="3261A29D" w14:textId="123D38D3">
      <w:pPr>
        <w:pStyle w:val="ColorfulList-Accent11"/>
        <w:numPr>
          <w:ilvl w:val="0"/>
          <w:numId w:val="29"/>
        </w:numPr>
      </w:pPr>
      <w:r w:rsidRPr="000E2C54">
        <w:t xml:space="preserve">at least </w:t>
      </w:r>
      <w:r w:rsidRPr="000E2C54">
        <w:t>300 hospital surgical services</w:t>
      </w:r>
    </w:p>
    <w:p w:rsidR="00127339" w:rsidRPr="000E2C54" w:rsidP="00127339" w14:paraId="66A8284A" w14:textId="7BBCB2F9">
      <w:pPr>
        <w:pStyle w:val="ColorfulList-Accent11"/>
        <w:numPr>
          <w:ilvl w:val="0"/>
          <w:numId w:val="29"/>
        </w:numPr>
      </w:pPr>
      <w:r w:rsidRPr="000E2C54">
        <w:t xml:space="preserve">at least </w:t>
      </w:r>
      <w:r w:rsidRPr="000E2C54">
        <w:t xml:space="preserve">300 </w:t>
      </w:r>
      <w:r w:rsidRPr="000E2C54" w:rsidR="00534AD2">
        <w:t>LTC</w:t>
      </w:r>
      <w:r w:rsidRPr="000E2C54">
        <w:t xml:space="preserve"> facilities. </w:t>
      </w:r>
    </w:p>
    <w:p w:rsidR="00BF53CF" w:rsidRPr="000E2C54" w:rsidP="00C14D37" w14:paraId="1A8A1866" w14:textId="77777777">
      <w:pPr>
        <w:pStyle w:val="Default"/>
        <w:rPr>
          <w:color w:val="auto"/>
        </w:rPr>
      </w:pPr>
    </w:p>
    <w:p w:rsidR="00402BC2" w:rsidRPr="000E2C54" w:rsidP="007034A9" w14:paraId="592FD35C" w14:textId="6782206F">
      <w:r w:rsidRPr="000E2C54">
        <w:t>T</w:t>
      </w:r>
      <w:r w:rsidRPr="000E2C54" w:rsidR="000018B3">
        <w:t>he goa</w:t>
      </w:r>
      <w:r w:rsidRPr="000E2C54" w:rsidR="00637DC4">
        <w:t>ls of this project are to 1) develop and</w:t>
      </w:r>
      <w:r w:rsidRPr="000E2C54" w:rsidR="000018B3">
        <w:t xml:space="preserve"> implement a program to prevent MRSA invasive infection</w:t>
      </w:r>
      <w:r w:rsidRPr="000E2C54" w:rsidR="00AD756E">
        <w:t xml:space="preserve"> </w:t>
      </w:r>
      <w:r w:rsidRPr="000E2C54" w:rsidR="00AD756E">
        <w:rPr>
          <w:color w:val="000000"/>
        </w:rPr>
        <w:t>(defined as MRSA bacteremia)</w:t>
      </w:r>
      <w:r w:rsidRPr="000E2C54" w:rsidR="000018B3">
        <w:t xml:space="preserve"> in intensive care units (ICUs), non-ICUs, inpatient surgery, and </w:t>
      </w:r>
      <w:r w:rsidRPr="000E2C54" w:rsidR="00466270">
        <w:t>LTC</w:t>
      </w:r>
      <w:r w:rsidRPr="000E2C54" w:rsidR="000018B3">
        <w:t xml:space="preserve"> facilities</w:t>
      </w:r>
      <w:r w:rsidRPr="000E2C54" w:rsidR="00637DC4">
        <w:t xml:space="preserve">, 2) assess the adoption of </w:t>
      </w:r>
      <w:r w:rsidRPr="000E2C54" w:rsidR="003A6F7E">
        <w:t xml:space="preserve">the </w:t>
      </w:r>
      <w:r w:rsidRPr="000E2C54" w:rsidR="003A6F7E">
        <w:rPr>
          <w:i/>
        </w:rPr>
        <w:t>AHRQ Safety Program</w:t>
      </w:r>
      <w:r w:rsidRPr="000E2C54" w:rsidR="00637DC4">
        <w:rPr>
          <w:i/>
        </w:rPr>
        <w:t xml:space="preserve"> for MRSA Prevention</w:t>
      </w:r>
      <w:r w:rsidRPr="000E2C54" w:rsidR="00637DC4">
        <w:t xml:space="preserve">, and 3) evaluate the effectiveness of the </w:t>
      </w:r>
      <w:r w:rsidRPr="000E2C54" w:rsidR="00965F68">
        <w:t>implementation</w:t>
      </w:r>
      <w:r w:rsidRPr="000E2C54" w:rsidR="00637DC4">
        <w:t xml:space="preserve"> in the participating units. </w:t>
      </w:r>
      <w:r w:rsidRPr="000E2C54" w:rsidR="00127339">
        <w:t xml:space="preserve">AHRQ is </w:t>
      </w:r>
      <w:r w:rsidRPr="000E2C54">
        <w:t>requesting a 3-year clear</w:t>
      </w:r>
      <w:r w:rsidRPr="000E2C54" w:rsidR="00127339">
        <w:t xml:space="preserve">ance to </w:t>
      </w:r>
      <w:r w:rsidRPr="000E2C54" w:rsidR="00155B1D">
        <w:t>perform</w:t>
      </w:r>
      <w:r w:rsidRPr="000E2C54" w:rsidR="00127339">
        <w:t xml:space="preserve"> the</w:t>
      </w:r>
      <w:r w:rsidRPr="000E2C54">
        <w:t xml:space="preserve"> data collection activities</w:t>
      </w:r>
      <w:r w:rsidRPr="000E2C54" w:rsidR="00127339">
        <w:t xml:space="preserve"> needed to assess the adoption of the program and evaluate its effectiveness in the participating units and facilities</w:t>
      </w:r>
      <w:r w:rsidRPr="000E2C54">
        <w:t>.</w:t>
      </w:r>
    </w:p>
    <w:p w:rsidR="00527BBD" w:rsidRPr="000E2C54" w:rsidP="00C14D37" w14:paraId="1ACC4911" w14:textId="1E51EA69">
      <w:r w:rsidRPr="000E2C54">
        <w:t xml:space="preserve">The project </w:t>
      </w:r>
      <w:r w:rsidRPr="000E2C54">
        <w:t>is being conducted by AHRQ through its contractor,</w:t>
      </w:r>
      <w:r w:rsidRPr="000E2C54" w:rsidR="00104F3E">
        <w:t xml:space="preserve"> Johns Hopkins University </w:t>
      </w:r>
      <w:r w:rsidRPr="000E2C54" w:rsidR="00EA3BED">
        <w:t xml:space="preserve">(JHU) </w:t>
      </w:r>
      <w:r w:rsidRPr="000E2C54" w:rsidR="00104F3E">
        <w:t xml:space="preserve">and </w:t>
      </w:r>
      <w:r w:rsidRPr="000E2C54" w:rsidR="00EA3BED">
        <w:t xml:space="preserve">JHU’s subcontractor, </w:t>
      </w:r>
      <w:r w:rsidRPr="000E2C54" w:rsidR="00104F3E">
        <w:t>NORC at the University of Chicago</w:t>
      </w:r>
      <w:r w:rsidRPr="000E2C54" w:rsidR="00264B80">
        <w:t xml:space="preserve">.  </w:t>
      </w:r>
      <w:r w:rsidRPr="000E2C54" w:rsidR="00264B80">
        <w:rPr>
          <w:bCs/>
          <w:color w:val="000000"/>
        </w:rPr>
        <w:t xml:space="preserve">The </w:t>
      </w:r>
      <w:r w:rsidRPr="000E2C54" w:rsidR="001508D3">
        <w:rPr>
          <w:bCs/>
          <w:color w:val="000000"/>
        </w:rPr>
        <w:t xml:space="preserve">project </w:t>
      </w:r>
      <w:r w:rsidRPr="000E2C54" w:rsidR="00264B80">
        <w:rPr>
          <w:bCs/>
          <w:color w:val="000000"/>
        </w:rPr>
        <w:t>is being undertaken</w:t>
      </w:r>
      <w:r w:rsidRPr="000E2C54">
        <w:t xml:space="preserve"> pursuant to </w:t>
      </w:r>
      <w:r w:rsidRPr="000E2C54" w:rsidR="006E0A89">
        <w:rPr>
          <w:bCs/>
          <w:color w:val="000000"/>
        </w:rPr>
        <w:t>AHRQ’s mission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w:t>
      </w:r>
      <w:r w:rsidRPr="000E2C54" w:rsidR="00691569">
        <w:rPr>
          <w:bCs/>
          <w:color w:val="000000"/>
        </w:rPr>
        <w:t xml:space="preserve"> (</w:t>
      </w:r>
      <w:r w:rsidRPr="000E2C54" w:rsidR="006E0A89">
        <w:rPr>
          <w:bCs/>
          <w:color w:val="000000"/>
        </w:rPr>
        <w:t>42 U.S.C. 299</w:t>
      </w:r>
      <w:r w:rsidRPr="000E2C54" w:rsidR="00691569">
        <w:rPr>
          <w:bCs/>
          <w:color w:val="000000"/>
        </w:rPr>
        <w:t>)</w:t>
      </w:r>
      <w:r w:rsidRPr="000E2C54" w:rsidR="006E0A89">
        <w:rPr>
          <w:bCs/>
          <w:color w:val="000000"/>
        </w:rPr>
        <w:t>.</w:t>
      </w:r>
    </w:p>
    <w:p w:rsidR="009B633D" w:rsidRPr="000E2C54" w:rsidP="00C14D37" w14:paraId="2A1BC015" w14:textId="77777777">
      <w:pPr>
        <w:pStyle w:val="Heading2"/>
        <w:rPr>
          <w:sz w:val="24"/>
        </w:rPr>
      </w:pPr>
      <w:bookmarkStart w:id="11" w:name="_Toc151782177"/>
      <w:bookmarkStart w:id="12" w:name="_Toc158526217"/>
      <w:bookmarkStart w:id="13" w:name="_Toc73964939"/>
      <w:bookmarkStart w:id="14" w:name="_Toc73965298"/>
      <w:r w:rsidRPr="000E2C54">
        <w:rPr>
          <w:sz w:val="24"/>
        </w:rPr>
        <w:t>2. Purpose and Use of Information</w:t>
      </w:r>
      <w:bookmarkEnd w:id="11"/>
      <w:bookmarkEnd w:id="12"/>
      <w:bookmarkEnd w:id="13"/>
      <w:bookmarkEnd w:id="14"/>
    </w:p>
    <w:p w:rsidR="005955D0" w:rsidRPr="000E2C54" w:rsidP="005955D0" w14:paraId="698A5FB4" w14:textId="355A0D4E">
      <w:pPr>
        <w:pStyle w:val="BodyText"/>
        <w:rPr>
          <w:rFonts w:ascii="Arial" w:hAnsi="Arial" w:cs="Arial"/>
        </w:rPr>
      </w:pPr>
      <w:r w:rsidRPr="000E2C54">
        <w:t xml:space="preserve">This data collection effort will be part of a comprehensive evaluation strategy to assess the adoption of </w:t>
      </w:r>
      <w:r w:rsidRPr="000E2C54" w:rsidR="00334D06">
        <w:t xml:space="preserve">the </w:t>
      </w:r>
      <w:r w:rsidRPr="000E2C54" w:rsidR="003A6F7E">
        <w:rPr>
          <w:i/>
        </w:rPr>
        <w:t>AHRQ</w:t>
      </w:r>
      <w:r w:rsidRPr="000E2C54" w:rsidR="00334D06">
        <w:rPr>
          <w:i/>
        </w:rPr>
        <w:t xml:space="preserve"> Safety Program </w:t>
      </w:r>
      <w:r w:rsidRPr="000E2C54">
        <w:rPr>
          <w:i/>
        </w:rPr>
        <w:t xml:space="preserve">for </w:t>
      </w:r>
      <w:r w:rsidRPr="000E2C54" w:rsidR="00E13123">
        <w:rPr>
          <w:i/>
        </w:rPr>
        <w:t>MRSA Prevention</w:t>
      </w:r>
      <w:r w:rsidRPr="000E2C54" w:rsidR="00E13123">
        <w:t xml:space="preserve"> in ICUs, non-ICUs, surgical services, and </w:t>
      </w:r>
      <w:r w:rsidRPr="000E2C54" w:rsidR="00466270">
        <w:t>LTC</w:t>
      </w:r>
      <w:r w:rsidRPr="000E2C54">
        <w:t xml:space="preserve"> settings; </w:t>
      </w:r>
      <w:r w:rsidRPr="000E2C54" w:rsidR="00E13123">
        <w:t xml:space="preserve">and </w:t>
      </w:r>
      <w:r w:rsidRPr="000E2C54">
        <w:t xml:space="preserve">measure the effectiveness of the </w:t>
      </w:r>
      <w:r w:rsidRPr="000E2C54" w:rsidR="00965F68">
        <w:t>implementation</w:t>
      </w:r>
      <w:r w:rsidRPr="000E2C54" w:rsidR="00334D06">
        <w:t xml:space="preserve"> in the participating facilities or units</w:t>
      </w:r>
      <w:r w:rsidRPr="000E2C54" w:rsidR="000641B3">
        <w:t>.</w:t>
      </w:r>
      <w:r w:rsidRPr="000E2C54">
        <w:t xml:space="preserve"> The evaluation has four main goals: </w:t>
      </w:r>
    </w:p>
    <w:p w:rsidR="005955D0" w:rsidRPr="000E2C54" w:rsidP="005955D0" w14:paraId="7C8675D9" w14:textId="77777777">
      <w:pPr>
        <w:pStyle w:val="BodyText"/>
        <w:numPr>
          <w:ilvl w:val="0"/>
          <w:numId w:val="31"/>
        </w:numPr>
        <w:spacing w:after="0"/>
      </w:pPr>
      <w:r w:rsidRPr="000E2C54">
        <w:rPr>
          <w:u w:val="single"/>
        </w:rPr>
        <w:t>Program participation</w:t>
      </w:r>
      <w:r w:rsidRPr="000E2C54">
        <w:t>: Assess the ability of sites to successfully encourage full participation of unit/facility staff in educational activities.</w:t>
      </w:r>
    </w:p>
    <w:p w:rsidR="005955D0" w:rsidRPr="000E2C54" w:rsidP="005955D0" w14:paraId="4D63F088" w14:textId="26F5677B">
      <w:pPr>
        <w:pStyle w:val="BodyText"/>
        <w:numPr>
          <w:ilvl w:val="0"/>
          <w:numId w:val="31"/>
        </w:numPr>
        <w:spacing w:after="0"/>
      </w:pPr>
      <w:r w:rsidRPr="000E2C54">
        <w:rPr>
          <w:u w:val="single"/>
        </w:rPr>
        <w:t>Implementation and adoption</w:t>
      </w:r>
      <w:r w:rsidRPr="000E2C54">
        <w:t xml:space="preserve">: Assess the implementation and adoption of </w:t>
      </w:r>
      <w:r w:rsidRPr="000E2C54" w:rsidR="003A6F7E">
        <w:rPr>
          <w:i/>
        </w:rPr>
        <w:t>AHRQ Safety Program</w:t>
      </w:r>
      <w:r w:rsidRPr="000E2C54">
        <w:rPr>
          <w:i/>
        </w:rPr>
        <w:t xml:space="preserve"> for MRSA </w:t>
      </w:r>
      <w:r w:rsidRPr="000E2C54" w:rsidR="003A6F7E">
        <w:rPr>
          <w:i/>
        </w:rPr>
        <w:t>P</w:t>
      </w:r>
      <w:r w:rsidRPr="000E2C54">
        <w:rPr>
          <w:i/>
        </w:rPr>
        <w:t>revention</w:t>
      </w:r>
      <w:r w:rsidRPr="000E2C54">
        <w:t>.</w:t>
      </w:r>
    </w:p>
    <w:p w:rsidR="005955D0" w:rsidRPr="000E2C54" w:rsidP="005955D0" w14:paraId="0E0F5E10" w14:textId="369F1096">
      <w:pPr>
        <w:pStyle w:val="BodyText"/>
        <w:numPr>
          <w:ilvl w:val="0"/>
          <w:numId w:val="31"/>
        </w:numPr>
        <w:spacing w:after="0"/>
      </w:pPr>
      <w:r w:rsidRPr="000E2C54">
        <w:rPr>
          <w:u w:val="single"/>
        </w:rPr>
        <w:t>Program effectiveness</w:t>
      </w:r>
      <w:r w:rsidRPr="000E2C54">
        <w:t xml:space="preserve">: Measure the effectiveness of the </w:t>
      </w:r>
      <w:r w:rsidRPr="000E2C54" w:rsidR="003A6F7E">
        <w:rPr>
          <w:i/>
        </w:rPr>
        <w:t>AHRQ Safety Program</w:t>
      </w:r>
      <w:r w:rsidRPr="000E2C54">
        <w:rPr>
          <w:i/>
        </w:rPr>
        <w:t xml:space="preserve"> for MRSA </w:t>
      </w:r>
      <w:r w:rsidRPr="000E2C54" w:rsidR="003A6F7E">
        <w:rPr>
          <w:i/>
        </w:rPr>
        <w:t>P</w:t>
      </w:r>
      <w:r w:rsidRPr="000E2C54">
        <w:rPr>
          <w:i/>
        </w:rPr>
        <w:t>revention</w:t>
      </w:r>
      <w:r w:rsidRPr="000E2C54">
        <w:t xml:space="preserve"> bundle.</w:t>
      </w:r>
    </w:p>
    <w:p w:rsidR="005955D0" w:rsidRPr="000E2C54" w:rsidP="005955D0" w14:paraId="7E983851" w14:textId="75C296CD">
      <w:pPr>
        <w:pStyle w:val="BodyText"/>
        <w:numPr>
          <w:ilvl w:val="0"/>
          <w:numId w:val="31"/>
        </w:numPr>
        <w:spacing w:after="0"/>
      </w:pPr>
      <w:r w:rsidRPr="000E2C54">
        <w:rPr>
          <w:u w:val="single"/>
        </w:rPr>
        <w:t>Causal pathways</w:t>
      </w:r>
      <w:r w:rsidRPr="000E2C54">
        <w:t xml:space="preserve">: </w:t>
      </w:r>
      <w:r w:rsidRPr="000E2C54" w:rsidR="00250747">
        <w:t xml:space="preserve">Describe </w:t>
      </w:r>
      <w:r w:rsidRPr="000E2C54">
        <w:t xml:space="preserve">the characteristics of teams that are associated with successful implementation and improvement outcomes. </w:t>
      </w:r>
    </w:p>
    <w:p w:rsidR="008A3E60" w:rsidRPr="000E2C54" w:rsidP="008A3E60" w14:paraId="1CCEC4D2" w14:textId="77777777"/>
    <w:p w:rsidR="00DF607F" w:rsidRPr="000E2C54" w:rsidP="008A3E60" w14:paraId="03FD4E49" w14:textId="3871DDAE">
      <w:r w:rsidRPr="000E2C54">
        <w:t xml:space="preserve">The evaluation will utilize </w:t>
      </w:r>
      <w:r w:rsidRPr="000E2C54" w:rsidR="00460B9F">
        <w:t xml:space="preserve">an interrupted time series </w:t>
      </w:r>
      <w:r w:rsidRPr="000E2C54">
        <w:t xml:space="preserve">design </w:t>
      </w:r>
      <w:r w:rsidRPr="000E2C54" w:rsidR="0039038A">
        <w:t>to assess MRSA invasive infections</w:t>
      </w:r>
      <w:r w:rsidRPr="000E2C54" w:rsidR="00DF5547">
        <w:t xml:space="preserve"> (defined as MRSA bacteremia)</w:t>
      </w:r>
      <w:r w:rsidRPr="000E2C54" w:rsidR="0039038A">
        <w:t xml:space="preserve"> and secondary clinical outcomes</w:t>
      </w:r>
      <w:r w:rsidRPr="000E2C54">
        <w:t xml:space="preserve">, </w:t>
      </w:r>
      <w:r w:rsidRPr="000E2C54">
        <w:t xml:space="preserve">using </w:t>
      </w:r>
      <w:r w:rsidRPr="000E2C54" w:rsidR="0039038A">
        <w:t xml:space="preserve">18 months of </w:t>
      </w:r>
      <w:r w:rsidRPr="000E2C54" w:rsidR="001E30DF">
        <w:t xml:space="preserve">implementation </w:t>
      </w:r>
      <w:r w:rsidRPr="000E2C54" w:rsidR="00602CA5">
        <w:t xml:space="preserve">data and 12 months of </w:t>
      </w:r>
      <w:r w:rsidRPr="000E2C54" w:rsidR="0039038A">
        <w:t>retrospective</w:t>
      </w:r>
      <w:r w:rsidRPr="000E2C54" w:rsidR="001E30DF">
        <w:t xml:space="preserve"> data</w:t>
      </w:r>
      <w:r w:rsidRPr="000E2C54" w:rsidR="00466270">
        <w:t>.</w:t>
      </w:r>
      <w:r w:rsidRPr="000E2C54" w:rsidR="000B2A51">
        <w:t xml:space="preserve"> </w:t>
      </w:r>
      <w:r w:rsidRPr="000E2C54" w:rsidR="0039038A">
        <w:t>We will also assess needs of participating units and capacity to implement the intervention, awareness of MRSA prevention,</w:t>
      </w:r>
      <w:r w:rsidRPr="000E2C54" w:rsidR="001E30DF">
        <w:t xml:space="preserve"> implementation </w:t>
      </w:r>
      <w:r w:rsidRPr="000E2C54" w:rsidR="0039038A">
        <w:t xml:space="preserve">fidelity and effectiveness, communication and teamwork, and changes in patient safety culture and behavior. </w:t>
      </w:r>
      <w:r w:rsidRPr="000E2C54" w:rsidR="00853A6E">
        <w:t xml:space="preserve">  </w:t>
      </w:r>
      <w:r w:rsidRPr="000E2C54">
        <w:t xml:space="preserve"> </w:t>
      </w:r>
      <w:r w:rsidRPr="000E2C54">
        <w:t xml:space="preserve"> </w:t>
      </w:r>
    </w:p>
    <w:p w:rsidR="00DF607F" w:rsidRPr="000E2C54" w:rsidP="008A3E60" w14:paraId="48CA3BF5" w14:textId="77777777"/>
    <w:p w:rsidR="008A3E60" w:rsidRPr="000E2C54" w:rsidP="008A3E60" w14:paraId="7163CD7A" w14:textId="68102657">
      <w:r w:rsidRPr="000E2C54">
        <w:t>The data collection will include both primary and secondary data sources. The primary data collection includes the following:</w:t>
      </w:r>
    </w:p>
    <w:p w:rsidR="00EB384F" w:rsidRPr="000E2C54" w:rsidP="008A3E60" w14:paraId="045D23E2" w14:textId="77777777"/>
    <w:p w:rsidR="00992F6D" w:rsidRPr="0014252A" w:rsidP="00EB384F" w14:paraId="3662B95C" w14:textId="6F19FFE5">
      <w:pPr>
        <w:pStyle w:val="ListParagraph"/>
        <w:numPr>
          <w:ilvl w:val="0"/>
          <w:numId w:val="34"/>
        </w:numPr>
        <w:rPr>
          <w:highlight w:val="yellow"/>
          <w:u w:val="single"/>
        </w:rPr>
      </w:pPr>
      <w:r w:rsidRPr="000E2C54">
        <w:rPr>
          <w:u w:val="single"/>
        </w:rPr>
        <w:t>Unit -level clinical outcome change data:</w:t>
      </w:r>
      <w:r w:rsidRPr="000E2C54">
        <w:t xml:space="preserve"> </w:t>
      </w:r>
      <w:r w:rsidRPr="000E2C54" w:rsidR="00222CB1">
        <w:t xml:space="preserve">The </w:t>
      </w:r>
      <w:r w:rsidRPr="000E2C54">
        <w:t>program</w:t>
      </w:r>
      <w:r w:rsidRPr="000E2C54" w:rsidR="006A15D7">
        <w:t xml:space="preserve"> </w:t>
      </w:r>
      <w:r w:rsidRPr="000E2C54" w:rsidR="00222CB1">
        <w:t>will use a secure online portal to collect clinical outcomes measures extracted from site electronic health record (EHR) systems</w:t>
      </w:r>
      <w:r w:rsidRPr="000E2C54" w:rsidR="00C404F4">
        <w:t xml:space="preserve"> for the </w:t>
      </w:r>
      <w:r w:rsidRPr="000E2C54" w:rsidR="00C404F4">
        <w:t>12 month</w:t>
      </w:r>
      <w:r w:rsidRPr="000E2C54" w:rsidR="00C404F4">
        <w:t xml:space="preserve"> period prior to the start of the </w:t>
      </w:r>
      <w:r w:rsidRPr="000E2C54" w:rsidR="00965F68">
        <w:t>implementation</w:t>
      </w:r>
      <w:r w:rsidRPr="000E2C54" w:rsidR="00C41CAD">
        <w:t>,</w:t>
      </w:r>
      <w:r w:rsidRPr="000E2C54" w:rsidR="00C404F4">
        <w:t xml:space="preserve"> as well as for the 18 month </w:t>
      </w:r>
      <w:r w:rsidRPr="000E2C54" w:rsidR="00965F68">
        <w:t>implementation</w:t>
      </w:r>
      <w:r w:rsidRPr="000E2C54" w:rsidR="00C404F4">
        <w:t xml:space="preserve"> period</w:t>
      </w:r>
      <w:r w:rsidRPr="000E2C54" w:rsidR="00222CB1">
        <w:t xml:space="preserve">. </w:t>
      </w:r>
      <w:r w:rsidRPr="000E2C54">
        <w:t xml:space="preserve">These data will be used to evaluate the effectiveness of the </w:t>
      </w:r>
      <w:r w:rsidRPr="000E2C54">
        <w:rPr>
          <w:i/>
        </w:rPr>
        <w:t>AHRQ Safety Program for MRSA Prevention</w:t>
      </w:r>
      <w:r w:rsidRPr="000E2C54">
        <w:t xml:space="preserve"> (Attachments J, K, L, M, N, and O).</w:t>
      </w:r>
      <w:r w:rsidR="00D87F9B">
        <w:t xml:space="preserve"> </w:t>
      </w:r>
      <w:r w:rsidRPr="00D84A59" w:rsidR="00D87F9B">
        <w:rPr>
          <w:highlight w:val="yellow"/>
        </w:rPr>
        <w:t xml:space="preserve">The clinical outcomes measures for the ICU/non-ICU </w:t>
      </w:r>
      <w:r w:rsidRPr="00D84A59" w:rsidR="009D64E1">
        <w:rPr>
          <w:highlight w:val="yellow"/>
        </w:rPr>
        <w:t xml:space="preserve">(Attachment J) </w:t>
      </w:r>
      <w:r w:rsidRPr="00D84A59" w:rsidR="00D87F9B">
        <w:rPr>
          <w:highlight w:val="yellow"/>
        </w:rPr>
        <w:t xml:space="preserve">and </w:t>
      </w:r>
      <w:r w:rsidRPr="00D84A59" w:rsidR="00C530B0">
        <w:rPr>
          <w:highlight w:val="yellow"/>
        </w:rPr>
        <w:t>Surgical Services</w:t>
      </w:r>
      <w:r w:rsidRPr="00D84A59" w:rsidR="009D64E1">
        <w:rPr>
          <w:highlight w:val="yellow"/>
        </w:rPr>
        <w:t xml:space="preserve"> (Attachment K)</w:t>
      </w:r>
      <w:r w:rsidRPr="00D84A59" w:rsidR="00D87F9B">
        <w:rPr>
          <w:highlight w:val="yellow"/>
        </w:rPr>
        <w:t xml:space="preserve"> </w:t>
      </w:r>
      <w:r w:rsidRPr="00D84A59" w:rsidR="00652A5B">
        <w:rPr>
          <w:highlight w:val="yellow"/>
        </w:rPr>
        <w:t xml:space="preserve">and Long-Term Care (Attachment L) </w:t>
      </w:r>
      <w:r w:rsidRPr="00D84A59" w:rsidR="00D87F9B">
        <w:rPr>
          <w:highlight w:val="yellow"/>
        </w:rPr>
        <w:t>cohorts have been updated from the version included in the original OMB review.</w:t>
      </w:r>
    </w:p>
    <w:p w:rsidR="00992F6D" w:rsidRPr="000E2C54" w:rsidP="00E007FA" w14:paraId="0184DCC1" w14:textId="77777777">
      <w:pPr>
        <w:pStyle w:val="ListParagraph"/>
        <w:ind w:left="462"/>
        <w:rPr>
          <w:u w:val="single"/>
        </w:rPr>
      </w:pPr>
    </w:p>
    <w:p w:rsidR="00992F6D" w:rsidRPr="000E2C54" w:rsidP="00E007FA" w14:paraId="0E4BD7B8" w14:textId="604BC2AC">
      <w:pPr>
        <w:ind w:left="462"/>
      </w:pPr>
      <w:r w:rsidRPr="000E2C54">
        <w:t>For the ICU and non-ICU cohorts, the clinical outcomes data will be collected quarterly and will include:</w:t>
      </w:r>
    </w:p>
    <w:p w:rsidR="00992F6D" w:rsidRPr="000E2C54" w:rsidP="00E007FA" w14:paraId="0E9F6F69" w14:textId="77777777">
      <w:pPr>
        <w:pStyle w:val="ListParagraph"/>
        <w:numPr>
          <w:ilvl w:val="0"/>
          <w:numId w:val="53"/>
        </w:numPr>
        <w:ind w:left="1362"/>
      </w:pPr>
      <w:r w:rsidRPr="000E2C54">
        <w:t xml:space="preserve">Hospital onset MRSA invasive infection (MRSA bacteremia </w:t>
      </w:r>
      <w:r w:rsidRPr="000E2C54">
        <w:t>LabID</w:t>
      </w:r>
      <w:r w:rsidRPr="000E2C54">
        <w:t xml:space="preserve"> Day 3 or after of admission)</w:t>
      </w:r>
    </w:p>
    <w:p w:rsidR="00992F6D" w:rsidRPr="000E2C54" w:rsidP="00992F6D" w14:paraId="7084C2E4" w14:textId="77777777">
      <w:pPr>
        <w:pStyle w:val="ListParagraph"/>
        <w:numPr>
          <w:ilvl w:val="0"/>
          <w:numId w:val="53"/>
        </w:numPr>
        <w:ind w:left="1362"/>
      </w:pPr>
      <w:r w:rsidRPr="000E2C54">
        <w:t xml:space="preserve">Community onset MRSA invasive infection (MRSA bacteremia </w:t>
      </w:r>
      <w:r w:rsidRPr="000E2C54">
        <w:t>LabID</w:t>
      </w:r>
      <w:r w:rsidRPr="000E2C54">
        <w:t xml:space="preserve"> prior to Day 3 after admission)</w:t>
      </w:r>
    </w:p>
    <w:p w:rsidR="00992F6D" w:rsidRPr="000E2C54" w:rsidP="00E007FA" w14:paraId="1581C027" w14:textId="77777777">
      <w:pPr>
        <w:pStyle w:val="ListParagraph"/>
        <w:numPr>
          <w:ilvl w:val="0"/>
          <w:numId w:val="53"/>
        </w:numPr>
        <w:ind w:left="1362"/>
      </w:pPr>
      <w:r w:rsidRPr="000E2C54">
        <w:t>Patient days</w:t>
      </w:r>
    </w:p>
    <w:p w:rsidR="00992F6D" w:rsidRPr="000E2C54" w:rsidP="00E007FA" w14:paraId="2DB543B4" w14:textId="77777777">
      <w:pPr>
        <w:pStyle w:val="ListParagraph"/>
        <w:numPr>
          <w:ilvl w:val="0"/>
          <w:numId w:val="53"/>
        </w:numPr>
        <w:ind w:left="1362"/>
      </w:pPr>
      <w:r w:rsidRPr="000E2C54">
        <w:t>Central Line-Associated Blood Stream Infections with causative organism(s)</w:t>
      </w:r>
    </w:p>
    <w:p w:rsidR="00992F6D" w:rsidRPr="000E2C54" w:rsidP="00E007FA" w14:paraId="1DF31853" w14:textId="77777777">
      <w:pPr>
        <w:pStyle w:val="ListParagraph"/>
        <w:numPr>
          <w:ilvl w:val="0"/>
          <w:numId w:val="53"/>
        </w:numPr>
        <w:ind w:left="1362"/>
      </w:pPr>
      <w:r w:rsidRPr="000E2C54">
        <w:t>Central Line Days</w:t>
      </w:r>
    </w:p>
    <w:p w:rsidR="00992F6D" w:rsidRPr="000E2C54" w:rsidP="00E007FA" w14:paraId="39286824" w14:textId="436DA47A">
      <w:pPr>
        <w:pStyle w:val="ListParagraph"/>
        <w:numPr>
          <w:ilvl w:val="0"/>
          <w:numId w:val="53"/>
        </w:numPr>
        <w:ind w:left="1362"/>
      </w:pPr>
      <w:r w:rsidRPr="000E2C54">
        <w:t>Hospital onset bacteremia (Day 3 or after of admission) with causative organisms, including MSSA</w:t>
      </w:r>
    </w:p>
    <w:p w:rsidR="00992F6D" w:rsidRPr="000E2C54" w:rsidP="00E007FA" w14:paraId="74ADDB9D" w14:textId="5E2FFA67">
      <w:pPr>
        <w:pStyle w:val="ListParagraph"/>
        <w:numPr>
          <w:ilvl w:val="0"/>
          <w:numId w:val="53"/>
        </w:numPr>
        <w:ind w:left="1362"/>
      </w:pPr>
      <w:r w:rsidRPr="000E2C54">
        <w:t>MRSA-positive clinical cultures</w:t>
      </w:r>
    </w:p>
    <w:p w:rsidR="00992F6D" w:rsidRPr="000E2C54" w:rsidP="00E007FA" w14:paraId="15366855" w14:textId="77777777">
      <w:pPr>
        <w:ind w:left="462"/>
      </w:pPr>
    </w:p>
    <w:p w:rsidR="00992F6D" w:rsidRPr="000E2C54" w:rsidP="00E007FA" w14:paraId="27E499ED" w14:textId="062340BB">
      <w:pPr>
        <w:ind w:left="462"/>
      </w:pPr>
      <w:r w:rsidRPr="000E2C54">
        <w:t>In addition, hospitals that are already conducting MRSA point prevalence surveys in participating ICU and non-ICU units will be asked to submit this optional data via the secure online portal.</w:t>
      </w:r>
      <w:r w:rsidR="00C541A4">
        <w:t xml:space="preserve"> </w:t>
      </w:r>
      <w:r w:rsidRPr="0014252A" w:rsidR="00C541A4">
        <w:rPr>
          <w:highlight w:val="yellow"/>
        </w:rPr>
        <w:t xml:space="preserve">Hospitals will be asked to </w:t>
      </w:r>
      <w:r w:rsidRPr="00D84A59" w:rsidR="00654E21">
        <w:rPr>
          <w:highlight w:val="yellow"/>
        </w:rPr>
        <w:t>submit</w:t>
      </w:r>
      <w:r w:rsidRPr="0014252A" w:rsidR="00C541A4">
        <w:rPr>
          <w:highlight w:val="yellow"/>
        </w:rPr>
        <w:t xml:space="preserve"> baseline data at the start of the program and then </w:t>
      </w:r>
      <w:r w:rsidRPr="00D84A59" w:rsidR="00654E21">
        <w:rPr>
          <w:highlight w:val="yellow"/>
        </w:rPr>
        <w:t xml:space="preserve">submit data </w:t>
      </w:r>
      <w:r w:rsidRPr="0014252A" w:rsidR="00C541A4">
        <w:rPr>
          <w:highlight w:val="yellow"/>
        </w:rPr>
        <w:t xml:space="preserve">once every six months for the duration of the </w:t>
      </w:r>
      <w:r w:rsidRPr="00D84A59" w:rsidR="00654E21">
        <w:rPr>
          <w:highlight w:val="yellow"/>
        </w:rPr>
        <w:t xml:space="preserve">18-month </w:t>
      </w:r>
      <w:r w:rsidRPr="0014252A" w:rsidR="00C541A4">
        <w:rPr>
          <w:highlight w:val="yellow"/>
        </w:rPr>
        <w:t>implementation period.</w:t>
      </w:r>
      <w:r w:rsidRPr="0014252A" w:rsidR="00654E21">
        <w:rPr>
          <w:highlight w:val="yellow"/>
        </w:rPr>
        <w:t xml:space="preserve"> Thus, it will be collected a total of four times.</w:t>
      </w:r>
      <w:r w:rsidR="00654E21">
        <w:t xml:space="preserve"> </w:t>
      </w:r>
      <w:r w:rsidRPr="000E2C54" w:rsidR="00E40B1E">
        <w:t xml:space="preserve"> </w:t>
      </w:r>
    </w:p>
    <w:p w:rsidR="00992F6D" w:rsidRPr="000E2C54" w:rsidP="00E007FA" w14:paraId="63BA8421" w14:textId="77777777">
      <w:pPr>
        <w:ind w:left="462"/>
      </w:pPr>
    </w:p>
    <w:p w:rsidR="00992F6D" w:rsidRPr="000E2C54" w:rsidP="00E007FA" w14:paraId="634D464A" w14:textId="55781EF8">
      <w:pPr>
        <w:ind w:left="462"/>
      </w:pPr>
      <w:r w:rsidRPr="000E2C54">
        <w:t>For the surgical services cohort, the clinical outcomes data will be collected quarterly and will include:</w:t>
      </w:r>
    </w:p>
    <w:p w:rsidR="00992F6D" w:rsidRPr="000E2C54" w:rsidP="00E007FA" w14:paraId="268E74AD" w14:textId="77777777">
      <w:pPr>
        <w:pStyle w:val="ListParagraph"/>
        <w:numPr>
          <w:ilvl w:val="0"/>
          <w:numId w:val="54"/>
        </w:numPr>
        <w:ind w:left="1182"/>
      </w:pPr>
      <w:r w:rsidRPr="000E2C54">
        <w:t xml:space="preserve">Surgical site infection (SSI) events and causative organisms </w:t>
      </w:r>
    </w:p>
    <w:p w:rsidR="00C541A4" w:rsidRPr="000E2C54" w:rsidP="00C541A4" w14:paraId="29D47391" w14:textId="0BFA2A18">
      <w:pPr>
        <w:pStyle w:val="ListParagraph"/>
        <w:numPr>
          <w:ilvl w:val="0"/>
          <w:numId w:val="54"/>
        </w:numPr>
        <w:ind w:left="1182"/>
      </w:pPr>
      <w:r w:rsidRPr="000E2C54">
        <w:t xml:space="preserve">Number of surgical procedures performed, by type of surgical procedure </w:t>
      </w:r>
    </w:p>
    <w:p w:rsidR="000F6995" w:rsidRPr="0014252A" w:rsidP="00C541A4" w14:paraId="172D89ED" w14:textId="007B6AE4">
      <w:pPr>
        <w:pStyle w:val="ListParagraph"/>
        <w:numPr>
          <w:ilvl w:val="0"/>
          <w:numId w:val="54"/>
        </w:numPr>
        <w:ind w:left="1182"/>
        <w:rPr>
          <w:highlight w:val="yellow"/>
        </w:rPr>
      </w:pPr>
      <w:r w:rsidRPr="0014252A">
        <w:rPr>
          <w:highlight w:val="yellow"/>
        </w:rPr>
        <w:t>Hospital readmissions</w:t>
      </w:r>
    </w:p>
    <w:p w:rsidR="00992F6D" w:rsidRPr="000E2C54" w:rsidP="00E007FA" w14:paraId="611584EB" w14:textId="77777777">
      <w:pPr>
        <w:pStyle w:val="ListParagraph"/>
        <w:ind w:left="462"/>
        <w:rPr>
          <w:u w:val="single"/>
        </w:rPr>
      </w:pPr>
    </w:p>
    <w:p w:rsidR="00992F6D" w:rsidP="00992F6D" w14:paraId="6E39AD0C" w14:textId="57E0D51A">
      <w:pPr>
        <w:ind w:left="462"/>
      </w:pPr>
      <w:r w:rsidRPr="000E2C54">
        <w:t>For the LTC cohort, the clinical outcomes data will be collected monthly via the secure online portal, or via fax submission</w:t>
      </w:r>
      <w:r>
        <w:t>, and will</w:t>
      </w:r>
      <w:r w:rsidRPr="00FB0F30">
        <w:t xml:space="preserve"> include</w:t>
      </w:r>
      <w:r w:rsidRPr="005B4B50">
        <w:t>:</w:t>
      </w:r>
    </w:p>
    <w:p w:rsidR="009E7637" w:rsidRPr="00E007FA" w:rsidP="00E007FA" w14:paraId="254454DC" w14:textId="2FC5D041">
      <w:pPr>
        <w:pStyle w:val="ListParagraph"/>
        <w:numPr>
          <w:ilvl w:val="0"/>
          <w:numId w:val="57"/>
        </w:numPr>
      </w:pPr>
      <w:r>
        <w:t xml:space="preserve">Transfer of facility resident(s) to an acute care hospital, with reason </w:t>
      </w:r>
      <w:r w:rsidR="009C2F9C">
        <w:t xml:space="preserve">of </w:t>
      </w:r>
      <w:r>
        <w:t>s</w:t>
      </w:r>
      <w:r w:rsidR="009C2F9C">
        <w:t>uspected or confirmed infection</w:t>
      </w:r>
      <w:r>
        <w:t xml:space="preserve"> </w:t>
      </w:r>
    </w:p>
    <w:p w:rsidR="009C2F9C" w:rsidRPr="00861D11" w:rsidP="009C2F9C" w14:paraId="4D243D08" w14:textId="204ABA1B">
      <w:pPr>
        <w:pStyle w:val="ListParagraph"/>
        <w:numPr>
          <w:ilvl w:val="0"/>
          <w:numId w:val="57"/>
        </w:numPr>
      </w:pPr>
      <w:r>
        <w:t>Transfer of facility resident(s) to an acute care hospital, with reason other than infection</w:t>
      </w:r>
    </w:p>
    <w:p w:rsidR="00992F6D" w:rsidRPr="000E2C54" w:rsidP="00E007FA" w14:paraId="61282E7E" w14:textId="078F8D5F">
      <w:pPr>
        <w:pStyle w:val="ListParagraph"/>
        <w:numPr>
          <w:ilvl w:val="0"/>
          <w:numId w:val="57"/>
        </w:numPr>
        <w:rPr>
          <w:u w:val="single"/>
        </w:rPr>
      </w:pPr>
      <w:r>
        <w:t>A</w:t>
      </w:r>
      <w:r w:rsidRPr="00215B82" w:rsidR="00FC31F0">
        <w:t>ll</w:t>
      </w:r>
      <w:r w:rsidRPr="000E2C54" w:rsidR="00FC31F0">
        <w:t xml:space="preserve">-cause bacteremia with </w:t>
      </w:r>
      <w:r w:rsidRPr="000E2C54" w:rsidR="003629E7">
        <w:t>causative</w:t>
      </w:r>
      <w:r w:rsidRPr="000E2C54" w:rsidR="00FC31F0">
        <w:t xml:space="preserve"> organisms</w:t>
      </w:r>
    </w:p>
    <w:p w:rsidR="00992F6D" w:rsidRPr="0014252A" w:rsidP="00E007FA" w14:paraId="2E3A0BD7" w14:textId="117709D2">
      <w:pPr>
        <w:pStyle w:val="ListParagraph"/>
        <w:numPr>
          <w:ilvl w:val="0"/>
          <w:numId w:val="57"/>
        </w:numPr>
        <w:rPr>
          <w:highlight w:val="yellow"/>
          <w:u w:val="single"/>
        </w:rPr>
      </w:pPr>
      <w:r w:rsidRPr="000E2C54">
        <w:t>R</w:t>
      </w:r>
      <w:r w:rsidRPr="000E2C54" w:rsidR="00FC31F0">
        <w:t xml:space="preserve">esident </w:t>
      </w:r>
      <w:r w:rsidRPr="0014252A" w:rsidR="00FC31F0">
        <w:rPr>
          <w:highlight w:val="yellow"/>
        </w:rPr>
        <w:t>day</w:t>
      </w:r>
      <w:r w:rsidRPr="0014252A" w:rsidR="00DC2401">
        <w:rPr>
          <w:highlight w:val="yellow"/>
        </w:rPr>
        <w:t>s</w:t>
      </w:r>
    </w:p>
    <w:p w:rsidR="00C541A4" w:rsidRPr="0014252A" w:rsidP="00E007FA" w14:paraId="3C348A9D" w14:textId="3893C487">
      <w:pPr>
        <w:pStyle w:val="ListParagraph"/>
        <w:numPr>
          <w:ilvl w:val="0"/>
          <w:numId w:val="57"/>
        </w:numPr>
        <w:rPr>
          <w:highlight w:val="yellow"/>
          <w:u w:val="single"/>
        </w:rPr>
      </w:pPr>
      <w:r w:rsidRPr="0014252A">
        <w:rPr>
          <w:highlight w:val="yellow"/>
        </w:rPr>
        <w:t>MDS 3.0 Section M Skin Conditions data elements</w:t>
      </w:r>
    </w:p>
    <w:p w:rsidR="007B243C" w:rsidRPr="000E2C54" w:rsidP="00E007FA" w14:paraId="2E6B2FFA" w14:textId="5BACCCED">
      <w:r w:rsidRPr="000E2C54">
        <w:t xml:space="preserve"> </w:t>
      </w:r>
    </w:p>
    <w:p w:rsidR="00D024BC" w:rsidRPr="000E2C54" w14:paraId="31607365" w14:textId="16AFEAC6">
      <w:pPr>
        <w:pStyle w:val="ListParagraph"/>
        <w:numPr>
          <w:ilvl w:val="0"/>
          <w:numId w:val="34"/>
        </w:numPr>
        <w:rPr>
          <w:u w:val="single"/>
        </w:rPr>
      </w:pPr>
      <w:r w:rsidRPr="000E2C54">
        <w:rPr>
          <w:u w:val="single"/>
        </w:rPr>
        <w:t xml:space="preserve">Survey of Patient Safety: </w:t>
      </w:r>
      <w:r w:rsidRPr="000E2C54">
        <w:t xml:space="preserve">The NORC/JHU team will administer AHRQ Surveys of Patient Safety Culture to all eligible </w:t>
      </w:r>
      <w:r w:rsidRPr="000E2C54">
        <w:rPr>
          <w:i/>
        </w:rPr>
        <w:t>AHRQ Safety Program for MRSA Prevention</w:t>
      </w:r>
      <w:r w:rsidRPr="000E2C54">
        <w:t xml:space="preserve"> staff at the participating units or facilities at the beginning </w:t>
      </w:r>
      <w:r w:rsidRPr="000E2C54" w:rsidR="00DE08CB">
        <w:t>(month 1)</w:t>
      </w:r>
      <w:r w:rsidRPr="000E2C54">
        <w:t xml:space="preserve"> and end</w:t>
      </w:r>
      <w:r w:rsidRPr="000E2C54" w:rsidR="00DE08CB">
        <w:t xml:space="preserve"> (month 18)</w:t>
      </w:r>
      <w:r w:rsidRPr="000E2C54">
        <w:t xml:space="preserve"> of the </w:t>
      </w:r>
      <w:r w:rsidRPr="000E2C54" w:rsidR="00965F68">
        <w:t>implementation</w:t>
      </w:r>
      <w:r w:rsidRPr="000E2C54">
        <w:t>. We will administer the Hospital Survey of Patient Safety Culture (HSOPS) in the ICU, non-ICU, and surgical cohorts</w:t>
      </w:r>
      <w:r w:rsidRPr="000E2C54" w:rsidR="006A15D7">
        <w:t>,</w:t>
      </w:r>
      <w:r w:rsidRPr="000E2C54">
        <w:t xml:space="preserve"> and the Nursing Home Survey on Patient Safety (NHSOPS) in the </w:t>
      </w:r>
      <w:r w:rsidRPr="000E2C54" w:rsidR="00534AD2">
        <w:t>LTC</w:t>
      </w:r>
      <w:r w:rsidRPr="000E2C54">
        <w:t xml:space="preserve"> cohort. </w:t>
      </w:r>
      <w:r w:rsidRPr="00311C66" w:rsidR="003154B0">
        <w:rPr>
          <w:highlight w:val="yellow"/>
        </w:rPr>
        <w:t>The ICU/non-ICU cohort will have the option to submit HSOPS V.1 or V.2 and the surgical services cohort will submit V.2.</w:t>
      </w:r>
      <w:r w:rsidR="003154B0">
        <w:t xml:space="preserve"> </w:t>
      </w:r>
      <w:r w:rsidRPr="000E2C54">
        <w:t xml:space="preserve">These surveys ask questions about patient safety issues, medical errors, and event reporting in the respective setting. NORC/JHU will request that all staff on the unit or facility that is implementing the </w:t>
      </w:r>
      <w:r w:rsidRPr="000E2C54">
        <w:rPr>
          <w:i/>
        </w:rPr>
        <w:t>AHRQ Safety Program for MRSA Prevention</w:t>
      </w:r>
      <w:r w:rsidRPr="000E2C54">
        <w:t xml:space="preserve"> complete the survey. As unit and facility size vary, we estimate the average number of respondents to be 25 for each unit</w:t>
      </w:r>
      <w:r w:rsidRPr="000E2C54" w:rsidR="0015337D">
        <w:t xml:space="preserve"> (Attachments </w:t>
      </w:r>
      <w:r w:rsidRPr="000E2C54" w:rsidR="006607D6">
        <w:t>H</w:t>
      </w:r>
      <w:r w:rsidRPr="004C3666" w:rsidR="0015337D">
        <w:rPr>
          <w:highlight w:val="yellow"/>
        </w:rPr>
        <w:t>,</w:t>
      </w:r>
      <w:r w:rsidRPr="004C3666" w:rsidR="004C3666">
        <w:rPr>
          <w:highlight w:val="yellow"/>
        </w:rPr>
        <w:t xml:space="preserve"> </w:t>
      </w:r>
      <w:bookmarkStart w:id="15" w:name="OLE_LINK5"/>
      <w:r w:rsidRPr="004C3666" w:rsidR="004C3666">
        <w:rPr>
          <w:highlight w:val="yellow"/>
        </w:rPr>
        <w:t>Q,</w:t>
      </w:r>
      <w:r w:rsidRPr="000E2C54" w:rsidR="0015337D">
        <w:t xml:space="preserve"> </w:t>
      </w:r>
      <w:bookmarkEnd w:id="15"/>
      <w:r w:rsidRPr="000E2C54" w:rsidR="006607D6">
        <w:t>I</w:t>
      </w:r>
      <w:r w:rsidRPr="000E2C54" w:rsidR="0015337D">
        <w:t>).</w:t>
      </w:r>
    </w:p>
    <w:p w:rsidR="00D024BC" w:rsidRPr="000E2C54" w:rsidP="009F39D0" w14:paraId="046115AC" w14:textId="77777777">
      <w:pPr>
        <w:pStyle w:val="ListParagraph"/>
        <w:ind w:left="462"/>
        <w:rPr>
          <w:u w:val="single"/>
        </w:rPr>
      </w:pPr>
    </w:p>
    <w:p w:rsidR="00A567E9" w:rsidRPr="00F91BDB" w:rsidP="006F393B" w14:paraId="60370418" w14:textId="1EC0867F">
      <w:pPr>
        <w:pStyle w:val="ListParagraph"/>
        <w:numPr>
          <w:ilvl w:val="0"/>
          <w:numId w:val="34"/>
        </w:numPr>
        <w:rPr>
          <w:u w:val="single"/>
        </w:rPr>
      </w:pPr>
      <w:r w:rsidRPr="000E2C54">
        <w:rPr>
          <w:u w:val="single"/>
        </w:rPr>
        <w:t xml:space="preserve">Infrastructure Assessment Tool- </w:t>
      </w:r>
      <w:r w:rsidRPr="000E2C54" w:rsidR="00D024BC">
        <w:rPr>
          <w:u w:val="single"/>
        </w:rPr>
        <w:t xml:space="preserve">Gap Analysis:  </w:t>
      </w:r>
      <w:r w:rsidRPr="000E2C54" w:rsidR="00D024BC">
        <w:t xml:space="preserve">The NORC/JHU team will administer the Gap Analysis </w:t>
      </w:r>
      <w:r w:rsidRPr="000E2C54" w:rsidR="00DE08CB">
        <w:t>at</w:t>
      </w:r>
      <w:r w:rsidRPr="000E2C54" w:rsidR="009F39D0">
        <w:t xml:space="preserve"> month </w:t>
      </w:r>
      <w:r w:rsidRPr="000E2C54" w:rsidR="00DE08CB">
        <w:t>1 and month 18</w:t>
      </w:r>
      <w:r w:rsidRPr="000E2C54" w:rsidR="009F39D0">
        <w:t xml:space="preserve"> of the </w:t>
      </w:r>
      <w:r w:rsidRPr="000E2C54" w:rsidR="00965F68">
        <w:t>implementation</w:t>
      </w:r>
      <w:r w:rsidRPr="000E2C54" w:rsidR="00A76D94">
        <w:t xml:space="preserve"> to</w:t>
      </w:r>
      <w:r w:rsidRPr="000E2C54" w:rsidR="00287B69">
        <w:t xml:space="preserve"> an Infection Preventionist and one of the unit’s team leaders (most likely a nurse)</w:t>
      </w:r>
      <w:r w:rsidRPr="000E2C54" w:rsidR="00D024BC">
        <w:t>.</w:t>
      </w:r>
      <w:r w:rsidRPr="000E2C54" w:rsidR="00216F0C">
        <w:t xml:space="preserve"> </w:t>
      </w:r>
      <w:r w:rsidRPr="000E2C54" w:rsidR="003332DE">
        <w:t>Information on current practices in MRSA prevention on the unit will be collected</w:t>
      </w:r>
      <w:r w:rsidRPr="000E2C54" w:rsidR="0015337D">
        <w:t xml:space="preserve"> (Attachments B, C, D</w:t>
      </w:r>
      <w:r w:rsidRPr="0014252A" w:rsidR="0015337D">
        <w:rPr>
          <w:highlight w:val="yellow"/>
        </w:rPr>
        <w:t>).</w:t>
      </w:r>
      <w:r w:rsidRPr="0014252A">
        <w:rPr>
          <w:highlight w:val="yellow"/>
        </w:rPr>
        <w:t xml:space="preserve"> </w:t>
      </w:r>
      <w:bookmarkStart w:id="16" w:name="_Hlk100609987"/>
      <w:r w:rsidRPr="00D84A59">
        <w:rPr>
          <w:highlight w:val="yellow"/>
        </w:rPr>
        <w:t xml:space="preserve">The Gap </w:t>
      </w:r>
      <w:r w:rsidRPr="0014252A">
        <w:rPr>
          <w:bCs/>
          <w:highlight w:val="yellow"/>
        </w:rPr>
        <w:t>Analysis</w:t>
      </w:r>
      <w:r w:rsidRPr="00D84A59">
        <w:rPr>
          <w:highlight w:val="yellow"/>
        </w:rPr>
        <w:t xml:space="preserve"> for the </w:t>
      </w:r>
      <w:r w:rsidRPr="0014252A">
        <w:rPr>
          <w:bCs/>
          <w:highlight w:val="yellow"/>
        </w:rPr>
        <w:t>surgical services</w:t>
      </w:r>
      <w:r w:rsidRPr="00D84A59">
        <w:rPr>
          <w:highlight w:val="yellow"/>
        </w:rPr>
        <w:t xml:space="preserve"> cohort has been updated from the version included in the original OMB review.</w:t>
      </w:r>
      <w:r w:rsidRPr="00F91BDB">
        <w:t xml:space="preserve"> </w:t>
      </w:r>
      <w:bookmarkEnd w:id="16"/>
    </w:p>
    <w:p w:rsidR="00D024BC" w:rsidRPr="000E2C54" w:rsidP="009F39D0" w14:paraId="424E0A3C" w14:textId="77777777">
      <w:pPr>
        <w:pStyle w:val="ListParagraph"/>
        <w:ind w:left="462"/>
        <w:rPr>
          <w:u w:val="single"/>
        </w:rPr>
      </w:pPr>
    </w:p>
    <w:p w:rsidR="008C5D5D" w:rsidRPr="000E2C54" w:rsidP="00B213CD" w14:paraId="49EE09A2" w14:textId="3A2087A9">
      <w:pPr>
        <w:pStyle w:val="ListParagraph"/>
        <w:numPr>
          <w:ilvl w:val="0"/>
          <w:numId w:val="34"/>
        </w:numPr>
      </w:pPr>
      <w:r w:rsidRPr="000E2C54">
        <w:rPr>
          <w:u w:val="single"/>
        </w:rPr>
        <w:t>Implementation Assessments</w:t>
      </w:r>
      <w:r w:rsidRPr="000E2C54" w:rsidR="00805742">
        <w:rPr>
          <w:u w:val="single"/>
        </w:rPr>
        <w:t>- Team Checkup Tool</w:t>
      </w:r>
      <w:r w:rsidRPr="000E2C54">
        <w:rPr>
          <w:u w:val="single"/>
        </w:rPr>
        <w:t xml:space="preserve">: </w:t>
      </w:r>
      <w:r w:rsidRPr="000E2C54" w:rsidR="00861C7A">
        <w:t xml:space="preserve">The implementation assessments will be conducted to monitor the program’s progress and determine </w:t>
      </w:r>
      <w:r w:rsidRPr="000E2C54" w:rsidR="003E22D5">
        <w:t>what the participating sites have learned through participating in the program.</w:t>
      </w:r>
      <w:r w:rsidRPr="000E2C54" w:rsidR="00805742">
        <w:t xml:space="preserve"> </w:t>
      </w:r>
      <w:r w:rsidRPr="000E2C54">
        <w:t xml:space="preserve">The Team Checkup Tool will be requested monthly, and we anticipate participation from approximately 1 </w:t>
      </w:r>
      <w:r w:rsidRPr="000E2C54" w:rsidR="00DE08CB">
        <w:t xml:space="preserve">frontline </w:t>
      </w:r>
      <w:r w:rsidRPr="000E2C54">
        <w:t xml:space="preserve">staff </w:t>
      </w:r>
      <w:r w:rsidRPr="000E2C54" w:rsidR="00A509C3">
        <w:t>(</w:t>
      </w:r>
      <w:r w:rsidRPr="000E2C54" w:rsidR="00632867">
        <w:t>most commonly a nurse</w:t>
      </w:r>
      <w:r w:rsidRPr="000E2C54" w:rsidR="00AF69B1">
        <w:t xml:space="preserve">) </w:t>
      </w:r>
      <w:r w:rsidRPr="000E2C54">
        <w:t xml:space="preserve">per unit.  The program will use the Team Checkup Tool </w:t>
      </w:r>
      <w:r w:rsidRPr="000E2C54" w:rsidR="005E01C8">
        <w:t>(</w:t>
      </w:r>
      <w:r w:rsidRPr="000E2C54" w:rsidR="00A0693B">
        <w:t>Attachments</w:t>
      </w:r>
      <w:r w:rsidRPr="000E2C54" w:rsidR="00E10878">
        <w:t xml:space="preserve"> </w:t>
      </w:r>
      <w:r w:rsidRPr="000E2C54" w:rsidR="006607D6">
        <w:t>E</w:t>
      </w:r>
      <w:r w:rsidRPr="000E2C54" w:rsidR="00E10878">
        <w:t xml:space="preserve">, </w:t>
      </w:r>
      <w:r w:rsidRPr="000E2C54" w:rsidR="006607D6">
        <w:t>F</w:t>
      </w:r>
      <w:r w:rsidRPr="000E2C54" w:rsidR="00E10878">
        <w:t xml:space="preserve">, </w:t>
      </w:r>
      <w:r w:rsidRPr="000E2C54" w:rsidR="009F3065">
        <w:t>and G</w:t>
      </w:r>
      <w:r w:rsidRPr="000E2C54" w:rsidR="00CB1E2C">
        <w:t>)</w:t>
      </w:r>
      <w:r w:rsidRPr="000E2C54" w:rsidR="00C0383F">
        <w:t xml:space="preserve"> </w:t>
      </w:r>
      <w:r w:rsidRPr="000E2C54">
        <w:t>to monitor key actions of staff. The Tool asks about use of safety guidelines, tools, and resources throughout three different phases: Assessment (1), Planning, Training, and Implementation (2), and Sustainment (3).</w:t>
      </w:r>
      <w:r w:rsidR="00A567E9">
        <w:t xml:space="preserve"> </w:t>
      </w:r>
      <w:r w:rsidRPr="0014252A" w:rsidR="00A567E9">
        <w:rPr>
          <w:highlight w:val="yellow"/>
        </w:rPr>
        <w:t>T</w:t>
      </w:r>
      <w:r w:rsidRPr="00D84A59" w:rsidR="00A567E9">
        <w:rPr>
          <w:highlight w:val="yellow"/>
        </w:rPr>
        <w:t xml:space="preserve">he Team Checkup Tool for the LTC </w:t>
      </w:r>
      <w:r w:rsidRPr="00D84A59" w:rsidR="00617955">
        <w:rPr>
          <w:highlight w:val="yellow"/>
        </w:rPr>
        <w:t xml:space="preserve">and </w:t>
      </w:r>
      <w:r w:rsidRPr="00D84A59" w:rsidR="00652A5B">
        <w:rPr>
          <w:highlight w:val="yellow"/>
        </w:rPr>
        <w:t>S</w:t>
      </w:r>
      <w:r w:rsidRPr="00D84A59" w:rsidR="00617955">
        <w:rPr>
          <w:highlight w:val="yellow"/>
        </w:rPr>
        <w:t xml:space="preserve">urgical </w:t>
      </w:r>
      <w:r w:rsidRPr="00D84A59" w:rsidR="00652A5B">
        <w:rPr>
          <w:highlight w:val="yellow"/>
        </w:rPr>
        <w:t>S</w:t>
      </w:r>
      <w:r w:rsidRPr="00D84A59" w:rsidR="00617955">
        <w:rPr>
          <w:highlight w:val="yellow"/>
        </w:rPr>
        <w:t xml:space="preserve">ervices </w:t>
      </w:r>
      <w:r w:rsidRPr="00D84A59" w:rsidR="00A567E9">
        <w:rPr>
          <w:highlight w:val="yellow"/>
        </w:rPr>
        <w:t>cohort</w:t>
      </w:r>
      <w:r w:rsidRPr="00D84A59" w:rsidR="00617955">
        <w:rPr>
          <w:highlight w:val="yellow"/>
        </w:rPr>
        <w:t>s</w:t>
      </w:r>
      <w:r w:rsidRPr="00D84A59" w:rsidR="00A567E9">
        <w:rPr>
          <w:highlight w:val="yellow"/>
        </w:rPr>
        <w:t xml:space="preserve"> ha</w:t>
      </w:r>
      <w:r w:rsidRPr="00D84A59" w:rsidR="00617955">
        <w:rPr>
          <w:highlight w:val="yellow"/>
        </w:rPr>
        <w:t>ve</w:t>
      </w:r>
      <w:r w:rsidRPr="00D84A59" w:rsidR="00A567E9">
        <w:rPr>
          <w:highlight w:val="yellow"/>
        </w:rPr>
        <w:t xml:space="preserve"> been updated from the version</w:t>
      </w:r>
      <w:r w:rsidRPr="00D84A59" w:rsidR="00617955">
        <w:rPr>
          <w:highlight w:val="yellow"/>
        </w:rPr>
        <w:t>s</w:t>
      </w:r>
      <w:r w:rsidRPr="00D84A59" w:rsidR="00A567E9">
        <w:rPr>
          <w:highlight w:val="yellow"/>
        </w:rPr>
        <w:t xml:space="preserve"> included in the original OMB review.</w:t>
      </w:r>
    </w:p>
    <w:p w:rsidR="00DD7169" w:rsidRPr="000E2C54" w:rsidP="00E007FA" w14:paraId="2B20C2BE" w14:textId="77777777">
      <w:pPr>
        <w:pStyle w:val="ListParagraph"/>
      </w:pPr>
    </w:p>
    <w:p w:rsidR="00DD7169" w:rsidRPr="000E2C54" w:rsidP="00DD7169" w14:paraId="6EB59641" w14:textId="2CE5D52C">
      <w:r w:rsidRPr="000E2C54">
        <w:t xml:space="preserve">The secondary data collection strategy includes use of National Healthcare Safety Network (NHSN) data from hospitals that confer rights to the </w:t>
      </w:r>
      <w:r w:rsidRPr="000E2C54">
        <w:rPr>
          <w:i/>
        </w:rPr>
        <w:t>AHRQ Safety Program for MRSA Prevention</w:t>
      </w:r>
      <w:r w:rsidRPr="000E2C54">
        <w:t xml:space="preserve"> to use their NHSN data for the evaluation. NHSN data will serve as secondary data sources for clinical outcomes in ICU, non-ICU, and surgical services units. </w:t>
      </w:r>
      <w:r w:rsidRPr="000E2C54">
        <w:t>Clinical outcome measures in LTC settings are not available in NHSN.</w:t>
      </w:r>
      <w:r w:rsidR="00A24E16">
        <w:t xml:space="preserve"> </w:t>
      </w:r>
    </w:p>
    <w:p w:rsidR="00DD7169" w:rsidRPr="000E2C54" w:rsidP="00DD7169" w14:paraId="475221BE" w14:textId="77777777"/>
    <w:p w:rsidR="00DD7169" w:rsidRPr="000E2C54" w:rsidP="00DD7169" w14:paraId="34E53FAE" w14:textId="17607D01">
      <w:r w:rsidRPr="000E2C54">
        <w:t>For hospitals that confer NHSN rights to the program for the ICU and non-ICU cohorts, the secondary data will include</w:t>
      </w:r>
      <w:r w:rsidRPr="000E2C54" w:rsidR="0018096A">
        <w:t xml:space="preserve"> the five out of seven clinical outcome measures that are available via NHSN</w:t>
      </w:r>
      <w:r w:rsidRPr="000E2C54">
        <w:t>:</w:t>
      </w:r>
    </w:p>
    <w:p w:rsidR="00DD7169" w:rsidRPr="000E2C54" w:rsidP="00DD7169" w14:paraId="59C8BEE4" w14:textId="77777777">
      <w:pPr>
        <w:pStyle w:val="ListParagraph"/>
        <w:numPr>
          <w:ilvl w:val="0"/>
          <w:numId w:val="53"/>
        </w:numPr>
      </w:pPr>
      <w:r w:rsidRPr="000E2C54">
        <w:t xml:space="preserve">Hospital onset MRSA invasive infection (MRSA bacteremia </w:t>
      </w:r>
      <w:r w:rsidRPr="000E2C54">
        <w:t>LabID</w:t>
      </w:r>
      <w:r w:rsidRPr="000E2C54">
        <w:t xml:space="preserve"> Day 3 or after of admission)</w:t>
      </w:r>
    </w:p>
    <w:p w:rsidR="00992F6D" w:rsidRPr="000E2C54" w:rsidP="00992F6D" w14:paraId="4F45861F" w14:textId="77777777">
      <w:pPr>
        <w:pStyle w:val="ListParagraph"/>
        <w:numPr>
          <w:ilvl w:val="0"/>
          <w:numId w:val="53"/>
        </w:numPr>
      </w:pPr>
      <w:r w:rsidRPr="000E2C54">
        <w:t xml:space="preserve">Community onset MRSA invasive infection (MRSA bacteremia </w:t>
      </w:r>
      <w:r w:rsidRPr="000E2C54">
        <w:t>LabID</w:t>
      </w:r>
      <w:r w:rsidRPr="000E2C54">
        <w:t xml:space="preserve"> prior to Day 3 after admission)</w:t>
      </w:r>
    </w:p>
    <w:p w:rsidR="00DD7169" w:rsidRPr="000E2C54" w:rsidP="00DD7169" w14:paraId="05501204" w14:textId="77777777">
      <w:pPr>
        <w:pStyle w:val="ListParagraph"/>
        <w:numPr>
          <w:ilvl w:val="0"/>
          <w:numId w:val="53"/>
        </w:numPr>
      </w:pPr>
      <w:r w:rsidRPr="000E2C54">
        <w:t>Patient days</w:t>
      </w:r>
    </w:p>
    <w:p w:rsidR="00DD7169" w:rsidRPr="000E2C54" w:rsidP="00DD7169" w14:paraId="6BCFC71E" w14:textId="77777777">
      <w:pPr>
        <w:pStyle w:val="ListParagraph"/>
        <w:numPr>
          <w:ilvl w:val="0"/>
          <w:numId w:val="53"/>
        </w:numPr>
      </w:pPr>
      <w:r w:rsidRPr="000E2C54">
        <w:t>Central Line-Associated Blood Stream Infections with causative organism(s)</w:t>
      </w:r>
    </w:p>
    <w:p w:rsidR="00DD7169" w:rsidRPr="000E2C54" w:rsidP="00DD7169" w14:paraId="1D16B56C" w14:textId="77777777">
      <w:pPr>
        <w:pStyle w:val="ListParagraph"/>
        <w:numPr>
          <w:ilvl w:val="0"/>
          <w:numId w:val="53"/>
        </w:numPr>
      </w:pPr>
      <w:r w:rsidRPr="000E2C54">
        <w:t>Central Line Days</w:t>
      </w:r>
    </w:p>
    <w:p w:rsidR="00DD7169" w:rsidRPr="000E2C54" w:rsidP="00DD7169" w14:paraId="676D2355" w14:textId="77777777"/>
    <w:p w:rsidR="00DD7169" w:rsidRPr="000E2C54" w:rsidP="00DD7169" w14:paraId="60F17009" w14:textId="3A476183">
      <w:r w:rsidRPr="000E2C54">
        <w:t>For hospitals that confer NHSN rights to the program for the surgical services cohort, the secondary data will include</w:t>
      </w:r>
      <w:r w:rsidRPr="000E2C54" w:rsidR="0018096A">
        <w:t xml:space="preserve"> the two clinical outcome measures that are available via NHSN</w:t>
      </w:r>
      <w:r w:rsidRPr="000E2C54">
        <w:t>:</w:t>
      </w:r>
    </w:p>
    <w:p w:rsidR="00DD7169" w:rsidRPr="000E2C54" w:rsidP="00DD7169" w14:paraId="2963E249" w14:textId="77777777">
      <w:pPr>
        <w:pStyle w:val="ListParagraph"/>
        <w:numPr>
          <w:ilvl w:val="0"/>
          <w:numId w:val="54"/>
        </w:numPr>
      </w:pPr>
      <w:r w:rsidRPr="000E2C54">
        <w:t xml:space="preserve">Surgical site infection (SSI) events and causative organisms </w:t>
      </w:r>
    </w:p>
    <w:p w:rsidR="00DD7169" w:rsidRPr="000E2C54" w:rsidP="00E007FA" w14:paraId="35F421D3" w14:textId="6C7AD8BE">
      <w:pPr>
        <w:pStyle w:val="ListParagraph"/>
        <w:numPr>
          <w:ilvl w:val="0"/>
          <w:numId w:val="54"/>
        </w:numPr>
      </w:pPr>
      <w:r w:rsidRPr="000E2C54">
        <w:t xml:space="preserve">Number of surgical procedures performed, by type of surgical procedure </w:t>
      </w:r>
    </w:p>
    <w:p w:rsidR="00E36BE4" w:rsidRPr="000E2C54" w:rsidP="00F91BDB" w14:paraId="5D5A983F" w14:textId="77777777"/>
    <w:p w:rsidR="009B633D" w:rsidRPr="000E2C54" w:rsidP="00C14D37" w14:paraId="0D9FB678" w14:textId="2BC3124D">
      <w:pPr>
        <w:pStyle w:val="Heading2"/>
        <w:rPr>
          <w:sz w:val="24"/>
        </w:rPr>
      </w:pPr>
      <w:bookmarkStart w:id="17" w:name="_Toc151782178"/>
      <w:bookmarkStart w:id="18" w:name="_Toc158526218"/>
      <w:bookmarkStart w:id="19" w:name="_Toc73964940"/>
      <w:bookmarkStart w:id="20" w:name="_Toc73965299"/>
      <w:r w:rsidRPr="000E2C54">
        <w:rPr>
          <w:sz w:val="24"/>
        </w:rPr>
        <w:t>3. Use of Improved Information Technology</w:t>
      </w:r>
      <w:bookmarkEnd w:id="17"/>
      <w:bookmarkEnd w:id="18"/>
      <w:bookmarkEnd w:id="19"/>
      <w:bookmarkEnd w:id="20"/>
    </w:p>
    <w:p w:rsidR="007B1440" w:rsidRPr="000E2C54" w:rsidP="00C14D37" w14:paraId="50E5B0F6" w14:textId="51CF61A8">
      <w:pPr>
        <w:pStyle w:val="BodyText"/>
        <w:spacing w:before="240"/>
      </w:pPr>
      <w:r w:rsidRPr="000E2C54">
        <w:t>In order to</w:t>
      </w:r>
      <w:r w:rsidRPr="000E2C54">
        <w:t xml:space="preserve"> </w:t>
      </w:r>
      <w:r w:rsidRPr="000E2C54" w:rsidR="005D6D09">
        <w:t xml:space="preserve">minimize </w:t>
      </w:r>
      <w:r w:rsidRPr="000E2C54">
        <w:t xml:space="preserve">respondent burden and to permit the electronic submission of </w:t>
      </w:r>
      <w:r w:rsidRPr="000E2C54" w:rsidR="00F30508">
        <w:t>survey responses and data collection forms</w:t>
      </w:r>
      <w:r w:rsidRPr="000E2C54">
        <w:t xml:space="preserve">, </w:t>
      </w:r>
      <w:r w:rsidRPr="000E2C54" w:rsidR="00993488">
        <w:t>the Team</w:t>
      </w:r>
      <w:r w:rsidRPr="000E2C54" w:rsidR="00D53E90">
        <w:t xml:space="preserve"> </w:t>
      </w:r>
      <w:r w:rsidRPr="000E2C54" w:rsidR="003F4C57">
        <w:t>C</w:t>
      </w:r>
      <w:r w:rsidRPr="000E2C54" w:rsidR="00D53E90">
        <w:t>heck</w:t>
      </w:r>
      <w:r w:rsidRPr="000E2C54" w:rsidR="003F4C57">
        <w:t>up tool,</w:t>
      </w:r>
      <w:r w:rsidRPr="000E2C54" w:rsidR="003F7951">
        <w:t xml:space="preserve"> </w:t>
      </w:r>
      <w:r w:rsidRPr="000E2C54" w:rsidR="00950054">
        <w:t>Gap Analysis</w:t>
      </w:r>
      <w:r w:rsidRPr="000E2C54" w:rsidR="005E6BBF">
        <w:t>,</w:t>
      </w:r>
      <w:r w:rsidRPr="000E2C54" w:rsidR="00950054">
        <w:t xml:space="preserve"> </w:t>
      </w:r>
      <w:r w:rsidRPr="000E2C54" w:rsidR="005D6D09">
        <w:t xml:space="preserve">and AHRQ </w:t>
      </w:r>
      <w:r w:rsidRPr="000E2C54" w:rsidR="005D6D09">
        <w:t>Surveys on Patient Safety Culture will be web-based and deployed using a well-designed, low burden, and respondent-friendly survey administration process and instrument</w:t>
      </w:r>
      <w:r w:rsidRPr="000E2C54" w:rsidR="00DA4AE8">
        <w:t>s</w:t>
      </w:r>
      <w:r w:rsidRPr="000E2C54" w:rsidR="005D6D09">
        <w:t xml:space="preserve">. </w:t>
      </w:r>
    </w:p>
    <w:p w:rsidR="003164D8" w:rsidRPr="00345D93" w:rsidP="007B1440" w14:paraId="465EEA55" w14:textId="49F9B127">
      <w:pPr>
        <w:pStyle w:val="BodyText"/>
        <w:spacing w:before="240"/>
        <w:rPr>
          <w:color w:val="1F497D"/>
        </w:rPr>
      </w:pPr>
      <w:r w:rsidRPr="000E2C54">
        <w:t xml:space="preserve">In addition, the </w:t>
      </w:r>
      <w:r w:rsidRPr="000E2C54" w:rsidR="003F7951">
        <w:t xml:space="preserve">clinical outcome change data </w:t>
      </w:r>
      <w:r w:rsidRPr="000E2C54" w:rsidR="009D6625">
        <w:t xml:space="preserve">collected via primary data collection </w:t>
      </w:r>
      <w:r w:rsidRPr="000E2C54">
        <w:t xml:space="preserve">will be extracted by </w:t>
      </w:r>
      <w:r w:rsidRPr="000E2C54" w:rsidR="003F7951">
        <w:t xml:space="preserve">unit or </w:t>
      </w:r>
      <w:r w:rsidRPr="000E2C54">
        <w:t xml:space="preserve">facility staff from their </w:t>
      </w:r>
      <w:r w:rsidRPr="000E2C54" w:rsidR="009D6625">
        <w:t>EHR</w:t>
      </w:r>
      <w:r w:rsidRPr="000E2C54">
        <w:t xml:space="preserve"> systems. </w:t>
      </w:r>
      <w:r w:rsidRPr="000E2C54" w:rsidR="008B7CC6">
        <w:t xml:space="preserve">The </w:t>
      </w:r>
      <w:r w:rsidRPr="000E2C54" w:rsidR="00E06AA8">
        <w:rPr>
          <w:bCs/>
        </w:rPr>
        <w:t xml:space="preserve">EHR </w:t>
      </w:r>
      <w:r w:rsidRPr="000E2C54" w:rsidR="008B7CC6">
        <w:t xml:space="preserve">data requested for this project may </w:t>
      </w:r>
      <w:r w:rsidRPr="00345D93" w:rsidR="008B7CC6">
        <w:t xml:space="preserve">already be collected by hospitals </w:t>
      </w:r>
      <w:r w:rsidRPr="00345D93" w:rsidR="003F7951">
        <w:t xml:space="preserve">and </w:t>
      </w:r>
      <w:r w:rsidRPr="00345D93" w:rsidR="00534AD2">
        <w:t>LTC</w:t>
      </w:r>
      <w:r w:rsidRPr="00345D93" w:rsidR="003F7951">
        <w:t xml:space="preserve"> facilities </w:t>
      </w:r>
      <w:r w:rsidRPr="00345D93" w:rsidR="008B7CC6">
        <w:t xml:space="preserve">as part of their ongoing quality improvement initiatives. </w:t>
      </w:r>
      <w:r w:rsidRPr="00345D93" w:rsidR="002660C6">
        <w:t>R</w:t>
      </w:r>
      <w:r w:rsidRPr="00345D93" w:rsidR="007B1440">
        <w:t xml:space="preserve">espondents will receive access to the online data collection platform and step-by-step instructions on extracting and submitting the EHR data. </w:t>
      </w:r>
      <w:r w:rsidRPr="00345D93" w:rsidR="00287B69">
        <w:t>L</w:t>
      </w:r>
      <w:r w:rsidRPr="00345D93" w:rsidR="00534AD2">
        <w:t>TC</w:t>
      </w:r>
      <w:r w:rsidRPr="00345D93" w:rsidR="00287B69">
        <w:t xml:space="preserve"> settings and hospitals that do not have strong enough internet access to upload files will be offered a </w:t>
      </w:r>
      <w:r w:rsidRPr="00345D93" w:rsidR="00287B69">
        <w:rPr>
          <w:bCs/>
        </w:rPr>
        <w:t>fax option</w:t>
      </w:r>
      <w:r w:rsidRPr="00345D93" w:rsidR="00287B69">
        <w:t xml:space="preserve"> to provide their data</w:t>
      </w:r>
      <w:r w:rsidRPr="00345D93" w:rsidR="00287B69">
        <w:rPr>
          <w:color w:val="1F497D"/>
        </w:rPr>
        <w:t>.</w:t>
      </w:r>
      <w:r w:rsidRPr="00345D93">
        <w:rPr>
          <w:color w:val="1F497D"/>
        </w:rPr>
        <w:t xml:space="preserve"> </w:t>
      </w:r>
      <w:r w:rsidRPr="002B2D7D" w:rsidR="002B2D7D">
        <w:t>We estimate approximately 30% of participating LTC facilities will use the fax option. We designed our recruitment approach so any LTC facility, regardless of IT infrastructure, will have the opportunity to participate. The program team will ensure that LTCs have different ways to provide data and ensure that the data collection instruments are designed to minimize burden on sites. Our multi-pronged recruitment strategy ensures we reach a wide range of facilities, including those with limited IT resources. The program anticipates reaching nursing homes via webinars, listservs, and conferences. In addition, we will collaborate closely with groups that work with nursing homes including industry associations.</w:t>
      </w:r>
    </w:p>
    <w:p w:rsidR="007B1440" w:rsidRPr="00345D93" w:rsidP="007B1440" w14:paraId="47ABEA5C" w14:textId="33470DA4">
      <w:pPr>
        <w:pStyle w:val="BodyText"/>
        <w:spacing w:before="240"/>
      </w:pPr>
      <w:r w:rsidRPr="00345D93">
        <w:t>NHSN is the domestic tracking and response system from the Centers of Disease Control and Prevention (CDC) to identify emerging and enduring threats across healthcare, including healthcare-associated infections (HAIs) and antibiotic-resistant infections.</w:t>
      </w:r>
      <w:r w:rsidRPr="00345D93" w:rsidR="00AF1AEE">
        <w:rPr>
          <w:color w:val="1F497D"/>
        </w:rPr>
        <w:t xml:space="preserve">  </w:t>
      </w:r>
      <w:r w:rsidRPr="00345D93" w:rsidR="00AF1AEE">
        <w:t xml:space="preserve">Healthcare facilities participate in </w:t>
      </w:r>
      <w:r w:rsidRPr="00345D93">
        <w:t>HAIs</w:t>
      </w:r>
      <w:r w:rsidRPr="00345D93" w:rsidR="00AF1AEE">
        <w:t xml:space="preserve"> surveillance via NHSN to monitor HAIs and the impact of their own prevention efforts; benchmark facility performance against risk-adjusted national data; and fulfill state-mandated reporting requirements or comply with the Centers for Medicare and Medicaid (CMS) Hospital Inpatient Quality Reporting Program requirements.</w:t>
      </w:r>
      <w:r w:rsidRPr="00345D93">
        <w:t xml:space="preserve"> </w:t>
      </w:r>
      <w:r w:rsidRPr="00345D93">
        <w:t>In order to</w:t>
      </w:r>
      <w:r w:rsidRPr="00345D93">
        <w:t xml:space="preserve"> utilize NHSN data, participating hospitals w</w:t>
      </w:r>
      <w:r w:rsidRPr="00345D93" w:rsidR="001E747B">
        <w:t>ould</w:t>
      </w:r>
      <w:r w:rsidRPr="00345D93">
        <w:t xml:space="preserve"> need to confer rights to their NHSN data to the </w:t>
      </w:r>
      <w:r w:rsidRPr="00345D93">
        <w:rPr>
          <w:i/>
        </w:rPr>
        <w:t>AHRQ Safety Program for MRSA Prevention</w:t>
      </w:r>
      <w:r w:rsidRPr="00345D93">
        <w:t>.  Any entity, such as hospital systems, state health departments, and quality improvement organizations, can maintain a Group in NHSN. Th</w:t>
      </w:r>
      <w:r w:rsidRPr="00345D93" w:rsidR="0030510E">
        <w:t xml:space="preserve">ese entities, such as hospitals, </w:t>
      </w:r>
      <w:r w:rsidRPr="00345D93">
        <w:t xml:space="preserve">can share data with partners and agencies, such as the </w:t>
      </w:r>
      <w:r w:rsidRPr="00345D93">
        <w:rPr>
          <w:i/>
        </w:rPr>
        <w:t>AHRQ Safety Program for MRSA Prevention</w:t>
      </w:r>
      <w:r w:rsidRPr="00345D93">
        <w:rPr>
          <w:b/>
        </w:rPr>
        <w:t>,</w:t>
      </w:r>
      <w:r w:rsidRPr="00345D93">
        <w:t xml:space="preserve"> using NHSN’s Group function.</w:t>
      </w:r>
      <w:r w:rsidRPr="00345D93" w:rsidR="0030510E">
        <w:t xml:space="preserve"> The</w:t>
      </w:r>
      <w:r w:rsidRPr="00345D93">
        <w:t xml:space="preserve"> hospitals can join Groups and provide access to data requested by the Group within the NHSN application.  Groups are responsible for creating a Confer Rights Template of data they are requesting from facilities; the template is automatically sent to the Group’s member facilities upon completion.</w:t>
      </w:r>
      <w:r w:rsidRPr="00345D93" w:rsidR="0030510E">
        <w:t xml:space="preserve">  </w:t>
      </w:r>
      <w:r w:rsidRPr="00345D93" w:rsidR="00AF1AEE">
        <w:t xml:space="preserve">After facilities confer rights and join the MRSA Prevention Program group in NHSN, they will not need to take any further action. The data they submit to NHSN will automatically become available to the MRSA program team </w:t>
      </w:r>
      <w:r w:rsidRPr="00345D93" w:rsidR="00C305C6">
        <w:t>f</w:t>
      </w:r>
      <w:r w:rsidRPr="00345D93" w:rsidR="00AF1AEE">
        <w:t>or analysis.</w:t>
      </w:r>
    </w:p>
    <w:p w:rsidR="009D6625" w:rsidRPr="00345D93" w:rsidP="007B1440" w14:paraId="4E600C4D" w14:textId="77777777">
      <w:pPr>
        <w:pStyle w:val="BodyText"/>
        <w:spacing w:before="240"/>
        <w:rPr>
          <w:color w:val="1F497D"/>
        </w:rPr>
      </w:pPr>
    </w:p>
    <w:p w:rsidR="00D5448A" w:rsidRPr="00345D93" w:rsidP="00A46BD2" w14:paraId="235794C4" w14:textId="4B4A7657">
      <w:pPr>
        <w:rPr>
          <w:b/>
        </w:rPr>
      </w:pPr>
      <w:bookmarkStart w:id="21" w:name="_Toc151782179"/>
      <w:bookmarkStart w:id="22" w:name="_Toc158526219"/>
      <w:r w:rsidRPr="00345D93">
        <w:rPr>
          <w:b/>
        </w:rPr>
        <w:t>4. Efforts to Identify Duplication</w:t>
      </w:r>
      <w:bookmarkEnd w:id="21"/>
      <w:bookmarkEnd w:id="22"/>
    </w:p>
    <w:p w:rsidR="00D5448A" w:rsidRPr="00345D93" w:rsidP="00A46BD2" w14:paraId="02AAC545" w14:textId="77777777"/>
    <w:p w:rsidR="00B51423" w:rsidRPr="00345D93" w:rsidP="00A46BD2" w14:paraId="130D9827" w14:textId="6E67E8B7">
      <w:r w:rsidRPr="00345D93">
        <w:t>Pro</w:t>
      </w:r>
      <w:r w:rsidRPr="00345D93">
        <w:t>gram</w:t>
      </w:r>
      <w:r w:rsidRPr="00345D93">
        <w:t xml:space="preserve"> </w:t>
      </w:r>
      <w:r w:rsidRPr="00345D93">
        <w:t>d</w:t>
      </w:r>
      <w:r w:rsidRPr="00345D93">
        <w:t>up</w:t>
      </w:r>
      <w:r w:rsidRPr="00345D93">
        <w:t>lication:</w:t>
      </w:r>
    </w:p>
    <w:p w:rsidR="00A46BD2" w:rsidRPr="00345D93" w:rsidP="00B213CD" w14:paraId="1969E234" w14:textId="3B6DF221">
      <w:r w:rsidRPr="00345D93">
        <w:t xml:space="preserve">The project team is aware of two initiatives that are focusing on a </w:t>
      </w:r>
      <w:r w:rsidRPr="00345D93" w:rsidR="00D5448A">
        <w:t xml:space="preserve">potentially </w:t>
      </w:r>
      <w:r w:rsidRPr="00345D93">
        <w:t xml:space="preserve">similar topic as the </w:t>
      </w:r>
      <w:r w:rsidRPr="00345D93">
        <w:rPr>
          <w:i/>
        </w:rPr>
        <w:t>AHRQ Safety Program for MRSA Prevention</w:t>
      </w:r>
      <w:r w:rsidRPr="00345D93">
        <w:t>.</w:t>
      </w:r>
      <w:r w:rsidRPr="00345D93" w:rsidR="003D3DA6">
        <w:t xml:space="preserve"> </w:t>
      </w:r>
    </w:p>
    <w:p w:rsidR="00A46BD2" w:rsidRPr="00345D93" w:rsidP="00B213CD" w14:paraId="713947F2" w14:textId="5084912B">
      <w:pPr>
        <w:pStyle w:val="NormalWeb"/>
        <w:numPr>
          <w:ilvl w:val="0"/>
          <w:numId w:val="51"/>
        </w:numPr>
        <w:spacing w:before="0" w:beforeAutospacing="0" w:after="0" w:afterAutospacing="0"/>
      </w:pPr>
      <w:r w:rsidRPr="00345D93">
        <w:t xml:space="preserve">The CMS Hospital Quality Improvement Contractor Initiative – the initiative’s intent is to provide targeted quality improvement assistance to rural and critical </w:t>
      </w:r>
      <w:r w:rsidRPr="00345D93">
        <w:t xml:space="preserve">access hospitals, as well as hospitals serving vulnerable and underserved populations to achieve measurable outcomes with a focus on patient safety, care transitions and opioids. The initiative also provides support to hospitals during public health emergencies, epidemics, </w:t>
      </w:r>
      <w:r w:rsidRPr="00345D93">
        <w:t>pandemics</w:t>
      </w:r>
      <w:r w:rsidRPr="00345D93">
        <w:t xml:space="preserve"> and other crises as they arise. The HQIC initiative will focus on three CMS goals, which align with the CMS Rural Health Strategy: Goal 1: Improve behavioral health outcomes, with a focus on decreased opioid misuse Goal 2: Increase patient safety, with a focus on reduction of harm Goal 3: Increase the </w:t>
      </w:r>
      <w:r w:rsidRPr="00345D93">
        <w:t>quality of care</w:t>
      </w:r>
      <w:r w:rsidRPr="00345D93">
        <w:t xml:space="preserve"> transitions, with a focus on high utilizers in an effort to improve overall utilization. Goal 2, as part of harm reduction, may include a metric related to MRSA as it will include reduction of hospital acquired infections.</w:t>
      </w:r>
    </w:p>
    <w:p w:rsidR="00A46BD2" w:rsidRPr="00345D93" w:rsidP="00A46BD2" w14:paraId="3D89F438" w14:textId="77777777">
      <w:pPr>
        <w:pStyle w:val="NormalWeb"/>
        <w:spacing w:before="0" w:beforeAutospacing="0" w:after="0" w:afterAutospacing="0"/>
      </w:pPr>
      <w:r w:rsidRPr="00345D93">
        <w:t> </w:t>
      </w:r>
    </w:p>
    <w:p w:rsidR="00A46BD2" w:rsidRPr="00345D93" w:rsidP="003D3DA6" w14:paraId="706AD1FF" w14:textId="131267CD">
      <w:pPr>
        <w:pStyle w:val="NormalWeb"/>
        <w:numPr>
          <w:ilvl w:val="0"/>
          <w:numId w:val="51"/>
        </w:numPr>
        <w:spacing w:before="0" w:beforeAutospacing="0" w:after="0" w:afterAutospacing="0"/>
      </w:pPr>
      <w:r w:rsidRPr="00345D93">
        <w:t>Similar to</w:t>
      </w:r>
      <w:r w:rsidRPr="00345D93">
        <w:t xml:space="preserve"> the hospital quality improvement contractor</w:t>
      </w:r>
      <w:r w:rsidRPr="00345D93" w:rsidR="00831C7F">
        <w:t>’</w:t>
      </w:r>
      <w:r w:rsidRPr="00345D93">
        <w:t>s initiative, </w:t>
      </w:r>
      <w:r w:rsidRPr="00345D93">
        <w:rPr>
          <w:color w:val="000000"/>
          <w:shd w:val="clear" w:color="auto" w:fill="FFFFFF"/>
        </w:rPr>
        <w:t xml:space="preserve">QIN-QIOs serving under the 12th Statement of Work will provide targeted assistance to nursing homes and communities in small and rural practices, those serving the most vulnerable populations, and those in need of customized quality improvement. The work with nursing homes will also include the goal for reduction in </w:t>
      </w:r>
      <w:r w:rsidRPr="00345D93">
        <w:rPr>
          <w:color w:val="000000"/>
          <w:shd w:val="clear" w:color="auto" w:fill="FFFFFF"/>
        </w:rPr>
        <w:t>harm, and</w:t>
      </w:r>
      <w:r w:rsidRPr="00345D93">
        <w:rPr>
          <w:color w:val="000000"/>
          <w:shd w:val="clear" w:color="auto" w:fill="FFFFFF"/>
        </w:rPr>
        <w:t xml:space="preserve"> includes efforts to reduce healthcare acquired infections. This may include tracking admissions from the hospital for patients with hospital acquired MRSA.</w:t>
      </w:r>
    </w:p>
    <w:p w:rsidR="003D3DA6" w:rsidRPr="00345D93" w:rsidP="003D3DA6" w14:paraId="64AF3813" w14:textId="5DFEB2AE">
      <w:pPr>
        <w:pStyle w:val="NormalWeb"/>
        <w:spacing w:before="0" w:beforeAutospacing="0" w:after="0" w:afterAutospacing="0"/>
        <w:ind w:left="720"/>
      </w:pPr>
    </w:p>
    <w:p w:rsidR="003D3DA6" w:rsidRPr="00345D93" w:rsidP="00316B9E" w14:paraId="0F199E19" w14:textId="676DBA66">
      <w:pPr>
        <w:pStyle w:val="NormalWeb"/>
        <w:spacing w:before="0" w:beforeAutospacing="0" w:after="0" w:afterAutospacing="0"/>
      </w:pPr>
      <w:r w:rsidRPr="00345D93">
        <w:t>Avoidance of d</w:t>
      </w:r>
      <w:r w:rsidRPr="00345D93" w:rsidR="00316B9E">
        <w:t>uplication on a data collection level:</w:t>
      </w:r>
    </w:p>
    <w:p w:rsidR="00636665" w:rsidRPr="00345D93" w:rsidP="004F078C" w14:paraId="7A3CBCAE" w14:textId="3C3962D0">
      <w:pPr>
        <w:pStyle w:val="ListParagraph"/>
        <w:numPr>
          <w:ilvl w:val="0"/>
          <w:numId w:val="48"/>
        </w:numPr>
        <w:spacing w:before="240" w:after="160"/>
        <w:rPr>
          <w:rFonts w:eastAsia="Calibri"/>
        </w:rPr>
      </w:pPr>
      <w:r w:rsidRPr="00345D93">
        <w:rPr>
          <w:rFonts w:eastAsia="Calibri"/>
        </w:rPr>
        <w:t xml:space="preserve">Unit </w:t>
      </w:r>
      <w:r w:rsidRPr="00345D93" w:rsidR="003F6B2F">
        <w:rPr>
          <w:rFonts w:eastAsia="Calibri"/>
        </w:rPr>
        <w:t>-level clinical outcome change data</w:t>
      </w:r>
      <w:r w:rsidRPr="00345D93" w:rsidR="009D0E33">
        <w:rPr>
          <w:rFonts w:eastAsia="Calibri"/>
        </w:rPr>
        <w:t>: Th</w:t>
      </w:r>
      <w:r w:rsidRPr="00345D93" w:rsidR="00C546F5">
        <w:rPr>
          <w:rFonts w:eastAsia="Calibri"/>
        </w:rPr>
        <w:t>ese</w:t>
      </w:r>
      <w:r w:rsidRPr="00345D93" w:rsidR="009D0E33">
        <w:rPr>
          <w:rFonts w:eastAsia="Calibri"/>
        </w:rPr>
        <w:t xml:space="preserve"> data </w:t>
      </w:r>
      <w:r w:rsidRPr="00345D93" w:rsidR="00C546F5">
        <w:rPr>
          <w:rFonts w:eastAsia="Calibri"/>
        </w:rPr>
        <w:t>are</w:t>
      </w:r>
      <w:r w:rsidRPr="00345D93" w:rsidR="009D0E33">
        <w:rPr>
          <w:rFonts w:eastAsia="Calibri"/>
        </w:rPr>
        <w:t xml:space="preserve"> </w:t>
      </w:r>
      <w:r w:rsidRPr="00345D93" w:rsidR="00FE75E3">
        <w:rPr>
          <w:rFonts w:eastAsia="Calibri"/>
        </w:rPr>
        <w:t xml:space="preserve">already </w:t>
      </w:r>
      <w:r w:rsidRPr="00345D93" w:rsidR="00D60D88">
        <w:rPr>
          <w:rFonts w:eastAsia="Calibri"/>
        </w:rPr>
        <w:t xml:space="preserve">collected as part of the </w:t>
      </w:r>
      <w:r w:rsidRPr="00345D93" w:rsidR="00D42D18">
        <w:rPr>
          <w:rFonts w:eastAsia="Calibri"/>
        </w:rPr>
        <w:t xml:space="preserve">required </w:t>
      </w:r>
      <w:r w:rsidRPr="00345D93" w:rsidR="00D60D88">
        <w:rPr>
          <w:rFonts w:eastAsia="Calibri"/>
        </w:rPr>
        <w:t xml:space="preserve">infection control efforts at the </w:t>
      </w:r>
      <w:r w:rsidRPr="00345D93" w:rsidR="00FF7B52">
        <w:rPr>
          <w:rFonts w:eastAsia="Calibri"/>
        </w:rPr>
        <w:t>hospitals</w:t>
      </w:r>
      <w:r w:rsidRPr="00345D93" w:rsidR="009D6625">
        <w:rPr>
          <w:rFonts w:eastAsia="Calibri"/>
        </w:rPr>
        <w:t xml:space="preserve"> and LTC</w:t>
      </w:r>
      <w:r w:rsidRPr="00345D93" w:rsidR="00FF7B52">
        <w:rPr>
          <w:rFonts w:eastAsia="Calibri"/>
        </w:rPr>
        <w:t xml:space="preserve"> </w:t>
      </w:r>
      <w:r w:rsidRPr="00345D93" w:rsidR="00D60D88">
        <w:rPr>
          <w:rFonts w:eastAsia="Calibri"/>
        </w:rPr>
        <w:t>facilit</w:t>
      </w:r>
      <w:r w:rsidRPr="00345D93" w:rsidR="00D42D18">
        <w:rPr>
          <w:rFonts w:eastAsia="Calibri"/>
        </w:rPr>
        <w:t>ies</w:t>
      </w:r>
      <w:r w:rsidRPr="00345D93" w:rsidR="00D60D88">
        <w:rPr>
          <w:rFonts w:eastAsia="Calibri"/>
        </w:rPr>
        <w:t>.</w:t>
      </w:r>
      <w:r w:rsidRPr="00345D93" w:rsidR="009924BC">
        <w:rPr>
          <w:rFonts w:eastAsia="Calibri"/>
        </w:rPr>
        <w:t xml:space="preserve"> </w:t>
      </w:r>
      <w:r w:rsidRPr="00345D93" w:rsidR="00973909">
        <w:rPr>
          <w:rFonts w:eastAsia="Calibri"/>
        </w:rPr>
        <w:t>The</w:t>
      </w:r>
      <w:r w:rsidR="00D27C2D">
        <w:rPr>
          <w:rFonts w:eastAsia="Calibri"/>
        </w:rPr>
        <w:t xml:space="preserve"> </w:t>
      </w:r>
      <w:r w:rsidRPr="0014252A" w:rsidR="00D27C2D">
        <w:rPr>
          <w:rFonts w:eastAsia="Calibri"/>
          <w:highlight w:val="yellow"/>
        </w:rPr>
        <w:t>majority of</w:t>
      </w:r>
      <w:r w:rsidRPr="0014252A" w:rsidR="00D27C2D">
        <w:rPr>
          <w:rFonts w:eastAsia="Calibri"/>
          <w:highlight w:val="yellow"/>
        </w:rPr>
        <w:t xml:space="preserve"> the</w:t>
      </w:r>
      <w:r w:rsidRPr="00345D93" w:rsidR="00973909">
        <w:rPr>
          <w:rFonts w:eastAsia="Calibri"/>
        </w:rPr>
        <w:t xml:space="preserve"> ICU/non-ICU and</w:t>
      </w:r>
      <w:r w:rsidRPr="0061116F" w:rsidR="00973909">
        <w:rPr>
          <w:rFonts w:eastAsia="Calibri"/>
        </w:rPr>
        <w:t xml:space="preserve"> </w:t>
      </w:r>
      <w:r w:rsidRPr="0014252A" w:rsidR="00E42A5F">
        <w:rPr>
          <w:rFonts w:eastAsia="Calibri"/>
          <w:highlight w:val="yellow"/>
        </w:rPr>
        <w:t>roughly half of</w:t>
      </w:r>
      <w:r w:rsidRPr="00345D93" w:rsidR="00973909">
        <w:rPr>
          <w:rFonts w:eastAsia="Calibri"/>
        </w:rPr>
        <w:t xml:space="preserve"> Surgical Services data </w:t>
      </w:r>
      <w:r w:rsidRPr="00345D93" w:rsidR="00C546F5">
        <w:rPr>
          <w:rFonts w:eastAsia="Calibri"/>
        </w:rPr>
        <w:t>are</w:t>
      </w:r>
      <w:r w:rsidRPr="00345D93" w:rsidR="00973909">
        <w:rPr>
          <w:rFonts w:eastAsia="Calibri"/>
        </w:rPr>
        <w:t xml:space="preserve"> </w:t>
      </w:r>
      <w:r w:rsidRPr="00345D93" w:rsidR="00B91641">
        <w:rPr>
          <w:rFonts w:eastAsia="Calibri"/>
        </w:rPr>
        <w:t xml:space="preserve">then </w:t>
      </w:r>
      <w:r w:rsidRPr="00345D93" w:rsidR="00973909">
        <w:rPr>
          <w:rFonts w:eastAsia="Calibri"/>
        </w:rPr>
        <w:t>submitted to NHSN</w:t>
      </w:r>
      <w:r w:rsidRPr="00345D93" w:rsidR="00B91641">
        <w:rPr>
          <w:rFonts w:eastAsia="Calibri"/>
        </w:rPr>
        <w:t xml:space="preserve">. </w:t>
      </w:r>
      <w:r w:rsidRPr="00345D93" w:rsidR="00A57106">
        <w:rPr>
          <w:rFonts w:eastAsia="Calibri"/>
        </w:rPr>
        <w:t xml:space="preserve"> </w:t>
      </w:r>
      <w:r w:rsidRPr="00345D93" w:rsidR="00412837">
        <w:rPr>
          <w:rFonts w:eastAsia="Calibri"/>
        </w:rPr>
        <w:t xml:space="preserve">The </w:t>
      </w:r>
      <w:r w:rsidRPr="00345D93" w:rsidR="00412837">
        <w:rPr>
          <w:rFonts w:eastAsia="Calibri"/>
          <w:i/>
        </w:rPr>
        <w:t xml:space="preserve">AHRQ Safety Program for MRSA Prevention </w:t>
      </w:r>
      <w:r w:rsidRPr="00345D93" w:rsidR="00412837">
        <w:rPr>
          <w:rFonts w:eastAsia="Calibri"/>
        </w:rPr>
        <w:t xml:space="preserve">will </w:t>
      </w:r>
      <w:r w:rsidRPr="00345D93" w:rsidR="00FE75E3">
        <w:rPr>
          <w:rFonts w:eastAsia="Calibri"/>
        </w:rPr>
        <w:t xml:space="preserve">also </w:t>
      </w:r>
      <w:r w:rsidRPr="00345D93" w:rsidR="00412837">
        <w:rPr>
          <w:rFonts w:eastAsia="Calibri"/>
        </w:rPr>
        <w:t xml:space="preserve">offer the opportunity for participating hospitals to confer NHSN rights to the Program </w:t>
      </w:r>
      <w:r w:rsidRPr="00345D93" w:rsidR="00412837">
        <w:rPr>
          <w:rFonts w:eastAsia="Calibri"/>
        </w:rPr>
        <w:t>in order to</w:t>
      </w:r>
      <w:r w:rsidRPr="00345D93" w:rsidR="00FE75E3">
        <w:rPr>
          <w:rFonts w:eastAsia="Calibri"/>
        </w:rPr>
        <w:t xml:space="preserve"> further</w:t>
      </w:r>
      <w:r w:rsidRPr="00345D93" w:rsidR="00412837">
        <w:rPr>
          <w:rFonts w:eastAsia="Calibri"/>
        </w:rPr>
        <w:t xml:space="preserve"> reduce data collection burden.  </w:t>
      </w:r>
      <w:r w:rsidRPr="00345D93" w:rsidR="00A57106">
        <w:t>In order to</w:t>
      </w:r>
      <w:r w:rsidRPr="00345D93" w:rsidR="00A57106">
        <w:t xml:space="preserve"> utilize NHSN data for those measures available, participating hospita</w:t>
      </w:r>
      <w:r w:rsidRPr="00345D93" w:rsidR="00660689">
        <w:t>l</w:t>
      </w:r>
      <w:r w:rsidRPr="00345D93" w:rsidR="001B06EA">
        <w:t>s w</w:t>
      </w:r>
      <w:r w:rsidRPr="00345D93" w:rsidR="0018096A">
        <w:t>ould</w:t>
      </w:r>
      <w:r w:rsidRPr="00345D93" w:rsidR="001B06EA">
        <w:t xml:space="preserve"> need to confer rights for</w:t>
      </w:r>
      <w:r w:rsidRPr="00345D93" w:rsidR="00660689">
        <w:t xml:space="preserve"> the </w:t>
      </w:r>
      <w:r w:rsidRPr="00345D93" w:rsidR="00660689">
        <w:rPr>
          <w:i/>
        </w:rPr>
        <w:t>AHRQ Safety Program for MRSA Prevention</w:t>
      </w:r>
      <w:r w:rsidRPr="00345D93" w:rsidR="00912F19">
        <w:t xml:space="preserve"> </w:t>
      </w:r>
      <w:r w:rsidRPr="00345D93" w:rsidR="00660689">
        <w:t xml:space="preserve">to </w:t>
      </w:r>
      <w:r w:rsidRPr="00345D93" w:rsidR="009D6625">
        <w:t>use</w:t>
      </w:r>
      <w:r w:rsidRPr="00345D93" w:rsidR="00A57106">
        <w:t xml:space="preserve"> their NHSN data</w:t>
      </w:r>
      <w:r w:rsidRPr="00345D93" w:rsidR="00660689">
        <w:t xml:space="preserve"> for the evaluation.</w:t>
      </w:r>
      <w:r w:rsidRPr="00345D93" w:rsidR="00A57106">
        <w:t xml:space="preserve">  </w:t>
      </w:r>
      <w:r w:rsidRPr="00345D93" w:rsidR="001B06EA">
        <w:t>In ICU and non-ICU settings, five of the seven clinical o</w:t>
      </w:r>
      <w:r w:rsidRPr="00345D93" w:rsidR="00D829BE">
        <w:t>utcome measures are available via</w:t>
      </w:r>
      <w:r w:rsidRPr="00345D93" w:rsidR="001B06EA">
        <w:t xml:space="preserve"> NHSN. I</w:t>
      </w:r>
      <w:r w:rsidRPr="00345D93" w:rsidR="00D829BE">
        <w:t xml:space="preserve">n surgical settings, </w:t>
      </w:r>
      <w:r w:rsidRPr="0014252A" w:rsidR="00D27C2D">
        <w:rPr>
          <w:highlight w:val="yellow"/>
        </w:rPr>
        <w:t>two</w:t>
      </w:r>
      <w:r w:rsidRPr="00345D93" w:rsidR="00D829BE">
        <w:t xml:space="preserve"> </w:t>
      </w:r>
      <w:r w:rsidRPr="00345D93" w:rsidR="001B06EA">
        <w:t xml:space="preserve">clinical outcome measures are available via NHSN. For hospitals that confer rights, the program will be able to access this data via NHSN and will not need to request this data from unit-level EHR extracts. </w:t>
      </w:r>
      <w:r w:rsidRPr="0014252A" w:rsidR="00D27C2D">
        <w:rPr>
          <w:highlight w:val="yellow"/>
        </w:rPr>
        <w:t>For Surgical Services,</w:t>
      </w:r>
      <w:r w:rsidRPr="0014252A" w:rsidR="004745D0">
        <w:rPr>
          <w:highlight w:val="yellow"/>
        </w:rPr>
        <w:t xml:space="preserve"> </w:t>
      </w:r>
      <w:r w:rsidRPr="00D84A59" w:rsidR="004745D0">
        <w:rPr>
          <w:highlight w:val="yellow"/>
        </w:rPr>
        <w:t>hospitals with cardiac surgery teams enrolled in the program will also be asked to provide data elements that are regularly collected and submitted to STS.</w:t>
      </w:r>
      <w:r w:rsidRPr="0014252A" w:rsidR="004745D0">
        <w:rPr>
          <w:highlight w:val="yellow"/>
        </w:rPr>
        <w:t xml:space="preserve"> Similarly, for the LTC cohort, facilities will be asked to provide </w:t>
      </w:r>
      <w:r w:rsidRPr="00D84A59" w:rsidR="004745D0">
        <w:rPr>
          <w:highlight w:val="yellow"/>
        </w:rPr>
        <w:t xml:space="preserve">MDS </w:t>
      </w:r>
      <w:r w:rsidRPr="0014252A" w:rsidR="004745D0">
        <w:rPr>
          <w:highlight w:val="yellow"/>
        </w:rPr>
        <w:t xml:space="preserve">data elements </w:t>
      </w:r>
      <w:r w:rsidRPr="00D84A59" w:rsidR="004745D0">
        <w:rPr>
          <w:highlight w:val="yellow"/>
        </w:rPr>
        <w:t xml:space="preserve">that </w:t>
      </w:r>
      <w:r w:rsidRPr="0014252A" w:rsidR="004745D0">
        <w:rPr>
          <w:highlight w:val="yellow"/>
        </w:rPr>
        <w:t>are regularly collected and submitted to CMS.</w:t>
      </w:r>
      <w:r w:rsidRPr="0014252A" w:rsidR="001B06EA">
        <w:rPr>
          <w:highlight w:val="yellow"/>
        </w:rPr>
        <w:t xml:space="preserve"> </w:t>
      </w:r>
      <w:r w:rsidRPr="00345D93" w:rsidR="002129FB">
        <w:rPr>
          <w:rFonts w:eastAsia="Calibri"/>
        </w:rPr>
        <w:t xml:space="preserve">The information is </w:t>
      </w:r>
      <w:r w:rsidRPr="00345D93" w:rsidR="00937FDA">
        <w:rPr>
          <w:rFonts w:eastAsia="Calibri"/>
        </w:rPr>
        <w:t xml:space="preserve">therefore </w:t>
      </w:r>
      <w:r w:rsidRPr="00345D93" w:rsidR="002129FB">
        <w:rPr>
          <w:rFonts w:eastAsia="Calibri"/>
        </w:rPr>
        <w:t>already available for entry into the project’s data portal.</w:t>
      </w:r>
      <w:r w:rsidRPr="00345D93" w:rsidR="00412837">
        <w:rPr>
          <w:rFonts w:eastAsia="Calibri"/>
        </w:rPr>
        <w:t xml:space="preserve"> </w:t>
      </w:r>
    </w:p>
    <w:p w:rsidR="00C62B27" w:rsidRPr="00345D93" w:rsidP="004F078C" w14:paraId="63E57FC0" w14:textId="60F78C22">
      <w:pPr>
        <w:pStyle w:val="ListParagraph"/>
        <w:numPr>
          <w:ilvl w:val="0"/>
          <w:numId w:val="48"/>
        </w:numPr>
        <w:spacing w:before="240" w:after="160"/>
        <w:rPr>
          <w:rFonts w:eastAsia="Calibri"/>
        </w:rPr>
      </w:pPr>
      <w:r w:rsidRPr="00345D93">
        <w:rPr>
          <w:rFonts w:eastAsia="Calibri"/>
        </w:rPr>
        <w:t>Survey of Patient Safety</w:t>
      </w:r>
      <w:r w:rsidRPr="00345D93" w:rsidR="0079350B">
        <w:rPr>
          <w:rFonts w:eastAsia="Calibri"/>
        </w:rPr>
        <w:t xml:space="preserve"> (SOPS)</w:t>
      </w:r>
      <w:r w:rsidRPr="00345D93">
        <w:rPr>
          <w:rFonts w:eastAsia="Calibri"/>
        </w:rPr>
        <w:t xml:space="preserve">: </w:t>
      </w:r>
      <w:r w:rsidRPr="00345D93" w:rsidR="0088171C">
        <w:rPr>
          <w:rFonts w:eastAsia="Calibri"/>
        </w:rPr>
        <w:t xml:space="preserve">We will be collecting original data from most sites. Some sites may already use </w:t>
      </w:r>
      <w:r w:rsidRPr="00345D93" w:rsidR="00346FCE">
        <w:rPr>
          <w:rFonts w:eastAsia="Calibri"/>
        </w:rPr>
        <w:t xml:space="preserve">SOPS as part of meeting their CMS requirements. </w:t>
      </w:r>
      <w:r w:rsidRPr="00345D93" w:rsidR="00167AFB">
        <w:rPr>
          <w:rFonts w:eastAsia="Calibri"/>
        </w:rPr>
        <w:t xml:space="preserve">In those cases, </w:t>
      </w:r>
      <w:r w:rsidRPr="00345D93">
        <w:rPr>
          <w:rFonts w:eastAsia="Calibri"/>
        </w:rPr>
        <w:t>the sites will share the data they have already collected.</w:t>
      </w:r>
    </w:p>
    <w:p w:rsidR="00F1324D" w:rsidRPr="00345D93" w:rsidP="004F078C" w14:paraId="482E345D" w14:textId="4354BF68">
      <w:pPr>
        <w:pStyle w:val="ListParagraph"/>
        <w:numPr>
          <w:ilvl w:val="0"/>
          <w:numId w:val="48"/>
        </w:numPr>
        <w:spacing w:before="240" w:after="160"/>
        <w:rPr>
          <w:rFonts w:eastAsia="Calibri"/>
        </w:rPr>
      </w:pPr>
      <w:r w:rsidRPr="00345D93">
        <w:rPr>
          <w:rFonts w:eastAsia="Calibri"/>
        </w:rPr>
        <w:t xml:space="preserve">Gap Analysis: </w:t>
      </w:r>
      <w:r w:rsidRPr="00345D93" w:rsidR="00745F4A">
        <w:rPr>
          <w:rFonts w:eastAsia="Calibri"/>
        </w:rPr>
        <w:t xml:space="preserve">The Gap Analysis has been developed for this program. </w:t>
      </w:r>
      <w:r w:rsidRPr="00345D93">
        <w:rPr>
          <w:rFonts w:eastAsia="Calibri"/>
        </w:rPr>
        <w:t>The data we are requesting is original.</w:t>
      </w:r>
    </w:p>
    <w:p w:rsidR="00E36BE4" w:rsidRPr="00345D93" w:rsidP="005663A4" w14:paraId="38434A6F" w14:textId="16EA6754">
      <w:pPr>
        <w:pStyle w:val="ListParagraph"/>
        <w:numPr>
          <w:ilvl w:val="0"/>
          <w:numId w:val="48"/>
        </w:numPr>
        <w:spacing w:before="240" w:after="160"/>
        <w:rPr>
          <w:rFonts w:eastAsia="Calibri"/>
        </w:rPr>
      </w:pPr>
      <w:r w:rsidRPr="00345D93">
        <w:rPr>
          <w:rFonts w:eastAsia="Calibri"/>
        </w:rPr>
        <w:t>Team Checkup Tool</w:t>
      </w:r>
      <w:r w:rsidRPr="00345D93" w:rsidR="00DC59AE">
        <w:rPr>
          <w:rFonts w:eastAsia="Calibri"/>
        </w:rPr>
        <w:t xml:space="preserve"> (TCT)</w:t>
      </w:r>
      <w:r w:rsidRPr="00345D93">
        <w:rPr>
          <w:rFonts w:eastAsia="Calibri"/>
        </w:rPr>
        <w:t xml:space="preserve">: </w:t>
      </w:r>
      <w:r w:rsidRPr="00345D93" w:rsidR="00801B3C">
        <w:rPr>
          <w:rFonts w:eastAsia="Calibri"/>
        </w:rPr>
        <w:t>T</w:t>
      </w:r>
      <w:r w:rsidRPr="00345D93" w:rsidR="003E780A">
        <w:rPr>
          <w:rFonts w:eastAsia="Calibri"/>
        </w:rPr>
        <w:t>his version of the TCT has been developed for this program. The data we are requesting is original.</w:t>
      </w:r>
      <w:r w:rsidRPr="00345D93" w:rsidR="00767BA0">
        <w:rPr>
          <w:rFonts w:eastAsia="Calibri"/>
        </w:rPr>
        <w:t xml:space="preserve">  </w:t>
      </w:r>
    </w:p>
    <w:p w:rsidR="00E36BE4" w:rsidRPr="00345D93" w:rsidP="00B213CD" w14:paraId="398AB8E3" w14:textId="77777777">
      <w:pPr>
        <w:pStyle w:val="ListParagraph"/>
        <w:spacing w:before="240" w:after="160"/>
        <w:ind w:left="840"/>
        <w:rPr>
          <w:rFonts w:eastAsia="Calibri"/>
        </w:rPr>
      </w:pPr>
    </w:p>
    <w:p w:rsidR="00E36BE4" w:rsidRPr="00971A60" w:rsidP="00E36BE4" w14:paraId="3C5CC4FE" w14:textId="754C4428">
      <w:pPr>
        <w:pStyle w:val="ListParagraph"/>
        <w:spacing w:after="160"/>
        <w:ind w:left="0"/>
      </w:pPr>
      <w:r w:rsidRPr="00345D93">
        <w:t xml:space="preserve"> AHRQ has engaged with CMS to explore possible coordination and to familiarize them with the </w:t>
      </w:r>
      <w:r w:rsidRPr="00345D93">
        <w:rPr>
          <w:i/>
        </w:rPr>
        <w:t>AHRQ Safety Program for MRSA Prevention</w:t>
      </w:r>
      <w:r w:rsidRPr="00345D93">
        <w:rPr>
          <w:rFonts w:eastAsia="Calibri"/>
        </w:rPr>
        <w:t xml:space="preserve">. CMS personnel will serve on the Technical Expert Panel to assure coordination and avoid duplication of efforts.  The </w:t>
      </w:r>
      <w:r w:rsidRPr="00345D93">
        <w:rPr>
          <w:rFonts w:eastAsia="Calibri"/>
          <w:i/>
        </w:rPr>
        <w:t xml:space="preserve">AHRQ Safety Program for MRSA Prevention </w:t>
      </w:r>
      <w:r w:rsidRPr="00345D93">
        <w:rPr>
          <w:rFonts w:eastAsia="Calibri"/>
        </w:rPr>
        <w:t>can synergize with and compliment these existing national incentives. The</w:t>
      </w:r>
      <w:r w:rsidRPr="00345D93">
        <w:rPr>
          <w:rFonts w:eastAsia="Calibri"/>
          <w:i/>
        </w:rPr>
        <w:t xml:space="preserve"> </w:t>
      </w:r>
      <w:r w:rsidRPr="00345D93" w:rsidR="00FE75E3">
        <w:rPr>
          <w:rFonts w:eastAsia="Calibri"/>
          <w:i/>
        </w:rPr>
        <w:t>AHRQ Safety Program</w:t>
      </w:r>
      <w:r w:rsidRPr="00345D93">
        <w:rPr>
          <w:rFonts w:eastAsia="Calibri"/>
        </w:rPr>
        <w:t xml:space="preserve"> provides extensive technical and adaptive tools and approaches for preventing MRSA infections to infection preventionists and frontline providers. Through engaging webinars and e-learning modules, participants will learn how to optimize their existing resources for MRSA prevention efforts. As with previous </w:t>
      </w:r>
      <w:r w:rsidRPr="00345D93">
        <w:rPr>
          <w:rFonts w:eastAsia="Calibri"/>
          <w:i/>
        </w:rPr>
        <w:t>AHRQ Safety Program</w:t>
      </w:r>
      <w:r w:rsidRPr="00345D93">
        <w:rPr>
          <w:rFonts w:eastAsia="Calibri"/>
        </w:rPr>
        <w:t xml:space="preserve"> initiatives (</w:t>
      </w:r>
      <w:r w:rsidRPr="00345D93">
        <w:rPr>
          <w:rFonts w:eastAsia="Calibri"/>
        </w:rPr>
        <w:t>e.g.</w:t>
      </w:r>
      <w:r w:rsidRPr="00345D93">
        <w:rPr>
          <w:rFonts w:eastAsia="Calibri"/>
        </w:rPr>
        <w:t xml:space="preserve"> the </w:t>
      </w:r>
      <w:r w:rsidRPr="00345D93">
        <w:rPr>
          <w:rFonts w:eastAsia="Calibri"/>
          <w:i/>
        </w:rPr>
        <w:t>AHRQ Safety Program for Improving Antibiotic Use</w:t>
      </w:r>
      <w:r w:rsidRPr="00345D93">
        <w:rPr>
          <w:rFonts w:eastAsia="Calibri"/>
        </w:rPr>
        <w:t xml:space="preserve"> and the </w:t>
      </w:r>
      <w:r w:rsidRPr="00345D93">
        <w:rPr>
          <w:rFonts w:eastAsia="Calibri"/>
          <w:i/>
        </w:rPr>
        <w:t>AHRQ Safety Program for ICUs:  Preventing CLABSI and CAUTI</w:t>
      </w:r>
      <w:r w:rsidRPr="00345D93">
        <w:rPr>
          <w:rFonts w:eastAsia="Calibri"/>
        </w:rPr>
        <w:t>), technical assistance provided in this program will not overlap</w:t>
      </w:r>
      <w:r w:rsidRPr="00345D93" w:rsidR="00A57106">
        <w:rPr>
          <w:rFonts w:eastAsia="Calibri"/>
        </w:rPr>
        <w:t>,</w:t>
      </w:r>
      <w:r w:rsidRPr="00345D93">
        <w:rPr>
          <w:rFonts w:eastAsia="Calibri"/>
        </w:rPr>
        <w:t xml:space="preserve"> but will assist facilities participating in CMS quality improvement initiatives to reach established goals.</w:t>
      </w:r>
      <w:r w:rsidRPr="00F178B5">
        <w:rPr>
          <w:rFonts w:eastAsia="Calibri"/>
        </w:rPr>
        <w:t xml:space="preserve"> </w:t>
      </w:r>
    </w:p>
    <w:p w:rsidR="00E36BE4" w:rsidRPr="00E36BE4" w:rsidP="00B213CD" w14:paraId="34812C83" w14:textId="05C93D6E">
      <w:pPr>
        <w:spacing w:before="240" w:after="160"/>
        <w:rPr>
          <w:rFonts w:eastAsia="Calibri"/>
        </w:rPr>
      </w:pPr>
    </w:p>
    <w:p w:rsidR="009B633D" w:rsidRPr="00345D93" w:rsidP="009B633D" w14:paraId="5B69C8C5" w14:textId="5DA63458">
      <w:pPr>
        <w:pStyle w:val="Heading2"/>
        <w:rPr>
          <w:sz w:val="24"/>
        </w:rPr>
      </w:pPr>
      <w:bookmarkStart w:id="23" w:name="_Toc151782180"/>
      <w:bookmarkStart w:id="24" w:name="_Toc158526220"/>
      <w:bookmarkStart w:id="25" w:name="_Toc73964941"/>
      <w:bookmarkStart w:id="26" w:name="_Toc73965300"/>
      <w:r w:rsidRPr="00345D93">
        <w:rPr>
          <w:sz w:val="24"/>
        </w:rPr>
        <w:t>5. Involvement of Small Entities</w:t>
      </w:r>
      <w:bookmarkEnd w:id="23"/>
      <w:bookmarkEnd w:id="24"/>
      <w:bookmarkEnd w:id="25"/>
      <w:bookmarkEnd w:id="26"/>
    </w:p>
    <w:p w:rsidR="006D5791" w:rsidRPr="00345D93" w:rsidP="00EA3BED" w14:paraId="04481472" w14:textId="64E1A6CE">
      <w:pPr>
        <w:spacing w:before="100" w:beforeAutospacing="1" w:after="100" w:afterAutospacing="1"/>
        <w:rPr>
          <w:i/>
        </w:rPr>
      </w:pPr>
      <w:r w:rsidRPr="00345D93">
        <w:t xml:space="preserve">The information collected may involve small entities, as </w:t>
      </w:r>
      <w:r w:rsidRPr="00345D93" w:rsidR="00DA3BCC">
        <w:t xml:space="preserve">some of the participating </w:t>
      </w:r>
      <w:r w:rsidRPr="00345D93" w:rsidR="00B057C3">
        <w:t>hospitals</w:t>
      </w:r>
      <w:r w:rsidRPr="00345D93" w:rsidR="00DA3BCC">
        <w:t xml:space="preserve"> and </w:t>
      </w:r>
      <w:r w:rsidRPr="00345D93" w:rsidR="00534AD2">
        <w:t>LTC</w:t>
      </w:r>
      <w:r w:rsidRPr="00345D93" w:rsidR="00DA3BCC">
        <w:t xml:space="preserve"> facilities may involve smaller units. </w:t>
      </w:r>
      <w:r w:rsidRPr="00345D93">
        <w:t xml:space="preserve">For this </w:t>
      </w:r>
      <w:r w:rsidRPr="00345D93" w:rsidR="009C155B">
        <w:t>project</w:t>
      </w:r>
      <w:r w:rsidRPr="00345D93">
        <w:t xml:space="preserve">, only items that provide critical information for </w:t>
      </w:r>
      <w:r w:rsidRPr="00345D93" w:rsidR="00EA3BED">
        <w:t>conducting the evaluation</w:t>
      </w:r>
      <w:r w:rsidRPr="00345D93">
        <w:t xml:space="preserve"> will be included</w:t>
      </w:r>
      <w:r w:rsidRPr="00345D93" w:rsidR="009B62E3">
        <w:t>, and the information being requested has been held to the absolute minimum required for the intended use.</w:t>
      </w:r>
    </w:p>
    <w:p w:rsidR="009B633D" w:rsidRPr="00345D93" w:rsidP="009B633D" w14:paraId="5C451BF3" w14:textId="77777777">
      <w:pPr>
        <w:pStyle w:val="Heading2"/>
        <w:rPr>
          <w:sz w:val="24"/>
        </w:rPr>
      </w:pPr>
      <w:bookmarkStart w:id="27" w:name="_Toc151782181"/>
      <w:bookmarkStart w:id="28" w:name="_Toc158526221"/>
      <w:bookmarkStart w:id="29" w:name="_Toc73964942"/>
      <w:bookmarkStart w:id="30" w:name="_Toc73965301"/>
      <w:r w:rsidRPr="00345D93">
        <w:rPr>
          <w:sz w:val="24"/>
        </w:rPr>
        <w:t>6. Consequences if Information Collected Less Frequently</w:t>
      </w:r>
      <w:bookmarkEnd w:id="27"/>
      <w:bookmarkEnd w:id="28"/>
      <w:bookmarkEnd w:id="29"/>
      <w:bookmarkEnd w:id="30"/>
    </w:p>
    <w:p w:rsidR="002665A1" w:rsidRPr="00345D93" w:rsidP="00B213CD" w14:paraId="624E1E81" w14:textId="7F47E7E3">
      <w:pPr>
        <w:spacing w:before="100" w:beforeAutospacing="1" w:after="100" w:afterAutospacing="1"/>
      </w:pPr>
      <w:bookmarkStart w:id="31" w:name="_Toc151782182"/>
      <w:bookmarkStart w:id="32" w:name="_Toc158526222"/>
      <w:r w:rsidRPr="00345D93">
        <w:t xml:space="preserve">This data collection effort will be part of a comprehensive evaluation strategy to assess the adoption of </w:t>
      </w:r>
      <w:r w:rsidRPr="00345D93" w:rsidR="003A6F7E">
        <w:rPr>
          <w:i/>
        </w:rPr>
        <w:t>AHRQ Safety Program</w:t>
      </w:r>
      <w:r w:rsidRPr="00345D93">
        <w:rPr>
          <w:i/>
        </w:rPr>
        <w:t xml:space="preserve"> for </w:t>
      </w:r>
      <w:r w:rsidRPr="00345D93" w:rsidR="00C916BF">
        <w:rPr>
          <w:i/>
        </w:rPr>
        <w:t>MRSA Prevention</w:t>
      </w:r>
      <w:r w:rsidRPr="00345D93">
        <w:t xml:space="preserve"> in </w:t>
      </w:r>
      <w:r w:rsidRPr="00345D93" w:rsidR="00C916BF">
        <w:t xml:space="preserve">ICU, non-ICU, surgical services units, and </w:t>
      </w:r>
      <w:r w:rsidRPr="00345D93" w:rsidR="00534AD2">
        <w:t>LTC</w:t>
      </w:r>
      <w:r w:rsidRPr="00345D93">
        <w:t xml:space="preserve"> settings</w:t>
      </w:r>
      <w:r w:rsidRPr="00345D93" w:rsidR="00FF7B52">
        <w:t>,</w:t>
      </w:r>
      <w:r w:rsidRPr="00345D93" w:rsidR="00C916BF">
        <w:t xml:space="preserve"> and</w:t>
      </w:r>
      <w:r w:rsidRPr="00345D93">
        <w:t xml:space="preserve"> m</w:t>
      </w:r>
      <w:r w:rsidRPr="00345D93" w:rsidR="00C916BF">
        <w:t xml:space="preserve">easure the effectiveness of the </w:t>
      </w:r>
      <w:r w:rsidRPr="00345D93" w:rsidR="00965F68">
        <w:t>implementation</w:t>
      </w:r>
      <w:r w:rsidRPr="00345D93">
        <w:t xml:space="preserve"> in the participating </w:t>
      </w:r>
      <w:r w:rsidRPr="00345D93" w:rsidR="00FF7B52">
        <w:t>units and</w:t>
      </w:r>
      <w:r w:rsidRPr="00345D93">
        <w:t xml:space="preserve"> facilities</w:t>
      </w:r>
      <w:r w:rsidRPr="00345D93" w:rsidR="00C916BF">
        <w:t xml:space="preserve">. </w:t>
      </w:r>
      <w:r w:rsidRPr="00345D93" w:rsidR="009537FA">
        <w:t xml:space="preserve">The planned frequency of data </w:t>
      </w:r>
      <w:r w:rsidRPr="00345D93">
        <w:t xml:space="preserve">collection is necessary to </w:t>
      </w:r>
      <w:r w:rsidRPr="00345D93" w:rsidR="009537FA">
        <w:t>accurately assess the adoption and effectiveness of the program</w:t>
      </w:r>
      <w:r w:rsidRPr="00345D93" w:rsidR="00C916BF">
        <w:t xml:space="preserve">. </w:t>
      </w:r>
    </w:p>
    <w:p w:rsidR="009B633D" w:rsidRPr="00345D93" w:rsidP="009B633D" w14:paraId="007A289F" w14:textId="77777777">
      <w:pPr>
        <w:pStyle w:val="Heading2"/>
        <w:rPr>
          <w:sz w:val="24"/>
        </w:rPr>
      </w:pPr>
      <w:bookmarkStart w:id="33" w:name="_Toc73964943"/>
      <w:bookmarkStart w:id="34" w:name="_Toc73965302"/>
      <w:r w:rsidRPr="00345D93">
        <w:rPr>
          <w:sz w:val="24"/>
        </w:rPr>
        <w:t>7. Special Circumstances</w:t>
      </w:r>
      <w:bookmarkEnd w:id="31"/>
      <w:bookmarkEnd w:id="32"/>
      <w:bookmarkEnd w:id="33"/>
      <w:bookmarkEnd w:id="34"/>
    </w:p>
    <w:p w:rsidR="009B633D" w:rsidRPr="00345D93" w:rsidP="009B633D" w14:paraId="6974F948" w14:textId="77777777">
      <w:pPr>
        <w:spacing w:before="120"/>
      </w:pPr>
      <w:r w:rsidRPr="00345D93">
        <w:t>This request is consistent with the general information collection guidelines of 5 CFR 1320.5(d)(2).  No special circumstances apply.</w:t>
      </w:r>
    </w:p>
    <w:p w:rsidR="004E3A1B" w:rsidRPr="00345D93" w:rsidP="004E3A1B" w14:paraId="478C2EBA" w14:textId="77777777">
      <w:pPr>
        <w:pStyle w:val="Heading2"/>
        <w:rPr>
          <w:sz w:val="24"/>
          <w:szCs w:val="24"/>
        </w:rPr>
      </w:pPr>
      <w:bookmarkStart w:id="35" w:name="_Toc151782183"/>
      <w:bookmarkStart w:id="36" w:name="_Toc158526223"/>
      <w:bookmarkStart w:id="37" w:name="_Toc73964944"/>
      <w:bookmarkStart w:id="38" w:name="_Toc73965303"/>
      <w:r w:rsidRPr="00345D93">
        <w:rPr>
          <w:sz w:val="24"/>
        </w:rPr>
        <w:t>8.</w:t>
      </w:r>
      <w:r w:rsidRPr="00345D93">
        <w:rPr>
          <w:sz w:val="24"/>
          <w:szCs w:val="24"/>
        </w:rPr>
        <w:t xml:space="preserve"> </w:t>
      </w:r>
      <w:bookmarkEnd w:id="35"/>
      <w:bookmarkEnd w:id="36"/>
      <w:r w:rsidRPr="00345D93">
        <w:rPr>
          <w:sz w:val="24"/>
          <w:szCs w:val="24"/>
        </w:rPr>
        <w:t>Federal Register Notice and Outside Consultations</w:t>
      </w:r>
      <w:bookmarkEnd w:id="37"/>
      <w:bookmarkEnd w:id="38"/>
    </w:p>
    <w:p w:rsidR="00131443" w:rsidRPr="00E70711" w:rsidP="00896D9C" w14:paraId="67E96644" w14:textId="77777777">
      <w:pPr>
        <w:pStyle w:val="Heading2"/>
        <w:spacing w:after="0"/>
      </w:pPr>
      <w:bookmarkStart w:id="39" w:name="_Toc73964945"/>
      <w:bookmarkStart w:id="40" w:name="_Toc73965304"/>
      <w:r w:rsidRPr="00345D93">
        <w:t>8.a. Federal Register Notice</w:t>
      </w:r>
      <w:bookmarkEnd w:id="39"/>
      <w:bookmarkEnd w:id="40"/>
    </w:p>
    <w:p w:rsidR="007C1ECB" w:rsidRPr="00E70711" w:rsidP="004E3A1B" w14:paraId="00053099" w14:textId="77777777"/>
    <w:p w:rsidR="00F92AAC" w:rsidP="00F92AAC" w14:paraId="2F4B91D0" w14:textId="75C09A7C">
      <w:pPr>
        <w:rPr>
          <w:sz w:val="20"/>
          <w:szCs w:val="20"/>
        </w:rPr>
      </w:pPr>
      <w:bookmarkStart w:id="41" w:name="OLE_LINK3"/>
      <w:bookmarkStart w:id="42" w:name="OLE_LINK4"/>
      <w:r w:rsidRPr="00E70711">
        <w:t xml:space="preserve">As required by </w:t>
      </w:r>
      <w:r w:rsidRPr="00E70711" w:rsidR="0037771B">
        <w:t xml:space="preserve">5 CFR 1320.8(d), </w:t>
      </w:r>
      <w:r>
        <w:t xml:space="preserve">a </w:t>
      </w:r>
      <w:r w:rsidRPr="00E70711" w:rsidR="0037771B">
        <w:t>n</w:t>
      </w:r>
      <w:r w:rsidRPr="00E70711" w:rsidR="009374DF">
        <w:t>otice was published in the Federal Register on</w:t>
      </w:r>
      <w:r w:rsidRPr="00E70711" w:rsidR="00AD7052">
        <w:t xml:space="preserve"> </w:t>
      </w:r>
      <w:r>
        <w:t xml:space="preserve">     </w:t>
      </w:r>
      <w:r w:rsidR="000610D6">
        <w:t>July 21</w:t>
      </w:r>
      <w:r>
        <w:t xml:space="preserve">, </w:t>
      </w:r>
      <w:r>
        <w:t>202</w:t>
      </w:r>
      <w:r w:rsidR="000610D6">
        <w:t>2</w:t>
      </w:r>
      <w:r w:rsidRPr="00E70711" w:rsidR="00AD7052">
        <w:t xml:space="preserve"> on </w:t>
      </w:r>
      <w:r w:rsidR="00DD7082">
        <w:t>P</w:t>
      </w:r>
      <w:r w:rsidRPr="00E70711" w:rsidR="00AD7052">
        <w:t>age</w:t>
      </w:r>
      <w:r>
        <w:t xml:space="preserve"> </w:t>
      </w:r>
      <w:r w:rsidRPr="000610D6" w:rsidR="000610D6">
        <w:t>43521</w:t>
      </w:r>
      <w:r w:rsidR="00DD7082">
        <w:t>Volume</w:t>
      </w:r>
      <w:r>
        <w:t xml:space="preserve"> 8</w:t>
      </w:r>
      <w:r w:rsidR="005B6254">
        <w:t>7</w:t>
      </w:r>
      <w:r w:rsidRPr="00E70711" w:rsidR="00AD7052">
        <w:t xml:space="preserve"> </w:t>
      </w:r>
      <w:r w:rsidRPr="00E70711" w:rsidR="009374DF">
        <w:t>for 60 days</w:t>
      </w:r>
      <w:r w:rsidRPr="00E70711" w:rsidR="00016560">
        <w:t xml:space="preserve"> </w:t>
      </w:r>
      <w:r w:rsidRPr="00E70711" w:rsidR="00620B93">
        <w:t xml:space="preserve">(see </w:t>
      </w:r>
      <w:r w:rsidRPr="00E70711" w:rsidR="00620B93">
        <w:rPr>
          <w:b/>
        </w:rPr>
        <w:t>A</w:t>
      </w:r>
      <w:r w:rsidRPr="00E70711" w:rsidR="00EE4455">
        <w:rPr>
          <w:b/>
        </w:rPr>
        <w:t>ttachment</w:t>
      </w:r>
      <w:r w:rsidRPr="00E70711" w:rsidR="00E167EA">
        <w:rPr>
          <w:b/>
        </w:rPr>
        <w:t xml:space="preserve"> </w:t>
      </w:r>
      <w:r w:rsidRPr="00E70711" w:rsidR="00364187">
        <w:rPr>
          <w:b/>
        </w:rPr>
        <w:t>A</w:t>
      </w:r>
      <w:r w:rsidRPr="00E70711" w:rsidR="00016560">
        <w:t>)</w:t>
      </w:r>
      <w:r w:rsidRPr="00E70711" w:rsidR="009374DF">
        <w:t xml:space="preserve">.  </w:t>
      </w:r>
      <w:bookmarkEnd w:id="41"/>
      <w:bookmarkEnd w:id="42"/>
    </w:p>
    <w:p w:rsidR="004E3A1B" w:rsidRPr="00E70711" w:rsidP="004E3A1B" w14:paraId="622614A7" w14:textId="0D999F1B"/>
    <w:p w:rsidR="009B633D" w:rsidRPr="00345D93" w:rsidP="009B633D" w14:paraId="69F337EA" w14:textId="77777777">
      <w:pPr>
        <w:pStyle w:val="Heading2"/>
        <w:rPr>
          <w:sz w:val="24"/>
        </w:rPr>
      </w:pPr>
      <w:bookmarkStart w:id="43" w:name="_Toc73964946"/>
      <w:bookmarkStart w:id="44" w:name="_Toc73965305"/>
      <w:r w:rsidRPr="00345D93">
        <w:rPr>
          <w:sz w:val="24"/>
        </w:rPr>
        <w:t xml:space="preserve">8.b. </w:t>
      </w:r>
      <w:r w:rsidRPr="00345D93" w:rsidR="004E3A1B">
        <w:rPr>
          <w:sz w:val="24"/>
          <w:szCs w:val="24"/>
        </w:rPr>
        <w:t>Outside Consultations</w:t>
      </w:r>
      <w:bookmarkEnd w:id="43"/>
      <w:bookmarkEnd w:id="44"/>
    </w:p>
    <w:p w:rsidR="00752F13" w:rsidRPr="00345D93" w:rsidP="00752F13" w14:paraId="60403A72" w14:textId="413B9D0E">
      <w:pPr>
        <w:pStyle w:val="Default"/>
      </w:pPr>
      <w:bookmarkStart w:id="45" w:name="_Toc457285506"/>
      <w:bookmarkStart w:id="46" w:name="_Toc58725294"/>
      <w:bookmarkStart w:id="47" w:name="_Toc151782184"/>
      <w:bookmarkStart w:id="48" w:name="_Toc158526224"/>
      <w:r w:rsidRPr="00345D93">
        <w:t xml:space="preserve">AHRQ, Johns Hopkins University, and NORC </w:t>
      </w:r>
      <w:r w:rsidRPr="00345D93" w:rsidR="00D33D18">
        <w:t xml:space="preserve">is </w:t>
      </w:r>
      <w:r w:rsidRPr="00345D93">
        <w:t>consult</w:t>
      </w:r>
      <w:r w:rsidRPr="00345D93" w:rsidR="00D33D18">
        <w:t>ing</w:t>
      </w:r>
      <w:r w:rsidRPr="00345D93">
        <w:t xml:space="preserve"> with a technical expert panel (TEP) to provide expertise and guidance to develop the plan and design for this project, including the development of the toolkits and the evaluation for which this data collection is designed. The multi-disciplinary TEP consists of individuals with knowledge and experience in MRSA prevention</w:t>
      </w:r>
      <w:r w:rsidRPr="00345D93" w:rsidR="00D15E18">
        <w:t xml:space="preserve">, </w:t>
      </w:r>
      <w:r w:rsidRPr="00345D93" w:rsidR="00AE439A">
        <w:t xml:space="preserve">HAI </w:t>
      </w:r>
      <w:r w:rsidRPr="00345D93" w:rsidR="00D15E18">
        <w:t>prevention, and change management and implementation</w:t>
      </w:r>
      <w:r w:rsidRPr="00345D93">
        <w:t xml:space="preserve"> in hospitals, surgical services, and </w:t>
      </w:r>
      <w:r w:rsidRPr="00345D93" w:rsidR="00534AD2">
        <w:t>LTC</w:t>
      </w:r>
      <w:r w:rsidRPr="00345D93">
        <w:t xml:space="preserve"> settings, as well as experts in neurosurgery, cardiac surgery, and orthopedic surgery. The first TEP meeting </w:t>
      </w:r>
      <w:r w:rsidRPr="00345D93" w:rsidR="008155EF">
        <w:t>was</w:t>
      </w:r>
      <w:r w:rsidRPr="00345D93">
        <w:t xml:space="preserve"> held </w:t>
      </w:r>
      <w:r w:rsidRPr="00345D93" w:rsidR="0002055E">
        <w:t>on</w:t>
      </w:r>
      <w:r w:rsidRPr="00345D93" w:rsidR="00D15E18">
        <w:t xml:space="preserve"> </w:t>
      </w:r>
      <w:r w:rsidRPr="00345D93" w:rsidR="00846FD4">
        <w:t>Ma</w:t>
      </w:r>
      <w:r w:rsidRPr="00345D93" w:rsidR="00C06287">
        <w:t>y</w:t>
      </w:r>
      <w:r w:rsidRPr="00345D93" w:rsidR="0002055E">
        <w:t xml:space="preserve"> 3</w:t>
      </w:r>
      <w:r w:rsidRPr="00345D93" w:rsidR="00D15E18">
        <w:t xml:space="preserve">, </w:t>
      </w:r>
      <w:r w:rsidRPr="00345D93" w:rsidR="00336C09">
        <w:t>2021</w:t>
      </w:r>
      <w:r w:rsidRPr="00345D93" w:rsidR="00D33D18">
        <w:t xml:space="preserve"> and included a review of the data collection and analysis plans</w:t>
      </w:r>
      <w:r w:rsidRPr="00345D93" w:rsidR="00D15E18">
        <w:t xml:space="preserve">. </w:t>
      </w:r>
      <w:r w:rsidRPr="0014252A" w:rsidR="006F393B">
        <w:rPr>
          <w:highlight w:val="yellow"/>
        </w:rPr>
        <w:t xml:space="preserve">The second TEP meeting was held on December 8, </w:t>
      </w:r>
      <w:r w:rsidRPr="0014252A" w:rsidR="006F393B">
        <w:rPr>
          <w:highlight w:val="yellow"/>
        </w:rPr>
        <w:t>2021</w:t>
      </w:r>
      <w:r w:rsidRPr="0014252A" w:rsidR="006F393B">
        <w:rPr>
          <w:highlight w:val="yellow"/>
        </w:rPr>
        <w:t xml:space="preserve"> and included a review of the data collection and analysis plans for the surgical services cohort. The third TEP meeting was held on March 11 and 18, 2022, and included a review of the data collection and analysis plans for all cohorts.</w:t>
      </w:r>
      <w:r w:rsidR="006F393B">
        <w:t xml:space="preserve"> </w:t>
      </w:r>
    </w:p>
    <w:p w:rsidR="00752F13" w:rsidRPr="00345D93" w:rsidP="00752F13" w14:paraId="1B0F1A0F" w14:textId="77777777">
      <w:pPr>
        <w:pStyle w:val="Default"/>
      </w:pPr>
    </w:p>
    <w:p w:rsidR="00752F13" w:rsidRPr="00345D93" w:rsidP="00752F13" w14:paraId="2D67617B" w14:textId="6D58C4AE">
      <w:pPr>
        <w:rPr>
          <w:sz w:val="22"/>
          <w:szCs w:val="22"/>
        </w:rPr>
      </w:pPr>
      <w:r w:rsidRPr="00345D93">
        <w:t>The TEP is providing critical feedback on all aspects of this program, including reviewing the proposed plan for the</w:t>
      </w:r>
      <w:r w:rsidRPr="00345D93" w:rsidR="00AE439A">
        <w:t xml:space="preserve"> setting-specific</w:t>
      </w:r>
      <w:r w:rsidRPr="00345D93">
        <w:t xml:space="preserve"> toolkit</w:t>
      </w:r>
      <w:r w:rsidRPr="00345D93" w:rsidR="00AE439A">
        <w:t>s</w:t>
      </w:r>
      <w:r w:rsidRPr="00345D93">
        <w:t xml:space="preserve"> and project approach</w:t>
      </w:r>
      <w:r w:rsidRPr="00345D93" w:rsidR="00AE439A">
        <w:t>,</w:t>
      </w:r>
      <w:r w:rsidRPr="00345D93">
        <w:t xml:space="preserve"> including the </w:t>
      </w:r>
      <w:r w:rsidRPr="00345D93" w:rsidR="00AE439A">
        <w:t xml:space="preserve">evaluation plan. </w:t>
      </w:r>
    </w:p>
    <w:p w:rsidR="00752F13" w:rsidRPr="00345D93" w:rsidP="00752F13" w14:paraId="72136FB7" w14:textId="77777777">
      <w:pPr>
        <w:pStyle w:val="Default"/>
        <w:rPr>
          <w:color w:val="auto"/>
        </w:rPr>
      </w:pPr>
    </w:p>
    <w:p w:rsidR="00DA69BC" w:rsidRPr="00345D93" w:rsidP="000840CC" w14:paraId="79A9FAA2" w14:textId="3BC46E33">
      <w:pPr>
        <w:pStyle w:val="Default"/>
      </w:pPr>
      <w:r w:rsidRPr="00345D93">
        <w:rPr>
          <w:color w:val="auto"/>
        </w:rPr>
        <w:t xml:space="preserve">AHRQ has consulted with other </w:t>
      </w:r>
      <w:r w:rsidRPr="00345D93" w:rsidR="002A085A">
        <w:rPr>
          <w:color w:val="auto"/>
        </w:rPr>
        <w:t>F</w:t>
      </w:r>
      <w:r w:rsidRPr="00345D93">
        <w:rPr>
          <w:color w:val="auto"/>
        </w:rPr>
        <w:t xml:space="preserve">ederal partners including </w:t>
      </w:r>
      <w:r w:rsidRPr="00345D93" w:rsidR="002A085A">
        <w:rPr>
          <w:color w:val="auto"/>
        </w:rPr>
        <w:t>CDC and CMS</w:t>
      </w:r>
      <w:r w:rsidRPr="00345D93">
        <w:rPr>
          <w:color w:val="auto"/>
        </w:rPr>
        <w:t xml:space="preserve"> to ensure synergistic efforts </w:t>
      </w:r>
      <w:r w:rsidRPr="00345D93" w:rsidR="00D15E18">
        <w:rPr>
          <w:color w:val="auto"/>
        </w:rPr>
        <w:t>are</w:t>
      </w:r>
      <w:r w:rsidRPr="00345D93">
        <w:rPr>
          <w:color w:val="auto"/>
        </w:rPr>
        <w:t xml:space="preserve"> being undertaken</w:t>
      </w:r>
      <w:r w:rsidRPr="00345D93" w:rsidR="002A085A">
        <w:rPr>
          <w:color w:val="auto"/>
        </w:rPr>
        <w:t xml:space="preserve"> and that there is no duplication of Federal initiatives.</w:t>
      </w:r>
    </w:p>
    <w:p w:rsidR="0038217D" w:rsidRPr="00345D93" w:rsidP="00C218DB" w14:paraId="090119BB" w14:textId="77777777">
      <w:pPr>
        <w:pStyle w:val="Heading2"/>
        <w:spacing w:after="0"/>
        <w:rPr>
          <w:sz w:val="24"/>
        </w:rPr>
      </w:pPr>
      <w:bookmarkStart w:id="49" w:name="_Toc73964947"/>
      <w:bookmarkStart w:id="50" w:name="_Toc73965306"/>
      <w:r w:rsidRPr="00345D93">
        <w:t>9. Payments/Gifts to Respondents</w:t>
      </w:r>
      <w:bookmarkEnd w:id="45"/>
      <w:bookmarkEnd w:id="46"/>
      <w:bookmarkEnd w:id="47"/>
      <w:bookmarkEnd w:id="48"/>
      <w:bookmarkEnd w:id="49"/>
      <w:bookmarkEnd w:id="50"/>
    </w:p>
    <w:p w:rsidR="009B633D" w:rsidRPr="00345D93" w:rsidP="009B633D" w14:paraId="0A44DE99" w14:textId="77777777">
      <w:pPr>
        <w:jc w:val="both"/>
        <w:rPr>
          <w:i/>
        </w:rPr>
      </w:pPr>
    </w:p>
    <w:p w:rsidR="00B915F1" w:rsidRPr="00345D93" w:rsidP="009B633D" w14:paraId="0F1C47E3" w14:textId="4770242D">
      <w:pPr>
        <w:jc w:val="both"/>
        <w:rPr>
          <w:i/>
        </w:rPr>
      </w:pPr>
      <w:r w:rsidRPr="00345D93">
        <w:t xml:space="preserve">No remuneration of respondents </w:t>
      </w:r>
      <w:r w:rsidRPr="00345D93" w:rsidR="00302210">
        <w:t xml:space="preserve">or </w:t>
      </w:r>
      <w:r w:rsidRPr="00345D93" w:rsidR="009C155B">
        <w:t xml:space="preserve">participating </w:t>
      </w:r>
      <w:r w:rsidRPr="00345D93" w:rsidR="00FF7B52">
        <w:t>units</w:t>
      </w:r>
      <w:r w:rsidRPr="00345D93" w:rsidR="00302210">
        <w:t xml:space="preserve"> </w:t>
      </w:r>
      <w:r w:rsidRPr="00345D93">
        <w:t>is planned.</w:t>
      </w:r>
    </w:p>
    <w:p w:rsidR="009B633D" w:rsidRPr="00345D93" w:rsidP="009B633D" w14:paraId="4AFE7AB3" w14:textId="77777777">
      <w:pPr>
        <w:pStyle w:val="Heading2"/>
        <w:rPr>
          <w:sz w:val="24"/>
        </w:rPr>
      </w:pPr>
      <w:bookmarkStart w:id="51" w:name="_Toc151782185"/>
      <w:bookmarkStart w:id="52" w:name="_Toc158526225"/>
      <w:bookmarkStart w:id="53" w:name="_Toc73964948"/>
      <w:bookmarkStart w:id="54" w:name="_Toc73965307"/>
      <w:r w:rsidRPr="00345D93">
        <w:rPr>
          <w:sz w:val="24"/>
        </w:rPr>
        <w:t>10. Assurance of Confidentiality</w:t>
      </w:r>
      <w:bookmarkEnd w:id="51"/>
      <w:bookmarkEnd w:id="52"/>
      <w:bookmarkEnd w:id="53"/>
      <w:bookmarkEnd w:id="54"/>
    </w:p>
    <w:p w:rsidR="009C155B" w:rsidRPr="00345D93" w:rsidP="009C155B" w14:paraId="1FB5F773" w14:textId="77777777">
      <w:pPr>
        <w:autoSpaceDE w:val="0"/>
        <w:autoSpaceDN w:val="0"/>
        <w:adjustRightInd w:val="0"/>
      </w:pPr>
      <w:r w:rsidRPr="00345D93">
        <w:t xml:space="preserve">Individuals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 </w:t>
      </w:r>
    </w:p>
    <w:p w:rsidR="009C155B" w:rsidRPr="00345D93" w:rsidP="009C155B" w14:paraId="22E2C920" w14:textId="77777777">
      <w:pPr>
        <w:autoSpaceDE w:val="0"/>
        <w:autoSpaceDN w:val="0"/>
        <w:adjustRightInd w:val="0"/>
      </w:pPr>
    </w:p>
    <w:p w:rsidR="009C155B" w:rsidRPr="00345D93" w:rsidP="009C155B" w14:paraId="714A9C00" w14:textId="16367141">
      <w:pPr>
        <w:autoSpaceDE w:val="0"/>
        <w:autoSpaceDN w:val="0"/>
        <w:adjustRightInd w:val="0"/>
      </w:pPr>
      <w:r w:rsidRPr="00345D93">
        <w:t>Information that can directly identify the respondent, such as name and/or social security number will not be collected. A statement of confidentiality will appear on the online</w:t>
      </w:r>
      <w:r w:rsidRPr="00345D93" w:rsidR="006D38F9">
        <w:t xml:space="preserve"> and paper</w:t>
      </w:r>
      <w:r w:rsidRPr="00345D93">
        <w:t xml:space="preserve"> survey</w:t>
      </w:r>
      <w:r w:rsidRPr="00345D93" w:rsidR="00AE439A">
        <w:t>s</w:t>
      </w:r>
      <w:r w:rsidRPr="00345D93">
        <w:t xml:space="preserve"> and contain the following statement:</w:t>
      </w:r>
    </w:p>
    <w:p w:rsidR="00AE439A" w:rsidRPr="00345D93" w:rsidP="009C155B" w14:paraId="017E3968" w14:textId="77777777">
      <w:pPr>
        <w:autoSpaceDE w:val="0"/>
        <w:autoSpaceDN w:val="0"/>
        <w:adjustRightInd w:val="0"/>
      </w:pPr>
    </w:p>
    <w:p w:rsidR="00AE439A" w:rsidRPr="00345D93" w:rsidP="00F30508" w14:paraId="095A878D" w14:textId="111F8EC9">
      <w:pPr>
        <w:autoSpaceDE w:val="0"/>
        <w:autoSpaceDN w:val="0"/>
        <w:adjustRightInd w:val="0"/>
        <w:ind w:left="720"/>
      </w:pPr>
      <w:r w:rsidRPr="00345D93">
        <w:t xml:space="preserve">The confidentiality of your responses </w:t>
      </w:r>
      <w:r w:rsidRPr="00345D93">
        <w:t>are</w:t>
      </w:r>
      <w:r w:rsidRPr="00345D93">
        <w:t xml:space="preserve"> protected by Sections 944(c) and 308(d) of the Public Health Service Act [42 U.S.C. 299c-3(c) and 42 U.S.C. 242m(d)]. Information that could identify you will not be disclosed unless you have consented to that disclosure</w:t>
      </w:r>
    </w:p>
    <w:p w:rsidR="007208E0" w:rsidRPr="00E70711" w:rsidP="002403AE" w14:paraId="48016A7C" w14:textId="066ACB4F">
      <w:pPr>
        <w:spacing w:before="100" w:beforeAutospacing="1" w:after="100" w:afterAutospacing="1"/>
      </w:pPr>
      <w:r w:rsidRPr="00345D93">
        <w:t xml:space="preserve">The </w:t>
      </w:r>
      <w:r w:rsidRPr="00345D93" w:rsidR="009C155B">
        <w:t xml:space="preserve">data will be collected by AHRQ’s </w:t>
      </w:r>
      <w:r w:rsidRPr="00345D93" w:rsidR="00AE439A">
        <w:t>sub</w:t>
      </w:r>
      <w:r w:rsidRPr="00345D93" w:rsidR="009C155B">
        <w:t xml:space="preserve">contractor, NORC at the University of Chicago. All facility and respondent-level data, as well as survey response data, </w:t>
      </w:r>
      <w:r w:rsidRPr="00345D93">
        <w:t xml:space="preserve">will be stored on </w:t>
      </w:r>
      <w:r w:rsidRPr="00345D93" w:rsidR="00F30508">
        <w:t xml:space="preserve">NORC’s </w:t>
      </w:r>
      <w:r w:rsidRPr="00345D93">
        <w:t>secure serve</w:t>
      </w:r>
      <w:r w:rsidRPr="00345D93" w:rsidR="00F30508">
        <w:t>r</w:t>
      </w:r>
      <w:r w:rsidRPr="00345D93">
        <w:t>s.</w:t>
      </w:r>
      <w:r w:rsidRPr="00E70711">
        <w:t xml:space="preserve"> </w:t>
      </w:r>
    </w:p>
    <w:p w:rsidR="009B633D" w:rsidRPr="00E70711" w:rsidP="009B633D" w14:paraId="795EF0A8" w14:textId="77777777">
      <w:pPr>
        <w:pStyle w:val="Heading2"/>
        <w:rPr>
          <w:sz w:val="24"/>
        </w:rPr>
      </w:pPr>
      <w:bookmarkStart w:id="55" w:name="_Toc151782186"/>
      <w:bookmarkStart w:id="56" w:name="_Toc158526226"/>
      <w:bookmarkStart w:id="57" w:name="_Toc73964949"/>
      <w:bookmarkStart w:id="58" w:name="_Toc73965308"/>
      <w:r w:rsidRPr="00E70711">
        <w:rPr>
          <w:sz w:val="24"/>
        </w:rPr>
        <w:t>11. Questions of a Sensitive Nature</w:t>
      </w:r>
      <w:bookmarkEnd w:id="55"/>
      <w:bookmarkEnd w:id="56"/>
      <w:bookmarkEnd w:id="57"/>
      <w:bookmarkEnd w:id="58"/>
    </w:p>
    <w:p w:rsidR="00E24EA6" w:rsidRPr="00E70711" w:rsidP="00E47851" w14:paraId="4A436686" w14:textId="77777777">
      <w:pPr>
        <w:spacing w:after="240"/>
        <w:rPr>
          <w:i/>
        </w:rPr>
      </w:pPr>
      <w:r w:rsidRPr="00E70711">
        <w:t xml:space="preserve">There are no questions of a sensitive nature. </w:t>
      </w:r>
      <w:r w:rsidRPr="00E70711">
        <w:rPr>
          <w:i/>
        </w:rPr>
        <w:t xml:space="preserve"> </w:t>
      </w:r>
    </w:p>
    <w:p w:rsidR="009B633D" w:rsidRPr="00E70711" w:rsidP="009B633D" w14:paraId="16C10883" w14:textId="77777777">
      <w:pPr>
        <w:pStyle w:val="Heading2"/>
        <w:rPr>
          <w:sz w:val="24"/>
        </w:rPr>
      </w:pPr>
      <w:bookmarkStart w:id="59" w:name="_Toc151782187"/>
      <w:bookmarkStart w:id="60" w:name="_Toc158526227"/>
      <w:bookmarkStart w:id="61" w:name="_Toc73964950"/>
      <w:bookmarkStart w:id="62" w:name="_Toc73965309"/>
      <w:r w:rsidRPr="00E70711">
        <w:rPr>
          <w:sz w:val="24"/>
        </w:rPr>
        <w:t>12. Estimates of Annualized Burden Hours and Costs</w:t>
      </w:r>
      <w:bookmarkEnd w:id="59"/>
      <w:bookmarkEnd w:id="60"/>
      <w:bookmarkEnd w:id="61"/>
      <w:bookmarkEnd w:id="62"/>
    </w:p>
    <w:p w:rsidR="00782E33" w:rsidP="00E24EA6" w14:paraId="38EBD99D" w14:textId="716F7ECD">
      <w:pPr>
        <w:rPr>
          <w:rStyle w:val="Strong"/>
          <w:b w:val="0"/>
        </w:rPr>
      </w:pPr>
    </w:p>
    <w:p w:rsidR="001A1088" w:rsidP="001A1088" w14:paraId="04580759" w14:textId="5D6070E3">
      <w:pPr>
        <w:rPr>
          <w:rStyle w:val="Strong"/>
          <w:b w:val="0"/>
        </w:rPr>
      </w:pPr>
      <w:r w:rsidRPr="00345D93">
        <w:rPr>
          <w:rStyle w:val="Strong"/>
          <w:b w:val="0"/>
        </w:rPr>
        <w:t>The</w:t>
      </w:r>
      <w:r w:rsidRPr="00345D93" w:rsidR="007D52B2">
        <w:rPr>
          <w:rStyle w:val="Strong"/>
          <w:b w:val="0"/>
        </w:rPr>
        <w:t xml:space="preserve"> </w:t>
      </w:r>
      <w:r w:rsidRPr="00345D93" w:rsidR="00B606B3">
        <w:rPr>
          <w:rStyle w:val="Strong"/>
          <w:b w:val="0"/>
        </w:rPr>
        <w:t>primary</w:t>
      </w:r>
      <w:r w:rsidRPr="00345D93" w:rsidR="007D52B2">
        <w:rPr>
          <w:rStyle w:val="Strong"/>
          <w:b w:val="0"/>
        </w:rPr>
        <w:t xml:space="preserve"> data collection activities are </w:t>
      </w:r>
      <w:r w:rsidRPr="00345D93" w:rsidR="009868FA">
        <w:rPr>
          <w:rStyle w:val="Strong"/>
          <w:b w:val="0"/>
        </w:rPr>
        <w:t xml:space="preserve">summarized in </w:t>
      </w:r>
      <w:r w:rsidRPr="00345D93" w:rsidR="00C70AC2">
        <w:rPr>
          <w:rStyle w:val="Strong"/>
          <w:b w:val="0"/>
        </w:rPr>
        <w:t>E</w:t>
      </w:r>
      <w:r w:rsidRPr="00345D93" w:rsidR="009868FA">
        <w:rPr>
          <w:rStyle w:val="Strong"/>
          <w:b w:val="0"/>
        </w:rPr>
        <w:t xml:space="preserve">xhibit </w:t>
      </w:r>
      <w:r w:rsidRPr="00345D93" w:rsidR="00FC67D6">
        <w:rPr>
          <w:rStyle w:val="Strong"/>
          <w:b w:val="0"/>
        </w:rPr>
        <w:t>A.1</w:t>
      </w:r>
      <w:r w:rsidRPr="00345D93" w:rsidR="009868FA">
        <w:rPr>
          <w:rStyle w:val="Strong"/>
          <w:b w:val="0"/>
        </w:rPr>
        <w:t xml:space="preserve"> and below</w:t>
      </w:r>
      <w:r w:rsidRPr="00345D93" w:rsidR="0021671A">
        <w:rPr>
          <w:rStyle w:val="Strong"/>
          <w:b w:val="0"/>
        </w:rPr>
        <w:t>.</w:t>
      </w:r>
      <w:r w:rsidRPr="00345D93" w:rsidR="007A6B43">
        <w:rPr>
          <w:rStyle w:val="Strong"/>
          <w:b w:val="0"/>
        </w:rPr>
        <w:t xml:space="preserve">  </w:t>
      </w:r>
      <w:r w:rsidRPr="00345D93">
        <w:rPr>
          <w:rStyle w:val="Strong"/>
          <w:b w:val="0"/>
        </w:rPr>
        <w:t xml:space="preserve">For the secondary data collection via NHSN, we assume no burden.  </w:t>
      </w:r>
      <w:r w:rsidRPr="00345D93">
        <w:t>After hospitals confer rights and join the MRSA Prevention Program group in NHSN, they will not need to take further action.</w:t>
      </w:r>
      <w:r>
        <w:rPr>
          <w:rStyle w:val="Strong"/>
          <w:b w:val="0"/>
        </w:rPr>
        <w:t xml:space="preserve">  </w:t>
      </w:r>
    </w:p>
    <w:p w:rsidR="009868FA" w:rsidRPr="00D519AC" w:rsidP="00E24EA6" w14:paraId="61E178B4" w14:textId="401E9389">
      <w:pPr>
        <w:rPr>
          <w:rStyle w:val="Strong"/>
          <w:b w:val="0"/>
        </w:rPr>
      </w:pPr>
    </w:p>
    <w:p w:rsidR="00654F33" w:rsidRPr="00E70711" w:rsidP="00E24EA6" w14:paraId="0670374D" w14:textId="57D79C64">
      <w:pPr>
        <w:rPr>
          <w:rStyle w:val="Strong"/>
          <w:b w:val="0"/>
        </w:rPr>
      </w:pPr>
    </w:p>
    <w:p w:rsidR="009868FA" w:rsidRPr="00E70711" w:rsidP="009868FA" w14:paraId="420C8B18" w14:textId="661B67C9">
      <w:r w:rsidRPr="00E70711">
        <w:rPr>
          <w:rStyle w:val="NORCCaption-Color"/>
          <w:rFonts w:eastAsia="Calibri"/>
        </w:rPr>
        <w:t xml:space="preserve">Exhibit </w:t>
      </w:r>
      <w:r w:rsidR="00FC67D6">
        <w:rPr>
          <w:rStyle w:val="NORCCaption-Color"/>
          <w:rFonts w:eastAsia="Calibri"/>
        </w:rPr>
        <w:t>A.1</w:t>
      </w:r>
      <w:r w:rsidRPr="00E70711">
        <w:rPr>
          <w:rStyle w:val="NORCCaption-Color"/>
          <w:rFonts w:eastAsia="Calibri"/>
        </w:rPr>
        <w:t>:</w:t>
      </w:r>
      <w:r w:rsidRPr="00E70711">
        <w:t xml:space="preserve"> Summary of </w:t>
      </w:r>
      <w:r w:rsidRPr="005663A4">
        <w:t>Primary</w:t>
      </w:r>
      <w:r w:rsidRPr="00E70711">
        <w:t xml:space="preserve"> Data Collection Activities </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25"/>
        <w:gridCol w:w="1980"/>
        <w:gridCol w:w="2420"/>
        <w:gridCol w:w="2557"/>
      </w:tblGrid>
      <w:tr w14:paraId="3083C8FF" w14:textId="77777777" w:rsidTr="005663A4">
        <w:tblPrEx>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blHeader/>
          <w:jc w:val="center"/>
        </w:trPr>
        <w:tc>
          <w:tcPr>
            <w:tcW w:w="1625" w:type="dxa"/>
            <w:shd w:val="clear" w:color="auto" w:fill="8AB3A4"/>
            <w:tcMar>
              <w:top w:w="0" w:type="dxa"/>
              <w:left w:w="108" w:type="dxa"/>
              <w:bottom w:w="0" w:type="dxa"/>
              <w:right w:w="108" w:type="dxa"/>
            </w:tcMar>
            <w:vAlign w:val="center"/>
            <w:hideMark/>
          </w:tcPr>
          <w:p w:rsidR="009868FA" w:rsidRPr="00E70711" w:rsidP="00C252CA" w14:paraId="7640F620" w14:textId="3AEDA1F9">
            <w:pPr>
              <w:pStyle w:val="NORCTableHeaderArial"/>
              <w:spacing w:line="276" w:lineRule="auto"/>
              <w:rPr>
                <w:rFonts w:ascii="Times New Roman" w:hAnsi="Times New Roman"/>
                <w:sz w:val="20"/>
                <w:szCs w:val="20"/>
              </w:rPr>
            </w:pPr>
            <w:r w:rsidRPr="00E70711">
              <w:rPr>
                <w:rFonts w:ascii="Times New Roman" w:hAnsi="Times New Roman"/>
                <w:sz w:val="20"/>
                <w:szCs w:val="20"/>
              </w:rPr>
              <w:t>Primary Data Collection Sources</w:t>
            </w:r>
          </w:p>
        </w:tc>
        <w:tc>
          <w:tcPr>
            <w:tcW w:w="1980" w:type="dxa"/>
            <w:shd w:val="clear" w:color="auto" w:fill="8AB3A4"/>
            <w:tcMar>
              <w:top w:w="0" w:type="dxa"/>
              <w:left w:w="108" w:type="dxa"/>
              <w:bottom w:w="0" w:type="dxa"/>
              <w:right w:w="108" w:type="dxa"/>
            </w:tcMar>
            <w:vAlign w:val="center"/>
            <w:hideMark/>
          </w:tcPr>
          <w:p w:rsidR="009868FA" w:rsidRPr="00E70711" w:rsidP="00C252CA" w14:paraId="352F24BC" w14:textId="77777777">
            <w:pPr>
              <w:pStyle w:val="NORCTableHeaderArial"/>
              <w:spacing w:line="276" w:lineRule="auto"/>
              <w:rPr>
                <w:rFonts w:ascii="Times New Roman" w:hAnsi="Times New Roman"/>
                <w:sz w:val="20"/>
                <w:szCs w:val="20"/>
              </w:rPr>
            </w:pPr>
            <w:r w:rsidRPr="00E70711">
              <w:rPr>
                <w:rFonts w:ascii="Times New Roman" w:hAnsi="Times New Roman"/>
                <w:sz w:val="20"/>
                <w:szCs w:val="20"/>
              </w:rPr>
              <w:t>Data Collection Tools</w:t>
            </w:r>
          </w:p>
        </w:tc>
        <w:tc>
          <w:tcPr>
            <w:tcW w:w="2420" w:type="dxa"/>
            <w:shd w:val="clear" w:color="auto" w:fill="8AB3A4"/>
            <w:vAlign w:val="center"/>
          </w:tcPr>
          <w:p w:rsidR="009868FA" w:rsidRPr="00E70711" w:rsidP="00C252CA" w14:paraId="6CA1048E" w14:textId="77777777">
            <w:pPr>
              <w:pStyle w:val="NORCTableHeaderArial"/>
              <w:spacing w:line="276" w:lineRule="auto"/>
              <w:rPr>
                <w:rFonts w:ascii="Times New Roman" w:hAnsi="Times New Roman"/>
                <w:sz w:val="20"/>
                <w:szCs w:val="20"/>
              </w:rPr>
            </w:pPr>
            <w:r w:rsidRPr="00E70711">
              <w:rPr>
                <w:rFonts w:ascii="Times New Roman" w:hAnsi="Times New Roman"/>
                <w:sz w:val="20"/>
                <w:szCs w:val="20"/>
              </w:rPr>
              <w:t>Target population</w:t>
            </w:r>
          </w:p>
        </w:tc>
        <w:tc>
          <w:tcPr>
            <w:tcW w:w="2557" w:type="dxa"/>
            <w:shd w:val="clear" w:color="auto" w:fill="8AB3A4"/>
            <w:vAlign w:val="center"/>
          </w:tcPr>
          <w:p w:rsidR="009868FA" w:rsidRPr="00E70711" w:rsidP="00BB1AB5" w14:paraId="7838A7A1" w14:textId="420FEF1F">
            <w:pPr>
              <w:pStyle w:val="NORCTableHeaderArial"/>
              <w:spacing w:line="276" w:lineRule="auto"/>
              <w:rPr>
                <w:rFonts w:ascii="Times New Roman" w:hAnsi="Times New Roman"/>
                <w:sz w:val="20"/>
                <w:szCs w:val="20"/>
                <w:vertAlign w:val="superscript"/>
              </w:rPr>
            </w:pPr>
            <w:r w:rsidRPr="00E70711">
              <w:rPr>
                <w:rFonts w:ascii="Times New Roman" w:hAnsi="Times New Roman"/>
                <w:sz w:val="20"/>
                <w:szCs w:val="20"/>
              </w:rPr>
              <w:t>Data collection frequency</w:t>
            </w:r>
          </w:p>
        </w:tc>
      </w:tr>
      <w:tr w14:paraId="2A42F13B" w14:textId="77777777" w:rsidTr="005663A4">
        <w:tblPrEx>
          <w:tblW w:w="8582" w:type="dxa"/>
          <w:jc w:val="center"/>
          <w:tblLayout w:type="fixed"/>
          <w:tblCellMar>
            <w:left w:w="0" w:type="dxa"/>
            <w:right w:w="0" w:type="dxa"/>
          </w:tblCellMar>
          <w:tblLook w:val="04A0"/>
        </w:tblPrEx>
        <w:trPr>
          <w:cantSplit/>
          <w:trHeight w:val="989"/>
          <w:jc w:val="center"/>
        </w:trPr>
        <w:tc>
          <w:tcPr>
            <w:tcW w:w="1625" w:type="dxa"/>
            <w:shd w:val="clear" w:color="auto" w:fill="E9E6E3"/>
            <w:tcMar>
              <w:top w:w="0" w:type="dxa"/>
              <w:left w:w="108" w:type="dxa"/>
              <w:bottom w:w="0" w:type="dxa"/>
              <w:right w:w="108" w:type="dxa"/>
            </w:tcMar>
            <w:hideMark/>
          </w:tcPr>
          <w:p w:rsidR="009868FA" w:rsidRPr="00E70711" w:rsidP="00C252CA" w14:paraId="4AC29BB4" w14:textId="77777777">
            <w:pPr>
              <w:pStyle w:val="NORCTableBodyLeft"/>
              <w:rPr>
                <w:rFonts w:ascii="Times New Roman" w:hAnsi="Times New Roman"/>
                <w:sz w:val="20"/>
                <w:szCs w:val="20"/>
              </w:rPr>
            </w:pPr>
            <w:r w:rsidRPr="00E70711">
              <w:rPr>
                <w:rFonts w:ascii="Times New Roman" w:hAnsi="Times New Roman"/>
                <w:sz w:val="20"/>
                <w:szCs w:val="20"/>
              </w:rPr>
              <w:t xml:space="preserve">Surveys </w:t>
            </w:r>
          </w:p>
        </w:tc>
        <w:tc>
          <w:tcPr>
            <w:tcW w:w="1980" w:type="dxa"/>
            <w:shd w:val="clear" w:color="auto" w:fill="E9E6E3"/>
            <w:tcMar>
              <w:top w:w="0" w:type="dxa"/>
              <w:left w:w="108" w:type="dxa"/>
              <w:bottom w:w="0" w:type="dxa"/>
              <w:right w:w="108" w:type="dxa"/>
            </w:tcMar>
            <w:hideMark/>
          </w:tcPr>
          <w:p w:rsidR="009868FA" w:rsidRPr="00E70711" w:rsidP="00C252CA" w14:paraId="26DC23A8" w14:textId="78E50415">
            <w:pPr>
              <w:pStyle w:val="NORCTableBodyLeft"/>
              <w:rPr>
                <w:rFonts w:ascii="Times New Roman" w:hAnsi="Times New Roman"/>
              </w:rPr>
            </w:pPr>
            <w:r w:rsidRPr="00E70711">
              <w:rPr>
                <w:rFonts w:ascii="Times New Roman" w:hAnsi="Times New Roman"/>
                <w:sz w:val="20"/>
                <w:szCs w:val="20"/>
              </w:rPr>
              <w:t>AHRQ Surveys of Patient Safety Culture (</w:t>
            </w:r>
            <w:r w:rsidRPr="001E7F9E">
              <w:rPr>
                <w:rFonts w:ascii="Times New Roman" w:hAnsi="Times New Roman"/>
                <w:sz w:val="20"/>
                <w:szCs w:val="20"/>
                <w:highlight w:val="yellow"/>
              </w:rPr>
              <w:t>HSOPS</w:t>
            </w:r>
            <w:r w:rsidRPr="001E7F9E" w:rsidR="001C264D">
              <w:rPr>
                <w:rFonts w:ascii="Times New Roman" w:hAnsi="Times New Roman"/>
                <w:sz w:val="20"/>
                <w:szCs w:val="20"/>
                <w:highlight w:val="yellow"/>
              </w:rPr>
              <w:t xml:space="preserve"> 1.0, HSOPS 2.0</w:t>
            </w:r>
            <w:r w:rsidRPr="001E7F9E" w:rsidR="00644D53">
              <w:rPr>
                <w:rFonts w:ascii="Times New Roman" w:hAnsi="Times New Roman"/>
                <w:sz w:val="20"/>
                <w:szCs w:val="20"/>
                <w:highlight w:val="yellow"/>
              </w:rPr>
              <w:t>,</w:t>
            </w:r>
            <w:r w:rsidRPr="00E70711" w:rsidR="00644D53">
              <w:rPr>
                <w:rFonts w:ascii="Times New Roman" w:hAnsi="Times New Roman"/>
                <w:sz w:val="20"/>
                <w:szCs w:val="20"/>
              </w:rPr>
              <w:t xml:space="preserve"> </w:t>
            </w:r>
            <w:r w:rsidRPr="00E70711">
              <w:rPr>
                <w:rFonts w:ascii="Times New Roman" w:hAnsi="Times New Roman"/>
                <w:sz w:val="20"/>
                <w:szCs w:val="20"/>
              </w:rPr>
              <w:t>NHSOPS)</w:t>
            </w:r>
          </w:p>
        </w:tc>
        <w:tc>
          <w:tcPr>
            <w:tcW w:w="2420" w:type="dxa"/>
            <w:shd w:val="clear" w:color="auto" w:fill="E9E6E3"/>
          </w:tcPr>
          <w:p w:rsidR="009868FA" w:rsidRPr="00E70711" w:rsidP="00C252CA" w14:paraId="6650A0A5" w14:textId="6340263B">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r w:rsidRPr="00E70711">
              <w:rPr>
                <w:rFonts w:ascii="Times New Roman" w:hAnsi="Times New Roman"/>
              </w:rPr>
              <w:t>Frontline staff at all participating sites</w:t>
            </w:r>
          </w:p>
          <w:p w:rsidR="009868FA" w:rsidRPr="00E70711" w:rsidP="003D6D70" w14:paraId="75C71817" w14:textId="77777777">
            <w:pPr>
              <w:pStyle w:val="NORCTableBullet110ptNarrow"/>
              <w:framePr w:hSpace="0" w:wrap="auto" w:vAnchor="margin" w:hAnchor="text" w:yAlign="inline"/>
              <w:numPr>
                <w:ilvl w:val="0"/>
                <w:numId w:val="43"/>
              </w:numPr>
              <w:tabs>
                <w:tab w:val="clear" w:pos="144"/>
                <w:tab w:val="left" w:pos="181"/>
              </w:tabs>
              <w:ind w:left="270" w:hanging="180"/>
              <w:suppressOverlap w:val="0"/>
              <w:rPr>
                <w:rFonts w:ascii="Times New Roman" w:hAnsi="Times New Roman"/>
              </w:rPr>
            </w:pPr>
            <w:r w:rsidRPr="00E70711">
              <w:rPr>
                <w:rFonts w:ascii="Times New Roman" w:hAnsi="Times New Roman"/>
              </w:rPr>
              <w:t>Estimated 25 staff per facility or unit</w:t>
            </w:r>
          </w:p>
          <w:p w:rsidR="0087354A" w:rsidRPr="00E70711" w:rsidP="00B06057" w14:paraId="4C82F29B" w14:textId="17A59A93">
            <w:pPr>
              <w:pStyle w:val="NORCTableBullet110ptNarrow"/>
              <w:framePr w:hSpace="0" w:wrap="auto" w:vAnchor="margin" w:hAnchor="text" w:yAlign="inline"/>
              <w:numPr>
                <w:ilvl w:val="0"/>
                <w:numId w:val="43"/>
              </w:numPr>
              <w:tabs>
                <w:tab w:val="clear" w:pos="144"/>
                <w:tab w:val="left" w:pos="181"/>
              </w:tabs>
              <w:ind w:left="270" w:hanging="180"/>
              <w:suppressOverlap w:val="0"/>
              <w:rPr>
                <w:rFonts w:ascii="Times New Roman" w:hAnsi="Times New Roman"/>
              </w:rPr>
            </w:pPr>
            <w:r w:rsidRPr="00E70711">
              <w:rPr>
                <w:rFonts w:ascii="Times New Roman" w:hAnsi="Times New Roman"/>
              </w:rPr>
              <w:t xml:space="preserve">Estimate at least </w:t>
            </w:r>
            <w:r w:rsidRPr="00E70711" w:rsidR="00B06057">
              <w:rPr>
                <w:rFonts w:ascii="Times New Roman" w:hAnsi="Times New Roman"/>
              </w:rPr>
              <w:t>75</w:t>
            </w:r>
            <w:r w:rsidRPr="00E70711">
              <w:rPr>
                <w:rFonts w:ascii="Times New Roman" w:hAnsi="Times New Roman"/>
              </w:rPr>
              <w:t>% of units within one facility</w:t>
            </w:r>
          </w:p>
        </w:tc>
        <w:tc>
          <w:tcPr>
            <w:tcW w:w="2557" w:type="dxa"/>
            <w:shd w:val="clear" w:color="auto" w:fill="E9E6E3"/>
          </w:tcPr>
          <w:p w:rsidR="003D4667" w:rsidRPr="00E70711" w:rsidP="005C2436" w14:paraId="19C68FE7" w14:textId="1ED057BD">
            <w:pPr>
              <w:pStyle w:val="NORCTableBullet110ptNarrow"/>
              <w:framePr w:hSpace="0" w:wrap="auto" w:vAnchor="margin" w:hAnchor="text" w:yAlign="inline"/>
              <w:numPr>
                <w:ilvl w:val="0"/>
                <w:numId w:val="0"/>
              </w:numPr>
              <w:ind w:left="360" w:hanging="270"/>
              <w:suppressOverlap w:val="0"/>
              <w:rPr>
                <w:rFonts w:ascii="Times New Roman" w:hAnsi="Times New Roman"/>
              </w:rPr>
            </w:pPr>
            <w:r w:rsidRPr="00E70711">
              <w:rPr>
                <w:rFonts w:ascii="Times New Roman" w:hAnsi="Times New Roman"/>
                <w:u w:val="single"/>
              </w:rPr>
              <w:t>All cohorts</w:t>
            </w:r>
            <w:r w:rsidRPr="00E70711">
              <w:rPr>
                <w:rFonts w:ascii="Times New Roman" w:hAnsi="Times New Roman"/>
              </w:rPr>
              <w:t xml:space="preserve">: </w:t>
            </w:r>
          </w:p>
          <w:p w:rsidR="009868FA" w:rsidRPr="00E70711" w:rsidP="00C252CA" w14:paraId="1EFBF0DA" w14:textId="200AA190">
            <w:pPr>
              <w:pStyle w:val="NORCTableBullet110ptNarrow"/>
              <w:framePr w:hSpace="0" w:wrap="auto" w:vAnchor="margin" w:hAnchor="text" w:yAlign="inline"/>
              <w:ind w:left="221" w:hanging="159"/>
              <w:suppressOverlap w:val="0"/>
              <w:rPr>
                <w:rFonts w:ascii="Times New Roman" w:hAnsi="Times New Roman"/>
              </w:rPr>
            </w:pPr>
            <w:r w:rsidRPr="00E70711">
              <w:rPr>
                <w:rFonts w:ascii="Times New Roman" w:hAnsi="Times New Roman"/>
              </w:rPr>
              <w:t xml:space="preserve">Once </w:t>
            </w:r>
            <w:r w:rsidR="00D7175B">
              <w:rPr>
                <w:rFonts w:ascii="Times New Roman" w:hAnsi="Times New Roman"/>
              </w:rPr>
              <w:t xml:space="preserve">during month 1 of </w:t>
            </w:r>
            <w:r w:rsidRPr="00965F68" w:rsidR="00965F68">
              <w:rPr>
                <w:rFonts w:ascii="Times New Roman" w:hAnsi="Times New Roman"/>
              </w:rPr>
              <w:t>implementation</w:t>
            </w:r>
          </w:p>
          <w:p w:rsidR="009868FA" w:rsidRPr="00E70711" w:rsidP="00BB1AB5" w14:paraId="4D074084" w14:textId="52E4D93E">
            <w:pPr>
              <w:pStyle w:val="NORCTableBullet110ptNarrow"/>
              <w:framePr w:hSpace="0" w:wrap="auto" w:vAnchor="margin" w:hAnchor="text" w:yAlign="inline"/>
              <w:ind w:left="221" w:hanging="159"/>
              <w:suppressOverlap w:val="0"/>
              <w:rPr>
                <w:rFonts w:ascii="Times New Roman" w:hAnsi="Times New Roman"/>
              </w:rPr>
            </w:pPr>
            <w:r w:rsidRPr="00E70711">
              <w:rPr>
                <w:rFonts w:ascii="Times New Roman" w:hAnsi="Times New Roman"/>
              </w:rPr>
              <w:t xml:space="preserve">Once </w:t>
            </w:r>
            <w:r w:rsidR="00D7175B">
              <w:rPr>
                <w:rFonts w:ascii="Times New Roman" w:hAnsi="Times New Roman"/>
              </w:rPr>
              <w:t xml:space="preserve">during month 18 of </w:t>
            </w:r>
            <w:r w:rsidRPr="00965F68" w:rsidR="00965F68">
              <w:rPr>
                <w:rFonts w:ascii="Times New Roman" w:hAnsi="Times New Roman"/>
              </w:rPr>
              <w:t>implementation</w:t>
            </w:r>
            <w:r w:rsidRPr="00E70711">
              <w:rPr>
                <w:rFonts w:ascii="Times New Roman" w:hAnsi="Times New Roman"/>
              </w:rPr>
              <w:t xml:space="preserve"> </w:t>
            </w:r>
          </w:p>
        </w:tc>
      </w:tr>
      <w:tr w14:paraId="33B9C48E" w14:textId="77777777" w:rsidTr="005663A4">
        <w:tblPrEx>
          <w:tblW w:w="8582" w:type="dxa"/>
          <w:jc w:val="center"/>
          <w:tblLayout w:type="fixed"/>
          <w:tblCellMar>
            <w:left w:w="0" w:type="dxa"/>
            <w:right w:w="0" w:type="dxa"/>
          </w:tblCellMar>
          <w:tblLook w:val="04A0"/>
        </w:tblPrEx>
        <w:trPr>
          <w:cantSplit/>
          <w:trHeight w:val="1169"/>
          <w:jc w:val="center"/>
        </w:trPr>
        <w:tc>
          <w:tcPr>
            <w:tcW w:w="1625" w:type="dxa"/>
            <w:shd w:val="clear" w:color="auto" w:fill="E9E6E3"/>
            <w:tcMar>
              <w:top w:w="0" w:type="dxa"/>
              <w:left w:w="108" w:type="dxa"/>
              <w:bottom w:w="0" w:type="dxa"/>
              <w:right w:w="108" w:type="dxa"/>
            </w:tcMar>
          </w:tcPr>
          <w:p w:rsidR="009868FA" w:rsidRPr="00E70711" w:rsidP="00C252CA" w14:paraId="0F28E9BE" w14:textId="5CD77FCB">
            <w:pPr>
              <w:pStyle w:val="NORCTableBodyLeft"/>
              <w:rPr>
                <w:rFonts w:ascii="Times New Roman" w:hAnsi="Times New Roman"/>
                <w:sz w:val="20"/>
                <w:szCs w:val="20"/>
              </w:rPr>
            </w:pPr>
            <w:r w:rsidRPr="00E70711">
              <w:rPr>
                <w:rFonts w:ascii="Times New Roman" w:hAnsi="Times New Roman"/>
                <w:sz w:val="20"/>
                <w:szCs w:val="20"/>
              </w:rPr>
              <w:t>Infrastructure Assessment Tool</w:t>
            </w:r>
          </w:p>
        </w:tc>
        <w:tc>
          <w:tcPr>
            <w:tcW w:w="1980" w:type="dxa"/>
            <w:shd w:val="clear" w:color="auto" w:fill="E9E6E3"/>
            <w:tcMar>
              <w:top w:w="0" w:type="dxa"/>
              <w:left w:w="108" w:type="dxa"/>
              <w:bottom w:w="0" w:type="dxa"/>
              <w:right w:w="108" w:type="dxa"/>
            </w:tcMar>
          </w:tcPr>
          <w:p w:rsidR="009868FA" w:rsidRPr="00E70711" w:rsidP="008E39E6" w14:paraId="44377E38" w14:textId="29E82D2E">
            <w:pPr>
              <w:pStyle w:val="NORCTableBodyLeft"/>
              <w:rPr>
                <w:rFonts w:ascii="Times New Roman" w:hAnsi="Times New Roman"/>
                <w:sz w:val="20"/>
                <w:szCs w:val="20"/>
              </w:rPr>
            </w:pPr>
            <w:r w:rsidRPr="00E70711">
              <w:rPr>
                <w:rFonts w:ascii="Times New Roman" w:hAnsi="Times New Roman"/>
                <w:sz w:val="20"/>
                <w:szCs w:val="20"/>
              </w:rPr>
              <w:t>Gap Analysis</w:t>
            </w:r>
            <w:r w:rsidRPr="00E70711">
              <w:rPr>
                <w:rFonts w:ascii="Times New Roman" w:hAnsi="Times New Roman"/>
                <w:sz w:val="20"/>
                <w:szCs w:val="20"/>
              </w:rPr>
              <w:t xml:space="preserve"> </w:t>
            </w:r>
          </w:p>
        </w:tc>
        <w:tc>
          <w:tcPr>
            <w:tcW w:w="2420" w:type="dxa"/>
            <w:shd w:val="clear" w:color="auto" w:fill="E9E6E3"/>
          </w:tcPr>
          <w:p w:rsidR="009868FA" w:rsidRPr="00E70711" w:rsidP="003D6D70" w14:paraId="78A00C98" w14:textId="0B485E62">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r w:rsidRPr="00E70711">
              <w:rPr>
                <w:rFonts w:ascii="Times New Roman" w:hAnsi="Times New Roman"/>
              </w:rPr>
              <w:t>Unit leader</w:t>
            </w:r>
            <w:r w:rsidR="003B418D">
              <w:rPr>
                <w:rFonts w:ascii="Times New Roman" w:hAnsi="Times New Roman"/>
              </w:rPr>
              <w:t xml:space="preserve"> and </w:t>
            </w:r>
            <w:r w:rsidRPr="00E70711" w:rsidR="00285E4A">
              <w:rPr>
                <w:rFonts w:ascii="Times New Roman" w:hAnsi="Times New Roman"/>
              </w:rPr>
              <w:t>Infection</w:t>
            </w:r>
            <w:r w:rsidRPr="00E70711" w:rsidR="00786B86">
              <w:rPr>
                <w:rFonts w:ascii="Times New Roman" w:hAnsi="Times New Roman"/>
              </w:rPr>
              <w:t xml:space="preserve"> </w:t>
            </w:r>
            <w:r w:rsidRPr="00E70711">
              <w:rPr>
                <w:rFonts w:ascii="Times New Roman" w:hAnsi="Times New Roman"/>
              </w:rPr>
              <w:t>P</w:t>
            </w:r>
            <w:r w:rsidRPr="00E70711" w:rsidR="00786B86">
              <w:rPr>
                <w:rFonts w:ascii="Times New Roman" w:hAnsi="Times New Roman"/>
              </w:rPr>
              <w:t>revention</w:t>
            </w:r>
            <w:r w:rsidR="003B418D">
              <w:rPr>
                <w:rFonts w:ascii="Times New Roman" w:hAnsi="Times New Roman"/>
              </w:rPr>
              <w:t>ist</w:t>
            </w:r>
            <w:r w:rsidRPr="00E70711" w:rsidR="00786B86">
              <w:rPr>
                <w:rFonts w:ascii="Times New Roman" w:hAnsi="Times New Roman"/>
              </w:rPr>
              <w:t xml:space="preserve"> (IP)</w:t>
            </w:r>
            <w:r w:rsidRPr="00E70711">
              <w:rPr>
                <w:rFonts w:ascii="Times New Roman" w:hAnsi="Times New Roman"/>
              </w:rPr>
              <w:t xml:space="preserve"> at the participating sites</w:t>
            </w:r>
          </w:p>
          <w:p w:rsidR="00AC3479" w:rsidRPr="00E70711" w:rsidP="00AC3479" w14:paraId="2F1027D8" w14:textId="306F07C0">
            <w:pPr>
              <w:pStyle w:val="NORCTableBullet110ptNarrow"/>
              <w:framePr w:hSpace="0" w:wrap="auto" w:vAnchor="margin" w:hAnchor="text" w:yAlign="inline"/>
              <w:numPr>
                <w:ilvl w:val="0"/>
                <w:numId w:val="43"/>
              </w:numPr>
              <w:tabs>
                <w:tab w:val="clear" w:pos="144"/>
                <w:tab w:val="left" w:pos="181"/>
              </w:tabs>
              <w:ind w:left="270" w:hanging="180"/>
              <w:suppressOverlap w:val="0"/>
              <w:rPr>
                <w:rFonts w:ascii="Times New Roman" w:hAnsi="Times New Roman"/>
              </w:rPr>
            </w:pPr>
            <w:r w:rsidRPr="005663A4">
              <w:rPr>
                <w:rFonts w:ascii="Times New Roman" w:hAnsi="Times New Roman"/>
              </w:rPr>
              <w:t xml:space="preserve">Estimated </w:t>
            </w:r>
            <w:r w:rsidR="003B418D">
              <w:rPr>
                <w:rFonts w:ascii="Times New Roman" w:hAnsi="Times New Roman"/>
              </w:rPr>
              <w:t>2</w:t>
            </w:r>
            <w:r w:rsidRPr="005663A4">
              <w:rPr>
                <w:rFonts w:ascii="Times New Roman" w:hAnsi="Times New Roman"/>
              </w:rPr>
              <w:t xml:space="preserve"> staff per facility</w:t>
            </w:r>
            <w:r w:rsidRPr="00E70711">
              <w:rPr>
                <w:rFonts w:ascii="Times New Roman" w:hAnsi="Times New Roman"/>
              </w:rPr>
              <w:t xml:space="preserve">, </w:t>
            </w:r>
            <w:r w:rsidRPr="00E70711">
              <w:rPr>
                <w:rFonts w:ascii="Times New Roman" w:hAnsi="Times New Roman"/>
              </w:rPr>
              <w:t>unit</w:t>
            </w:r>
            <w:r w:rsidRPr="00E70711">
              <w:rPr>
                <w:rFonts w:ascii="Times New Roman" w:hAnsi="Times New Roman"/>
              </w:rPr>
              <w:t xml:space="preserve"> or service</w:t>
            </w:r>
          </w:p>
          <w:p w:rsidR="00AC3479" w:rsidRPr="00E70711" w:rsidP="003D6D70" w14:paraId="20AEA6BC" w14:textId="71AFF612">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p>
        </w:tc>
        <w:tc>
          <w:tcPr>
            <w:tcW w:w="2557" w:type="dxa"/>
            <w:shd w:val="clear" w:color="auto" w:fill="E9E6E3"/>
          </w:tcPr>
          <w:p w:rsidR="003D6D70" w:rsidRPr="00E70711" w:rsidP="005C2436" w14:paraId="23A61C67" w14:textId="77777777">
            <w:pPr>
              <w:pStyle w:val="NORCTableBullet110ptNarrow"/>
              <w:framePr w:hSpace="0" w:wrap="auto" w:vAnchor="margin" w:hAnchor="text" w:yAlign="inline"/>
              <w:numPr>
                <w:ilvl w:val="0"/>
                <w:numId w:val="0"/>
              </w:numPr>
              <w:ind w:left="360" w:hanging="270"/>
              <w:suppressOverlap w:val="0"/>
              <w:rPr>
                <w:rFonts w:ascii="Times New Roman" w:hAnsi="Times New Roman"/>
              </w:rPr>
            </w:pPr>
            <w:r w:rsidRPr="00E70711">
              <w:rPr>
                <w:rFonts w:ascii="Times New Roman" w:hAnsi="Times New Roman"/>
                <w:u w:val="single"/>
              </w:rPr>
              <w:t>All cohorts</w:t>
            </w:r>
            <w:r w:rsidRPr="00E70711" w:rsidR="003D4667">
              <w:rPr>
                <w:rFonts w:ascii="Times New Roman" w:hAnsi="Times New Roman"/>
              </w:rPr>
              <w:t xml:space="preserve">: </w:t>
            </w:r>
          </w:p>
          <w:p w:rsidR="009868FA" w:rsidRPr="00E70711" w:rsidP="00A36CDE" w14:paraId="45B50EDD" w14:textId="2E891DA1">
            <w:pPr>
              <w:pStyle w:val="NORCTableBullet110ptNarrow"/>
              <w:framePr w:wrap="around"/>
              <w:ind w:hanging="270"/>
              <w:rPr>
                <w:rFonts w:ascii="Times New Roman" w:hAnsi="Times New Roman"/>
              </w:rPr>
            </w:pPr>
            <w:r w:rsidRPr="00E70711">
              <w:rPr>
                <w:rFonts w:ascii="Times New Roman" w:hAnsi="Times New Roman"/>
              </w:rPr>
              <w:t xml:space="preserve">Once </w:t>
            </w:r>
            <w:r w:rsidR="00D7175B">
              <w:rPr>
                <w:rFonts w:ascii="Times New Roman" w:hAnsi="Times New Roman"/>
              </w:rPr>
              <w:t xml:space="preserve">during month 1 of </w:t>
            </w:r>
            <w:r w:rsidRPr="00805ABC" w:rsidR="00965F68">
              <w:rPr>
                <w:rFonts w:ascii="Times New Roman" w:hAnsi="Times New Roman"/>
              </w:rPr>
              <w:t>implementation</w:t>
            </w:r>
            <w:r w:rsidRPr="00E70711" w:rsidR="00A36CDE">
              <w:rPr>
                <w:rFonts w:ascii="Times New Roman" w:hAnsi="Times New Roman"/>
              </w:rPr>
              <w:t xml:space="preserve"> </w:t>
            </w:r>
          </w:p>
          <w:p w:rsidR="00AC3479" w:rsidRPr="00E70711" w:rsidP="00D7175B" w14:paraId="5C729B39" w14:textId="5D426AE6">
            <w:pPr>
              <w:pStyle w:val="NORCTableBullet110ptNarrow"/>
              <w:framePr w:wrap="around"/>
              <w:ind w:hanging="270"/>
              <w:rPr>
                <w:rFonts w:ascii="Times New Roman" w:hAnsi="Times New Roman"/>
              </w:rPr>
            </w:pPr>
            <w:r w:rsidRPr="00E70711">
              <w:rPr>
                <w:rFonts w:ascii="Times New Roman" w:hAnsi="Times New Roman"/>
              </w:rPr>
              <w:t xml:space="preserve">Once </w:t>
            </w:r>
            <w:r w:rsidR="00D7175B">
              <w:rPr>
                <w:rFonts w:ascii="Times New Roman" w:hAnsi="Times New Roman"/>
              </w:rPr>
              <w:t xml:space="preserve">during month 18 of </w:t>
            </w:r>
            <w:r w:rsidRPr="00805ABC" w:rsidR="00965F68">
              <w:rPr>
                <w:rFonts w:ascii="Times New Roman" w:hAnsi="Times New Roman"/>
              </w:rPr>
              <w:t>implementation</w:t>
            </w:r>
          </w:p>
        </w:tc>
      </w:tr>
      <w:tr w14:paraId="1A96E2D2" w14:textId="77777777" w:rsidTr="005663A4">
        <w:tblPrEx>
          <w:tblW w:w="8582" w:type="dxa"/>
          <w:jc w:val="center"/>
          <w:tblLayout w:type="fixed"/>
          <w:tblCellMar>
            <w:left w:w="0" w:type="dxa"/>
            <w:right w:w="0" w:type="dxa"/>
          </w:tblCellMar>
          <w:tblLook w:val="04A0"/>
        </w:tblPrEx>
        <w:trPr>
          <w:cantSplit/>
          <w:trHeight w:val="1475"/>
          <w:jc w:val="center"/>
        </w:trPr>
        <w:tc>
          <w:tcPr>
            <w:tcW w:w="1625" w:type="dxa"/>
            <w:shd w:val="clear" w:color="auto" w:fill="E9E6E3"/>
            <w:tcMar>
              <w:top w:w="0" w:type="dxa"/>
              <w:left w:w="108" w:type="dxa"/>
              <w:bottom w:w="0" w:type="dxa"/>
              <w:right w:w="108" w:type="dxa"/>
            </w:tcMar>
          </w:tcPr>
          <w:p w:rsidR="009868FA" w:rsidRPr="00E70711" w:rsidP="00C252CA" w14:paraId="78B6562C" w14:textId="77777777">
            <w:pPr>
              <w:pStyle w:val="NORCTableBodyLeft"/>
              <w:rPr>
                <w:rFonts w:ascii="Times New Roman" w:hAnsi="Times New Roman"/>
                <w:sz w:val="20"/>
                <w:szCs w:val="20"/>
              </w:rPr>
            </w:pPr>
            <w:r w:rsidRPr="00E70711">
              <w:rPr>
                <w:rFonts w:ascii="Times New Roman" w:hAnsi="Times New Roman"/>
                <w:sz w:val="20"/>
                <w:szCs w:val="20"/>
              </w:rPr>
              <w:t>Implementation Assessments</w:t>
            </w:r>
          </w:p>
        </w:tc>
        <w:tc>
          <w:tcPr>
            <w:tcW w:w="1980" w:type="dxa"/>
            <w:shd w:val="clear" w:color="auto" w:fill="E9E6E3"/>
            <w:tcMar>
              <w:top w:w="0" w:type="dxa"/>
              <w:left w:w="108" w:type="dxa"/>
              <w:bottom w:w="0" w:type="dxa"/>
              <w:right w:w="108" w:type="dxa"/>
            </w:tcMar>
          </w:tcPr>
          <w:p w:rsidR="009868FA" w:rsidRPr="00E70711" w:rsidP="00AB6736" w14:paraId="67F75160" w14:textId="215D75CA">
            <w:pPr>
              <w:pStyle w:val="NORCTableBodyLeft"/>
              <w:rPr>
                <w:rFonts w:ascii="Times New Roman" w:hAnsi="Times New Roman"/>
                <w:sz w:val="20"/>
                <w:szCs w:val="20"/>
              </w:rPr>
            </w:pPr>
            <w:r w:rsidRPr="00E70711">
              <w:rPr>
                <w:rFonts w:ascii="Times New Roman" w:hAnsi="Times New Roman"/>
                <w:sz w:val="20"/>
                <w:szCs w:val="20"/>
              </w:rPr>
              <w:t>Team Check</w:t>
            </w:r>
            <w:r w:rsidRPr="00E70711" w:rsidR="00932C83">
              <w:rPr>
                <w:rFonts w:ascii="Times New Roman" w:hAnsi="Times New Roman"/>
                <w:sz w:val="20"/>
                <w:szCs w:val="20"/>
              </w:rPr>
              <w:t>up Tool</w:t>
            </w:r>
          </w:p>
        </w:tc>
        <w:tc>
          <w:tcPr>
            <w:tcW w:w="2420" w:type="dxa"/>
            <w:shd w:val="clear" w:color="auto" w:fill="E9E6E3"/>
          </w:tcPr>
          <w:p w:rsidR="009868FA" w:rsidRPr="00E70711" w:rsidP="00C252CA" w14:paraId="15F9B3FB" w14:textId="68F7062C">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r w:rsidRPr="00E70711">
              <w:rPr>
                <w:rFonts w:ascii="Times New Roman" w:hAnsi="Times New Roman"/>
              </w:rPr>
              <w:t xml:space="preserve">Frontline staff on </w:t>
            </w:r>
            <w:r w:rsidRPr="00E70711" w:rsidR="00D66462">
              <w:rPr>
                <w:rFonts w:ascii="Times New Roman" w:hAnsi="Times New Roman"/>
              </w:rPr>
              <w:t xml:space="preserve">CUSP </w:t>
            </w:r>
            <w:r w:rsidRPr="00E70711">
              <w:rPr>
                <w:rFonts w:ascii="Times New Roman" w:hAnsi="Times New Roman"/>
              </w:rPr>
              <w:t>teams</w:t>
            </w:r>
          </w:p>
          <w:p w:rsidR="003932E8" w:rsidRPr="00E70711" w:rsidP="003932E8" w14:paraId="4AD28E8B" w14:textId="580BE959">
            <w:pPr>
              <w:pStyle w:val="NORCTableBullet110ptNarrow"/>
              <w:framePr w:hSpace="0" w:wrap="auto" w:vAnchor="margin" w:hAnchor="text" w:yAlign="inline"/>
              <w:numPr>
                <w:ilvl w:val="0"/>
                <w:numId w:val="43"/>
              </w:numPr>
              <w:tabs>
                <w:tab w:val="clear" w:pos="144"/>
                <w:tab w:val="left" w:pos="181"/>
              </w:tabs>
              <w:ind w:left="270" w:hanging="180"/>
              <w:suppressOverlap w:val="0"/>
              <w:rPr>
                <w:rFonts w:ascii="Times New Roman" w:hAnsi="Times New Roman"/>
              </w:rPr>
            </w:pPr>
            <w:r w:rsidRPr="00E70711">
              <w:rPr>
                <w:rFonts w:ascii="Times New Roman" w:hAnsi="Times New Roman"/>
              </w:rPr>
              <w:t xml:space="preserve">Estimated </w:t>
            </w:r>
            <w:r w:rsidRPr="00E70711" w:rsidR="00336C09">
              <w:rPr>
                <w:rFonts w:ascii="Times New Roman" w:hAnsi="Times New Roman"/>
              </w:rPr>
              <w:t xml:space="preserve">1 staff per facility, </w:t>
            </w:r>
            <w:r w:rsidRPr="00E70711" w:rsidR="00336C09">
              <w:rPr>
                <w:rFonts w:ascii="Times New Roman" w:hAnsi="Times New Roman"/>
              </w:rPr>
              <w:t>unit</w:t>
            </w:r>
            <w:r w:rsidRPr="00E70711" w:rsidR="00336C09">
              <w:rPr>
                <w:rFonts w:ascii="Times New Roman" w:hAnsi="Times New Roman"/>
              </w:rPr>
              <w:t xml:space="preserve"> or service</w:t>
            </w:r>
          </w:p>
          <w:p w:rsidR="009868FA" w:rsidRPr="00E70711" w:rsidP="00C252CA" w14:paraId="0A506FF5" w14:textId="77777777">
            <w:pPr>
              <w:pStyle w:val="NORCTableBullet110ptNarrow"/>
              <w:framePr w:hSpace="0" w:wrap="auto" w:vAnchor="margin" w:hAnchor="text" w:yAlign="inline"/>
              <w:numPr>
                <w:ilvl w:val="0"/>
                <w:numId w:val="0"/>
              </w:numPr>
              <w:tabs>
                <w:tab w:val="clear" w:pos="144"/>
                <w:tab w:val="left" w:pos="181"/>
              </w:tabs>
              <w:ind w:left="541"/>
              <w:suppressOverlap w:val="0"/>
              <w:rPr>
                <w:rFonts w:ascii="Times New Roman" w:hAnsi="Times New Roman"/>
              </w:rPr>
            </w:pPr>
          </w:p>
        </w:tc>
        <w:tc>
          <w:tcPr>
            <w:tcW w:w="2557" w:type="dxa"/>
            <w:shd w:val="clear" w:color="auto" w:fill="E9E6E3"/>
          </w:tcPr>
          <w:p w:rsidR="009868FA" w:rsidRPr="00345D93" w:rsidP="005C2436" w14:paraId="4AE3BFA7" w14:textId="5AE1F8EE">
            <w:pPr>
              <w:pStyle w:val="NORCTableBullet110ptNarrow"/>
              <w:framePr w:hSpace="0" w:wrap="auto" w:vAnchor="margin" w:hAnchor="text" w:yAlign="inline"/>
              <w:numPr>
                <w:ilvl w:val="0"/>
                <w:numId w:val="0"/>
              </w:numPr>
              <w:ind w:left="360" w:hanging="270"/>
              <w:suppressOverlap w:val="0"/>
              <w:rPr>
                <w:rFonts w:ascii="Times New Roman" w:hAnsi="Times New Roman"/>
              </w:rPr>
            </w:pPr>
            <w:r w:rsidRPr="00E70711">
              <w:rPr>
                <w:rFonts w:ascii="Times New Roman" w:hAnsi="Times New Roman"/>
                <w:u w:val="single"/>
              </w:rPr>
              <w:t>All cohorts</w:t>
            </w:r>
            <w:r w:rsidRPr="00345D93">
              <w:rPr>
                <w:rFonts w:ascii="Times New Roman" w:hAnsi="Times New Roman"/>
              </w:rPr>
              <w:t xml:space="preserve">: </w:t>
            </w:r>
          </w:p>
          <w:p w:rsidR="003D4667" w:rsidRPr="00E70711" w:rsidP="00D7175B" w14:paraId="08AE1CE3" w14:textId="1A214A24">
            <w:pPr>
              <w:pStyle w:val="NORCTableBullet110ptNarrow"/>
              <w:framePr w:hSpace="0" w:wrap="auto" w:vAnchor="margin" w:hAnchor="text" w:yAlign="inline"/>
              <w:ind w:left="221" w:hanging="159"/>
              <w:suppressOverlap w:val="0"/>
              <w:rPr>
                <w:rFonts w:ascii="Times New Roman" w:hAnsi="Times New Roman"/>
              </w:rPr>
            </w:pPr>
            <w:r w:rsidRPr="00345D93">
              <w:rPr>
                <w:rFonts w:ascii="Times New Roman" w:hAnsi="Times New Roman"/>
              </w:rPr>
              <w:t>C</w:t>
            </w:r>
            <w:r w:rsidRPr="00345D93">
              <w:rPr>
                <w:rFonts w:ascii="Times New Roman" w:hAnsi="Times New Roman"/>
              </w:rPr>
              <w:t xml:space="preserve">onducted </w:t>
            </w:r>
            <w:r w:rsidRPr="00345D93" w:rsidR="00FC785D">
              <w:rPr>
                <w:rFonts w:ascii="Times New Roman" w:hAnsi="Times New Roman"/>
              </w:rPr>
              <w:t>monthly</w:t>
            </w:r>
            <w:r w:rsidRPr="00E70711" w:rsidR="00FC785D">
              <w:rPr>
                <w:rFonts w:ascii="Times New Roman" w:hAnsi="Times New Roman"/>
              </w:rPr>
              <w:t xml:space="preserve"> </w:t>
            </w:r>
            <w:r w:rsidRPr="00E70711">
              <w:rPr>
                <w:rFonts w:ascii="Times New Roman" w:hAnsi="Times New Roman"/>
              </w:rPr>
              <w:t xml:space="preserve">over the </w:t>
            </w:r>
            <w:r w:rsidRPr="00E70711" w:rsidR="00163FBA">
              <w:rPr>
                <w:rFonts w:ascii="Times New Roman" w:hAnsi="Times New Roman"/>
              </w:rPr>
              <w:t>over the course of the program</w:t>
            </w:r>
            <w:r w:rsidRPr="00E70711">
              <w:rPr>
                <w:rFonts w:ascii="Times New Roman" w:hAnsi="Times New Roman"/>
              </w:rPr>
              <w:t xml:space="preserve"> </w:t>
            </w:r>
            <w:r w:rsidRPr="00E70711" w:rsidR="00AC3479">
              <w:rPr>
                <w:rFonts w:ascii="Times New Roman" w:hAnsi="Times New Roman"/>
              </w:rPr>
              <w:t>from</w:t>
            </w:r>
            <w:r w:rsidR="00A86979">
              <w:rPr>
                <w:rFonts w:ascii="Times New Roman" w:hAnsi="Times New Roman"/>
              </w:rPr>
              <w:t xml:space="preserve"> </w:t>
            </w:r>
            <w:r w:rsidR="00D7175B">
              <w:rPr>
                <w:rFonts w:ascii="Times New Roman" w:hAnsi="Times New Roman"/>
              </w:rPr>
              <w:t xml:space="preserve">month 1 of the </w:t>
            </w:r>
            <w:r w:rsidRPr="00805ABC" w:rsidR="00965F68">
              <w:rPr>
                <w:rFonts w:ascii="Times New Roman" w:hAnsi="Times New Roman"/>
              </w:rPr>
              <w:t>implementation</w:t>
            </w:r>
            <w:r w:rsidR="00D7175B">
              <w:rPr>
                <w:rFonts w:ascii="Times New Roman" w:hAnsi="Times New Roman"/>
              </w:rPr>
              <w:t xml:space="preserve"> to month 18</w:t>
            </w:r>
            <w:r w:rsidR="00A86979">
              <w:rPr>
                <w:rFonts w:ascii="Times New Roman" w:hAnsi="Times New Roman"/>
              </w:rPr>
              <w:t xml:space="preserve"> </w:t>
            </w:r>
            <w:r w:rsidRPr="00E70711" w:rsidR="00AC3479">
              <w:rPr>
                <w:rFonts w:ascii="Times New Roman" w:hAnsi="Times New Roman"/>
              </w:rPr>
              <w:t xml:space="preserve">  </w:t>
            </w:r>
          </w:p>
        </w:tc>
      </w:tr>
      <w:tr w14:paraId="50315A1A" w14:textId="77777777" w:rsidTr="005663A4">
        <w:tblPrEx>
          <w:tblW w:w="8582" w:type="dxa"/>
          <w:jc w:val="center"/>
          <w:tblLayout w:type="fixed"/>
          <w:tblCellMar>
            <w:left w:w="0" w:type="dxa"/>
            <w:right w:w="0" w:type="dxa"/>
          </w:tblCellMar>
          <w:tblLook w:val="04A0"/>
        </w:tblPrEx>
        <w:trPr>
          <w:cantSplit/>
          <w:trHeight w:val="1475"/>
          <w:jc w:val="center"/>
        </w:trPr>
        <w:tc>
          <w:tcPr>
            <w:tcW w:w="1625" w:type="dxa"/>
            <w:shd w:val="clear" w:color="auto" w:fill="E9E6E3"/>
            <w:tcMar>
              <w:top w:w="0" w:type="dxa"/>
              <w:left w:w="108" w:type="dxa"/>
              <w:bottom w:w="0" w:type="dxa"/>
              <w:right w:w="108" w:type="dxa"/>
            </w:tcMar>
          </w:tcPr>
          <w:p w:rsidR="003D69AE" w:rsidRPr="001D56BD" w:rsidP="00C252CA" w14:paraId="12A2988E" w14:textId="25528898">
            <w:pPr>
              <w:pStyle w:val="NORCTableBodyLeft"/>
              <w:rPr>
                <w:rFonts w:ascii="Times New Roman" w:hAnsi="Times New Roman"/>
                <w:sz w:val="20"/>
                <w:szCs w:val="20"/>
              </w:rPr>
            </w:pPr>
            <w:r w:rsidRPr="005663A4">
              <w:rPr>
                <w:rFonts w:ascii="Times New Roman" w:hAnsi="Times New Roman"/>
                <w:bCs/>
                <w:sz w:val="20"/>
                <w:szCs w:val="20"/>
              </w:rPr>
              <w:t>EHR extracts of unit-level data</w:t>
            </w:r>
            <w:r w:rsidR="00E40B1E">
              <w:rPr>
                <w:rFonts w:ascii="Times New Roman" w:hAnsi="Times New Roman"/>
                <w:bCs/>
                <w:sz w:val="20"/>
                <w:szCs w:val="20"/>
              </w:rPr>
              <w:t xml:space="preserve"> (unless conferring rights to NHSN data)</w:t>
            </w:r>
          </w:p>
        </w:tc>
        <w:tc>
          <w:tcPr>
            <w:tcW w:w="1980" w:type="dxa"/>
            <w:shd w:val="clear" w:color="auto" w:fill="E9E6E3"/>
            <w:tcMar>
              <w:top w:w="0" w:type="dxa"/>
              <w:left w:w="108" w:type="dxa"/>
              <w:bottom w:w="0" w:type="dxa"/>
              <w:right w:w="108" w:type="dxa"/>
            </w:tcMar>
          </w:tcPr>
          <w:p w:rsidR="003D69AE" w:rsidRPr="00E70711" w:rsidP="00AB6736" w14:paraId="02C34DBD" w14:textId="21487D6B">
            <w:pPr>
              <w:pStyle w:val="NORCTableBodyLeft"/>
              <w:rPr>
                <w:rFonts w:ascii="Times New Roman" w:hAnsi="Times New Roman"/>
                <w:sz w:val="20"/>
                <w:szCs w:val="20"/>
              </w:rPr>
            </w:pPr>
            <w:r w:rsidRPr="002A1283">
              <w:rPr>
                <w:rFonts w:ascii="Times New Roman" w:hAnsi="Times New Roman"/>
                <w:bCs/>
                <w:sz w:val="20"/>
                <w:szCs w:val="20"/>
              </w:rPr>
              <w:t xml:space="preserve">EHR </w:t>
            </w:r>
            <w:r>
              <w:rPr>
                <w:rFonts w:ascii="Times New Roman" w:hAnsi="Times New Roman"/>
                <w:sz w:val="20"/>
                <w:szCs w:val="20"/>
              </w:rPr>
              <w:t>extraction tool</w:t>
            </w:r>
          </w:p>
        </w:tc>
        <w:tc>
          <w:tcPr>
            <w:tcW w:w="2420" w:type="dxa"/>
            <w:shd w:val="clear" w:color="auto" w:fill="E9E6E3"/>
          </w:tcPr>
          <w:p w:rsidR="003D69AE" w:rsidP="00C252CA" w14:paraId="69B77C4E" w14:textId="77777777">
            <w:pPr>
              <w:pStyle w:val="NORCTableBullet110ptNarrow"/>
              <w:framePr w:hSpace="0" w:wrap="auto" w:vAnchor="margin" w:hAnchor="text" w:yAlign="inline"/>
              <w:numPr>
                <w:ilvl w:val="0"/>
                <w:numId w:val="0"/>
              </w:numPr>
              <w:tabs>
                <w:tab w:val="clear" w:pos="144"/>
                <w:tab w:val="left" w:pos="181"/>
              </w:tabs>
              <w:ind w:left="91"/>
              <w:suppressOverlap w:val="0"/>
              <w:rPr>
                <w:rFonts w:ascii="Times New Roman" w:hAnsi="Times New Roman"/>
              </w:rPr>
            </w:pPr>
            <w:r>
              <w:rPr>
                <w:rFonts w:ascii="Times New Roman" w:hAnsi="Times New Roman"/>
              </w:rPr>
              <w:t>Data coordinator at participating sites</w:t>
            </w:r>
          </w:p>
          <w:p w:rsidR="001D56BD" w:rsidRPr="00E70711" w:rsidP="005663A4" w14:paraId="198A1072" w14:textId="0A260FFD">
            <w:pPr>
              <w:pStyle w:val="NORCTableBullet110ptNarrow"/>
              <w:framePr w:hSpace="0" w:wrap="auto" w:vAnchor="margin" w:hAnchor="text" w:yAlign="inline"/>
              <w:numPr>
                <w:ilvl w:val="0"/>
                <w:numId w:val="0"/>
              </w:numPr>
              <w:tabs>
                <w:tab w:val="clear" w:pos="144"/>
                <w:tab w:val="left" w:pos="181"/>
              </w:tabs>
              <w:ind w:left="270"/>
              <w:suppressOverlap w:val="0"/>
              <w:rPr>
                <w:rFonts w:ascii="Times New Roman" w:hAnsi="Times New Roman"/>
              </w:rPr>
            </w:pPr>
            <w:r w:rsidRPr="002A1283">
              <w:rPr>
                <w:rFonts w:ascii="Times New Roman" w:hAnsi="Times New Roman"/>
              </w:rPr>
              <w:t>Estimated 1 staff per facility</w:t>
            </w:r>
            <w:r w:rsidRPr="00E70711">
              <w:rPr>
                <w:rFonts w:ascii="Times New Roman" w:hAnsi="Times New Roman"/>
              </w:rPr>
              <w:t xml:space="preserve">, </w:t>
            </w:r>
            <w:r w:rsidRPr="00E70711">
              <w:rPr>
                <w:rFonts w:ascii="Times New Roman" w:hAnsi="Times New Roman"/>
              </w:rPr>
              <w:t>unit</w:t>
            </w:r>
            <w:r w:rsidRPr="00E70711">
              <w:rPr>
                <w:rFonts w:ascii="Times New Roman" w:hAnsi="Times New Roman"/>
              </w:rPr>
              <w:t xml:space="preserve"> or service</w:t>
            </w:r>
          </w:p>
        </w:tc>
        <w:tc>
          <w:tcPr>
            <w:tcW w:w="2557" w:type="dxa"/>
            <w:shd w:val="clear" w:color="auto" w:fill="E9E6E3"/>
          </w:tcPr>
          <w:p w:rsidR="001D56BD" w:rsidRPr="00E70711" w:rsidP="001D56BD" w14:paraId="629A1B3A" w14:textId="1849C652">
            <w:pPr>
              <w:pStyle w:val="NORCTableBullet110ptNarrow"/>
              <w:framePr w:hSpace="0" w:wrap="auto" w:vAnchor="margin" w:hAnchor="text" w:yAlign="inline"/>
              <w:numPr>
                <w:ilvl w:val="0"/>
                <w:numId w:val="0"/>
              </w:numPr>
              <w:ind w:left="360" w:hanging="270"/>
              <w:suppressOverlap w:val="0"/>
              <w:rPr>
                <w:rFonts w:ascii="Times New Roman" w:hAnsi="Times New Roman"/>
              </w:rPr>
            </w:pPr>
            <w:r w:rsidRPr="00E70711">
              <w:rPr>
                <w:rFonts w:ascii="Times New Roman" w:hAnsi="Times New Roman"/>
                <w:u w:val="single"/>
              </w:rPr>
              <w:t xml:space="preserve"> All cohorts</w:t>
            </w:r>
            <w:r w:rsidRPr="00E70711">
              <w:rPr>
                <w:rFonts w:ascii="Times New Roman" w:hAnsi="Times New Roman"/>
              </w:rPr>
              <w:t xml:space="preserve">: </w:t>
            </w:r>
          </w:p>
          <w:p w:rsidR="008B3EFD" w:rsidRPr="008B3EFD" w:rsidP="005663A4" w14:paraId="60A5B583" w14:textId="72599058">
            <w:pPr>
              <w:pStyle w:val="NORCTableBullet110ptNarrow"/>
              <w:framePr w:hSpace="0" w:wrap="auto" w:vAnchor="margin" w:hAnchor="text" w:yAlign="inline"/>
              <w:numPr>
                <w:ilvl w:val="0"/>
                <w:numId w:val="49"/>
              </w:numPr>
              <w:suppressOverlap w:val="0"/>
              <w:rPr>
                <w:rFonts w:ascii="Times New Roman" w:hAnsi="Times New Roman"/>
                <w:u w:val="single"/>
              </w:rPr>
            </w:pPr>
            <w:r>
              <w:rPr>
                <w:rFonts w:ascii="Times New Roman" w:hAnsi="Times New Roman"/>
              </w:rPr>
              <w:t>C</w:t>
            </w:r>
            <w:r w:rsidRPr="00E70711" w:rsidR="001D56BD">
              <w:rPr>
                <w:rFonts w:ascii="Times New Roman" w:hAnsi="Times New Roman"/>
              </w:rPr>
              <w:t xml:space="preserve">onducted </w:t>
            </w:r>
            <w:r w:rsidR="001711B5">
              <w:rPr>
                <w:rFonts w:ascii="Times New Roman" w:hAnsi="Times New Roman"/>
              </w:rPr>
              <w:t xml:space="preserve">quarterly </w:t>
            </w:r>
            <w:r w:rsidRPr="00E70711" w:rsidR="001D56BD">
              <w:rPr>
                <w:rFonts w:ascii="Times New Roman" w:hAnsi="Times New Roman"/>
              </w:rPr>
              <w:t xml:space="preserve">over the </w:t>
            </w:r>
            <w:r w:rsidR="001711B5">
              <w:rPr>
                <w:rFonts w:ascii="Times New Roman" w:hAnsi="Times New Roman"/>
              </w:rPr>
              <w:t>18 month</w:t>
            </w:r>
            <w:r w:rsidR="001711B5">
              <w:rPr>
                <w:rFonts w:ascii="Times New Roman" w:hAnsi="Times New Roman"/>
              </w:rPr>
              <w:t xml:space="preserve"> </w:t>
            </w:r>
            <w:r w:rsidRPr="00805ABC" w:rsidR="00965F68">
              <w:rPr>
                <w:rFonts w:ascii="Times New Roman" w:hAnsi="Times New Roman"/>
              </w:rPr>
              <w:t>implementation</w:t>
            </w:r>
            <w:r w:rsidR="001711B5">
              <w:rPr>
                <w:rFonts w:ascii="Times New Roman" w:hAnsi="Times New Roman"/>
              </w:rPr>
              <w:t xml:space="preserve"> period (monthly for LTC settings)</w:t>
            </w:r>
            <w:r w:rsidRPr="00E70711" w:rsidR="001D56BD">
              <w:rPr>
                <w:rFonts w:ascii="Times New Roman" w:hAnsi="Times New Roman"/>
              </w:rPr>
              <w:t xml:space="preserve"> </w:t>
            </w:r>
          </w:p>
        </w:tc>
      </w:tr>
    </w:tbl>
    <w:p w:rsidR="009868FA" w:rsidRPr="00D519AC" w:rsidP="00364187" w14:paraId="45B4BEE7" w14:textId="3F28B113">
      <w:pPr>
        <w:pStyle w:val="TableNormalL"/>
        <w:rPr>
          <w:rStyle w:val="Strong"/>
          <w:rFonts w:ascii="Times New Roman" w:hAnsi="Times New Roman"/>
          <w:b w:val="0"/>
        </w:rPr>
      </w:pPr>
    </w:p>
    <w:p w:rsidR="00364187" w:rsidRPr="00E70711" w:rsidP="00364187" w14:paraId="07455B71" w14:textId="77777777">
      <w:pPr>
        <w:pStyle w:val="TableNormalL"/>
        <w:rPr>
          <w:rStyle w:val="Strong"/>
          <w:rFonts w:ascii="Times New Roman" w:hAnsi="Times New Roman"/>
          <w:b w:val="0"/>
        </w:rPr>
      </w:pPr>
    </w:p>
    <w:p w:rsidR="00AC3479" w:rsidRPr="00D519AC" w:rsidP="00AC3479" w14:paraId="272B33A0" w14:textId="5A2D7390">
      <w:pPr>
        <w:pStyle w:val="ListParagraph"/>
        <w:numPr>
          <w:ilvl w:val="0"/>
          <w:numId w:val="37"/>
        </w:numPr>
        <w:rPr>
          <w:rStyle w:val="Strong"/>
          <w:b w:val="0"/>
        </w:rPr>
      </w:pPr>
      <w:r w:rsidRPr="00E70711">
        <w:rPr>
          <w:rStyle w:val="Strong"/>
        </w:rPr>
        <w:t>Surveys of Patient Safety Culture (HSOPS or NHSOPS) (Attachment</w:t>
      </w:r>
      <w:r w:rsidRPr="00E70711" w:rsidR="00644773">
        <w:rPr>
          <w:rStyle w:val="Strong"/>
        </w:rPr>
        <w:t>s</w:t>
      </w:r>
      <w:r w:rsidRPr="00E70711">
        <w:rPr>
          <w:rStyle w:val="Strong"/>
        </w:rPr>
        <w:t xml:space="preserve"> </w:t>
      </w:r>
      <w:r w:rsidR="006607D6">
        <w:rPr>
          <w:rStyle w:val="Strong"/>
        </w:rPr>
        <w:t>H</w:t>
      </w:r>
      <w:r w:rsidRPr="00311C66" w:rsidR="003154B0">
        <w:rPr>
          <w:rStyle w:val="Strong"/>
          <w:highlight w:val="yellow"/>
        </w:rPr>
        <w:t>, Q,</w:t>
      </w:r>
      <w:r w:rsidRPr="00E70711" w:rsidR="00403D73">
        <w:rPr>
          <w:rStyle w:val="Strong"/>
        </w:rPr>
        <w:t xml:space="preserve"> </w:t>
      </w:r>
      <w:r w:rsidRPr="00E70711" w:rsidR="00DE0A24">
        <w:rPr>
          <w:rStyle w:val="Strong"/>
        </w:rPr>
        <w:t xml:space="preserve">and </w:t>
      </w:r>
      <w:r w:rsidR="006607D6">
        <w:rPr>
          <w:rStyle w:val="Strong"/>
        </w:rPr>
        <w:t>I</w:t>
      </w:r>
      <w:r w:rsidRPr="00E70711">
        <w:rPr>
          <w:rStyle w:val="Strong"/>
        </w:rPr>
        <w:t>).</w:t>
      </w:r>
      <w:r w:rsidRPr="00E70711">
        <w:rPr>
          <w:rStyle w:val="Strong"/>
          <w:b w:val="0"/>
        </w:rPr>
        <w:t xml:space="preserve"> The program will administer the AHRQ Surveys of Patient Safety Culture to eligible </w:t>
      </w:r>
      <w:r w:rsidRPr="00E007FA">
        <w:rPr>
          <w:rStyle w:val="Strong"/>
          <w:b w:val="0"/>
          <w:i/>
        </w:rPr>
        <w:t>AHRQ Safety Program for MRSA Prevention</w:t>
      </w:r>
      <w:r w:rsidRPr="00E70711">
        <w:rPr>
          <w:rStyle w:val="Strong"/>
          <w:b w:val="0"/>
        </w:rPr>
        <w:t xml:space="preserve"> staff at the participating units or facilities at the beginning and end of the </w:t>
      </w:r>
      <w:r w:rsidRPr="00805ABC" w:rsidR="00965F68">
        <w:t>implementation</w:t>
      </w:r>
      <w:r w:rsidRPr="00E70711">
        <w:rPr>
          <w:rStyle w:val="Strong"/>
          <w:b w:val="0"/>
        </w:rPr>
        <w:t xml:space="preserve">. The survey has separate versions adapted for hospital settings and </w:t>
      </w:r>
      <w:r w:rsidR="00534AD2">
        <w:rPr>
          <w:rStyle w:val="Strong"/>
          <w:b w:val="0"/>
        </w:rPr>
        <w:t>LTC</w:t>
      </w:r>
      <w:r w:rsidRPr="00E70711">
        <w:rPr>
          <w:rStyle w:val="Strong"/>
          <w:b w:val="0"/>
        </w:rPr>
        <w:t xml:space="preserve"> care settings: </w:t>
      </w:r>
    </w:p>
    <w:p w:rsidR="00AC3479" w:rsidRPr="00311C66" w:rsidP="00AC3479" w14:paraId="3F68398C" w14:textId="6A735515">
      <w:pPr>
        <w:pStyle w:val="ListParagraph"/>
        <w:numPr>
          <w:ilvl w:val="1"/>
          <w:numId w:val="37"/>
        </w:numPr>
        <w:rPr>
          <w:rStyle w:val="Strong"/>
          <w:b w:val="0"/>
          <w:highlight w:val="yellow"/>
        </w:rPr>
      </w:pPr>
      <w:r w:rsidRPr="00345D93">
        <w:rPr>
          <w:rStyle w:val="Strong"/>
          <w:b w:val="0"/>
        </w:rPr>
        <w:t>The Hospital Survey on Patient Safety (HSOPS) will be utilized to evaluate safety culture for ICU, Non-</w:t>
      </w:r>
      <w:r w:rsidRPr="00345D93">
        <w:rPr>
          <w:rStyle w:val="Strong"/>
          <w:b w:val="0"/>
        </w:rPr>
        <w:t>ICU</w:t>
      </w:r>
      <w:r w:rsidRPr="00345D93">
        <w:rPr>
          <w:rStyle w:val="Strong"/>
          <w:b w:val="0"/>
        </w:rPr>
        <w:t xml:space="preserve"> and surgical sites.</w:t>
      </w:r>
      <w:r w:rsidR="00AD76F8">
        <w:rPr>
          <w:rStyle w:val="Strong"/>
          <w:b w:val="0"/>
        </w:rPr>
        <w:t xml:space="preserve"> </w:t>
      </w:r>
      <w:bookmarkStart w:id="63" w:name="OLE_LINK2"/>
      <w:r w:rsidRPr="00311C66" w:rsidR="00AD76F8">
        <w:rPr>
          <w:highlight w:val="yellow"/>
        </w:rPr>
        <w:t>The NPT will accept either HSOPS Version 1.0 or Version 2.0 for the ICU and non-ICU cohort and will accept HSOPS Version 2.0 for the surgical services cohort.</w:t>
      </w:r>
      <w:bookmarkEnd w:id="63"/>
    </w:p>
    <w:p w:rsidR="00AC3479" w:rsidRPr="00345D93" w:rsidP="00AC3479" w14:paraId="1C748116" w14:textId="4E839FE5">
      <w:pPr>
        <w:pStyle w:val="ListParagraph"/>
        <w:numPr>
          <w:ilvl w:val="1"/>
          <w:numId w:val="37"/>
        </w:numPr>
        <w:rPr>
          <w:rStyle w:val="Strong"/>
          <w:b w:val="0"/>
        </w:rPr>
      </w:pPr>
      <w:r w:rsidRPr="00345D93">
        <w:rPr>
          <w:rStyle w:val="Strong"/>
          <w:b w:val="0"/>
        </w:rPr>
        <w:t xml:space="preserve">The Nursing Home Survey on Patient Safety (NHSOPS) will be administered in </w:t>
      </w:r>
      <w:r w:rsidRPr="00345D93" w:rsidR="00534AD2">
        <w:rPr>
          <w:rStyle w:val="Strong"/>
          <w:b w:val="0"/>
        </w:rPr>
        <w:t>LTC</w:t>
      </w:r>
      <w:r w:rsidRPr="00345D93">
        <w:rPr>
          <w:rStyle w:val="Strong"/>
          <w:b w:val="0"/>
        </w:rPr>
        <w:t xml:space="preserve"> facilities. </w:t>
      </w:r>
    </w:p>
    <w:p w:rsidR="00AC3479" w:rsidRPr="00345D93" w:rsidP="00AC3479" w14:paraId="3C88D892" w14:textId="77777777">
      <w:pPr>
        <w:pStyle w:val="ListParagraph"/>
        <w:ind w:left="1440"/>
        <w:rPr>
          <w:rStyle w:val="Strong"/>
          <w:b w:val="0"/>
        </w:rPr>
      </w:pPr>
    </w:p>
    <w:p w:rsidR="00AC3479" w:rsidRPr="00345D93" w:rsidP="00AC3479" w14:paraId="68E93FFD" w14:textId="54CB1665">
      <w:pPr>
        <w:pStyle w:val="ListParagraph"/>
        <w:rPr>
          <w:rStyle w:val="Strong"/>
          <w:b w:val="0"/>
        </w:rPr>
      </w:pPr>
      <w:r w:rsidRPr="00345D93">
        <w:rPr>
          <w:rStyle w:val="Strong"/>
          <w:b w:val="0"/>
        </w:rPr>
        <w:t>Each survey asks questions about patient safety issues, medical error, and event reporting in the respective setting</w:t>
      </w:r>
      <w:r w:rsidR="001C264D">
        <w:rPr>
          <w:rStyle w:val="Strong"/>
          <w:b w:val="0"/>
        </w:rPr>
        <w:t xml:space="preserve">. </w:t>
      </w:r>
      <w:r w:rsidRPr="001E7F9E" w:rsidR="001C264D">
        <w:rPr>
          <w:rStyle w:val="Strong"/>
          <w:b w:val="0"/>
          <w:highlight w:val="yellow"/>
        </w:rPr>
        <w:t xml:space="preserve">HSOPS 1.0 and NHSOPS take roughly </w:t>
      </w:r>
      <w:r w:rsidRPr="001E7F9E" w:rsidR="00FA32F9">
        <w:rPr>
          <w:rStyle w:val="Strong"/>
          <w:b w:val="0"/>
          <w:highlight w:val="yellow"/>
        </w:rPr>
        <w:t>15 minutes to complete</w:t>
      </w:r>
      <w:r w:rsidRPr="001E7F9E" w:rsidR="001C264D">
        <w:rPr>
          <w:rStyle w:val="Strong"/>
          <w:b w:val="0"/>
          <w:highlight w:val="yellow"/>
        </w:rPr>
        <w:t xml:space="preserve"> with HSOPS 2.0 taking roughly 12.5</w:t>
      </w:r>
      <w:r w:rsidRPr="001E7F9E" w:rsidR="00EE3FC9">
        <w:rPr>
          <w:rStyle w:val="Strong"/>
          <w:b w:val="0"/>
          <w:highlight w:val="yellow"/>
        </w:rPr>
        <w:t xml:space="preserve"> minutes</w:t>
      </w:r>
      <w:r w:rsidRPr="001E7F9E" w:rsidR="001C264D">
        <w:rPr>
          <w:rStyle w:val="Strong"/>
          <w:b w:val="0"/>
          <w:highlight w:val="yellow"/>
        </w:rPr>
        <w:t>.</w:t>
      </w:r>
      <w:r w:rsidRPr="00345D93">
        <w:rPr>
          <w:rStyle w:val="Strong"/>
          <w:b w:val="0"/>
        </w:rPr>
        <w:t xml:space="preserve"> For patient safety culture surveys, the program will reach out to all eligible providers and staff in accordance with the HSOPS and NHSOPS User’s Guides. All eligible staff on the unit or facility that is implementing the </w:t>
      </w:r>
      <w:r w:rsidRPr="00345D93">
        <w:rPr>
          <w:rStyle w:val="Strong"/>
          <w:b w:val="0"/>
          <w:i/>
        </w:rPr>
        <w:t>AHRQ Safety Program for MRSA Prevention</w:t>
      </w:r>
      <w:r w:rsidRPr="00345D93">
        <w:rPr>
          <w:rStyle w:val="Strong"/>
          <w:b w:val="0"/>
        </w:rPr>
        <w:t xml:space="preserve"> will be asked to complete the survey. As unit and facility size vary, the program estimates the average number of respondents to be 25 for each unit. Participating staff should have enough knowledge about the day-to-day activities in the unit or facility and interact regularly with other staff working in the unit or facility </w:t>
      </w:r>
      <w:r w:rsidRPr="00345D93">
        <w:rPr>
          <w:rStyle w:val="Strong"/>
          <w:b w:val="0"/>
        </w:rPr>
        <w:t>in order to</w:t>
      </w:r>
      <w:r w:rsidRPr="00345D93">
        <w:rPr>
          <w:rStyle w:val="Strong"/>
          <w:b w:val="0"/>
        </w:rPr>
        <w:t xml:space="preserve"> provide informed answers. These staff, who spend all or most of their time at work within the unit or facility, may include the following:</w:t>
      </w:r>
    </w:p>
    <w:p w:rsidR="00AC3479" w:rsidRPr="00345D93" w:rsidP="00AC3479" w14:paraId="5748BCC7" w14:textId="77777777">
      <w:pPr>
        <w:pStyle w:val="ListParagraph"/>
        <w:numPr>
          <w:ilvl w:val="0"/>
          <w:numId w:val="44"/>
        </w:numPr>
        <w:rPr>
          <w:rStyle w:val="Strong"/>
          <w:b w:val="0"/>
        </w:rPr>
      </w:pPr>
      <w:r w:rsidRPr="00345D93">
        <w:rPr>
          <w:rStyle w:val="Strong"/>
          <w:b w:val="0"/>
        </w:rPr>
        <w:t xml:space="preserve">Staff who have direct contact or interaction with patients or </w:t>
      </w:r>
      <w:r w:rsidRPr="00345D93">
        <w:rPr>
          <w:rStyle w:val="Strong"/>
          <w:b w:val="0"/>
        </w:rPr>
        <w:t>residents;</w:t>
      </w:r>
      <w:r w:rsidRPr="00345D93">
        <w:rPr>
          <w:rStyle w:val="Strong"/>
          <w:b w:val="0"/>
        </w:rPr>
        <w:t xml:space="preserve"> </w:t>
      </w:r>
    </w:p>
    <w:p w:rsidR="00AC3479" w:rsidRPr="00345D93" w:rsidP="00AC3479" w14:paraId="1C7EFF67" w14:textId="09F9DEE0">
      <w:pPr>
        <w:pStyle w:val="ListParagraph"/>
        <w:numPr>
          <w:ilvl w:val="0"/>
          <w:numId w:val="44"/>
        </w:numPr>
        <w:rPr>
          <w:rStyle w:val="Strong"/>
          <w:b w:val="0"/>
        </w:rPr>
      </w:pPr>
      <w:r w:rsidRPr="00345D93">
        <w:rPr>
          <w:rStyle w:val="Strong"/>
          <w:b w:val="0"/>
        </w:rPr>
        <w:t xml:space="preserve">Staff who may not have direct contact or interaction with patients or residents but whose work directly affects patient or resident </w:t>
      </w:r>
      <w:r w:rsidRPr="00345D93">
        <w:rPr>
          <w:rStyle w:val="Strong"/>
          <w:b w:val="0"/>
        </w:rPr>
        <w:t>care;</w:t>
      </w:r>
      <w:r w:rsidRPr="00345D93">
        <w:rPr>
          <w:rStyle w:val="Strong"/>
          <w:b w:val="0"/>
        </w:rPr>
        <w:t xml:space="preserve"> </w:t>
      </w:r>
    </w:p>
    <w:p w:rsidR="00AC3479" w:rsidRPr="00345D93" w:rsidP="00AB6736" w14:paraId="4F18D57A" w14:textId="77777777">
      <w:pPr>
        <w:pStyle w:val="ListParagraph"/>
        <w:ind w:left="1440"/>
        <w:rPr>
          <w:rStyle w:val="Strong"/>
          <w:b w:val="0"/>
        </w:rPr>
      </w:pPr>
    </w:p>
    <w:p w:rsidR="004B6DF4" w:rsidRPr="00345D93" w:rsidP="000F21EA" w14:paraId="67A2194B" w14:textId="71036964">
      <w:pPr>
        <w:pStyle w:val="ListParagraph"/>
        <w:numPr>
          <w:ilvl w:val="0"/>
          <w:numId w:val="37"/>
        </w:numPr>
        <w:rPr>
          <w:rStyle w:val="Strong"/>
          <w:b w:val="0"/>
        </w:rPr>
      </w:pPr>
      <w:r w:rsidRPr="00345D93">
        <w:rPr>
          <w:rStyle w:val="Strong"/>
        </w:rPr>
        <w:t>Gap Analysis</w:t>
      </w:r>
      <w:r w:rsidRPr="00345D93">
        <w:rPr>
          <w:rStyle w:val="Strong"/>
        </w:rPr>
        <w:t xml:space="preserve"> (Attachment</w:t>
      </w:r>
      <w:r w:rsidRPr="00345D93" w:rsidR="00DE0A24">
        <w:rPr>
          <w:rStyle w:val="Strong"/>
        </w:rPr>
        <w:t>s</w:t>
      </w:r>
      <w:r w:rsidRPr="00345D93">
        <w:rPr>
          <w:rStyle w:val="Strong"/>
        </w:rPr>
        <w:t xml:space="preserve"> </w:t>
      </w:r>
      <w:r w:rsidRPr="00345D93" w:rsidR="00DE0A24">
        <w:rPr>
          <w:rStyle w:val="Strong"/>
        </w:rPr>
        <w:t xml:space="preserve">B, C, </w:t>
      </w:r>
      <w:r w:rsidRPr="00345D93" w:rsidR="00C93CFD">
        <w:rPr>
          <w:rStyle w:val="Strong"/>
        </w:rPr>
        <w:t xml:space="preserve">and </w:t>
      </w:r>
      <w:r w:rsidRPr="00345D93" w:rsidR="00DE0A24">
        <w:rPr>
          <w:rStyle w:val="Strong"/>
        </w:rPr>
        <w:t>D</w:t>
      </w:r>
      <w:r w:rsidRPr="00345D93">
        <w:rPr>
          <w:rStyle w:val="Strong"/>
        </w:rPr>
        <w:t xml:space="preserve">). </w:t>
      </w:r>
      <w:r w:rsidRPr="00345D93" w:rsidR="00F85709">
        <w:rPr>
          <w:rStyle w:val="Strong"/>
          <w:b w:val="0"/>
        </w:rPr>
        <w:t>The unit or facility</w:t>
      </w:r>
      <w:r w:rsidRPr="00345D93" w:rsidR="004C1D50">
        <w:rPr>
          <w:rStyle w:val="Strong"/>
          <w:b w:val="0"/>
        </w:rPr>
        <w:t xml:space="preserve"> team</w:t>
      </w:r>
      <w:r w:rsidRPr="00345D93" w:rsidR="00F85709">
        <w:rPr>
          <w:rStyle w:val="Strong"/>
          <w:b w:val="0"/>
        </w:rPr>
        <w:t xml:space="preserve"> lead </w:t>
      </w:r>
      <w:r w:rsidRPr="00345D93" w:rsidR="004C1D50">
        <w:rPr>
          <w:rStyle w:val="Strong"/>
          <w:b w:val="0"/>
        </w:rPr>
        <w:t xml:space="preserve">and Infection Preventionist </w:t>
      </w:r>
      <w:r w:rsidRPr="00345D93" w:rsidR="00F85709">
        <w:rPr>
          <w:rStyle w:val="Strong"/>
          <w:b w:val="0"/>
        </w:rPr>
        <w:t xml:space="preserve">at each participating unit or facility will complete the </w:t>
      </w:r>
      <w:r w:rsidRPr="00345D93">
        <w:rPr>
          <w:rStyle w:val="Strong"/>
          <w:b w:val="0"/>
        </w:rPr>
        <w:t>Gap Analysis</w:t>
      </w:r>
      <w:r w:rsidRPr="00345D93" w:rsidR="003D30FC">
        <w:rPr>
          <w:rStyle w:val="Strong"/>
          <w:b w:val="0"/>
        </w:rPr>
        <w:t xml:space="preserve"> </w:t>
      </w:r>
      <w:r w:rsidRPr="00345D93">
        <w:rPr>
          <w:rStyle w:val="Strong"/>
          <w:b w:val="0"/>
        </w:rPr>
        <w:t xml:space="preserve">at the beginning and end of the </w:t>
      </w:r>
      <w:r w:rsidRPr="00345D93" w:rsidR="00965F68">
        <w:t>implementation</w:t>
      </w:r>
      <w:r w:rsidRPr="00345D93" w:rsidR="009D66D8">
        <w:t xml:space="preserve"> period </w:t>
      </w:r>
      <w:r w:rsidRPr="00345D93" w:rsidR="003D30FC">
        <w:rPr>
          <w:rStyle w:val="Strong"/>
          <w:b w:val="0"/>
        </w:rPr>
        <w:t xml:space="preserve">for each of the four cohorts. </w:t>
      </w:r>
      <w:r w:rsidRPr="00345D93" w:rsidR="00FA32F9">
        <w:rPr>
          <w:rStyle w:val="Strong"/>
          <w:b w:val="0"/>
        </w:rPr>
        <w:t xml:space="preserve"> </w:t>
      </w:r>
      <w:r w:rsidRPr="00345D93" w:rsidR="00C43216">
        <w:rPr>
          <w:rStyle w:val="Strong"/>
          <w:b w:val="0"/>
        </w:rPr>
        <w:t>For each administration of the tool, t</w:t>
      </w:r>
      <w:r w:rsidRPr="00345D93" w:rsidR="00C97F26">
        <w:rPr>
          <w:rStyle w:val="Strong"/>
          <w:b w:val="0"/>
        </w:rPr>
        <w:t>he Gap Analysis takes approximately one hour for both participants to complete.</w:t>
      </w:r>
      <w:r w:rsidRPr="00345D93" w:rsidR="003D30FC">
        <w:rPr>
          <w:rStyle w:val="Strong"/>
          <w:b w:val="0"/>
        </w:rPr>
        <w:t xml:space="preserve"> </w:t>
      </w:r>
    </w:p>
    <w:p w:rsidR="009868FA" w:rsidRPr="00345D93" w:rsidP="00FD7B18" w14:paraId="6C4F1B09" w14:textId="77777777">
      <w:pPr>
        <w:rPr>
          <w:rStyle w:val="Strong"/>
        </w:rPr>
      </w:pPr>
    </w:p>
    <w:p w:rsidR="00F85709" w:rsidRPr="00345D93" w:rsidP="00B213CD" w14:paraId="0C115B14" w14:textId="67D0D491">
      <w:pPr>
        <w:pStyle w:val="ListParagraph"/>
        <w:numPr>
          <w:ilvl w:val="0"/>
          <w:numId w:val="37"/>
        </w:numPr>
        <w:rPr>
          <w:rStyle w:val="Strong"/>
        </w:rPr>
      </w:pPr>
      <w:r w:rsidRPr="00345D93">
        <w:rPr>
          <w:rStyle w:val="Strong"/>
        </w:rPr>
        <w:t>I</w:t>
      </w:r>
      <w:r w:rsidRPr="00345D93" w:rsidR="004463B9">
        <w:rPr>
          <w:rStyle w:val="Strong"/>
        </w:rPr>
        <w:t xml:space="preserve">mplementation assessments: </w:t>
      </w:r>
      <w:r w:rsidRPr="00345D93">
        <w:rPr>
          <w:rStyle w:val="Strong"/>
        </w:rPr>
        <w:t>Team Check</w:t>
      </w:r>
      <w:r w:rsidRPr="00345D93" w:rsidR="0044220E">
        <w:rPr>
          <w:rStyle w:val="Strong"/>
        </w:rPr>
        <w:t>up Tool</w:t>
      </w:r>
      <w:r w:rsidRPr="00345D93">
        <w:rPr>
          <w:rStyle w:val="Strong"/>
        </w:rPr>
        <w:t xml:space="preserve"> (Attachment</w:t>
      </w:r>
      <w:r w:rsidRPr="00345D93" w:rsidR="00BB20EC">
        <w:rPr>
          <w:rStyle w:val="Strong"/>
        </w:rPr>
        <w:t>s</w:t>
      </w:r>
      <w:r w:rsidRPr="00345D93">
        <w:rPr>
          <w:rStyle w:val="Strong"/>
        </w:rPr>
        <w:t xml:space="preserve"> </w:t>
      </w:r>
      <w:r w:rsidRPr="00345D93" w:rsidR="006607D6">
        <w:rPr>
          <w:rStyle w:val="Strong"/>
        </w:rPr>
        <w:t>E</w:t>
      </w:r>
      <w:r w:rsidRPr="00345D93" w:rsidR="009A3710">
        <w:rPr>
          <w:rStyle w:val="Strong"/>
        </w:rPr>
        <w:t xml:space="preserve">, </w:t>
      </w:r>
      <w:r w:rsidRPr="00345D93" w:rsidR="006607D6">
        <w:rPr>
          <w:rStyle w:val="Strong"/>
        </w:rPr>
        <w:t>F</w:t>
      </w:r>
      <w:r w:rsidRPr="00345D93" w:rsidR="00E10878">
        <w:rPr>
          <w:rStyle w:val="Strong"/>
        </w:rPr>
        <w:t>,</w:t>
      </w:r>
      <w:r w:rsidRPr="00345D93" w:rsidR="009A3710">
        <w:rPr>
          <w:rStyle w:val="Strong"/>
        </w:rPr>
        <w:t xml:space="preserve"> and </w:t>
      </w:r>
      <w:r w:rsidRPr="00345D93" w:rsidR="006607D6">
        <w:rPr>
          <w:rStyle w:val="Strong"/>
        </w:rPr>
        <w:t>G</w:t>
      </w:r>
      <w:r w:rsidRPr="00345D93">
        <w:rPr>
          <w:rStyle w:val="Strong"/>
        </w:rPr>
        <w:t>).</w:t>
      </w:r>
      <w:r w:rsidRPr="00345D93" w:rsidR="009868FA">
        <w:rPr>
          <w:rStyle w:val="Strong"/>
          <w:b w:val="0"/>
        </w:rPr>
        <w:t xml:space="preserve"> </w:t>
      </w:r>
      <w:r w:rsidRPr="00345D93" w:rsidR="004463B9">
        <w:t xml:space="preserve">The program will use the Team Checkup Tool </w:t>
      </w:r>
      <w:r w:rsidRPr="00345D93" w:rsidR="001B1F1E">
        <w:t xml:space="preserve">monthly </w:t>
      </w:r>
      <w:r w:rsidRPr="00345D93" w:rsidR="00E214BE">
        <w:t xml:space="preserve">throughout the program </w:t>
      </w:r>
      <w:r w:rsidRPr="00345D93" w:rsidR="004463B9">
        <w:t>to monitor key actions of staff. The Tool</w:t>
      </w:r>
      <w:r w:rsidRPr="00345D93" w:rsidR="009A3710">
        <w:t>s</w:t>
      </w:r>
      <w:r w:rsidRPr="00345D93" w:rsidR="004463B9">
        <w:t xml:space="preserve"> ask about use of safety guidelines, tools, and resources throughout three different phases: Assessment (1), Planning, Training, and Implementation (2), and Sustainment (3).</w:t>
      </w:r>
      <w:r w:rsidRPr="00345D93" w:rsidR="00C43216">
        <w:t xml:space="preserve">  For each administration of this tool, the TCT takes approximately ten minutes to complete.</w:t>
      </w:r>
    </w:p>
    <w:p w:rsidR="009868FA" w:rsidRPr="00345D93" w:rsidP="00FD7B18" w14:paraId="568A6649" w14:textId="77777777">
      <w:pPr>
        <w:pStyle w:val="ListParagraph"/>
        <w:rPr>
          <w:rStyle w:val="Strong"/>
        </w:rPr>
      </w:pPr>
    </w:p>
    <w:p w:rsidR="005E0CE8" w:rsidRPr="00345D93" w:rsidP="005E0CE8" w14:paraId="2746B82B" w14:textId="045D8270">
      <w:pPr>
        <w:pStyle w:val="ListParagraph"/>
        <w:numPr>
          <w:ilvl w:val="0"/>
          <w:numId w:val="37"/>
        </w:numPr>
        <w:rPr>
          <w:rStyle w:val="Strong"/>
        </w:rPr>
      </w:pPr>
      <w:r w:rsidRPr="00345D93">
        <w:rPr>
          <w:rStyle w:val="Strong"/>
        </w:rPr>
        <w:t>Clinical Outcomes Data</w:t>
      </w:r>
      <w:r w:rsidRPr="00345D93" w:rsidR="00F85709">
        <w:rPr>
          <w:rStyle w:val="Strong"/>
        </w:rPr>
        <w:t xml:space="preserve"> of unit-level data (Attachment </w:t>
      </w:r>
      <w:r w:rsidRPr="00345D93" w:rsidR="006607D6">
        <w:rPr>
          <w:rStyle w:val="Strong"/>
        </w:rPr>
        <w:t>J</w:t>
      </w:r>
      <w:r w:rsidRPr="00345D93" w:rsidR="003D68A7">
        <w:rPr>
          <w:rStyle w:val="Strong"/>
        </w:rPr>
        <w:t xml:space="preserve">, </w:t>
      </w:r>
      <w:r w:rsidRPr="00345D93" w:rsidR="006607D6">
        <w:rPr>
          <w:rStyle w:val="Strong"/>
        </w:rPr>
        <w:t>K</w:t>
      </w:r>
      <w:r w:rsidRPr="00345D93" w:rsidR="00E10878">
        <w:rPr>
          <w:rStyle w:val="Strong"/>
        </w:rPr>
        <w:t>,</w:t>
      </w:r>
      <w:r w:rsidRPr="00345D93" w:rsidR="003D68A7">
        <w:rPr>
          <w:rStyle w:val="Strong"/>
        </w:rPr>
        <w:t xml:space="preserve"> and </w:t>
      </w:r>
      <w:r w:rsidRPr="00345D93" w:rsidR="006607D6">
        <w:rPr>
          <w:rStyle w:val="Strong"/>
        </w:rPr>
        <w:t>L</w:t>
      </w:r>
      <w:r w:rsidRPr="00345D93" w:rsidR="00F85709">
        <w:rPr>
          <w:rStyle w:val="Strong"/>
        </w:rPr>
        <w:t xml:space="preserve">). </w:t>
      </w:r>
      <w:r w:rsidRPr="00345D93" w:rsidR="00660689">
        <w:rPr>
          <w:rStyle w:val="Strong"/>
          <w:b w:val="0"/>
        </w:rPr>
        <w:t xml:space="preserve">For </w:t>
      </w:r>
      <w:r w:rsidRPr="00345D93" w:rsidR="00DE028F">
        <w:rPr>
          <w:rStyle w:val="Strong"/>
          <w:b w:val="0"/>
        </w:rPr>
        <w:t xml:space="preserve">ICU, non-ICU, and surgical settings, </w:t>
      </w:r>
      <w:r w:rsidRPr="00345D93" w:rsidR="00660689">
        <w:rPr>
          <w:rStyle w:val="Strong"/>
          <w:b w:val="0"/>
        </w:rPr>
        <w:t>u</w:t>
      </w:r>
      <w:r w:rsidRPr="00345D93" w:rsidR="006937E6">
        <w:rPr>
          <w:rStyle w:val="Strong"/>
          <w:b w:val="0"/>
        </w:rPr>
        <w:t>nit-level</w:t>
      </w:r>
      <w:r w:rsidRPr="00345D93" w:rsidR="002E7A38">
        <w:rPr>
          <w:rStyle w:val="Strong"/>
          <w:b w:val="0"/>
        </w:rPr>
        <w:t xml:space="preserve"> clinical outcomes</w:t>
      </w:r>
      <w:r w:rsidRPr="00345D93" w:rsidR="006937E6">
        <w:rPr>
          <w:rStyle w:val="Strong"/>
          <w:b w:val="0"/>
        </w:rPr>
        <w:t xml:space="preserve"> data will be extracted by each site’s data coordinator </w:t>
      </w:r>
      <w:r w:rsidRPr="00345D93" w:rsidR="00DE028F">
        <w:rPr>
          <w:rStyle w:val="Strong"/>
          <w:b w:val="0"/>
        </w:rPr>
        <w:t xml:space="preserve">quarterly to obtain clinical outcome measures not available via NHSN and to obtain all clinical outcome measures among hospitals that do not confer rights </w:t>
      </w:r>
      <w:r w:rsidRPr="00345D93" w:rsidR="002D130F">
        <w:rPr>
          <w:rStyle w:val="Strong"/>
          <w:b w:val="0"/>
        </w:rPr>
        <w:t>to</w:t>
      </w:r>
      <w:r w:rsidRPr="00345D93" w:rsidR="00DE028F">
        <w:rPr>
          <w:rStyle w:val="Strong"/>
          <w:b w:val="0"/>
        </w:rPr>
        <w:t xml:space="preserve"> </w:t>
      </w:r>
      <w:r w:rsidRPr="00345D93" w:rsidR="002D130F">
        <w:rPr>
          <w:rStyle w:val="Strong"/>
          <w:b w:val="0"/>
        </w:rPr>
        <w:t xml:space="preserve">their NHSN data to </w:t>
      </w:r>
      <w:r w:rsidRPr="00345D93" w:rsidR="00DE028F">
        <w:rPr>
          <w:rStyle w:val="Strong"/>
          <w:b w:val="0"/>
        </w:rPr>
        <w:t xml:space="preserve">the program. Clinical outcome measures will </w:t>
      </w:r>
      <w:r w:rsidRPr="00345D93" w:rsidR="00D442F5">
        <w:rPr>
          <w:rStyle w:val="Strong"/>
          <w:b w:val="0"/>
        </w:rPr>
        <w:t xml:space="preserve">be </w:t>
      </w:r>
      <w:r w:rsidRPr="00345D93" w:rsidR="00DE028F">
        <w:rPr>
          <w:rStyle w:val="Strong"/>
          <w:b w:val="0"/>
        </w:rPr>
        <w:t>collected</w:t>
      </w:r>
      <w:r w:rsidRPr="00345D93" w:rsidR="001711B5">
        <w:rPr>
          <w:rStyle w:val="Strong"/>
          <w:b w:val="0"/>
        </w:rPr>
        <w:t xml:space="preserve"> monthly for LTC settings</w:t>
      </w:r>
      <w:r w:rsidRPr="00345D93" w:rsidR="006937E6">
        <w:rPr>
          <w:rStyle w:val="Strong"/>
          <w:b w:val="0"/>
        </w:rPr>
        <w:t>.</w:t>
      </w:r>
      <w:r w:rsidRPr="00345D93" w:rsidR="00573B58">
        <w:rPr>
          <w:rStyle w:val="Strong"/>
          <w:b w:val="0"/>
        </w:rPr>
        <w:t xml:space="preserve"> The clinical outcomes data collected will differ by ICU and non-ICU units, surgical units, and LTC settings.  </w:t>
      </w:r>
      <w:r w:rsidRPr="00345D93" w:rsidR="00D442F5">
        <w:rPr>
          <w:rStyle w:val="Strong"/>
          <w:b w:val="0"/>
        </w:rPr>
        <w:t xml:space="preserve"> </w:t>
      </w:r>
    </w:p>
    <w:p w:rsidR="005E0CE8" w:rsidRPr="00345D93" w:rsidP="00215B82" w14:paraId="1E1DAB88" w14:textId="77777777">
      <w:pPr>
        <w:pStyle w:val="ListParagraph"/>
        <w:rPr>
          <w:rStyle w:val="Strong"/>
          <w:b w:val="0"/>
        </w:rPr>
      </w:pPr>
    </w:p>
    <w:p w:rsidR="005E0CE8" w:rsidRPr="00345D93" w:rsidP="00215B82" w14:paraId="24155B63" w14:textId="22662E88">
      <w:pPr>
        <w:ind w:firstLine="360"/>
        <w:rPr>
          <w:rStyle w:val="Strong"/>
          <w:b w:val="0"/>
          <w:u w:val="single"/>
        </w:rPr>
      </w:pPr>
      <w:r w:rsidRPr="00345D93">
        <w:rPr>
          <w:rStyle w:val="Strong"/>
          <w:b w:val="0"/>
          <w:u w:val="single"/>
        </w:rPr>
        <w:t xml:space="preserve">ICU and non-ICU </w:t>
      </w:r>
      <w:r w:rsidRPr="00345D93" w:rsidR="00573B58">
        <w:rPr>
          <w:rStyle w:val="Strong"/>
          <w:b w:val="0"/>
          <w:u w:val="single"/>
        </w:rPr>
        <w:t>units</w:t>
      </w:r>
    </w:p>
    <w:p w:rsidR="00573B58" w:rsidRPr="00345D93" w:rsidP="00215B82" w14:paraId="4513E183" w14:textId="77777777">
      <w:pPr>
        <w:ind w:firstLine="360"/>
        <w:rPr>
          <w:rStyle w:val="Strong"/>
          <w:b w:val="0"/>
          <w:u w:val="single"/>
        </w:rPr>
      </w:pPr>
    </w:p>
    <w:p w:rsidR="002D130F" w:rsidRPr="00345D93" w:rsidP="00215B82" w14:paraId="36B00E27" w14:textId="3E0F6D8E">
      <w:pPr>
        <w:pStyle w:val="ListParagraph"/>
        <w:ind w:left="360"/>
        <w:rPr>
          <w:rStyle w:val="Strong"/>
          <w:b w:val="0"/>
        </w:rPr>
      </w:pPr>
      <w:r w:rsidRPr="00345D93">
        <w:rPr>
          <w:rStyle w:val="Strong"/>
          <w:b w:val="0"/>
        </w:rPr>
        <w:t xml:space="preserve">For the unit-level EHR extracts, the burden hours and costs </w:t>
      </w:r>
      <w:r w:rsidRPr="00345D93" w:rsidR="006E6894">
        <w:rPr>
          <w:rStyle w:val="Strong"/>
          <w:b w:val="0"/>
        </w:rPr>
        <w:t>for</w:t>
      </w:r>
      <w:r w:rsidRPr="00345D93" w:rsidR="006937E6">
        <w:rPr>
          <w:rStyle w:val="Strong"/>
          <w:b w:val="0"/>
        </w:rPr>
        <w:t xml:space="preserve"> the </w:t>
      </w:r>
      <w:r w:rsidRPr="00345D93" w:rsidR="00D442F5">
        <w:rPr>
          <w:rStyle w:val="Strong"/>
          <w:b w:val="0"/>
        </w:rPr>
        <w:t xml:space="preserve">initial data pull </w:t>
      </w:r>
      <w:r w:rsidRPr="00345D93">
        <w:rPr>
          <w:rStyle w:val="Strong"/>
          <w:b w:val="0"/>
        </w:rPr>
        <w:t>will vary based on hospital participation as follows</w:t>
      </w:r>
      <w:r w:rsidRPr="00345D93">
        <w:rPr>
          <w:rStyle w:val="Strong"/>
          <w:b w:val="0"/>
        </w:rPr>
        <w:t xml:space="preserve">:  </w:t>
      </w:r>
    </w:p>
    <w:p w:rsidR="006E6894" w:rsidRPr="00345D93" w:rsidP="00215B82" w14:paraId="0A787EA4" w14:textId="02E95FB8">
      <w:pPr>
        <w:pStyle w:val="ListParagraph"/>
        <w:numPr>
          <w:ilvl w:val="0"/>
          <w:numId w:val="56"/>
        </w:numPr>
        <w:rPr>
          <w:rStyle w:val="Strong"/>
          <w:b w:val="0"/>
        </w:rPr>
      </w:pPr>
      <w:r w:rsidRPr="00345D93">
        <w:rPr>
          <w:rStyle w:val="Strong"/>
          <w:b w:val="0"/>
        </w:rPr>
        <w:t xml:space="preserve">About 10% of hospitals with units participating in the ICU and non-ICU cohorts are not expected to confer rights to the program to pull their NHSN data. For these hospitals, the extraction process for the initial data pull is estimated to take about 5 hours to extract the following clinical outcomes:  </w:t>
      </w:r>
      <w:r w:rsidRPr="00345D93">
        <w:t xml:space="preserve">hospital onset MRSA invasive infection – MRSA bacteremia </w:t>
      </w:r>
      <w:r w:rsidRPr="00345D93">
        <w:t>LabID</w:t>
      </w:r>
      <w:r w:rsidRPr="00345D93">
        <w:t xml:space="preserve"> Day 3 or </w:t>
      </w:r>
      <w:r w:rsidRPr="00345D93">
        <w:t xml:space="preserve">after of admission, patient days, Central-Line-Associated Blood Stream Infections with causative organism(s), central line days, and community onset MRSA invasive infection – MRSA bacteremia </w:t>
      </w:r>
      <w:r w:rsidRPr="00345D93">
        <w:t>LabID</w:t>
      </w:r>
      <w:r w:rsidRPr="00345D93">
        <w:t xml:space="preserve"> prior to Day 3 after of admission</w:t>
      </w:r>
      <w:r w:rsidRPr="00345D93">
        <w:rPr>
          <w:rStyle w:val="Strong"/>
          <w:b w:val="0"/>
        </w:rPr>
        <w:t xml:space="preserve">.  </w:t>
      </w:r>
    </w:p>
    <w:p w:rsidR="006E6894" w:rsidRPr="00345D93" w:rsidP="00215B82" w14:paraId="0BCCD801" w14:textId="4CAB68FD">
      <w:pPr>
        <w:pStyle w:val="ListParagraph"/>
        <w:numPr>
          <w:ilvl w:val="0"/>
          <w:numId w:val="56"/>
        </w:numPr>
        <w:rPr>
          <w:rStyle w:val="Strong"/>
          <w:b w:val="0"/>
        </w:rPr>
      </w:pPr>
      <w:r w:rsidRPr="00345D93">
        <w:rPr>
          <w:rStyle w:val="Strong"/>
          <w:b w:val="0"/>
        </w:rPr>
        <w:t xml:space="preserve">All hospitals will </w:t>
      </w:r>
      <w:r w:rsidRPr="00345D93" w:rsidR="005E0CE8">
        <w:rPr>
          <w:rStyle w:val="Strong"/>
          <w:b w:val="0"/>
        </w:rPr>
        <w:t xml:space="preserve">provide two </w:t>
      </w:r>
      <w:r w:rsidRPr="00345D93">
        <w:rPr>
          <w:rStyle w:val="Strong"/>
          <w:b w:val="0"/>
        </w:rPr>
        <w:t xml:space="preserve">clinical outcome measures – hospital onset bacteremia (Day 3 or after of admission) with </w:t>
      </w:r>
      <w:r w:rsidRPr="00345D93" w:rsidR="003629E7">
        <w:rPr>
          <w:rStyle w:val="Strong"/>
          <w:b w:val="0"/>
        </w:rPr>
        <w:t>causative</w:t>
      </w:r>
      <w:r w:rsidRPr="00345D93">
        <w:rPr>
          <w:rStyle w:val="Strong"/>
          <w:b w:val="0"/>
        </w:rPr>
        <w:t xml:space="preserve"> organisms (including MSSA) and MRSA-positive clinical cultures – via the EHR extract tool since these data are not available via NHSN. The </w:t>
      </w:r>
      <w:r w:rsidRPr="00345D93" w:rsidR="006937E6">
        <w:rPr>
          <w:rStyle w:val="Strong"/>
          <w:b w:val="0"/>
        </w:rPr>
        <w:t xml:space="preserve">extraction process </w:t>
      </w:r>
      <w:r w:rsidRPr="00345D93">
        <w:rPr>
          <w:rStyle w:val="Strong"/>
          <w:b w:val="0"/>
        </w:rPr>
        <w:t xml:space="preserve">for the initial data pull for these outcomes is an estimated 3.5 hours.  </w:t>
      </w:r>
    </w:p>
    <w:p w:rsidR="002D130F" w:rsidRPr="00345D93" w:rsidP="00215B82" w14:paraId="16132B8B" w14:textId="1E69BB1E">
      <w:pPr>
        <w:pStyle w:val="ListParagraph"/>
        <w:numPr>
          <w:ilvl w:val="0"/>
          <w:numId w:val="56"/>
        </w:numPr>
        <w:rPr>
          <w:rStyle w:val="Strong"/>
          <w:b w:val="0"/>
        </w:rPr>
      </w:pPr>
      <w:r w:rsidRPr="00345D93">
        <w:rPr>
          <w:rStyle w:val="Strong"/>
          <w:b w:val="0"/>
        </w:rPr>
        <w:t>Participating hospitals that provide optional point prevalence data</w:t>
      </w:r>
      <w:r w:rsidRPr="00345D93">
        <w:rPr>
          <w:rStyle w:val="Strong"/>
          <w:b w:val="0"/>
        </w:rPr>
        <w:t xml:space="preserve"> will also use the EHR extract tool</w:t>
      </w:r>
      <w:r w:rsidRPr="00345D93" w:rsidR="00573B58">
        <w:rPr>
          <w:rStyle w:val="Strong"/>
          <w:b w:val="0"/>
        </w:rPr>
        <w:t xml:space="preserve">. </w:t>
      </w:r>
      <w:r w:rsidRPr="00345D93" w:rsidR="006E6894">
        <w:rPr>
          <w:rStyle w:val="Strong"/>
          <w:b w:val="0"/>
        </w:rPr>
        <w:t>The extraction process for the initial data pull is approximately 30 minutes.</w:t>
      </w:r>
      <w:r w:rsidR="009B1883">
        <w:rPr>
          <w:rStyle w:val="Strong"/>
          <w:b w:val="0"/>
        </w:rPr>
        <w:t xml:space="preserve"> </w:t>
      </w:r>
      <w:r w:rsidRPr="0014252A" w:rsidR="009B1883">
        <w:rPr>
          <w:rStyle w:val="Strong"/>
          <w:b w:val="0"/>
          <w:highlight w:val="yellow"/>
        </w:rPr>
        <w:t xml:space="preserve">The subsequent quarterly data pulls are expected to take approximately 15 minutes </w:t>
      </w:r>
      <w:r w:rsidRPr="0014252A" w:rsidR="00DF15CF">
        <w:rPr>
          <w:rStyle w:val="Strong"/>
          <w:b w:val="0"/>
          <w:highlight w:val="yellow"/>
        </w:rPr>
        <w:t>as a result of</w:t>
      </w:r>
      <w:r w:rsidRPr="0014252A" w:rsidR="00DF15CF">
        <w:rPr>
          <w:rStyle w:val="Strong"/>
          <w:b w:val="0"/>
          <w:highlight w:val="yellow"/>
        </w:rPr>
        <w:t xml:space="preserve"> </w:t>
      </w:r>
      <w:r w:rsidRPr="0014252A" w:rsidR="009B1883">
        <w:rPr>
          <w:rStyle w:val="Strong"/>
          <w:b w:val="0"/>
          <w:highlight w:val="yellow"/>
        </w:rPr>
        <w:t>increased familiarity with the process.</w:t>
      </w:r>
    </w:p>
    <w:p w:rsidR="002D130F" w:rsidRPr="00345D93" w:rsidP="00215B82" w14:paraId="00F0F33D" w14:textId="77777777">
      <w:pPr>
        <w:pStyle w:val="ListParagraph"/>
        <w:ind w:left="360"/>
        <w:rPr>
          <w:rStyle w:val="Strong"/>
          <w:b w:val="0"/>
        </w:rPr>
      </w:pPr>
    </w:p>
    <w:p w:rsidR="00D52BB4" w:rsidRPr="00345D93" w:rsidP="00215B82" w14:paraId="7702F6B7" w14:textId="1297A438">
      <w:pPr>
        <w:pStyle w:val="ListParagraph"/>
        <w:ind w:left="360"/>
        <w:rPr>
          <w:rStyle w:val="Strong"/>
        </w:rPr>
      </w:pPr>
      <w:r w:rsidRPr="00345D93">
        <w:rPr>
          <w:rStyle w:val="Strong"/>
          <w:b w:val="0"/>
        </w:rPr>
        <w:t xml:space="preserve">It is expected that the burden hours for the subsequent quarterly data pulls should reduce to 30 minutes through the duration of data collection, as IT members and unit leaders become more familiar with the data collection process.  </w:t>
      </w:r>
    </w:p>
    <w:p w:rsidR="00D52BB4" w:rsidRPr="00345D93" w:rsidP="00215B82" w14:paraId="319D14D1" w14:textId="77777777">
      <w:pPr>
        <w:rPr>
          <w:rStyle w:val="Strong"/>
          <w:b w:val="0"/>
          <w:u w:val="single"/>
        </w:rPr>
      </w:pPr>
    </w:p>
    <w:p w:rsidR="00573B58" w:rsidRPr="00345D93" w:rsidP="00215B82" w14:paraId="1F25568B" w14:textId="5902E25A">
      <w:pPr>
        <w:rPr>
          <w:rStyle w:val="Strong"/>
        </w:rPr>
      </w:pPr>
      <w:r w:rsidRPr="00345D93">
        <w:rPr>
          <w:rStyle w:val="Strong"/>
          <w:b w:val="0"/>
          <w:u w:val="single"/>
        </w:rPr>
        <w:t>Surgical services units</w:t>
      </w:r>
    </w:p>
    <w:p w:rsidR="00573B58" w:rsidRPr="00345D93" w:rsidP="00215B82" w14:paraId="5A5D5F40" w14:textId="77777777">
      <w:pPr>
        <w:pStyle w:val="ListParagraph"/>
        <w:ind w:left="360"/>
        <w:rPr>
          <w:rStyle w:val="Strong"/>
          <w:u w:val="single"/>
        </w:rPr>
      </w:pPr>
    </w:p>
    <w:p w:rsidR="00D52BB4" w:rsidRPr="00345D93" w:rsidP="00215B82" w14:paraId="633008ED" w14:textId="6A1FA1D3">
      <w:pPr>
        <w:pStyle w:val="ListParagraph"/>
        <w:ind w:left="360"/>
        <w:rPr>
          <w:rStyle w:val="Strong"/>
          <w:b w:val="0"/>
        </w:rPr>
      </w:pPr>
      <w:r w:rsidRPr="00345D93">
        <w:rPr>
          <w:rStyle w:val="Strong"/>
          <w:b w:val="0"/>
        </w:rPr>
        <w:t xml:space="preserve">For the unit-level EHR extracts, the burden hours and costs are </w:t>
      </w:r>
      <w:r w:rsidRPr="00345D93" w:rsidR="006E6894">
        <w:rPr>
          <w:rStyle w:val="Strong"/>
          <w:b w:val="0"/>
        </w:rPr>
        <w:t>assumed for</w:t>
      </w:r>
      <w:r w:rsidRPr="00345D93">
        <w:rPr>
          <w:rStyle w:val="Strong"/>
          <w:b w:val="0"/>
        </w:rPr>
        <w:t xml:space="preserve"> participating hospitals that do not confer rights to their NHSN data and</w:t>
      </w:r>
      <w:r w:rsidRPr="00345D93" w:rsidR="006E6894">
        <w:rPr>
          <w:rStyle w:val="Strong"/>
          <w:b w:val="0"/>
        </w:rPr>
        <w:t>,</w:t>
      </w:r>
      <w:r w:rsidRPr="00345D93">
        <w:rPr>
          <w:rStyle w:val="Strong"/>
          <w:b w:val="0"/>
        </w:rPr>
        <w:t xml:space="preserve"> therefore, will provide all data via the EHR extract tool. </w:t>
      </w:r>
      <w:r w:rsidRPr="0061116F" w:rsidR="00573B58">
        <w:rPr>
          <w:rStyle w:val="Strong"/>
          <w:b w:val="0"/>
        </w:rPr>
        <w:t xml:space="preserve">About </w:t>
      </w:r>
      <w:r w:rsidRPr="0014252A" w:rsidR="00561581">
        <w:rPr>
          <w:rStyle w:val="Strong"/>
          <w:b w:val="0"/>
          <w:highlight w:val="yellow"/>
        </w:rPr>
        <w:t>5</w:t>
      </w:r>
      <w:r w:rsidRPr="0061116F" w:rsidR="00573B58">
        <w:rPr>
          <w:rStyle w:val="Strong"/>
          <w:b w:val="0"/>
        </w:rPr>
        <w:t>0% of hospitals are expected</w:t>
      </w:r>
      <w:r w:rsidRPr="00345D93" w:rsidR="00573B58">
        <w:rPr>
          <w:rStyle w:val="Strong"/>
          <w:b w:val="0"/>
        </w:rPr>
        <w:t xml:space="preserve"> to confer rights to the program to pull their NHSN data for the clinical outcomes </w:t>
      </w:r>
      <w:r w:rsidRPr="00345D93">
        <w:rPr>
          <w:rStyle w:val="Strong"/>
          <w:b w:val="0"/>
        </w:rPr>
        <w:t>data</w:t>
      </w:r>
      <w:r w:rsidRPr="00345D93" w:rsidR="00573B58">
        <w:rPr>
          <w:rStyle w:val="Strong"/>
          <w:b w:val="0"/>
        </w:rPr>
        <w:t xml:space="preserve"> collected in surgical units.</w:t>
      </w:r>
      <w:r w:rsidRPr="00345D93">
        <w:rPr>
          <w:rStyle w:val="Strong"/>
          <w:b w:val="0"/>
        </w:rPr>
        <w:t xml:space="preserve"> These outcomes include surgical site infections with </w:t>
      </w:r>
      <w:r w:rsidRPr="00345D93" w:rsidR="003E7EB7">
        <w:rPr>
          <w:rStyle w:val="Strong"/>
          <w:b w:val="0"/>
        </w:rPr>
        <w:t>causative</w:t>
      </w:r>
      <w:r w:rsidRPr="00345D93">
        <w:rPr>
          <w:rStyle w:val="Strong"/>
          <w:b w:val="0"/>
        </w:rPr>
        <w:t xml:space="preserve"> organisms and </w:t>
      </w:r>
      <w:r w:rsidRPr="00345D93" w:rsidR="003E7EB7">
        <w:rPr>
          <w:rStyle w:val="Strong"/>
          <w:b w:val="0"/>
        </w:rPr>
        <w:t xml:space="preserve">number of </w:t>
      </w:r>
      <w:r w:rsidRPr="00345D93">
        <w:rPr>
          <w:rStyle w:val="Strong"/>
          <w:b w:val="0"/>
        </w:rPr>
        <w:t xml:space="preserve">surgical </w:t>
      </w:r>
      <w:r w:rsidRPr="00345D93" w:rsidR="003E7EB7">
        <w:rPr>
          <w:rStyle w:val="Strong"/>
          <w:b w:val="0"/>
        </w:rPr>
        <w:t>procedures performed, by type of procedure</w:t>
      </w:r>
      <w:r w:rsidRPr="00345D93">
        <w:rPr>
          <w:rStyle w:val="Strong"/>
          <w:b w:val="0"/>
        </w:rPr>
        <w:t>.</w:t>
      </w:r>
      <w:r w:rsidRPr="00345D93" w:rsidR="00573B58">
        <w:rPr>
          <w:rStyle w:val="Strong"/>
          <w:b w:val="0"/>
        </w:rPr>
        <w:t xml:space="preserve"> </w:t>
      </w:r>
      <w:r w:rsidRPr="0014252A" w:rsidR="00312E56">
        <w:rPr>
          <w:rStyle w:val="Strong"/>
          <w:b w:val="0"/>
          <w:highlight w:val="yellow"/>
        </w:rPr>
        <w:t xml:space="preserve">Additionally, hospitals </w:t>
      </w:r>
      <w:r w:rsidRPr="00D84A59" w:rsidR="00BC127B">
        <w:rPr>
          <w:rStyle w:val="Strong"/>
          <w:b w:val="0"/>
          <w:highlight w:val="yellow"/>
        </w:rPr>
        <w:t xml:space="preserve">with cardiac surgical specialties enrolled in the program </w:t>
      </w:r>
      <w:r w:rsidRPr="0014252A" w:rsidR="00312E56">
        <w:rPr>
          <w:rStyle w:val="Strong"/>
          <w:b w:val="0"/>
          <w:highlight w:val="yellow"/>
        </w:rPr>
        <w:t xml:space="preserve">will </w:t>
      </w:r>
      <w:r w:rsidRPr="00D84A59" w:rsidR="00312E56">
        <w:rPr>
          <w:rStyle w:val="Strong"/>
          <w:b w:val="0"/>
          <w:highlight w:val="yellow"/>
        </w:rPr>
        <w:t xml:space="preserve">submit hospital </w:t>
      </w:r>
      <w:r w:rsidRPr="0014252A" w:rsidR="00312E56">
        <w:rPr>
          <w:rStyle w:val="Strong"/>
          <w:b w:val="0"/>
          <w:highlight w:val="yellow"/>
        </w:rPr>
        <w:t>readmission data</w:t>
      </w:r>
      <w:r w:rsidRPr="00D84A59" w:rsidR="00BC127B">
        <w:rPr>
          <w:rStyle w:val="Strong"/>
          <w:b w:val="0"/>
          <w:highlight w:val="yellow"/>
        </w:rPr>
        <w:t xml:space="preserve"> and other data elements</w:t>
      </w:r>
      <w:r w:rsidRPr="0014252A" w:rsidR="00312E56">
        <w:rPr>
          <w:rStyle w:val="Strong"/>
          <w:b w:val="0"/>
          <w:highlight w:val="yellow"/>
        </w:rPr>
        <w:t xml:space="preserve"> </w:t>
      </w:r>
      <w:r w:rsidRPr="00D84A59" w:rsidR="00BC127B">
        <w:rPr>
          <w:rStyle w:val="Strong"/>
          <w:b w:val="0"/>
          <w:highlight w:val="yellow"/>
        </w:rPr>
        <w:t xml:space="preserve">that are regularly </w:t>
      </w:r>
      <w:r w:rsidRPr="0014252A" w:rsidR="00312E56">
        <w:rPr>
          <w:rStyle w:val="Strong"/>
          <w:b w:val="0"/>
          <w:highlight w:val="yellow"/>
        </w:rPr>
        <w:t xml:space="preserve">collected </w:t>
      </w:r>
      <w:r w:rsidRPr="00D84A59" w:rsidR="00BC127B">
        <w:rPr>
          <w:rStyle w:val="Strong"/>
          <w:b w:val="0"/>
          <w:highlight w:val="yellow"/>
        </w:rPr>
        <w:t>for</w:t>
      </w:r>
      <w:r w:rsidRPr="0014252A" w:rsidR="00312E56">
        <w:rPr>
          <w:rStyle w:val="Strong"/>
          <w:b w:val="0"/>
          <w:highlight w:val="yellow"/>
        </w:rPr>
        <w:t xml:space="preserve"> </w:t>
      </w:r>
      <w:r w:rsidRPr="00D84A59" w:rsidR="00BC127B">
        <w:rPr>
          <w:rStyle w:val="Strong"/>
          <w:b w:val="0"/>
          <w:highlight w:val="yellow"/>
        </w:rPr>
        <w:t xml:space="preserve">transmittal to </w:t>
      </w:r>
      <w:r w:rsidRPr="0014252A" w:rsidR="00312E56">
        <w:rPr>
          <w:rStyle w:val="Strong"/>
          <w:b w:val="0"/>
          <w:highlight w:val="yellow"/>
        </w:rPr>
        <w:t>STS.</w:t>
      </w:r>
      <w:r w:rsidR="00312E56">
        <w:rPr>
          <w:rStyle w:val="Strong"/>
          <w:b w:val="0"/>
        </w:rPr>
        <w:t xml:space="preserve"> </w:t>
      </w:r>
      <w:r w:rsidRPr="00345D93" w:rsidR="00427172">
        <w:rPr>
          <w:rStyle w:val="Strong"/>
          <w:b w:val="0"/>
        </w:rPr>
        <w:t>The extraction process for</w:t>
      </w:r>
      <w:r w:rsidRPr="00345D93" w:rsidR="0002055E">
        <w:rPr>
          <w:rStyle w:val="Strong"/>
          <w:b w:val="0"/>
        </w:rPr>
        <w:t xml:space="preserve"> the initial data pull in</w:t>
      </w:r>
      <w:r w:rsidRPr="00345D93" w:rsidR="00427172">
        <w:rPr>
          <w:rStyle w:val="Strong"/>
          <w:b w:val="0"/>
        </w:rPr>
        <w:t xml:space="preserve"> </w:t>
      </w:r>
      <w:r w:rsidRPr="00345D93" w:rsidR="00D442F5">
        <w:rPr>
          <w:rStyle w:val="Strong"/>
          <w:b w:val="0"/>
        </w:rPr>
        <w:t xml:space="preserve">surgical </w:t>
      </w:r>
      <w:r w:rsidRPr="00345D93">
        <w:rPr>
          <w:rStyle w:val="Strong"/>
          <w:b w:val="0"/>
        </w:rPr>
        <w:t>units</w:t>
      </w:r>
      <w:r w:rsidRPr="00345D93" w:rsidR="006E6894">
        <w:rPr>
          <w:rStyle w:val="Strong"/>
          <w:b w:val="0"/>
        </w:rPr>
        <w:t xml:space="preserve"> </w:t>
      </w:r>
      <w:r w:rsidRPr="00345D93" w:rsidR="006937E6">
        <w:rPr>
          <w:rStyle w:val="Strong"/>
          <w:b w:val="0"/>
        </w:rPr>
        <w:t xml:space="preserve">is estimated to take </w:t>
      </w:r>
      <w:r w:rsidRPr="0014252A" w:rsidR="009153AB">
        <w:rPr>
          <w:rStyle w:val="Strong"/>
          <w:b w:val="0"/>
          <w:highlight w:val="yellow"/>
        </w:rPr>
        <w:t>60</w:t>
      </w:r>
      <w:r w:rsidRPr="00345D93" w:rsidR="009153AB">
        <w:rPr>
          <w:rStyle w:val="Strong"/>
          <w:b w:val="0"/>
        </w:rPr>
        <w:t xml:space="preserve"> </w:t>
      </w:r>
      <w:r w:rsidRPr="00345D93" w:rsidR="00D442F5">
        <w:rPr>
          <w:rStyle w:val="Strong"/>
          <w:b w:val="0"/>
        </w:rPr>
        <w:t>minutes</w:t>
      </w:r>
      <w:r w:rsidRPr="00345D93">
        <w:rPr>
          <w:rStyle w:val="Strong"/>
          <w:b w:val="0"/>
        </w:rPr>
        <w:t xml:space="preserve"> and </w:t>
      </w:r>
      <w:r w:rsidRPr="0014252A" w:rsidR="009153AB">
        <w:rPr>
          <w:rStyle w:val="Strong"/>
          <w:b w:val="0"/>
          <w:highlight w:val="yellow"/>
        </w:rPr>
        <w:t>reduce to</w:t>
      </w:r>
      <w:r w:rsidRPr="00345D93" w:rsidR="006E6894">
        <w:rPr>
          <w:rStyle w:val="Strong"/>
          <w:b w:val="0"/>
        </w:rPr>
        <w:t xml:space="preserve"> 30</w:t>
      </w:r>
      <w:r w:rsidRPr="00345D93">
        <w:rPr>
          <w:rStyle w:val="Strong"/>
          <w:b w:val="0"/>
        </w:rPr>
        <w:t xml:space="preserve"> minutes for the subsequent quarterly data pulls</w:t>
      </w:r>
      <w:r w:rsidRPr="00345D93" w:rsidR="00D442F5">
        <w:rPr>
          <w:rStyle w:val="Strong"/>
          <w:b w:val="0"/>
        </w:rPr>
        <w:t>.</w:t>
      </w:r>
      <w:r w:rsidRPr="00345D93" w:rsidR="006937E6">
        <w:rPr>
          <w:rStyle w:val="Strong"/>
          <w:b w:val="0"/>
        </w:rPr>
        <w:t xml:space="preserve"> </w:t>
      </w:r>
    </w:p>
    <w:p w:rsidR="004421D7" w:rsidRPr="00345D93" w:rsidP="00215B82" w14:paraId="17B23FB6" w14:textId="77777777">
      <w:pPr>
        <w:pStyle w:val="ListParagraph"/>
        <w:ind w:left="360"/>
        <w:rPr>
          <w:rStyle w:val="Strong"/>
          <w:b w:val="0"/>
        </w:rPr>
      </w:pPr>
    </w:p>
    <w:p w:rsidR="004421D7" w:rsidRPr="00345D93" w:rsidP="004421D7" w14:paraId="1D82A24B" w14:textId="07D560B1">
      <w:pPr>
        <w:rPr>
          <w:rStyle w:val="Strong"/>
        </w:rPr>
      </w:pPr>
      <w:r w:rsidRPr="00345D93">
        <w:rPr>
          <w:rStyle w:val="Strong"/>
          <w:b w:val="0"/>
          <w:u w:val="single"/>
        </w:rPr>
        <w:t>LTC units</w:t>
      </w:r>
    </w:p>
    <w:p w:rsidR="004421D7" w:rsidRPr="00345D93" w:rsidP="00215B82" w14:paraId="2C42E61D" w14:textId="77777777">
      <w:pPr>
        <w:pStyle w:val="ListParagraph"/>
        <w:ind w:left="360"/>
        <w:rPr>
          <w:rStyle w:val="Strong"/>
          <w:b w:val="0"/>
        </w:rPr>
      </w:pPr>
    </w:p>
    <w:p w:rsidR="00F85709" w:rsidRPr="00345D93" w:rsidP="00E007FA" w14:paraId="01EEA8E6" w14:textId="64EB5957">
      <w:pPr>
        <w:pStyle w:val="ListParagraph"/>
        <w:ind w:left="360"/>
        <w:rPr>
          <w:rStyle w:val="Strong"/>
        </w:rPr>
      </w:pPr>
      <w:r w:rsidRPr="00345D93">
        <w:rPr>
          <w:rStyle w:val="Strong"/>
          <w:b w:val="0"/>
        </w:rPr>
        <w:t xml:space="preserve">For the facility-level EHR extracts, the burden hours and costs are based on all clinical outcomes data in LTC settings obtained by EHR extracts. </w:t>
      </w:r>
      <w:r w:rsidRPr="00345D93" w:rsidR="006937E6">
        <w:rPr>
          <w:rStyle w:val="Strong"/>
          <w:b w:val="0"/>
        </w:rPr>
        <w:t xml:space="preserve">During the </w:t>
      </w:r>
      <w:r w:rsidRPr="00345D93" w:rsidR="00D442F5">
        <w:rPr>
          <w:rStyle w:val="Strong"/>
          <w:b w:val="0"/>
        </w:rPr>
        <w:t xml:space="preserve">initial data pull for </w:t>
      </w:r>
      <w:r w:rsidRPr="00345D93" w:rsidR="00534AD2">
        <w:rPr>
          <w:rStyle w:val="Strong"/>
          <w:b w:val="0"/>
        </w:rPr>
        <w:t>LTC</w:t>
      </w:r>
      <w:r w:rsidRPr="00345D93" w:rsidR="00D442F5">
        <w:rPr>
          <w:rStyle w:val="Strong"/>
          <w:b w:val="0"/>
        </w:rPr>
        <w:t xml:space="preserve"> settings</w:t>
      </w:r>
      <w:r w:rsidRPr="00345D93" w:rsidR="00427172">
        <w:rPr>
          <w:rStyle w:val="Strong"/>
          <w:b w:val="0"/>
        </w:rPr>
        <w:t>,</w:t>
      </w:r>
      <w:r w:rsidRPr="00345D93" w:rsidR="006937E6">
        <w:rPr>
          <w:rStyle w:val="Strong"/>
          <w:b w:val="0"/>
        </w:rPr>
        <w:t xml:space="preserve"> the extraction process is estimated to take </w:t>
      </w:r>
      <w:r w:rsidRPr="00345D93" w:rsidR="006E6894">
        <w:rPr>
          <w:rStyle w:val="Strong"/>
          <w:b w:val="0"/>
        </w:rPr>
        <w:t>about</w:t>
      </w:r>
      <w:r w:rsidRPr="00345D93" w:rsidR="006937E6">
        <w:rPr>
          <w:rStyle w:val="Strong"/>
          <w:b w:val="0"/>
        </w:rPr>
        <w:t xml:space="preserve"> </w:t>
      </w:r>
      <w:r w:rsidRPr="0014252A" w:rsidR="00DF15CF">
        <w:rPr>
          <w:rStyle w:val="Strong"/>
          <w:b w:val="0"/>
          <w:highlight w:val="yellow"/>
        </w:rPr>
        <w:t>six</w:t>
      </w:r>
      <w:r w:rsidRPr="00345D93" w:rsidR="00DF15CF">
        <w:rPr>
          <w:rStyle w:val="Strong"/>
          <w:b w:val="0"/>
        </w:rPr>
        <w:t xml:space="preserve"> </w:t>
      </w:r>
      <w:r w:rsidRPr="00345D93" w:rsidR="00D442F5">
        <w:rPr>
          <w:rStyle w:val="Strong"/>
          <w:b w:val="0"/>
        </w:rPr>
        <w:t>hours</w:t>
      </w:r>
      <w:r w:rsidRPr="00345D93" w:rsidR="006937E6">
        <w:rPr>
          <w:rStyle w:val="Strong"/>
          <w:b w:val="0"/>
        </w:rPr>
        <w:t xml:space="preserve">. </w:t>
      </w:r>
      <w:r w:rsidRPr="00345D93" w:rsidR="00EC1E61">
        <w:rPr>
          <w:bCs/>
        </w:rPr>
        <w:t xml:space="preserve">LTC </w:t>
      </w:r>
      <w:r w:rsidRPr="00345D93" w:rsidR="001A1088">
        <w:rPr>
          <w:bCs/>
        </w:rPr>
        <w:t>facilities</w:t>
      </w:r>
      <w:r w:rsidRPr="00345D93" w:rsidR="00EC1E61">
        <w:rPr>
          <w:bCs/>
        </w:rPr>
        <w:t xml:space="preserve"> that do not have IT support or strong enough internet access to upload files will be offered a fax option to provide their data. </w:t>
      </w:r>
      <w:r w:rsidRPr="00345D93" w:rsidR="006937E6">
        <w:rPr>
          <w:rStyle w:val="Strong"/>
          <w:b w:val="0"/>
        </w:rPr>
        <w:t>It is expected that the burden hours for this effort should reduce</w:t>
      </w:r>
      <w:r w:rsidRPr="00345D93" w:rsidR="00D442F5">
        <w:rPr>
          <w:rStyle w:val="Strong"/>
          <w:b w:val="0"/>
        </w:rPr>
        <w:t xml:space="preserve"> to </w:t>
      </w:r>
      <w:r w:rsidRPr="0014252A" w:rsidR="00DF15CF">
        <w:rPr>
          <w:rStyle w:val="Strong"/>
          <w:b w:val="0"/>
          <w:highlight w:val="yellow"/>
        </w:rPr>
        <w:t>45</w:t>
      </w:r>
      <w:r w:rsidRPr="00345D93" w:rsidR="00DF15CF">
        <w:rPr>
          <w:rStyle w:val="Strong"/>
          <w:b w:val="0"/>
        </w:rPr>
        <w:t xml:space="preserve"> </w:t>
      </w:r>
      <w:r w:rsidRPr="00345D93" w:rsidR="00D442F5">
        <w:rPr>
          <w:rStyle w:val="Strong"/>
          <w:b w:val="0"/>
        </w:rPr>
        <w:t xml:space="preserve">minutes </w:t>
      </w:r>
      <w:r w:rsidRPr="00345D93" w:rsidR="006937E6">
        <w:rPr>
          <w:rStyle w:val="Strong"/>
          <w:b w:val="0"/>
        </w:rPr>
        <w:t>through the duration of data collection</w:t>
      </w:r>
      <w:r w:rsidRPr="00345D93" w:rsidR="00427172">
        <w:rPr>
          <w:rStyle w:val="Strong"/>
          <w:b w:val="0"/>
        </w:rPr>
        <w:t>,</w:t>
      </w:r>
      <w:r w:rsidRPr="00345D93" w:rsidR="006937E6">
        <w:rPr>
          <w:rStyle w:val="Strong"/>
          <w:b w:val="0"/>
        </w:rPr>
        <w:t xml:space="preserve"> as IT members and unit leaders become more familiar with the </w:t>
      </w:r>
      <w:r w:rsidRPr="00345D93" w:rsidR="002E7A38">
        <w:rPr>
          <w:rStyle w:val="Strong"/>
          <w:b w:val="0"/>
        </w:rPr>
        <w:t>data collection</w:t>
      </w:r>
      <w:r w:rsidRPr="00345D93" w:rsidR="006937E6">
        <w:rPr>
          <w:rStyle w:val="Strong"/>
          <w:b w:val="0"/>
        </w:rPr>
        <w:t xml:space="preserve"> process.</w:t>
      </w:r>
      <w:r w:rsidR="00DF15CF">
        <w:rPr>
          <w:rStyle w:val="Strong"/>
          <w:b w:val="0"/>
        </w:rPr>
        <w:t xml:space="preserve"> </w:t>
      </w:r>
    </w:p>
    <w:p w:rsidR="00C70AC2" w:rsidRPr="00345D93" w:rsidP="00C70AC2" w14:paraId="0F198D76" w14:textId="77777777">
      <w:pPr>
        <w:pStyle w:val="ListParagraph"/>
        <w:ind w:left="360"/>
        <w:rPr>
          <w:rStyle w:val="Strong"/>
        </w:rPr>
      </w:pPr>
    </w:p>
    <w:p w:rsidR="000820B4" w:rsidRPr="00345D93" w:rsidP="00C70AC2" w14:paraId="7ADD298F" w14:textId="77777777">
      <w:pPr>
        <w:rPr>
          <w:rStyle w:val="Strong"/>
          <w:b w:val="0"/>
        </w:rPr>
      </w:pPr>
      <w:r w:rsidRPr="00345D93">
        <w:rPr>
          <w:rStyle w:val="Strong"/>
          <w:b w:val="0"/>
        </w:rPr>
        <w:t>Exhibit A.</w:t>
      </w:r>
      <w:r w:rsidRPr="00345D93" w:rsidR="006E54BE">
        <w:rPr>
          <w:rStyle w:val="Strong"/>
          <w:b w:val="0"/>
        </w:rPr>
        <w:t xml:space="preserve">2 </w:t>
      </w:r>
      <w:r w:rsidRPr="00345D93">
        <w:rPr>
          <w:rStyle w:val="Strong"/>
          <w:b w:val="0"/>
        </w:rPr>
        <w:t xml:space="preserve">shows the total estimated annualized burden hours for the data collection efforts. </w:t>
      </w:r>
      <w:r w:rsidRPr="00345D93">
        <w:rPr>
          <w:rStyle w:val="Strong"/>
          <w:b w:val="0"/>
        </w:rPr>
        <w:t xml:space="preserve"> </w:t>
      </w:r>
    </w:p>
    <w:p w:rsidR="000820B4" w:rsidRPr="00345D93" w:rsidP="00C70AC2" w14:paraId="1F168EFC" w14:textId="1337B8F9">
      <w:pPr>
        <w:rPr>
          <w:rStyle w:val="Strong"/>
          <w:b w:val="0"/>
        </w:rPr>
      </w:pPr>
      <w:r w:rsidRPr="00345D93">
        <w:rPr>
          <w:rStyle w:val="Strong"/>
          <w:b w:val="0"/>
        </w:rPr>
        <w:t xml:space="preserve">  </w:t>
      </w:r>
    </w:p>
    <w:p w:rsidR="000820B4" w:rsidRPr="00345D93" w:rsidP="00C70AC2" w14:paraId="7FB76CE3" w14:textId="77777777">
      <w:pPr>
        <w:rPr>
          <w:rStyle w:val="Strong"/>
          <w:b w:val="0"/>
        </w:rPr>
      </w:pPr>
    </w:p>
    <w:p w:rsidR="00C70AC2" w:rsidRPr="00345D93" w:rsidP="00C70AC2" w14:paraId="394FA360" w14:textId="4C2C647B">
      <w:pPr>
        <w:rPr>
          <w:rStyle w:val="Strong"/>
        </w:rPr>
      </w:pPr>
      <w:r w:rsidRPr="00345D93">
        <w:rPr>
          <w:rStyle w:val="Strong"/>
          <w:b w:val="0"/>
        </w:rPr>
        <w:t>All data collection activities are expected to occur within the three-year clearance period. The total estimated annualized burden is</w:t>
      </w:r>
      <w:r w:rsidR="00EE3FC9">
        <w:rPr>
          <w:rStyle w:val="Strong"/>
          <w:b w:val="0"/>
        </w:rPr>
        <w:t xml:space="preserve"> </w:t>
      </w:r>
      <w:r w:rsidRPr="001E7F9E" w:rsidR="00EE3FC9">
        <w:rPr>
          <w:rStyle w:val="Strong"/>
          <w:b w:val="0"/>
          <w:highlight w:val="yellow"/>
        </w:rPr>
        <w:t>12,0</w:t>
      </w:r>
      <w:r w:rsidR="005B48BD">
        <w:rPr>
          <w:rStyle w:val="Strong"/>
          <w:b w:val="0"/>
          <w:highlight w:val="yellow"/>
        </w:rPr>
        <w:t>52</w:t>
      </w:r>
      <w:r w:rsidRPr="00345D93" w:rsidR="00717722">
        <w:rPr>
          <w:rStyle w:val="Strong"/>
          <w:b w:val="0"/>
        </w:rPr>
        <w:t xml:space="preserve"> </w:t>
      </w:r>
      <w:r w:rsidRPr="00345D93">
        <w:rPr>
          <w:rStyle w:val="Strong"/>
          <w:b w:val="0"/>
        </w:rPr>
        <w:t>hours.</w:t>
      </w:r>
    </w:p>
    <w:p w:rsidR="008314EB" w:rsidRPr="00345D93" w:rsidP="00594447" w14:paraId="564D4E0F" w14:textId="77777777">
      <w:pPr>
        <w:tabs>
          <w:tab w:val="left" w:pos="3234"/>
        </w:tabs>
        <w:rPr>
          <w:rStyle w:val="Strong"/>
          <w:b w:val="0"/>
        </w:rPr>
      </w:pPr>
    </w:p>
    <w:p w:rsidR="00945E34" w:rsidRPr="00345D93" w:rsidP="00594447" w14:paraId="1A0630CF" w14:textId="4AAB770E">
      <w:pPr>
        <w:tabs>
          <w:tab w:val="left" w:pos="3234"/>
        </w:tabs>
        <w:rPr>
          <w:rStyle w:val="Strong"/>
          <w:b w:val="0"/>
        </w:rPr>
      </w:pPr>
    </w:p>
    <w:p w:rsidR="00E24EA6" w:rsidRPr="00345D93" w:rsidP="00E24EA6" w14:paraId="7A8B32A3" w14:textId="42511C5D">
      <w:r w:rsidRPr="00345D93">
        <w:rPr>
          <w:b/>
          <w:bCs/>
          <w:color w:val="000000"/>
        </w:rPr>
        <w:t xml:space="preserve">Exhibit </w:t>
      </w:r>
      <w:r w:rsidRPr="00345D93" w:rsidR="001C1E5C">
        <w:rPr>
          <w:b/>
          <w:bCs/>
          <w:color w:val="000000"/>
        </w:rPr>
        <w:t>A.</w:t>
      </w:r>
      <w:r w:rsidRPr="00345D93" w:rsidR="00FC67D6">
        <w:rPr>
          <w:b/>
          <w:bCs/>
          <w:color w:val="000000"/>
        </w:rPr>
        <w:t>2 </w:t>
      </w:r>
      <w:r w:rsidRPr="00345D93">
        <w:rPr>
          <w:b/>
          <w:bCs/>
          <w:color w:val="000000"/>
        </w:rPr>
        <w:t>Estimated annualized burden hours</w:t>
      </w:r>
    </w:p>
    <w:p w:rsidR="006E725C" w:rsidRPr="00345D93" w:rsidP="00F603E3" w14:paraId="0F166BB3" w14:textId="77777777">
      <w:pPr>
        <w:rPr>
          <w:color w:val="000000"/>
          <w:sz w:val="20"/>
          <w:szCs w:val="20"/>
        </w:rPr>
        <w:sectPr w:rsidSect="006E725C">
          <w:footerReference w:type="even" r:id="rId11"/>
          <w:footerReference w:type="default" r:id="rId12"/>
          <w:endnotePr>
            <w:numFmt w:val="decimal"/>
          </w:endnotePr>
          <w:type w:val="continuous"/>
          <w:pgSz w:w="12240" w:h="15840"/>
          <w:pgMar w:top="1440" w:right="1800" w:bottom="1260" w:left="1800" w:header="720" w:footer="720" w:gutter="0"/>
          <w:cols w:space="720"/>
          <w:titlePg/>
          <w:docGrid w:linePitch="360"/>
        </w:sectPr>
      </w:pPr>
    </w:p>
    <w:tbl>
      <w:tblPr>
        <w:tblW w:w="53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592"/>
        <w:gridCol w:w="1751"/>
        <w:gridCol w:w="1180"/>
        <w:gridCol w:w="1769"/>
        <w:gridCol w:w="2011"/>
      </w:tblGrid>
      <w:tr w14:paraId="2AC03D0E" w14:textId="77777777" w:rsidTr="00E007FA">
        <w:tblPrEx>
          <w:tblW w:w="53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878"/>
        </w:trPr>
        <w:tc>
          <w:tcPr>
            <w:tcW w:w="1393" w:type="pct"/>
            <w:shd w:val="clear" w:color="auto" w:fill="auto"/>
            <w:tcMar>
              <w:top w:w="0" w:type="dxa"/>
              <w:left w:w="108" w:type="dxa"/>
              <w:bottom w:w="0" w:type="dxa"/>
              <w:right w:w="108" w:type="dxa"/>
            </w:tcMar>
          </w:tcPr>
          <w:p w:rsidR="00D65943" w:rsidRPr="00345D93" w:rsidP="00F603E3" w14:paraId="49229552" w14:textId="7EE218DE">
            <w:pPr>
              <w:rPr>
                <w:sz w:val="20"/>
                <w:szCs w:val="20"/>
              </w:rPr>
            </w:pPr>
            <w:r w:rsidRPr="00345D93">
              <w:rPr>
                <w:color w:val="000000"/>
                <w:sz w:val="20"/>
                <w:szCs w:val="20"/>
              </w:rPr>
              <w:t>Form Name</w:t>
            </w:r>
          </w:p>
        </w:tc>
        <w:tc>
          <w:tcPr>
            <w:tcW w:w="941" w:type="pct"/>
            <w:shd w:val="clear" w:color="auto" w:fill="auto"/>
            <w:tcMar>
              <w:top w:w="0" w:type="dxa"/>
              <w:left w:w="108" w:type="dxa"/>
              <w:bottom w:w="0" w:type="dxa"/>
              <w:right w:w="108" w:type="dxa"/>
            </w:tcMar>
          </w:tcPr>
          <w:p w:rsidR="00D65943" w:rsidRPr="00345D93" w:rsidP="00B27F17" w14:paraId="4EC7393D" w14:textId="3391A70D">
            <w:pPr>
              <w:jc w:val="center"/>
              <w:rPr>
                <w:sz w:val="20"/>
                <w:szCs w:val="20"/>
              </w:rPr>
            </w:pPr>
            <w:r w:rsidRPr="00345D93">
              <w:rPr>
                <w:color w:val="000000"/>
                <w:sz w:val="20"/>
                <w:szCs w:val="20"/>
              </w:rPr>
              <w:t>Number of Respondents</w:t>
            </w:r>
            <w:r w:rsidRPr="00345D93" w:rsidR="001909CD">
              <w:rPr>
                <w:color w:val="000000"/>
                <w:sz w:val="20"/>
                <w:szCs w:val="20"/>
              </w:rPr>
              <w:t xml:space="preserve"> +</w:t>
            </w:r>
          </w:p>
        </w:tc>
        <w:tc>
          <w:tcPr>
            <w:tcW w:w="634" w:type="pct"/>
            <w:shd w:val="clear" w:color="auto" w:fill="auto"/>
            <w:tcMar>
              <w:top w:w="0" w:type="dxa"/>
              <w:left w:w="108" w:type="dxa"/>
              <w:bottom w:w="0" w:type="dxa"/>
              <w:right w:w="108" w:type="dxa"/>
            </w:tcMar>
          </w:tcPr>
          <w:p w:rsidR="00D65943" w:rsidRPr="00345D93" w:rsidP="00B27F17" w14:paraId="4BEBB9D1" w14:textId="77777777">
            <w:pPr>
              <w:jc w:val="center"/>
              <w:rPr>
                <w:sz w:val="20"/>
                <w:szCs w:val="20"/>
              </w:rPr>
            </w:pPr>
            <w:r w:rsidRPr="00345D93">
              <w:rPr>
                <w:sz w:val="20"/>
                <w:szCs w:val="20"/>
              </w:rPr>
              <w:t>Number of responses per respondent</w:t>
            </w:r>
          </w:p>
        </w:tc>
        <w:tc>
          <w:tcPr>
            <w:tcW w:w="951" w:type="pct"/>
          </w:tcPr>
          <w:p w:rsidR="00D65943" w:rsidRPr="00345D93" w:rsidP="00B27F17" w14:paraId="2D446CE8" w14:textId="77777777">
            <w:pPr>
              <w:jc w:val="center"/>
              <w:rPr>
                <w:sz w:val="20"/>
                <w:szCs w:val="20"/>
              </w:rPr>
            </w:pPr>
            <w:r w:rsidRPr="00345D93">
              <w:rPr>
                <w:color w:val="000000"/>
                <w:sz w:val="20"/>
                <w:szCs w:val="20"/>
              </w:rPr>
              <w:t>Hours per response</w:t>
            </w:r>
          </w:p>
        </w:tc>
        <w:tc>
          <w:tcPr>
            <w:tcW w:w="1081" w:type="pct"/>
            <w:shd w:val="clear" w:color="auto" w:fill="auto"/>
            <w:tcMar>
              <w:top w:w="0" w:type="dxa"/>
              <w:left w:w="108" w:type="dxa"/>
              <w:bottom w:w="0" w:type="dxa"/>
              <w:right w:w="108" w:type="dxa"/>
            </w:tcMar>
          </w:tcPr>
          <w:p w:rsidR="00D65943" w:rsidRPr="00345D93" w:rsidP="00B27F17" w14:paraId="3512BBED" w14:textId="77777777">
            <w:pPr>
              <w:jc w:val="center"/>
              <w:rPr>
                <w:sz w:val="20"/>
                <w:szCs w:val="20"/>
              </w:rPr>
            </w:pPr>
            <w:r w:rsidRPr="00345D93">
              <w:rPr>
                <w:color w:val="000000"/>
                <w:sz w:val="20"/>
                <w:szCs w:val="20"/>
              </w:rPr>
              <w:t>Total Burden hours</w:t>
            </w:r>
          </w:p>
        </w:tc>
      </w:tr>
      <w:tr w14:paraId="11EBEA9B" w14:textId="77777777" w:rsidTr="00C734CC">
        <w:tblPrEx>
          <w:tblW w:w="5390" w:type="pct"/>
          <w:tblCellMar>
            <w:left w:w="0" w:type="dxa"/>
            <w:right w:w="0" w:type="dxa"/>
          </w:tblCellMar>
          <w:tblLook w:val="0000"/>
        </w:tblPrEx>
        <w:trPr>
          <w:trHeight w:val="217"/>
        </w:trPr>
        <w:tc>
          <w:tcPr>
            <w:tcW w:w="5000" w:type="pct"/>
            <w:gridSpan w:val="5"/>
            <w:shd w:val="clear" w:color="auto" w:fill="auto"/>
            <w:tcMar>
              <w:top w:w="0" w:type="dxa"/>
              <w:left w:w="108" w:type="dxa"/>
              <w:bottom w:w="0" w:type="dxa"/>
              <w:right w:w="108" w:type="dxa"/>
            </w:tcMar>
          </w:tcPr>
          <w:p w:rsidR="00910ECE" w:rsidRPr="00345D93" w:rsidP="00910ECE" w14:paraId="055B12C6" w14:textId="1FB63A7B">
            <w:pPr>
              <w:rPr>
                <w:b/>
                <w:color w:val="000000"/>
                <w:sz w:val="20"/>
                <w:szCs w:val="20"/>
              </w:rPr>
            </w:pPr>
            <w:r w:rsidRPr="00345D93">
              <w:rPr>
                <w:b/>
                <w:bCs/>
                <w:color w:val="000000"/>
                <w:sz w:val="20"/>
                <w:szCs w:val="20"/>
              </w:rPr>
              <w:t xml:space="preserve">Survey of Patient Safety Culture </w:t>
            </w:r>
          </w:p>
        </w:tc>
      </w:tr>
      <w:tr w14:paraId="3E13CC64" w14:textId="77777777" w:rsidTr="00E007FA">
        <w:tblPrEx>
          <w:tblW w:w="5390" w:type="pct"/>
          <w:tblCellMar>
            <w:left w:w="0" w:type="dxa"/>
            <w:right w:w="0" w:type="dxa"/>
          </w:tblCellMar>
          <w:tblLook w:val="0000"/>
        </w:tblPrEx>
        <w:trPr>
          <w:trHeight w:val="1104"/>
        </w:trPr>
        <w:tc>
          <w:tcPr>
            <w:tcW w:w="1393" w:type="pct"/>
            <w:shd w:val="clear" w:color="auto" w:fill="auto"/>
            <w:tcMar>
              <w:top w:w="0" w:type="dxa"/>
              <w:left w:w="108" w:type="dxa"/>
              <w:bottom w:w="0" w:type="dxa"/>
              <w:right w:w="108" w:type="dxa"/>
            </w:tcMar>
          </w:tcPr>
          <w:p w:rsidR="00910ECE" w:rsidRPr="001E7F9E" w:rsidP="00910ECE" w14:paraId="6A786574" w14:textId="5EB78D56">
            <w:pPr>
              <w:pStyle w:val="ColorfulList-Accent11"/>
              <w:ind w:left="229"/>
              <w:rPr>
                <w:bCs/>
                <w:color w:val="000000"/>
                <w:sz w:val="20"/>
                <w:szCs w:val="20"/>
                <w:highlight w:val="yellow"/>
              </w:rPr>
            </w:pPr>
            <w:bookmarkStart w:id="64" w:name="OLE_LINK9"/>
            <w:r w:rsidRPr="001E7F9E">
              <w:rPr>
                <w:bCs/>
                <w:color w:val="000000"/>
                <w:sz w:val="20"/>
                <w:szCs w:val="20"/>
                <w:highlight w:val="yellow"/>
              </w:rPr>
              <w:t xml:space="preserve">HSOPS </w:t>
            </w:r>
            <w:r w:rsidRPr="001E7F9E" w:rsidR="00791178">
              <w:rPr>
                <w:bCs/>
                <w:color w:val="000000"/>
                <w:sz w:val="20"/>
                <w:szCs w:val="20"/>
                <w:highlight w:val="yellow"/>
              </w:rPr>
              <w:t xml:space="preserve">(Attachment </w:t>
            </w:r>
            <w:r w:rsidRPr="001E7F9E" w:rsidR="006607D6">
              <w:rPr>
                <w:bCs/>
                <w:color w:val="000000"/>
                <w:sz w:val="20"/>
                <w:szCs w:val="20"/>
                <w:highlight w:val="yellow"/>
              </w:rPr>
              <w:t>H</w:t>
            </w:r>
            <w:bookmarkStart w:id="65" w:name="OLE_LINK6"/>
            <w:bookmarkStart w:id="66" w:name="OLE_LINK7"/>
            <w:r w:rsidRPr="001E7F9E" w:rsidR="00791178">
              <w:rPr>
                <w:bCs/>
                <w:color w:val="000000"/>
                <w:sz w:val="20"/>
                <w:szCs w:val="20"/>
                <w:highlight w:val="yellow"/>
              </w:rPr>
              <w:t>)</w:t>
            </w:r>
            <w:bookmarkEnd w:id="65"/>
            <w:bookmarkEnd w:id="66"/>
          </w:p>
          <w:p w:rsidR="00910ECE" w:rsidRPr="001E7F9E" w14:paraId="0029811F" w14:textId="097E50B8">
            <w:pPr>
              <w:pStyle w:val="ColorfulList-Accent11"/>
              <w:ind w:left="0" w:firstLine="319"/>
              <w:rPr>
                <w:sz w:val="20"/>
                <w:szCs w:val="20"/>
                <w:highlight w:val="yellow"/>
              </w:rPr>
            </w:pPr>
            <w:r w:rsidRPr="001E7F9E">
              <w:rPr>
                <w:bCs/>
                <w:i/>
                <w:color w:val="000000"/>
                <w:sz w:val="20"/>
                <w:szCs w:val="20"/>
                <w:highlight w:val="yellow"/>
              </w:rPr>
              <w:t>(25 respondents per unit,</w:t>
            </w:r>
            <w:r w:rsidRPr="001E7F9E" w:rsidR="00EA6041">
              <w:rPr>
                <w:bCs/>
                <w:i/>
                <w:color w:val="000000"/>
                <w:sz w:val="20"/>
                <w:szCs w:val="20"/>
                <w:highlight w:val="yellow"/>
              </w:rPr>
              <w:t xml:space="preserve"> </w:t>
            </w:r>
            <w:r w:rsidRPr="001E7F9E">
              <w:rPr>
                <w:bCs/>
                <w:i/>
                <w:color w:val="000000"/>
                <w:sz w:val="20"/>
                <w:szCs w:val="20"/>
                <w:highlight w:val="yellow"/>
              </w:rPr>
              <w:t>pre- and post-</w:t>
            </w:r>
            <w:r w:rsidRPr="001E7F9E" w:rsidR="00965F68">
              <w:rPr>
                <w:bCs/>
                <w:i/>
                <w:color w:val="000000"/>
                <w:sz w:val="20"/>
                <w:szCs w:val="20"/>
                <w:highlight w:val="yellow"/>
              </w:rPr>
              <w:t>implementation</w:t>
            </w:r>
            <w:r w:rsidRPr="001E7F9E">
              <w:rPr>
                <w:bCs/>
                <w:i/>
                <w:color w:val="000000"/>
                <w:sz w:val="20"/>
                <w:szCs w:val="20"/>
                <w:highlight w:val="yellow"/>
              </w:rPr>
              <w:t xml:space="preserve"> for ICU</w:t>
            </w:r>
            <w:r w:rsidRPr="001E7F9E" w:rsidR="001C264D">
              <w:rPr>
                <w:bCs/>
                <w:i/>
                <w:color w:val="000000"/>
                <w:sz w:val="20"/>
                <w:szCs w:val="20"/>
                <w:highlight w:val="yellow"/>
              </w:rPr>
              <w:t xml:space="preserve"> and</w:t>
            </w:r>
            <w:r w:rsidRPr="001E7F9E">
              <w:rPr>
                <w:bCs/>
                <w:i/>
                <w:color w:val="000000"/>
                <w:sz w:val="20"/>
                <w:szCs w:val="20"/>
                <w:highlight w:val="yellow"/>
              </w:rPr>
              <w:t xml:space="preserve"> non-</w:t>
            </w:r>
            <w:r w:rsidRPr="001E7F9E" w:rsidR="001C264D">
              <w:rPr>
                <w:bCs/>
                <w:i/>
                <w:color w:val="000000"/>
                <w:sz w:val="20"/>
                <w:szCs w:val="20"/>
                <w:highlight w:val="yellow"/>
              </w:rPr>
              <w:t>ICU)</w:t>
            </w:r>
            <w:bookmarkEnd w:id="64"/>
          </w:p>
        </w:tc>
        <w:tc>
          <w:tcPr>
            <w:tcW w:w="941" w:type="pct"/>
            <w:shd w:val="clear" w:color="auto" w:fill="auto"/>
            <w:tcMar>
              <w:top w:w="0" w:type="dxa"/>
              <w:left w:w="108" w:type="dxa"/>
              <w:bottom w:w="0" w:type="dxa"/>
              <w:right w:w="108" w:type="dxa"/>
            </w:tcMar>
          </w:tcPr>
          <w:p w:rsidR="00910ECE" w:rsidRPr="001E7F9E" w:rsidP="00910ECE" w14:paraId="534B30F1" w14:textId="4C9AE2AB">
            <w:pPr>
              <w:jc w:val="center"/>
              <w:rPr>
                <w:sz w:val="20"/>
                <w:szCs w:val="20"/>
                <w:highlight w:val="yellow"/>
              </w:rPr>
            </w:pPr>
            <w:r w:rsidRPr="001E7F9E">
              <w:rPr>
                <w:sz w:val="20"/>
                <w:szCs w:val="20"/>
                <w:highlight w:val="yellow"/>
              </w:rPr>
              <w:t>6667</w:t>
            </w:r>
          </w:p>
        </w:tc>
        <w:tc>
          <w:tcPr>
            <w:tcW w:w="634" w:type="pct"/>
            <w:shd w:val="clear" w:color="auto" w:fill="auto"/>
            <w:tcMar>
              <w:top w:w="0" w:type="dxa"/>
              <w:left w:w="108" w:type="dxa"/>
              <w:bottom w:w="0" w:type="dxa"/>
              <w:right w:w="108" w:type="dxa"/>
            </w:tcMar>
          </w:tcPr>
          <w:p w:rsidR="00910ECE" w:rsidRPr="001E7F9E" w:rsidP="00910ECE" w14:paraId="06A16D9D" w14:textId="6B29D5F5">
            <w:pPr>
              <w:jc w:val="center"/>
              <w:rPr>
                <w:sz w:val="20"/>
                <w:szCs w:val="20"/>
                <w:highlight w:val="yellow"/>
              </w:rPr>
            </w:pPr>
            <w:r w:rsidRPr="001E7F9E">
              <w:rPr>
                <w:sz w:val="20"/>
                <w:szCs w:val="20"/>
                <w:highlight w:val="yellow"/>
              </w:rPr>
              <w:t>2</w:t>
            </w:r>
          </w:p>
        </w:tc>
        <w:tc>
          <w:tcPr>
            <w:tcW w:w="951" w:type="pct"/>
          </w:tcPr>
          <w:p w:rsidR="00910ECE" w:rsidRPr="001E7F9E" w:rsidP="00910ECE" w14:paraId="79F6DCA6" w14:textId="3F020B18">
            <w:pPr>
              <w:jc w:val="center"/>
              <w:rPr>
                <w:sz w:val="20"/>
                <w:szCs w:val="20"/>
                <w:highlight w:val="yellow"/>
              </w:rPr>
            </w:pPr>
            <w:r w:rsidRPr="001E7F9E">
              <w:rPr>
                <w:sz w:val="20"/>
                <w:szCs w:val="20"/>
                <w:highlight w:val="yellow"/>
              </w:rPr>
              <w:t>0.25</w:t>
            </w:r>
          </w:p>
        </w:tc>
        <w:tc>
          <w:tcPr>
            <w:tcW w:w="1081" w:type="pct"/>
            <w:shd w:val="clear" w:color="auto" w:fill="auto"/>
            <w:tcMar>
              <w:top w:w="0" w:type="dxa"/>
              <w:left w:w="108" w:type="dxa"/>
              <w:bottom w:w="0" w:type="dxa"/>
              <w:right w:w="108" w:type="dxa"/>
            </w:tcMar>
          </w:tcPr>
          <w:p w:rsidR="00910ECE" w:rsidRPr="001E7F9E" w:rsidP="00910ECE" w14:paraId="0E7BCA7D" w14:textId="6FA04A06">
            <w:pPr>
              <w:jc w:val="center"/>
              <w:rPr>
                <w:sz w:val="20"/>
                <w:szCs w:val="20"/>
                <w:highlight w:val="yellow"/>
              </w:rPr>
            </w:pPr>
            <w:r w:rsidRPr="001E7F9E">
              <w:rPr>
                <w:sz w:val="20"/>
                <w:szCs w:val="20"/>
                <w:highlight w:val="yellow"/>
              </w:rPr>
              <w:t>3334</w:t>
            </w:r>
          </w:p>
        </w:tc>
      </w:tr>
      <w:tr w14:paraId="6B6D6F46" w14:textId="77777777" w:rsidTr="00E007FA">
        <w:tblPrEx>
          <w:tblW w:w="5390" w:type="pct"/>
          <w:tblCellMar>
            <w:left w:w="0" w:type="dxa"/>
            <w:right w:w="0" w:type="dxa"/>
          </w:tblCellMar>
          <w:tblLook w:val="0000"/>
        </w:tblPrEx>
        <w:trPr>
          <w:trHeight w:val="1104"/>
        </w:trPr>
        <w:tc>
          <w:tcPr>
            <w:tcW w:w="1393" w:type="pct"/>
            <w:shd w:val="clear" w:color="auto" w:fill="auto"/>
            <w:tcMar>
              <w:top w:w="0" w:type="dxa"/>
              <w:left w:w="108" w:type="dxa"/>
              <w:bottom w:w="0" w:type="dxa"/>
              <w:right w:w="108" w:type="dxa"/>
            </w:tcMar>
          </w:tcPr>
          <w:p w:rsidR="001C264D" w:rsidRPr="001E7F9E" w:rsidP="001C264D" w14:paraId="1DF209CD" w14:textId="6BC2344D">
            <w:pPr>
              <w:pStyle w:val="ColorfulList-Accent11"/>
              <w:ind w:left="229"/>
              <w:rPr>
                <w:bCs/>
                <w:color w:val="000000"/>
                <w:sz w:val="20"/>
                <w:szCs w:val="20"/>
                <w:highlight w:val="yellow"/>
              </w:rPr>
            </w:pPr>
            <w:r w:rsidRPr="001E7F9E">
              <w:rPr>
                <w:bCs/>
                <w:color w:val="000000"/>
                <w:sz w:val="20"/>
                <w:szCs w:val="20"/>
                <w:highlight w:val="yellow"/>
              </w:rPr>
              <w:t>HSOPS</w:t>
            </w:r>
            <w:r w:rsidRPr="001E7F9E" w:rsidR="003C4D42">
              <w:rPr>
                <w:bCs/>
                <w:color w:val="000000"/>
                <w:sz w:val="20"/>
                <w:szCs w:val="20"/>
                <w:highlight w:val="yellow"/>
              </w:rPr>
              <w:t xml:space="preserve"> 2.0</w:t>
            </w:r>
            <w:r w:rsidRPr="001E7F9E">
              <w:rPr>
                <w:bCs/>
                <w:color w:val="000000"/>
                <w:sz w:val="20"/>
                <w:szCs w:val="20"/>
                <w:highlight w:val="yellow"/>
              </w:rPr>
              <w:t xml:space="preserve"> (Attachment</w:t>
            </w:r>
            <w:r w:rsidRPr="001E7F9E" w:rsidR="003C4D42">
              <w:rPr>
                <w:bCs/>
                <w:color w:val="000000"/>
                <w:sz w:val="20"/>
                <w:szCs w:val="20"/>
                <w:highlight w:val="yellow"/>
              </w:rPr>
              <w:t xml:space="preserve"> </w:t>
            </w:r>
            <w:r w:rsidRPr="001E7F9E">
              <w:rPr>
                <w:bCs/>
                <w:color w:val="000000"/>
                <w:sz w:val="20"/>
                <w:szCs w:val="20"/>
                <w:highlight w:val="yellow"/>
              </w:rPr>
              <w:t>Q)</w:t>
            </w:r>
          </w:p>
          <w:p w:rsidR="001C264D" w:rsidRPr="001E7F9E" w:rsidP="001C264D" w14:paraId="2C3625ED" w14:textId="696ED06B">
            <w:pPr>
              <w:pStyle w:val="ColorfulList-Accent11"/>
              <w:ind w:left="229"/>
              <w:rPr>
                <w:bCs/>
                <w:color w:val="000000"/>
                <w:sz w:val="20"/>
                <w:szCs w:val="20"/>
                <w:highlight w:val="yellow"/>
              </w:rPr>
            </w:pPr>
            <w:r w:rsidRPr="001E7F9E">
              <w:rPr>
                <w:bCs/>
                <w:i/>
                <w:color w:val="000000"/>
                <w:sz w:val="20"/>
                <w:szCs w:val="20"/>
                <w:highlight w:val="yellow"/>
              </w:rPr>
              <w:t>(25 respondents per unit, pre- and post-implementation for ICU and non-ICU)</w:t>
            </w:r>
          </w:p>
        </w:tc>
        <w:tc>
          <w:tcPr>
            <w:tcW w:w="941" w:type="pct"/>
            <w:shd w:val="clear" w:color="auto" w:fill="auto"/>
            <w:tcMar>
              <w:top w:w="0" w:type="dxa"/>
              <w:left w:w="108" w:type="dxa"/>
              <w:bottom w:w="0" w:type="dxa"/>
              <w:right w:w="108" w:type="dxa"/>
            </w:tcMar>
          </w:tcPr>
          <w:p w:rsidR="001C264D" w:rsidRPr="001E7F9E" w:rsidP="00910ECE" w14:paraId="3459C965" w14:textId="68F87F71">
            <w:pPr>
              <w:jc w:val="center"/>
              <w:rPr>
                <w:sz w:val="20"/>
                <w:szCs w:val="20"/>
                <w:highlight w:val="yellow"/>
              </w:rPr>
            </w:pPr>
            <w:r w:rsidRPr="001E7F9E">
              <w:rPr>
                <w:sz w:val="20"/>
                <w:szCs w:val="20"/>
                <w:highlight w:val="yellow"/>
              </w:rPr>
              <w:t>2500</w:t>
            </w:r>
          </w:p>
        </w:tc>
        <w:tc>
          <w:tcPr>
            <w:tcW w:w="634" w:type="pct"/>
            <w:shd w:val="clear" w:color="auto" w:fill="auto"/>
            <w:tcMar>
              <w:top w:w="0" w:type="dxa"/>
              <w:left w:w="108" w:type="dxa"/>
              <w:bottom w:w="0" w:type="dxa"/>
              <w:right w:w="108" w:type="dxa"/>
            </w:tcMar>
          </w:tcPr>
          <w:p w:rsidR="001C264D" w:rsidRPr="001E7F9E" w:rsidP="00910ECE" w14:paraId="738FE86D" w14:textId="7166D1BC">
            <w:pPr>
              <w:jc w:val="center"/>
              <w:rPr>
                <w:sz w:val="20"/>
                <w:szCs w:val="20"/>
                <w:highlight w:val="yellow"/>
              </w:rPr>
            </w:pPr>
            <w:r w:rsidRPr="001E7F9E">
              <w:rPr>
                <w:sz w:val="20"/>
                <w:szCs w:val="20"/>
                <w:highlight w:val="yellow"/>
              </w:rPr>
              <w:t>2</w:t>
            </w:r>
          </w:p>
        </w:tc>
        <w:tc>
          <w:tcPr>
            <w:tcW w:w="951" w:type="pct"/>
          </w:tcPr>
          <w:p w:rsidR="001C264D" w:rsidRPr="001E7F9E" w:rsidP="00910ECE" w14:paraId="72D49B66" w14:textId="50AF36CC">
            <w:pPr>
              <w:jc w:val="center"/>
              <w:rPr>
                <w:sz w:val="20"/>
                <w:szCs w:val="20"/>
                <w:highlight w:val="yellow"/>
              </w:rPr>
            </w:pPr>
            <w:r w:rsidRPr="001E7F9E">
              <w:rPr>
                <w:sz w:val="20"/>
                <w:szCs w:val="20"/>
                <w:highlight w:val="yellow"/>
              </w:rPr>
              <w:t>0.21</w:t>
            </w:r>
          </w:p>
        </w:tc>
        <w:tc>
          <w:tcPr>
            <w:tcW w:w="1081" w:type="pct"/>
            <w:shd w:val="clear" w:color="auto" w:fill="auto"/>
            <w:tcMar>
              <w:top w:w="0" w:type="dxa"/>
              <w:left w:w="108" w:type="dxa"/>
              <w:bottom w:w="0" w:type="dxa"/>
              <w:right w:w="108" w:type="dxa"/>
            </w:tcMar>
          </w:tcPr>
          <w:p w:rsidR="001C264D" w:rsidRPr="001E7F9E" w:rsidP="00910ECE" w14:paraId="615A975B" w14:textId="39DEB0C8">
            <w:pPr>
              <w:jc w:val="center"/>
              <w:rPr>
                <w:sz w:val="20"/>
                <w:szCs w:val="20"/>
                <w:highlight w:val="yellow"/>
              </w:rPr>
            </w:pPr>
            <w:r w:rsidRPr="001E7F9E">
              <w:rPr>
                <w:sz w:val="20"/>
                <w:szCs w:val="20"/>
                <w:highlight w:val="yellow"/>
              </w:rPr>
              <w:t>1050</w:t>
            </w:r>
          </w:p>
        </w:tc>
      </w:tr>
      <w:tr w14:paraId="1EC69CB1" w14:textId="77777777" w:rsidTr="00E007FA">
        <w:tblPrEx>
          <w:tblW w:w="5390" w:type="pct"/>
          <w:tblCellMar>
            <w:left w:w="0" w:type="dxa"/>
            <w:right w:w="0" w:type="dxa"/>
          </w:tblCellMar>
          <w:tblLook w:val="0000"/>
        </w:tblPrEx>
        <w:trPr>
          <w:trHeight w:val="1104"/>
        </w:trPr>
        <w:tc>
          <w:tcPr>
            <w:tcW w:w="1393" w:type="pct"/>
            <w:shd w:val="clear" w:color="auto" w:fill="auto"/>
            <w:tcMar>
              <w:top w:w="0" w:type="dxa"/>
              <w:left w:w="108" w:type="dxa"/>
              <w:bottom w:w="0" w:type="dxa"/>
              <w:right w:w="108" w:type="dxa"/>
            </w:tcMar>
          </w:tcPr>
          <w:p w:rsidR="00910ECE" w:rsidRPr="00345D93" w:rsidP="00910ECE" w14:paraId="4C85F720" w14:textId="26F7E49A">
            <w:pPr>
              <w:pStyle w:val="ColorfulList-Accent11"/>
              <w:ind w:left="229"/>
              <w:rPr>
                <w:bCs/>
                <w:color w:val="000000"/>
                <w:sz w:val="20"/>
                <w:szCs w:val="20"/>
              </w:rPr>
            </w:pPr>
            <w:r w:rsidRPr="00345D93">
              <w:rPr>
                <w:bCs/>
                <w:color w:val="000000"/>
                <w:sz w:val="20"/>
                <w:szCs w:val="20"/>
              </w:rPr>
              <w:t xml:space="preserve">NHSOPS </w:t>
            </w:r>
            <w:r w:rsidRPr="00345D93" w:rsidR="00791178">
              <w:rPr>
                <w:bCs/>
                <w:color w:val="000000"/>
                <w:sz w:val="20"/>
                <w:szCs w:val="20"/>
              </w:rPr>
              <w:t xml:space="preserve">(Attachment </w:t>
            </w:r>
            <w:r w:rsidRPr="00345D93" w:rsidR="006607D6">
              <w:rPr>
                <w:bCs/>
                <w:color w:val="000000"/>
                <w:sz w:val="20"/>
                <w:szCs w:val="20"/>
              </w:rPr>
              <w:t>I</w:t>
            </w:r>
            <w:r w:rsidRPr="00345D93" w:rsidR="00791178">
              <w:rPr>
                <w:bCs/>
                <w:color w:val="000000"/>
                <w:sz w:val="20"/>
                <w:szCs w:val="20"/>
              </w:rPr>
              <w:t>)</w:t>
            </w:r>
          </w:p>
          <w:p w:rsidR="00910ECE" w:rsidRPr="00345D93" w14:paraId="2B3AE7CC" w14:textId="364759A0">
            <w:pPr>
              <w:pStyle w:val="ColorfulList-Accent11"/>
              <w:ind w:left="0" w:firstLine="319"/>
              <w:rPr>
                <w:sz w:val="20"/>
                <w:szCs w:val="20"/>
              </w:rPr>
            </w:pPr>
            <w:r w:rsidRPr="00345D93">
              <w:rPr>
                <w:bCs/>
                <w:i/>
                <w:color w:val="000000"/>
                <w:sz w:val="20"/>
                <w:szCs w:val="20"/>
              </w:rPr>
              <w:t xml:space="preserve">(25 respondents per facility, </w:t>
            </w:r>
            <w:r w:rsidRPr="00345D93" w:rsidR="001D56BD">
              <w:rPr>
                <w:bCs/>
                <w:i/>
                <w:color w:val="000000"/>
                <w:sz w:val="20"/>
                <w:szCs w:val="20"/>
              </w:rPr>
              <w:t xml:space="preserve">one response per </w:t>
            </w:r>
            <w:r w:rsidRPr="00345D93">
              <w:rPr>
                <w:bCs/>
                <w:i/>
                <w:color w:val="000000"/>
                <w:sz w:val="20"/>
                <w:szCs w:val="20"/>
              </w:rPr>
              <w:t>pre- and post-</w:t>
            </w:r>
            <w:r w:rsidRPr="00345D93" w:rsidR="00965F68">
              <w:rPr>
                <w:bCs/>
                <w:i/>
                <w:color w:val="000000"/>
                <w:sz w:val="20"/>
                <w:szCs w:val="20"/>
              </w:rPr>
              <w:t>implementation</w:t>
            </w:r>
            <w:r w:rsidRPr="00345D93">
              <w:rPr>
                <w:bCs/>
                <w:i/>
                <w:color w:val="000000"/>
                <w:sz w:val="20"/>
                <w:szCs w:val="20"/>
              </w:rPr>
              <w:t xml:space="preserve"> for LTC cohort</w:t>
            </w:r>
            <w:r w:rsidRPr="00345D93" w:rsidR="00EA6041">
              <w:rPr>
                <w:bCs/>
                <w:i/>
                <w:color w:val="000000"/>
                <w:sz w:val="20"/>
                <w:szCs w:val="20"/>
              </w:rPr>
              <w:t xml:space="preserve">, 300 </w:t>
            </w:r>
            <w:r w:rsidRPr="00345D93" w:rsidR="00E32106">
              <w:rPr>
                <w:bCs/>
                <w:i/>
                <w:color w:val="000000"/>
                <w:sz w:val="20"/>
                <w:szCs w:val="20"/>
              </w:rPr>
              <w:t>facilities</w:t>
            </w:r>
            <w:r w:rsidRPr="00345D93" w:rsidR="00EA6041">
              <w:rPr>
                <w:bCs/>
                <w:i/>
                <w:color w:val="000000"/>
                <w:sz w:val="20"/>
                <w:szCs w:val="20"/>
              </w:rPr>
              <w:t xml:space="preserve"> total</w:t>
            </w:r>
            <w:r w:rsidRPr="00345D93">
              <w:rPr>
                <w:bCs/>
                <w:i/>
                <w:color w:val="000000"/>
                <w:sz w:val="20"/>
                <w:szCs w:val="20"/>
              </w:rPr>
              <w:t>)</w:t>
            </w:r>
          </w:p>
        </w:tc>
        <w:tc>
          <w:tcPr>
            <w:tcW w:w="941" w:type="pct"/>
            <w:shd w:val="clear" w:color="auto" w:fill="auto"/>
            <w:tcMar>
              <w:top w:w="0" w:type="dxa"/>
              <w:left w:w="108" w:type="dxa"/>
              <w:bottom w:w="0" w:type="dxa"/>
              <w:right w:w="108" w:type="dxa"/>
            </w:tcMar>
          </w:tcPr>
          <w:p w:rsidR="00910ECE" w:rsidRPr="00345D93" w:rsidP="00910ECE" w14:paraId="0DDB3802" w14:textId="4C5DEA3C">
            <w:pPr>
              <w:jc w:val="center"/>
              <w:rPr>
                <w:sz w:val="20"/>
                <w:szCs w:val="20"/>
              </w:rPr>
            </w:pPr>
            <w:r w:rsidRPr="00345D93">
              <w:rPr>
                <w:sz w:val="20"/>
                <w:szCs w:val="20"/>
              </w:rPr>
              <w:t>2,500</w:t>
            </w:r>
          </w:p>
        </w:tc>
        <w:tc>
          <w:tcPr>
            <w:tcW w:w="634" w:type="pct"/>
            <w:shd w:val="clear" w:color="auto" w:fill="auto"/>
            <w:tcMar>
              <w:top w:w="0" w:type="dxa"/>
              <w:left w:w="108" w:type="dxa"/>
              <w:bottom w:w="0" w:type="dxa"/>
              <w:right w:w="108" w:type="dxa"/>
            </w:tcMar>
          </w:tcPr>
          <w:p w:rsidR="00910ECE" w:rsidRPr="00345D93" w:rsidP="00910ECE" w14:paraId="2E004F5D" w14:textId="49EFDA76">
            <w:pPr>
              <w:jc w:val="center"/>
              <w:rPr>
                <w:sz w:val="20"/>
                <w:szCs w:val="20"/>
              </w:rPr>
            </w:pPr>
            <w:r w:rsidRPr="00345D93">
              <w:rPr>
                <w:sz w:val="20"/>
                <w:szCs w:val="20"/>
              </w:rPr>
              <w:t>2</w:t>
            </w:r>
          </w:p>
        </w:tc>
        <w:tc>
          <w:tcPr>
            <w:tcW w:w="951" w:type="pct"/>
          </w:tcPr>
          <w:p w:rsidR="00910ECE" w:rsidRPr="00345D93" w:rsidP="00910ECE" w14:paraId="5CF163D2" w14:textId="119CB278">
            <w:pPr>
              <w:jc w:val="center"/>
              <w:rPr>
                <w:sz w:val="20"/>
                <w:szCs w:val="20"/>
              </w:rPr>
            </w:pPr>
            <w:r w:rsidRPr="00345D93">
              <w:rPr>
                <w:sz w:val="20"/>
                <w:szCs w:val="20"/>
              </w:rPr>
              <w:t>0.25</w:t>
            </w:r>
          </w:p>
        </w:tc>
        <w:tc>
          <w:tcPr>
            <w:tcW w:w="1081" w:type="pct"/>
            <w:shd w:val="clear" w:color="auto" w:fill="auto"/>
            <w:tcMar>
              <w:top w:w="0" w:type="dxa"/>
              <w:left w:w="108" w:type="dxa"/>
              <w:bottom w:w="0" w:type="dxa"/>
              <w:right w:w="108" w:type="dxa"/>
            </w:tcMar>
          </w:tcPr>
          <w:p w:rsidR="00910ECE" w:rsidRPr="00345D93" w:rsidP="00910ECE" w14:paraId="338F629B" w14:textId="437751A7">
            <w:pPr>
              <w:jc w:val="center"/>
              <w:rPr>
                <w:sz w:val="20"/>
                <w:szCs w:val="20"/>
              </w:rPr>
            </w:pPr>
            <w:r w:rsidRPr="00345D93">
              <w:rPr>
                <w:sz w:val="20"/>
                <w:szCs w:val="20"/>
              </w:rPr>
              <w:t>1,250</w:t>
            </w:r>
          </w:p>
        </w:tc>
      </w:tr>
      <w:tr w14:paraId="27106AB0" w14:textId="77777777" w:rsidTr="00C734CC">
        <w:tblPrEx>
          <w:tblW w:w="5390" w:type="pct"/>
          <w:tblCellMar>
            <w:left w:w="0" w:type="dxa"/>
            <w:right w:w="0" w:type="dxa"/>
          </w:tblCellMar>
          <w:tblLook w:val="0000"/>
        </w:tblPrEx>
        <w:trPr>
          <w:trHeight w:val="217"/>
        </w:trPr>
        <w:tc>
          <w:tcPr>
            <w:tcW w:w="5000" w:type="pct"/>
            <w:gridSpan w:val="5"/>
            <w:shd w:val="clear" w:color="auto" w:fill="auto"/>
            <w:tcMar>
              <w:top w:w="0" w:type="dxa"/>
              <w:left w:w="108" w:type="dxa"/>
              <w:bottom w:w="0" w:type="dxa"/>
              <w:right w:w="108" w:type="dxa"/>
            </w:tcMar>
          </w:tcPr>
          <w:p w:rsidR="003374C8" w:rsidRPr="00345D93" w:rsidP="003374C8" w14:paraId="64803F7C" w14:textId="10C14CA0">
            <w:pPr>
              <w:rPr>
                <w:b/>
                <w:sz w:val="20"/>
                <w:szCs w:val="20"/>
              </w:rPr>
            </w:pPr>
            <w:r w:rsidRPr="00345D93">
              <w:rPr>
                <w:b/>
                <w:sz w:val="20"/>
                <w:szCs w:val="20"/>
              </w:rPr>
              <w:t xml:space="preserve">Infrastructure </w:t>
            </w:r>
            <w:r w:rsidRPr="00345D93">
              <w:rPr>
                <w:b/>
                <w:sz w:val="20"/>
                <w:szCs w:val="20"/>
              </w:rPr>
              <w:t>Assessment</w:t>
            </w:r>
          </w:p>
        </w:tc>
      </w:tr>
      <w:tr w14:paraId="629E6B16" w14:textId="77777777" w:rsidTr="00E007FA">
        <w:tblPrEx>
          <w:tblW w:w="5390" w:type="pct"/>
          <w:tblCellMar>
            <w:left w:w="0" w:type="dxa"/>
            <w:right w:w="0" w:type="dxa"/>
          </w:tblCellMar>
          <w:tblLook w:val="0000"/>
        </w:tblPrEx>
        <w:trPr>
          <w:trHeight w:val="1104"/>
        </w:trPr>
        <w:tc>
          <w:tcPr>
            <w:tcW w:w="1393" w:type="pct"/>
            <w:shd w:val="clear" w:color="auto" w:fill="auto"/>
            <w:tcMar>
              <w:top w:w="0" w:type="dxa"/>
              <w:left w:w="108" w:type="dxa"/>
              <w:bottom w:w="0" w:type="dxa"/>
              <w:right w:w="108" w:type="dxa"/>
            </w:tcMar>
          </w:tcPr>
          <w:p w:rsidR="003374C8" w:rsidRPr="00345D93" w:rsidP="003374C8" w14:paraId="561A21C1" w14:textId="3CCD2840">
            <w:pPr>
              <w:pStyle w:val="ColorfulList-Accent11"/>
              <w:tabs>
                <w:tab w:val="left" w:pos="229"/>
              </w:tabs>
              <w:ind w:left="229"/>
              <w:rPr>
                <w:sz w:val="20"/>
                <w:szCs w:val="20"/>
              </w:rPr>
            </w:pPr>
            <w:r w:rsidRPr="00345D93">
              <w:rPr>
                <w:sz w:val="20"/>
                <w:szCs w:val="20"/>
              </w:rPr>
              <w:t>Gap Analysis</w:t>
            </w:r>
            <w:r w:rsidRPr="00345D93" w:rsidR="00791178">
              <w:rPr>
                <w:sz w:val="20"/>
                <w:szCs w:val="20"/>
              </w:rPr>
              <w:t xml:space="preserve"> (Attachments B-D)</w:t>
            </w:r>
          </w:p>
          <w:p w:rsidR="003374C8" w:rsidRPr="00345D93" w14:paraId="2BF30047" w14:textId="6A462CDC">
            <w:pPr>
              <w:pStyle w:val="ColorfulList-Accent11"/>
              <w:ind w:left="319"/>
              <w:rPr>
                <w:i/>
                <w:sz w:val="20"/>
                <w:szCs w:val="20"/>
              </w:rPr>
            </w:pPr>
            <w:r w:rsidRPr="00345D93">
              <w:rPr>
                <w:i/>
                <w:sz w:val="20"/>
                <w:szCs w:val="20"/>
              </w:rPr>
              <w:t>(</w:t>
            </w:r>
            <w:r w:rsidRPr="00345D93" w:rsidR="00EA6041">
              <w:rPr>
                <w:i/>
                <w:sz w:val="20"/>
                <w:szCs w:val="20"/>
              </w:rPr>
              <w:t xml:space="preserve">1 assessment per </w:t>
            </w:r>
            <w:r w:rsidRPr="00345D93">
              <w:rPr>
                <w:i/>
                <w:sz w:val="20"/>
                <w:szCs w:val="20"/>
              </w:rPr>
              <w:t xml:space="preserve">unit or facility, </w:t>
            </w:r>
            <w:r w:rsidRPr="00345D93" w:rsidR="00A96343">
              <w:rPr>
                <w:i/>
                <w:sz w:val="20"/>
                <w:szCs w:val="20"/>
              </w:rPr>
              <w:t>pre</w:t>
            </w:r>
            <w:r w:rsidRPr="00345D93" w:rsidR="00EA6041">
              <w:rPr>
                <w:i/>
                <w:sz w:val="20"/>
                <w:szCs w:val="20"/>
              </w:rPr>
              <w:t xml:space="preserve"> </w:t>
            </w:r>
            <w:r w:rsidRPr="00345D93" w:rsidR="00910ECE">
              <w:rPr>
                <w:i/>
                <w:sz w:val="20"/>
                <w:szCs w:val="20"/>
              </w:rPr>
              <w:t>and post-</w:t>
            </w:r>
            <w:r w:rsidRPr="00345D93" w:rsidR="00965F68">
              <w:rPr>
                <w:bCs/>
                <w:i/>
                <w:color w:val="000000"/>
                <w:sz w:val="20"/>
                <w:szCs w:val="20"/>
              </w:rPr>
              <w:t>implementation</w:t>
            </w:r>
            <w:r w:rsidRPr="00345D93">
              <w:rPr>
                <w:i/>
                <w:sz w:val="20"/>
                <w:szCs w:val="20"/>
              </w:rPr>
              <w:t xml:space="preserve"> for all four cohorts</w:t>
            </w:r>
            <w:r w:rsidRPr="00345D93" w:rsidR="00EA6041">
              <w:rPr>
                <w:i/>
                <w:sz w:val="20"/>
                <w:szCs w:val="20"/>
              </w:rPr>
              <w:t>, 1,400 sites total</w:t>
            </w:r>
            <w:r w:rsidRPr="00345D93">
              <w:rPr>
                <w:i/>
                <w:sz w:val="20"/>
                <w:szCs w:val="20"/>
              </w:rPr>
              <w:t>)</w:t>
            </w:r>
          </w:p>
        </w:tc>
        <w:tc>
          <w:tcPr>
            <w:tcW w:w="941" w:type="pct"/>
            <w:shd w:val="clear" w:color="auto" w:fill="auto"/>
            <w:tcMar>
              <w:top w:w="0" w:type="dxa"/>
              <w:left w:w="108" w:type="dxa"/>
              <w:bottom w:w="0" w:type="dxa"/>
              <w:right w:w="108" w:type="dxa"/>
            </w:tcMar>
          </w:tcPr>
          <w:p w:rsidR="003374C8" w:rsidRPr="00345D93" w:rsidP="003374C8" w14:paraId="245E747E" w14:textId="32DB7807">
            <w:pPr>
              <w:jc w:val="center"/>
              <w:rPr>
                <w:sz w:val="20"/>
                <w:szCs w:val="20"/>
              </w:rPr>
            </w:pPr>
            <w:r w:rsidRPr="00345D93">
              <w:rPr>
                <w:sz w:val="20"/>
                <w:szCs w:val="20"/>
              </w:rPr>
              <w:t>467</w:t>
            </w:r>
          </w:p>
        </w:tc>
        <w:tc>
          <w:tcPr>
            <w:tcW w:w="634" w:type="pct"/>
            <w:shd w:val="clear" w:color="auto" w:fill="auto"/>
            <w:tcMar>
              <w:top w:w="0" w:type="dxa"/>
              <w:left w:w="108" w:type="dxa"/>
              <w:bottom w:w="0" w:type="dxa"/>
              <w:right w:w="108" w:type="dxa"/>
            </w:tcMar>
          </w:tcPr>
          <w:p w:rsidR="003374C8" w:rsidRPr="00345D93" w:rsidP="003374C8" w14:paraId="56A7D14D" w14:textId="27318D72">
            <w:pPr>
              <w:jc w:val="center"/>
              <w:rPr>
                <w:sz w:val="20"/>
                <w:szCs w:val="20"/>
              </w:rPr>
            </w:pPr>
            <w:r w:rsidRPr="00345D93">
              <w:rPr>
                <w:sz w:val="20"/>
                <w:szCs w:val="20"/>
              </w:rPr>
              <w:t>2</w:t>
            </w:r>
          </w:p>
        </w:tc>
        <w:tc>
          <w:tcPr>
            <w:tcW w:w="951" w:type="pct"/>
          </w:tcPr>
          <w:p w:rsidR="003374C8" w:rsidRPr="00345D93" w:rsidP="003374C8" w14:paraId="7F155468" w14:textId="76E281B7">
            <w:pPr>
              <w:jc w:val="center"/>
              <w:rPr>
                <w:sz w:val="20"/>
                <w:szCs w:val="20"/>
              </w:rPr>
            </w:pPr>
            <w:r w:rsidRPr="00345D93">
              <w:rPr>
                <w:sz w:val="20"/>
                <w:szCs w:val="20"/>
              </w:rPr>
              <w:t>1</w:t>
            </w:r>
          </w:p>
        </w:tc>
        <w:tc>
          <w:tcPr>
            <w:tcW w:w="1081" w:type="pct"/>
            <w:shd w:val="clear" w:color="auto" w:fill="auto"/>
            <w:tcMar>
              <w:top w:w="0" w:type="dxa"/>
              <w:left w:w="108" w:type="dxa"/>
              <w:bottom w:w="0" w:type="dxa"/>
              <w:right w:w="108" w:type="dxa"/>
            </w:tcMar>
          </w:tcPr>
          <w:p w:rsidR="003374C8" w:rsidRPr="00345D93" w:rsidP="003374C8" w14:paraId="70540706" w14:textId="49710AA1">
            <w:pPr>
              <w:jc w:val="center"/>
              <w:rPr>
                <w:sz w:val="20"/>
                <w:szCs w:val="20"/>
              </w:rPr>
            </w:pPr>
            <w:r w:rsidRPr="00345D93">
              <w:rPr>
                <w:sz w:val="20"/>
                <w:szCs w:val="20"/>
              </w:rPr>
              <w:t>9</w:t>
            </w:r>
            <w:r w:rsidRPr="00345D93" w:rsidR="00381A46">
              <w:rPr>
                <w:sz w:val="20"/>
                <w:szCs w:val="20"/>
              </w:rPr>
              <w:t>3</w:t>
            </w:r>
            <w:r w:rsidRPr="00345D93" w:rsidR="008D7C14">
              <w:rPr>
                <w:sz w:val="20"/>
                <w:szCs w:val="20"/>
              </w:rPr>
              <w:t>4</w:t>
            </w:r>
          </w:p>
        </w:tc>
      </w:tr>
      <w:tr w14:paraId="0DA8CE53" w14:textId="77777777" w:rsidTr="00C734CC">
        <w:tblPrEx>
          <w:tblW w:w="5390" w:type="pct"/>
          <w:tblCellMar>
            <w:left w:w="0" w:type="dxa"/>
            <w:right w:w="0" w:type="dxa"/>
          </w:tblCellMar>
          <w:tblLook w:val="0000"/>
        </w:tblPrEx>
        <w:trPr>
          <w:trHeight w:val="217"/>
        </w:trPr>
        <w:tc>
          <w:tcPr>
            <w:tcW w:w="5000" w:type="pct"/>
            <w:gridSpan w:val="5"/>
            <w:shd w:val="clear" w:color="auto" w:fill="auto"/>
            <w:tcMar>
              <w:top w:w="0" w:type="dxa"/>
              <w:left w:w="108" w:type="dxa"/>
              <w:bottom w:w="0" w:type="dxa"/>
              <w:right w:w="108" w:type="dxa"/>
            </w:tcMar>
          </w:tcPr>
          <w:p w:rsidR="003374C8" w:rsidRPr="00345D93" w:rsidP="003374C8" w14:paraId="4A467FFC" w14:textId="6220DEA5">
            <w:pPr>
              <w:rPr>
                <w:b/>
                <w:sz w:val="20"/>
                <w:szCs w:val="20"/>
              </w:rPr>
            </w:pPr>
            <w:r w:rsidRPr="00345D93">
              <w:rPr>
                <w:b/>
                <w:sz w:val="20"/>
                <w:szCs w:val="20"/>
              </w:rPr>
              <w:t xml:space="preserve">Implementation Assessments: </w:t>
            </w:r>
          </w:p>
        </w:tc>
      </w:tr>
      <w:tr w14:paraId="4BD91ED4" w14:textId="77777777" w:rsidTr="00E007FA">
        <w:tblPrEx>
          <w:tblW w:w="5390" w:type="pct"/>
          <w:tblCellMar>
            <w:left w:w="0" w:type="dxa"/>
            <w:right w:w="0" w:type="dxa"/>
          </w:tblCellMar>
          <w:tblLook w:val="0000"/>
        </w:tblPrEx>
        <w:trPr>
          <w:trHeight w:val="1313"/>
        </w:trPr>
        <w:tc>
          <w:tcPr>
            <w:tcW w:w="1393" w:type="pct"/>
            <w:shd w:val="clear" w:color="auto" w:fill="auto"/>
            <w:tcMar>
              <w:top w:w="0" w:type="dxa"/>
              <w:left w:w="108" w:type="dxa"/>
              <w:bottom w:w="0" w:type="dxa"/>
              <w:right w:w="108" w:type="dxa"/>
            </w:tcMar>
          </w:tcPr>
          <w:p w:rsidR="00BB0E0F" w:rsidRPr="00345D93" w:rsidP="00BB0E0F" w14:paraId="7157B89F" w14:textId="03031D37">
            <w:pPr>
              <w:pStyle w:val="ColorfulList-Accent11"/>
              <w:ind w:left="0" w:firstLine="229"/>
              <w:rPr>
                <w:bCs/>
                <w:color w:val="000000"/>
                <w:sz w:val="20"/>
                <w:szCs w:val="20"/>
              </w:rPr>
            </w:pPr>
            <w:r w:rsidRPr="00345D93">
              <w:rPr>
                <w:bCs/>
                <w:color w:val="000000"/>
                <w:sz w:val="20"/>
                <w:szCs w:val="20"/>
              </w:rPr>
              <w:t xml:space="preserve">Team Checkup Tool </w:t>
            </w:r>
            <w:r w:rsidRPr="00345D93" w:rsidR="00791178">
              <w:rPr>
                <w:bCs/>
                <w:color w:val="000000"/>
                <w:sz w:val="20"/>
                <w:szCs w:val="20"/>
              </w:rPr>
              <w:t xml:space="preserve">(Attachments </w:t>
            </w:r>
            <w:r w:rsidRPr="00345D93" w:rsidR="006607D6">
              <w:rPr>
                <w:bCs/>
                <w:color w:val="000000"/>
                <w:sz w:val="20"/>
                <w:szCs w:val="20"/>
              </w:rPr>
              <w:t>E</w:t>
            </w:r>
            <w:r w:rsidRPr="00345D93" w:rsidR="00791178">
              <w:rPr>
                <w:bCs/>
                <w:color w:val="000000"/>
                <w:sz w:val="20"/>
                <w:szCs w:val="20"/>
              </w:rPr>
              <w:t xml:space="preserve"> and </w:t>
            </w:r>
            <w:r w:rsidRPr="00345D93" w:rsidR="006607D6">
              <w:rPr>
                <w:bCs/>
                <w:color w:val="000000"/>
                <w:sz w:val="20"/>
                <w:szCs w:val="20"/>
              </w:rPr>
              <w:t>F</w:t>
            </w:r>
            <w:r w:rsidRPr="00345D93" w:rsidR="00791178">
              <w:rPr>
                <w:bCs/>
                <w:color w:val="000000"/>
                <w:sz w:val="20"/>
                <w:szCs w:val="20"/>
              </w:rPr>
              <w:t>)</w:t>
            </w:r>
          </w:p>
          <w:p w:rsidR="00BB0E0F" w:rsidRPr="00345D93" w:rsidP="001711B5" w14:paraId="0DFBDFD7" w14:textId="50A34CFF">
            <w:pPr>
              <w:pStyle w:val="ColorfulList-Accent11"/>
              <w:ind w:left="229"/>
              <w:rPr>
                <w:bCs/>
                <w:i/>
                <w:color w:val="000000"/>
                <w:sz w:val="20"/>
                <w:szCs w:val="20"/>
              </w:rPr>
            </w:pPr>
            <w:r w:rsidRPr="00345D93">
              <w:rPr>
                <w:i/>
                <w:sz w:val="20"/>
                <w:szCs w:val="20"/>
              </w:rPr>
              <w:t>(1 checklist conducted monthly during</w:t>
            </w:r>
            <w:r w:rsidRPr="00345D93" w:rsidR="001711B5">
              <w:rPr>
                <w:i/>
                <w:sz w:val="20"/>
                <w:szCs w:val="20"/>
              </w:rPr>
              <w:t xml:space="preserve"> the</w:t>
            </w:r>
            <w:r w:rsidRPr="00345D93">
              <w:rPr>
                <w:i/>
                <w:sz w:val="20"/>
                <w:szCs w:val="20"/>
              </w:rPr>
              <w:t xml:space="preserve"> </w:t>
            </w:r>
            <w:r w:rsidRPr="00345D93" w:rsidR="001711B5">
              <w:rPr>
                <w:i/>
                <w:sz w:val="20"/>
                <w:szCs w:val="20"/>
              </w:rPr>
              <w:t xml:space="preserve">18 </w:t>
            </w:r>
            <w:r w:rsidRPr="00345D93" w:rsidR="002C3CCA">
              <w:rPr>
                <w:i/>
                <w:sz w:val="20"/>
                <w:szCs w:val="20"/>
              </w:rPr>
              <w:t xml:space="preserve">months of </w:t>
            </w:r>
            <w:r w:rsidRPr="00345D93" w:rsidR="00965F68">
              <w:rPr>
                <w:bCs/>
                <w:i/>
                <w:color w:val="000000"/>
                <w:sz w:val="20"/>
                <w:szCs w:val="20"/>
              </w:rPr>
              <w:t>implementation</w:t>
            </w:r>
            <w:r w:rsidRPr="00345D93">
              <w:rPr>
                <w:i/>
                <w:sz w:val="20"/>
                <w:szCs w:val="20"/>
              </w:rPr>
              <w:t xml:space="preserve"> for ICU, non-ICU, and Surgical cohorts</w:t>
            </w:r>
            <w:r w:rsidRPr="00345D93" w:rsidR="00EA6041">
              <w:rPr>
                <w:i/>
                <w:sz w:val="20"/>
                <w:szCs w:val="20"/>
              </w:rPr>
              <w:t xml:space="preserve">, 1,100 </w:t>
            </w:r>
            <w:r w:rsidRPr="00345D93" w:rsidR="001012C5">
              <w:rPr>
                <w:i/>
                <w:sz w:val="20"/>
                <w:szCs w:val="20"/>
              </w:rPr>
              <w:t>units</w:t>
            </w:r>
            <w:r w:rsidRPr="00345D93" w:rsidR="00EA6041">
              <w:rPr>
                <w:i/>
                <w:sz w:val="20"/>
                <w:szCs w:val="20"/>
              </w:rPr>
              <w:t xml:space="preserve"> total</w:t>
            </w:r>
            <w:r w:rsidRPr="00345D93">
              <w:rPr>
                <w:i/>
                <w:sz w:val="20"/>
                <w:szCs w:val="20"/>
              </w:rPr>
              <w:t>)</w:t>
            </w:r>
          </w:p>
        </w:tc>
        <w:tc>
          <w:tcPr>
            <w:tcW w:w="941" w:type="pct"/>
            <w:shd w:val="clear" w:color="auto" w:fill="auto"/>
            <w:tcMar>
              <w:top w:w="0" w:type="dxa"/>
              <w:left w:w="108" w:type="dxa"/>
              <w:bottom w:w="0" w:type="dxa"/>
              <w:right w:w="108" w:type="dxa"/>
            </w:tcMar>
          </w:tcPr>
          <w:p w:rsidR="00BB0E0F" w:rsidRPr="00345D93" w:rsidP="00BB0E0F" w14:paraId="12C6F674" w14:textId="0BCCFD28">
            <w:pPr>
              <w:jc w:val="center"/>
              <w:rPr>
                <w:sz w:val="20"/>
                <w:szCs w:val="20"/>
              </w:rPr>
            </w:pPr>
            <w:r w:rsidRPr="00345D93">
              <w:rPr>
                <w:sz w:val="20"/>
                <w:szCs w:val="20"/>
              </w:rPr>
              <w:t>367</w:t>
            </w:r>
          </w:p>
        </w:tc>
        <w:tc>
          <w:tcPr>
            <w:tcW w:w="634" w:type="pct"/>
            <w:shd w:val="clear" w:color="auto" w:fill="auto"/>
            <w:tcMar>
              <w:top w:w="0" w:type="dxa"/>
              <w:left w:w="108" w:type="dxa"/>
              <w:bottom w:w="0" w:type="dxa"/>
              <w:right w:w="108" w:type="dxa"/>
            </w:tcMar>
          </w:tcPr>
          <w:p w:rsidR="00BB0E0F" w:rsidRPr="00345D93" w:rsidP="00BB0E0F" w14:paraId="75E96E38" w14:textId="5AE29D32">
            <w:pPr>
              <w:jc w:val="center"/>
              <w:rPr>
                <w:sz w:val="20"/>
                <w:szCs w:val="20"/>
              </w:rPr>
            </w:pPr>
            <w:r w:rsidRPr="00345D93">
              <w:rPr>
                <w:sz w:val="20"/>
                <w:szCs w:val="20"/>
              </w:rPr>
              <w:t>18</w:t>
            </w:r>
          </w:p>
        </w:tc>
        <w:tc>
          <w:tcPr>
            <w:tcW w:w="951" w:type="pct"/>
          </w:tcPr>
          <w:p w:rsidR="00BB0E0F" w:rsidRPr="00345D93" w:rsidP="00BB0E0F" w14:paraId="17364F62" w14:textId="78D1AA3D">
            <w:pPr>
              <w:jc w:val="center"/>
              <w:rPr>
                <w:sz w:val="20"/>
                <w:szCs w:val="20"/>
              </w:rPr>
            </w:pPr>
            <w:r w:rsidRPr="00345D93">
              <w:rPr>
                <w:sz w:val="20"/>
                <w:szCs w:val="20"/>
              </w:rPr>
              <w:t>0.17</w:t>
            </w:r>
          </w:p>
        </w:tc>
        <w:tc>
          <w:tcPr>
            <w:tcW w:w="1081" w:type="pct"/>
            <w:shd w:val="clear" w:color="auto" w:fill="auto"/>
            <w:tcMar>
              <w:top w:w="0" w:type="dxa"/>
              <w:left w:w="108" w:type="dxa"/>
              <w:bottom w:w="0" w:type="dxa"/>
              <w:right w:w="108" w:type="dxa"/>
            </w:tcMar>
          </w:tcPr>
          <w:p w:rsidR="00BB0E0F" w:rsidRPr="00345D93" w14:paraId="199031F4" w14:textId="23CDB46C">
            <w:pPr>
              <w:jc w:val="center"/>
              <w:rPr>
                <w:sz w:val="20"/>
                <w:szCs w:val="20"/>
              </w:rPr>
            </w:pPr>
            <w:r w:rsidRPr="00345D93">
              <w:rPr>
                <w:sz w:val="20"/>
                <w:szCs w:val="20"/>
              </w:rPr>
              <w:t>1,</w:t>
            </w:r>
            <w:r w:rsidRPr="00345D93" w:rsidR="002C3CCA">
              <w:rPr>
                <w:sz w:val="20"/>
                <w:szCs w:val="20"/>
              </w:rPr>
              <w:t>1</w:t>
            </w:r>
            <w:r w:rsidRPr="00345D93" w:rsidR="0032637E">
              <w:rPr>
                <w:sz w:val="20"/>
                <w:szCs w:val="20"/>
              </w:rPr>
              <w:t>23</w:t>
            </w:r>
          </w:p>
        </w:tc>
      </w:tr>
      <w:tr w14:paraId="5F46F234" w14:textId="1B5BDB2D" w:rsidTr="00E007FA">
        <w:tblPrEx>
          <w:tblW w:w="5390" w:type="pct"/>
          <w:tblCellMar>
            <w:left w:w="0" w:type="dxa"/>
            <w:right w:w="0" w:type="dxa"/>
          </w:tblCellMar>
          <w:tblLook w:val="0000"/>
        </w:tblPrEx>
        <w:trPr>
          <w:trHeight w:val="1104"/>
        </w:trPr>
        <w:tc>
          <w:tcPr>
            <w:tcW w:w="1393" w:type="pct"/>
            <w:shd w:val="clear" w:color="auto" w:fill="auto"/>
            <w:tcMar>
              <w:top w:w="0" w:type="dxa"/>
              <w:left w:w="108" w:type="dxa"/>
              <w:bottom w:w="0" w:type="dxa"/>
              <w:right w:w="108" w:type="dxa"/>
            </w:tcMar>
          </w:tcPr>
          <w:p w:rsidR="00BB0E0F" w:rsidRPr="00345D93" w:rsidP="00BB0E0F" w14:paraId="74BEF561" w14:textId="4323E8CC">
            <w:pPr>
              <w:pStyle w:val="ColorfulList-Accent11"/>
              <w:ind w:left="0" w:firstLine="229"/>
              <w:rPr>
                <w:bCs/>
                <w:color w:val="000000"/>
                <w:sz w:val="20"/>
                <w:szCs w:val="20"/>
              </w:rPr>
            </w:pPr>
            <w:r w:rsidRPr="00345D93">
              <w:rPr>
                <w:bCs/>
                <w:color w:val="000000"/>
                <w:sz w:val="20"/>
                <w:szCs w:val="20"/>
              </w:rPr>
              <w:t xml:space="preserve">Team Checkup Tool </w:t>
            </w:r>
            <w:r w:rsidRPr="00345D93" w:rsidR="00791178">
              <w:rPr>
                <w:bCs/>
                <w:color w:val="000000"/>
                <w:sz w:val="20"/>
                <w:szCs w:val="20"/>
              </w:rPr>
              <w:t xml:space="preserve">(Attachment </w:t>
            </w:r>
            <w:r w:rsidRPr="00345D93" w:rsidR="006607D6">
              <w:rPr>
                <w:bCs/>
                <w:color w:val="000000"/>
                <w:sz w:val="20"/>
                <w:szCs w:val="20"/>
              </w:rPr>
              <w:t>G</w:t>
            </w:r>
            <w:r w:rsidRPr="00345D93" w:rsidR="00791178">
              <w:rPr>
                <w:bCs/>
                <w:color w:val="000000"/>
                <w:sz w:val="20"/>
                <w:szCs w:val="20"/>
              </w:rPr>
              <w:t>)</w:t>
            </w:r>
          </w:p>
          <w:p w:rsidR="00BB0E0F" w:rsidRPr="00345D93" w:rsidP="001711B5" w14:paraId="5FF5FFF4" w14:textId="3D3B43FC">
            <w:pPr>
              <w:pStyle w:val="ColorfulList-Accent11"/>
              <w:ind w:left="0" w:firstLine="229"/>
              <w:rPr>
                <w:bCs/>
                <w:color w:val="000000"/>
                <w:sz w:val="20"/>
                <w:szCs w:val="20"/>
              </w:rPr>
            </w:pPr>
            <w:r w:rsidRPr="00345D93">
              <w:rPr>
                <w:i/>
                <w:sz w:val="20"/>
                <w:szCs w:val="20"/>
              </w:rPr>
              <w:t xml:space="preserve">(1 checklist conducted monthly </w:t>
            </w:r>
            <w:r w:rsidRPr="00345D93" w:rsidR="00685148">
              <w:rPr>
                <w:bCs/>
                <w:i/>
                <w:color w:val="000000"/>
                <w:sz w:val="20"/>
                <w:szCs w:val="20"/>
              </w:rPr>
              <w:t>per facility</w:t>
            </w:r>
            <w:r w:rsidRPr="00345D93" w:rsidR="00685148">
              <w:rPr>
                <w:i/>
                <w:sz w:val="20"/>
                <w:szCs w:val="20"/>
              </w:rPr>
              <w:t xml:space="preserve"> </w:t>
            </w:r>
            <w:r w:rsidRPr="00345D93">
              <w:rPr>
                <w:i/>
                <w:sz w:val="20"/>
                <w:szCs w:val="20"/>
              </w:rPr>
              <w:t xml:space="preserve">during </w:t>
            </w:r>
            <w:r w:rsidRPr="00345D93" w:rsidR="001711B5">
              <w:rPr>
                <w:i/>
                <w:sz w:val="20"/>
                <w:szCs w:val="20"/>
              </w:rPr>
              <w:t xml:space="preserve">the </w:t>
            </w:r>
            <w:r w:rsidRPr="00345D93" w:rsidR="002C3CCA">
              <w:rPr>
                <w:i/>
                <w:sz w:val="20"/>
                <w:szCs w:val="20"/>
              </w:rPr>
              <w:t>1</w:t>
            </w:r>
            <w:r w:rsidRPr="00345D93" w:rsidR="001711B5">
              <w:rPr>
                <w:i/>
                <w:sz w:val="20"/>
                <w:szCs w:val="20"/>
              </w:rPr>
              <w:t>8</w:t>
            </w:r>
            <w:r w:rsidRPr="00345D93" w:rsidR="002C3CCA">
              <w:rPr>
                <w:i/>
                <w:sz w:val="20"/>
                <w:szCs w:val="20"/>
              </w:rPr>
              <w:t xml:space="preserve"> month</w:t>
            </w:r>
            <w:r w:rsidRPr="00345D93" w:rsidR="006E725C">
              <w:rPr>
                <w:i/>
                <w:sz w:val="20"/>
                <w:szCs w:val="20"/>
              </w:rPr>
              <w:t xml:space="preserve"> </w:t>
            </w:r>
            <w:r w:rsidRPr="00345D93" w:rsidR="00965F68">
              <w:rPr>
                <w:bCs/>
                <w:i/>
                <w:color w:val="000000"/>
                <w:sz w:val="20"/>
                <w:szCs w:val="20"/>
              </w:rPr>
              <w:t>implementation</w:t>
            </w:r>
            <w:r w:rsidRPr="00345D93">
              <w:rPr>
                <w:i/>
                <w:sz w:val="20"/>
                <w:szCs w:val="20"/>
              </w:rPr>
              <w:t xml:space="preserve"> period for LTC cohort</w:t>
            </w:r>
            <w:r w:rsidRPr="00345D93" w:rsidR="00685148">
              <w:rPr>
                <w:i/>
                <w:sz w:val="20"/>
                <w:szCs w:val="20"/>
              </w:rPr>
              <w:t xml:space="preserve">, </w:t>
            </w:r>
            <w:r w:rsidRPr="00345D93" w:rsidR="002E07CA">
              <w:rPr>
                <w:i/>
                <w:sz w:val="20"/>
                <w:szCs w:val="20"/>
              </w:rPr>
              <w:t>300</w:t>
            </w:r>
            <w:r w:rsidRPr="00345D93" w:rsidR="001756C7">
              <w:rPr>
                <w:i/>
                <w:sz w:val="20"/>
                <w:szCs w:val="20"/>
              </w:rPr>
              <w:t xml:space="preserve"> </w:t>
            </w:r>
            <w:r w:rsidRPr="00345D93" w:rsidR="001012C5">
              <w:rPr>
                <w:i/>
                <w:sz w:val="20"/>
                <w:szCs w:val="20"/>
              </w:rPr>
              <w:t>facilities</w:t>
            </w:r>
            <w:r w:rsidRPr="00345D93" w:rsidR="002E07CA">
              <w:rPr>
                <w:i/>
                <w:sz w:val="20"/>
                <w:szCs w:val="20"/>
              </w:rPr>
              <w:t xml:space="preserve"> total</w:t>
            </w:r>
            <w:r w:rsidRPr="00345D93">
              <w:rPr>
                <w:i/>
                <w:sz w:val="20"/>
                <w:szCs w:val="20"/>
              </w:rPr>
              <w:t>)</w:t>
            </w:r>
          </w:p>
        </w:tc>
        <w:tc>
          <w:tcPr>
            <w:tcW w:w="941" w:type="pct"/>
            <w:shd w:val="clear" w:color="auto" w:fill="auto"/>
            <w:tcMar>
              <w:top w:w="0" w:type="dxa"/>
              <w:left w:w="108" w:type="dxa"/>
              <w:bottom w:w="0" w:type="dxa"/>
              <w:right w:w="108" w:type="dxa"/>
            </w:tcMar>
          </w:tcPr>
          <w:p w:rsidR="00BB0E0F" w:rsidRPr="00345D93" w:rsidP="00BB0E0F" w14:paraId="7B6912CC" w14:textId="4FEB15B9">
            <w:pPr>
              <w:jc w:val="center"/>
              <w:rPr>
                <w:sz w:val="20"/>
                <w:szCs w:val="20"/>
              </w:rPr>
            </w:pPr>
            <w:r w:rsidRPr="00345D93">
              <w:rPr>
                <w:sz w:val="20"/>
                <w:szCs w:val="20"/>
              </w:rPr>
              <w:t>100</w:t>
            </w:r>
          </w:p>
        </w:tc>
        <w:tc>
          <w:tcPr>
            <w:tcW w:w="634" w:type="pct"/>
            <w:shd w:val="clear" w:color="auto" w:fill="auto"/>
            <w:tcMar>
              <w:top w:w="0" w:type="dxa"/>
              <w:left w:w="108" w:type="dxa"/>
              <w:bottom w:w="0" w:type="dxa"/>
              <w:right w:w="108" w:type="dxa"/>
            </w:tcMar>
          </w:tcPr>
          <w:p w:rsidR="00BB0E0F" w:rsidRPr="00345D93" w14:paraId="0903102D" w14:textId="79CEE9B7">
            <w:pPr>
              <w:jc w:val="center"/>
              <w:rPr>
                <w:sz w:val="20"/>
                <w:szCs w:val="20"/>
              </w:rPr>
            </w:pPr>
            <w:r w:rsidRPr="00345D93">
              <w:rPr>
                <w:sz w:val="20"/>
                <w:szCs w:val="20"/>
              </w:rPr>
              <w:t>18</w:t>
            </w:r>
          </w:p>
        </w:tc>
        <w:tc>
          <w:tcPr>
            <w:tcW w:w="951" w:type="pct"/>
          </w:tcPr>
          <w:p w:rsidR="00BB0E0F" w:rsidRPr="00345D93" w:rsidP="00BB0E0F" w14:paraId="55904FC2" w14:textId="34278608">
            <w:pPr>
              <w:jc w:val="center"/>
              <w:rPr>
                <w:sz w:val="20"/>
                <w:szCs w:val="20"/>
              </w:rPr>
            </w:pPr>
            <w:r w:rsidRPr="00345D93">
              <w:rPr>
                <w:sz w:val="20"/>
                <w:szCs w:val="20"/>
              </w:rPr>
              <w:t>0.17</w:t>
            </w:r>
          </w:p>
        </w:tc>
        <w:tc>
          <w:tcPr>
            <w:tcW w:w="1081" w:type="pct"/>
            <w:shd w:val="clear" w:color="auto" w:fill="auto"/>
            <w:tcMar>
              <w:top w:w="0" w:type="dxa"/>
              <w:left w:w="108" w:type="dxa"/>
              <w:bottom w:w="0" w:type="dxa"/>
              <w:right w:w="108" w:type="dxa"/>
            </w:tcMar>
          </w:tcPr>
          <w:p w:rsidR="00BB0E0F" w:rsidRPr="00345D93" w:rsidP="00BB0E0F" w14:paraId="1C50B546" w14:textId="3FCC4ABC">
            <w:pPr>
              <w:jc w:val="center"/>
              <w:rPr>
                <w:sz w:val="20"/>
                <w:szCs w:val="20"/>
              </w:rPr>
            </w:pPr>
            <w:r w:rsidRPr="00345D93">
              <w:rPr>
                <w:sz w:val="20"/>
                <w:szCs w:val="20"/>
              </w:rPr>
              <w:t>30</w:t>
            </w:r>
            <w:r w:rsidRPr="00345D93" w:rsidR="0032637E">
              <w:rPr>
                <w:sz w:val="20"/>
                <w:szCs w:val="20"/>
              </w:rPr>
              <w:t>6</w:t>
            </w:r>
          </w:p>
        </w:tc>
      </w:tr>
      <w:tr w14:paraId="3A3C83DC" w14:textId="77777777" w:rsidTr="00C734CC">
        <w:tblPrEx>
          <w:tblW w:w="5390" w:type="pct"/>
          <w:tblCellMar>
            <w:left w:w="0" w:type="dxa"/>
            <w:right w:w="0" w:type="dxa"/>
          </w:tblCellMar>
          <w:tblLook w:val="0000"/>
        </w:tblPrEx>
        <w:trPr>
          <w:trHeight w:val="217"/>
        </w:trPr>
        <w:tc>
          <w:tcPr>
            <w:tcW w:w="5000" w:type="pct"/>
            <w:gridSpan w:val="5"/>
            <w:shd w:val="clear" w:color="auto" w:fill="auto"/>
            <w:tcMar>
              <w:top w:w="0" w:type="dxa"/>
              <w:left w:w="108" w:type="dxa"/>
              <w:bottom w:w="0" w:type="dxa"/>
              <w:right w:w="108" w:type="dxa"/>
            </w:tcMar>
          </w:tcPr>
          <w:p w:rsidR="003374C8" w:rsidRPr="00345D93" w:rsidP="003374C8" w14:paraId="1870CB86" w14:textId="1FD95D1B">
            <w:pPr>
              <w:rPr>
                <w:b/>
                <w:sz w:val="20"/>
                <w:szCs w:val="20"/>
              </w:rPr>
            </w:pPr>
            <w:r w:rsidRPr="00345D93">
              <w:rPr>
                <w:b/>
                <w:sz w:val="20"/>
                <w:szCs w:val="20"/>
              </w:rPr>
              <w:t xml:space="preserve">Electronic Health Record (EHR) Extracts </w:t>
            </w:r>
          </w:p>
        </w:tc>
      </w:tr>
      <w:tr w14:paraId="468F6A32" w14:textId="77777777" w:rsidTr="00E007FA">
        <w:tblPrEx>
          <w:tblW w:w="5390" w:type="pct"/>
          <w:tblCellMar>
            <w:left w:w="0" w:type="dxa"/>
            <w:right w:w="0" w:type="dxa"/>
          </w:tblCellMar>
          <w:tblLook w:val="0000"/>
        </w:tblPrEx>
        <w:trPr>
          <w:trHeight w:val="661"/>
        </w:trPr>
        <w:tc>
          <w:tcPr>
            <w:tcW w:w="1393" w:type="pct"/>
            <w:shd w:val="clear" w:color="auto" w:fill="auto"/>
            <w:tcMar>
              <w:top w:w="0" w:type="dxa"/>
              <w:left w:w="108" w:type="dxa"/>
              <w:bottom w:w="0" w:type="dxa"/>
              <w:right w:w="108" w:type="dxa"/>
            </w:tcMar>
          </w:tcPr>
          <w:p w:rsidR="004F32DB" w:rsidRPr="00345D93" w:rsidP="003374C8" w14:paraId="52FB99F1" w14:textId="59A87432">
            <w:pPr>
              <w:pStyle w:val="ColorfulList-Accent11"/>
              <w:ind w:left="0" w:firstLine="229"/>
              <w:rPr>
                <w:sz w:val="20"/>
                <w:szCs w:val="20"/>
              </w:rPr>
            </w:pPr>
            <w:r w:rsidRPr="00345D93">
              <w:rPr>
                <w:sz w:val="20"/>
                <w:szCs w:val="20"/>
              </w:rPr>
              <w:t>Initial data</w:t>
            </w:r>
            <w:r w:rsidRPr="00345D93" w:rsidR="00235BA3">
              <w:rPr>
                <w:sz w:val="20"/>
                <w:szCs w:val="20"/>
              </w:rPr>
              <w:t xml:space="preserve"> </w:t>
            </w:r>
            <w:r w:rsidRPr="00345D93">
              <w:rPr>
                <w:sz w:val="20"/>
                <w:szCs w:val="20"/>
              </w:rPr>
              <w:t>pull</w:t>
            </w:r>
            <w:r w:rsidRPr="00345D93" w:rsidR="00235BA3">
              <w:rPr>
                <w:sz w:val="20"/>
                <w:szCs w:val="20"/>
              </w:rPr>
              <w:t xml:space="preserve"> for </w:t>
            </w:r>
            <w:r w:rsidRPr="00345D93" w:rsidR="004066E6">
              <w:rPr>
                <w:sz w:val="20"/>
                <w:szCs w:val="20"/>
              </w:rPr>
              <w:t xml:space="preserve">10% of </w:t>
            </w:r>
            <w:r w:rsidRPr="00345D93" w:rsidR="00235BA3">
              <w:rPr>
                <w:sz w:val="20"/>
                <w:szCs w:val="20"/>
              </w:rPr>
              <w:t>hospitals that</w:t>
            </w:r>
            <w:r w:rsidRPr="00345D93" w:rsidR="004066E6">
              <w:rPr>
                <w:sz w:val="20"/>
                <w:szCs w:val="20"/>
              </w:rPr>
              <w:t xml:space="preserve"> do not</w:t>
            </w:r>
            <w:r w:rsidRPr="00345D93" w:rsidR="00235BA3">
              <w:rPr>
                <w:sz w:val="20"/>
                <w:szCs w:val="20"/>
              </w:rPr>
              <w:t xml:space="preserve"> confer rights </w:t>
            </w:r>
            <w:r w:rsidRPr="00345D93" w:rsidR="004066E6">
              <w:rPr>
                <w:sz w:val="20"/>
                <w:szCs w:val="20"/>
              </w:rPr>
              <w:t>to their NHSN data</w:t>
            </w:r>
            <w:r w:rsidRPr="00345D93" w:rsidR="00791178">
              <w:rPr>
                <w:sz w:val="20"/>
                <w:szCs w:val="20"/>
              </w:rPr>
              <w:t xml:space="preserve"> (Attachment </w:t>
            </w:r>
            <w:r w:rsidRPr="00345D93" w:rsidR="006D46BE">
              <w:rPr>
                <w:sz w:val="20"/>
                <w:szCs w:val="20"/>
              </w:rPr>
              <w:t>J</w:t>
            </w:r>
            <w:r w:rsidRPr="00345D93" w:rsidR="00791178">
              <w:rPr>
                <w:sz w:val="20"/>
                <w:szCs w:val="20"/>
              </w:rPr>
              <w:t>)</w:t>
            </w:r>
            <w:r w:rsidRPr="00345D93">
              <w:rPr>
                <w:sz w:val="20"/>
                <w:szCs w:val="20"/>
              </w:rPr>
              <w:t>-</w:t>
            </w:r>
          </w:p>
          <w:p w:rsidR="004F32DB" w:rsidRPr="00345D93" w:rsidP="003374C8" w14:paraId="0B2ECDF5" w14:textId="6A0BE2D1">
            <w:pPr>
              <w:pStyle w:val="ColorfulList-Accent11"/>
              <w:ind w:left="0" w:firstLine="229"/>
              <w:rPr>
                <w:sz w:val="20"/>
                <w:szCs w:val="20"/>
              </w:rPr>
            </w:pPr>
            <w:r w:rsidRPr="00345D93">
              <w:rPr>
                <w:sz w:val="20"/>
                <w:szCs w:val="20"/>
              </w:rPr>
              <w:t>(</w:t>
            </w:r>
            <w:r w:rsidRPr="00345D93">
              <w:rPr>
                <w:i/>
                <w:sz w:val="20"/>
                <w:szCs w:val="20"/>
              </w:rPr>
              <w:t>once</w:t>
            </w:r>
            <w:r w:rsidRPr="00345D93">
              <w:rPr>
                <w:i/>
                <w:sz w:val="20"/>
                <w:szCs w:val="20"/>
              </w:rPr>
              <w:t xml:space="preserve"> at baseline for ICU and non-ICU cohorts, 800 units total</w:t>
            </w:r>
            <w:r w:rsidRPr="00345D93">
              <w:rPr>
                <w:sz w:val="20"/>
                <w:szCs w:val="20"/>
              </w:rPr>
              <w:t>)</w:t>
            </w:r>
          </w:p>
        </w:tc>
        <w:tc>
          <w:tcPr>
            <w:tcW w:w="941" w:type="pct"/>
            <w:shd w:val="clear" w:color="auto" w:fill="auto"/>
            <w:tcMar>
              <w:top w:w="0" w:type="dxa"/>
              <w:left w:w="108" w:type="dxa"/>
              <w:bottom w:w="0" w:type="dxa"/>
              <w:right w:w="108" w:type="dxa"/>
            </w:tcMar>
          </w:tcPr>
          <w:p w:rsidR="004F32DB" w:rsidRPr="00345D93" w:rsidP="003374C8" w14:paraId="1D9FD924" w14:textId="3922E08A">
            <w:pPr>
              <w:jc w:val="center"/>
              <w:rPr>
                <w:sz w:val="20"/>
                <w:szCs w:val="20"/>
              </w:rPr>
            </w:pPr>
            <w:r w:rsidRPr="00345D93">
              <w:rPr>
                <w:sz w:val="20"/>
                <w:szCs w:val="20"/>
              </w:rPr>
              <w:t>2</w:t>
            </w:r>
            <w:r w:rsidRPr="00345D93" w:rsidR="00F734B8">
              <w:rPr>
                <w:sz w:val="20"/>
                <w:szCs w:val="20"/>
              </w:rPr>
              <w:t>7</w:t>
            </w:r>
          </w:p>
        </w:tc>
        <w:tc>
          <w:tcPr>
            <w:tcW w:w="634" w:type="pct"/>
            <w:shd w:val="clear" w:color="auto" w:fill="auto"/>
            <w:tcMar>
              <w:top w:w="0" w:type="dxa"/>
              <w:left w:w="108" w:type="dxa"/>
              <w:bottom w:w="0" w:type="dxa"/>
              <w:right w:w="108" w:type="dxa"/>
            </w:tcMar>
          </w:tcPr>
          <w:p w:rsidR="004F32DB" w:rsidRPr="00345D93" w:rsidP="000628B2" w14:paraId="185A0935" w14:textId="14378DE3">
            <w:pPr>
              <w:jc w:val="center"/>
              <w:rPr>
                <w:sz w:val="20"/>
                <w:szCs w:val="20"/>
              </w:rPr>
            </w:pPr>
            <w:r w:rsidRPr="00345D93">
              <w:rPr>
                <w:sz w:val="20"/>
                <w:szCs w:val="20"/>
              </w:rPr>
              <w:t>1</w:t>
            </w:r>
          </w:p>
        </w:tc>
        <w:tc>
          <w:tcPr>
            <w:tcW w:w="951" w:type="pct"/>
          </w:tcPr>
          <w:p w:rsidR="004F32DB" w:rsidRPr="00345D93" w:rsidP="003374C8" w14:paraId="511FE289" w14:textId="0A0CDCD0">
            <w:pPr>
              <w:jc w:val="center"/>
              <w:rPr>
                <w:bCs/>
                <w:color w:val="000000"/>
                <w:sz w:val="20"/>
                <w:szCs w:val="20"/>
              </w:rPr>
            </w:pPr>
            <w:r w:rsidRPr="00345D93">
              <w:rPr>
                <w:bCs/>
                <w:color w:val="000000"/>
                <w:sz w:val="20"/>
                <w:szCs w:val="20"/>
              </w:rPr>
              <w:t>5</w:t>
            </w:r>
          </w:p>
        </w:tc>
        <w:tc>
          <w:tcPr>
            <w:tcW w:w="1081" w:type="pct"/>
            <w:shd w:val="clear" w:color="auto" w:fill="auto"/>
            <w:tcMar>
              <w:top w:w="0" w:type="dxa"/>
              <w:left w:w="108" w:type="dxa"/>
              <w:bottom w:w="0" w:type="dxa"/>
              <w:right w:w="108" w:type="dxa"/>
            </w:tcMar>
          </w:tcPr>
          <w:p w:rsidR="004F32DB" w:rsidRPr="00345D93" w:rsidP="00BB1AB5" w14:paraId="4F428905" w14:textId="2A7FC066">
            <w:pPr>
              <w:jc w:val="center"/>
              <w:rPr>
                <w:sz w:val="20"/>
                <w:szCs w:val="20"/>
              </w:rPr>
            </w:pPr>
            <w:r w:rsidRPr="00345D93">
              <w:rPr>
                <w:sz w:val="20"/>
                <w:szCs w:val="20"/>
              </w:rPr>
              <w:t>13</w:t>
            </w:r>
            <w:r w:rsidRPr="00345D93" w:rsidR="000D602A">
              <w:rPr>
                <w:sz w:val="20"/>
                <w:szCs w:val="20"/>
              </w:rPr>
              <w:t>5</w:t>
            </w:r>
          </w:p>
        </w:tc>
      </w:tr>
      <w:tr w14:paraId="38F10B94" w14:textId="77777777" w:rsidTr="006A5F8A">
        <w:tblPrEx>
          <w:tblW w:w="5390" w:type="pct"/>
          <w:tblCellMar>
            <w:left w:w="0" w:type="dxa"/>
            <w:right w:w="0" w:type="dxa"/>
          </w:tblCellMar>
          <w:tblLook w:val="0000"/>
        </w:tblPrEx>
        <w:trPr>
          <w:trHeight w:val="661"/>
        </w:trPr>
        <w:tc>
          <w:tcPr>
            <w:tcW w:w="1393" w:type="pct"/>
            <w:shd w:val="clear" w:color="auto" w:fill="auto"/>
            <w:tcMar>
              <w:top w:w="0" w:type="dxa"/>
              <w:left w:w="108" w:type="dxa"/>
              <w:bottom w:w="0" w:type="dxa"/>
              <w:right w:w="108" w:type="dxa"/>
            </w:tcMar>
          </w:tcPr>
          <w:p w:rsidR="00235BA3" w:rsidRPr="00345D93" w:rsidP="00215B82" w14:paraId="57DE9065" w14:textId="18827838">
            <w:pPr>
              <w:pStyle w:val="ColorfulList-Accent11"/>
              <w:ind w:left="0"/>
              <w:rPr>
                <w:sz w:val="20"/>
                <w:szCs w:val="20"/>
              </w:rPr>
            </w:pPr>
            <w:r w:rsidRPr="00345D93">
              <w:rPr>
                <w:sz w:val="20"/>
                <w:szCs w:val="20"/>
              </w:rPr>
              <w:t>Initial</w:t>
            </w:r>
            <w:r w:rsidRPr="00345D93" w:rsidR="004066E6">
              <w:rPr>
                <w:sz w:val="20"/>
                <w:szCs w:val="20"/>
              </w:rPr>
              <w:t xml:space="preserve"> data pull for hospital onset bacteremia (including MSSA) and MRSA-positive clinical cultures (not available in NHSN) </w:t>
            </w:r>
            <w:r w:rsidRPr="00345D93" w:rsidR="0039406E">
              <w:rPr>
                <w:sz w:val="20"/>
                <w:szCs w:val="20"/>
              </w:rPr>
              <w:t xml:space="preserve">(Attachment J) </w:t>
            </w:r>
            <w:r w:rsidRPr="00345D93" w:rsidR="004066E6">
              <w:rPr>
                <w:sz w:val="20"/>
                <w:szCs w:val="20"/>
              </w:rPr>
              <w:t>(</w:t>
            </w:r>
            <w:r w:rsidRPr="00345D93" w:rsidR="004066E6">
              <w:rPr>
                <w:i/>
                <w:sz w:val="20"/>
                <w:szCs w:val="20"/>
              </w:rPr>
              <w:t>once at baseline for ICU and non-ICU cohorts, 800 units total</w:t>
            </w:r>
            <w:r w:rsidRPr="00345D93" w:rsidR="004066E6">
              <w:rPr>
                <w:sz w:val="20"/>
                <w:szCs w:val="20"/>
              </w:rPr>
              <w:t>)</w:t>
            </w:r>
          </w:p>
        </w:tc>
        <w:tc>
          <w:tcPr>
            <w:tcW w:w="941" w:type="pct"/>
            <w:shd w:val="clear" w:color="auto" w:fill="auto"/>
            <w:tcMar>
              <w:top w:w="0" w:type="dxa"/>
              <w:left w:w="108" w:type="dxa"/>
              <w:bottom w:w="0" w:type="dxa"/>
              <w:right w:w="108" w:type="dxa"/>
            </w:tcMar>
          </w:tcPr>
          <w:p w:rsidR="00235BA3" w:rsidRPr="00345D93" w:rsidP="003374C8" w14:paraId="1056469D" w14:textId="1A7B354D">
            <w:pPr>
              <w:jc w:val="center"/>
              <w:rPr>
                <w:sz w:val="20"/>
                <w:szCs w:val="20"/>
              </w:rPr>
            </w:pPr>
            <w:r w:rsidRPr="00345D93">
              <w:rPr>
                <w:sz w:val="20"/>
                <w:szCs w:val="20"/>
              </w:rPr>
              <w:t>267</w:t>
            </w:r>
          </w:p>
        </w:tc>
        <w:tc>
          <w:tcPr>
            <w:tcW w:w="634" w:type="pct"/>
            <w:shd w:val="clear" w:color="auto" w:fill="auto"/>
            <w:tcMar>
              <w:top w:w="0" w:type="dxa"/>
              <w:left w:w="108" w:type="dxa"/>
              <w:bottom w:w="0" w:type="dxa"/>
              <w:right w:w="108" w:type="dxa"/>
            </w:tcMar>
          </w:tcPr>
          <w:p w:rsidR="00235BA3" w:rsidRPr="00345D93" w:rsidP="000628B2" w14:paraId="58DFB94B" w14:textId="03B87B75">
            <w:pPr>
              <w:jc w:val="center"/>
              <w:rPr>
                <w:sz w:val="20"/>
                <w:szCs w:val="20"/>
              </w:rPr>
            </w:pPr>
            <w:r w:rsidRPr="00345D93">
              <w:rPr>
                <w:sz w:val="20"/>
                <w:szCs w:val="20"/>
              </w:rPr>
              <w:t>1</w:t>
            </w:r>
          </w:p>
        </w:tc>
        <w:tc>
          <w:tcPr>
            <w:tcW w:w="951" w:type="pct"/>
          </w:tcPr>
          <w:p w:rsidR="00235BA3" w:rsidRPr="00345D93" w:rsidP="003374C8" w14:paraId="19D45E4C" w14:textId="5764D89F">
            <w:pPr>
              <w:jc w:val="center"/>
              <w:rPr>
                <w:bCs/>
                <w:color w:val="000000"/>
                <w:sz w:val="20"/>
                <w:szCs w:val="20"/>
              </w:rPr>
            </w:pPr>
            <w:r w:rsidRPr="00345D93">
              <w:rPr>
                <w:bCs/>
                <w:color w:val="000000"/>
                <w:sz w:val="20"/>
                <w:szCs w:val="20"/>
              </w:rPr>
              <w:t>3.5</w:t>
            </w:r>
          </w:p>
        </w:tc>
        <w:tc>
          <w:tcPr>
            <w:tcW w:w="1081" w:type="pct"/>
            <w:shd w:val="clear" w:color="auto" w:fill="auto"/>
            <w:tcMar>
              <w:top w:w="0" w:type="dxa"/>
              <w:left w:w="108" w:type="dxa"/>
              <w:bottom w:w="0" w:type="dxa"/>
              <w:right w:w="108" w:type="dxa"/>
            </w:tcMar>
          </w:tcPr>
          <w:p w:rsidR="00235BA3" w:rsidRPr="00345D93" w:rsidP="00BB1AB5" w14:paraId="03323A3E" w14:textId="69851142">
            <w:pPr>
              <w:jc w:val="center"/>
              <w:rPr>
                <w:sz w:val="20"/>
                <w:szCs w:val="20"/>
              </w:rPr>
            </w:pPr>
            <w:r w:rsidRPr="00345D93">
              <w:rPr>
                <w:sz w:val="20"/>
                <w:szCs w:val="20"/>
              </w:rPr>
              <w:t>93</w:t>
            </w:r>
            <w:r w:rsidRPr="00345D93" w:rsidR="00C613EF">
              <w:rPr>
                <w:sz w:val="20"/>
                <w:szCs w:val="20"/>
              </w:rPr>
              <w:t>5</w:t>
            </w:r>
          </w:p>
        </w:tc>
      </w:tr>
      <w:tr w14:paraId="71E5105F" w14:textId="77777777" w:rsidTr="006A5F8A">
        <w:tblPrEx>
          <w:tblW w:w="5390" w:type="pct"/>
          <w:tblCellMar>
            <w:left w:w="0" w:type="dxa"/>
            <w:right w:w="0" w:type="dxa"/>
          </w:tblCellMar>
          <w:tblLook w:val="0000"/>
        </w:tblPrEx>
        <w:trPr>
          <w:trHeight w:val="661"/>
        </w:trPr>
        <w:tc>
          <w:tcPr>
            <w:tcW w:w="1393" w:type="pct"/>
            <w:shd w:val="clear" w:color="auto" w:fill="auto"/>
            <w:tcMar>
              <w:top w:w="0" w:type="dxa"/>
              <w:left w:w="108" w:type="dxa"/>
              <w:bottom w:w="0" w:type="dxa"/>
              <w:right w:w="108" w:type="dxa"/>
            </w:tcMar>
          </w:tcPr>
          <w:p w:rsidR="00235BA3" w:rsidRPr="00345D93" w:rsidP="00215B82" w14:paraId="4862FE84" w14:textId="2BA40AD5">
            <w:pPr>
              <w:pStyle w:val="ColorfulList-Accent11"/>
              <w:ind w:left="0"/>
              <w:rPr>
                <w:sz w:val="20"/>
                <w:szCs w:val="20"/>
              </w:rPr>
            </w:pPr>
            <w:r w:rsidRPr="00345D93">
              <w:rPr>
                <w:sz w:val="20"/>
                <w:szCs w:val="20"/>
              </w:rPr>
              <w:t xml:space="preserve">Initial data pull for </w:t>
            </w:r>
            <w:r w:rsidRPr="00345D93" w:rsidR="002351C6">
              <w:rPr>
                <w:sz w:val="20"/>
                <w:szCs w:val="20"/>
              </w:rPr>
              <w:t xml:space="preserve">10% of </w:t>
            </w:r>
            <w:r w:rsidRPr="00345D93" w:rsidR="00E77B70">
              <w:rPr>
                <w:sz w:val="20"/>
                <w:szCs w:val="20"/>
              </w:rPr>
              <w:t>units</w:t>
            </w:r>
            <w:r w:rsidRPr="00345D93">
              <w:rPr>
                <w:sz w:val="20"/>
                <w:szCs w:val="20"/>
              </w:rPr>
              <w:t xml:space="preserve"> that submit point prevalence survey data </w:t>
            </w:r>
            <w:r w:rsidRPr="00345D93" w:rsidR="0039406E">
              <w:rPr>
                <w:sz w:val="20"/>
                <w:szCs w:val="20"/>
              </w:rPr>
              <w:t xml:space="preserve">(Attachment J) </w:t>
            </w:r>
            <w:r w:rsidRPr="00345D93">
              <w:rPr>
                <w:sz w:val="20"/>
                <w:szCs w:val="20"/>
              </w:rPr>
              <w:t>(</w:t>
            </w:r>
            <w:r w:rsidRPr="00345D93">
              <w:rPr>
                <w:i/>
                <w:sz w:val="20"/>
                <w:szCs w:val="20"/>
              </w:rPr>
              <w:t>once at baseline for ICU and non-ICU cohorts, 800 units tota</w:t>
            </w:r>
            <w:r w:rsidRPr="00345D93">
              <w:rPr>
                <w:sz w:val="20"/>
                <w:szCs w:val="20"/>
              </w:rPr>
              <w:t>l)</w:t>
            </w:r>
          </w:p>
          <w:p w:rsidR="004066E6" w:rsidRPr="00345D93" w:rsidP="00215B82" w14:paraId="66ED7E01" w14:textId="32E2F879">
            <w:pPr>
              <w:pStyle w:val="ColorfulList-Accent11"/>
              <w:ind w:left="0"/>
              <w:rPr>
                <w:sz w:val="20"/>
                <w:szCs w:val="20"/>
              </w:rPr>
            </w:pPr>
          </w:p>
        </w:tc>
        <w:tc>
          <w:tcPr>
            <w:tcW w:w="941" w:type="pct"/>
            <w:shd w:val="clear" w:color="auto" w:fill="auto"/>
            <w:tcMar>
              <w:top w:w="0" w:type="dxa"/>
              <w:left w:w="108" w:type="dxa"/>
              <w:bottom w:w="0" w:type="dxa"/>
              <w:right w:w="108" w:type="dxa"/>
            </w:tcMar>
          </w:tcPr>
          <w:p w:rsidR="00235BA3" w:rsidRPr="00345D93" w:rsidP="003374C8" w14:paraId="4007DC62" w14:textId="75879A1A">
            <w:pPr>
              <w:jc w:val="center"/>
              <w:rPr>
                <w:sz w:val="20"/>
                <w:szCs w:val="20"/>
              </w:rPr>
            </w:pPr>
            <w:r w:rsidRPr="00345D93">
              <w:rPr>
                <w:sz w:val="20"/>
                <w:szCs w:val="20"/>
              </w:rPr>
              <w:t>27</w:t>
            </w:r>
          </w:p>
        </w:tc>
        <w:tc>
          <w:tcPr>
            <w:tcW w:w="634" w:type="pct"/>
            <w:shd w:val="clear" w:color="auto" w:fill="auto"/>
            <w:tcMar>
              <w:top w:w="0" w:type="dxa"/>
              <w:left w:w="108" w:type="dxa"/>
              <w:bottom w:w="0" w:type="dxa"/>
              <w:right w:w="108" w:type="dxa"/>
            </w:tcMar>
          </w:tcPr>
          <w:p w:rsidR="00235BA3" w:rsidRPr="00345D93" w:rsidP="000628B2" w14:paraId="089E6449" w14:textId="2B9228D4">
            <w:pPr>
              <w:jc w:val="center"/>
              <w:rPr>
                <w:sz w:val="20"/>
                <w:szCs w:val="20"/>
              </w:rPr>
            </w:pPr>
            <w:r w:rsidRPr="00345D93">
              <w:rPr>
                <w:sz w:val="20"/>
                <w:szCs w:val="20"/>
              </w:rPr>
              <w:t>1</w:t>
            </w:r>
          </w:p>
        </w:tc>
        <w:tc>
          <w:tcPr>
            <w:tcW w:w="951" w:type="pct"/>
          </w:tcPr>
          <w:p w:rsidR="00235BA3" w:rsidRPr="00345D93" w:rsidP="003374C8" w14:paraId="3F79FF57" w14:textId="4AEC4C7D">
            <w:pPr>
              <w:jc w:val="center"/>
              <w:rPr>
                <w:bCs/>
                <w:color w:val="000000"/>
                <w:sz w:val="20"/>
                <w:szCs w:val="20"/>
              </w:rPr>
            </w:pPr>
            <w:r w:rsidRPr="00345D93">
              <w:rPr>
                <w:bCs/>
                <w:color w:val="000000"/>
                <w:sz w:val="20"/>
                <w:szCs w:val="20"/>
              </w:rPr>
              <w:t>0</w:t>
            </w:r>
            <w:r w:rsidRPr="00345D93" w:rsidR="00E77B70">
              <w:rPr>
                <w:bCs/>
                <w:color w:val="000000"/>
                <w:sz w:val="20"/>
                <w:szCs w:val="20"/>
              </w:rPr>
              <w:t>.5</w:t>
            </w:r>
          </w:p>
        </w:tc>
        <w:tc>
          <w:tcPr>
            <w:tcW w:w="1081" w:type="pct"/>
            <w:shd w:val="clear" w:color="auto" w:fill="auto"/>
            <w:tcMar>
              <w:top w:w="0" w:type="dxa"/>
              <w:left w:w="108" w:type="dxa"/>
              <w:bottom w:w="0" w:type="dxa"/>
              <w:right w:w="108" w:type="dxa"/>
            </w:tcMar>
          </w:tcPr>
          <w:p w:rsidR="00235BA3" w:rsidRPr="00345D93" w:rsidP="00BB1AB5" w14:paraId="464576A2" w14:textId="4BD1118D">
            <w:pPr>
              <w:jc w:val="center"/>
              <w:rPr>
                <w:sz w:val="20"/>
                <w:szCs w:val="20"/>
              </w:rPr>
            </w:pPr>
            <w:r w:rsidRPr="00345D93">
              <w:rPr>
                <w:sz w:val="20"/>
                <w:szCs w:val="20"/>
              </w:rPr>
              <w:t>1</w:t>
            </w:r>
            <w:r w:rsidRPr="00345D93" w:rsidR="00F37833">
              <w:rPr>
                <w:sz w:val="20"/>
                <w:szCs w:val="20"/>
              </w:rPr>
              <w:t>4</w:t>
            </w:r>
          </w:p>
        </w:tc>
      </w:tr>
      <w:tr w14:paraId="18A9C16E" w14:textId="77777777" w:rsidTr="006A5F8A">
        <w:tblPrEx>
          <w:tblW w:w="5390" w:type="pct"/>
          <w:tblCellMar>
            <w:left w:w="0" w:type="dxa"/>
            <w:right w:w="0" w:type="dxa"/>
          </w:tblCellMar>
          <w:tblLook w:val="0000"/>
        </w:tblPrEx>
        <w:trPr>
          <w:trHeight w:val="661"/>
        </w:trPr>
        <w:tc>
          <w:tcPr>
            <w:tcW w:w="1393" w:type="pct"/>
            <w:shd w:val="clear" w:color="auto" w:fill="auto"/>
            <w:tcMar>
              <w:top w:w="0" w:type="dxa"/>
              <w:left w:w="108" w:type="dxa"/>
              <w:bottom w:w="0" w:type="dxa"/>
              <w:right w:w="108" w:type="dxa"/>
            </w:tcMar>
          </w:tcPr>
          <w:p w:rsidR="00DF15CF" w:rsidRPr="0014252A" w:rsidP="00215B82" w14:paraId="40AAF7EF" w14:textId="1250ABE6">
            <w:pPr>
              <w:pStyle w:val="ColorfulList-Accent11"/>
              <w:ind w:left="0"/>
              <w:rPr>
                <w:sz w:val="20"/>
                <w:szCs w:val="20"/>
                <w:highlight w:val="yellow"/>
              </w:rPr>
            </w:pPr>
            <w:r w:rsidRPr="0014252A">
              <w:rPr>
                <w:sz w:val="20"/>
                <w:szCs w:val="20"/>
                <w:highlight w:val="yellow"/>
              </w:rPr>
              <w:t>Subsequent data pull for 10% of units that submit point prevalence data (</w:t>
            </w:r>
            <w:r w:rsidRPr="00D84A59" w:rsidR="000D5174">
              <w:rPr>
                <w:i/>
                <w:sz w:val="20"/>
                <w:szCs w:val="20"/>
                <w:highlight w:val="yellow"/>
              </w:rPr>
              <w:t>every six months</w:t>
            </w:r>
            <w:r w:rsidRPr="0014252A">
              <w:rPr>
                <w:i/>
                <w:iCs/>
                <w:sz w:val="20"/>
                <w:szCs w:val="20"/>
                <w:highlight w:val="yellow"/>
              </w:rPr>
              <w:t xml:space="preserve"> during 18 months of implementation for ICU and non-ICU cohorts, 800 units total</w:t>
            </w:r>
            <w:r w:rsidRPr="0014252A">
              <w:rPr>
                <w:sz w:val="20"/>
                <w:szCs w:val="20"/>
                <w:highlight w:val="yellow"/>
              </w:rPr>
              <w:t>)</w:t>
            </w:r>
          </w:p>
        </w:tc>
        <w:tc>
          <w:tcPr>
            <w:tcW w:w="941" w:type="pct"/>
            <w:shd w:val="clear" w:color="auto" w:fill="auto"/>
            <w:tcMar>
              <w:top w:w="0" w:type="dxa"/>
              <w:left w:w="108" w:type="dxa"/>
              <w:bottom w:w="0" w:type="dxa"/>
              <w:right w:w="108" w:type="dxa"/>
            </w:tcMar>
          </w:tcPr>
          <w:p w:rsidR="00DF15CF" w:rsidRPr="0014252A" w:rsidP="003374C8" w14:paraId="79F66822" w14:textId="366F68BB">
            <w:pPr>
              <w:jc w:val="center"/>
              <w:rPr>
                <w:sz w:val="20"/>
                <w:szCs w:val="20"/>
                <w:highlight w:val="yellow"/>
              </w:rPr>
            </w:pPr>
            <w:r w:rsidRPr="0014252A">
              <w:rPr>
                <w:sz w:val="20"/>
                <w:szCs w:val="20"/>
                <w:highlight w:val="yellow"/>
              </w:rPr>
              <w:t>27</w:t>
            </w:r>
          </w:p>
        </w:tc>
        <w:tc>
          <w:tcPr>
            <w:tcW w:w="634" w:type="pct"/>
            <w:shd w:val="clear" w:color="auto" w:fill="auto"/>
            <w:tcMar>
              <w:top w:w="0" w:type="dxa"/>
              <w:left w:w="108" w:type="dxa"/>
              <w:bottom w:w="0" w:type="dxa"/>
              <w:right w:w="108" w:type="dxa"/>
            </w:tcMar>
          </w:tcPr>
          <w:p w:rsidR="00DF15CF" w:rsidRPr="0014252A" w:rsidP="000628B2" w14:paraId="7D05D829" w14:textId="2963344D">
            <w:pPr>
              <w:jc w:val="center"/>
              <w:rPr>
                <w:sz w:val="20"/>
                <w:szCs w:val="20"/>
                <w:highlight w:val="yellow"/>
              </w:rPr>
            </w:pPr>
            <w:r w:rsidRPr="0014252A">
              <w:rPr>
                <w:sz w:val="20"/>
                <w:szCs w:val="20"/>
                <w:highlight w:val="yellow"/>
              </w:rPr>
              <w:t>3</w:t>
            </w:r>
          </w:p>
        </w:tc>
        <w:tc>
          <w:tcPr>
            <w:tcW w:w="951" w:type="pct"/>
          </w:tcPr>
          <w:p w:rsidR="00DF15CF" w:rsidRPr="0014252A" w:rsidP="003374C8" w14:paraId="644287D1" w14:textId="5ACC064B">
            <w:pPr>
              <w:jc w:val="center"/>
              <w:rPr>
                <w:bCs/>
                <w:color w:val="000000"/>
                <w:sz w:val="20"/>
                <w:szCs w:val="20"/>
                <w:highlight w:val="yellow"/>
              </w:rPr>
            </w:pPr>
            <w:r w:rsidRPr="0014252A">
              <w:rPr>
                <w:bCs/>
                <w:color w:val="000000"/>
                <w:sz w:val="20"/>
                <w:szCs w:val="20"/>
                <w:highlight w:val="yellow"/>
              </w:rPr>
              <w:t>0.25</w:t>
            </w:r>
          </w:p>
        </w:tc>
        <w:tc>
          <w:tcPr>
            <w:tcW w:w="1081" w:type="pct"/>
            <w:shd w:val="clear" w:color="auto" w:fill="auto"/>
            <w:tcMar>
              <w:top w:w="0" w:type="dxa"/>
              <w:left w:w="108" w:type="dxa"/>
              <w:bottom w:w="0" w:type="dxa"/>
              <w:right w:w="108" w:type="dxa"/>
            </w:tcMar>
          </w:tcPr>
          <w:p w:rsidR="00DF15CF" w:rsidRPr="0014252A" w:rsidP="00BB1AB5" w14:paraId="67613E8E" w14:textId="6C2F3F46">
            <w:pPr>
              <w:jc w:val="center"/>
              <w:rPr>
                <w:sz w:val="20"/>
                <w:szCs w:val="20"/>
                <w:highlight w:val="yellow"/>
              </w:rPr>
            </w:pPr>
            <w:r w:rsidRPr="0014252A">
              <w:rPr>
                <w:sz w:val="20"/>
                <w:szCs w:val="20"/>
                <w:highlight w:val="yellow"/>
              </w:rPr>
              <w:t>20</w:t>
            </w:r>
          </w:p>
        </w:tc>
      </w:tr>
      <w:tr w14:paraId="04F1DF1B" w14:textId="77777777" w:rsidTr="00E007FA">
        <w:tblPrEx>
          <w:tblW w:w="5390" w:type="pct"/>
          <w:tblCellMar>
            <w:left w:w="0" w:type="dxa"/>
            <w:right w:w="0" w:type="dxa"/>
          </w:tblCellMar>
          <w:tblLook w:val="0000"/>
        </w:tblPrEx>
        <w:trPr>
          <w:trHeight w:val="661"/>
        </w:trPr>
        <w:tc>
          <w:tcPr>
            <w:tcW w:w="1393" w:type="pct"/>
            <w:shd w:val="clear" w:color="auto" w:fill="auto"/>
            <w:tcMar>
              <w:top w:w="0" w:type="dxa"/>
              <w:left w:w="108" w:type="dxa"/>
              <w:bottom w:w="0" w:type="dxa"/>
              <w:right w:w="108" w:type="dxa"/>
            </w:tcMar>
          </w:tcPr>
          <w:p w:rsidR="004F32DB" w:rsidRPr="0061116F" w:rsidP="004F32DB" w14:paraId="71591F53" w14:textId="725AB245">
            <w:pPr>
              <w:pStyle w:val="ColorfulList-Accent11"/>
              <w:ind w:left="0" w:firstLine="229"/>
              <w:rPr>
                <w:sz w:val="20"/>
                <w:szCs w:val="20"/>
              </w:rPr>
            </w:pPr>
            <w:r w:rsidRPr="0061116F">
              <w:rPr>
                <w:sz w:val="20"/>
                <w:szCs w:val="20"/>
              </w:rPr>
              <w:t xml:space="preserve">Initial </w:t>
            </w:r>
            <w:r w:rsidRPr="0061116F" w:rsidR="009F3065">
              <w:rPr>
                <w:sz w:val="20"/>
                <w:szCs w:val="20"/>
              </w:rPr>
              <w:t>data pull</w:t>
            </w:r>
            <w:r w:rsidRPr="0061116F" w:rsidR="00791178">
              <w:rPr>
                <w:sz w:val="20"/>
                <w:szCs w:val="20"/>
              </w:rPr>
              <w:t xml:space="preserve"> </w:t>
            </w:r>
            <w:r w:rsidRPr="0061116F" w:rsidR="007E0DBA">
              <w:rPr>
                <w:sz w:val="20"/>
                <w:szCs w:val="20"/>
              </w:rPr>
              <w:t xml:space="preserve">for </w:t>
            </w:r>
            <w:r w:rsidRPr="0014252A" w:rsidR="00D56952">
              <w:rPr>
                <w:sz w:val="20"/>
                <w:szCs w:val="20"/>
                <w:highlight w:val="yellow"/>
              </w:rPr>
              <w:t>5</w:t>
            </w:r>
            <w:r w:rsidRPr="0014252A" w:rsidR="007E0DBA">
              <w:rPr>
                <w:sz w:val="20"/>
                <w:szCs w:val="20"/>
                <w:highlight w:val="yellow"/>
              </w:rPr>
              <w:t>0</w:t>
            </w:r>
            <w:r w:rsidRPr="0061116F" w:rsidR="007E0DBA">
              <w:rPr>
                <w:sz w:val="20"/>
                <w:szCs w:val="20"/>
              </w:rPr>
              <w:t>% of surgical unit</w:t>
            </w:r>
            <w:r w:rsidRPr="0061116F" w:rsidR="000820B4">
              <w:rPr>
                <w:sz w:val="20"/>
                <w:szCs w:val="20"/>
              </w:rPr>
              <w:t>s that do not confer rights to NHSN data</w:t>
            </w:r>
            <w:r w:rsidRPr="0061116F" w:rsidR="00791178">
              <w:rPr>
                <w:sz w:val="20"/>
                <w:szCs w:val="20"/>
              </w:rPr>
              <w:t xml:space="preserve"> (Attachment </w:t>
            </w:r>
            <w:r w:rsidRPr="0061116F" w:rsidR="006607D6">
              <w:rPr>
                <w:sz w:val="20"/>
                <w:szCs w:val="20"/>
              </w:rPr>
              <w:t>K</w:t>
            </w:r>
            <w:r w:rsidRPr="0061116F" w:rsidR="00791178">
              <w:rPr>
                <w:sz w:val="20"/>
                <w:szCs w:val="20"/>
              </w:rPr>
              <w:t>)</w:t>
            </w:r>
            <w:r w:rsidRPr="0061116F">
              <w:rPr>
                <w:sz w:val="20"/>
                <w:szCs w:val="20"/>
              </w:rPr>
              <w:t>-</w:t>
            </w:r>
          </w:p>
          <w:p w:rsidR="004F32DB" w:rsidRPr="0061116F" w14:paraId="78C14742" w14:textId="1E428CC5">
            <w:pPr>
              <w:pStyle w:val="ColorfulList-Accent11"/>
              <w:ind w:left="0" w:firstLine="229"/>
              <w:rPr>
                <w:sz w:val="20"/>
                <w:szCs w:val="20"/>
              </w:rPr>
            </w:pPr>
            <w:r w:rsidRPr="0061116F">
              <w:rPr>
                <w:sz w:val="20"/>
                <w:szCs w:val="20"/>
              </w:rPr>
              <w:t>(</w:t>
            </w:r>
            <w:r w:rsidRPr="0061116F">
              <w:rPr>
                <w:i/>
                <w:sz w:val="20"/>
                <w:szCs w:val="20"/>
              </w:rPr>
              <w:t>once</w:t>
            </w:r>
            <w:r w:rsidRPr="0061116F">
              <w:rPr>
                <w:i/>
                <w:sz w:val="20"/>
                <w:szCs w:val="20"/>
              </w:rPr>
              <w:t xml:space="preserve"> at baseline for Surgical cohort, 300 settings total</w:t>
            </w:r>
            <w:r w:rsidRPr="0061116F">
              <w:rPr>
                <w:sz w:val="20"/>
                <w:szCs w:val="20"/>
              </w:rPr>
              <w:t>)</w:t>
            </w:r>
          </w:p>
        </w:tc>
        <w:tc>
          <w:tcPr>
            <w:tcW w:w="941" w:type="pct"/>
            <w:shd w:val="clear" w:color="auto" w:fill="auto"/>
            <w:tcMar>
              <w:top w:w="0" w:type="dxa"/>
              <w:left w:w="108" w:type="dxa"/>
              <w:bottom w:w="0" w:type="dxa"/>
              <w:right w:w="108" w:type="dxa"/>
            </w:tcMar>
          </w:tcPr>
          <w:p w:rsidR="004F32DB" w:rsidRPr="0014252A" w:rsidP="004F32DB" w14:paraId="29D7AB36" w14:textId="596ADFBD">
            <w:pPr>
              <w:jc w:val="center"/>
              <w:rPr>
                <w:sz w:val="20"/>
                <w:szCs w:val="20"/>
                <w:highlight w:val="yellow"/>
              </w:rPr>
            </w:pPr>
            <w:r>
              <w:rPr>
                <w:sz w:val="20"/>
                <w:szCs w:val="20"/>
                <w:highlight w:val="yellow"/>
              </w:rPr>
              <w:t>5</w:t>
            </w:r>
            <w:r w:rsidR="00B21D57">
              <w:rPr>
                <w:sz w:val="20"/>
                <w:szCs w:val="20"/>
                <w:highlight w:val="yellow"/>
              </w:rPr>
              <w:t>0</w:t>
            </w:r>
          </w:p>
        </w:tc>
        <w:tc>
          <w:tcPr>
            <w:tcW w:w="634" w:type="pct"/>
            <w:shd w:val="clear" w:color="auto" w:fill="auto"/>
            <w:tcMar>
              <w:top w:w="0" w:type="dxa"/>
              <w:left w:w="108" w:type="dxa"/>
              <w:bottom w:w="0" w:type="dxa"/>
              <w:right w:w="108" w:type="dxa"/>
            </w:tcMar>
          </w:tcPr>
          <w:p w:rsidR="004F32DB" w:rsidRPr="0014252A" w:rsidP="004F32DB" w14:paraId="51CFF063" w14:textId="324AF0A4">
            <w:pPr>
              <w:jc w:val="center"/>
              <w:rPr>
                <w:sz w:val="20"/>
                <w:szCs w:val="20"/>
                <w:highlight w:val="yellow"/>
              </w:rPr>
            </w:pPr>
            <w:r w:rsidRPr="00E4461E">
              <w:rPr>
                <w:sz w:val="20"/>
                <w:szCs w:val="20"/>
              </w:rPr>
              <w:t>1</w:t>
            </w:r>
          </w:p>
        </w:tc>
        <w:tc>
          <w:tcPr>
            <w:tcW w:w="951" w:type="pct"/>
          </w:tcPr>
          <w:p w:rsidR="004F32DB" w:rsidRPr="0014252A" w:rsidP="004F32DB" w14:paraId="3145E187" w14:textId="772F7965">
            <w:pPr>
              <w:jc w:val="center"/>
              <w:rPr>
                <w:color w:val="000000"/>
                <w:sz w:val="20"/>
                <w:szCs w:val="20"/>
                <w:highlight w:val="yellow"/>
              </w:rPr>
            </w:pPr>
            <w:r w:rsidRPr="0014252A">
              <w:rPr>
                <w:bCs/>
                <w:color w:val="000000"/>
                <w:sz w:val="20"/>
                <w:szCs w:val="20"/>
                <w:highlight w:val="yellow"/>
              </w:rPr>
              <w:t>1</w:t>
            </w:r>
          </w:p>
        </w:tc>
        <w:tc>
          <w:tcPr>
            <w:tcW w:w="1081" w:type="pct"/>
            <w:shd w:val="clear" w:color="auto" w:fill="auto"/>
            <w:tcMar>
              <w:top w:w="0" w:type="dxa"/>
              <w:left w:w="108" w:type="dxa"/>
              <w:bottom w:w="0" w:type="dxa"/>
              <w:right w:w="108" w:type="dxa"/>
            </w:tcMar>
          </w:tcPr>
          <w:p w:rsidR="004F32DB" w:rsidRPr="0014252A" w:rsidP="004F32DB" w14:paraId="60E9D088" w14:textId="122BF30C">
            <w:pPr>
              <w:jc w:val="center"/>
              <w:rPr>
                <w:sz w:val="20"/>
                <w:szCs w:val="20"/>
                <w:highlight w:val="yellow"/>
              </w:rPr>
            </w:pPr>
            <w:r>
              <w:rPr>
                <w:sz w:val="20"/>
                <w:szCs w:val="20"/>
                <w:highlight w:val="yellow"/>
              </w:rPr>
              <w:t>5</w:t>
            </w:r>
            <w:r w:rsidR="00B21D57">
              <w:rPr>
                <w:sz w:val="20"/>
                <w:szCs w:val="20"/>
                <w:highlight w:val="yellow"/>
              </w:rPr>
              <w:t>0</w:t>
            </w:r>
          </w:p>
        </w:tc>
      </w:tr>
      <w:tr w14:paraId="50C8FA54" w14:textId="77777777" w:rsidTr="00E007FA">
        <w:tblPrEx>
          <w:tblW w:w="5390" w:type="pct"/>
          <w:tblCellMar>
            <w:left w:w="0" w:type="dxa"/>
            <w:right w:w="0" w:type="dxa"/>
          </w:tblCellMar>
          <w:tblLook w:val="0000"/>
        </w:tblPrEx>
        <w:trPr>
          <w:trHeight w:val="653"/>
        </w:trPr>
        <w:tc>
          <w:tcPr>
            <w:tcW w:w="1393" w:type="pct"/>
            <w:shd w:val="clear" w:color="auto" w:fill="auto"/>
            <w:tcMar>
              <w:top w:w="0" w:type="dxa"/>
              <w:left w:w="108" w:type="dxa"/>
              <w:bottom w:w="0" w:type="dxa"/>
              <w:right w:w="108" w:type="dxa"/>
            </w:tcMar>
          </w:tcPr>
          <w:p w:rsidR="004F32DB" w:rsidRPr="0061116F" w:rsidP="004F32DB" w14:paraId="0A059CDD" w14:textId="46D5139C">
            <w:pPr>
              <w:pStyle w:val="ColorfulList-Accent11"/>
              <w:ind w:left="0" w:firstLine="229"/>
              <w:rPr>
                <w:sz w:val="20"/>
                <w:szCs w:val="20"/>
              </w:rPr>
            </w:pPr>
            <w:r w:rsidRPr="0061116F">
              <w:rPr>
                <w:sz w:val="20"/>
                <w:szCs w:val="20"/>
              </w:rPr>
              <w:t xml:space="preserve">Initial </w:t>
            </w:r>
            <w:r w:rsidRPr="0061116F" w:rsidR="009F3065">
              <w:rPr>
                <w:sz w:val="20"/>
                <w:szCs w:val="20"/>
              </w:rPr>
              <w:t>data pull</w:t>
            </w:r>
            <w:r w:rsidRPr="0061116F" w:rsidR="00791178">
              <w:rPr>
                <w:sz w:val="20"/>
                <w:szCs w:val="20"/>
              </w:rPr>
              <w:t xml:space="preserve"> (Attachment </w:t>
            </w:r>
            <w:r w:rsidRPr="0061116F" w:rsidR="006607D6">
              <w:rPr>
                <w:sz w:val="20"/>
                <w:szCs w:val="20"/>
              </w:rPr>
              <w:t>L</w:t>
            </w:r>
            <w:r w:rsidRPr="0061116F" w:rsidR="00791178">
              <w:rPr>
                <w:sz w:val="20"/>
                <w:szCs w:val="20"/>
              </w:rPr>
              <w:t>)</w:t>
            </w:r>
            <w:r w:rsidRPr="0061116F">
              <w:rPr>
                <w:sz w:val="20"/>
                <w:szCs w:val="20"/>
              </w:rPr>
              <w:t>-</w:t>
            </w:r>
          </w:p>
          <w:p w:rsidR="004F32DB" w:rsidRPr="0061116F" w:rsidP="004F32DB" w14:paraId="4E08BF49" w14:textId="50922C2B">
            <w:pPr>
              <w:pStyle w:val="ColorfulList-Accent11"/>
              <w:ind w:left="0" w:firstLine="229"/>
              <w:rPr>
                <w:sz w:val="20"/>
                <w:szCs w:val="20"/>
              </w:rPr>
            </w:pPr>
            <w:r w:rsidRPr="0061116F">
              <w:rPr>
                <w:sz w:val="20"/>
                <w:szCs w:val="20"/>
              </w:rPr>
              <w:t>(</w:t>
            </w:r>
            <w:r w:rsidRPr="0061116F">
              <w:rPr>
                <w:i/>
                <w:sz w:val="20"/>
                <w:szCs w:val="20"/>
              </w:rPr>
              <w:t>once</w:t>
            </w:r>
            <w:r w:rsidRPr="0061116F">
              <w:rPr>
                <w:i/>
                <w:sz w:val="20"/>
                <w:szCs w:val="20"/>
              </w:rPr>
              <w:t xml:space="preserve"> at baseline for LTC cohort, 300 facilities total</w:t>
            </w:r>
            <w:r w:rsidRPr="0061116F">
              <w:rPr>
                <w:sz w:val="20"/>
                <w:szCs w:val="20"/>
              </w:rPr>
              <w:t>)</w:t>
            </w:r>
          </w:p>
        </w:tc>
        <w:tc>
          <w:tcPr>
            <w:tcW w:w="941" w:type="pct"/>
            <w:shd w:val="clear" w:color="auto" w:fill="auto"/>
            <w:tcMar>
              <w:top w:w="0" w:type="dxa"/>
              <w:left w:w="108" w:type="dxa"/>
              <w:bottom w:w="0" w:type="dxa"/>
              <w:right w:w="108" w:type="dxa"/>
            </w:tcMar>
          </w:tcPr>
          <w:p w:rsidR="004F32DB" w:rsidRPr="0061116F" w:rsidP="004F32DB" w14:paraId="409F415D" w14:textId="6B00AE9C">
            <w:pPr>
              <w:jc w:val="center"/>
              <w:rPr>
                <w:sz w:val="20"/>
                <w:szCs w:val="20"/>
              </w:rPr>
            </w:pPr>
            <w:r w:rsidRPr="0061116F">
              <w:rPr>
                <w:sz w:val="20"/>
                <w:szCs w:val="20"/>
              </w:rPr>
              <w:t>100</w:t>
            </w:r>
          </w:p>
        </w:tc>
        <w:tc>
          <w:tcPr>
            <w:tcW w:w="634" w:type="pct"/>
            <w:shd w:val="clear" w:color="auto" w:fill="auto"/>
            <w:tcMar>
              <w:top w:w="0" w:type="dxa"/>
              <w:left w:w="108" w:type="dxa"/>
              <w:bottom w:w="0" w:type="dxa"/>
              <w:right w:w="108" w:type="dxa"/>
            </w:tcMar>
          </w:tcPr>
          <w:p w:rsidR="004F32DB" w:rsidRPr="0061116F" w:rsidP="004F32DB" w14:paraId="389B7191" w14:textId="7FFE9FBD">
            <w:pPr>
              <w:jc w:val="center"/>
              <w:rPr>
                <w:sz w:val="20"/>
                <w:szCs w:val="20"/>
              </w:rPr>
            </w:pPr>
            <w:r w:rsidRPr="0061116F">
              <w:rPr>
                <w:sz w:val="20"/>
                <w:szCs w:val="20"/>
              </w:rPr>
              <w:t>1</w:t>
            </w:r>
          </w:p>
        </w:tc>
        <w:tc>
          <w:tcPr>
            <w:tcW w:w="951" w:type="pct"/>
          </w:tcPr>
          <w:p w:rsidR="004F32DB" w:rsidRPr="0014252A" w:rsidP="004F32DB" w14:paraId="3E6086EA" w14:textId="19F0EE7A">
            <w:pPr>
              <w:jc w:val="center"/>
              <w:rPr>
                <w:bCs/>
                <w:color w:val="000000"/>
                <w:sz w:val="20"/>
                <w:szCs w:val="20"/>
                <w:highlight w:val="yellow"/>
              </w:rPr>
            </w:pPr>
            <w:r w:rsidRPr="0014252A">
              <w:rPr>
                <w:bCs/>
                <w:color w:val="000000"/>
                <w:sz w:val="20"/>
                <w:szCs w:val="20"/>
                <w:highlight w:val="yellow"/>
              </w:rPr>
              <w:t>6</w:t>
            </w:r>
          </w:p>
        </w:tc>
        <w:tc>
          <w:tcPr>
            <w:tcW w:w="1081" w:type="pct"/>
            <w:shd w:val="clear" w:color="auto" w:fill="auto"/>
            <w:tcMar>
              <w:top w:w="0" w:type="dxa"/>
              <w:left w:w="108" w:type="dxa"/>
              <w:bottom w:w="0" w:type="dxa"/>
              <w:right w:w="108" w:type="dxa"/>
            </w:tcMar>
          </w:tcPr>
          <w:p w:rsidR="004F32DB" w:rsidRPr="0014252A" w:rsidP="004F32DB" w14:paraId="1824A48A" w14:textId="4AF96FEC">
            <w:pPr>
              <w:jc w:val="center"/>
              <w:rPr>
                <w:sz w:val="20"/>
                <w:szCs w:val="20"/>
                <w:highlight w:val="yellow"/>
              </w:rPr>
            </w:pPr>
            <w:r w:rsidRPr="0014252A">
              <w:rPr>
                <w:sz w:val="20"/>
                <w:szCs w:val="20"/>
                <w:highlight w:val="yellow"/>
              </w:rPr>
              <w:t>6</w:t>
            </w:r>
            <w:r w:rsidRPr="0014252A">
              <w:rPr>
                <w:sz w:val="20"/>
                <w:szCs w:val="20"/>
                <w:highlight w:val="yellow"/>
              </w:rPr>
              <w:t>00</w:t>
            </w:r>
          </w:p>
        </w:tc>
      </w:tr>
      <w:tr w14:paraId="09D8C90F" w14:textId="77777777" w:rsidTr="00E007FA">
        <w:tblPrEx>
          <w:tblW w:w="5390" w:type="pct"/>
          <w:tblCellMar>
            <w:left w:w="0" w:type="dxa"/>
            <w:right w:w="0" w:type="dxa"/>
          </w:tblCellMar>
          <w:tblLook w:val="0000"/>
        </w:tblPrEx>
        <w:trPr>
          <w:trHeight w:val="1104"/>
        </w:trPr>
        <w:tc>
          <w:tcPr>
            <w:tcW w:w="1393" w:type="pct"/>
            <w:shd w:val="clear" w:color="auto" w:fill="auto"/>
            <w:tcMar>
              <w:top w:w="0" w:type="dxa"/>
              <w:left w:w="108" w:type="dxa"/>
              <w:bottom w:w="0" w:type="dxa"/>
              <w:right w:w="108" w:type="dxa"/>
            </w:tcMar>
          </w:tcPr>
          <w:p w:rsidR="004F32DB" w:rsidRPr="00345D93" w:rsidP="004F32DB" w14:paraId="6C1BF0AA" w14:textId="3FF18EFF">
            <w:pPr>
              <w:pStyle w:val="ColorfulList-Accent11"/>
              <w:ind w:left="0" w:firstLine="229"/>
              <w:rPr>
                <w:sz w:val="20"/>
                <w:szCs w:val="20"/>
              </w:rPr>
            </w:pPr>
            <w:r w:rsidRPr="00345D93">
              <w:rPr>
                <w:sz w:val="20"/>
                <w:szCs w:val="20"/>
              </w:rPr>
              <w:t>Quarterly data</w:t>
            </w:r>
            <w:r w:rsidRPr="00345D93" w:rsidR="00791178">
              <w:rPr>
                <w:sz w:val="20"/>
                <w:szCs w:val="20"/>
              </w:rPr>
              <w:t xml:space="preserve"> </w:t>
            </w:r>
            <w:r w:rsidRPr="00345D93" w:rsidR="005A7B41">
              <w:rPr>
                <w:sz w:val="20"/>
                <w:szCs w:val="20"/>
              </w:rPr>
              <w:t xml:space="preserve">collection of monthly data </w:t>
            </w:r>
            <w:r w:rsidRPr="00345D93" w:rsidR="00791178">
              <w:rPr>
                <w:sz w:val="20"/>
                <w:szCs w:val="20"/>
              </w:rPr>
              <w:t xml:space="preserve">(Attachments </w:t>
            </w:r>
            <w:r w:rsidRPr="00345D93" w:rsidR="006D46BE">
              <w:rPr>
                <w:sz w:val="20"/>
                <w:szCs w:val="20"/>
              </w:rPr>
              <w:t>J</w:t>
            </w:r>
            <w:r w:rsidRPr="00345D93" w:rsidR="00791178">
              <w:rPr>
                <w:sz w:val="20"/>
                <w:szCs w:val="20"/>
              </w:rPr>
              <w:t>)</w:t>
            </w:r>
            <w:r w:rsidRPr="00345D93">
              <w:rPr>
                <w:sz w:val="20"/>
                <w:szCs w:val="20"/>
              </w:rPr>
              <w:t xml:space="preserve">- </w:t>
            </w:r>
          </w:p>
          <w:p w:rsidR="004F32DB" w:rsidRPr="00345D93" w:rsidP="004F32DB" w14:paraId="4B0DA3CD" w14:textId="2EB7C0E4">
            <w:pPr>
              <w:pStyle w:val="ColorfulList-Accent11"/>
              <w:ind w:left="229"/>
              <w:rPr>
                <w:i/>
                <w:sz w:val="20"/>
                <w:szCs w:val="20"/>
              </w:rPr>
            </w:pPr>
            <w:r w:rsidRPr="00345D93">
              <w:rPr>
                <w:i/>
                <w:sz w:val="20"/>
                <w:szCs w:val="20"/>
              </w:rPr>
              <w:t>(</w:t>
            </w:r>
            <w:r w:rsidRPr="00345D93">
              <w:rPr>
                <w:i/>
                <w:sz w:val="20"/>
                <w:szCs w:val="20"/>
              </w:rPr>
              <w:t>quarterly</w:t>
            </w:r>
            <w:r w:rsidRPr="00345D93">
              <w:rPr>
                <w:i/>
                <w:sz w:val="20"/>
                <w:szCs w:val="20"/>
              </w:rPr>
              <w:t xml:space="preserve"> during 18 months of </w:t>
            </w:r>
            <w:r w:rsidRPr="00345D93" w:rsidR="00965F68">
              <w:rPr>
                <w:bCs/>
                <w:i/>
                <w:color w:val="000000"/>
                <w:sz w:val="20"/>
                <w:szCs w:val="20"/>
              </w:rPr>
              <w:t>implementation</w:t>
            </w:r>
            <w:r w:rsidRPr="00345D93">
              <w:rPr>
                <w:i/>
                <w:sz w:val="20"/>
                <w:szCs w:val="20"/>
              </w:rPr>
              <w:t xml:space="preserve"> for ICU</w:t>
            </w:r>
            <w:r w:rsidRPr="00345D93" w:rsidR="005A7B41">
              <w:rPr>
                <w:i/>
                <w:sz w:val="20"/>
                <w:szCs w:val="20"/>
              </w:rPr>
              <w:t xml:space="preserve"> and</w:t>
            </w:r>
            <w:r w:rsidRPr="00345D93">
              <w:rPr>
                <w:i/>
                <w:sz w:val="20"/>
                <w:szCs w:val="20"/>
              </w:rPr>
              <w:t xml:space="preserve"> non-ICU, cohorts, </w:t>
            </w:r>
            <w:r w:rsidRPr="00345D93" w:rsidR="006A5F8A">
              <w:rPr>
                <w:i/>
                <w:sz w:val="20"/>
                <w:szCs w:val="20"/>
              </w:rPr>
              <w:t>800</w:t>
            </w:r>
            <w:r w:rsidRPr="00345D93">
              <w:rPr>
                <w:i/>
                <w:sz w:val="20"/>
                <w:szCs w:val="20"/>
              </w:rPr>
              <w:t xml:space="preserve"> units total)</w:t>
            </w:r>
          </w:p>
        </w:tc>
        <w:tc>
          <w:tcPr>
            <w:tcW w:w="941" w:type="pct"/>
            <w:shd w:val="clear" w:color="auto" w:fill="auto"/>
            <w:tcMar>
              <w:top w:w="0" w:type="dxa"/>
              <w:left w:w="108" w:type="dxa"/>
              <w:bottom w:w="0" w:type="dxa"/>
              <w:right w:w="108" w:type="dxa"/>
            </w:tcMar>
          </w:tcPr>
          <w:p w:rsidR="004F32DB" w:rsidRPr="00345D93" w:rsidP="004F32DB" w14:paraId="6551CF01" w14:textId="5A6FBCE0">
            <w:pPr>
              <w:jc w:val="center"/>
              <w:rPr>
                <w:sz w:val="20"/>
                <w:szCs w:val="20"/>
              </w:rPr>
            </w:pPr>
            <w:r w:rsidRPr="00345D93">
              <w:rPr>
                <w:sz w:val="20"/>
                <w:szCs w:val="20"/>
              </w:rPr>
              <w:t>2</w:t>
            </w:r>
            <w:r w:rsidRPr="00345D93">
              <w:rPr>
                <w:sz w:val="20"/>
                <w:szCs w:val="20"/>
              </w:rPr>
              <w:t>67</w:t>
            </w:r>
          </w:p>
        </w:tc>
        <w:tc>
          <w:tcPr>
            <w:tcW w:w="634" w:type="pct"/>
            <w:shd w:val="clear" w:color="auto" w:fill="auto"/>
            <w:tcMar>
              <w:top w:w="0" w:type="dxa"/>
              <w:left w:w="108" w:type="dxa"/>
              <w:bottom w:w="0" w:type="dxa"/>
              <w:right w:w="108" w:type="dxa"/>
            </w:tcMar>
          </w:tcPr>
          <w:p w:rsidR="004F32DB" w:rsidRPr="00345D93" w:rsidP="004F32DB" w14:paraId="0E7F49E9" w14:textId="4CC430CE">
            <w:pPr>
              <w:jc w:val="center"/>
              <w:rPr>
                <w:sz w:val="20"/>
                <w:szCs w:val="20"/>
              </w:rPr>
            </w:pPr>
            <w:r w:rsidRPr="00345D93">
              <w:rPr>
                <w:sz w:val="20"/>
                <w:szCs w:val="20"/>
              </w:rPr>
              <w:t>6</w:t>
            </w:r>
          </w:p>
        </w:tc>
        <w:tc>
          <w:tcPr>
            <w:tcW w:w="951" w:type="pct"/>
          </w:tcPr>
          <w:p w:rsidR="004F32DB" w:rsidRPr="00345D93" w:rsidP="004F32DB" w14:paraId="44431C60" w14:textId="1D91308B">
            <w:pPr>
              <w:jc w:val="center"/>
              <w:rPr>
                <w:bCs/>
                <w:color w:val="000000"/>
                <w:sz w:val="20"/>
                <w:szCs w:val="20"/>
              </w:rPr>
            </w:pPr>
            <w:r w:rsidRPr="00345D93">
              <w:rPr>
                <w:bCs/>
                <w:color w:val="000000"/>
                <w:sz w:val="20"/>
                <w:szCs w:val="20"/>
              </w:rPr>
              <w:t>0.5</w:t>
            </w:r>
          </w:p>
        </w:tc>
        <w:tc>
          <w:tcPr>
            <w:tcW w:w="1081" w:type="pct"/>
            <w:shd w:val="clear" w:color="auto" w:fill="auto"/>
            <w:tcMar>
              <w:top w:w="0" w:type="dxa"/>
              <w:left w:w="108" w:type="dxa"/>
              <w:bottom w:w="0" w:type="dxa"/>
              <w:right w:w="108" w:type="dxa"/>
            </w:tcMar>
          </w:tcPr>
          <w:p w:rsidR="004F32DB" w:rsidRPr="00345D93" w:rsidP="004F32DB" w14:paraId="5DA47992" w14:textId="0BADB33F">
            <w:pPr>
              <w:jc w:val="center"/>
              <w:rPr>
                <w:sz w:val="20"/>
                <w:szCs w:val="20"/>
              </w:rPr>
            </w:pPr>
            <w:r w:rsidRPr="00345D93">
              <w:rPr>
                <w:sz w:val="20"/>
                <w:szCs w:val="20"/>
              </w:rPr>
              <w:t>8</w:t>
            </w:r>
            <w:r w:rsidRPr="00345D93" w:rsidR="004C6277">
              <w:rPr>
                <w:sz w:val="20"/>
                <w:szCs w:val="20"/>
              </w:rPr>
              <w:t>0</w:t>
            </w:r>
            <w:r w:rsidRPr="00345D93" w:rsidR="001F2717">
              <w:rPr>
                <w:sz w:val="20"/>
                <w:szCs w:val="20"/>
              </w:rPr>
              <w:t>1</w:t>
            </w:r>
          </w:p>
        </w:tc>
      </w:tr>
      <w:tr w14:paraId="5A59B1FA" w14:textId="77777777" w:rsidTr="006A5F8A">
        <w:tblPrEx>
          <w:tblW w:w="5390" w:type="pct"/>
          <w:tblCellMar>
            <w:left w:w="0" w:type="dxa"/>
            <w:right w:w="0" w:type="dxa"/>
          </w:tblCellMar>
          <w:tblLook w:val="0000"/>
        </w:tblPrEx>
        <w:trPr>
          <w:trHeight w:val="1104"/>
        </w:trPr>
        <w:tc>
          <w:tcPr>
            <w:tcW w:w="1393" w:type="pct"/>
            <w:shd w:val="clear" w:color="auto" w:fill="auto"/>
            <w:tcMar>
              <w:top w:w="0" w:type="dxa"/>
              <w:left w:w="108" w:type="dxa"/>
              <w:bottom w:w="0" w:type="dxa"/>
              <w:right w:w="108" w:type="dxa"/>
            </w:tcMar>
          </w:tcPr>
          <w:p w:rsidR="006A5F8A" w:rsidRPr="0061116F" w:rsidP="005A7B41" w14:paraId="474651A8" w14:textId="5E479403">
            <w:pPr>
              <w:pStyle w:val="ColorfulList-Accent11"/>
              <w:ind w:left="0" w:firstLine="229"/>
              <w:rPr>
                <w:sz w:val="20"/>
                <w:szCs w:val="20"/>
              </w:rPr>
            </w:pPr>
            <w:r w:rsidRPr="0061116F">
              <w:rPr>
                <w:sz w:val="20"/>
                <w:szCs w:val="20"/>
              </w:rPr>
              <w:t>Quarterly data</w:t>
            </w:r>
            <w:r w:rsidRPr="0061116F" w:rsidR="005A7B41">
              <w:rPr>
                <w:sz w:val="20"/>
                <w:szCs w:val="20"/>
              </w:rPr>
              <w:t xml:space="preserve"> collection of monthly data for </w:t>
            </w:r>
            <w:r w:rsidRPr="0014252A" w:rsidR="00D56952">
              <w:rPr>
                <w:sz w:val="20"/>
                <w:szCs w:val="20"/>
                <w:highlight w:val="yellow"/>
              </w:rPr>
              <w:t>5</w:t>
            </w:r>
            <w:r w:rsidRPr="0014252A" w:rsidR="005A7B41">
              <w:rPr>
                <w:sz w:val="20"/>
                <w:szCs w:val="20"/>
                <w:highlight w:val="yellow"/>
              </w:rPr>
              <w:t>0</w:t>
            </w:r>
            <w:r w:rsidRPr="0061116F" w:rsidR="005A7B41">
              <w:rPr>
                <w:sz w:val="20"/>
                <w:szCs w:val="20"/>
              </w:rPr>
              <w:t>% of hospitals that do not confer rights to their NHSN data</w:t>
            </w:r>
            <w:r w:rsidRPr="0061116F">
              <w:rPr>
                <w:sz w:val="20"/>
                <w:szCs w:val="20"/>
              </w:rPr>
              <w:t xml:space="preserve"> </w:t>
            </w:r>
            <w:r w:rsidRPr="0061116F" w:rsidR="00B27DEF">
              <w:rPr>
                <w:sz w:val="20"/>
                <w:szCs w:val="20"/>
              </w:rPr>
              <w:t xml:space="preserve">(Attachment </w:t>
            </w:r>
            <w:r w:rsidRPr="0061116F" w:rsidR="00B27DEF">
              <w:rPr>
                <w:sz w:val="20"/>
                <w:szCs w:val="20"/>
              </w:rPr>
              <w:t>K)</w:t>
            </w:r>
            <w:r w:rsidRPr="0061116F">
              <w:rPr>
                <w:sz w:val="20"/>
                <w:szCs w:val="20"/>
              </w:rPr>
              <w:t xml:space="preserve">   </w:t>
            </w:r>
            <w:r w:rsidRPr="0061116F">
              <w:rPr>
                <w:sz w:val="20"/>
                <w:szCs w:val="20"/>
              </w:rPr>
              <w:t xml:space="preserve"> (</w:t>
            </w:r>
            <w:r w:rsidRPr="0061116F">
              <w:rPr>
                <w:i/>
                <w:sz w:val="20"/>
                <w:szCs w:val="20"/>
              </w:rPr>
              <w:t xml:space="preserve">quarterly during 18 months of </w:t>
            </w:r>
            <w:r w:rsidRPr="00F91BDB" w:rsidR="00965F68">
              <w:rPr>
                <w:i/>
                <w:color w:val="000000"/>
                <w:sz w:val="20"/>
                <w:szCs w:val="20"/>
              </w:rPr>
              <w:t>implementation</w:t>
            </w:r>
            <w:r w:rsidRPr="0061116F">
              <w:rPr>
                <w:i/>
                <w:sz w:val="20"/>
                <w:szCs w:val="20"/>
              </w:rPr>
              <w:t xml:space="preserve"> for surgical cohorts, 300 units total</w:t>
            </w:r>
            <w:r w:rsidRPr="0061116F">
              <w:rPr>
                <w:sz w:val="20"/>
                <w:szCs w:val="20"/>
              </w:rPr>
              <w:t>)</w:t>
            </w:r>
          </w:p>
        </w:tc>
        <w:tc>
          <w:tcPr>
            <w:tcW w:w="941" w:type="pct"/>
            <w:shd w:val="clear" w:color="auto" w:fill="auto"/>
            <w:tcMar>
              <w:top w:w="0" w:type="dxa"/>
              <w:left w:w="108" w:type="dxa"/>
              <w:bottom w:w="0" w:type="dxa"/>
              <w:right w:w="108" w:type="dxa"/>
            </w:tcMar>
          </w:tcPr>
          <w:p w:rsidR="006A5F8A" w:rsidRPr="0014252A" w:rsidP="004F32DB" w14:paraId="6FB77F1B" w14:textId="51CC8EE3">
            <w:pPr>
              <w:jc w:val="center"/>
              <w:rPr>
                <w:sz w:val="20"/>
                <w:szCs w:val="20"/>
                <w:highlight w:val="yellow"/>
              </w:rPr>
            </w:pPr>
            <w:r>
              <w:rPr>
                <w:sz w:val="20"/>
                <w:szCs w:val="20"/>
                <w:highlight w:val="yellow"/>
              </w:rPr>
              <w:t>5</w:t>
            </w:r>
            <w:r w:rsidR="00B21D57">
              <w:rPr>
                <w:sz w:val="20"/>
                <w:szCs w:val="20"/>
                <w:highlight w:val="yellow"/>
              </w:rPr>
              <w:t>0</w:t>
            </w:r>
          </w:p>
        </w:tc>
        <w:tc>
          <w:tcPr>
            <w:tcW w:w="634" w:type="pct"/>
            <w:shd w:val="clear" w:color="auto" w:fill="auto"/>
            <w:tcMar>
              <w:top w:w="0" w:type="dxa"/>
              <w:left w:w="108" w:type="dxa"/>
              <w:bottom w:w="0" w:type="dxa"/>
              <w:right w:w="108" w:type="dxa"/>
            </w:tcMar>
          </w:tcPr>
          <w:p w:rsidR="006A5F8A" w:rsidRPr="0061116F" w:rsidP="004F32DB" w14:paraId="6D943048" w14:textId="50C8E8D2">
            <w:pPr>
              <w:jc w:val="center"/>
              <w:rPr>
                <w:sz w:val="20"/>
                <w:szCs w:val="20"/>
              </w:rPr>
            </w:pPr>
            <w:r w:rsidRPr="0061116F">
              <w:rPr>
                <w:sz w:val="20"/>
                <w:szCs w:val="20"/>
              </w:rPr>
              <w:t>6</w:t>
            </w:r>
          </w:p>
        </w:tc>
        <w:tc>
          <w:tcPr>
            <w:tcW w:w="951" w:type="pct"/>
          </w:tcPr>
          <w:p w:rsidR="006A5F8A" w:rsidRPr="00F91BDB" w:rsidP="004F32DB" w14:paraId="690D3590" w14:textId="663F25B5">
            <w:pPr>
              <w:jc w:val="center"/>
              <w:rPr>
                <w:color w:val="000000"/>
                <w:sz w:val="20"/>
                <w:szCs w:val="20"/>
              </w:rPr>
            </w:pPr>
            <w:r w:rsidRPr="00F91BDB">
              <w:rPr>
                <w:color w:val="000000"/>
                <w:sz w:val="20"/>
                <w:szCs w:val="20"/>
              </w:rPr>
              <w:t>0</w:t>
            </w:r>
            <w:r w:rsidRPr="00F91BDB">
              <w:rPr>
                <w:color w:val="000000"/>
                <w:sz w:val="20"/>
                <w:szCs w:val="20"/>
              </w:rPr>
              <w:t>.5</w:t>
            </w:r>
          </w:p>
        </w:tc>
        <w:tc>
          <w:tcPr>
            <w:tcW w:w="1081" w:type="pct"/>
            <w:shd w:val="clear" w:color="auto" w:fill="auto"/>
            <w:tcMar>
              <w:top w:w="0" w:type="dxa"/>
              <w:left w:w="108" w:type="dxa"/>
              <w:bottom w:w="0" w:type="dxa"/>
              <w:right w:w="108" w:type="dxa"/>
            </w:tcMar>
          </w:tcPr>
          <w:p w:rsidR="006A5F8A" w:rsidRPr="0061116F" w:rsidP="004F32DB" w14:paraId="3ACCB572" w14:textId="588D1A81">
            <w:pPr>
              <w:jc w:val="center"/>
              <w:rPr>
                <w:sz w:val="20"/>
                <w:szCs w:val="20"/>
              </w:rPr>
            </w:pPr>
            <w:r>
              <w:rPr>
                <w:sz w:val="20"/>
                <w:szCs w:val="20"/>
              </w:rPr>
              <w:t>150</w:t>
            </w:r>
          </w:p>
        </w:tc>
      </w:tr>
      <w:tr w14:paraId="4DE3FE18" w14:textId="77777777" w:rsidTr="00E007FA">
        <w:tblPrEx>
          <w:tblW w:w="5390" w:type="pct"/>
          <w:tblCellMar>
            <w:left w:w="0" w:type="dxa"/>
            <w:right w:w="0" w:type="dxa"/>
          </w:tblCellMar>
          <w:tblLook w:val="0000"/>
        </w:tblPrEx>
        <w:trPr>
          <w:trHeight w:val="878"/>
        </w:trPr>
        <w:tc>
          <w:tcPr>
            <w:tcW w:w="1393" w:type="pct"/>
            <w:shd w:val="clear" w:color="auto" w:fill="auto"/>
            <w:tcMar>
              <w:top w:w="0" w:type="dxa"/>
              <w:left w:w="108" w:type="dxa"/>
              <w:bottom w:w="0" w:type="dxa"/>
              <w:right w:w="108" w:type="dxa"/>
            </w:tcMar>
          </w:tcPr>
          <w:p w:rsidR="004F32DB" w:rsidRPr="0061116F" w:rsidP="004F32DB" w14:paraId="0304FF7E" w14:textId="310791B9">
            <w:pPr>
              <w:pStyle w:val="ColorfulList-Accent11"/>
              <w:ind w:left="0" w:firstLine="229"/>
              <w:rPr>
                <w:sz w:val="20"/>
                <w:szCs w:val="20"/>
              </w:rPr>
            </w:pPr>
            <w:r w:rsidRPr="0061116F">
              <w:rPr>
                <w:sz w:val="20"/>
                <w:szCs w:val="20"/>
              </w:rPr>
              <w:t>Monthly data</w:t>
            </w:r>
            <w:r w:rsidRPr="0061116F" w:rsidR="00791178">
              <w:rPr>
                <w:sz w:val="20"/>
                <w:szCs w:val="20"/>
              </w:rPr>
              <w:t xml:space="preserve"> (Attachment </w:t>
            </w:r>
            <w:r w:rsidRPr="0061116F" w:rsidR="006D46BE">
              <w:rPr>
                <w:sz w:val="20"/>
                <w:szCs w:val="20"/>
              </w:rPr>
              <w:t>L</w:t>
            </w:r>
            <w:r w:rsidRPr="0061116F" w:rsidR="00791178">
              <w:rPr>
                <w:sz w:val="20"/>
                <w:szCs w:val="20"/>
              </w:rPr>
              <w:t>)</w:t>
            </w:r>
            <w:r w:rsidRPr="0061116F">
              <w:rPr>
                <w:sz w:val="20"/>
                <w:szCs w:val="20"/>
              </w:rPr>
              <w:t xml:space="preserve">- </w:t>
            </w:r>
          </w:p>
          <w:p w:rsidR="004F32DB" w:rsidRPr="0061116F" w:rsidP="004F32DB" w14:paraId="6937DC5A" w14:textId="21C23182">
            <w:pPr>
              <w:pStyle w:val="ColorfulList-Accent11"/>
              <w:ind w:left="0" w:firstLine="229"/>
              <w:rPr>
                <w:sz w:val="20"/>
                <w:szCs w:val="20"/>
              </w:rPr>
            </w:pPr>
            <w:r w:rsidRPr="0061116F">
              <w:rPr>
                <w:i/>
                <w:sz w:val="20"/>
                <w:szCs w:val="20"/>
              </w:rPr>
              <w:t>(</w:t>
            </w:r>
            <w:r w:rsidRPr="0061116F">
              <w:rPr>
                <w:i/>
                <w:sz w:val="20"/>
                <w:szCs w:val="20"/>
              </w:rPr>
              <w:t>monthly</w:t>
            </w:r>
            <w:r w:rsidRPr="0061116F">
              <w:rPr>
                <w:i/>
                <w:sz w:val="20"/>
                <w:szCs w:val="20"/>
              </w:rPr>
              <w:t xml:space="preserve"> per facility during 18 months of </w:t>
            </w:r>
            <w:r w:rsidRPr="0061116F" w:rsidR="00965F68">
              <w:rPr>
                <w:i/>
                <w:color w:val="000000"/>
                <w:sz w:val="20"/>
                <w:szCs w:val="20"/>
              </w:rPr>
              <w:t>implementation</w:t>
            </w:r>
            <w:r w:rsidRPr="0061116F">
              <w:rPr>
                <w:i/>
                <w:sz w:val="20"/>
                <w:szCs w:val="20"/>
              </w:rPr>
              <w:t xml:space="preserve"> for LTC cohort, 300 facilities total)</w:t>
            </w:r>
          </w:p>
        </w:tc>
        <w:tc>
          <w:tcPr>
            <w:tcW w:w="941" w:type="pct"/>
            <w:shd w:val="clear" w:color="auto" w:fill="auto"/>
            <w:tcMar>
              <w:top w:w="0" w:type="dxa"/>
              <w:left w:w="108" w:type="dxa"/>
              <w:bottom w:w="0" w:type="dxa"/>
              <w:right w:w="108" w:type="dxa"/>
            </w:tcMar>
          </w:tcPr>
          <w:p w:rsidR="004F32DB" w:rsidRPr="001E7F9E" w:rsidP="004F32DB" w14:paraId="1F0D611B" w14:textId="2F393BC6">
            <w:pPr>
              <w:jc w:val="center"/>
              <w:rPr>
                <w:sz w:val="20"/>
                <w:szCs w:val="20"/>
                <w:highlight w:val="yellow"/>
              </w:rPr>
            </w:pPr>
            <w:r w:rsidRPr="001E7F9E">
              <w:rPr>
                <w:sz w:val="20"/>
                <w:szCs w:val="20"/>
                <w:highlight w:val="yellow"/>
              </w:rPr>
              <w:t>100</w:t>
            </w:r>
          </w:p>
        </w:tc>
        <w:tc>
          <w:tcPr>
            <w:tcW w:w="634" w:type="pct"/>
            <w:shd w:val="clear" w:color="auto" w:fill="auto"/>
            <w:tcMar>
              <w:top w:w="0" w:type="dxa"/>
              <w:left w:w="108" w:type="dxa"/>
              <w:bottom w:w="0" w:type="dxa"/>
              <w:right w:w="108" w:type="dxa"/>
            </w:tcMar>
          </w:tcPr>
          <w:p w:rsidR="004F32DB" w:rsidRPr="001E7F9E" w:rsidP="004F32DB" w14:paraId="5F531EAD" w14:textId="4966A5DF">
            <w:pPr>
              <w:jc w:val="center"/>
              <w:rPr>
                <w:sz w:val="20"/>
                <w:szCs w:val="20"/>
                <w:highlight w:val="yellow"/>
              </w:rPr>
            </w:pPr>
            <w:r w:rsidRPr="001E7F9E">
              <w:rPr>
                <w:sz w:val="20"/>
                <w:szCs w:val="20"/>
                <w:highlight w:val="yellow"/>
              </w:rPr>
              <w:t>18</w:t>
            </w:r>
          </w:p>
        </w:tc>
        <w:tc>
          <w:tcPr>
            <w:tcW w:w="951" w:type="pct"/>
          </w:tcPr>
          <w:p w:rsidR="004F32DB" w:rsidRPr="001E7F9E" w:rsidP="004F32DB" w14:paraId="12CCB2D5" w14:textId="4C8E4218">
            <w:pPr>
              <w:jc w:val="center"/>
              <w:rPr>
                <w:bCs/>
                <w:color w:val="000000"/>
                <w:sz w:val="20"/>
                <w:szCs w:val="20"/>
                <w:highlight w:val="yellow"/>
              </w:rPr>
            </w:pPr>
            <w:r w:rsidRPr="001E7F9E">
              <w:rPr>
                <w:bCs/>
                <w:color w:val="000000"/>
                <w:sz w:val="20"/>
                <w:szCs w:val="20"/>
                <w:highlight w:val="yellow"/>
              </w:rPr>
              <w:t>0.</w:t>
            </w:r>
            <w:r w:rsidRPr="001E7F9E" w:rsidR="00DE5004">
              <w:rPr>
                <w:bCs/>
                <w:color w:val="000000"/>
                <w:sz w:val="20"/>
                <w:szCs w:val="20"/>
                <w:highlight w:val="yellow"/>
              </w:rPr>
              <w:t>75</w:t>
            </w:r>
          </w:p>
        </w:tc>
        <w:tc>
          <w:tcPr>
            <w:tcW w:w="1081" w:type="pct"/>
            <w:shd w:val="clear" w:color="auto" w:fill="auto"/>
            <w:tcMar>
              <w:top w:w="0" w:type="dxa"/>
              <w:left w:w="108" w:type="dxa"/>
              <w:bottom w:w="0" w:type="dxa"/>
              <w:right w:w="108" w:type="dxa"/>
            </w:tcMar>
          </w:tcPr>
          <w:p w:rsidR="004F32DB" w:rsidRPr="001E7F9E" w14:paraId="51F56301" w14:textId="088A7614">
            <w:pPr>
              <w:jc w:val="center"/>
              <w:rPr>
                <w:sz w:val="20"/>
                <w:szCs w:val="20"/>
                <w:highlight w:val="yellow"/>
              </w:rPr>
            </w:pPr>
            <w:r w:rsidRPr="001E7F9E">
              <w:rPr>
                <w:sz w:val="20"/>
                <w:szCs w:val="20"/>
                <w:highlight w:val="yellow"/>
              </w:rPr>
              <w:t>1350</w:t>
            </w:r>
          </w:p>
        </w:tc>
      </w:tr>
      <w:tr w14:paraId="6804391D" w14:textId="77777777" w:rsidTr="00E007FA">
        <w:tblPrEx>
          <w:tblW w:w="5390" w:type="pct"/>
          <w:tblCellMar>
            <w:left w:w="0" w:type="dxa"/>
            <w:right w:w="0" w:type="dxa"/>
          </w:tblCellMar>
          <w:tblLook w:val="0000"/>
        </w:tblPrEx>
        <w:trPr>
          <w:trHeight w:val="217"/>
        </w:trPr>
        <w:tc>
          <w:tcPr>
            <w:tcW w:w="1393" w:type="pct"/>
            <w:shd w:val="clear" w:color="auto" w:fill="auto"/>
            <w:tcMar>
              <w:top w:w="0" w:type="dxa"/>
              <w:left w:w="108" w:type="dxa"/>
              <w:bottom w:w="0" w:type="dxa"/>
              <w:right w:w="108" w:type="dxa"/>
            </w:tcMar>
          </w:tcPr>
          <w:p w:rsidR="004F32DB" w:rsidRPr="0061116F" w:rsidP="004F32DB" w14:paraId="5CA5F0F5" w14:textId="77777777">
            <w:pPr>
              <w:rPr>
                <w:b/>
                <w:sz w:val="20"/>
                <w:szCs w:val="20"/>
              </w:rPr>
            </w:pPr>
            <w:r w:rsidRPr="0061116F">
              <w:rPr>
                <w:b/>
                <w:sz w:val="20"/>
                <w:szCs w:val="20"/>
              </w:rPr>
              <w:t>Total</w:t>
            </w:r>
          </w:p>
        </w:tc>
        <w:tc>
          <w:tcPr>
            <w:tcW w:w="941" w:type="pct"/>
            <w:shd w:val="clear" w:color="auto" w:fill="auto"/>
            <w:tcMar>
              <w:top w:w="0" w:type="dxa"/>
              <w:left w:w="108" w:type="dxa"/>
              <w:bottom w:w="0" w:type="dxa"/>
              <w:right w:w="108" w:type="dxa"/>
            </w:tcMar>
          </w:tcPr>
          <w:p w:rsidR="004F32DB" w:rsidRPr="001E7F9E" w:rsidP="004F32DB" w14:paraId="6519BCCB" w14:textId="4062AADA">
            <w:pPr>
              <w:jc w:val="center"/>
              <w:rPr>
                <w:b/>
                <w:sz w:val="20"/>
                <w:szCs w:val="20"/>
                <w:highlight w:val="yellow"/>
              </w:rPr>
            </w:pPr>
            <w:r w:rsidRPr="001E7F9E">
              <w:rPr>
                <w:b/>
                <w:sz w:val="20"/>
                <w:szCs w:val="20"/>
                <w:highlight w:val="yellow"/>
              </w:rPr>
              <w:t>13,</w:t>
            </w:r>
            <w:r w:rsidRPr="001E7F9E" w:rsidR="008E0368">
              <w:rPr>
                <w:b/>
                <w:sz w:val="20"/>
                <w:szCs w:val="20"/>
                <w:highlight w:val="yellow"/>
              </w:rPr>
              <w:t>51</w:t>
            </w:r>
            <w:r w:rsidR="00AB4B2A">
              <w:rPr>
                <w:b/>
                <w:sz w:val="20"/>
                <w:szCs w:val="20"/>
                <w:highlight w:val="yellow"/>
              </w:rPr>
              <w:t>6</w:t>
            </w:r>
          </w:p>
        </w:tc>
        <w:tc>
          <w:tcPr>
            <w:tcW w:w="634" w:type="pct"/>
            <w:shd w:val="clear" w:color="auto" w:fill="auto"/>
            <w:tcMar>
              <w:top w:w="0" w:type="dxa"/>
              <w:left w:w="108" w:type="dxa"/>
              <w:bottom w:w="0" w:type="dxa"/>
              <w:right w:w="108" w:type="dxa"/>
            </w:tcMar>
          </w:tcPr>
          <w:p w:rsidR="004F32DB" w:rsidRPr="001E7F9E" w:rsidP="004F32DB" w14:paraId="276CB720" w14:textId="35C304CD">
            <w:pPr>
              <w:jc w:val="center"/>
              <w:rPr>
                <w:b/>
                <w:sz w:val="20"/>
                <w:szCs w:val="20"/>
                <w:highlight w:val="yellow"/>
              </w:rPr>
            </w:pPr>
          </w:p>
        </w:tc>
        <w:tc>
          <w:tcPr>
            <w:tcW w:w="951" w:type="pct"/>
          </w:tcPr>
          <w:p w:rsidR="004F32DB" w:rsidRPr="001E7F9E" w:rsidP="004F32DB" w14:paraId="10BA1860" w14:textId="1C1E4E95">
            <w:pPr>
              <w:jc w:val="center"/>
              <w:rPr>
                <w:b/>
                <w:bCs/>
                <w:color w:val="000000"/>
                <w:sz w:val="20"/>
                <w:szCs w:val="20"/>
                <w:highlight w:val="yellow"/>
              </w:rPr>
            </w:pPr>
          </w:p>
        </w:tc>
        <w:tc>
          <w:tcPr>
            <w:tcW w:w="1081" w:type="pct"/>
            <w:shd w:val="clear" w:color="auto" w:fill="auto"/>
            <w:tcMar>
              <w:top w:w="0" w:type="dxa"/>
              <w:left w:w="108" w:type="dxa"/>
              <w:bottom w:w="0" w:type="dxa"/>
              <w:right w:w="108" w:type="dxa"/>
            </w:tcMar>
          </w:tcPr>
          <w:p w:rsidR="004F32DB" w:rsidRPr="001E7F9E" w14:paraId="4E45D4DE" w14:textId="6B19B2F2">
            <w:pPr>
              <w:jc w:val="center"/>
              <w:rPr>
                <w:b/>
                <w:sz w:val="20"/>
                <w:szCs w:val="20"/>
                <w:highlight w:val="yellow"/>
              </w:rPr>
            </w:pPr>
            <w:r w:rsidRPr="001E7F9E">
              <w:rPr>
                <w:b/>
                <w:sz w:val="20"/>
                <w:szCs w:val="20"/>
                <w:highlight w:val="yellow"/>
              </w:rPr>
              <w:t>1</w:t>
            </w:r>
            <w:r w:rsidRPr="001E7F9E" w:rsidR="00EE3FC9">
              <w:rPr>
                <w:b/>
                <w:sz w:val="20"/>
                <w:szCs w:val="20"/>
                <w:highlight w:val="yellow"/>
              </w:rPr>
              <w:t>2,0</w:t>
            </w:r>
            <w:r w:rsidR="005B48BD">
              <w:rPr>
                <w:b/>
                <w:sz w:val="20"/>
                <w:szCs w:val="20"/>
                <w:highlight w:val="yellow"/>
              </w:rPr>
              <w:t>52</w:t>
            </w:r>
          </w:p>
        </w:tc>
      </w:tr>
    </w:tbl>
    <w:p w:rsidR="00654F33" w:rsidRPr="00345D93" w:rsidP="00654F33" w14:paraId="05100008" w14:textId="0249A670">
      <w:pPr>
        <w:rPr>
          <w:sz w:val="20"/>
          <w:szCs w:val="20"/>
        </w:rPr>
      </w:pPr>
      <w:r w:rsidRPr="00345D93">
        <w:rPr>
          <w:sz w:val="20"/>
          <w:szCs w:val="20"/>
        </w:rPr>
        <w:t xml:space="preserve">+ The number of respondents per data collection effort is calculated by multiplying the number of </w:t>
      </w:r>
      <w:r w:rsidRPr="00345D93" w:rsidR="00306C56">
        <w:rPr>
          <w:sz w:val="20"/>
          <w:szCs w:val="20"/>
        </w:rPr>
        <w:t>r</w:t>
      </w:r>
      <w:r w:rsidRPr="00345D93">
        <w:rPr>
          <w:sz w:val="20"/>
          <w:szCs w:val="20"/>
        </w:rPr>
        <w:t>espondents per unit by the total number of units. The result is divided by three to capture an annualized number.</w:t>
      </w:r>
    </w:p>
    <w:p w:rsidR="001909CD" w:rsidRPr="00345D93" w:rsidP="00654F33" w14:paraId="323D6801" w14:textId="77777777"/>
    <w:p w:rsidR="00654F33" w:rsidRPr="00345D93" w:rsidP="00654F33" w14:paraId="51DDD4FF" w14:textId="56409462">
      <w:r w:rsidRPr="00345D93">
        <w:t xml:space="preserve">Exhibit </w:t>
      </w:r>
      <w:r w:rsidRPr="00345D93" w:rsidR="001C1E5C">
        <w:t>A.</w:t>
      </w:r>
      <w:r w:rsidRPr="00345D93" w:rsidR="006E54BE">
        <w:t xml:space="preserve">3 </w:t>
      </w:r>
      <w:r w:rsidRPr="00345D93">
        <w:t xml:space="preserve">shows the estimated annualized cost burden based on the respondents’ time to </w:t>
      </w:r>
      <w:r w:rsidRPr="00345D93" w:rsidR="0082220D">
        <w:t xml:space="preserve">complete the </w:t>
      </w:r>
      <w:r w:rsidRPr="00345D93" w:rsidR="00591ED5">
        <w:t>data collection activities</w:t>
      </w:r>
      <w:r w:rsidRPr="00345D93">
        <w:t xml:space="preserve">. The total </w:t>
      </w:r>
      <w:r w:rsidRPr="00345D93" w:rsidR="00591ED5">
        <w:t xml:space="preserve">annualized </w:t>
      </w:r>
      <w:r w:rsidRPr="00345D93">
        <w:t xml:space="preserve">cost burden is estimated to be </w:t>
      </w:r>
      <w:r w:rsidRPr="001E7F9E" w:rsidR="002C3CCA">
        <w:rPr>
          <w:highlight w:val="yellow"/>
        </w:rPr>
        <w:t>$</w:t>
      </w:r>
      <w:r w:rsidRPr="001E7F9E" w:rsidR="00EE3FC9">
        <w:rPr>
          <w:bCs/>
          <w:highlight w:val="yellow"/>
        </w:rPr>
        <w:t>554,</w:t>
      </w:r>
      <w:r w:rsidRPr="001E7F9E" w:rsidR="0075737B">
        <w:rPr>
          <w:bCs/>
          <w:highlight w:val="yellow"/>
        </w:rPr>
        <w:t>535.77</w:t>
      </w:r>
    </w:p>
    <w:p w:rsidR="00EC3197" w:rsidRPr="00345D93" w:rsidP="00654F33" w14:paraId="46412D47" w14:textId="77777777"/>
    <w:p w:rsidR="00B51378" w:rsidRPr="00345D93" w:rsidP="00B51378" w14:paraId="4D72D32F" w14:textId="7ADFC254">
      <w:pPr>
        <w:rPr>
          <w:b/>
        </w:rPr>
      </w:pPr>
      <w:r w:rsidRPr="00345D93">
        <w:rPr>
          <w:b/>
          <w:bCs/>
          <w:color w:val="000000"/>
        </w:rPr>
        <w:t xml:space="preserve">Exhibit </w:t>
      </w:r>
      <w:r w:rsidRPr="00345D93" w:rsidR="001C1E5C">
        <w:rPr>
          <w:b/>
          <w:bCs/>
          <w:color w:val="000000"/>
        </w:rPr>
        <w:t>A.</w:t>
      </w:r>
      <w:r w:rsidRPr="00345D93" w:rsidR="006E54BE">
        <w:rPr>
          <w:b/>
          <w:bCs/>
          <w:color w:val="000000"/>
        </w:rPr>
        <w:t xml:space="preserve">3 </w:t>
      </w:r>
      <w:r w:rsidRPr="00345D93">
        <w:rPr>
          <w:b/>
        </w:rPr>
        <w:t>Estimated annualized cost burden</w:t>
      </w:r>
    </w:p>
    <w:tbl>
      <w:tblPr>
        <w:tblW w:w="906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97"/>
        <w:gridCol w:w="1530"/>
        <w:gridCol w:w="1620"/>
        <w:gridCol w:w="1620"/>
        <w:gridCol w:w="1800"/>
      </w:tblGrid>
      <w:tr w14:paraId="0552F3A8" w14:textId="77777777" w:rsidTr="00AB6736">
        <w:tblPrEx>
          <w:tblW w:w="906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c>
          <w:tcPr>
            <w:tcW w:w="2497" w:type="dxa"/>
            <w:shd w:val="clear" w:color="auto" w:fill="auto"/>
            <w:tcMar>
              <w:top w:w="0" w:type="dxa"/>
              <w:left w:w="108" w:type="dxa"/>
              <w:bottom w:w="0" w:type="dxa"/>
              <w:right w:w="108" w:type="dxa"/>
            </w:tcMar>
          </w:tcPr>
          <w:p w:rsidR="00C70AC2" w:rsidRPr="00345D93" w:rsidP="0044220E" w14:paraId="4FC451A2" w14:textId="77777777">
            <w:pPr>
              <w:rPr>
                <w:sz w:val="20"/>
                <w:szCs w:val="20"/>
              </w:rPr>
            </w:pPr>
            <w:r w:rsidRPr="00345D93">
              <w:rPr>
                <w:color w:val="000000"/>
                <w:sz w:val="20"/>
                <w:szCs w:val="20"/>
              </w:rPr>
              <w:t>Form Name</w:t>
            </w:r>
          </w:p>
        </w:tc>
        <w:tc>
          <w:tcPr>
            <w:tcW w:w="1530" w:type="dxa"/>
            <w:shd w:val="clear" w:color="auto" w:fill="auto"/>
            <w:tcMar>
              <w:top w:w="0" w:type="dxa"/>
              <w:left w:w="108" w:type="dxa"/>
              <w:bottom w:w="0" w:type="dxa"/>
              <w:right w:w="108" w:type="dxa"/>
            </w:tcMar>
          </w:tcPr>
          <w:p w:rsidR="00C70AC2" w:rsidRPr="00345D93" w:rsidP="0044220E" w14:paraId="397CA285" w14:textId="77777777">
            <w:pPr>
              <w:jc w:val="center"/>
              <w:rPr>
                <w:sz w:val="20"/>
                <w:szCs w:val="20"/>
              </w:rPr>
            </w:pPr>
            <w:r w:rsidRPr="00345D93">
              <w:rPr>
                <w:color w:val="000000"/>
                <w:sz w:val="20"/>
                <w:szCs w:val="20"/>
              </w:rPr>
              <w:t>Number of Respondents</w:t>
            </w:r>
          </w:p>
        </w:tc>
        <w:tc>
          <w:tcPr>
            <w:tcW w:w="1620" w:type="dxa"/>
            <w:shd w:val="clear" w:color="auto" w:fill="auto"/>
            <w:tcMar>
              <w:top w:w="0" w:type="dxa"/>
              <w:left w:w="108" w:type="dxa"/>
              <w:bottom w:w="0" w:type="dxa"/>
              <w:right w:w="108" w:type="dxa"/>
            </w:tcMar>
          </w:tcPr>
          <w:p w:rsidR="00C70AC2" w:rsidRPr="00345D93" w:rsidP="0044220E" w14:paraId="7D73AD04" w14:textId="7B1DC1B7">
            <w:pPr>
              <w:jc w:val="center"/>
              <w:rPr>
                <w:sz w:val="20"/>
                <w:szCs w:val="20"/>
              </w:rPr>
            </w:pPr>
            <w:r w:rsidRPr="00345D93">
              <w:rPr>
                <w:sz w:val="20"/>
                <w:szCs w:val="20"/>
              </w:rPr>
              <w:t>Total Burden Hours</w:t>
            </w:r>
          </w:p>
        </w:tc>
        <w:tc>
          <w:tcPr>
            <w:tcW w:w="1620" w:type="dxa"/>
          </w:tcPr>
          <w:p w:rsidR="00C70AC2" w:rsidRPr="00345D93" w:rsidP="0044220E" w14:paraId="59C17773" w14:textId="3DD6BEFD">
            <w:pPr>
              <w:jc w:val="center"/>
              <w:rPr>
                <w:sz w:val="20"/>
                <w:szCs w:val="20"/>
              </w:rPr>
            </w:pPr>
            <w:r w:rsidRPr="00345D93">
              <w:rPr>
                <w:color w:val="000000"/>
                <w:sz w:val="20"/>
                <w:szCs w:val="20"/>
              </w:rPr>
              <w:t>Average Hourly Wage Rate</w:t>
            </w:r>
          </w:p>
        </w:tc>
        <w:tc>
          <w:tcPr>
            <w:tcW w:w="1800" w:type="dxa"/>
            <w:shd w:val="clear" w:color="auto" w:fill="auto"/>
            <w:tcMar>
              <w:top w:w="0" w:type="dxa"/>
              <w:left w:w="108" w:type="dxa"/>
              <w:bottom w:w="0" w:type="dxa"/>
              <w:right w:w="108" w:type="dxa"/>
            </w:tcMar>
          </w:tcPr>
          <w:p w:rsidR="00C70AC2" w:rsidRPr="00345D93" w:rsidP="0044220E" w14:paraId="6E106080" w14:textId="66C56A9D">
            <w:pPr>
              <w:jc w:val="center"/>
              <w:rPr>
                <w:sz w:val="20"/>
                <w:szCs w:val="20"/>
              </w:rPr>
            </w:pPr>
            <w:r w:rsidRPr="0097646E">
              <w:rPr>
                <w:b/>
                <w:bCs/>
              </w:rPr>
              <w:t>Respondent Costs</w:t>
            </w:r>
          </w:p>
        </w:tc>
      </w:tr>
      <w:tr w14:paraId="6251F4AD" w14:textId="77777777" w:rsidTr="00AB6736">
        <w:tblPrEx>
          <w:tblW w:w="9067" w:type="dxa"/>
          <w:tblInd w:w="-162" w:type="dxa"/>
          <w:tblLayout w:type="fixed"/>
          <w:tblCellMar>
            <w:left w:w="0" w:type="dxa"/>
            <w:right w:w="0" w:type="dxa"/>
          </w:tblCellMar>
          <w:tblLook w:val="0000"/>
        </w:tblPrEx>
        <w:tc>
          <w:tcPr>
            <w:tcW w:w="9067" w:type="dxa"/>
            <w:gridSpan w:val="5"/>
            <w:shd w:val="clear" w:color="auto" w:fill="auto"/>
            <w:tcMar>
              <w:top w:w="0" w:type="dxa"/>
              <w:left w:w="108" w:type="dxa"/>
              <w:bottom w:w="0" w:type="dxa"/>
              <w:right w:w="108" w:type="dxa"/>
            </w:tcMar>
          </w:tcPr>
          <w:p w:rsidR="003374C8" w:rsidRPr="00345D93" w:rsidP="003374C8" w14:paraId="3FC777F6" w14:textId="77777777">
            <w:pPr>
              <w:rPr>
                <w:b/>
                <w:sz w:val="20"/>
                <w:szCs w:val="20"/>
              </w:rPr>
            </w:pPr>
            <w:r w:rsidRPr="00345D93">
              <w:rPr>
                <w:b/>
                <w:bCs/>
                <w:color w:val="000000"/>
                <w:sz w:val="20"/>
                <w:szCs w:val="20"/>
              </w:rPr>
              <w:t xml:space="preserve">Survey of Patient Safety Culture </w:t>
            </w:r>
          </w:p>
        </w:tc>
      </w:tr>
      <w:tr w14:paraId="097AB029" w14:textId="77777777" w:rsidTr="00AB6736">
        <w:tblPrEx>
          <w:tblW w:w="9067" w:type="dxa"/>
          <w:tblInd w:w="-162" w:type="dxa"/>
          <w:tblLayout w:type="fixed"/>
          <w:tblCellMar>
            <w:left w:w="0" w:type="dxa"/>
            <w:right w:w="0" w:type="dxa"/>
          </w:tblCellMar>
          <w:tblLook w:val="0000"/>
        </w:tblPrEx>
        <w:tc>
          <w:tcPr>
            <w:tcW w:w="2497" w:type="dxa"/>
            <w:shd w:val="clear" w:color="auto" w:fill="auto"/>
            <w:tcMar>
              <w:top w:w="0" w:type="dxa"/>
              <w:left w:w="108" w:type="dxa"/>
              <w:bottom w:w="0" w:type="dxa"/>
              <w:right w:w="108" w:type="dxa"/>
            </w:tcMar>
          </w:tcPr>
          <w:p w:rsidR="00FD7C1A" w:rsidRPr="001E7F9E" w:rsidP="00FD7C1A" w14:paraId="55796672" w14:textId="515954D5">
            <w:pPr>
              <w:pStyle w:val="ColorfulList-Accent11"/>
              <w:ind w:left="229"/>
              <w:rPr>
                <w:bCs/>
                <w:color w:val="000000"/>
                <w:sz w:val="20"/>
                <w:szCs w:val="20"/>
                <w:highlight w:val="yellow"/>
              </w:rPr>
            </w:pPr>
            <w:bookmarkStart w:id="67" w:name="OLE_LINK10"/>
            <w:r w:rsidRPr="001E7F9E">
              <w:rPr>
                <w:bCs/>
                <w:color w:val="000000"/>
                <w:sz w:val="20"/>
                <w:szCs w:val="20"/>
                <w:highlight w:val="yellow"/>
              </w:rPr>
              <w:t xml:space="preserve">HSOPS </w:t>
            </w:r>
            <w:r w:rsidRPr="001E7F9E" w:rsidR="0083758D">
              <w:rPr>
                <w:bCs/>
                <w:color w:val="000000"/>
                <w:sz w:val="20"/>
                <w:szCs w:val="20"/>
                <w:highlight w:val="yellow"/>
              </w:rPr>
              <w:t>(Attachment</w:t>
            </w:r>
            <w:r w:rsidRPr="001E7F9E" w:rsidR="004C3666">
              <w:rPr>
                <w:bCs/>
                <w:color w:val="000000"/>
                <w:sz w:val="20"/>
                <w:szCs w:val="20"/>
                <w:highlight w:val="yellow"/>
              </w:rPr>
              <w:t xml:space="preserve"> </w:t>
            </w:r>
            <w:r w:rsidRPr="001E7F9E" w:rsidR="006D46BE">
              <w:rPr>
                <w:bCs/>
                <w:color w:val="000000"/>
                <w:sz w:val="20"/>
                <w:szCs w:val="20"/>
                <w:highlight w:val="yellow"/>
              </w:rPr>
              <w:t>H</w:t>
            </w:r>
            <w:r w:rsidRPr="001E7F9E" w:rsidR="004C3666">
              <w:rPr>
                <w:bCs/>
                <w:color w:val="000000"/>
                <w:sz w:val="20"/>
                <w:szCs w:val="20"/>
                <w:highlight w:val="yellow"/>
              </w:rPr>
              <w:t>)</w:t>
            </w:r>
          </w:p>
          <w:p w:rsidR="00FD7C1A" w:rsidRPr="001E7F9E" w:rsidP="00FD7C1A" w14:paraId="7D9B7FE0" w14:textId="0B07166A">
            <w:pPr>
              <w:pStyle w:val="ColorfulList-Accent11"/>
              <w:ind w:left="229"/>
              <w:rPr>
                <w:bCs/>
                <w:i/>
                <w:color w:val="000000"/>
                <w:sz w:val="20"/>
                <w:szCs w:val="20"/>
                <w:highlight w:val="yellow"/>
              </w:rPr>
            </w:pPr>
            <w:r w:rsidRPr="001E7F9E">
              <w:rPr>
                <w:bCs/>
                <w:i/>
                <w:color w:val="000000"/>
                <w:sz w:val="20"/>
                <w:szCs w:val="20"/>
                <w:highlight w:val="yellow"/>
              </w:rPr>
              <w:t>(25 respondents per unit, pre- and post-</w:t>
            </w:r>
            <w:r w:rsidRPr="001E7F9E" w:rsidR="00965F68">
              <w:rPr>
                <w:bCs/>
                <w:i/>
                <w:color w:val="000000"/>
                <w:sz w:val="20"/>
                <w:szCs w:val="20"/>
                <w:highlight w:val="yellow"/>
              </w:rPr>
              <w:t>implementation</w:t>
            </w:r>
            <w:r w:rsidRPr="001E7F9E">
              <w:rPr>
                <w:bCs/>
                <w:i/>
                <w:color w:val="000000"/>
                <w:sz w:val="20"/>
                <w:szCs w:val="20"/>
                <w:highlight w:val="yellow"/>
              </w:rPr>
              <w:t xml:space="preserve"> for ICU non-ICU</w:t>
            </w:r>
            <w:r w:rsidRPr="001E7F9E" w:rsidR="00153AC2">
              <w:rPr>
                <w:bCs/>
                <w:i/>
                <w:color w:val="000000"/>
                <w:sz w:val="20"/>
                <w:szCs w:val="20"/>
                <w:highlight w:val="yellow"/>
              </w:rPr>
              <w:t xml:space="preserve"> </w:t>
            </w:r>
            <w:r w:rsidRPr="001E7F9E">
              <w:rPr>
                <w:bCs/>
                <w:i/>
                <w:color w:val="000000"/>
                <w:sz w:val="20"/>
                <w:szCs w:val="20"/>
                <w:highlight w:val="yellow"/>
              </w:rPr>
              <w:t>cohort</w:t>
            </w:r>
            <w:bookmarkEnd w:id="67"/>
            <w:r w:rsidRPr="001E7F9E" w:rsidR="00153AC2">
              <w:rPr>
                <w:bCs/>
                <w:i/>
                <w:color w:val="000000"/>
                <w:sz w:val="20"/>
                <w:szCs w:val="20"/>
                <w:highlight w:val="yellow"/>
              </w:rPr>
              <w:t>)</w:t>
            </w:r>
          </w:p>
        </w:tc>
        <w:tc>
          <w:tcPr>
            <w:tcW w:w="1530" w:type="dxa"/>
            <w:shd w:val="clear" w:color="auto" w:fill="auto"/>
            <w:tcMar>
              <w:top w:w="0" w:type="dxa"/>
              <w:left w:w="108" w:type="dxa"/>
              <w:bottom w:w="0" w:type="dxa"/>
              <w:right w:w="108" w:type="dxa"/>
            </w:tcMar>
          </w:tcPr>
          <w:p w:rsidR="00FD7C1A" w:rsidRPr="001E7F9E" w:rsidP="00FD7C1A" w14:paraId="5185B57A" w14:textId="5AAAEB4B">
            <w:pPr>
              <w:jc w:val="center"/>
              <w:rPr>
                <w:sz w:val="20"/>
                <w:szCs w:val="20"/>
                <w:highlight w:val="yellow"/>
              </w:rPr>
            </w:pPr>
            <w:r w:rsidRPr="001E7F9E">
              <w:rPr>
                <w:sz w:val="20"/>
                <w:szCs w:val="20"/>
                <w:highlight w:val="yellow"/>
              </w:rPr>
              <w:t>6667</w:t>
            </w:r>
          </w:p>
        </w:tc>
        <w:tc>
          <w:tcPr>
            <w:tcW w:w="1620" w:type="dxa"/>
            <w:shd w:val="clear" w:color="auto" w:fill="auto"/>
            <w:tcMar>
              <w:top w:w="0" w:type="dxa"/>
              <w:left w:w="108" w:type="dxa"/>
              <w:bottom w:w="0" w:type="dxa"/>
              <w:right w:w="108" w:type="dxa"/>
            </w:tcMar>
          </w:tcPr>
          <w:p w:rsidR="00FD7C1A" w:rsidRPr="001E7F9E" w:rsidP="00FD7C1A" w14:paraId="118FE1F7" w14:textId="377FE328">
            <w:pPr>
              <w:jc w:val="center"/>
              <w:rPr>
                <w:sz w:val="20"/>
                <w:szCs w:val="20"/>
                <w:highlight w:val="yellow"/>
              </w:rPr>
            </w:pPr>
            <w:r w:rsidRPr="001E7F9E">
              <w:rPr>
                <w:sz w:val="20"/>
                <w:szCs w:val="20"/>
                <w:highlight w:val="yellow"/>
              </w:rPr>
              <w:t>3334</w:t>
            </w:r>
          </w:p>
        </w:tc>
        <w:tc>
          <w:tcPr>
            <w:tcW w:w="1620" w:type="dxa"/>
          </w:tcPr>
          <w:p w:rsidR="00FD7C1A" w:rsidRPr="001E7F9E" w:rsidP="00FD7C1A" w14:paraId="57DC6FA2" w14:textId="14F6B4C8">
            <w:pPr>
              <w:jc w:val="center"/>
              <w:rPr>
                <w:sz w:val="20"/>
                <w:szCs w:val="20"/>
                <w:highlight w:val="yellow"/>
              </w:rPr>
            </w:pPr>
            <w:r w:rsidRPr="001E7F9E">
              <w:rPr>
                <w:sz w:val="20"/>
                <w:szCs w:val="20"/>
                <w:highlight w:val="yellow"/>
              </w:rPr>
              <w:t>$51.53*</w:t>
            </w:r>
          </w:p>
        </w:tc>
        <w:tc>
          <w:tcPr>
            <w:tcW w:w="1800" w:type="dxa"/>
            <w:shd w:val="clear" w:color="auto" w:fill="auto"/>
            <w:tcMar>
              <w:top w:w="0" w:type="dxa"/>
              <w:left w:w="108" w:type="dxa"/>
              <w:bottom w:w="0" w:type="dxa"/>
              <w:right w:w="108" w:type="dxa"/>
            </w:tcMar>
          </w:tcPr>
          <w:p w:rsidR="00FD7C1A" w:rsidRPr="001E7F9E" w14:paraId="3EB38ED1" w14:textId="1AC9B3D2">
            <w:pPr>
              <w:jc w:val="center"/>
              <w:rPr>
                <w:sz w:val="20"/>
                <w:szCs w:val="20"/>
                <w:highlight w:val="yellow"/>
              </w:rPr>
            </w:pPr>
            <w:r w:rsidRPr="001E7F9E">
              <w:rPr>
                <w:sz w:val="20"/>
                <w:szCs w:val="20"/>
                <w:highlight w:val="yellow"/>
              </w:rPr>
              <w:t>$1</w:t>
            </w:r>
            <w:r w:rsidRPr="001E7F9E" w:rsidR="00363C61">
              <w:rPr>
                <w:sz w:val="20"/>
                <w:szCs w:val="20"/>
                <w:highlight w:val="yellow"/>
              </w:rPr>
              <w:t>71,775.26</w:t>
            </w:r>
          </w:p>
        </w:tc>
      </w:tr>
      <w:tr w14:paraId="119AD654" w14:textId="77777777" w:rsidTr="00AB6736">
        <w:tblPrEx>
          <w:tblW w:w="9067" w:type="dxa"/>
          <w:tblInd w:w="-162" w:type="dxa"/>
          <w:tblLayout w:type="fixed"/>
          <w:tblCellMar>
            <w:left w:w="0" w:type="dxa"/>
            <w:right w:w="0" w:type="dxa"/>
          </w:tblCellMar>
          <w:tblLook w:val="0000"/>
        </w:tblPrEx>
        <w:tc>
          <w:tcPr>
            <w:tcW w:w="2497" w:type="dxa"/>
            <w:shd w:val="clear" w:color="auto" w:fill="auto"/>
            <w:tcMar>
              <w:top w:w="0" w:type="dxa"/>
              <w:left w:w="108" w:type="dxa"/>
              <w:bottom w:w="0" w:type="dxa"/>
              <w:right w:w="108" w:type="dxa"/>
            </w:tcMar>
          </w:tcPr>
          <w:p w:rsidR="00153AC2" w:rsidRPr="001E7F9E" w:rsidP="00153AC2" w14:paraId="29D42CED" w14:textId="4F16CA7F">
            <w:pPr>
              <w:pStyle w:val="ColorfulList-Accent11"/>
              <w:ind w:left="229"/>
              <w:rPr>
                <w:bCs/>
                <w:color w:val="000000"/>
                <w:sz w:val="20"/>
                <w:szCs w:val="20"/>
                <w:highlight w:val="yellow"/>
              </w:rPr>
            </w:pPr>
            <w:r w:rsidRPr="001E7F9E">
              <w:rPr>
                <w:bCs/>
                <w:color w:val="000000"/>
                <w:sz w:val="20"/>
                <w:szCs w:val="20"/>
                <w:highlight w:val="yellow"/>
              </w:rPr>
              <w:t>HSOPS (Attachment Q)</w:t>
            </w:r>
          </w:p>
          <w:p w:rsidR="00153AC2" w:rsidRPr="001E7F9E" w:rsidP="00153AC2" w14:paraId="44C306EE" w14:textId="01CEE168">
            <w:pPr>
              <w:pStyle w:val="ColorfulList-Accent11"/>
              <w:ind w:left="229"/>
              <w:rPr>
                <w:bCs/>
                <w:color w:val="000000"/>
                <w:sz w:val="20"/>
                <w:szCs w:val="20"/>
                <w:highlight w:val="yellow"/>
              </w:rPr>
            </w:pPr>
            <w:r w:rsidRPr="001E7F9E">
              <w:rPr>
                <w:bCs/>
                <w:i/>
                <w:color w:val="000000"/>
                <w:sz w:val="20"/>
                <w:szCs w:val="20"/>
                <w:highlight w:val="yellow"/>
              </w:rPr>
              <w:t>(25 respondents per unit, pre- and post-implementation surgical cohorts)</w:t>
            </w:r>
          </w:p>
        </w:tc>
        <w:tc>
          <w:tcPr>
            <w:tcW w:w="1530" w:type="dxa"/>
            <w:shd w:val="clear" w:color="auto" w:fill="auto"/>
            <w:tcMar>
              <w:top w:w="0" w:type="dxa"/>
              <w:left w:w="108" w:type="dxa"/>
              <w:bottom w:w="0" w:type="dxa"/>
              <w:right w:w="108" w:type="dxa"/>
            </w:tcMar>
          </w:tcPr>
          <w:p w:rsidR="00153AC2" w:rsidRPr="001E7F9E" w:rsidP="00FD7C1A" w14:paraId="08EDAF02" w14:textId="7BB99CB7">
            <w:pPr>
              <w:jc w:val="center"/>
              <w:rPr>
                <w:sz w:val="20"/>
                <w:szCs w:val="20"/>
                <w:highlight w:val="yellow"/>
              </w:rPr>
            </w:pPr>
            <w:r w:rsidRPr="001E7F9E">
              <w:rPr>
                <w:sz w:val="20"/>
                <w:szCs w:val="20"/>
                <w:highlight w:val="yellow"/>
              </w:rPr>
              <w:t>2500</w:t>
            </w:r>
          </w:p>
        </w:tc>
        <w:tc>
          <w:tcPr>
            <w:tcW w:w="1620" w:type="dxa"/>
            <w:shd w:val="clear" w:color="auto" w:fill="auto"/>
            <w:tcMar>
              <w:top w:w="0" w:type="dxa"/>
              <w:left w:w="108" w:type="dxa"/>
              <w:bottom w:w="0" w:type="dxa"/>
              <w:right w:w="108" w:type="dxa"/>
            </w:tcMar>
          </w:tcPr>
          <w:p w:rsidR="00153AC2" w:rsidRPr="001E7F9E" w:rsidP="00FD7C1A" w14:paraId="215F8B56" w14:textId="511FBF15">
            <w:pPr>
              <w:jc w:val="center"/>
              <w:rPr>
                <w:sz w:val="20"/>
                <w:szCs w:val="20"/>
                <w:highlight w:val="yellow"/>
              </w:rPr>
            </w:pPr>
            <w:r w:rsidRPr="001E7F9E">
              <w:rPr>
                <w:sz w:val="20"/>
                <w:szCs w:val="20"/>
                <w:highlight w:val="yellow"/>
              </w:rPr>
              <w:t>1</w:t>
            </w:r>
            <w:r w:rsidRPr="001E7F9E" w:rsidR="00363C61">
              <w:rPr>
                <w:sz w:val="20"/>
                <w:szCs w:val="20"/>
                <w:highlight w:val="yellow"/>
              </w:rPr>
              <w:t>050</w:t>
            </w:r>
          </w:p>
        </w:tc>
        <w:tc>
          <w:tcPr>
            <w:tcW w:w="1620" w:type="dxa"/>
          </w:tcPr>
          <w:p w:rsidR="00153AC2" w:rsidRPr="001E7F9E" w:rsidP="00FD7C1A" w14:paraId="69713124" w14:textId="7F61C589">
            <w:pPr>
              <w:jc w:val="center"/>
              <w:rPr>
                <w:sz w:val="20"/>
                <w:szCs w:val="20"/>
                <w:highlight w:val="yellow"/>
              </w:rPr>
            </w:pPr>
            <w:r w:rsidRPr="001E7F9E">
              <w:rPr>
                <w:sz w:val="20"/>
                <w:szCs w:val="20"/>
                <w:highlight w:val="yellow"/>
              </w:rPr>
              <w:t>$51.53*</w:t>
            </w:r>
          </w:p>
        </w:tc>
        <w:tc>
          <w:tcPr>
            <w:tcW w:w="1800" w:type="dxa"/>
            <w:shd w:val="clear" w:color="auto" w:fill="auto"/>
            <w:tcMar>
              <w:top w:w="0" w:type="dxa"/>
              <w:left w:w="108" w:type="dxa"/>
              <w:bottom w:w="0" w:type="dxa"/>
              <w:right w:w="108" w:type="dxa"/>
            </w:tcMar>
          </w:tcPr>
          <w:p w:rsidR="00153AC2" w:rsidRPr="001E7F9E" w14:paraId="3677162F" w14:textId="437CB879">
            <w:pPr>
              <w:jc w:val="center"/>
              <w:rPr>
                <w:sz w:val="20"/>
                <w:szCs w:val="20"/>
                <w:highlight w:val="yellow"/>
              </w:rPr>
            </w:pPr>
            <w:r w:rsidRPr="001E7F9E">
              <w:rPr>
                <w:sz w:val="20"/>
                <w:szCs w:val="20"/>
                <w:highlight w:val="yellow"/>
              </w:rPr>
              <w:t>$54,106.50</w:t>
            </w:r>
          </w:p>
        </w:tc>
      </w:tr>
      <w:tr w14:paraId="6169D18E" w14:textId="77777777" w:rsidTr="00AB6736">
        <w:tblPrEx>
          <w:tblW w:w="9067" w:type="dxa"/>
          <w:tblInd w:w="-162" w:type="dxa"/>
          <w:tblLayout w:type="fixed"/>
          <w:tblCellMar>
            <w:left w:w="0" w:type="dxa"/>
            <w:right w:w="0" w:type="dxa"/>
          </w:tblCellMar>
          <w:tblLook w:val="0000"/>
        </w:tblPrEx>
        <w:trPr>
          <w:trHeight w:val="260"/>
        </w:trPr>
        <w:tc>
          <w:tcPr>
            <w:tcW w:w="2497" w:type="dxa"/>
            <w:shd w:val="clear" w:color="auto" w:fill="auto"/>
            <w:tcMar>
              <w:top w:w="0" w:type="dxa"/>
              <w:left w:w="108" w:type="dxa"/>
              <w:bottom w:w="0" w:type="dxa"/>
              <w:right w:w="108" w:type="dxa"/>
            </w:tcMar>
          </w:tcPr>
          <w:p w:rsidR="00FD7C1A" w:rsidRPr="00345D93" w:rsidP="00FD7C1A" w14:paraId="1B68DF83" w14:textId="225E03D2">
            <w:pPr>
              <w:pStyle w:val="ColorfulList-Accent11"/>
              <w:ind w:left="229"/>
              <w:rPr>
                <w:bCs/>
                <w:color w:val="000000"/>
                <w:sz w:val="20"/>
                <w:szCs w:val="20"/>
              </w:rPr>
            </w:pPr>
            <w:r w:rsidRPr="00345D93">
              <w:rPr>
                <w:bCs/>
                <w:color w:val="000000"/>
                <w:sz w:val="20"/>
                <w:szCs w:val="20"/>
              </w:rPr>
              <w:t xml:space="preserve">NHSOPS </w:t>
            </w:r>
            <w:r w:rsidRPr="00345D93" w:rsidR="0083758D">
              <w:rPr>
                <w:bCs/>
                <w:color w:val="000000"/>
                <w:sz w:val="20"/>
                <w:szCs w:val="20"/>
              </w:rPr>
              <w:t xml:space="preserve">(Attachment </w:t>
            </w:r>
            <w:r w:rsidRPr="00345D93" w:rsidR="006D46BE">
              <w:rPr>
                <w:bCs/>
                <w:color w:val="000000"/>
                <w:sz w:val="20"/>
                <w:szCs w:val="20"/>
              </w:rPr>
              <w:t>I</w:t>
            </w:r>
            <w:r w:rsidRPr="00345D93" w:rsidR="0083758D">
              <w:rPr>
                <w:bCs/>
                <w:color w:val="000000"/>
                <w:sz w:val="20"/>
                <w:szCs w:val="20"/>
              </w:rPr>
              <w:t>)</w:t>
            </w:r>
          </w:p>
          <w:p w:rsidR="00FD7C1A" w:rsidRPr="00345D93" w:rsidP="00FD7C1A" w14:paraId="12DD2F76" w14:textId="7CEDD46D">
            <w:pPr>
              <w:pStyle w:val="ColorfulList-Accent11"/>
              <w:ind w:left="229"/>
              <w:rPr>
                <w:bCs/>
                <w:color w:val="000000"/>
                <w:sz w:val="20"/>
                <w:szCs w:val="20"/>
              </w:rPr>
            </w:pPr>
            <w:r w:rsidRPr="00345D93">
              <w:rPr>
                <w:bCs/>
                <w:i/>
                <w:color w:val="000000"/>
                <w:sz w:val="20"/>
                <w:szCs w:val="20"/>
              </w:rPr>
              <w:t>(25 respondents per facility, one response per pre- and post-</w:t>
            </w:r>
            <w:r w:rsidRPr="00345D93" w:rsidR="00965F68">
              <w:rPr>
                <w:bCs/>
                <w:i/>
                <w:color w:val="000000"/>
                <w:sz w:val="20"/>
                <w:szCs w:val="20"/>
              </w:rPr>
              <w:t>implementation</w:t>
            </w:r>
            <w:r w:rsidRPr="00345D93">
              <w:rPr>
                <w:bCs/>
                <w:i/>
                <w:color w:val="000000"/>
                <w:sz w:val="20"/>
                <w:szCs w:val="20"/>
              </w:rPr>
              <w:t xml:space="preserve"> for LTC cohort, 300 facilities total)</w:t>
            </w:r>
          </w:p>
        </w:tc>
        <w:tc>
          <w:tcPr>
            <w:tcW w:w="1530" w:type="dxa"/>
            <w:shd w:val="clear" w:color="auto" w:fill="auto"/>
            <w:tcMar>
              <w:top w:w="0" w:type="dxa"/>
              <w:left w:w="108" w:type="dxa"/>
              <w:bottom w:w="0" w:type="dxa"/>
              <w:right w:w="108" w:type="dxa"/>
            </w:tcMar>
          </w:tcPr>
          <w:p w:rsidR="00FD7C1A" w:rsidRPr="00345D93" w:rsidP="00FD7C1A" w14:paraId="4A7284C7" w14:textId="77777777">
            <w:pPr>
              <w:jc w:val="center"/>
              <w:rPr>
                <w:sz w:val="20"/>
                <w:szCs w:val="20"/>
              </w:rPr>
            </w:pPr>
            <w:r w:rsidRPr="00345D93">
              <w:rPr>
                <w:sz w:val="20"/>
                <w:szCs w:val="20"/>
              </w:rPr>
              <w:t>2,500</w:t>
            </w:r>
          </w:p>
        </w:tc>
        <w:tc>
          <w:tcPr>
            <w:tcW w:w="1620" w:type="dxa"/>
            <w:shd w:val="clear" w:color="auto" w:fill="auto"/>
            <w:tcMar>
              <w:top w:w="0" w:type="dxa"/>
              <w:left w:w="108" w:type="dxa"/>
              <w:bottom w:w="0" w:type="dxa"/>
              <w:right w:w="108" w:type="dxa"/>
            </w:tcMar>
          </w:tcPr>
          <w:p w:rsidR="00FD7C1A" w:rsidRPr="00345D93" w:rsidP="00FD7C1A" w14:paraId="265CA800" w14:textId="3B5406D3">
            <w:pPr>
              <w:jc w:val="center"/>
              <w:rPr>
                <w:sz w:val="20"/>
                <w:szCs w:val="20"/>
              </w:rPr>
            </w:pPr>
            <w:r w:rsidRPr="00345D93">
              <w:rPr>
                <w:sz w:val="20"/>
                <w:szCs w:val="20"/>
              </w:rPr>
              <w:t>1,250</w:t>
            </w:r>
          </w:p>
        </w:tc>
        <w:tc>
          <w:tcPr>
            <w:tcW w:w="1620" w:type="dxa"/>
          </w:tcPr>
          <w:p w:rsidR="00FD7C1A" w:rsidRPr="00345D93" w:rsidP="00FD7C1A" w14:paraId="4BA5DC72" w14:textId="2FFE45DD">
            <w:pPr>
              <w:jc w:val="center"/>
              <w:rPr>
                <w:sz w:val="20"/>
                <w:szCs w:val="20"/>
              </w:rPr>
            </w:pPr>
            <w:r w:rsidRPr="00345D93">
              <w:rPr>
                <w:sz w:val="20"/>
                <w:szCs w:val="20"/>
              </w:rPr>
              <w:t>$51.53*</w:t>
            </w:r>
          </w:p>
        </w:tc>
        <w:tc>
          <w:tcPr>
            <w:tcW w:w="1800" w:type="dxa"/>
            <w:shd w:val="clear" w:color="auto" w:fill="auto"/>
            <w:tcMar>
              <w:top w:w="0" w:type="dxa"/>
              <w:left w:w="108" w:type="dxa"/>
              <w:bottom w:w="0" w:type="dxa"/>
              <w:right w:w="108" w:type="dxa"/>
            </w:tcMar>
          </w:tcPr>
          <w:p w:rsidR="00FD7C1A" w:rsidRPr="00345D93" w:rsidP="00FD7C1A" w14:paraId="3506D017" w14:textId="058DE376">
            <w:pPr>
              <w:jc w:val="center"/>
              <w:rPr>
                <w:sz w:val="20"/>
                <w:szCs w:val="20"/>
              </w:rPr>
            </w:pPr>
            <w:r w:rsidRPr="00345D93">
              <w:rPr>
                <w:sz w:val="20"/>
                <w:szCs w:val="20"/>
              </w:rPr>
              <w:t>$64,412.50</w:t>
            </w:r>
          </w:p>
        </w:tc>
      </w:tr>
      <w:tr w14:paraId="308EAD27" w14:textId="77777777" w:rsidTr="00AB6736">
        <w:tblPrEx>
          <w:tblW w:w="9067" w:type="dxa"/>
          <w:tblInd w:w="-162" w:type="dxa"/>
          <w:tblLayout w:type="fixed"/>
          <w:tblCellMar>
            <w:left w:w="0" w:type="dxa"/>
            <w:right w:w="0" w:type="dxa"/>
          </w:tblCellMar>
          <w:tblLook w:val="0000"/>
        </w:tblPrEx>
        <w:trPr>
          <w:trHeight w:val="260"/>
        </w:trPr>
        <w:tc>
          <w:tcPr>
            <w:tcW w:w="9067" w:type="dxa"/>
            <w:gridSpan w:val="5"/>
            <w:shd w:val="clear" w:color="auto" w:fill="auto"/>
            <w:tcMar>
              <w:top w:w="0" w:type="dxa"/>
              <w:left w:w="108" w:type="dxa"/>
              <w:bottom w:w="0" w:type="dxa"/>
              <w:right w:w="108" w:type="dxa"/>
            </w:tcMar>
          </w:tcPr>
          <w:p w:rsidR="00B105DD" w:rsidRPr="00345D93" w:rsidP="00AB6736" w14:paraId="4C77F213" w14:textId="617E55D7">
            <w:pPr>
              <w:rPr>
                <w:sz w:val="20"/>
                <w:szCs w:val="20"/>
              </w:rPr>
            </w:pPr>
            <w:r w:rsidRPr="00345D93">
              <w:rPr>
                <w:b/>
                <w:sz w:val="20"/>
                <w:szCs w:val="20"/>
              </w:rPr>
              <w:t>Infrastructure Assessment</w:t>
            </w:r>
          </w:p>
        </w:tc>
      </w:tr>
      <w:tr w14:paraId="6A9118A0" w14:textId="77777777" w:rsidTr="00AB6736">
        <w:tblPrEx>
          <w:tblW w:w="9067" w:type="dxa"/>
          <w:tblInd w:w="-162" w:type="dxa"/>
          <w:tblLayout w:type="fixed"/>
          <w:tblCellMar>
            <w:left w:w="0" w:type="dxa"/>
            <w:right w:w="0" w:type="dxa"/>
          </w:tblCellMar>
          <w:tblLook w:val="0000"/>
        </w:tblPrEx>
        <w:trPr>
          <w:trHeight w:val="260"/>
        </w:trPr>
        <w:tc>
          <w:tcPr>
            <w:tcW w:w="2497" w:type="dxa"/>
            <w:shd w:val="clear" w:color="auto" w:fill="auto"/>
            <w:tcMar>
              <w:top w:w="0" w:type="dxa"/>
              <w:left w:w="108" w:type="dxa"/>
              <w:bottom w:w="0" w:type="dxa"/>
              <w:right w:w="108" w:type="dxa"/>
            </w:tcMar>
          </w:tcPr>
          <w:p w:rsidR="00FD7C1A" w:rsidRPr="00345D93" w:rsidP="00FD7C1A" w14:paraId="7D148AA9" w14:textId="2CA2C2D0">
            <w:pPr>
              <w:pStyle w:val="ColorfulList-Accent11"/>
              <w:tabs>
                <w:tab w:val="left" w:pos="229"/>
              </w:tabs>
              <w:ind w:left="229"/>
              <w:rPr>
                <w:sz w:val="20"/>
                <w:szCs w:val="20"/>
              </w:rPr>
            </w:pPr>
            <w:r w:rsidRPr="00345D93">
              <w:rPr>
                <w:sz w:val="20"/>
                <w:szCs w:val="20"/>
              </w:rPr>
              <w:t>Gap Analysis</w:t>
            </w:r>
            <w:r w:rsidRPr="00345D93" w:rsidR="0083758D">
              <w:rPr>
                <w:sz w:val="20"/>
                <w:szCs w:val="20"/>
              </w:rPr>
              <w:t xml:space="preserve"> (Attachments B-D)</w:t>
            </w:r>
          </w:p>
          <w:p w:rsidR="00FD7C1A" w:rsidRPr="00345D93" w:rsidP="00FD7C1A" w14:paraId="6C957A5F" w14:textId="4AFB60FE">
            <w:pPr>
              <w:pStyle w:val="ColorfulList-Accent11"/>
              <w:ind w:left="229"/>
              <w:rPr>
                <w:bCs/>
                <w:color w:val="000000"/>
                <w:sz w:val="20"/>
                <w:szCs w:val="20"/>
              </w:rPr>
            </w:pPr>
            <w:r w:rsidRPr="00345D93">
              <w:rPr>
                <w:i/>
                <w:sz w:val="20"/>
                <w:szCs w:val="20"/>
              </w:rPr>
              <w:t xml:space="preserve">(1 assessment per unit or facility, </w:t>
            </w:r>
            <w:r w:rsidRPr="00345D93">
              <w:rPr>
                <w:i/>
                <w:sz w:val="20"/>
                <w:szCs w:val="20"/>
              </w:rPr>
              <w:t>pre</w:t>
            </w:r>
            <w:r w:rsidRPr="00345D93">
              <w:rPr>
                <w:i/>
                <w:sz w:val="20"/>
                <w:szCs w:val="20"/>
              </w:rPr>
              <w:t xml:space="preserve"> and post-</w:t>
            </w:r>
            <w:r w:rsidRPr="00345D93" w:rsidR="00965F68">
              <w:rPr>
                <w:bCs/>
                <w:i/>
                <w:color w:val="000000"/>
                <w:sz w:val="20"/>
                <w:szCs w:val="20"/>
              </w:rPr>
              <w:t>implementation</w:t>
            </w:r>
            <w:r w:rsidRPr="00345D93">
              <w:rPr>
                <w:i/>
                <w:sz w:val="20"/>
                <w:szCs w:val="20"/>
              </w:rPr>
              <w:t xml:space="preserve"> for all four cohorts, 1,400 sites total)</w:t>
            </w:r>
          </w:p>
        </w:tc>
        <w:tc>
          <w:tcPr>
            <w:tcW w:w="1530" w:type="dxa"/>
            <w:shd w:val="clear" w:color="auto" w:fill="auto"/>
            <w:tcMar>
              <w:top w:w="0" w:type="dxa"/>
              <w:left w:w="108" w:type="dxa"/>
              <w:bottom w:w="0" w:type="dxa"/>
              <w:right w:w="108" w:type="dxa"/>
            </w:tcMar>
          </w:tcPr>
          <w:p w:rsidR="00FD7C1A" w:rsidRPr="00345D93" w:rsidP="00FD7C1A" w14:paraId="3D847A1C" w14:textId="52C6BD2F">
            <w:pPr>
              <w:jc w:val="center"/>
              <w:rPr>
                <w:sz w:val="20"/>
                <w:szCs w:val="20"/>
              </w:rPr>
            </w:pPr>
            <w:r w:rsidRPr="00345D93">
              <w:rPr>
                <w:sz w:val="20"/>
                <w:szCs w:val="20"/>
              </w:rPr>
              <w:t>467</w:t>
            </w:r>
          </w:p>
        </w:tc>
        <w:tc>
          <w:tcPr>
            <w:tcW w:w="1620" w:type="dxa"/>
            <w:shd w:val="clear" w:color="auto" w:fill="auto"/>
            <w:tcMar>
              <w:top w:w="0" w:type="dxa"/>
              <w:left w:w="108" w:type="dxa"/>
              <w:bottom w:w="0" w:type="dxa"/>
              <w:right w:w="108" w:type="dxa"/>
            </w:tcMar>
          </w:tcPr>
          <w:p w:rsidR="00FD7C1A" w:rsidRPr="00345D93" w:rsidP="00FD7C1A" w14:paraId="1E4D57B8" w14:textId="1205079D">
            <w:pPr>
              <w:jc w:val="center"/>
              <w:rPr>
                <w:sz w:val="20"/>
                <w:szCs w:val="20"/>
              </w:rPr>
            </w:pPr>
            <w:r w:rsidRPr="00345D93">
              <w:rPr>
                <w:sz w:val="20"/>
                <w:szCs w:val="20"/>
              </w:rPr>
              <w:t>9</w:t>
            </w:r>
            <w:r w:rsidRPr="00345D93">
              <w:rPr>
                <w:sz w:val="20"/>
                <w:szCs w:val="20"/>
              </w:rPr>
              <w:t>3</w:t>
            </w:r>
            <w:r w:rsidRPr="00345D93" w:rsidR="008A26A9">
              <w:rPr>
                <w:sz w:val="20"/>
                <w:szCs w:val="20"/>
              </w:rPr>
              <w:t>4</w:t>
            </w:r>
          </w:p>
        </w:tc>
        <w:tc>
          <w:tcPr>
            <w:tcW w:w="1620" w:type="dxa"/>
          </w:tcPr>
          <w:p w:rsidR="00FD7C1A" w:rsidRPr="00345D93" w:rsidP="00FD7C1A" w14:paraId="182AF5A1" w14:textId="48CAF711">
            <w:pPr>
              <w:jc w:val="center"/>
              <w:rPr>
                <w:sz w:val="20"/>
                <w:szCs w:val="20"/>
              </w:rPr>
            </w:pPr>
            <w:r w:rsidRPr="00345D93">
              <w:rPr>
                <w:sz w:val="20"/>
                <w:szCs w:val="20"/>
              </w:rPr>
              <w:t>$51.53*</w:t>
            </w:r>
          </w:p>
        </w:tc>
        <w:tc>
          <w:tcPr>
            <w:tcW w:w="1800" w:type="dxa"/>
            <w:shd w:val="clear" w:color="auto" w:fill="auto"/>
            <w:tcMar>
              <w:top w:w="0" w:type="dxa"/>
              <w:left w:w="108" w:type="dxa"/>
              <w:bottom w:w="0" w:type="dxa"/>
              <w:right w:w="108" w:type="dxa"/>
            </w:tcMar>
          </w:tcPr>
          <w:p w:rsidR="00FD7C1A" w:rsidRPr="00345D93" w14:paraId="431DD56A" w14:textId="32837762">
            <w:pPr>
              <w:jc w:val="center"/>
              <w:rPr>
                <w:sz w:val="20"/>
                <w:szCs w:val="20"/>
              </w:rPr>
            </w:pPr>
            <w:r w:rsidRPr="00345D93">
              <w:rPr>
                <w:sz w:val="20"/>
                <w:szCs w:val="20"/>
              </w:rPr>
              <w:t>$</w:t>
            </w:r>
            <w:r w:rsidRPr="00345D93" w:rsidR="002F2F6F">
              <w:rPr>
                <w:sz w:val="20"/>
                <w:szCs w:val="20"/>
              </w:rPr>
              <w:t>48</w:t>
            </w:r>
            <w:r w:rsidRPr="00345D93">
              <w:rPr>
                <w:sz w:val="20"/>
                <w:szCs w:val="20"/>
              </w:rPr>
              <w:t>,</w:t>
            </w:r>
            <w:r w:rsidRPr="00345D93" w:rsidR="002F2F6F">
              <w:rPr>
                <w:sz w:val="20"/>
                <w:szCs w:val="20"/>
              </w:rPr>
              <w:t>129</w:t>
            </w:r>
            <w:r w:rsidRPr="00345D93">
              <w:rPr>
                <w:sz w:val="20"/>
                <w:szCs w:val="20"/>
              </w:rPr>
              <w:t>.</w:t>
            </w:r>
            <w:r w:rsidRPr="00345D93" w:rsidR="008A26A9">
              <w:rPr>
                <w:sz w:val="20"/>
                <w:szCs w:val="20"/>
              </w:rPr>
              <w:t>02</w:t>
            </w:r>
          </w:p>
        </w:tc>
      </w:tr>
      <w:tr w14:paraId="5CF8EC34" w14:textId="77777777" w:rsidTr="00AB6736">
        <w:tblPrEx>
          <w:tblW w:w="9067" w:type="dxa"/>
          <w:tblInd w:w="-162" w:type="dxa"/>
          <w:tblLayout w:type="fixed"/>
          <w:tblCellMar>
            <w:left w:w="0" w:type="dxa"/>
            <w:right w:w="0" w:type="dxa"/>
          </w:tblCellMar>
          <w:tblLook w:val="0000"/>
        </w:tblPrEx>
        <w:trPr>
          <w:trHeight w:val="260"/>
        </w:trPr>
        <w:tc>
          <w:tcPr>
            <w:tcW w:w="9067" w:type="dxa"/>
            <w:gridSpan w:val="5"/>
            <w:shd w:val="clear" w:color="auto" w:fill="auto"/>
            <w:tcMar>
              <w:top w:w="0" w:type="dxa"/>
              <w:left w:w="108" w:type="dxa"/>
              <w:bottom w:w="0" w:type="dxa"/>
              <w:right w:w="108" w:type="dxa"/>
            </w:tcMar>
          </w:tcPr>
          <w:p w:rsidR="00B105DD" w:rsidRPr="00345D93" w:rsidP="00AB6736" w14:paraId="5195054B" w14:textId="46D3A4B4">
            <w:pPr>
              <w:rPr>
                <w:sz w:val="20"/>
                <w:szCs w:val="20"/>
              </w:rPr>
            </w:pPr>
            <w:r w:rsidRPr="00345D93">
              <w:rPr>
                <w:b/>
                <w:sz w:val="20"/>
                <w:szCs w:val="20"/>
              </w:rPr>
              <w:t>Implementation Assessments:</w:t>
            </w:r>
          </w:p>
        </w:tc>
      </w:tr>
      <w:tr w14:paraId="498F2981" w14:textId="77777777" w:rsidTr="00AB6736">
        <w:tblPrEx>
          <w:tblW w:w="9067" w:type="dxa"/>
          <w:tblInd w:w="-162" w:type="dxa"/>
          <w:tblLayout w:type="fixed"/>
          <w:tblCellMar>
            <w:left w:w="0" w:type="dxa"/>
            <w:right w:w="0" w:type="dxa"/>
          </w:tblCellMar>
          <w:tblLook w:val="0000"/>
        </w:tblPrEx>
        <w:trPr>
          <w:trHeight w:val="260"/>
        </w:trPr>
        <w:tc>
          <w:tcPr>
            <w:tcW w:w="2497" w:type="dxa"/>
            <w:shd w:val="clear" w:color="auto" w:fill="auto"/>
            <w:tcMar>
              <w:top w:w="0" w:type="dxa"/>
              <w:left w:w="108" w:type="dxa"/>
              <w:bottom w:w="0" w:type="dxa"/>
              <w:right w:w="108" w:type="dxa"/>
            </w:tcMar>
          </w:tcPr>
          <w:p w:rsidR="00FD7C1A" w:rsidRPr="00345D93" w:rsidP="0083758D" w14:paraId="7E26E237" w14:textId="29F846DE">
            <w:pPr>
              <w:pStyle w:val="ColorfulList-Accent11"/>
              <w:ind w:left="0" w:firstLine="229"/>
              <w:rPr>
                <w:bCs/>
                <w:color w:val="000000"/>
                <w:sz w:val="20"/>
                <w:szCs w:val="20"/>
              </w:rPr>
            </w:pPr>
            <w:r w:rsidRPr="00345D93">
              <w:rPr>
                <w:bCs/>
                <w:color w:val="000000"/>
                <w:sz w:val="20"/>
                <w:szCs w:val="20"/>
              </w:rPr>
              <w:t>Team Checkup Tool</w:t>
            </w:r>
            <w:r w:rsidRPr="00345D93" w:rsidR="0083758D">
              <w:rPr>
                <w:bCs/>
                <w:color w:val="000000"/>
                <w:sz w:val="20"/>
                <w:szCs w:val="20"/>
              </w:rPr>
              <w:t xml:space="preserve"> (Attachments </w:t>
            </w:r>
            <w:r w:rsidRPr="00345D93" w:rsidR="006D46BE">
              <w:rPr>
                <w:bCs/>
                <w:color w:val="000000"/>
                <w:sz w:val="20"/>
                <w:szCs w:val="20"/>
              </w:rPr>
              <w:t>E</w:t>
            </w:r>
            <w:r w:rsidRPr="00345D93" w:rsidR="0083758D">
              <w:rPr>
                <w:bCs/>
                <w:color w:val="000000"/>
                <w:sz w:val="20"/>
                <w:szCs w:val="20"/>
              </w:rPr>
              <w:t xml:space="preserve"> and </w:t>
            </w:r>
            <w:r w:rsidRPr="00345D93" w:rsidR="006D46BE">
              <w:rPr>
                <w:bCs/>
                <w:color w:val="000000"/>
                <w:sz w:val="20"/>
                <w:szCs w:val="20"/>
              </w:rPr>
              <w:t>F</w:t>
            </w:r>
            <w:r w:rsidRPr="00345D93" w:rsidR="0083758D">
              <w:rPr>
                <w:bCs/>
                <w:color w:val="000000"/>
                <w:sz w:val="20"/>
                <w:szCs w:val="20"/>
              </w:rPr>
              <w:t>)</w:t>
            </w:r>
            <w:r w:rsidRPr="00345D93">
              <w:rPr>
                <w:bCs/>
                <w:color w:val="000000"/>
                <w:sz w:val="20"/>
                <w:szCs w:val="20"/>
              </w:rPr>
              <w:t xml:space="preserve"> </w:t>
            </w:r>
          </w:p>
          <w:p w:rsidR="00FD7C1A" w:rsidRPr="00345D93" w:rsidP="00FD7C1A" w14:paraId="33669657" w14:textId="2DE47233">
            <w:pPr>
              <w:pStyle w:val="ColorfulList-Accent11"/>
              <w:ind w:left="229"/>
              <w:rPr>
                <w:bCs/>
                <w:color w:val="000000"/>
                <w:sz w:val="20"/>
                <w:szCs w:val="20"/>
              </w:rPr>
            </w:pPr>
            <w:r w:rsidRPr="00345D93">
              <w:rPr>
                <w:i/>
                <w:sz w:val="20"/>
                <w:szCs w:val="20"/>
              </w:rPr>
              <w:t xml:space="preserve">(1 checklist conducted monthly during 3 months of ramp-up and 15 months of </w:t>
            </w:r>
            <w:r w:rsidRPr="00345D93" w:rsidR="00965F68">
              <w:rPr>
                <w:bCs/>
                <w:i/>
                <w:color w:val="000000"/>
                <w:sz w:val="20"/>
                <w:szCs w:val="20"/>
              </w:rPr>
              <w:t>implementation</w:t>
            </w:r>
            <w:r w:rsidRPr="00345D93">
              <w:rPr>
                <w:i/>
                <w:sz w:val="20"/>
                <w:szCs w:val="20"/>
              </w:rPr>
              <w:t xml:space="preserve"> periods for ICU, non-ICU, and </w:t>
            </w:r>
            <w:r w:rsidRPr="00345D93">
              <w:rPr>
                <w:i/>
                <w:sz w:val="20"/>
                <w:szCs w:val="20"/>
              </w:rPr>
              <w:t>Surgical cohorts, 1,100 units total)</w:t>
            </w:r>
          </w:p>
        </w:tc>
        <w:tc>
          <w:tcPr>
            <w:tcW w:w="1530" w:type="dxa"/>
            <w:shd w:val="clear" w:color="auto" w:fill="auto"/>
            <w:tcMar>
              <w:top w:w="0" w:type="dxa"/>
              <w:left w:w="108" w:type="dxa"/>
              <w:bottom w:w="0" w:type="dxa"/>
              <w:right w:w="108" w:type="dxa"/>
            </w:tcMar>
          </w:tcPr>
          <w:p w:rsidR="00FD7C1A" w:rsidRPr="00345D93" w:rsidP="00FD7C1A" w14:paraId="01A26126" w14:textId="2FFDD38A">
            <w:pPr>
              <w:jc w:val="center"/>
              <w:rPr>
                <w:sz w:val="20"/>
                <w:szCs w:val="20"/>
              </w:rPr>
            </w:pPr>
            <w:r w:rsidRPr="00345D93">
              <w:rPr>
                <w:sz w:val="20"/>
                <w:szCs w:val="20"/>
              </w:rPr>
              <w:t>367</w:t>
            </w:r>
          </w:p>
        </w:tc>
        <w:tc>
          <w:tcPr>
            <w:tcW w:w="1620" w:type="dxa"/>
            <w:shd w:val="clear" w:color="auto" w:fill="auto"/>
            <w:tcMar>
              <w:top w:w="0" w:type="dxa"/>
              <w:left w:w="108" w:type="dxa"/>
              <w:bottom w:w="0" w:type="dxa"/>
              <w:right w:w="108" w:type="dxa"/>
            </w:tcMar>
          </w:tcPr>
          <w:p w:rsidR="00FD7C1A" w:rsidRPr="00345D93" w:rsidP="00FD7C1A" w14:paraId="4D75A49A" w14:textId="37A913C6">
            <w:pPr>
              <w:jc w:val="center"/>
              <w:rPr>
                <w:sz w:val="20"/>
                <w:szCs w:val="20"/>
              </w:rPr>
            </w:pPr>
            <w:r w:rsidRPr="00345D93">
              <w:rPr>
                <w:sz w:val="20"/>
                <w:szCs w:val="20"/>
              </w:rPr>
              <w:t>1,1</w:t>
            </w:r>
            <w:r w:rsidRPr="00345D93" w:rsidR="00D86687">
              <w:rPr>
                <w:sz w:val="20"/>
                <w:szCs w:val="20"/>
              </w:rPr>
              <w:t>23</w:t>
            </w:r>
          </w:p>
        </w:tc>
        <w:tc>
          <w:tcPr>
            <w:tcW w:w="1620" w:type="dxa"/>
          </w:tcPr>
          <w:p w:rsidR="00FD7C1A" w:rsidRPr="00345D93" w:rsidP="00FD7C1A" w14:paraId="353891D2" w14:textId="2D752177">
            <w:pPr>
              <w:jc w:val="center"/>
              <w:rPr>
                <w:sz w:val="20"/>
                <w:szCs w:val="20"/>
              </w:rPr>
            </w:pPr>
            <w:r w:rsidRPr="00345D93">
              <w:rPr>
                <w:sz w:val="20"/>
                <w:szCs w:val="20"/>
              </w:rPr>
              <w:t>$51.53*</w:t>
            </w:r>
          </w:p>
        </w:tc>
        <w:tc>
          <w:tcPr>
            <w:tcW w:w="1800" w:type="dxa"/>
            <w:shd w:val="clear" w:color="auto" w:fill="auto"/>
            <w:tcMar>
              <w:top w:w="0" w:type="dxa"/>
              <w:left w:w="108" w:type="dxa"/>
              <w:bottom w:w="0" w:type="dxa"/>
              <w:right w:w="108" w:type="dxa"/>
            </w:tcMar>
          </w:tcPr>
          <w:p w:rsidR="00FD7C1A" w:rsidRPr="00345D93" w14:paraId="563EFD7B" w14:textId="38E9D642">
            <w:pPr>
              <w:jc w:val="center"/>
              <w:rPr>
                <w:sz w:val="20"/>
                <w:szCs w:val="20"/>
              </w:rPr>
            </w:pPr>
            <w:r w:rsidRPr="00345D93">
              <w:rPr>
                <w:sz w:val="20"/>
                <w:szCs w:val="20"/>
              </w:rPr>
              <w:t>$5</w:t>
            </w:r>
            <w:r w:rsidRPr="00345D93" w:rsidR="008A26A9">
              <w:rPr>
                <w:sz w:val="20"/>
                <w:szCs w:val="20"/>
              </w:rPr>
              <w:t>7,</w:t>
            </w:r>
            <w:r w:rsidRPr="00345D93" w:rsidR="00717722">
              <w:rPr>
                <w:sz w:val="20"/>
                <w:szCs w:val="20"/>
              </w:rPr>
              <w:t>868</w:t>
            </w:r>
            <w:r w:rsidRPr="00345D93" w:rsidR="008A26A9">
              <w:rPr>
                <w:sz w:val="20"/>
                <w:szCs w:val="20"/>
              </w:rPr>
              <w:t>.</w:t>
            </w:r>
            <w:r w:rsidRPr="00345D93" w:rsidR="00717722">
              <w:rPr>
                <w:sz w:val="20"/>
                <w:szCs w:val="20"/>
              </w:rPr>
              <w:t>19</w:t>
            </w:r>
          </w:p>
        </w:tc>
      </w:tr>
      <w:tr w14:paraId="4AB72835" w14:textId="33A8040B" w:rsidTr="00AB6736">
        <w:tblPrEx>
          <w:tblW w:w="9067" w:type="dxa"/>
          <w:tblInd w:w="-162" w:type="dxa"/>
          <w:tblLayout w:type="fixed"/>
          <w:tblCellMar>
            <w:left w:w="0" w:type="dxa"/>
            <w:right w:w="0" w:type="dxa"/>
          </w:tblCellMar>
          <w:tblLook w:val="0000"/>
        </w:tblPrEx>
        <w:trPr>
          <w:trHeight w:val="260"/>
        </w:trPr>
        <w:tc>
          <w:tcPr>
            <w:tcW w:w="2497" w:type="dxa"/>
            <w:shd w:val="clear" w:color="auto" w:fill="auto"/>
            <w:tcMar>
              <w:top w:w="0" w:type="dxa"/>
              <w:left w:w="108" w:type="dxa"/>
              <w:bottom w:w="0" w:type="dxa"/>
              <w:right w:w="108" w:type="dxa"/>
            </w:tcMar>
          </w:tcPr>
          <w:p w:rsidR="00FD7C1A" w:rsidRPr="00345D93" w:rsidP="00FD7C1A" w14:paraId="0E1F0297" w14:textId="0266DA57">
            <w:pPr>
              <w:pStyle w:val="ColorfulList-Accent11"/>
              <w:ind w:left="0" w:firstLine="229"/>
              <w:rPr>
                <w:bCs/>
                <w:color w:val="000000"/>
                <w:sz w:val="20"/>
                <w:szCs w:val="20"/>
              </w:rPr>
            </w:pPr>
            <w:r w:rsidRPr="00345D93">
              <w:rPr>
                <w:bCs/>
                <w:color w:val="000000"/>
                <w:sz w:val="20"/>
                <w:szCs w:val="20"/>
              </w:rPr>
              <w:t xml:space="preserve">Team Checkup </w:t>
            </w:r>
            <w:r w:rsidRPr="00345D93">
              <w:rPr>
                <w:bCs/>
                <w:color w:val="000000"/>
                <w:sz w:val="20"/>
                <w:szCs w:val="20"/>
              </w:rPr>
              <w:t xml:space="preserve">Tool </w:t>
            </w:r>
            <w:r w:rsidRPr="00345D93" w:rsidR="0083758D">
              <w:rPr>
                <w:bCs/>
                <w:color w:val="000000"/>
                <w:sz w:val="20"/>
                <w:szCs w:val="20"/>
              </w:rPr>
              <w:t xml:space="preserve"> (</w:t>
            </w:r>
            <w:r w:rsidRPr="00345D93" w:rsidR="0083758D">
              <w:rPr>
                <w:bCs/>
                <w:color w:val="000000"/>
                <w:sz w:val="20"/>
                <w:szCs w:val="20"/>
              </w:rPr>
              <w:t xml:space="preserve">Attachment </w:t>
            </w:r>
            <w:r w:rsidRPr="00345D93" w:rsidR="006D46BE">
              <w:rPr>
                <w:bCs/>
                <w:color w:val="000000"/>
                <w:sz w:val="20"/>
                <w:szCs w:val="20"/>
              </w:rPr>
              <w:t>G</w:t>
            </w:r>
            <w:r w:rsidRPr="00345D93" w:rsidR="0083758D">
              <w:rPr>
                <w:bCs/>
                <w:color w:val="000000"/>
                <w:sz w:val="20"/>
                <w:szCs w:val="20"/>
              </w:rPr>
              <w:t>)</w:t>
            </w:r>
          </w:p>
          <w:p w:rsidR="00FD7C1A" w:rsidRPr="00345D93" w:rsidP="00FD7C1A" w14:paraId="0D181E9C" w14:textId="519D33BC">
            <w:pPr>
              <w:pStyle w:val="ColorfulList-Accent11"/>
              <w:ind w:left="0" w:firstLine="229"/>
              <w:rPr>
                <w:bCs/>
                <w:color w:val="000000"/>
                <w:sz w:val="20"/>
                <w:szCs w:val="20"/>
              </w:rPr>
            </w:pPr>
            <w:r w:rsidRPr="00345D93">
              <w:rPr>
                <w:i/>
                <w:sz w:val="20"/>
                <w:szCs w:val="20"/>
              </w:rPr>
              <w:t xml:space="preserve">(1 checklist conducted monthly </w:t>
            </w:r>
            <w:r w:rsidRPr="00345D93">
              <w:rPr>
                <w:bCs/>
                <w:i/>
                <w:color w:val="000000"/>
                <w:sz w:val="20"/>
                <w:szCs w:val="20"/>
              </w:rPr>
              <w:t>per facility</w:t>
            </w:r>
            <w:r w:rsidRPr="00345D93">
              <w:rPr>
                <w:i/>
                <w:sz w:val="20"/>
                <w:szCs w:val="20"/>
              </w:rPr>
              <w:t xml:space="preserve"> during 1</w:t>
            </w:r>
            <w:r w:rsidRPr="00345D93" w:rsidR="005775A8">
              <w:rPr>
                <w:i/>
                <w:sz w:val="20"/>
                <w:szCs w:val="20"/>
              </w:rPr>
              <w:t>8</w:t>
            </w:r>
            <w:r w:rsidRPr="00345D93">
              <w:rPr>
                <w:i/>
                <w:sz w:val="20"/>
                <w:szCs w:val="20"/>
              </w:rPr>
              <w:t xml:space="preserve"> months of </w:t>
            </w:r>
            <w:r w:rsidRPr="00345D93" w:rsidR="00965F68">
              <w:rPr>
                <w:bCs/>
                <w:i/>
                <w:color w:val="000000"/>
                <w:sz w:val="20"/>
                <w:szCs w:val="20"/>
              </w:rPr>
              <w:t>implementation</w:t>
            </w:r>
            <w:r w:rsidRPr="00345D93">
              <w:rPr>
                <w:i/>
                <w:sz w:val="20"/>
                <w:szCs w:val="20"/>
              </w:rPr>
              <w:t xml:space="preserve"> for LTC cohort, 300 facilities total)</w:t>
            </w:r>
          </w:p>
        </w:tc>
        <w:tc>
          <w:tcPr>
            <w:tcW w:w="1530" w:type="dxa"/>
            <w:shd w:val="clear" w:color="auto" w:fill="auto"/>
            <w:tcMar>
              <w:top w:w="0" w:type="dxa"/>
              <w:left w:w="108" w:type="dxa"/>
              <w:bottom w:w="0" w:type="dxa"/>
              <w:right w:w="108" w:type="dxa"/>
            </w:tcMar>
          </w:tcPr>
          <w:p w:rsidR="00FD7C1A" w:rsidRPr="00345D93" w:rsidP="00FD7C1A" w14:paraId="715B102D" w14:textId="4304E5F4">
            <w:pPr>
              <w:jc w:val="center"/>
              <w:rPr>
                <w:sz w:val="20"/>
                <w:szCs w:val="20"/>
              </w:rPr>
            </w:pPr>
            <w:r w:rsidRPr="00345D93">
              <w:rPr>
                <w:sz w:val="20"/>
                <w:szCs w:val="20"/>
              </w:rPr>
              <w:t>100</w:t>
            </w:r>
          </w:p>
        </w:tc>
        <w:tc>
          <w:tcPr>
            <w:tcW w:w="1620" w:type="dxa"/>
            <w:shd w:val="clear" w:color="auto" w:fill="auto"/>
            <w:tcMar>
              <w:top w:w="0" w:type="dxa"/>
              <w:left w:w="108" w:type="dxa"/>
              <w:bottom w:w="0" w:type="dxa"/>
              <w:right w:w="108" w:type="dxa"/>
            </w:tcMar>
          </w:tcPr>
          <w:p w:rsidR="00FD7C1A" w:rsidRPr="00345D93" w:rsidP="00FD7C1A" w14:paraId="4D886F74" w14:textId="66282CD7">
            <w:pPr>
              <w:jc w:val="center"/>
              <w:rPr>
                <w:sz w:val="20"/>
                <w:szCs w:val="20"/>
              </w:rPr>
            </w:pPr>
            <w:r w:rsidRPr="00345D93">
              <w:rPr>
                <w:sz w:val="20"/>
                <w:szCs w:val="20"/>
              </w:rPr>
              <w:t>306</w:t>
            </w:r>
          </w:p>
        </w:tc>
        <w:tc>
          <w:tcPr>
            <w:tcW w:w="1620" w:type="dxa"/>
          </w:tcPr>
          <w:p w:rsidR="00FD7C1A" w:rsidRPr="00345D93" w:rsidP="00FD7C1A" w14:paraId="06289E92" w14:textId="5FDFEEC5">
            <w:pPr>
              <w:jc w:val="center"/>
              <w:rPr>
                <w:sz w:val="20"/>
                <w:szCs w:val="20"/>
              </w:rPr>
            </w:pPr>
            <w:r w:rsidRPr="00345D93">
              <w:rPr>
                <w:sz w:val="20"/>
                <w:szCs w:val="20"/>
              </w:rPr>
              <w:t>$51.53*</w:t>
            </w:r>
          </w:p>
        </w:tc>
        <w:tc>
          <w:tcPr>
            <w:tcW w:w="1800" w:type="dxa"/>
            <w:shd w:val="clear" w:color="auto" w:fill="auto"/>
            <w:tcMar>
              <w:top w:w="0" w:type="dxa"/>
              <w:left w:w="108" w:type="dxa"/>
              <w:bottom w:w="0" w:type="dxa"/>
              <w:right w:w="108" w:type="dxa"/>
            </w:tcMar>
          </w:tcPr>
          <w:p w:rsidR="00FD7C1A" w:rsidRPr="00345D93" w:rsidP="00FD7C1A" w14:paraId="5F57E9F4" w14:textId="725EA334">
            <w:pPr>
              <w:jc w:val="center"/>
              <w:rPr>
                <w:sz w:val="20"/>
                <w:szCs w:val="20"/>
              </w:rPr>
            </w:pPr>
            <w:r w:rsidRPr="00345D93">
              <w:rPr>
                <w:sz w:val="20"/>
                <w:szCs w:val="20"/>
              </w:rPr>
              <w:t>$15,768.18</w:t>
            </w:r>
          </w:p>
        </w:tc>
      </w:tr>
      <w:tr w14:paraId="11C29DA9" w14:textId="77777777" w:rsidTr="00AB6736">
        <w:tblPrEx>
          <w:tblW w:w="9067" w:type="dxa"/>
          <w:tblInd w:w="-162" w:type="dxa"/>
          <w:tblLayout w:type="fixed"/>
          <w:tblCellMar>
            <w:left w:w="0" w:type="dxa"/>
            <w:right w:w="0" w:type="dxa"/>
          </w:tblCellMar>
          <w:tblLook w:val="0000"/>
        </w:tblPrEx>
        <w:tc>
          <w:tcPr>
            <w:tcW w:w="9067" w:type="dxa"/>
            <w:gridSpan w:val="5"/>
            <w:shd w:val="clear" w:color="auto" w:fill="auto"/>
            <w:tcMar>
              <w:top w:w="0" w:type="dxa"/>
              <w:left w:w="108" w:type="dxa"/>
              <w:bottom w:w="0" w:type="dxa"/>
              <w:right w:w="108" w:type="dxa"/>
            </w:tcMar>
          </w:tcPr>
          <w:p w:rsidR="00BB0E0F" w:rsidRPr="00345D93" w:rsidP="00BB0E0F" w14:paraId="33990E34" w14:textId="77777777">
            <w:pPr>
              <w:rPr>
                <w:b/>
                <w:sz w:val="20"/>
                <w:szCs w:val="20"/>
              </w:rPr>
            </w:pPr>
            <w:r w:rsidRPr="00345D93">
              <w:rPr>
                <w:b/>
                <w:sz w:val="20"/>
                <w:szCs w:val="20"/>
              </w:rPr>
              <w:t xml:space="preserve">Electronic Health Record (EHR) Extracts </w:t>
            </w:r>
          </w:p>
        </w:tc>
      </w:tr>
      <w:tr w14:paraId="1E1F4351" w14:textId="77777777" w:rsidTr="00AB6736">
        <w:tblPrEx>
          <w:tblW w:w="9067" w:type="dxa"/>
          <w:tblInd w:w="-162" w:type="dxa"/>
          <w:tblLayout w:type="fixed"/>
          <w:tblCellMar>
            <w:left w:w="0" w:type="dxa"/>
            <w:right w:w="0" w:type="dxa"/>
          </w:tblCellMar>
          <w:tblLook w:val="0000"/>
        </w:tblPrEx>
        <w:tc>
          <w:tcPr>
            <w:tcW w:w="2497" w:type="dxa"/>
            <w:shd w:val="clear" w:color="auto" w:fill="auto"/>
            <w:tcMar>
              <w:top w:w="0" w:type="dxa"/>
              <w:left w:w="108" w:type="dxa"/>
              <w:bottom w:w="0" w:type="dxa"/>
              <w:right w:w="108" w:type="dxa"/>
            </w:tcMar>
          </w:tcPr>
          <w:p w:rsidR="00761A4F" w:rsidRPr="00345D93" w:rsidP="00761A4F" w14:paraId="45604E7A" w14:textId="01879730">
            <w:pPr>
              <w:pStyle w:val="ColorfulList-Accent11"/>
              <w:ind w:left="0" w:firstLine="229"/>
              <w:rPr>
                <w:sz w:val="20"/>
                <w:szCs w:val="20"/>
              </w:rPr>
            </w:pPr>
            <w:r w:rsidRPr="00345D93">
              <w:rPr>
                <w:sz w:val="20"/>
                <w:szCs w:val="20"/>
              </w:rPr>
              <w:t>Initial data</w:t>
            </w:r>
            <w:r w:rsidRPr="00345D93" w:rsidR="00D7175B">
              <w:rPr>
                <w:sz w:val="20"/>
                <w:szCs w:val="20"/>
              </w:rPr>
              <w:t xml:space="preserve"> </w:t>
            </w:r>
            <w:r w:rsidRPr="00345D93">
              <w:rPr>
                <w:sz w:val="20"/>
                <w:szCs w:val="20"/>
              </w:rPr>
              <w:t>pull</w:t>
            </w:r>
            <w:r w:rsidRPr="00345D93" w:rsidR="0083758D">
              <w:rPr>
                <w:sz w:val="20"/>
                <w:szCs w:val="20"/>
              </w:rPr>
              <w:t xml:space="preserve"> </w:t>
            </w:r>
            <w:r w:rsidRPr="00345D93" w:rsidR="00A65AB2">
              <w:rPr>
                <w:sz w:val="20"/>
                <w:szCs w:val="20"/>
              </w:rPr>
              <w:t xml:space="preserve">for 10% of hospitals that do not confer rights to their NHSN data </w:t>
            </w:r>
            <w:r w:rsidRPr="00345D93" w:rsidR="0083758D">
              <w:rPr>
                <w:sz w:val="20"/>
                <w:szCs w:val="20"/>
              </w:rPr>
              <w:t xml:space="preserve">(Attachment </w:t>
            </w:r>
            <w:r w:rsidRPr="00345D93" w:rsidR="006D46BE">
              <w:rPr>
                <w:sz w:val="20"/>
                <w:szCs w:val="20"/>
              </w:rPr>
              <w:t>J</w:t>
            </w:r>
            <w:r w:rsidRPr="00345D93" w:rsidR="0083758D">
              <w:rPr>
                <w:sz w:val="20"/>
                <w:szCs w:val="20"/>
              </w:rPr>
              <w:t>)</w:t>
            </w:r>
            <w:r w:rsidRPr="00345D93">
              <w:rPr>
                <w:sz w:val="20"/>
                <w:szCs w:val="20"/>
              </w:rPr>
              <w:t>-</w:t>
            </w:r>
          </w:p>
          <w:p w:rsidR="00761A4F" w:rsidRPr="00345D93" w:rsidP="00761A4F" w14:paraId="25534AA3" w14:textId="1AAF698D">
            <w:pPr>
              <w:pStyle w:val="ColorfulList-Accent11"/>
              <w:ind w:left="0" w:firstLine="229"/>
              <w:rPr>
                <w:sz w:val="20"/>
                <w:szCs w:val="20"/>
              </w:rPr>
            </w:pPr>
            <w:r w:rsidRPr="00345D93">
              <w:rPr>
                <w:sz w:val="20"/>
                <w:szCs w:val="20"/>
              </w:rPr>
              <w:t>(</w:t>
            </w:r>
            <w:r w:rsidRPr="00345D93">
              <w:rPr>
                <w:i/>
                <w:sz w:val="20"/>
                <w:szCs w:val="20"/>
              </w:rPr>
              <w:t>once</w:t>
            </w:r>
            <w:r w:rsidRPr="00345D93">
              <w:rPr>
                <w:i/>
                <w:sz w:val="20"/>
                <w:szCs w:val="20"/>
              </w:rPr>
              <w:t xml:space="preserve"> at baseline for ICU and non-ICU cohorts, 800 units total</w:t>
            </w:r>
            <w:r w:rsidRPr="00345D93">
              <w:rPr>
                <w:sz w:val="20"/>
                <w:szCs w:val="20"/>
              </w:rPr>
              <w:t>)</w:t>
            </w:r>
          </w:p>
        </w:tc>
        <w:tc>
          <w:tcPr>
            <w:tcW w:w="1530" w:type="dxa"/>
            <w:shd w:val="clear" w:color="auto" w:fill="auto"/>
            <w:tcMar>
              <w:top w:w="0" w:type="dxa"/>
              <w:left w:w="108" w:type="dxa"/>
              <w:bottom w:w="0" w:type="dxa"/>
              <w:right w:w="108" w:type="dxa"/>
            </w:tcMar>
          </w:tcPr>
          <w:p w:rsidR="00761A4F" w:rsidRPr="00345D93" w:rsidP="00761A4F" w14:paraId="07632217" w14:textId="7619A1F5">
            <w:pPr>
              <w:jc w:val="center"/>
              <w:rPr>
                <w:sz w:val="20"/>
                <w:szCs w:val="20"/>
              </w:rPr>
            </w:pPr>
            <w:r w:rsidRPr="00345D93">
              <w:rPr>
                <w:sz w:val="20"/>
                <w:szCs w:val="20"/>
              </w:rPr>
              <w:t>2</w:t>
            </w:r>
            <w:r w:rsidRPr="00345D93" w:rsidR="002D3E2D">
              <w:rPr>
                <w:sz w:val="20"/>
                <w:szCs w:val="20"/>
              </w:rPr>
              <w:t>7</w:t>
            </w:r>
          </w:p>
        </w:tc>
        <w:tc>
          <w:tcPr>
            <w:tcW w:w="1620" w:type="dxa"/>
            <w:shd w:val="clear" w:color="auto" w:fill="auto"/>
            <w:tcMar>
              <w:top w:w="0" w:type="dxa"/>
              <w:left w:w="108" w:type="dxa"/>
              <w:bottom w:w="0" w:type="dxa"/>
              <w:right w:w="108" w:type="dxa"/>
            </w:tcMar>
          </w:tcPr>
          <w:p w:rsidR="00761A4F" w:rsidRPr="00345D93" w:rsidP="00761A4F" w14:paraId="011F7BCA" w14:textId="50672DB0">
            <w:pPr>
              <w:jc w:val="center"/>
              <w:rPr>
                <w:sz w:val="20"/>
                <w:szCs w:val="20"/>
              </w:rPr>
            </w:pPr>
            <w:r w:rsidRPr="00345D93">
              <w:rPr>
                <w:sz w:val="20"/>
                <w:szCs w:val="20"/>
              </w:rPr>
              <w:t>135</w:t>
            </w:r>
          </w:p>
        </w:tc>
        <w:tc>
          <w:tcPr>
            <w:tcW w:w="1620" w:type="dxa"/>
          </w:tcPr>
          <w:p w:rsidR="00761A4F" w:rsidRPr="00345D93" w:rsidP="00761A4F" w14:paraId="2FDCA709" w14:textId="77D49310">
            <w:pPr>
              <w:jc w:val="center"/>
              <w:rPr>
                <w:bCs/>
                <w:color w:val="000000"/>
                <w:sz w:val="20"/>
                <w:szCs w:val="20"/>
              </w:rPr>
            </w:pPr>
            <w:r w:rsidRPr="00345D93">
              <w:rPr>
                <w:bCs/>
                <w:color w:val="000000"/>
                <w:sz w:val="20"/>
                <w:szCs w:val="20"/>
              </w:rPr>
              <w:t>$35.17</w:t>
            </w:r>
            <w:r w:rsidRPr="00345D93">
              <w:rPr>
                <w:sz w:val="20"/>
                <w:szCs w:val="20"/>
              </w:rPr>
              <w:t>^</w:t>
            </w:r>
          </w:p>
        </w:tc>
        <w:tc>
          <w:tcPr>
            <w:tcW w:w="1800" w:type="dxa"/>
            <w:shd w:val="clear" w:color="auto" w:fill="auto"/>
            <w:tcMar>
              <w:top w:w="0" w:type="dxa"/>
              <w:left w:w="108" w:type="dxa"/>
              <w:bottom w:w="0" w:type="dxa"/>
              <w:right w:w="108" w:type="dxa"/>
            </w:tcMar>
          </w:tcPr>
          <w:p w:rsidR="00761A4F" w:rsidRPr="00345D93" w:rsidP="00761A4F" w14:paraId="3F00D605" w14:textId="2150922E">
            <w:pPr>
              <w:jc w:val="center"/>
              <w:rPr>
                <w:sz w:val="20"/>
                <w:szCs w:val="20"/>
              </w:rPr>
            </w:pPr>
            <w:r w:rsidRPr="00345D93">
              <w:rPr>
                <w:sz w:val="20"/>
                <w:szCs w:val="20"/>
              </w:rPr>
              <w:t>$</w:t>
            </w:r>
            <w:r w:rsidRPr="00345D93" w:rsidR="00A65AB2">
              <w:rPr>
                <w:sz w:val="20"/>
                <w:szCs w:val="20"/>
              </w:rPr>
              <w:t>4,</w:t>
            </w:r>
            <w:r w:rsidRPr="00345D93" w:rsidR="000D602A">
              <w:rPr>
                <w:sz w:val="20"/>
                <w:szCs w:val="20"/>
              </w:rPr>
              <w:t>747.95</w:t>
            </w:r>
          </w:p>
        </w:tc>
      </w:tr>
      <w:tr w14:paraId="3E621797" w14:textId="77777777" w:rsidTr="00AB6736">
        <w:tblPrEx>
          <w:tblW w:w="9067" w:type="dxa"/>
          <w:tblInd w:w="-162" w:type="dxa"/>
          <w:tblLayout w:type="fixed"/>
          <w:tblCellMar>
            <w:left w:w="0" w:type="dxa"/>
            <w:right w:w="0" w:type="dxa"/>
          </w:tblCellMar>
          <w:tblLook w:val="0000"/>
        </w:tblPrEx>
        <w:tc>
          <w:tcPr>
            <w:tcW w:w="2497" w:type="dxa"/>
            <w:shd w:val="clear" w:color="auto" w:fill="auto"/>
            <w:tcMar>
              <w:top w:w="0" w:type="dxa"/>
              <w:left w:w="108" w:type="dxa"/>
              <w:bottom w:w="0" w:type="dxa"/>
              <w:right w:w="108" w:type="dxa"/>
            </w:tcMar>
          </w:tcPr>
          <w:p w:rsidR="00A65AB2" w:rsidRPr="00345D93" w:rsidP="00215B82" w14:paraId="281A6ABD" w14:textId="056C4918">
            <w:pPr>
              <w:pStyle w:val="ColorfulList-Accent11"/>
              <w:ind w:left="0"/>
              <w:rPr>
                <w:sz w:val="20"/>
                <w:szCs w:val="20"/>
              </w:rPr>
            </w:pPr>
            <w:r w:rsidRPr="00345D93">
              <w:rPr>
                <w:sz w:val="20"/>
                <w:szCs w:val="20"/>
              </w:rPr>
              <w:t xml:space="preserve">Initial data pull for hospital onset bacteremia (including MSSA) and MRSA-positive clinical cultures (not available in NHSN) </w:t>
            </w:r>
            <w:r w:rsidRPr="00345D93" w:rsidR="00B27DEF">
              <w:rPr>
                <w:sz w:val="20"/>
                <w:szCs w:val="20"/>
              </w:rPr>
              <w:t xml:space="preserve">(Attachment J) </w:t>
            </w:r>
            <w:r w:rsidRPr="00345D93">
              <w:rPr>
                <w:sz w:val="20"/>
                <w:szCs w:val="20"/>
              </w:rPr>
              <w:t>(</w:t>
            </w:r>
            <w:r w:rsidRPr="00345D93">
              <w:rPr>
                <w:i/>
                <w:sz w:val="20"/>
                <w:szCs w:val="20"/>
              </w:rPr>
              <w:t>once at baseline for ICU and non-ICU cohorts, 800 units total</w:t>
            </w:r>
            <w:r w:rsidRPr="00345D93">
              <w:rPr>
                <w:sz w:val="20"/>
                <w:szCs w:val="20"/>
              </w:rPr>
              <w:t>)</w:t>
            </w:r>
          </w:p>
        </w:tc>
        <w:tc>
          <w:tcPr>
            <w:tcW w:w="1530" w:type="dxa"/>
            <w:shd w:val="clear" w:color="auto" w:fill="auto"/>
            <w:tcMar>
              <w:top w:w="0" w:type="dxa"/>
              <w:left w:w="108" w:type="dxa"/>
              <w:bottom w:w="0" w:type="dxa"/>
              <w:right w:w="108" w:type="dxa"/>
            </w:tcMar>
          </w:tcPr>
          <w:p w:rsidR="00A65AB2" w:rsidRPr="00345D93" w:rsidP="00761A4F" w14:paraId="187D9D1E" w14:textId="2620ECE9">
            <w:pPr>
              <w:jc w:val="center"/>
              <w:rPr>
                <w:sz w:val="20"/>
                <w:szCs w:val="20"/>
              </w:rPr>
            </w:pPr>
            <w:r w:rsidRPr="00345D93">
              <w:rPr>
                <w:sz w:val="20"/>
                <w:szCs w:val="20"/>
              </w:rPr>
              <w:t>267</w:t>
            </w:r>
          </w:p>
        </w:tc>
        <w:tc>
          <w:tcPr>
            <w:tcW w:w="1620" w:type="dxa"/>
            <w:shd w:val="clear" w:color="auto" w:fill="auto"/>
            <w:tcMar>
              <w:top w:w="0" w:type="dxa"/>
              <w:left w:w="108" w:type="dxa"/>
              <w:bottom w:w="0" w:type="dxa"/>
              <w:right w:w="108" w:type="dxa"/>
            </w:tcMar>
          </w:tcPr>
          <w:p w:rsidR="00A65AB2" w:rsidRPr="00345D93" w:rsidP="00F820C2" w14:paraId="2601542D" w14:textId="2D2A4168">
            <w:pPr>
              <w:jc w:val="center"/>
              <w:rPr>
                <w:sz w:val="20"/>
                <w:szCs w:val="20"/>
              </w:rPr>
            </w:pPr>
            <w:r w:rsidRPr="00345D93">
              <w:rPr>
                <w:sz w:val="20"/>
                <w:szCs w:val="20"/>
              </w:rPr>
              <w:t>935</w:t>
            </w:r>
          </w:p>
        </w:tc>
        <w:tc>
          <w:tcPr>
            <w:tcW w:w="1620" w:type="dxa"/>
          </w:tcPr>
          <w:p w:rsidR="00A65AB2" w:rsidRPr="00345D93" w:rsidP="00761A4F" w14:paraId="1C0718BE" w14:textId="5A7FB7EE">
            <w:pPr>
              <w:jc w:val="center"/>
              <w:rPr>
                <w:bCs/>
                <w:color w:val="000000"/>
                <w:sz w:val="20"/>
                <w:szCs w:val="20"/>
              </w:rPr>
            </w:pPr>
            <w:r w:rsidRPr="00345D93">
              <w:rPr>
                <w:bCs/>
                <w:color w:val="000000"/>
                <w:sz w:val="20"/>
                <w:szCs w:val="20"/>
              </w:rPr>
              <w:t>$35.17</w:t>
            </w:r>
            <w:r w:rsidRPr="00345D93">
              <w:rPr>
                <w:sz w:val="20"/>
                <w:szCs w:val="20"/>
              </w:rPr>
              <w:t>^</w:t>
            </w:r>
          </w:p>
        </w:tc>
        <w:tc>
          <w:tcPr>
            <w:tcW w:w="1800" w:type="dxa"/>
            <w:shd w:val="clear" w:color="auto" w:fill="auto"/>
            <w:tcMar>
              <w:top w:w="0" w:type="dxa"/>
              <w:left w:w="108" w:type="dxa"/>
              <w:bottom w:w="0" w:type="dxa"/>
              <w:right w:w="108" w:type="dxa"/>
            </w:tcMar>
          </w:tcPr>
          <w:p w:rsidR="00A65AB2" w:rsidRPr="00345D93" w:rsidP="00761A4F" w14:paraId="574CF50F" w14:textId="38772C53">
            <w:pPr>
              <w:jc w:val="center"/>
              <w:rPr>
                <w:sz w:val="20"/>
                <w:szCs w:val="20"/>
              </w:rPr>
            </w:pPr>
            <w:r w:rsidRPr="00345D93">
              <w:rPr>
                <w:sz w:val="20"/>
                <w:szCs w:val="20"/>
              </w:rPr>
              <w:t>$32,866</w:t>
            </w:r>
            <w:r w:rsidRPr="00345D93" w:rsidR="008F65CE">
              <w:rPr>
                <w:sz w:val="20"/>
                <w:szCs w:val="20"/>
              </w:rPr>
              <w:t>.37</w:t>
            </w:r>
          </w:p>
        </w:tc>
      </w:tr>
      <w:tr w14:paraId="6F0F946F" w14:textId="77777777" w:rsidTr="00AB6736">
        <w:tblPrEx>
          <w:tblW w:w="9067" w:type="dxa"/>
          <w:tblInd w:w="-162" w:type="dxa"/>
          <w:tblLayout w:type="fixed"/>
          <w:tblCellMar>
            <w:left w:w="0" w:type="dxa"/>
            <w:right w:w="0" w:type="dxa"/>
          </w:tblCellMar>
          <w:tblLook w:val="0000"/>
        </w:tblPrEx>
        <w:tc>
          <w:tcPr>
            <w:tcW w:w="2497" w:type="dxa"/>
            <w:shd w:val="clear" w:color="auto" w:fill="auto"/>
            <w:tcMar>
              <w:top w:w="0" w:type="dxa"/>
              <w:left w:w="108" w:type="dxa"/>
              <w:bottom w:w="0" w:type="dxa"/>
              <w:right w:w="108" w:type="dxa"/>
            </w:tcMar>
          </w:tcPr>
          <w:p w:rsidR="00A65AB2" w:rsidRPr="00345D93" w:rsidP="00A65AB2" w14:paraId="4DD2AC18" w14:textId="521D5E1F">
            <w:pPr>
              <w:pStyle w:val="ColorfulList-Accent11"/>
              <w:ind w:left="0"/>
              <w:rPr>
                <w:sz w:val="20"/>
                <w:szCs w:val="20"/>
              </w:rPr>
            </w:pPr>
            <w:r w:rsidRPr="00345D93">
              <w:rPr>
                <w:sz w:val="20"/>
                <w:szCs w:val="20"/>
              </w:rPr>
              <w:t xml:space="preserve">Initial data pull for </w:t>
            </w:r>
            <w:r w:rsidRPr="00345D93" w:rsidR="00595F37">
              <w:rPr>
                <w:sz w:val="20"/>
                <w:szCs w:val="20"/>
              </w:rPr>
              <w:t xml:space="preserve">10% of </w:t>
            </w:r>
            <w:r w:rsidRPr="00345D93">
              <w:rPr>
                <w:sz w:val="20"/>
                <w:szCs w:val="20"/>
              </w:rPr>
              <w:t xml:space="preserve">units that submit point prevalence survey data </w:t>
            </w:r>
            <w:r w:rsidRPr="00345D93" w:rsidR="00B27DEF">
              <w:rPr>
                <w:sz w:val="20"/>
                <w:szCs w:val="20"/>
              </w:rPr>
              <w:t xml:space="preserve">(Attachment J) </w:t>
            </w:r>
            <w:r w:rsidRPr="00345D93">
              <w:rPr>
                <w:sz w:val="20"/>
                <w:szCs w:val="20"/>
              </w:rPr>
              <w:t>(</w:t>
            </w:r>
            <w:r w:rsidRPr="00345D93">
              <w:rPr>
                <w:i/>
                <w:sz w:val="20"/>
                <w:szCs w:val="20"/>
              </w:rPr>
              <w:t>once at baseline for ICU and non-ICU cohorts, 800 units total</w:t>
            </w:r>
            <w:r w:rsidRPr="00345D93">
              <w:rPr>
                <w:sz w:val="20"/>
                <w:szCs w:val="20"/>
              </w:rPr>
              <w:t>)</w:t>
            </w:r>
          </w:p>
          <w:p w:rsidR="00A65AB2" w:rsidRPr="00345D93" w:rsidP="00761A4F" w14:paraId="4A4AB410" w14:textId="77777777">
            <w:pPr>
              <w:pStyle w:val="ColorfulList-Accent11"/>
              <w:ind w:left="0" w:firstLine="229"/>
              <w:rPr>
                <w:sz w:val="20"/>
                <w:szCs w:val="20"/>
              </w:rPr>
            </w:pPr>
          </w:p>
        </w:tc>
        <w:tc>
          <w:tcPr>
            <w:tcW w:w="1530" w:type="dxa"/>
            <w:shd w:val="clear" w:color="auto" w:fill="auto"/>
            <w:tcMar>
              <w:top w:w="0" w:type="dxa"/>
              <w:left w:w="108" w:type="dxa"/>
              <w:bottom w:w="0" w:type="dxa"/>
              <w:right w:w="108" w:type="dxa"/>
            </w:tcMar>
          </w:tcPr>
          <w:p w:rsidR="00A65AB2" w:rsidRPr="00345D93" w:rsidP="002270E2" w14:paraId="2EEA99FD" w14:textId="5D7555B9">
            <w:pPr>
              <w:jc w:val="center"/>
              <w:rPr>
                <w:sz w:val="20"/>
                <w:szCs w:val="20"/>
              </w:rPr>
            </w:pPr>
            <w:r w:rsidRPr="00345D93">
              <w:rPr>
                <w:sz w:val="20"/>
                <w:szCs w:val="20"/>
              </w:rPr>
              <w:t>27</w:t>
            </w:r>
          </w:p>
        </w:tc>
        <w:tc>
          <w:tcPr>
            <w:tcW w:w="1620" w:type="dxa"/>
            <w:shd w:val="clear" w:color="auto" w:fill="auto"/>
            <w:tcMar>
              <w:top w:w="0" w:type="dxa"/>
              <w:left w:w="108" w:type="dxa"/>
              <w:bottom w:w="0" w:type="dxa"/>
              <w:right w:w="108" w:type="dxa"/>
            </w:tcMar>
          </w:tcPr>
          <w:p w:rsidR="00A65AB2" w:rsidRPr="00345D93" w:rsidP="00761A4F" w14:paraId="79224005" w14:textId="409A1537">
            <w:pPr>
              <w:jc w:val="center"/>
              <w:rPr>
                <w:sz w:val="20"/>
                <w:szCs w:val="20"/>
              </w:rPr>
            </w:pPr>
            <w:r w:rsidRPr="00345D93">
              <w:rPr>
                <w:sz w:val="20"/>
                <w:szCs w:val="20"/>
              </w:rPr>
              <w:t>14</w:t>
            </w:r>
          </w:p>
        </w:tc>
        <w:tc>
          <w:tcPr>
            <w:tcW w:w="1620" w:type="dxa"/>
          </w:tcPr>
          <w:p w:rsidR="00A65AB2" w:rsidRPr="00345D93" w:rsidP="00761A4F" w14:paraId="31FEFA1A" w14:textId="7EB25A8E">
            <w:pPr>
              <w:jc w:val="center"/>
              <w:rPr>
                <w:bCs/>
                <w:color w:val="000000"/>
                <w:sz w:val="20"/>
                <w:szCs w:val="20"/>
              </w:rPr>
            </w:pPr>
            <w:r w:rsidRPr="00345D93">
              <w:rPr>
                <w:bCs/>
                <w:color w:val="000000"/>
                <w:sz w:val="20"/>
                <w:szCs w:val="20"/>
              </w:rPr>
              <w:t>$35.17</w:t>
            </w:r>
            <w:r w:rsidRPr="00345D93">
              <w:rPr>
                <w:sz w:val="20"/>
                <w:szCs w:val="20"/>
              </w:rPr>
              <w:t>^</w:t>
            </w:r>
          </w:p>
        </w:tc>
        <w:tc>
          <w:tcPr>
            <w:tcW w:w="1800" w:type="dxa"/>
            <w:shd w:val="clear" w:color="auto" w:fill="auto"/>
            <w:tcMar>
              <w:top w:w="0" w:type="dxa"/>
              <w:left w:w="108" w:type="dxa"/>
              <w:bottom w:w="0" w:type="dxa"/>
              <w:right w:w="108" w:type="dxa"/>
            </w:tcMar>
          </w:tcPr>
          <w:p w:rsidR="00A65AB2" w:rsidRPr="00345D93" w:rsidP="002270E2" w14:paraId="1DCD7BB5" w14:textId="03E78CC9">
            <w:pPr>
              <w:jc w:val="center"/>
              <w:rPr>
                <w:sz w:val="20"/>
                <w:szCs w:val="20"/>
              </w:rPr>
            </w:pPr>
            <w:r w:rsidRPr="00345D93">
              <w:rPr>
                <w:sz w:val="20"/>
                <w:szCs w:val="20"/>
              </w:rPr>
              <w:t>$4</w:t>
            </w:r>
            <w:r w:rsidRPr="00345D93" w:rsidR="002270E2">
              <w:rPr>
                <w:sz w:val="20"/>
                <w:szCs w:val="20"/>
              </w:rPr>
              <w:t>74</w:t>
            </w:r>
            <w:r w:rsidRPr="00345D93">
              <w:rPr>
                <w:sz w:val="20"/>
                <w:szCs w:val="20"/>
              </w:rPr>
              <w:t>.</w:t>
            </w:r>
            <w:r w:rsidRPr="00345D93" w:rsidR="002270E2">
              <w:rPr>
                <w:sz w:val="20"/>
                <w:szCs w:val="20"/>
              </w:rPr>
              <w:t>80</w:t>
            </w:r>
          </w:p>
        </w:tc>
      </w:tr>
      <w:tr w14:paraId="36CF43A5" w14:textId="77777777" w:rsidTr="00AB6736">
        <w:tblPrEx>
          <w:tblW w:w="9067" w:type="dxa"/>
          <w:tblInd w:w="-162" w:type="dxa"/>
          <w:tblLayout w:type="fixed"/>
          <w:tblCellMar>
            <w:left w:w="0" w:type="dxa"/>
            <w:right w:w="0" w:type="dxa"/>
          </w:tblCellMar>
          <w:tblLook w:val="0000"/>
        </w:tblPrEx>
        <w:tc>
          <w:tcPr>
            <w:tcW w:w="2497" w:type="dxa"/>
            <w:shd w:val="clear" w:color="auto" w:fill="auto"/>
            <w:tcMar>
              <w:top w:w="0" w:type="dxa"/>
              <w:left w:w="108" w:type="dxa"/>
              <w:bottom w:w="0" w:type="dxa"/>
              <w:right w:w="108" w:type="dxa"/>
            </w:tcMar>
          </w:tcPr>
          <w:p w:rsidR="00B53B77" w:rsidRPr="0014252A" w:rsidP="00B53B77" w14:paraId="4BF86330" w14:textId="4B0A576A">
            <w:pPr>
              <w:pStyle w:val="ColorfulList-Accent11"/>
              <w:ind w:left="0"/>
              <w:rPr>
                <w:sz w:val="20"/>
                <w:szCs w:val="20"/>
                <w:highlight w:val="yellow"/>
              </w:rPr>
            </w:pPr>
            <w:r w:rsidRPr="0014252A">
              <w:rPr>
                <w:sz w:val="20"/>
                <w:szCs w:val="20"/>
                <w:highlight w:val="yellow"/>
              </w:rPr>
              <w:t>Subsequent data pull for 10% of units that submit point prevalence data (</w:t>
            </w:r>
            <w:r w:rsidRPr="00D84A59" w:rsidR="000D5174">
              <w:rPr>
                <w:i/>
                <w:sz w:val="20"/>
                <w:szCs w:val="20"/>
                <w:highlight w:val="yellow"/>
              </w:rPr>
              <w:t>every six months</w:t>
            </w:r>
            <w:r w:rsidRPr="0014252A">
              <w:rPr>
                <w:i/>
                <w:iCs/>
                <w:sz w:val="20"/>
                <w:szCs w:val="20"/>
                <w:highlight w:val="yellow"/>
              </w:rPr>
              <w:t xml:space="preserve"> during 18 months of implementation for ICU and non-ICU cohorts, 800 units total</w:t>
            </w:r>
            <w:r w:rsidRPr="0014252A">
              <w:rPr>
                <w:sz w:val="20"/>
                <w:szCs w:val="20"/>
                <w:highlight w:val="yellow"/>
              </w:rPr>
              <w:t>)</w:t>
            </w:r>
          </w:p>
        </w:tc>
        <w:tc>
          <w:tcPr>
            <w:tcW w:w="1530" w:type="dxa"/>
            <w:shd w:val="clear" w:color="auto" w:fill="auto"/>
            <w:tcMar>
              <w:top w:w="0" w:type="dxa"/>
              <w:left w:w="108" w:type="dxa"/>
              <w:bottom w:w="0" w:type="dxa"/>
              <w:right w:w="108" w:type="dxa"/>
            </w:tcMar>
          </w:tcPr>
          <w:p w:rsidR="00B53B77" w:rsidRPr="0014252A" w:rsidP="00B53B77" w14:paraId="130208BA" w14:textId="579DBB70">
            <w:pPr>
              <w:jc w:val="center"/>
              <w:rPr>
                <w:sz w:val="20"/>
                <w:szCs w:val="20"/>
                <w:highlight w:val="yellow"/>
              </w:rPr>
            </w:pPr>
            <w:r w:rsidRPr="0014252A">
              <w:rPr>
                <w:sz w:val="20"/>
                <w:szCs w:val="20"/>
                <w:highlight w:val="yellow"/>
              </w:rPr>
              <w:t>27</w:t>
            </w:r>
          </w:p>
        </w:tc>
        <w:tc>
          <w:tcPr>
            <w:tcW w:w="1620" w:type="dxa"/>
            <w:shd w:val="clear" w:color="auto" w:fill="auto"/>
            <w:tcMar>
              <w:top w:w="0" w:type="dxa"/>
              <w:left w:w="108" w:type="dxa"/>
              <w:bottom w:w="0" w:type="dxa"/>
              <w:right w:w="108" w:type="dxa"/>
            </w:tcMar>
          </w:tcPr>
          <w:p w:rsidR="00B53B77" w:rsidRPr="0014252A" w:rsidP="00B53B77" w14:paraId="50157B58" w14:textId="592C8AC8">
            <w:pPr>
              <w:jc w:val="center"/>
              <w:rPr>
                <w:sz w:val="20"/>
                <w:szCs w:val="20"/>
                <w:highlight w:val="yellow"/>
              </w:rPr>
            </w:pPr>
            <w:r w:rsidRPr="0014252A">
              <w:rPr>
                <w:sz w:val="20"/>
                <w:szCs w:val="20"/>
                <w:highlight w:val="yellow"/>
              </w:rPr>
              <w:t>20</w:t>
            </w:r>
          </w:p>
        </w:tc>
        <w:tc>
          <w:tcPr>
            <w:tcW w:w="1620" w:type="dxa"/>
          </w:tcPr>
          <w:p w:rsidR="00B53B77" w:rsidRPr="0014252A" w:rsidP="00B53B77" w14:paraId="6329CC83" w14:textId="1CD5055B">
            <w:pPr>
              <w:jc w:val="center"/>
              <w:rPr>
                <w:bCs/>
                <w:color w:val="000000"/>
                <w:sz w:val="20"/>
                <w:szCs w:val="20"/>
                <w:highlight w:val="yellow"/>
              </w:rPr>
            </w:pPr>
            <w:r w:rsidRPr="0014252A">
              <w:rPr>
                <w:bCs/>
                <w:color w:val="000000"/>
                <w:sz w:val="20"/>
                <w:szCs w:val="20"/>
                <w:highlight w:val="yellow"/>
              </w:rPr>
              <w:t>$35.17</w:t>
            </w:r>
            <w:r w:rsidRPr="0014252A">
              <w:rPr>
                <w:sz w:val="20"/>
                <w:szCs w:val="20"/>
                <w:highlight w:val="yellow"/>
              </w:rPr>
              <w:t>^</w:t>
            </w:r>
          </w:p>
        </w:tc>
        <w:tc>
          <w:tcPr>
            <w:tcW w:w="1800" w:type="dxa"/>
            <w:shd w:val="clear" w:color="auto" w:fill="auto"/>
            <w:tcMar>
              <w:top w:w="0" w:type="dxa"/>
              <w:left w:w="108" w:type="dxa"/>
              <w:bottom w:w="0" w:type="dxa"/>
              <w:right w:w="108" w:type="dxa"/>
            </w:tcMar>
          </w:tcPr>
          <w:p w:rsidR="00B53B77" w:rsidRPr="0014252A" w:rsidP="00B53B77" w14:paraId="5597ACDB" w14:textId="4F052C03">
            <w:pPr>
              <w:jc w:val="center"/>
              <w:rPr>
                <w:sz w:val="20"/>
                <w:szCs w:val="20"/>
                <w:highlight w:val="yellow"/>
              </w:rPr>
            </w:pPr>
            <w:r w:rsidRPr="0014252A">
              <w:rPr>
                <w:sz w:val="20"/>
                <w:szCs w:val="20"/>
                <w:highlight w:val="yellow"/>
              </w:rPr>
              <w:t>$7</w:t>
            </w:r>
            <w:r w:rsidR="00153AC2">
              <w:rPr>
                <w:sz w:val="20"/>
                <w:szCs w:val="20"/>
                <w:highlight w:val="yellow"/>
              </w:rPr>
              <w:t>03.40</w:t>
            </w:r>
          </w:p>
        </w:tc>
      </w:tr>
      <w:tr w14:paraId="51AE2C43" w14:textId="77777777" w:rsidTr="00AB6736">
        <w:tblPrEx>
          <w:tblW w:w="9067" w:type="dxa"/>
          <w:tblInd w:w="-162" w:type="dxa"/>
          <w:tblLayout w:type="fixed"/>
          <w:tblCellMar>
            <w:left w:w="0" w:type="dxa"/>
            <w:right w:w="0" w:type="dxa"/>
          </w:tblCellMar>
          <w:tblLook w:val="0000"/>
        </w:tblPrEx>
        <w:tc>
          <w:tcPr>
            <w:tcW w:w="2497" w:type="dxa"/>
            <w:shd w:val="clear" w:color="auto" w:fill="auto"/>
            <w:tcMar>
              <w:top w:w="0" w:type="dxa"/>
              <w:left w:w="108" w:type="dxa"/>
              <w:bottom w:w="0" w:type="dxa"/>
              <w:right w:w="108" w:type="dxa"/>
            </w:tcMar>
          </w:tcPr>
          <w:p w:rsidR="00B53B77" w:rsidRPr="0061116F" w:rsidP="00B53B77" w14:paraId="567107C9" w14:textId="49BFC8C1">
            <w:pPr>
              <w:pStyle w:val="ColorfulList-Accent11"/>
              <w:ind w:left="0" w:firstLine="229"/>
              <w:rPr>
                <w:sz w:val="20"/>
                <w:szCs w:val="20"/>
              </w:rPr>
            </w:pPr>
            <w:r w:rsidRPr="0061116F">
              <w:rPr>
                <w:sz w:val="20"/>
                <w:szCs w:val="20"/>
              </w:rPr>
              <w:t xml:space="preserve">Initial data pull for </w:t>
            </w:r>
            <w:r w:rsidRPr="0014252A" w:rsidR="00D56952">
              <w:rPr>
                <w:sz w:val="20"/>
                <w:szCs w:val="20"/>
                <w:highlight w:val="yellow"/>
              </w:rPr>
              <w:t>5</w:t>
            </w:r>
            <w:r w:rsidRPr="0014252A">
              <w:rPr>
                <w:sz w:val="20"/>
                <w:szCs w:val="20"/>
                <w:highlight w:val="yellow"/>
              </w:rPr>
              <w:t>0</w:t>
            </w:r>
            <w:r w:rsidRPr="0061116F">
              <w:rPr>
                <w:sz w:val="20"/>
                <w:szCs w:val="20"/>
              </w:rPr>
              <w:t>% of surgical settings that do not confer rights to NHSN data (Attachment K)-</w:t>
            </w:r>
          </w:p>
          <w:p w:rsidR="00B53B77" w:rsidRPr="0061116F" w:rsidP="00B53B77" w14:paraId="30662CC7" w14:textId="49448163">
            <w:pPr>
              <w:pStyle w:val="ColorfulList-Accent11"/>
              <w:ind w:left="0" w:firstLine="229"/>
              <w:rPr>
                <w:sz w:val="20"/>
                <w:szCs w:val="20"/>
              </w:rPr>
            </w:pPr>
            <w:r w:rsidRPr="0061116F">
              <w:rPr>
                <w:sz w:val="20"/>
                <w:szCs w:val="20"/>
              </w:rPr>
              <w:t>(</w:t>
            </w:r>
            <w:r w:rsidRPr="0061116F">
              <w:rPr>
                <w:i/>
                <w:sz w:val="20"/>
                <w:szCs w:val="20"/>
              </w:rPr>
              <w:t>once</w:t>
            </w:r>
            <w:r w:rsidRPr="0061116F">
              <w:rPr>
                <w:i/>
                <w:sz w:val="20"/>
                <w:szCs w:val="20"/>
              </w:rPr>
              <w:t xml:space="preserve"> at baseline for Surgical cohort, 300 settings total</w:t>
            </w:r>
            <w:r w:rsidRPr="0061116F">
              <w:rPr>
                <w:sz w:val="20"/>
                <w:szCs w:val="20"/>
              </w:rPr>
              <w:t>)</w:t>
            </w:r>
          </w:p>
        </w:tc>
        <w:tc>
          <w:tcPr>
            <w:tcW w:w="1530" w:type="dxa"/>
            <w:shd w:val="clear" w:color="auto" w:fill="auto"/>
            <w:tcMar>
              <w:top w:w="0" w:type="dxa"/>
              <w:left w:w="108" w:type="dxa"/>
              <w:bottom w:w="0" w:type="dxa"/>
              <w:right w:w="108" w:type="dxa"/>
            </w:tcMar>
          </w:tcPr>
          <w:p w:rsidR="00B53B77" w:rsidRPr="0014252A" w:rsidP="00B53B77" w14:paraId="5AD0AA87" w14:textId="5D85766B">
            <w:pPr>
              <w:jc w:val="center"/>
              <w:rPr>
                <w:sz w:val="20"/>
                <w:szCs w:val="20"/>
                <w:highlight w:val="yellow"/>
              </w:rPr>
            </w:pPr>
            <w:r w:rsidRPr="00D84A59">
              <w:rPr>
                <w:sz w:val="20"/>
                <w:szCs w:val="20"/>
                <w:highlight w:val="yellow"/>
              </w:rPr>
              <w:t>50</w:t>
            </w:r>
          </w:p>
        </w:tc>
        <w:tc>
          <w:tcPr>
            <w:tcW w:w="1620" w:type="dxa"/>
            <w:shd w:val="clear" w:color="auto" w:fill="auto"/>
            <w:tcMar>
              <w:top w:w="0" w:type="dxa"/>
              <w:left w:w="108" w:type="dxa"/>
              <w:bottom w:w="0" w:type="dxa"/>
              <w:right w:w="108" w:type="dxa"/>
            </w:tcMar>
          </w:tcPr>
          <w:p w:rsidR="00B53B77" w:rsidRPr="0014252A" w:rsidP="00B53B77" w14:paraId="122AEDE3" w14:textId="641CD829">
            <w:pPr>
              <w:jc w:val="center"/>
              <w:rPr>
                <w:sz w:val="20"/>
                <w:szCs w:val="20"/>
                <w:highlight w:val="yellow"/>
              </w:rPr>
            </w:pPr>
            <w:r w:rsidRPr="00D84A59">
              <w:rPr>
                <w:sz w:val="20"/>
                <w:szCs w:val="20"/>
                <w:highlight w:val="yellow"/>
              </w:rPr>
              <w:t>50</w:t>
            </w:r>
          </w:p>
        </w:tc>
        <w:tc>
          <w:tcPr>
            <w:tcW w:w="1620" w:type="dxa"/>
          </w:tcPr>
          <w:p w:rsidR="00B53B77" w:rsidRPr="00F91BDB" w:rsidP="00B53B77" w14:paraId="13F4E613" w14:textId="33E874C6">
            <w:pPr>
              <w:jc w:val="center"/>
              <w:rPr>
                <w:color w:val="000000"/>
                <w:sz w:val="20"/>
                <w:szCs w:val="20"/>
              </w:rPr>
            </w:pPr>
            <w:r w:rsidRPr="00F91BDB">
              <w:rPr>
                <w:color w:val="000000"/>
                <w:sz w:val="20"/>
                <w:szCs w:val="20"/>
              </w:rPr>
              <w:t>$35.17</w:t>
            </w:r>
            <w:r w:rsidRPr="0061116F">
              <w:rPr>
                <w:sz w:val="20"/>
                <w:szCs w:val="20"/>
              </w:rPr>
              <w:t>^</w:t>
            </w:r>
          </w:p>
        </w:tc>
        <w:tc>
          <w:tcPr>
            <w:tcW w:w="1800" w:type="dxa"/>
            <w:shd w:val="clear" w:color="auto" w:fill="auto"/>
            <w:tcMar>
              <w:top w:w="0" w:type="dxa"/>
              <w:left w:w="108" w:type="dxa"/>
              <w:bottom w:w="0" w:type="dxa"/>
              <w:right w:w="108" w:type="dxa"/>
            </w:tcMar>
          </w:tcPr>
          <w:p w:rsidR="00B53B77" w:rsidRPr="0061116F" w:rsidP="00B53B77" w14:paraId="352B1AC1" w14:textId="419D8F4F">
            <w:pPr>
              <w:jc w:val="center"/>
              <w:rPr>
                <w:sz w:val="20"/>
                <w:szCs w:val="20"/>
              </w:rPr>
            </w:pPr>
            <w:r w:rsidRPr="0014252A">
              <w:rPr>
                <w:sz w:val="20"/>
                <w:szCs w:val="20"/>
                <w:highlight w:val="yellow"/>
              </w:rPr>
              <w:t>$</w:t>
            </w:r>
            <w:r w:rsidRPr="00D84A59" w:rsidR="008E0368">
              <w:rPr>
                <w:sz w:val="20"/>
                <w:szCs w:val="20"/>
                <w:highlight w:val="yellow"/>
              </w:rPr>
              <w:t>1,758.50</w:t>
            </w:r>
          </w:p>
        </w:tc>
      </w:tr>
      <w:tr w14:paraId="60F9F7DD" w14:textId="77777777" w:rsidTr="00AB6736">
        <w:tblPrEx>
          <w:tblW w:w="9067" w:type="dxa"/>
          <w:tblInd w:w="-162" w:type="dxa"/>
          <w:tblLayout w:type="fixed"/>
          <w:tblCellMar>
            <w:left w:w="0" w:type="dxa"/>
            <w:right w:w="0" w:type="dxa"/>
          </w:tblCellMar>
          <w:tblLook w:val="0000"/>
        </w:tblPrEx>
        <w:tc>
          <w:tcPr>
            <w:tcW w:w="2497" w:type="dxa"/>
            <w:shd w:val="clear" w:color="auto" w:fill="auto"/>
            <w:tcMar>
              <w:top w:w="0" w:type="dxa"/>
              <w:left w:w="108" w:type="dxa"/>
              <w:bottom w:w="0" w:type="dxa"/>
              <w:right w:w="108" w:type="dxa"/>
            </w:tcMar>
          </w:tcPr>
          <w:p w:rsidR="00B53B77" w:rsidRPr="0061116F" w:rsidP="00B53B77" w14:paraId="642484DC" w14:textId="099CCE90">
            <w:pPr>
              <w:pStyle w:val="ColorfulList-Accent11"/>
              <w:ind w:left="0" w:firstLine="229"/>
              <w:rPr>
                <w:sz w:val="20"/>
                <w:szCs w:val="20"/>
              </w:rPr>
            </w:pPr>
            <w:r w:rsidRPr="0061116F">
              <w:rPr>
                <w:sz w:val="20"/>
                <w:szCs w:val="20"/>
              </w:rPr>
              <w:t>Initial data pull (Attachment L)-</w:t>
            </w:r>
          </w:p>
          <w:p w:rsidR="00B53B77" w:rsidRPr="0061116F" w:rsidP="00B53B77" w14:paraId="346BA6FB" w14:textId="6809DA37">
            <w:pPr>
              <w:pStyle w:val="ColorfulList-Accent11"/>
              <w:ind w:left="0" w:firstLine="229"/>
              <w:rPr>
                <w:sz w:val="20"/>
                <w:szCs w:val="20"/>
              </w:rPr>
            </w:pPr>
            <w:r w:rsidRPr="0061116F">
              <w:rPr>
                <w:sz w:val="20"/>
                <w:szCs w:val="20"/>
              </w:rPr>
              <w:t>(</w:t>
            </w:r>
            <w:r w:rsidRPr="0061116F">
              <w:rPr>
                <w:i/>
                <w:sz w:val="20"/>
                <w:szCs w:val="20"/>
              </w:rPr>
              <w:t>once</w:t>
            </w:r>
            <w:r w:rsidRPr="0061116F">
              <w:rPr>
                <w:i/>
                <w:sz w:val="20"/>
                <w:szCs w:val="20"/>
              </w:rPr>
              <w:t xml:space="preserve"> at baseline for LTC cohort, 300 facilities total</w:t>
            </w:r>
            <w:r w:rsidRPr="0061116F">
              <w:rPr>
                <w:sz w:val="20"/>
                <w:szCs w:val="20"/>
              </w:rPr>
              <w:t>)</w:t>
            </w:r>
          </w:p>
        </w:tc>
        <w:tc>
          <w:tcPr>
            <w:tcW w:w="1530" w:type="dxa"/>
            <w:shd w:val="clear" w:color="auto" w:fill="auto"/>
            <w:tcMar>
              <w:top w:w="0" w:type="dxa"/>
              <w:left w:w="108" w:type="dxa"/>
              <w:bottom w:w="0" w:type="dxa"/>
              <w:right w:w="108" w:type="dxa"/>
            </w:tcMar>
          </w:tcPr>
          <w:p w:rsidR="00B53B77" w:rsidRPr="0061116F" w:rsidP="00B53B77" w14:paraId="20F1B06B" w14:textId="28F8F7C4">
            <w:pPr>
              <w:jc w:val="center"/>
              <w:rPr>
                <w:sz w:val="20"/>
                <w:szCs w:val="20"/>
              </w:rPr>
            </w:pPr>
            <w:r w:rsidRPr="0061116F">
              <w:rPr>
                <w:sz w:val="20"/>
                <w:szCs w:val="20"/>
              </w:rPr>
              <w:t>100</w:t>
            </w:r>
          </w:p>
        </w:tc>
        <w:tc>
          <w:tcPr>
            <w:tcW w:w="1620" w:type="dxa"/>
            <w:shd w:val="clear" w:color="auto" w:fill="auto"/>
            <w:tcMar>
              <w:top w:w="0" w:type="dxa"/>
              <w:left w:w="108" w:type="dxa"/>
              <w:bottom w:w="0" w:type="dxa"/>
              <w:right w:w="108" w:type="dxa"/>
            </w:tcMar>
          </w:tcPr>
          <w:p w:rsidR="00B53B77" w:rsidRPr="0061116F" w:rsidP="00B53B77" w14:paraId="7309CC6A" w14:textId="548FB18D">
            <w:pPr>
              <w:jc w:val="center"/>
              <w:rPr>
                <w:sz w:val="20"/>
                <w:szCs w:val="20"/>
              </w:rPr>
            </w:pPr>
            <w:r w:rsidRPr="0014252A">
              <w:rPr>
                <w:sz w:val="20"/>
                <w:szCs w:val="20"/>
                <w:highlight w:val="yellow"/>
              </w:rPr>
              <w:t>6</w:t>
            </w:r>
            <w:r w:rsidRPr="0014252A">
              <w:rPr>
                <w:sz w:val="20"/>
                <w:szCs w:val="20"/>
                <w:highlight w:val="yellow"/>
              </w:rPr>
              <w:t>00</w:t>
            </w:r>
          </w:p>
        </w:tc>
        <w:tc>
          <w:tcPr>
            <w:tcW w:w="1620" w:type="dxa"/>
          </w:tcPr>
          <w:p w:rsidR="00B53B77" w:rsidRPr="0061116F" w:rsidP="00B53B77" w14:paraId="59F3ECA7" w14:textId="623204A1">
            <w:pPr>
              <w:jc w:val="center"/>
              <w:rPr>
                <w:color w:val="000000"/>
                <w:sz w:val="20"/>
                <w:szCs w:val="20"/>
              </w:rPr>
            </w:pPr>
            <w:r w:rsidRPr="0061116F">
              <w:rPr>
                <w:color w:val="000000"/>
                <w:sz w:val="20"/>
                <w:szCs w:val="20"/>
              </w:rPr>
              <w:t>$35.17</w:t>
            </w:r>
            <w:r w:rsidRPr="0061116F">
              <w:rPr>
                <w:sz w:val="20"/>
                <w:szCs w:val="20"/>
              </w:rPr>
              <w:t>^</w:t>
            </w:r>
          </w:p>
        </w:tc>
        <w:tc>
          <w:tcPr>
            <w:tcW w:w="1800" w:type="dxa"/>
            <w:shd w:val="clear" w:color="auto" w:fill="auto"/>
            <w:tcMar>
              <w:top w:w="0" w:type="dxa"/>
              <w:left w:w="108" w:type="dxa"/>
              <w:bottom w:w="0" w:type="dxa"/>
              <w:right w:w="108" w:type="dxa"/>
            </w:tcMar>
          </w:tcPr>
          <w:p w:rsidR="00B53B77" w:rsidRPr="0061116F" w:rsidP="00B53B77" w14:paraId="7DCA9D1A" w14:textId="279B3E9F">
            <w:pPr>
              <w:jc w:val="center"/>
              <w:rPr>
                <w:sz w:val="20"/>
                <w:szCs w:val="20"/>
              </w:rPr>
            </w:pPr>
            <w:r w:rsidRPr="0014252A">
              <w:rPr>
                <w:sz w:val="20"/>
                <w:szCs w:val="20"/>
                <w:highlight w:val="yellow"/>
              </w:rPr>
              <w:t>$</w:t>
            </w:r>
            <w:r w:rsidRPr="0014252A" w:rsidR="00EF3C92">
              <w:rPr>
                <w:sz w:val="20"/>
                <w:szCs w:val="20"/>
                <w:highlight w:val="yellow"/>
              </w:rPr>
              <w:t>21,102.00</w:t>
            </w:r>
          </w:p>
        </w:tc>
      </w:tr>
      <w:tr w14:paraId="79E7F4F3" w14:textId="77777777" w:rsidTr="00AB6736">
        <w:tblPrEx>
          <w:tblW w:w="9067" w:type="dxa"/>
          <w:tblInd w:w="-162" w:type="dxa"/>
          <w:tblLayout w:type="fixed"/>
          <w:tblCellMar>
            <w:left w:w="0" w:type="dxa"/>
            <w:right w:w="0" w:type="dxa"/>
          </w:tblCellMar>
          <w:tblLook w:val="0000"/>
        </w:tblPrEx>
        <w:tc>
          <w:tcPr>
            <w:tcW w:w="2497" w:type="dxa"/>
            <w:shd w:val="clear" w:color="auto" w:fill="auto"/>
            <w:tcMar>
              <w:top w:w="0" w:type="dxa"/>
              <w:left w:w="108" w:type="dxa"/>
              <w:bottom w:w="0" w:type="dxa"/>
              <w:right w:w="108" w:type="dxa"/>
            </w:tcMar>
          </w:tcPr>
          <w:p w:rsidR="00B53B77" w:rsidRPr="00345D93" w:rsidP="00B53B77" w14:paraId="2D2FF930" w14:textId="2E4511B6">
            <w:pPr>
              <w:pStyle w:val="ColorfulList-Accent11"/>
              <w:ind w:left="0" w:firstLine="229"/>
              <w:rPr>
                <w:sz w:val="20"/>
                <w:szCs w:val="20"/>
              </w:rPr>
            </w:pPr>
            <w:r w:rsidRPr="00345D93">
              <w:rPr>
                <w:sz w:val="20"/>
                <w:szCs w:val="20"/>
              </w:rPr>
              <w:t xml:space="preserve">Quarterly data (Attachments J)- </w:t>
            </w:r>
          </w:p>
          <w:p w:rsidR="00B53B77" w:rsidRPr="00345D93" w:rsidP="00B53B77" w14:paraId="6161BB1E" w14:textId="1763A0FA">
            <w:pPr>
              <w:pStyle w:val="ColorfulList-Accent11"/>
              <w:ind w:left="229"/>
              <w:rPr>
                <w:i/>
                <w:sz w:val="20"/>
                <w:szCs w:val="20"/>
              </w:rPr>
            </w:pPr>
            <w:r w:rsidRPr="00345D93">
              <w:rPr>
                <w:i/>
                <w:sz w:val="20"/>
                <w:szCs w:val="20"/>
              </w:rPr>
              <w:t xml:space="preserve">(quarterly during 18 months of </w:t>
            </w:r>
            <w:r w:rsidRPr="00345D93">
              <w:rPr>
                <w:bCs/>
                <w:i/>
                <w:color w:val="000000"/>
                <w:sz w:val="20"/>
                <w:szCs w:val="20"/>
              </w:rPr>
              <w:t>implementation</w:t>
            </w:r>
            <w:r w:rsidRPr="00345D93">
              <w:rPr>
                <w:i/>
                <w:sz w:val="20"/>
                <w:szCs w:val="20"/>
              </w:rPr>
              <w:t xml:space="preserve">  for</w:t>
            </w:r>
            <w:r w:rsidRPr="00345D93">
              <w:rPr>
                <w:i/>
                <w:sz w:val="20"/>
                <w:szCs w:val="20"/>
              </w:rPr>
              <w:t xml:space="preserve"> ICU and non-ICU cohorts, 1,100 units total)</w:t>
            </w:r>
          </w:p>
        </w:tc>
        <w:tc>
          <w:tcPr>
            <w:tcW w:w="1530" w:type="dxa"/>
            <w:shd w:val="clear" w:color="auto" w:fill="auto"/>
            <w:tcMar>
              <w:top w:w="0" w:type="dxa"/>
              <w:left w:w="108" w:type="dxa"/>
              <w:bottom w:w="0" w:type="dxa"/>
              <w:right w:w="108" w:type="dxa"/>
            </w:tcMar>
          </w:tcPr>
          <w:p w:rsidR="00B53B77" w:rsidRPr="00345D93" w:rsidP="00B53B77" w14:paraId="7D546AA7" w14:textId="64236472">
            <w:pPr>
              <w:jc w:val="center"/>
              <w:rPr>
                <w:sz w:val="20"/>
                <w:szCs w:val="20"/>
              </w:rPr>
            </w:pPr>
            <w:r w:rsidRPr="00345D93">
              <w:rPr>
                <w:sz w:val="20"/>
                <w:szCs w:val="20"/>
              </w:rPr>
              <w:t>267</w:t>
            </w:r>
          </w:p>
        </w:tc>
        <w:tc>
          <w:tcPr>
            <w:tcW w:w="1620" w:type="dxa"/>
            <w:shd w:val="clear" w:color="auto" w:fill="auto"/>
            <w:tcMar>
              <w:top w:w="0" w:type="dxa"/>
              <w:left w:w="108" w:type="dxa"/>
              <w:bottom w:w="0" w:type="dxa"/>
              <w:right w:w="108" w:type="dxa"/>
            </w:tcMar>
          </w:tcPr>
          <w:p w:rsidR="00B53B77" w:rsidRPr="00345D93" w:rsidP="00B53B77" w14:paraId="2A8C7311" w14:textId="3CD14A26">
            <w:pPr>
              <w:jc w:val="center"/>
              <w:rPr>
                <w:sz w:val="20"/>
                <w:szCs w:val="20"/>
              </w:rPr>
            </w:pPr>
            <w:r w:rsidRPr="00345D93">
              <w:rPr>
                <w:sz w:val="20"/>
                <w:szCs w:val="20"/>
              </w:rPr>
              <w:t>801</w:t>
            </w:r>
          </w:p>
        </w:tc>
        <w:tc>
          <w:tcPr>
            <w:tcW w:w="1620" w:type="dxa"/>
          </w:tcPr>
          <w:p w:rsidR="00B53B77" w:rsidRPr="00345D93" w:rsidP="00B53B77" w14:paraId="69272A51" w14:textId="7800F2D4">
            <w:pPr>
              <w:jc w:val="center"/>
              <w:rPr>
                <w:bCs/>
                <w:color w:val="000000"/>
                <w:sz w:val="20"/>
                <w:szCs w:val="20"/>
              </w:rPr>
            </w:pPr>
            <w:r w:rsidRPr="00345D93">
              <w:rPr>
                <w:bCs/>
                <w:color w:val="000000"/>
                <w:sz w:val="20"/>
                <w:szCs w:val="20"/>
              </w:rPr>
              <w:t>$35.17</w:t>
            </w:r>
            <w:r w:rsidRPr="00345D93">
              <w:rPr>
                <w:sz w:val="20"/>
                <w:szCs w:val="20"/>
              </w:rPr>
              <w:t>^</w:t>
            </w:r>
          </w:p>
        </w:tc>
        <w:tc>
          <w:tcPr>
            <w:tcW w:w="1800" w:type="dxa"/>
            <w:shd w:val="clear" w:color="auto" w:fill="auto"/>
            <w:tcMar>
              <w:top w:w="0" w:type="dxa"/>
              <w:left w:w="108" w:type="dxa"/>
              <w:bottom w:w="0" w:type="dxa"/>
              <w:right w:w="108" w:type="dxa"/>
            </w:tcMar>
          </w:tcPr>
          <w:p w:rsidR="00B53B77" w:rsidRPr="00345D93" w:rsidP="00B53B77" w14:paraId="1E8F48C8" w14:textId="44165A63">
            <w:pPr>
              <w:jc w:val="center"/>
              <w:rPr>
                <w:sz w:val="20"/>
                <w:szCs w:val="20"/>
              </w:rPr>
            </w:pPr>
            <w:r w:rsidRPr="00345D93">
              <w:rPr>
                <w:sz w:val="20"/>
                <w:szCs w:val="20"/>
              </w:rPr>
              <w:t>$28,171.17</w:t>
            </w:r>
          </w:p>
        </w:tc>
      </w:tr>
      <w:tr w14:paraId="4E90813E" w14:textId="77777777" w:rsidTr="00AB6736">
        <w:tblPrEx>
          <w:tblW w:w="9067" w:type="dxa"/>
          <w:tblInd w:w="-162" w:type="dxa"/>
          <w:tblLayout w:type="fixed"/>
          <w:tblCellMar>
            <w:left w:w="0" w:type="dxa"/>
            <w:right w:w="0" w:type="dxa"/>
          </w:tblCellMar>
          <w:tblLook w:val="0000"/>
        </w:tblPrEx>
        <w:tc>
          <w:tcPr>
            <w:tcW w:w="2497" w:type="dxa"/>
            <w:shd w:val="clear" w:color="auto" w:fill="auto"/>
            <w:tcMar>
              <w:top w:w="0" w:type="dxa"/>
              <w:left w:w="108" w:type="dxa"/>
              <w:bottom w:w="0" w:type="dxa"/>
              <w:right w:w="108" w:type="dxa"/>
            </w:tcMar>
          </w:tcPr>
          <w:p w:rsidR="00B53B77" w:rsidRPr="0061116F" w:rsidP="00B53B77" w14:paraId="153D9DE9" w14:textId="09BE2FC8">
            <w:pPr>
              <w:pStyle w:val="ColorfulList-Accent11"/>
              <w:ind w:left="0" w:firstLine="229"/>
              <w:rPr>
                <w:sz w:val="20"/>
                <w:szCs w:val="20"/>
              </w:rPr>
            </w:pPr>
            <w:r w:rsidRPr="0061116F">
              <w:rPr>
                <w:sz w:val="20"/>
                <w:szCs w:val="20"/>
              </w:rPr>
              <w:t xml:space="preserve">Quarterly data collection of monthly data for </w:t>
            </w:r>
            <w:r w:rsidRPr="0014252A" w:rsidR="00D56952">
              <w:rPr>
                <w:sz w:val="20"/>
                <w:szCs w:val="20"/>
                <w:highlight w:val="yellow"/>
              </w:rPr>
              <w:t>5</w:t>
            </w:r>
            <w:r w:rsidRPr="0014252A">
              <w:rPr>
                <w:sz w:val="20"/>
                <w:szCs w:val="20"/>
                <w:highlight w:val="yellow"/>
              </w:rPr>
              <w:t>0%</w:t>
            </w:r>
            <w:r w:rsidRPr="0061116F">
              <w:rPr>
                <w:sz w:val="20"/>
                <w:szCs w:val="20"/>
              </w:rPr>
              <w:t xml:space="preserve"> of hospitals that do not confer rights to their NHSN data (Attachment </w:t>
            </w:r>
            <w:r w:rsidRPr="0061116F">
              <w:rPr>
                <w:sz w:val="20"/>
                <w:szCs w:val="20"/>
              </w:rPr>
              <w:t xml:space="preserve">K)   </w:t>
            </w:r>
            <w:r w:rsidRPr="0061116F">
              <w:rPr>
                <w:sz w:val="20"/>
                <w:szCs w:val="20"/>
              </w:rPr>
              <w:t xml:space="preserve"> (</w:t>
            </w:r>
            <w:r w:rsidRPr="0061116F">
              <w:rPr>
                <w:i/>
                <w:sz w:val="20"/>
                <w:szCs w:val="20"/>
              </w:rPr>
              <w:t xml:space="preserve">quarterly during 18 months of </w:t>
            </w:r>
            <w:r w:rsidRPr="00F91BDB">
              <w:rPr>
                <w:i/>
                <w:color w:val="000000"/>
                <w:sz w:val="20"/>
                <w:szCs w:val="20"/>
              </w:rPr>
              <w:t>implementation</w:t>
            </w:r>
            <w:r w:rsidRPr="0061116F">
              <w:rPr>
                <w:i/>
                <w:sz w:val="20"/>
                <w:szCs w:val="20"/>
              </w:rPr>
              <w:t xml:space="preserve"> for surgical cohorts, 300 units total</w:t>
            </w:r>
            <w:r w:rsidRPr="0061116F">
              <w:rPr>
                <w:sz w:val="20"/>
                <w:szCs w:val="20"/>
              </w:rPr>
              <w:t>)</w:t>
            </w:r>
          </w:p>
        </w:tc>
        <w:tc>
          <w:tcPr>
            <w:tcW w:w="1530" w:type="dxa"/>
            <w:shd w:val="clear" w:color="auto" w:fill="auto"/>
            <w:tcMar>
              <w:top w:w="0" w:type="dxa"/>
              <w:left w:w="108" w:type="dxa"/>
              <w:bottom w:w="0" w:type="dxa"/>
              <w:right w:w="108" w:type="dxa"/>
            </w:tcMar>
          </w:tcPr>
          <w:p w:rsidR="00B53B77" w:rsidRPr="0014252A" w:rsidP="00B53B77" w14:paraId="77DFA458" w14:textId="603BD336">
            <w:pPr>
              <w:jc w:val="center"/>
              <w:rPr>
                <w:sz w:val="20"/>
                <w:szCs w:val="20"/>
                <w:highlight w:val="yellow"/>
              </w:rPr>
            </w:pPr>
            <w:r w:rsidRPr="00D84A59">
              <w:rPr>
                <w:sz w:val="20"/>
                <w:szCs w:val="20"/>
                <w:highlight w:val="yellow"/>
              </w:rPr>
              <w:t>50</w:t>
            </w:r>
          </w:p>
        </w:tc>
        <w:tc>
          <w:tcPr>
            <w:tcW w:w="1620" w:type="dxa"/>
            <w:shd w:val="clear" w:color="auto" w:fill="auto"/>
            <w:tcMar>
              <w:top w:w="0" w:type="dxa"/>
              <w:left w:w="108" w:type="dxa"/>
              <w:bottom w:w="0" w:type="dxa"/>
              <w:right w:w="108" w:type="dxa"/>
            </w:tcMar>
          </w:tcPr>
          <w:p w:rsidR="00B53B77" w:rsidRPr="0014252A" w:rsidP="00B53B77" w14:paraId="59B0C6B8" w14:textId="7222AA5D">
            <w:pPr>
              <w:jc w:val="center"/>
              <w:rPr>
                <w:sz w:val="20"/>
                <w:szCs w:val="20"/>
                <w:highlight w:val="yellow"/>
              </w:rPr>
            </w:pPr>
            <w:r w:rsidRPr="00D84A59">
              <w:rPr>
                <w:sz w:val="20"/>
                <w:szCs w:val="20"/>
                <w:highlight w:val="yellow"/>
              </w:rPr>
              <w:t>150</w:t>
            </w:r>
          </w:p>
        </w:tc>
        <w:tc>
          <w:tcPr>
            <w:tcW w:w="1620" w:type="dxa"/>
          </w:tcPr>
          <w:p w:rsidR="00B53B77" w:rsidRPr="00F91BDB" w:rsidP="00B53B77" w14:paraId="6DC45955" w14:textId="37272392">
            <w:pPr>
              <w:jc w:val="center"/>
              <w:rPr>
                <w:color w:val="000000"/>
                <w:sz w:val="20"/>
                <w:szCs w:val="20"/>
              </w:rPr>
            </w:pPr>
            <w:r w:rsidRPr="00F91BDB">
              <w:rPr>
                <w:color w:val="000000"/>
                <w:sz w:val="20"/>
                <w:szCs w:val="20"/>
              </w:rPr>
              <w:t>$35.17</w:t>
            </w:r>
            <w:r w:rsidRPr="0061116F">
              <w:rPr>
                <w:sz w:val="20"/>
                <w:szCs w:val="20"/>
              </w:rPr>
              <w:t>^</w:t>
            </w:r>
          </w:p>
        </w:tc>
        <w:tc>
          <w:tcPr>
            <w:tcW w:w="1800" w:type="dxa"/>
            <w:shd w:val="clear" w:color="auto" w:fill="auto"/>
            <w:tcMar>
              <w:top w:w="0" w:type="dxa"/>
              <w:left w:w="108" w:type="dxa"/>
              <w:bottom w:w="0" w:type="dxa"/>
              <w:right w:w="108" w:type="dxa"/>
            </w:tcMar>
          </w:tcPr>
          <w:p w:rsidR="00B53B77" w:rsidRPr="0061116F" w:rsidP="00B53B77" w14:paraId="20A3FF93" w14:textId="36EE9345">
            <w:pPr>
              <w:jc w:val="center"/>
              <w:rPr>
                <w:sz w:val="20"/>
                <w:szCs w:val="20"/>
              </w:rPr>
            </w:pPr>
            <w:r w:rsidRPr="0014252A">
              <w:rPr>
                <w:sz w:val="20"/>
                <w:szCs w:val="20"/>
                <w:highlight w:val="yellow"/>
              </w:rPr>
              <w:t>$</w:t>
            </w:r>
            <w:r w:rsidRPr="00D84A59" w:rsidR="00A903DC">
              <w:rPr>
                <w:sz w:val="20"/>
                <w:szCs w:val="20"/>
                <w:highlight w:val="yellow"/>
              </w:rPr>
              <w:t>5,275.50</w:t>
            </w:r>
          </w:p>
        </w:tc>
      </w:tr>
      <w:tr w14:paraId="299148CB" w14:textId="77777777" w:rsidTr="00F91BDB">
        <w:tblPrEx>
          <w:tblW w:w="9067" w:type="dxa"/>
          <w:tblInd w:w="-162" w:type="dxa"/>
          <w:tblLayout w:type="fixed"/>
          <w:tblCellMar>
            <w:left w:w="0" w:type="dxa"/>
            <w:right w:w="0" w:type="dxa"/>
          </w:tblCellMar>
          <w:tblLook w:val="0000"/>
        </w:tblPrEx>
        <w:trPr>
          <w:trHeight w:val="1448"/>
        </w:trPr>
        <w:tc>
          <w:tcPr>
            <w:tcW w:w="2497" w:type="dxa"/>
            <w:shd w:val="clear" w:color="auto" w:fill="auto"/>
            <w:tcMar>
              <w:top w:w="0" w:type="dxa"/>
              <w:left w:w="108" w:type="dxa"/>
              <w:bottom w:w="0" w:type="dxa"/>
              <w:right w:w="108" w:type="dxa"/>
            </w:tcMar>
          </w:tcPr>
          <w:p w:rsidR="00B53B77" w:rsidRPr="0061116F" w:rsidP="00B53B77" w14:paraId="189CA329" w14:textId="2AC52C5D">
            <w:pPr>
              <w:pStyle w:val="ColorfulList-Accent11"/>
              <w:ind w:left="0" w:firstLine="229"/>
              <w:rPr>
                <w:sz w:val="20"/>
                <w:szCs w:val="20"/>
              </w:rPr>
            </w:pPr>
            <w:r w:rsidRPr="0061116F">
              <w:rPr>
                <w:sz w:val="20"/>
                <w:szCs w:val="20"/>
              </w:rPr>
              <w:t xml:space="preserve">Monthly data (Attachment L)- </w:t>
            </w:r>
          </w:p>
          <w:p w:rsidR="00B53B77" w:rsidRPr="0061116F" w:rsidP="00B53B77" w14:paraId="10A0CFC4" w14:textId="289665DA">
            <w:pPr>
              <w:pStyle w:val="ColorfulList-Accent11"/>
              <w:ind w:left="0" w:firstLine="229"/>
              <w:rPr>
                <w:sz w:val="20"/>
                <w:szCs w:val="20"/>
              </w:rPr>
            </w:pPr>
            <w:r w:rsidRPr="0061116F">
              <w:rPr>
                <w:i/>
                <w:sz w:val="20"/>
                <w:szCs w:val="20"/>
              </w:rPr>
              <w:t>(</w:t>
            </w:r>
            <w:r w:rsidRPr="0061116F">
              <w:rPr>
                <w:i/>
                <w:sz w:val="20"/>
                <w:szCs w:val="20"/>
              </w:rPr>
              <w:t>monthly</w:t>
            </w:r>
            <w:r w:rsidRPr="0061116F">
              <w:rPr>
                <w:i/>
                <w:sz w:val="20"/>
                <w:szCs w:val="20"/>
              </w:rPr>
              <w:t xml:space="preserve"> per facility during 18 months of </w:t>
            </w:r>
            <w:r w:rsidRPr="0061116F">
              <w:rPr>
                <w:i/>
                <w:color w:val="000000"/>
                <w:sz w:val="20"/>
                <w:szCs w:val="20"/>
              </w:rPr>
              <w:t>implementation</w:t>
            </w:r>
            <w:r w:rsidRPr="0061116F">
              <w:rPr>
                <w:i/>
                <w:sz w:val="20"/>
                <w:szCs w:val="20"/>
              </w:rPr>
              <w:t xml:space="preserve"> for LTC cohort, 100 facilities total)</w:t>
            </w:r>
          </w:p>
        </w:tc>
        <w:tc>
          <w:tcPr>
            <w:tcW w:w="1530" w:type="dxa"/>
            <w:shd w:val="clear" w:color="auto" w:fill="auto"/>
            <w:tcMar>
              <w:top w:w="0" w:type="dxa"/>
              <w:left w:w="108" w:type="dxa"/>
              <w:bottom w:w="0" w:type="dxa"/>
              <w:right w:w="108" w:type="dxa"/>
            </w:tcMar>
          </w:tcPr>
          <w:p w:rsidR="00B53B77" w:rsidRPr="0061116F" w:rsidP="00B53B77" w14:paraId="044F4AC7" w14:textId="1DC3C331">
            <w:pPr>
              <w:jc w:val="center"/>
              <w:rPr>
                <w:sz w:val="20"/>
                <w:szCs w:val="20"/>
              </w:rPr>
            </w:pPr>
            <w:r w:rsidRPr="0061116F">
              <w:rPr>
                <w:sz w:val="20"/>
                <w:szCs w:val="20"/>
              </w:rPr>
              <w:t>100</w:t>
            </w:r>
          </w:p>
        </w:tc>
        <w:tc>
          <w:tcPr>
            <w:tcW w:w="1620" w:type="dxa"/>
            <w:shd w:val="clear" w:color="auto" w:fill="auto"/>
            <w:tcMar>
              <w:top w:w="0" w:type="dxa"/>
              <w:left w:w="108" w:type="dxa"/>
              <w:bottom w:w="0" w:type="dxa"/>
              <w:right w:w="108" w:type="dxa"/>
            </w:tcMar>
          </w:tcPr>
          <w:p w:rsidR="00B53B77" w:rsidRPr="0061116F" w:rsidP="00B53B77" w14:paraId="70F46D16" w14:textId="79947DAD">
            <w:pPr>
              <w:jc w:val="center"/>
              <w:rPr>
                <w:sz w:val="20"/>
                <w:szCs w:val="20"/>
              </w:rPr>
            </w:pPr>
            <w:r w:rsidRPr="0014252A">
              <w:rPr>
                <w:sz w:val="20"/>
                <w:szCs w:val="20"/>
                <w:highlight w:val="yellow"/>
              </w:rPr>
              <w:t>1350</w:t>
            </w:r>
          </w:p>
        </w:tc>
        <w:tc>
          <w:tcPr>
            <w:tcW w:w="1620" w:type="dxa"/>
          </w:tcPr>
          <w:p w:rsidR="00B53B77" w:rsidRPr="0061116F" w:rsidP="00B53B77" w14:paraId="6C09D90E" w14:textId="5770B6B6">
            <w:pPr>
              <w:jc w:val="center"/>
              <w:rPr>
                <w:color w:val="000000"/>
                <w:sz w:val="20"/>
                <w:szCs w:val="20"/>
              </w:rPr>
            </w:pPr>
            <w:r w:rsidRPr="0061116F">
              <w:rPr>
                <w:color w:val="000000"/>
                <w:sz w:val="20"/>
                <w:szCs w:val="20"/>
              </w:rPr>
              <w:t>$35.17</w:t>
            </w:r>
            <w:r w:rsidRPr="0061116F">
              <w:rPr>
                <w:sz w:val="20"/>
                <w:szCs w:val="20"/>
              </w:rPr>
              <w:t>^</w:t>
            </w:r>
          </w:p>
        </w:tc>
        <w:tc>
          <w:tcPr>
            <w:tcW w:w="1800" w:type="dxa"/>
            <w:shd w:val="clear" w:color="auto" w:fill="auto"/>
            <w:tcMar>
              <w:top w:w="0" w:type="dxa"/>
              <w:left w:w="108" w:type="dxa"/>
              <w:bottom w:w="0" w:type="dxa"/>
              <w:right w:w="108" w:type="dxa"/>
            </w:tcMar>
          </w:tcPr>
          <w:p w:rsidR="00B53B77" w:rsidRPr="0061116F" w:rsidP="00B53B77" w14:paraId="50D8D5DC" w14:textId="50A65E37">
            <w:pPr>
              <w:jc w:val="center"/>
              <w:rPr>
                <w:sz w:val="20"/>
                <w:szCs w:val="20"/>
              </w:rPr>
            </w:pPr>
            <w:r w:rsidRPr="0014252A">
              <w:rPr>
                <w:sz w:val="20"/>
                <w:szCs w:val="20"/>
                <w:highlight w:val="yellow"/>
              </w:rPr>
              <w:t>$</w:t>
            </w:r>
            <w:r w:rsidRPr="0014252A" w:rsidR="00EF3C92">
              <w:rPr>
                <w:sz w:val="20"/>
                <w:szCs w:val="20"/>
                <w:highlight w:val="yellow"/>
              </w:rPr>
              <w:t>47,479.50</w:t>
            </w:r>
          </w:p>
        </w:tc>
      </w:tr>
      <w:tr w14:paraId="6677C5FA" w14:textId="77777777" w:rsidTr="00AB6736">
        <w:tblPrEx>
          <w:tblW w:w="9067" w:type="dxa"/>
          <w:tblInd w:w="-162" w:type="dxa"/>
          <w:tblLayout w:type="fixed"/>
          <w:tblCellMar>
            <w:left w:w="0" w:type="dxa"/>
            <w:right w:w="0" w:type="dxa"/>
          </w:tblCellMar>
          <w:tblLook w:val="0000"/>
        </w:tblPrEx>
        <w:tc>
          <w:tcPr>
            <w:tcW w:w="2497" w:type="dxa"/>
            <w:shd w:val="clear" w:color="auto" w:fill="auto"/>
            <w:tcMar>
              <w:top w:w="0" w:type="dxa"/>
              <w:left w:w="108" w:type="dxa"/>
              <w:bottom w:w="0" w:type="dxa"/>
              <w:right w:w="108" w:type="dxa"/>
            </w:tcMar>
          </w:tcPr>
          <w:p w:rsidR="00B53B77" w:rsidRPr="001E7F9E" w:rsidP="00B53B77" w14:paraId="40970942" w14:textId="77777777">
            <w:pPr>
              <w:rPr>
                <w:b/>
                <w:sz w:val="20"/>
                <w:szCs w:val="20"/>
                <w:highlight w:val="yellow"/>
              </w:rPr>
            </w:pPr>
            <w:r w:rsidRPr="001E7F9E">
              <w:rPr>
                <w:b/>
                <w:sz w:val="20"/>
                <w:szCs w:val="20"/>
                <w:highlight w:val="yellow"/>
              </w:rPr>
              <w:t>Total</w:t>
            </w:r>
          </w:p>
        </w:tc>
        <w:tc>
          <w:tcPr>
            <w:tcW w:w="1530" w:type="dxa"/>
            <w:shd w:val="clear" w:color="auto" w:fill="auto"/>
            <w:tcMar>
              <w:top w:w="0" w:type="dxa"/>
              <w:left w:w="108" w:type="dxa"/>
              <w:bottom w:w="0" w:type="dxa"/>
              <w:right w:w="108" w:type="dxa"/>
            </w:tcMar>
          </w:tcPr>
          <w:p w:rsidR="00B53B77" w:rsidRPr="001E7F9E" w:rsidP="00B53B77" w14:paraId="7D4AF181" w14:textId="4C945E90">
            <w:pPr>
              <w:jc w:val="center"/>
              <w:rPr>
                <w:b/>
                <w:sz w:val="20"/>
                <w:szCs w:val="20"/>
                <w:highlight w:val="yellow"/>
              </w:rPr>
            </w:pPr>
            <w:r w:rsidRPr="001E7F9E">
              <w:rPr>
                <w:b/>
                <w:sz w:val="20"/>
                <w:szCs w:val="20"/>
                <w:highlight w:val="yellow"/>
              </w:rPr>
              <w:t>13,</w:t>
            </w:r>
            <w:r w:rsidRPr="001E7F9E" w:rsidR="00A903DC">
              <w:rPr>
                <w:b/>
                <w:sz w:val="20"/>
                <w:szCs w:val="20"/>
                <w:highlight w:val="yellow"/>
              </w:rPr>
              <w:t>51</w:t>
            </w:r>
            <w:r w:rsidR="005B48BD">
              <w:rPr>
                <w:b/>
                <w:sz w:val="20"/>
                <w:szCs w:val="20"/>
                <w:highlight w:val="yellow"/>
              </w:rPr>
              <w:t>6</w:t>
            </w:r>
          </w:p>
        </w:tc>
        <w:tc>
          <w:tcPr>
            <w:tcW w:w="1620" w:type="dxa"/>
            <w:shd w:val="clear" w:color="auto" w:fill="auto"/>
            <w:tcMar>
              <w:top w:w="0" w:type="dxa"/>
              <w:left w:w="108" w:type="dxa"/>
              <w:bottom w:w="0" w:type="dxa"/>
              <w:right w:w="108" w:type="dxa"/>
            </w:tcMar>
          </w:tcPr>
          <w:p w:rsidR="00B53B77" w:rsidRPr="001E7F9E" w:rsidP="00B53B77" w14:paraId="3F1FDB79" w14:textId="7E5F219D">
            <w:pPr>
              <w:jc w:val="center"/>
              <w:rPr>
                <w:b/>
                <w:sz w:val="20"/>
                <w:szCs w:val="20"/>
                <w:highlight w:val="yellow"/>
              </w:rPr>
            </w:pPr>
            <w:r w:rsidRPr="001E7F9E">
              <w:rPr>
                <w:b/>
                <w:sz w:val="20"/>
                <w:szCs w:val="20"/>
                <w:highlight w:val="yellow"/>
              </w:rPr>
              <w:t>1</w:t>
            </w:r>
            <w:r w:rsidRPr="001E7F9E" w:rsidR="00363C61">
              <w:rPr>
                <w:b/>
                <w:sz w:val="20"/>
                <w:szCs w:val="20"/>
                <w:highlight w:val="yellow"/>
              </w:rPr>
              <w:t>2,0</w:t>
            </w:r>
            <w:r w:rsidR="005B48BD">
              <w:rPr>
                <w:b/>
                <w:sz w:val="20"/>
                <w:szCs w:val="20"/>
                <w:highlight w:val="yellow"/>
              </w:rPr>
              <w:t>52</w:t>
            </w:r>
          </w:p>
        </w:tc>
        <w:tc>
          <w:tcPr>
            <w:tcW w:w="1620" w:type="dxa"/>
          </w:tcPr>
          <w:p w:rsidR="00B53B77" w:rsidRPr="001E7F9E" w:rsidP="00B53B77" w14:paraId="4433834E" w14:textId="30EAB8EE">
            <w:pPr>
              <w:jc w:val="center"/>
              <w:rPr>
                <w:b/>
                <w:color w:val="000000"/>
                <w:sz w:val="20"/>
                <w:szCs w:val="20"/>
                <w:highlight w:val="yellow"/>
              </w:rPr>
            </w:pPr>
          </w:p>
        </w:tc>
        <w:tc>
          <w:tcPr>
            <w:tcW w:w="1800" w:type="dxa"/>
            <w:shd w:val="clear" w:color="auto" w:fill="auto"/>
            <w:tcMar>
              <w:top w:w="0" w:type="dxa"/>
              <w:left w:w="108" w:type="dxa"/>
              <w:bottom w:w="0" w:type="dxa"/>
              <w:right w:w="108" w:type="dxa"/>
            </w:tcMar>
          </w:tcPr>
          <w:p w:rsidR="00B53B77" w:rsidRPr="001E7F9E" w:rsidP="00B53B77" w14:paraId="074112B8" w14:textId="5C2441AE">
            <w:pPr>
              <w:jc w:val="center"/>
              <w:rPr>
                <w:b/>
                <w:sz w:val="20"/>
                <w:szCs w:val="20"/>
                <w:highlight w:val="yellow"/>
              </w:rPr>
            </w:pPr>
            <w:r w:rsidRPr="001E7F9E">
              <w:rPr>
                <w:b/>
                <w:sz w:val="20"/>
                <w:szCs w:val="20"/>
                <w:highlight w:val="yellow"/>
              </w:rPr>
              <w:t>$</w:t>
            </w:r>
            <w:r w:rsidRPr="001E7F9E" w:rsidR="00363C61">
              <w:rPr>
                <w:b/>
                <w:sz w:val="20"/>
                <w:szCs w:val="20"/>
                <w:highlight w:val="yellow"/>
              </w:rPr>
              <w:t>554,</w:t>
            </w:r>
            <w:r w:rsidR="005B48BD">
              <w:rPr>
                <w:b/>
                <w:sz w:val="20"/>
                <w:szCs w:val="20"/>
                <w:highlight w:val="yellow"/>
              </w:rPr>
              <w:t>699.76</w:t>
            </w:r>
          </w:p>
        </w:tc>
      </w:tr>
    </w:tbl>
    <w:p w:rsidR="009F4D9E" w:rsidRPr="00345D93" w:rsidP="009F4D9E" w14:paraId="6A775E2B" w14:textId="3E7ED1D8">
      <w:pPr>
        <w:pStyle w:val="CommentText"/>
      </w:pPr>
      <w:r w:rsidRPr="00345D93">
        <w:t>*</w:t>
      </w:r>
      <w:r w:rsidRPr="00345D93">
        <w:t>This is an average of the average hourly wage rate for physician, nurse, nurse practitioner, physician’s assistant, and nurse’s aide from the May 2019 National Occupational Employment and Wage Estimates, United States, U.S. Bureau of Labor Statistics (</w:t>
      </w:r>
      <w:hyperlink r:id="rId13" w:anchor="00-0000" w:history="1">
        <w:r w:rsidRPr="00345D93">
          <w:rPr>
            <w:rStyle w:val="Hyperlink"/>
          </w:rPr>
          <w:t>https://www.bls.gov/oes/current/oes_nat.htm#00-0000</w:t>
        </w:r>
      </w:hyperlink>
      <w:r w:rsidRPr="00345D93">
        <w:t>).</w:t>
      </w:r>
    </w:p>
    <w:p w:rsidR="009F4D9E" w:rsidRPr="00345D93" w:rsidP="009F4D9E" w14:paraId="7E2915EF" w14:textId="3F28FAE4">
      <w:pPr>
        <w:pStyle w:val="CommentText"/>
      </w:pPr>
      <w:r w:rsidRPr="00345D93">
        <w:t>^</w:t>
      </w:r>
      <w:r w:rsidRPr="00345D93">
        <w:t>This is an average of the average hourly wage rate for nurse and IT specialist from the May 2019 National Occupational Employment and Wage Estimates, United States, U.S. Bureau of Labor Statistics (</w:t>
      </w:r>
      <w:hyperlink r:id="rId13" w:anchor="00-0000" w:history="1">
        <w:r w:rsidRPr="00345D93">
          <w:rPr>
            <w:rStyle w:val="Hyperlink"/>
          </w:rPr>
          <w:t>https://www.bls.gov/oes/current/oes_nat.htm#00-0000</w:t>
        </w:r>
      </w:hyperlink>
      <w:r w:rsidRPr="00345D93">
        <w:t>).</w:t>
      </w:r>
    </w:p>
    <w:p w:rsidR="00AD744C" w:rsidRPr="00345D93" w:rsidP="00B51378" w14:paraId="4BCDE85C" w14:textId="3557E1E6">
      <w:pPr>
        <w:rPr>
          <w:sz w:val="20"/>
          <w:szCs w:val="20"/>
        </w:rPr>
      </w:pPr>
    </w:p>
    <w:p w:rsidR="009B633D" w:rsidRPr="00345D93" w:rsidP="009B633D" w14:paraId="1FB5559A" w14:textId="77777777">
      <w:pPr>
        <w:pStyle w:val="Heading2"/>
        <w:rPr>
          <w:sz w:val="24"/>
        </w:rPr>
      </w:pPr>
      <w:bookmarkStart w:id="68" w:name="_Toc151782188"/>
      <w:bookmarkStart w:id="69" w:name="_Toc158526228"/>
      <w:bookmarkStart w:id="70" w:name="_Toc73964951"/>
      <w:bookmarkStart w:id="71" w:name="_Toc73965310"/>
      <w:r w:rsidRPr="00345D93">
        <w:rPr>
          <w:sz w:val="24"/>
        </w:rPr>
        <w:t>13. Estimates of Annualized Respondent Capital and Maintenance Costs</w:t>
      </w:r>
      <w:bookmarkEnd w:id="68"/>
      <w:bookmarkEnd w:id="69"/>
      <w:bookmarkEnd w:id="70"/>
      <w:bookmarkEnd w:id="71"/>
    </w:p>
    <w:p w:rsidR="00E14FC3" w:rsidRPr="00E70711" w:rsidP="00C205C8" w14:paraId="0AA1AF18" w14:textId="77777777">
      <w:pPr>
        <w:spacing w:before="120"/>
      </w:pPr>
      <w:r w:rsidRPr="00345D93">
        <w:t xml:space="preserve">Capital and maintenance costs include the purchase of </w:t>
      </w:r>
      <w:r w:rsidRPr="00345D93" w:rsidR="00C205C8">
        <w:t xml:space="preserve">equipment, </w:t>
      </w:r>
      <w:r w:rsidRPr="00345D93">
        <w:t>computer</w:t>
      </w:r>
      <w:r w:rsidRPr="00345D93" w:rsidR="00C205C8">
        <w:t xml:space="preserve">s or computer software or services, or storage facilities for records, </w:t>
      </w:r>
      <w:r w:rsidRPr="00345D93" w:rsidR="00C205C8">
        <w:t>as a result of</w:t>
      </w:r>
      <w:r w:rsidRPr="00345D93" w:rsidR="00C205C8">
        <w:t xml:space="preserve"> complying with this data collection.</w:t>
      </w:r>
      <w:r w:rsidRPr="00345D93" w:rsidR="00C205C8">
        <w:rPr>
          <w:i/>
        </w:rPr>
        <w:t xml:space="preserve"> </w:t>
      </w:r>
      <w:r w:rsidRPr="00345D93" w:rsidR="00C205C8">
        <w:t>T</w:t>
      </w:r>
      <w:r w:rsidRPr="00345D93" w:rsidR="0080612B">
        <w:t xml:space="preserve">here are no direct costs to respondents other than their time to participate in the </w:t>
      </w:r>
      <w:r w:rsidRPr="00345D93" w:rsidR="003B6873">
        <w:t>project</w:t>
      </w:r>
      <w:r w:rsidRPr="00345D93" w:rsidR="0080612B">
        <w:t>.</w:t>
      </w:r>
    </w:p>
    <w:p w:rsidR="009B633D" w:rsidRPr="00E70711" w:rsidP="009B633D" w14:paraId="77C6DD65" w14:textId="77777777">
      <w:pPr>
        <w:pStyle w:val="Heading2"/>
        <w:rPr>
          <w:sz w:val="24"/>
        </w:rPr>
      </w:pPr>
      <w:bookmarkStart w:id="72" w:name="_Toc58725299"/>
      <w:bookmarkStart w:id="73" w:name="_Toc151782189"/>
      <w:bookmarkStart w:id="74" w:name="_Toc158526229"/>
      <w:bookmarkStart w:id="75" w:name="_Toc73964952"/>
      <w:bookmarkStart w:id="76" w:name="_Toc73965311"/>
      <w:r w:rsidRPr="00E70711">
        <w:rPr>
          <w:sz w:val="24"/>
        </w:rPr>
        <w:t xml:space="preserve">14. Estimates of </w:t>
      </w:r>
      <w:r w:rsidRPr="00E70711" w:rsidR="00DA79B5">
        <w:rPr>
          <w:sz w:val="24"/>
        </w:rPr>
        <w:t xml:space="preserve">Total and </w:t>
      </w:r>
      <w:r w:rsidRPr="00E70711">
        <w:rPr>
          <w:sz w:val="24"/>
        </w:rPr>
        <w:t>Annualized Cost to the Government</w:t>
      </w:r>
      <w:bookmarkEnd w:id="72"/>
      <w:bookmarkEnd w:id="73"/>
      <w:bookmarkEnd w:id="74"/>
      <w:bookmarkEnd w:id="75"/>
      <w:bookmarkEnd w:id="76"/>
    </w:p>
    <w:p w:rsidR="00D57118" w:rsidRPr="00E70711" w:rsidP="00D57118" w14:paraId="232855F1" w14:textId="6EF9DC59">
      <w:bookmarkStart w:id="77" w:name="_Toc151782190"/>
      <w:bookmarkStart w:id="78" w:name="_Toc158526230"/>
      <w:r w:rsidRPr="00E70711">
        <w:t xml:space="preserve">Exhibit </w:t>
      </w:r>
      <w:r w:rsidRPr="00E70711" w:rsidR="00633677">
        <w:t>A.</w:t>
      </w:r>
      <w:r w:rsidR="006E54BE">
        <w:t>4</w:t>
      </w:r>
      <w:r w:rsidRPr="00E70711" w:rsidR="006E54BE">
        <w:t xml:space="preserve">a </w:t>
      </w:r>
      <w:r w:rsidRPr="00E70711">
        <w:t xml:space="preserve">and Exhibit </w:t>
      </w:r>
      <w:r w:rsidRPr="00E70711" w:rsidR="00633677">
        <w:t>A.</w:t>
      </w:r>
      <w:r w:rsidR="006E54BE">
        <w:t>4</w:t>
      </w:r>
      <w:r w:rsidRPr="00E70711" w:rsidR="006E54BE">
        <w:t xml:space="preserve">b </w:t>
      </w:r>
      <w:r w:rsidRPr="00E70711">
        <w:t>show the estimated annualized cost to the government for the contractors and government personnel. The cost is estimated to be $</w:t>
      </w:r>
      <w:r w:rsidRPr="00E70711" w:rsidR="002C3CCA">
        <w:t>1</w:t>
      </w:r>
      <w:r w:rsidR="00BC4E98">
        <w:t>,977</w:t>
      </w:r>
      <w:r w:rsidRPr="00E70711" w:rsidR="002C3CCA">
        <w:t>,</w:t>
      </w:r>
      <w:r w:rsidR="00BC4E98">
        <w:t>501</w:t>
      </w:r>
      <w:r w:rsidRPr="00E70711" w:rsidR="00BC4E98">
        <w:t xml:space="preserve">   </w:t>
      </w:r>
      <w:r w:rsidRPr="00E70711">
        <w:t>annually.</w:t>
      </w:r>
    </w:p>
    <w:p w:rsidR="00D65943" w:rsidRPr="00E70711" w:rsidP="00012FB9" w14:paraId="5D75C7E7" w14:textId="77777777">
      <w:pPr>
        <w:rPr>
          <w:b/>
          <w:bCs/>
          <w:color w:val="000000"/>
        </w:rPr>
      </w:pPr>
    </w:p>
    <w:p w:rsidR="00980528" w:rsidRPr="00E70711" w:rsidP="00980528" w14:paraId="0A82E275" w14:textId="77777777">
      <w:r w:rsidRPr="00E70711">
        <w:t xml:space="preserve">The costs associated with the data collection activities for the project include the contractor project development costs and project management costs, as well as the costs to design the data collection protocols, </w:t>
      </w:r>
      <w:r w:rsidRPr="00E70711">
        <w:t>develop</w:t>
      </w:r>
      <w:r w:rsidRPr="00E70711">
        <w:t xml:space="preserve"> and host an online data collection platform, develop and program the online instruments, provide technical assistance and support to facilities for submission of data, data processing, and data analysis.  </w:t>
      </w:r>
    </w:p>
    <w:p w:rsidR="00980528" w:rsidRPr="00E70711" w:rsidP="00980528" w14:paraId="5A364771" w14:textId="77777777">
      <w:pPr>
        <w:rPr>
          <w:color w:val="1F497D"/>
        </w:rPr>
      </w:pPr>
    </w:p>
    <w:p w:rsidR="00980528" w:rsidRPr="00E70711" w:rsidP="00980528" w14:paraId="6F5FA8F1" w14:textId="11A6F2D8">
      <w:pPr>
        <w:rPr>
          <w:sz w:val="22"/>
          <w:szCs w:val="22"/>
        </w:rPr>
      </w:pPr>
      <w:r w:rsidRPr="00E70711">
        <w:rPr>
          <w:b/>
          <w:bCs/>
          <w:color w:val="000000"/>
        </w:rPr>
        <w:t>Exhibit A.</w:t>
      </w:r>
      <w:r w:rsidR="006E54BE">
        <w:rPr>
          <w:b/>
          <w:bCs/>
          <w:color w:val="000000"/>
        </w:rPr>
        <w:t>4</w:t>
      </w:r>
      <w:r w:rsidRPr="00E70711">
        <w:rPr>
          <w:b/>
          <w:bCs/>
          <w:color w:val="000000"/>
        </w:rPr>
        <w:t>.</w:t>
      </w:r>
      <w:r w:rsidRPr="00E70711">
        <w:rPr>
          <w:b/>
          <w:bCs/>
          <w:color w:val="000000"/>
        </w:rPr>
        <w:t>a</w:t>
      </w:r>
      <w:r w:rsidRPr="00E70711">
        <w:rPr>
          <w:b/>
          <w:bCs/>
          <w:color w:val="000000"/>
        </w:rPr>
        <w:t xml:space="preserve"> Estimated Total and Annualized Cost</w:t>
      </w:r>
    </w:p>
    <w:tbl>
      <w:tblPr>
        <w:tblW w:w="0" w:type="auto"/>
        <w:tblInd w:w="108" w:type="dxa"/>
        <w:tblLayout w:type="fixed"/>
        <w:tblCellMar>
          <w:left w:w="0" w:type="dxa"/>
          <w:right w:w="0" w:type="dxa"/>
        </w:tblCellMar>
        <w:tblLook w:val="04A0"/>
      </w:tblPr>
      <w:tblGrid>
        <w:gridCol w:w="3122"/>
        <w:gridCol w:w="2086"/>
        <w:gridCol w:w="1784"/>
      </w:tblGrid>
      <w:tr w14:paraId="052F986C" w14:textId="77777777" w:rsidTr="00AB6736">
        <w:tblPrEx>
          <w:tblW w:w="0" w:type="auto"/>
          <w:tblInd w:w="108" w:type="dxa"/>
          <w:tblLayout w:type="fixed"/>
          <w:tblCellMar>
            <w:left w:w="0" w:type="dxa"/>
            <w:right w:w="0" w:type="dxa"/>
          </w:tblCellMar>
          <w:tblLook w:val="04A0"/>
        </w:tblPrEx>
        <w:tc>
          <w:tcPr>
            <w:tcW w:w="3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80528" w:rsidRPr="00E70711" w:rsidP="006D7C70" w14:paraId="43E11F29" w14:textId="77777777">
            <w:pPr>
              <w:rPr>
                <w:sz w:val="22"/>
                <w:szCs w:val="22"/>
              </w:rPr>
            </w:pPr>
            <w:r w:rsidRPr="00E70711">
              <w:rPr>
                <w:b/>
                <w:bCs/>
                <w:color w:val="000000"/>
                <w:sz w:val="22"/>
                <w:szCs w:val="22"/>
              </w:rPr>
              <w:t xml:space="preserve">Cost Component </w:t>
            </w:r>
          </w:p>
        </w:tc>
        <w:tc>
          <w:tcPr>
            <w:tcW w:w="20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0528" w:rsidRPr="00E70711" w:rsidP="006D7C70" w14:paraId="2E753A3E" w14:textId="77777777">
            <w:pPr>
              <w:jc w:val="center"/>
              <w:rPr>
                <w:sz w:val="22"/>
                <w:szCs w:val="22"/>
              </w:rPr>
            </w:pPr>
            <w:r w:rsidRPr="00E70711">
              <w:rPr>
                <w:b/>
                <w:bCs/>
                <w:sz w:val="22"/>
                <w:szCs w:val="22"/>
              </w:rPr>
              <w:t>Total Cost</w:t>
            </w: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0528" w:rsidRPr="00E70711" w:rsidP="006D7C70" w14:paraId="624827E6" w14:textId="77777777">
            <w:pPr>
              <w:jc w:val="center"/>
              <w:rPr>
                <w:sz w:val="22"/>
                <w:szCs w:val="22"/>
              </w:rPr>
            </w:pPr>
            <w:r w:rsidRPr="00E70711">
              <w:rPr>
                <w:b/>
                <w:bCs/>
                <w:sz w:val="22"/>
                <w:szCs w:val="22"/>
              </w:rPr>
              <w:t>Annualized Cost</w:t>
            </w:r>
          </w:p>
        </w:tc>
      </w:tr>
      <w:tr w14:paraId="5D402428" w14:textId="77777777" w:rsidTr="00AB6736">
        <w:tblPrEx>
          <w:tblW w:w="0" w:type="auto"/>
          <w:tblInd w:w="108" w:type="dxa"/>
          <w:tblLayout w:type="fixed"/>
          <w:tblCellMar>
            <w:left w:w="0" w:type="dxa"/>
            <w:right w:w="0" w:type="dxa"/>
          </w:tblCellMar>
          <w:tblLook w:val="04A0"/>
        </w:tblPrEx>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631C" w:rsidP="00A4631C" w14:paraId="1AFB6A39" w14:textId="77777777">
            <w:pPr>
              <w:rPr>
                <w:sz w:val="22"/>
                <w:szCs w:val="22"/>
              </w:rPr>
            </w:pPr>
            <w:r w:rsidRPr="00E70711">
              <w:rPr>
                <w:sz w:val="22"/>
                <w:szCs w:val="22"/>
              </w:rPr>
              <w:t>Project Development</w:t>
            </w:r>
          </w:p>
          <w:p w:rsidR="00A4631C" w:rsidRPr="00E70711" w:rsidP="00A4631C" w14:paraId="0DF71000" w14:textId="5E343069">
            <w:pPr>
              <w:rPr>
                <w:sz w:val="22"/>
                <w:szCs w:val="22"/>
              </w:rPr>
            </w:pPr>
            <w:r>
              <w:rPr>
                <w:color w:val="000000"/>
                <w:sz w:val="20"/>
                <w:szCs w:val="20"/>
              </w:rPr>
              <w:t>(</w:t>
            </w:r>
            <w:r>
              <w:rPr>
                <w:i/>
                <w:iCs/>
                <w:color w:val="000000"/>
                <w:sz w:val="20"/>
                <w:szCs w:val="20"/>
              </w:rPr>
              <w:t>data</w:t>
            </w:r>
            <w:r>
              <w:rPr>
                <w:i/>
                <w:iCs/>
                <w:color w:val="000000"/>
                <w:sz w:val="20"/>
                <w:szCs w:val="20"/>
              </w:rPr>
              <w:t xml:space="preserve"> collection tool development, programming the data collection tools, and data collection training </w:t>
            </w:r>
            <w:r>
              <w:rPr>
                <w:i/>
                <w:iCs/>
                <w:color w:val="000000"/>
                <w:sz w:val="20"/>
                <w:szCs w:val="20"/>
              </w:rPr>
              <w:t>materials development for ICU, non-ICU, Surgical, and Long-Term Care settings</w:t>
            </w:r>
            <w:r>
              <w:rPr>
                <w:color w:val="000000"/>
                <w:sz w:val="20"/>
                <w:szCs w:val="20"/>
              </w:rPr>
              <w:t>)</w:t>
            </w:r>
          </w:p>
        </w:tc>
        <w:tc>
          <w:tcPr>
            <w:tcW w:w="2086" w:type="dxa"/>
            <w:tcBorders>
              <w:top w:val="nil"/>
              <w:left w:val="nil"/>
              <w:bottom w:val="single" w:sz="8" w:space="0" w:color="auto"/>
              <w:right w:val="single" w:sz="8" w:space="0" w:color="auto"/>
            </w:tcBorders>
            <w:tcMar>
              <w:top w:w="0" w:type="dxa"/>
              <w:left w:w="108" w:type="dxa"/>
              <w:bottom w:w="0" w:type="dxa"/>
              <w:right w:w="108" w:type="dxa"/>
            </w:tcMar>
          </w:tcPr>
          <w:p w:rsidR="00A4631C" w:rsidRPr="00E70711" w:rsidP="00A4631C" w14:paraId="5A2D7C48" w14:textId="55D015ED">
            <w:pPr>
              <w:jc w:val="right"/>
              <w:rPr>
                <w:sz w:val="22"/>
                <w:szCs w:val="22"/>
              </w:rPr>
            </w:pPr>
            <w:r w:rsidRPr="00E70711">
              <w:rPr>
                <w:sz w:val="22"/>
                <w:szCs w:val="22"/>
              </w:rPr>
              <w:t xml:space="preserve"> $</w:t>
            </w:r>
            <w:r w:rsidRPr="00E70711" w:rsidR="00DA2BE3">
              <w:rPr>
                <w:sz w:val="22"/>
                <w:szCs w:val="22"/>
              </w:rPr>
              <w:t>1,511,877</w:t>
            </w:r>
            <w:r w:rsidRPr="00E70711">
              <w:rPr>
                <w:sz w:val="22"/>
                <w:szCs w:val="22"/>
              </w:rPr>
              <w:t xml:space="preserve"> </w:t>
            </w: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rsidR="00A4631C" w:rsidRPr="00E70711" w:rsidP="00A4631C" w14:paraId="1E05BD69" w14:textId="2AE61245">
            <w:pPr>
              <w:jc w:val="right"/>
              <w:rPr>
                <w:sz w:val="22"/>
                <w:szCs w:val="22"/>
              </w:rPr>
            </w:pPr>
            <w:r w:rsidRPr="00E70711">
              <w:rPr>
                <w:sz w:val="22"/>
                <w:szCs w:val="22"/>
              </w:rPr>
              <w:t xml:space="preserve"> $</w:t>
            </w:r>
            <w:r w:rsidRPr="00E70711" w:rsidR="00A20E40">
              <w:rPr>
                <w:sz w:val="22"/>
                <w:szCs w:val="22"/>
              </w:rPr>
              <w:t>503,959</w:t>
            </w:r>
            <w:r w:rsidRPr="00E70711">
              <w:rPr>
                <w:sz w:val="22"/>
                <w:szCs w:val="22"/>
              </w:rPr>
              <w:t xml:space="preserve"> </w:t>
            </w:r>
          </w:p>
        </w:tc>
      </w:tr>
      <w:tr w14:paraId="53B1FBD5" w14:textId="77777777" w:rsidTr="00F26473">
        <w:tblPrEx>
          <w:tblW w:w="0" w:type="auto"/>
          <w:tblInd w:w="108" w:type="dxa"/>
          <w:tblLayout w:type="fixed"/>
          <w:tblCellMar>
            <w:left w:w="0" w:type="dxa"/>
            <w:right w:w="0" w:type="dxa"/>
          </w:tblCellMar>
          <w:tblLook w:val="04A0"/>
        </w:tblPrEx>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0A39" w:rsidP="00400A39" w14:paraId="4031E4B9" w14:textId="69F31773">
            <w:pPr>
              <w:rPr>
                <w:sz w:val="22"/>
                <w:szCs w:val="22"/>
              </w:rPr>
            </w:pPr>
            <w:r w:rsidRPr="00E70711">
              <w:rPr>
                <w:sz w:val="22"/>
                <w:szCs w:val="22"/>
              </w:rPr>
              <w:t>Data Collection</w:t>
            </w:r>
            <w:r w:rsidRPr="00E70711">
              <w:rPr>
                <w:sz w:val="22"/>
                <w:szCs w:val="22"/>
              </w:rPr>
              <w:t xml:space="preserve"> </w:t>
            </w:r>
          </w:p>
          <w:p w:rsidR="00F26473" w:rsidRPr="00E70711" w:rsidP="00F26473" w14:paraId="00B80986" w14:textId="2DD790C3">
            <w:pPr>
              <w:rPr>
                <w:sz w:val="22"/>
                <w:szCs w:val="22"/>
              </w:rPr>
            </w:pPr>
            <w:r>
              <w:rPr>
                <w:color w:val="000000"/>
                <w:sz w:val="20"/>
                <w:szCs w:val="20"/>
              </w:rPr>
              <w:t>(</w:t>
            </w:r>
            <w:r>
              <w:rPr>
                <w:i/>
                <w:iCs/>
                <w:color w:val="000000"/>
                <w:sz w:val="20"/>
                <w:szCs w:val="20"/>
              </w:rPr>
              <w:t>data</w:t>
            </w:r>
            <w:r>
              <w:rPr>
                <w:i/>
                <w:iCs/>
                <w:color w:val="000000"/>
                <w:sz w:val="20"/>
                <w:szCs w:val="20"/>
              </w:rPr>
              <w:t xml:space="preserve"> collection management and maintenance of the data collection systems</w:t>
            </w:r>
            <w:r w:rsidR="004F6962">
              <w:rPr>
                <w:i/>
                <w:iCs/>
                <w:color w:val="000000"/>
                <w:sz w:val="20"/>
                <w:szCs w:val="20"/>
              </w:rPr>
              <w:t xml:space="preserve"> for ICU, non-ICU, Surgical, and Long-Term Care settings</w:t>
            </w:r>
            <w:r w:rsidR="004F6962">
              <w:rPr>
                <w:color w:val="000000"/>
                <w:sz w:val="20"/>
                <w:szCs w:val="20"/>
              </w:rPr>
              <w:t>)</w:t>
            </w:r>
          </w:p>
        </w:tc>
        <w:tc>
          <w:tcPr>
            <w:tcW w:w="2086" w:type="dxa"/>
            <w:tcBorders>
              <w:top w:val="nil"/>
              <w:left w:val="nil"/>
              <w:bottom w:val="single" w:sz="8" w:space="0" w:color="auto"/>
              <w:right w:val="single" w:sz="8" w:space="0" w:color="auto"/>
            </w:tcBorders>
            <w:tcMar>
              <w:top w:w="0" w:type="dxa"/>
              <w:left w:w="108" w:type="dxa"/>
              <w:bottom w:w="0" w:type="dxa"/>
              <w:right w:w="108" w:type="dxa"/>
            </w:tcMar>
          </w:tcPr>
          <w:p w:rsidR="00F26473" w:rsidRPr="00E70711" w:rsidP="00F26473" w14:paraId="2F51F7E1" w14:textId="41D95797">
            <w:pPr>
              <w:jc w:val="right"/>
              <w:rPr>
                <w:sz w:val="22"/>
                <w:szCs w:val="22"/>
              </w:rPr>
            </w:pPr>
            <w:r>
              <w:t>$843,510</w:t>
            </w: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rsidR="00F26473" w:rsidRPr="00E70711" w:rsidP="00F26473" w14:paraId="769F2DEE" w14:textId="4A021206">
            <w:pPr>
              <w:jc w:val="right"/>
              <w:rPr>
                <w:sz w:val="22"/>
                <w:szCs w:val="22"/>
              </w:rPr>
            </w:pPr>
            <w:r>
              <w:t>$281,170</w:t>
            </w:r>
          </w:p>
        </w:tc>
      </w:tr>
      <w:tr w14:paraId="341CC5E7" w14:textId="77777777" w:rsidTr="00AB6736">
        <w:tblPrEx>
          <w:tblW w:w="0" w:type="auto"/>
          <w:tblInd w:w="108" w:type="dxa"/>
          <w:tblLayout w:type="fixed"/>
          <w:tblCellMar>
            <w:left w:w="0" w:type="dxa"/>
            <w:right w:w="0" w:type="dxa"/>
          </w:tblCellMar>
          <w:tblLook w:val="04A0"/>
        </w:tblPrEx>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0A39" w:rsidP="00400A39" w14:paraId="501F4ACF" w14:textId="77777777">
            <w:pPr>
              <w:rPr>
                <w:sz w:val="22"/>
                <w:szCs w:val="22"/>
              </w:rPr>
            </w:pPr>
            <w:r>
              <w:rPr>
                <w:sz w:val="22"/>
                <w:szCs w:val="22"/>
              </w:rPr>
              <w:t xml:space="preserve">Data </w:t>
            </w:r>
            <w:r w:rsidRPr="00E70711">
              <w:rPr>
                <w:sz w:val="22"/>
                <w:szCs w:val="22"/>
              </w:rPr>
              <w:t>Processing</w:t>
            </w:r>
          </w:p>
          <w:p w:rsidR="00400A39" w:rsidRPr="00E70711" w:rsidP="00400A39" w14:paraId="7DC13BF0" w14:textId="046AC686">
            <w:pPr>
              <w:rPr>
                <w:sz w:val="22"/>
                <w:szCs w:val="22"/>
              </w:rPr>
            </w:pPr>
            <w:r>
              <w:rPr>
                <w:color w:val="000000"/>
                <w:sz w:val="20"/>
                <w:szCs w:val="20"/>
              </w:rPr>
              <w:t>(</w:t>
            </w:r>
            <w:r>
              <w:rPr>
                <w:i/>
                <w:iCs/>
                <w:color w:val="000000"/>
                <w:sz w:val="20"/>
                <w:szCs w:val="20"/>
              </w:rPr>
              <w:t>data</w:t>
            </w:r>
            <w:r>
              <w:rPr>
                <w:i/>
                <w:iCs/>
                <w:color w:val="000000"/>
                <w:sz w:val="20"/>
                <w:szCs w:val="20"/>
              </w:rPr>
              <w:t xml:space="preserve"> review and data preparation for ICU, non-ICU, Surgical, and Long-Term Care settings</w:t>
            </w:r>
            <w:r>
              <w:rPr>
                <w:color w:val="000000"/>
                <w:sz w:val="20"/>
                <w:szCs w:val="20"/>
              </w:rPr>
              <w:t>)</w:t>
            </w:r>
          </w:p>
        </w:tc>
        <w:tc>
          <w:tcPr>
            <w:tcW w:w="2086" w:type="dxa"/>
            <w:tcBorders>
              <w:top w:val="nil"/>
              <w:left w:val="nil"/>
              <w:bottom w:val="single" w:sz="8" w:space="0" w:color="auto"/>
              <w:right w:val="single" w:sz="8" w:space="0" w:color="auto"/>
            </w:tcBorders>
            <w:tcMar>
              <w:top w:w="0" w:type="dxa"/>
              <w:left w:w="108" w:type="dxa"/>
              <w:bottom w:w="0" w:type="dxa"/>
              <w:right w:w="108" w:type="dxa"/>
            </w:tcMar>
          </w:tcPr>
          <w:p w:rsidR="00400A39" w:rsidRPr="00E70711" w:rsidP="00400A39" w14:paraId="79256B7B" w14:textId="278FA886">
            <w:pPr>
              <w:jc w:val="right"/>
              <w:rPr>
                <w:sz w:val="22"/>
                <w:szCs w:val="22"/>
              </w:rPr>
            </w:pPr>
            <w:r>
              <w:t>$920,092</w:t>
            </w: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rsidR="00400A39" w:rsidRPr="00E70711" w:rsidP="00400A39" w14:paraId="2B995348" w14:textId="4D40D2C7">
            <w:pPr>
              <w:jc w:val="right"/>
              <w:rPr>
                <w:sz w:val="22"/>
                <w:szCs w:val="22"/>
              </w:rPr>
            </w:pPr>
            <w:r>
              <w:t>$306,697</w:t>
            </w:r>
          </w:p>
        </w:tc>
      </w:tr>
      <w:tr w14:paraId="6947968D" w14:textId="77777777" w:rsidTr="00AB6736">
        <w:tblPrEx>
          <w:tblW w:w="0" w:type="auto"/>
          <w:tblInd w:w="108" w:type="dxa"/>
          <w:tblLayout w:type="fixed"/>
          <w:tblCellMar>
            <w:left w:w="0" w:type="dxa"/>
            <w:right w:w="0" w:type="dxa"/>
          </w:tblCellMar>
          <w:tblLook w:val="04A0"/>
        </w:tblPrEx>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0A39" w:rsidP="00400A39" w14:paraId="0F4EC4FF" w14:textId="77777777">
            <w:pPr>
              <w:rPr>
                <w:sz w:val="22"/>
                <w:szCs w:val="22"/>
              </w:rPr>
            </w:pPr>
            <w:r w:rsidRPr="00E70711">
              <w:rPr>
                <w:sz w:val="22"/>
                <w:szCs w:val="22"/>
              </w:rPr>
              <w:t>Analysis</w:t>
            </w:r>
          </w:p>
          <w:p w:rsidR="00400A39" w:rsidRPr="00E70711" w:rsidP="00400A39" w14:paraId="46296CCA" w14:textId="7653D5DD">
            <w:pPr>
              <w:rPr>
                <w:sz w:val="22"/>
                <w:szCs w:val="22"/>
              </w:rPr>
            </w:pPr>
            <w:r>
              <w:rPr>
                <w:color w:val="000000"/>
                <w:sz w:val="20"/>
                <w:szCs w:val="20"/>
              </w:rPr>
              <w:t>(</w:t>
            </w:r>
            <w:r>
              <w:rPr>
                <w:i/>
                <w:iCs/>
                <w:color w:val="000000"/>
                <w:sz w:val="20"/>
                <w:szCs w:val="20"/>
              </w:rPr>
              <w:t>analysis</w:t>
            </w:r>
            <w:r>
              <w:rPr>
                <w:i/>
                <w:iCs/>
                <w:color w:val="000000"/>
                <w:sz w:val="20"/>
                <w:szCs w:val="20"/>
              </w:rPr>
              <w:t xml:space="preserve"> and reporting for ICU, non-ICU, Surgical, and Long-Term Care settings</w:t>
            </w:r>
            <w:r>
              <w:rPr>
                <w:color w:val="000000"/>
                <w:sz w:val="20"/>
                <w:szCs w:val="20"/>
              </w:rPr>
              <w:t>)</w:t>
            </w:r>
          </w:p>
        </w:tc>
        <w:tc>
          <w:tcPr>
            <w:tcW w:w="2086" w:type="dxa"/>
            <w:tcBorders>
              <w:top w:val="nil"/>
              <w:left w:val="nil"/>
              <w:bottom w:val="single" w:sz="8" w:space="0" w:color="auto"/>
              <w:right w:val="single" w:sz="8" w:space="0" w:color="auto"/>
            </w:tcBorders>
            <w:tcMar>
              <w:top w:w="0" w:type="dxa"/>
              <w:left w:w="108" w:type="dxa"/>
              <w:bottom w:w="0" w:type="dxa"/>
              <w:right w:w="108" w:type="dxa"/>
            </w:tcMar>
          </w:tcPr>
          <w:p w:rsidR="00400A39" w:rsidRPr="00E70711" w:rsidP="00400A39" w14:paraId="3E3F6171" w14:textId="5F77837A">
            <w:pPr>
              <w:jc w:val="right"/>
              <w:rPr>
                <w:sz w:val="22"/>
                <w:szCs w:val="22"/>
              </w:rPr>
            </w:pPr>
            <w:r>
              <w:t>$1,423,275</w:t>
            </w: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rsidR="00400A39" w:rsidRPr="00E70711" w:rsidP="00400A39" w14:paraId="208A00A6" w14:textId="00DDFE75">
            <w:pPr>
              <w:jc w:val="right"/>
              <w:rPr>
                <w:sz w:val="22"/>
                <w:szCs w:val="22"/>
              </w:rPr>
            </w:pPr>
            <w:r>
              <w:t>$474,425</w:t>
            </w:r>
          </w:p>
        </w:tc>
      </w:tr>
      <w:tr w14:paraId="5EAD40BB" w14:textId="77777777" w:rsidTr="00AB6736">
        <w:tblPrEx>
          <w:tblW w:w="0" w:type="auto"/>
          <w:tblInd w:w="108" w:type="dxa"/>
          <w:tblLayout w:type="fixed"/>
          <w:tblCellMar>
            <w:left w:w="0" w:type="dxa"/>
            <w:right w:w="0" w:type="dxa"/>
          </w:tblCellMar>
          <w:tblLook w:val="04A0"/>
        </w:tblPrEx>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6473" w:rsidRPr="00E70711" w:rsidP="00F26473" w14:paraId="6E17000E" w14:textId="77777777">
            <w:pPr>
              <w:rPr>
                <w:sz w:val="22"/>
                <w:szCs w:val="22"/>
              </w:rPr>
            </w:pPr>
            <w:r w:rsidRPr="00E70711">
              <w:rPr>
                <w:sz w:val="22"/>
                <w:szCs w:val="22"/>
              </w:rPr>
              <w:t>Project Management</w:t>
            </w:r>
          </w:p>
        </w:tc>
        <w:tc>
          <w:tcPr>
            <w:tcW w:w="2086" w:type="dxa"/>
            <w:tcBorders>
              <w:top w:val="nil"/>
              <w:left w:val="nil"/>
              <w:bottom w:val="single" w:sz="8" w:space="0" w:color="auto"/>
              <w:right w:val="single" w:sz="8" w:space="0" w:color="auto"/>
            </w:tcBorders>
            <w:tcMar>
              <w:top w:w="0" w:type="dxa"/>
              <w:left w:w="108" w:type="dxa"/>
              <w:bottom w:w="0" w:type="dxa"/>
              <w:right w:w="108" w:type="dxa"/>
            </w:tcMar>
          </w:tcPr>
          <w:p w:rsidR="00F26473" w:rsidRPr="00E70711" w:rsidP="00F26473" w14:paraId="036A0596" w14:textId="29B0A70E">
            <w:pPr>
              <w:jc w:val="right"/>
              <w:rPr>
                <w:sz w:val="22"/>
                <w:szCs w:val="22"/>
              </w:rPr>
            </w:pPr>
            <w:r w:rsidRPr="00E70711">
              <w:rPr>
                <w:sz w:val="22"/>
                <w:szCs w:val="22"/>
              </w:rPr>
              <w:t xml:space="preserve"> $918,222 </w:t>
            </w: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rsidR="00F26473" w:rsidRPr="00E70711" w:rsidP="00F26473" w14:paraId="1564FF92" w14:textId="79059588">
            <w:pPr>
              <w:jc w:val="right"/>
              <w:rPr>
                <w:sz w:val="22"/>
                <w:szCs w:val="22"/>
              </w:rPr>
            </w:pPr>
            <w:r w:rsidRPr="00E70711">
              <w:rPr>
                <w:sz w:val="22"/>
                <w:szCs w:val="22"/>
              </w:rPr>
              <w:t xml:space="preserve"> $306,074 </w:t>
            </w:r>
          </w:p>
        </w:tc>
      </w:tr>
      <w:tr w14:paraId="1D587793" w14:textId="77777777" w:rsidTr="00AB6736">
        <w:tblPrEx>
          <w:tblW w:w="0" w:type="auto"/>
          <w:tblInd w:w="108" w:type="dxa"/>
          <w:tblLayout w:type="fixed"/>
          <w:tblCellMar>
            <w:left w:w="0" w:type="dxa"/>
            <w:right w:w="0" w:type="dxa"/>
          </w:tblCellMar>
          <w:tblLook w:val="04A0"/>
        </w:tblPrEx>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6473" w:rsidRPr="00E70711" w:rsidP="00F26473" w14:paraId="41576FB3" w14:textId="77777777">
            <w:pPr>
              <w:rPr>
                <w:sz w:val="22"/>
                <w:szCs w:val="22"/>
              </w:rPr>
            </w:pPr>
            <w:r w:rsidRPr="00E70711">
              <w:rPr>
                <w:b/>
                <w:bCs/>
                <w:color w:val="000000"/>
                <w:sz w:val="22"/>
                <w:szCs w:val="22"/>
              </w:rPr>
              <w:t>Total</w:t>
            </w:r>
          </w:p>
        </w:tc>
        <w:tc>
          <w:tcPr>
            <w:tcW w:w="2086" w:type="dxa"/>
            <w:tcBorders>
              <w:top w:val="nil"/>
              <w:left w:val="nil"/>
              <w:bottom w:val="single" w:sz="8" w:space="0" w:color="auto"/>
              <w:right w:val="single" w:sz="8" w:space="0" w:color="auto"/>
            </w:tcBorders>
            <w:tcMar>
              <w:top w:w="0" w:type="dxa"/>
              <w:left w:w="108" w:type="dxa"/>
              <w:bottom w:w="0" w:type="dxa"/>
              <w:right w:w="108" w:type="dxa"/>
            </w:tcMar>
          </w:tcPr>
          <w:p w:rsidR="00F26473" w:rsidRPr="00E70711" w:rsidP="00F26473" w14:paraId="52650722" w14:textId="66466D41">
            <w:pPr>
              <w:jc w:val="right"/>
              <w:rPr>
                <w:b/>
                <w:sz w:val="22"/>
                <w:szCs w:val="22"/>
              </w:rPr>
            </w:pPr>
            <w:r w:rsidRPr="00E70711">
              <w:rPr>
                <w:b/>
                <w:sz w:val="22"/>
                <w:szCs w:val="22"/>
              </w:rPr>
              <w:t xml:space="preserve"> $5,616,976 </w:t>
            </w: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rsidR="00F26473" w:rsidRPr="00E70711" w:rsidP="00F26473" w14:paraId="08CF8CC8" w14:textId="12C332A5">
            <w:pPr>
              <w:jc w:val="right"/>
              <w:rPr>
                <w:b/>
                <w:sz w:val="22"/>
                <w:szCs w:val="22"/>
              </w:rPr>
            </w:pPr>
            <w:r w:rsidRPr="00E70711">
              <w:rPr>
                <w:b/>
                <w:sz w:val="22"/>
                <w:szCs w:val="22"/>
              </w:rPr>
              <w:t xml:space="preserve">$1,872,325  </w:t>
            </w:r>
          </w:p>
        </w:tc>
      </w:tr>
    </w:tbl>
    <w:p w:rsidR="00980528" w:rsidRPr="00E70711" w:rsidP="00D20C47" w14:paraId="65F00E9A" w14:textId="77777777">
      <w:pPr>
        <w:ind w:firstLine="90"/>
        <w:rPr>
          <w:b/>
        </w:rPr>
      </w:pPr>
    </w:p>
    <w:p w:rsidR="00D20C47" w:rsidRPr="00E70711" w:rsidP="00D20C47" w14:paraId="456D1FBC" w14:textId="4CBEFD5E">
      <w:pPr>
        <w:ind w:firstLine="90"/>
        <w:rPr>
          <w:b/>
        </w:rPr>
      </w:pPr>
      <w:r w:rsidRPr="00E70711">
        <w:rPr>
          <w:b/>
        </w:rPr>
        <w:t xml:space="preserve">Exhibit </w:t>
      </w:r>
      <w:r w:rsidRPr="00E70711" w:rsidR="00633677">
        <w:rPr>
          <w:b/>
        </w:rPr>
        <w:t>A.</w:t>
      </w:r>
      <w:r w:rsidR="006E54BE">
        <w:rPr>
          <w:b/>
        </w:rPr>
        <w:t>4</w:t>
      </w:r>
      <w:r w:rsidRPr="00E70711" w:rsidR="00633677">
        <w:rPr>
          <w:b/>
        </w:rPr>
        <w:t>.b</w:t>
      </w:r>
      <w:r w:rsidRPr="00E70711">
        <w:rPr>
          <w:b/>
        </w:rPr>
        <w:t xml:space="preserve"> Federal Government Personnel Cost</w:t>
      </w:r>
    </w:p>
    <w:tbl>
      <w:tblPr>
        <w:tblW w:w="8726" w:type="dxa"/>
        <w:jc w:val="center"/>
        <w:tblLayout w:type="fixed"/>
        <w:tblCellMar>
          <w:left w:w="100" w:type="dxa"/>
          <w:right w:w="100" w:type="dxa"/>
        </w:tblCellMar>
        <w:tblLook w:val="04A0"/>
      </w:tblPr>
      <w:tblGrid>
        <w:gridCol w:w="2781"/>
        <w:gridCol w:w="2250"/>
        <w:gridCol w:w="1440"/>
        <w:gridCol w:w="1132"/>
        <w:gridCol w:w="1123"/>
      </w:tblGrid>
      <w:tr w14:paraId="7F34B07C" w14:textId="77777777" w:rsidTr="00980528">
        <w:tblPrEx>
          <w:tblW w:w="8726" w:type="dxa"/>
          <w:jc w:val="center"/>
          <w:tblLayout w:type="fixed"/>
          <w:tblCellMar>
            <w:left w:w="100" w:type="dxa"/>
            <w:right w:w="100" w:type="dxa"/>
          </w:tblCellMar>
          <w:tblLook w:val="04A0"/>
        </w:tblPrEx>
        <w:trPr>
          <w:cantSplit/>
          <w:trHeight w:val="403"/>
          <w:jc w:val="center"/>
        </w:trPr>
        <w:tc>
          <w:tcPr>
            <w:tcW w:w="2781" w:type="dxa"/>
            <w:tcBorders>
              <w:top w:val="single" w:sz="6" w:space="0" w:color="auto"/>
              <w:left w:val="single" w:sz="6" w:space="0" w:color="auto"/>
              <w:bottom w:val="nil"/>
              <w:right w:val="nil"/>
            </w:tcBorders>
            <w:vAlign w:val="bottom"/>
          </w:tcPr>
          <w:p w:rsidR="00D20C47" w:rsidRPr="00E70711" w:rsidP="00A74E0A" w14:paraId="06673775" w14:textId="77777777">
            <w:pPr>
              <w:jc w:val="center"/>
              <w:rPr>
                <w:b/>
                <w:bCs/>
                <w:sz w:val="20"/>
                <w:szCs w:val="20"/>
              </w:rPr>
            </w:pPr>
            <w:r w:rsidRPr="00E70711">
              <w:rPr>
                <w:b/>
                <w:bCs/>
                <w:sz w:val="20"/>
                <w:szCs w:val="20"/>
              </w:rPr>
              <w:t>Activity</w:t>
            </w:r>
          </w:p>
        </w:tc>
        <w:tc>
          <w:tcPr>
            <w:tcW w:w="2250" w:type="dxa"/>
            <w:tcBorders>
              <w:top w:val="single" w:sz="6" w:space="0" w:color="auto"/>
              <w:left w:val="single" w:sz="6" w:space="0" w:color="auto"/>
              <w:bottom w:val="single" w:sz="6" w:space="0" w:color="auto"/>
              <w:right w:val="nil"/>
            </w:tcBorders>
            <w:vAlign w:val="bottom"/>
          </w:tcPr>
          <w:p w:rsidR="00D20C47" w:rsidRPr="00E70711" w:rsidP="00A74E0A" w14:paraId="40C733E8" w14:textId="77777777">
            <w:pPr>
              <w:jc w:val="center"/>
              <w:rPr>
                <w:b/>
                <w:bCs/>
                <w:sz w:val="20"/>
                <w:szCs w:val="20"/>
              </w:rPr>
            </w:pPr>
            <w:r w:rsidRPr="00E70711">
              <w:rPr>
                <w:b/>
                <w:bCs/>
                <w:sz w:val="20"/>
                <w:szCs w:val="20"/>
              </w:rPr>
              <w:t>Federal Personnel</w:t>
            </w:r>
          </w:p>
        </w:tc>
        <w:tc>
          <w:tcPr>
            <w:tcW w:w="1440" w:type="dxa"/>
            <w:tcBorders>
              <w:top w:val="single" w:sz="6" w:space="0" w:color="auto"/>
              <w:left w:val="single" w:sz="6" w:space="0" w:color="auto"/>
              <w:bottom w:val="single" w:sz="6" w:space="0" w:color="auto"/>
              <w:right w:val="single" w:sz="6" w:space="0" w:color="auto"/>
            </w:tcBorders>
            <w:vAlign w:val="bottom"/>
          </w:tcPr>
          <w:p w:rsidR="00D20C47" w:rsidRPr="00E70711" w:rsidP="00A74E0A" w14:paraId="351F3229" w14:textId="77777777">
            <w:pPr>
              <w:jc w:val="center"/>
              <w:rPr>
                <w:b/>
                <w:bCs/>
                <w:sz w:val="20"/>
                <w:szCs w:val="20"/>
              </w:rPr>
            </w:pPr>
            <w:r w:rsidRPr="00E70711">
              <w:rPr>
                <w:b/>
                <w:bCs/>
                <w:sz w:val="20"/>
                <w:szCs w:val="20"/>
              </w:rPr>
              <w:t>Annual Salary</w:t>
            </w:r>
          </w:p>
        </w:tc>
        <w:tc>
          <w:tcPr>
            <w:tcW w:w="1132" w:type="dxa"/>
            <w:tcBorders>
              <w:top w:val="single" w:sz="6" w:space="0" w:color="auto"/>
              <w:left w:val="single" w:sz="6" w:space="0" w:color="auto"/>
              <w:bottom w:val="single" w:sz="6" w:space="0" w:color="auto"/>
              <w:right w:val="nil"/>
            </w:tcBorders>
            <w:vAlign w:val="bottom"/>
          </w:tcPr>
          <w:p w:rsidR="00D20C47" w:rsidRPr="00E70711" w:rsidP="00A74E0A" w14:paraId="08D4116F" w14:textId="77777777">
            <w:pPr>
              <w:jc w:val="center"/>
              <w:rPr>
                <w:b/>
                <w:bCs/>
                <w:sz w:val="20"/>
                <w:szCs w:val="20"/>
              </w:rPr>
            </w:pPr>
            <w:r w:rsidRPr="00E70711">
              <w:rPr>
                <w:b/>
                <w:bCs/>
                <w:sz w:val="20"/>
                <w:szCs w:val="20"/>
              </w:rPr>
              <w:t xml:space="preserve">% </w:t>
            </w:r>
            <w:r w:rsidRPr="00E70711">
              <w:rPr>
                <w:b/>
                <w:bCs/>
                <w:sz w:val="20"/>
                <w:szCs w:val="20"/>
              </w:rPr>
              <w:t>of</w:t>
            </w:r>
            <w:r w:rsidRPr="00E70711">
              <w:rPr>
                <w:b/>
                <w:bCs/>
                <w:sz w:val="20"/>
                <w:szCs w:val="20"/>
              </w:rPr>
              <w:t xml:space="preserve"> time</w:t>
            </w:r>
          </w:p>
        </w:tc>
        <w:tc>
          <w:tcPr>
            <w:tcW w:w="1123" w:type="dxa"/>
            <w:tcBorders>
              <w:top w:val="single" w:sz="6" w:space="0" w:color="auto"/>
              <w:left w:val="single" w:sz="6" w:space="0" w:color="auto"/>
              <w:bottom w:val="single" w:sz="6" w:space="0" w:color="auto"/>
              <w:right w:val="single" w:sz="6" w:space="0" w:color="auto"/>
            </w:tcBorders>
            <w:vAlign w:val="bottom"/>
          </w:tcPr>
          <w:p w:rsidR="00D20C47" w:rsidRPr="00E70711" w:rsidP="00A74E0A" w14:paraId="4AAD8E30" w14:textId="77777777">
            <w:pPr>
              <w:jc w:val="center"/>
              <w:rPr>
                <w:b/>
                <w:bCs/>
                <w:sz w:val="20"/>
                <w:szCs w:val="20"/>
              </w:rPr>
            </w:pPr>
            <w:r w:rsidRPr="00E70711">
              <w:rPr>
                <w:b/>
                <w:bCs/>
                <w:sz w:val="20"/>
                <w:szCs w:val="20"/>
              </w:rPr>
              <w:t>Cost</w:t>
            </w:r>
          </w:p>
        </w:tc>
      </w:tr>
      <w:tr w14:paraId="58F8AEE7" w14:textId="77777777" w:rsidTr="00980528">
        <w:tblPrEx>
          <w:tblW w:w="8726" w:type="dxa"/>
          <w:jc w:val="center"/>
          <w:tblLayout w:type="fixed"/>
          <w:tblCellMar>
            <w:left w:w="100" w:type="dxa"/>
            <w:right w:w="100" w:type="dxa"/>
          </w:tblCellMar>
          <w:tblLook w:val="04A0"/>
        </w:tblPrEx>
        <w:trPr>
          <w:cantSplit/>
          <w:trHeight w:val="403"/>
          <w:jc w:val="center"/>
        </w:trPr>
        <w:tc>
          <w:tcPr>
            <w:tcW w:w="2781" w:type="dxa"/>
            <w:tcBorders>
              <w:top w:val="single" w:sz="6" w:space="0" w:color="auto"/>
              <w:left w:val="single" w:sz="6" w:space="0" w:color="auto"/>
              <w:bottom w:val="nil"/>
              <w:right w:val="nil"/>
            </w:tcBorders>
            <w:vAlign w:val="bottom"/>
          </w:tcPr>
          <w:p w:rsidR="00EC6C86" w:rsidRPr="00E70711" w:rsidP="00EC6C86" w14:paraId="23637837" w14:textId="4110249B">
            <w:pPr>
              <w:rPr>
                <w:sz w:val="20"/>
                <w:szCs w:val="20"/>
              </w:rPr>
            </w:pPr>
            <w:r w:rsidRPr="00E70711">
              <w:rPr>
                <w:sz w:val="20"/>
                <w:szCs w:val="20"/>
              </w:rPr>
              <w:t>Management Support:  GS-15, Step 5 average</w:t>
            </w:r>
          </w:p>
        </w:tc>
        <w:tc>
          <w:tcPr>
            <w:tcW w:w="2250" w:type="dxa"/>
            <w:tcBorders>
              <w:top w:val="single" w:sz="6" w:space="0" w:color="auto"/>
              <w:left w:val="single" w:sz="6" w:space="0" w:color="auto"/>
              <w:bottom w:val="single" w:sz="6" w:space="0" w:color="auto"/>
              <w:right w:val="nil"/>
            </w:tcBorders>
          </w:tcPr>
          <w:p w:rsidR="00EC6C86" w:rsidRPr="00E70711" w:rsidP="00EC6C86" w14:paraId="3A079080" w14:textId="23591AAA">
            <w:pPr>
              <w:jc w:val="center"/>
              <w:rPr>
                <w:sz w:val="20"/>
                <w:szCs w:val="20"/>
              </w:rPr>
            </w:pPr>
            <w:r w:rsidRPr="00E70711">
              <w:rPr>
                <w:sz w:val="20"/>
                <w:szCs w:val="20"/>
              </w:rPr>
              <w:t>2</w:t>
            </w:r>
          </w:p>
        </w:tc>
        <w:tc>
          <w:tcPr>
            <w:tcW w:w="1440" w:type="dxa"/>
            <w:tcBorders>
              <w:top w:val="single" w:sz="6" w:space="0" w:color="auto"/>
              <w:left w:val="single" w:sz="6" w:space="0" w:color="auto"/>
              <w:bottom w:val="single" w:sz="6" w:space="0" w:color="auto"/>
              <w:right w:val="single" w:sz="6" w:space="0" w:color="auto"/>
            </w:tcBorders>
            <w:vAlign w:val="bottom"/>
          </w:tcPr>
          <w:p w:rsidR="00EC6C86" w:rsidRPr="00E70711" w:rsidP="00EC6C86" w14:paraId="4F3F5305" w14:textId="6EE84617">
            <w:pPr>
              <w:jc w:val="center"/>
              <w:rPr>
                <w:sz w:val="20"/>
                <w:szCs w:val="20"/>
              </w:rPr>
            </w:pPr>
            <w:r w:rsidRPr="00E70711">
              <w:rPr>
                <w:sz w:val="20"/>
                <w:szCs w:val="20"/>
              </w:rPr>
              <w:t xml:space="preserve"> 163,345</w:t>
            </w:r>
          </w:p>
        </w:tc>
        <w:tc>
          <w:tcPr>
            <w:tcW w:w="1132" w:type="dxa"/>
            <w:tcBorders>
              <w:top w:val="single" w:sz="6" w:space="0" w:color="auto"/>
              <w:left w:val="single" w:sz="6" w:space="0" w:color="auto"/>
              <w:bottom w:val="single" w:sz="6" w:space="0" w:color="auto"/>
              <w:right w:val="nil"/>
            </w:tcBorders>
            <w:vAlign w:val="bottom"/>
          </w:tcPr>
          <w:p w:rsidR="00EC6C86" w:rsidRPr="00E70711" w:rsidP="00EC6C86" w14:paraId="4B60BC76" w14:textId="1250AC65">
            <w:pPr>
              <w:jc w:val="center"/>
              <w:rPr>
                <w:sz w:val="20"/>
                <w:szCs w:val="20"/>
              </w:rPr>
            </w:pPr>
            <w:r w:rsidRPr="00E70711">
              <w:rPr>
                <w:sz w:val="20"/>
                <w:szCs w:val="20"/>
              </w:rPr>
              <w:t>25%</w:t>
            </w:r>
          </w:p>
        </w:tc>
        <w:tc>
          <w:tcPr>
            <w:tcW w:w="1123" w:type="dxa"/>
            <w:tcBorders>
              <w:top w:val="single" w:sz="6" w:space="0" w:color="auto"/>
              <w:left w:val="single" w:sz="6" w:space="0" w:color="auto"/>
              <w:bottom w:val="single" w:sz="6" w:space="0" w:color="auto"/>
              <w:right w:val="single" w:sz="6" w:space="0" w:color="auto"/>
            </w:tcBorders>
            <w:vAlign w:val="bottom"/>
          </w:tcPr>
          <w:p w:rsidR="00EC6C86" w:rsidRPr="00E70711" w:rsidP="00EC6C86" w14:paraId="592AC5F2" w14:textId="1D158E18">
            <w:pPr>
              <w:jc w:val="center"/>
              <w:rPr>
                <w:sz w:val="20"/>
                <w:szCs w:val="20"/>
              </w:rPr>
            </w:pPr>
            <w:r w:rsidRPr="00E70711">
              <w:rPr>
                <w:sz w:val="20"/>
                <w:szCs w:val="20"/>
              </w:rPr>
              <w:t>$81,673</w:t>
            </w:r>
          </w:p>
        </w:tc>
      </w:tr>
      <w:tr w14:paraId="768A4945" w14:textId="77777777" w:rsidTr="00980528">
        <w:tblPrEx>
          <w:tblW w:w="8726" w:type="dxa"/>
          <w:jc w:val="center"/>
          <w:tblLayout w:type="fixed"/>
          <w:tblCellMar>
            <w:left w:w="100" w:type="dxa"/>
            <w:right w:w="100" w:type="dxa"/>
          </w:tblCellMar>
          <w:tblLook w:val="04A0"/>
        </w:tblPrEx>
        <w:trPr>
          <w:cantSplit/>
          <w:trHeight w:val="403"/>
          <w:jc w:val="center"/>
        </w:trPr>
        <w:tc>
          <w:tcPr>
            <w:tcW w:w="2781" w:type="dxa"/>
            <w:tcBorders>
              <w:top w:val="single" w:sz="6" w:space="0" w:color="auto"/>
              <w:left w:val="single" w:sz="6" w:space="0" w:color="auto"/>
              <w:bottom w:val="nil"/>
              <w:right w:val="nil"/>
            </w:tcBorders>
            <w:vAlign w:val="bottom"/>
          </w:tcPr>
          <w:p w:rsidR="00EC6C86" w:rsidRPr="00E70711" w:rsidP="00EC6C86" w14:paraId="575AB386" w14:textId="59EDF14D">
            <w:pPr>
              <w:rPr>
                <w:sz w:val="20"/>
                <w:szCs w:val="20"/>
              </w:rPr>
            </w:pPr>
            <w:r w:rsidRPr="00E70711">
              <w:rPr>
                <w:sz w:val="20"/>
                <w:szCs w:val="20"/>
              </w:rPr>
              <w:t>Program Management Analysis:  GS-13, Step 5 average</w:t>
            </w:r>
          </w:p>
        </w:tc>
        <w:tc>
          <w:tcPr>
            <w:tcW w:w="2250" w:type="dxa"/>
            <w:tcBorders>
              <w:top w:val="single" w:sz="6" w:space="0" w:color="auto"/>
              <w:left w:val="single" w:sz="6" w:space="0" w:color="auto"/>
              <w:bottom w:val="single" w:sz="6" w:space="0" w:color="auto"/>
              <w:right w:val="nil"/>
            </w:tcBorders>
          </w:tcPr>
          <w:p w:rsidR="00EC6C86" w:rsidRPr="00E70711" w:rsidP="00EC6C86" w14:paraId="4DA61331" w14:textId="184EFD07">
            <w:pPr>
              <w:jc w:val="center"/>
              <w:rPr>
                <w:sz w:val="20"/>
                <w:szCs w:val="20"/>
              </w:rPr>
            </w:pPr>
            <w:r w:rsidRPr="00E70711">
              <w:rPr>
                <w:sz w:val="20"/>
                <w:szCs w:val="20"/>
              </w:rPr>
              <w:t>1</w:t>
            </w:r>
          </w:p>
        </w:tc>
        <w:tc>
          <w:tcPr>
            <w:tcW w:w="1440" w:type="dxa"/>
            <w:tcBorders>
              <w:top w:val="single" w:sz="6" w:space="0" w:color="auto"/>
              <w:left w:val="single" w:sz="6" w:space="0" w:color="auto"/>
              <w:bottom w:val="single" w:sz="6" w:space="0" w:color="auto"/>
              <w:right w:val="single" w:sz="6" w:space="0" w:color="auto"/>
            </w:tcBorders>
            <w:vAlign w:val="bottom"/>
          </w:tcPr>
          <w:p w:rsidR="00EC6C86" w:rsidRPr="00E70711" w:rsidP="00EC6C86" w14:paraId="773B0DC6" w14:textId="7B38E1F9">
            <w:pPr>
              <w:jc w:val="center"/>
              <w:rPr>
                <w:sz w:val="20"/>
                <w:szCs w:val="20"/>
              </w:rPr>
            </w:pPr>
            <w:r w:rsidRPr="00E70711">
              <w:rPr>
                <w:sz w:val="20"/>
                <w:szCs w:val="20"/>
              </w:rPr>
              <w:t>117,516</w:t>
            </w:r>
          </w:p>
        </w:tc>
        <w:tc>
          <w:tcPr>
            <w:tcW w:w="1132" w:type="dxa"/>
            <w:tcBorders>
              <w:top w:val="single" w:sz="6" w:space="0" w:color="auto"/>
              <w:left w:val="single" w:sz="6" w:space="0" w:color="auto"/>
              <w:bottom w:val="single" w:sz="6" w:space="0" w:color="auto"/>
              <w:right w:val="nil"/>
            </w:tcBorders>
            <w:vAlign w:val="bottom"/>
          </w:tcPr>
          <w:p w:rsidR="00EC6C86" w:rsidRPr="00E70711" w:rsidP="00EC6C86" w14:paraId="2F8C5001" w14:textId="259E9C5E">
            <w:pPr>
              <w:jc w:val="center"/>
              <w:rPr>
                <w:sz w:val="20"/>
                <w:szCs w:val="20"/>
              </w:rPr>
            </w:pPr>
            <w:r w:rsidRPr="00E70711">
              <w:rPr>
                <w:sz w:val="20"/>
                <w:szCs w:val="20"/>
              </w:rPr>
              <w:t xml:space="preserve">20% </w:t>
            </w:r>
          </w:p>
        </w:tc>
        <w:tc>
          <w:tcPr>
            <w:tcW w:w="1123" w:type="dxa"/>
            <w:tcBorders>
              <w:top w:val="single" w:sz="6" w:space="0" w:color="auto"/>
              <w:left w:val="single" w:sz="6" w:space="0" w:color="auto"/>
              <w:bottom w:val="single" w:sz="6" w:space="0" w:color="auto"/>
              <w:right w:val="single" w:sz="6" w:space="0" w:color="auto"/>
            </w:tcBorders>
            <w:vAlign w:val="bottom"/>
          </w:tcPr>
          <w:p w:rsidR="00EC6C86" w:rsidRPr="00E70711" w:rsidP="00EC6C86" w14:paraId="34E5FF92" w14:textId="39CCBE61">
            <w:pPr>
              <w:rPr>
                <w:sz w:val="20"/>
                <w:szCs w:val="20"/>
              </w:rPr>
            </w:pPr>
            <w:r w:rsidRPr="00E70711">
              <w:rPr>
                <w:sz w:val="20"/>
                <w:szCs w:val="20"/>
              </w:rPr>
              <w:t>$</w:t>
            </w:r>
            <w:r w:rsidRPr="00E70711" w:rsidR="00183E6D">
              <w:rPr>
                <w:sz w:val="20"/>
                <w:szCs w:val="20"/>
              </w:rPr>
              <w:t>23,503</w:t>
            </w:r>
          </w:p>
        </w:tc>
      </w:tr>
      <w:tr w14:paraId="559FFAB6" w14:textId="77777777" w:rsidTr="00EC6C86">
        <w:tblPrEx>
          <w:tblW w:w="8726" w:type="dxa"/>
          <w:jc w:val="center"/>
          <w:tblLayout w:type="fixed"/>
          <w:tblCellMar>
            <w:left w:w="100" w:type="dxa"/>
            <w:right w:w="100" w:type="dxa"/>
          </w:tblCellMar>
          <w:tblLook w:val="04A0"/>
        </w:tblPrEx>
        <w:trPr>
          <w:cantSplit/>
          <w:trHeight w:val="403"/>
          <w:jc w:val="center"/>
        </w:trPr>
        <w:tc>
          <w:tcPr>
            <w:tcW w:w="7603" w:type="dxa"/>
            <w:gridSpan w:val="4"/>
            <w:tcBorders>
              <w:top w:val="single" w:sz="6" w:space="0" w:color="auto"/>
              <w:left w:val="single" w:sz="6" w:space="0" w:color="auto"/>
              <w:bottom w:val="single" w:sz="6" w:space="0" w:color="auto"/>
              <w:right w:val="nil"/>
            </w:tcBorders>
            <w:vAlign w:val="bottom"/>
          </w:tcPr>
          <w:p w:rsidR="00EC6C86" w:rsidRPr="00E70711" w:rsidP="00ED3C36" w14:paraId="2CF80A8B" w14:textId="77777777">
            <w:pPr>
              <w:rPr>
                <w:b/>
                <w:bCs/>
                <w:sz w:val="20"/>
                <w:szCs w:val="20"/>
              </w:rPr>
            </w:pPr>
            <w:r w:rsidRPr="00E70711">
              <w:rPr>
                <w:b/>
                <w:bCs/>
                <w:sz w:val="20"/>
                <w:szCs w:val="20"/>
              </w:rPr>
              <w:t>Total</w:t>
            </w:r>
          </w:p>
        </w:tc>
        <w:tc>
          <w:tcPr>
            <w:tcW w:w="1123" w:type="dxa"/>
            <w:tcBorders>
              <w:top w:val="single" w:sz="6" w:space="0" w:color="auto"/>
              <w:left w:val="single" w:sz="6" w:space="0" w:color="auto"/>
              <w:bottom w:val="single" w:sz="6" w:space="0" w:color="auto"/>
              <w:right w:val="single" w:sz="6" w:space="0" w:color="auto"/>
            </w:tcBorders>
            <w:vAlign w:val="bottom"/>
          </w:tcPr>
          <w:p w:rsidR="00EC6C86" w:rsidRPr="00E70711" w:rsidP="00ED3C36" w14:paraId="42B9312A" w14:textId="1A9D0D1F">
            <w:pPr>
              <w:jc w:val="center"/>
              <w:rPr>
                <w:b/>
                <w:bCs/>
                <w:sz w:val="20"/>
                <w:szCs w:val="20"/>
              </w:rPr>
            </w:pPr>
            <w:r w:rsidRPr="00E70711">
              <w:rPr>
                <w:b/>
                <w:bCs/>
                <w:sz w:val="20"/>
                <w:szCs w:val="20"/>
              </w:rPr>
              <w:t xml:space="preserve"> $</w:t>
            </w:r>
            <w:r w:rsidRPr="00E70711" w:rsidR="00183E6D">
              <w:rPr>
                <w:b/>
                <w:bCs/>
                <w:sz w:val="20"/>
                <w:szCs w:val="20"/>
              </w:rPr>
              <w:t>105,176</w:t>
            </w:r>
          </w:p>
        </w:tc>
      </w:tr>
    </w:tbl>
    <w:p w:rsidR="004131BC" w:rsidRPr="00250BA1" w:rsidP="004131BC" w14:paraId="272F89CF" w14:textId="7A91E3CD">
      <w:pPr>
        <w:rPr>
          <w:rStyle w:val="Hyperlink"/>
          <w:sz w:val="22"/>
          <w:szCs w:val="22"/>
        </w:rPr>
      </w:pPr>
      <w:r w:rsidRPr="005C3376">
        <w:rPr>
          <w:color w:val="000000"/>
          <w:sz w:val="22"/>
          <w:szCs w:val="22"/>
        </w:rPr>
        <w:t>Annual salaries based on 20</w:t>
      </w:r>
      <w:r w:rsidRPr="00250BA1" w:rsidR="00563440">
        <w:rPr>
          <w:color w:val="000000"/>
          <w:sz w:val="22"/>
          <w:szCs w:val="22"/>
        </w:rPr>
        <w:t>21</w:t>
      </w:r>
      <w:r w:rsidRPr="00250BA1">
        <w:rPr>
          <w:color w:val="000000"/>
          <w:sz w:val="22"/>
          <w:szCs w:val="22"/>
        </w:rPr>
        <w:t xml:space="preserve"> OPM Pay Schedule for Washington/DC area:</w:t>
      </w:r>
      <w:r w:rsidRPr="00250BA1">
        <w:rPr>
          <w:sz w:val="22"/>
          <w:szCs w:val="22"/>
        </w:rPr>
        <w:t xml:space="preserve"> </w:t>
      </w:r>
      <w:r w:rsidRPr="00250BA1" w:rsidR="00AE1382">
        <w:rPr>
          <w:rStyle w:val="Hyperlink"/>
          <w:sz w:val="22"/>
          <w:szCs w:val="22"/>
        </w:rPr>
        <w:t xml:space="preserve"> </w:t>
      </w:r>
    </w:p>
    <w:p w:rsidR="00DE1202" w:rsidRPr="005C3376" w:rsidP="004131BC" w14:paraId="0CD8701D" w14:textId="44CE595B">
      <w:pPr>
        <w:rPr>
          <w:sz w:val="22"/>
          <w:szCs w:val="22"/>
        </w:rPr>
      </w:pPr>
      <w:r w:rsidRPr="00E630A2">
        <w:rPr>
          <w:sz w:val="22"/>
          <w:szCs w:val="22"/>
        </w:rPr>
        <w:t>https://www.opm.gov/policy-data-oversight/pay-leave/salaries-wages/salary-tables/pdf/2021/DCB.pdf</w:t>
      </w:r>
    </w:p>
    <w:p w:rsidR="009B633D" w:rsidRPr="00E70711" w:rsidP="009B633D" w14:paraId="634CA83B" w14:textId="3B30C034">
      <w:pPr>
        <w:pStyle w:val="Heading2"/>
        <w:rPr>
          <w:sz w:val="24"/>
        </w:rPr>
      </w:pPr>
      <w:bookmarkStart w:id="79" w:name="_Toc73964953"/>
      <w:bookmarkStart w:id="80" w:name="_Toc73965312"/>
      <w:r w:rsidRPr="00E70711">
        <w:rPr>
          <w:sz w:val="24"/>
        </w:rPr>
        <w:t>15. Changes in Hour Burden</w:t>
      </w:r>
      <w:bookmarkEnd w:id="77"/>
      <w:bookmarkEnd w:id="78"/>
      <w:bookmarkEnd w:id="79"/>
      <w:bookmarkEnd w:id="80"/>
    </w:p>
    <w:p w:rsidR="0034364E" w:rsidP="009B633D" w14:paraId="080A52CE" w14:textId="77777777">
      <w:pPr>
        <w:pStyle w:val="Heading2"/>
        <w:rPr>
          <w:rFonts w:ascii="Times New Roman" w:hAnsi="Times New Roman" w:cs="Times New Roman"/>
          <w:b w:val="0"/>
          <w:bCs w:val="0"/>
          <w:i w:val="0"/>
          <w:iCs w:val="0"/>
          <w:sz w:val="24"/>
          <w:szCs w:val="24"/>
        </w:rPr>
      </w:pPr>
      <w:bookmarkStart w:id="81" w:name="_Toc151782191"/>
      <w:bookmarkStart w:id="82" w:name="_Toc158526231"/>
      <w:bookmarkStart w:id="83" w:name="_Toc73964954"/>
      <w:bookmarkStart w:id="84" w:name="_Toc73965313"/>
      <w:r w:rsidRPr="0034364E">
        <w:rPr>
          <w:rFonts w:ascii="Times New Roman" w:hAnsi="Times New Roman" w:cs="Times New Roman"/>
          <w:b w:val="0"/>
          <w:bCs w:val="0"/>
          <w:i w:val="0"/>
          <w:iCs w:val="0"/>
          <w:sz w:val="24"/>
          <w:szCs w:val="24"/>
        </w:rPr>
        <w:t>There is a reduction in burden from 15 minutes to 12.5 minutes per survey for the HSOPS 2.0 due to the shorter length of the instrument compared to Version 1.0.</w:t>
      </w:r>
    </w:p>
    <w:p w:rsidR="00FA6388" w:rsidRPr="00E70711" w:rsidP="009B633D" w14:paraId="119622AF" w14:textId="1CF898CB">
      <w:pPr>
        <w:pStyle w:val="Heading2"/>
        <w:rPr>
          <w:sz w:val="24"/>
        </w:rPr>
      </w:pPr>
      <w:r w:rsidRPr="00E70711">
        <w:rPr>
          <w:sz w:val="24"/>
        </w:rPr>
        <w:t>16. Time Schedule, Publication and Analysis Plans</w:t>
      </w:r>
      <w:bookmarkEnd w:id="81"/>
      <w:bookmarkEnd w:id="82"/>
      <w:bookmarkEnd w:id="83"/>
      <w:bookmarkEnd w:id="84"/>
    </w:p>
    <w:p w:rsidR="003B21D0" w:rsidRPr="00E70711" w:rsidP="00FA6388" w14:paraId="47BD3FA2" w14:textId="7E552B65">
      <w:pPr>
        <w:pStyle w:val="CommentText"/>
        <w:rPr>
          <w:sz w:val="24"/>
          <w:szCs w:val="24"/>
        </w:rPr>
      </w:pPr>
      <w:r w:rsidRPr="00E70711">
        <w:rPr>
          <w:sz w:val="24"/>
          <w:szCs w:val="24"/>
        </w:rPr>
        <w:t xml:space="preserve">The draft schedule of evaluation activities </w:t>
      </w:r>
      <w:r w:rsidRPr="00E70711" w:rsidR="00464B30">
        <w:rPr>
          <w:sz w:val="24"/>
          <w:szCs w:val="24"/>
        </w:rPr>
        <w:t>is</w:t>
      </w:r>
      <w:r w:rsidRPr="00E70711">
        <w:rPr>
          <w:sz w:val="24"/>
          <w:szCs w:val="24"/>
        </w:rPr>
        <w:t xml:space="preserve"> contained in </w:t>
      </w:r>
      <w:r w:rsidRPr="00B213CD">
        <w:rPr>
          <w:b/>
          <w:sz w:val="24"/>
          <w:szCs w:val="24"/>
        </w:rPr>
        <w:t>Attachment</w:t>
      </w:r>
      <w:r w:rsidRPr="00D519AC">
        <w:rPr>
          <w:b/>
          <w:sz w:val="24"/>
          <w:szCs w:val="24"/>
        </w:rPr>
        <w:t xml:space="preserve"> </w:t>
      </w:r>
      <w:r w:rsidRPr="00E10878" w:rsidR="00E10878">
        <w:rPr>
          <w:b/>
          <w:sz w:val="24"/>
          <w:szCs w:val="24"/>
        </w:rPr>
        <w:t>V</w:t>
      </w:r>
      <w:r w:rsidRPr="00E70711">
        <w:rPr>
          <w:b/>
          <w:sz w:val="24"/>
          <w:szCs w:val="24"/>
        </w:rPr>
        <w:t xml:space="preserve">. </w:t>
      </w:r>
      <w:r w:rsidRPr="00E70711">
        <w:rPr>
          <w:sz w:val="24"/>
          <w:szCs w:val="24"/>
        </w:rPr>
        <w:t xml:space="preserve">The exact </w:t>
      </w:r>
      <w:r w:rsidRPr="00E70711" w:rsidR="00D9045B">
        <w:rPr>
          <w:sz w:val="24"/>
          <w:szCs w:val="24"/>
        </w:rPr>
        <w:t>start date</w:t>
      </w:r>
      <w:r w:rsidRPr="00E70711">
        <w:rPr>
          <w:sz w:val="24"/>
          <w:szCs w:val="24"/>
        </w:rPr>
        <w:t xml:space="preserve"> for data collection activities </w:t>
      </w:r>
      <w:r w:rsidRPr="00E70711" w:rsidR="00D9045B">
        <w:rPr>
          <w:sz w:val="24"/>
          <w:szCs w:val="24"/>
        </w:rPr>
        <w:t>is</w:t>
      </w:r>
      <w:r w:rsidRPr="00E70711">
        <w:rPr>
          <w:sz w:val="24"/>
          <w:szCs w:val="24"/>
        </w:rPr>
        <w:t xml:space="preserve"> contingent on the OMB clearance date. </w:t>
      </w:r>
    </w:p>
    <w:p w:rsidR="003B21D0" w:rsidRPr="00E70711" w:rsidP="00FA6388" w14:paraId="423EFC33" w14:textId="77777777">
      <w:pPr>
        <w:pStyle w:val="CommentText"/>
        <w:rPr>
          <w:sz w:val="24"/>
          <w:szCs w:val="24"/>
        </w:rPr>
      </w:pPr>
    </w:p>
    <w:p w:rsidR="00FA6388" w:rsidRPr="00E70711" w:rsidP="00FA6388" w14:paraId="055DFBE9" w14:textId="359604F6">
      <w:pPr>
        <w:pStyle w:val="CommentText"/>
        <w:rPr>
          <w:sz w:val="24"/>
          <w:szCs w:val="24"/>
        </w:rPr>
      </w:pPr>
      <w:r w:rsidRPr="00E70711">
        <w:rPr>
          <w:sz w:val="24"/>
          <w:szCs w:val="24"/>
        </w:rPr>
        <w:t xml:space="preserve">AHRQ will make the final toolkit publicly available on its website. </w:t>
      </w:r>
      <w:r w:rsidRPr="00E70711" w:rsidR="00490A8F">
        <w:rPr>
          <w:sz w:val="24"/>
          <w:szCs w:val="24"/>
        </w:rPr>
        <w:t>Results of</w:t>
      </w:r>
      <w:r w:rsidRPr="00E70711">
        <w:rPr>
          <w:sz w:val="24"/>
          <w:szCs w:val="24"/>
        </w:rPr>
        <w:t xml:space="preserve"> the project will be </w:t>
      </w:r>
      <w:r w:rsidRPr="00E70711" w:rsidR="00490A8F">
        <w:rPr>
          <w:sz w:val="24"/>
          <w:szCs w:val="24"/>
        </w:rPr>
        <w:t xml:space="preserve">compiled in a final report and posted on the AHRQ website.  Analyses and findings will also be </w:t>
      </w:r>
      <w:r w:rsidRPr="00E70711">
        <w:rPr>
          <w:sz w:val="24"/>
          <w:szCs w:val="24"/>
        </w:rPr>
        <w:t xml:space="preserve">submitted for publication in academic journals. </w:t>
      </w:r>
    </w:p>
    <w:p w:rsidR="008E64CD" w:rsidRPr="00E70711" w:rsidP="00FA6388" w14:paraId="22078A57" w14:textId="77777777">
      <w:pPr>
        <w:pStyle w:val="CommentText"/>
        <w:rPr>
          <w:sz w:val="24"/>
          <w:szCs w:val="24"/>
        </w:rPr>
      </w:pPr>
    </w:p>
    <w:tbl>
      <w:tblPr>
        <w:tblW w:w="8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0"/>
        <w:gridCol w:w="1499"/>
        <w:gridCol w:w="1686"/>
      </w:tblGrid>
      <w:tr w14:paraId="599716EF" w14:textId="77777777" w:rsidTr="00AB6736">
        <w:tblPrEx>
          <w:tblW w:w="8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79"/>
          <w:tblHeader/>
        </w:trPr>
        <w:tc>
          <w:tcPr>
            <w:tcW w:w="5150" w:type="dxa"/>
            <w:tcBorders>
              <w:bottom w:val="single" w:sz="4" w:space="0" w:color="auto"/>
            </w:tcBorders>
            <w:shd w:val="clear" w:color="auto" w:fill="D9F3E9"/>
            <w:noWrap/>
            <w:vAlign w:val="center"/>
            <w:hideMark/>
          </w:tcPr>
          <w:p w:rsidR="008E64CD" w:rsidRPr="00E70711" w:rsidP="00ED0D35" w14:paraId="05087183" w14:textId="77777777">
            <w:pPr>
              <w:rPr>
                <w:b/>
                <w:bCs/>
                <w:color w:val="000000"/>
              </w:rPr>
            </w:pPr>
          </w:p>
        </w:tc>
        <w:tc>
          <w:tcPr>
            <w:tcW w:w="1499" w:type="dxa"/>
            <w:tcBorders>
              <w:bottom w:val="single" w:sz="4" w:space="0" w:color="auto"/>
            </w:tcBorders>
            <w:shd w:val="clear" w:color="auto" w:fill="D9F3E9"/>
            <w:noWrap/>
            <w:vAlign w:val="center"/>
            <w:hideMark/>
          </w:tcPr>
          <w:p w:rsidR="008E64CD" w:rsidRPr="00E70711" w:rsidP="00ED0D35" w14:paraId="2FF755EE" w14:textId="77777777">
            <w:pPr>
              <w:jc w:val="center"/>
              <w:rPr>
                <w:b/>
                <w:bCs/>
                <w:color w:val="000000"/>
              </w:rPr>
            </w:pPr>
            <w:r w:rsidRPr="00E70711">
              <w:rPr>
                <w:b/>
                <w:bCs/>
                <w:color w:val="000000"/>
              </w:rPr>
              <w:t>Start Date</w:t>
            </w:r>
          </w:p>
        </w:tc>
        <w:tc>
          <w:tcPr>
            <w:tcW w:w="1686" w:type="dxa"/>
            <w:tcBorders>
              <w:bottom w:val="single" w:sz="4" w:space="0" w:color="auto"/>
            </w:tcBorders>
            <w:shd w:val="clear" w:color="auto" w:fill="D9F3E9"/>
            <w:noWrap/>
            <w:vAlign w:val="center"/>
            <w:hideMark/>
          </w:tcPr>
          <w:p w:rsidR="008E64CD" w:rsidRPr="00E70711" w:rsidP="00ED0D35" w14:paraId="3EA84CCC" w14:textId="77777777">
            <w:pPr>
              <w:jc w:val="center"/>
              <w:rPr>
                <w:b/>
                <w:bCs/>
                <w:color w:val="000000"/>
              </w:rPr>
            </w:pPr>
            <w:r w:rsidRPr="00E70711">
              <w:rPr>
                <w:b/>
                <w:bCs/>
                <w:color w:val="000000"/>
              </w:rPr>
              <w:t>End Date</w:t>
            </w:r>
          </w:p>
        </w:tc>
      </w:tr>
      <w:tr w14:paraId="765CD2E2" w14:textId="77777777" w:rsidTr="00AB6736">
        <w:tblPrEx>
          <w:tblW w:w="8335" w:type="dxa"/>
          <w:tblLook w:val="04A0"/>
        </w:tblPrEx>
        <w:trPr>
          <w:trHeight w:val="208"/>
        </w:trPr>
        <w:tc>
          <w:tcPr>
            <w:tcW w:w="5150" w:type="dxa"/>
            <w:shd w:val="pct10" w:color="auto" w:fill="auto"/>
            <w:vAlign w:val="bottom"/>
          </w:tcPr>
          <w:p w:rsidR="008E64CD" w:rsidRPr="00E70711" w:rsidP="00ED0D35" w14:paraId="1457AD16" w14:textId="77777777">
            <w:pPr>
              <w:rPr>
                <w:b/>
                <w:bCs/>
                <w:color w:val="000000"/>
              </w:rPr>
            </w:pPr>
            <w:r w:rsidRPr="00E70711">
              <w:rPr>
                <w:b/>
                <w:bCs/>
                <w:color w:val="000000"/>
              </w:rPr>
              <w:t>ICU and Non-ICU Cohorts</w:t>
            </w:r>
          </w:p>
        </w:tc>
        <w:tc>
          <w:tcPr>
            <w:tcW w:w="1499" w:type="dxa"/>
            <w:shd w:val="pct10" w:color="auto" w:fill="auto"/>
            <w:noWrap/>
            <w:vAlign w:val="center"/>
          </w:tcPr>
          <w:p w:rsidR="008E64CD" w:rsidRPr="00E70711" w:rsidP="00ED0D35" w14:paraId="0297EBCE" w14:textId="77777777">
            <w:pPr>
              <w:jc w:val="center"/>
              <w:rPr>
                <w:color w:val="000000"/>
              </w:rPr>
            </w:pPr>
          </w:p>
        </w:tc>
        <w:tc>
          <w:tcPr>
            <w:tcW w:w="1686" w:type="dxa"/>
            <w:shd w:val="pct10" w:color="auto" w:fill="auto"/>
            <w:noWrap/>
            <w:vAlign w:val="center"/>
          </w:tcPr>
          <w:p w:rsidR="008E64CD" w:rsidRPr="00E70711" w:rsidP="00ED0D35" w14:paraId="193DE3E7" w14:textId="77777777">
            <w:pPr>
              <w:jc w:val="center"/>
              <w:rPr>
                <w:color w:val="000000"/>
              </w:rPr>
            </w:pPr>
          </w:p>
        </w:tc>
      </w:tr>
      <w:tr w14:paraId="5094EBF4" w14:textId="77777777" w:rsidTr="00AB6736">
        <w:tblPrEx>
          <w:tblW w:w="8335" w:type="dxa"/>
          <w:tblLook w:val="04A0"/>
        </w:tblPrEx>
        <w:trPr>
          <w:trHeight w:val="208"/>
        </w:trPr>
        <w:tc>
          <w:tcPr>
            <w:tcW w:w="5150" w:type="dxa"/>
            <w:shd w:val="clear" w:color="auto" w:fill="auto"/>
            <w:vAlign w:val="bottom"/>
            <w:hideMark/>
          </w:tcPr>
          <w:p w:rsidR="008E64CD" w:rsidRPr="00E70711" w:rsidP="00ED0D35" w14:paraId="62132142" w14:textId="77777777">
            <w:pPr>
              <w:rPr>
                <w:bCs/>
                <w:color w:val="000000"/>
              </w:rPr>
            </w:pPr>
            <w:r w:rsidRPr="00E70711">
              <w:rPr>
                <w:bCs/>
                <w:color w:val="000000"/>
              </w:rPr>
              <w:t>ICU data collection</w:t>
            </w:r>
          </w:p>
        </w:tc>
        <w:tc>
          <w:tcPr>
            <w:tcW w:w="1499" w:type="dxa"/>
            <w:shd w:val="clear" w:color="auto" w:fill="auto"/>
            <w:noWrap/>
            <w:vAlign w:val="center"/>
            <w:hideMark/>
          </w:tcPr>
          <w:p w:rsidR="008E64CD" w:rsidRPr="00E70711" w:rsidP="00ED0D35" w14:paraId="12EFD63E" w14:textId="6E03A567">
            <w:pPr>
              <w:jc w:val="center"/>
              <w:rPr>
                <w:color w:val="000000"/>
              </w:rPr>
            </w:pPr>
            <w:r>
              <w:rPr>
                <w:color w:val="000000"/>
              </w:rPr>
              <w:t>4</w:t>
            </w:r>
            <w:r w:rsidRPr="00E70711" w:rsidR="006F78A6">
              <w:rPr>
                <w:color w:val="000000"/>
              </w:rPr>
              <w:t>/</w:t>
            </w:r>
            <w:r w:rsidR="00AD4273">
              <w:rPr>
                <w:color w:val="000000"/>
              </w:rPr>
              <w:t>1</w:t>
            </w:r>
            <w:r w:rsidRPr="00E70711" w:rsidR="00E20E48">
              <w:rPr>
                <w:color w:val="000000"/>
              </w:rPr>
              <w:t>/2022</w:t>
            </w:r>
          </w:p>
        </w:tc>
        <w:tc>
          <w:tcPr>
            <w:tcW w:w="1686" w:type="dxa"/>
            <w:shd w:val="clear" w:color="auto" w:fill="auto"/>
            <w:noWrap/>
            <w:vAlign w:val="center"/>
            <w:hideMark/>
          </w:tcPr>
          <w:p w:rsidR="008E64CD" w:rsidRPr="00E70711" w:rsidP="00ED0D35" w14:paraId="15FAC644" w14:textId="575BDFA2">
            <w:pPr>
              <w:jc w:val="center"/>
              <w:rPr>
                <w:color w:val="000000"/>
              </w:rPr>
            </w:pPr>
            <w:r>
              <w:rPr>
                <w:color w:val="000000"/>
              </w:rPr>
              <w:t>10</w:t>
            </w:r>
            <w:r w:rsidRPr="00E70711" w:rsidR="00E20E48">
              <w:rPr>
                <w:color w:val="000000"/>
              </w:rPr>
              <w:t>/</w:t>
            </w:r>
            <w:r w:rsidR="00AD4273">
              <w:rPr>
                <w:color w:val="000000"/>
              </w:rPr>
              <w:t>1</w:t>
            </w:r>
            <w:r w:rsidRPr="00E70711" w:rsidR="00E20E48">
              <w:rPr>
                <w:color w:val="000000"/>
              </w:rPr>
              <w:t>/2023</w:t>
            </w:r>
          </w:p>
        </w:tc>
      </w:tr>
      <w:tr w14:paraId="5F48AF0E" w14:textId="77777777" w:rsidTr="00AB6736">
        <w:tblPrEx>
          <w:tblW w:w="8335" w:type="dxa"/>
          <w:tblLook w:val="04A0"/>
        </w:tblPrEx>
        <w:trPr>
          <w:trHeight w:val="454"/>
        </w:trPr>
        <w:tc>
          <w:tcPr>
            <w:tcW w:w="5150" w:type="dxa"/>
            <w:shd w:val="clear" w:color="auto" w:fill="auto"/>
            <w:vAlign w:val="bottom"/>
            <w:hideMark/>
          </w:tcPr>
          <w:p w:rsidR="008E64CD" w:rsidRPr="00E70711" w:rsidP="00ED0D35" w14:paraId="7C2CD3E4" w14:textId="77777777">
            <w:pPr>
              <w:rPr>
                <w:bCs/>
                <w:color w:val="000000"/>
              </w:rPr>
            </w:pPr>
            <w:r w:rsidRPr="00E70711">
              <w:rPr>
                <w:bCs/>
                <w:color w:val="000000"/>
              </w:rPr>
              <w:t>Non-ICU data collection</w:t>
            </w:r>
          </w:p>
        </w:tc>
        <w:tc>
          <w:tcPr>
            <w:tcW w:w="1499" w:type="dxa"/>
            <w:shd w:val="clear" w:color="auto" w:fill="auto"/>
            <w:noWrap/>
            <w:vAlign w:val="center"/>
            <w:hideMark/>
          </w:tcPr>
          <w:p w:rsidR="008E64CD" w:rsidRPr="00E70711" w:rsidP="00ED0D35" w14:paraId="5EC9D361" w14:textId="7A9F1EAB">
            <w:pPr>
              <w:jc w:val="center"/>
              <w:rPr>
                <w:color w:val="000000"/>
              </w:rPr>
            </w:pPr>
            <w:r>
              <w:rPr>
                <w:color w:val="000000"/>
              </w:rPr>
              <w:t>4</w:t>
            </w:r>
            <w:r w:rsidRPr="00E70711" w:rsidR="003E3794">
              <w:rPr>
                <w:color w:val="000000"/>
              </w:rPr>
              <w:t>/</w:t>
            </w:r>
            <w:r w:rsidR="00AD4273">
              <w:rPr>
                <w:color w:val="000000"/>
              </w:rPr>
              <w:t>1</w:t>
            </w:r>
            <w:r w:rsidRPr="00E70711" w:rsidR="003E3794">
              <w:rPr>
                <w:color w:val="000000"/>
              </w:rPr>
              <w:t>/2022</w:t>
            </w:r>
          </w:p>
        </w:tc>
        <w:tc>
          <w:tcPr>
            <w:tcW w:w="1686" w:type="dxa"/>
            <w:shd w:val="clear" w:color="auto" w:fill="auto"/>
            <w:noWrap/>
            <w:vAlign w:val="center"/>
            <w:hideMark/>
          </w:tcPr>
          <w:p w:rsidR="008E64CD" w:rsidRPr="00E70711" w:rsidP="00ED0D35" w14:paraId="7FBF0C52" w14:textId="53C2893F">
            <w:pPr>
              <w:jc w:val="center"/>
              <w:rPr>
                <w:color w:val="000000"/>
              </w:rPr>
            </w:pPr>
            <w:r>
              <w:rPr>
                <w:color w:val="000000"/>
              </w:rPr>
              <w:t>10</w:t>
            </w:r>
            <w:r w:rsidRPr="00E70711" w:rsidR="003E3794">
              <w:rPr>
                <w:color w:val="000000"/>
              </w:rPr>
              <w:t>/</w:t>
            </w:r>
            <w:r w:rsidR="00AD4273">
              <w:rPr>
                <w:color w:val="000000"/>
              </w:rPr>
              <w:t>1</w:t>
            </w:r>
            <w:r w:rsidRPr="00E70711" w:rsidR="003E3794">
              <w:rPr>
                <w:color w:val="000000"/>
              </w:rPr>
              <w:t>/2023</w:t>
            </w:r>
          </w:p>
        </w:tc>
      </w:tr>
      <w:tr w14:paraId="5632E7B7" w14:textId="77777777" w:rsidTr="00AB6736">
        <w:tblPrEx>
          <w:tblW w:w="8335" w:type="dxa"/>
          <w:tblLook w:val="04A0"/>
        </w:tblPrEx>
        <w:trPr>
          <w:trHeight w:val="98"/>
        </w:trPr>
        <w:tc>
          <w:tcPr>
            <w:tcW w:w="5150" w:type="dxa"/>
            <w:shd w:val="clear" w:color="auto" w:fill="auto"/>
            <w:vAlign w:val="bottom"/>
            <w:hideMark/>
          </w:tcPr>
          <w:p w:rsidR="008E64CD" w:rsidRPr="00E70711" w:rsidP="00ED0D35" w14:paraId="0270A34D" w14:textId="77777777">
            <w:pPr>
              <w:rPr>
                <w:bCs/>
                <w:color w:val="000000"/>
              </w:rPr>
            </w:pPr>
            <w:r w:rsidRPr="00E70711">
              <w:rPr>
                <w:bCs/>
                <w:color w:val="000000"/>
              </w:rPr>
              <w:t xml:space="preserve">Final Interim Report </w:t>
            </w:r>
          </w:p>
        </w:tc>
        <w:tc>
          <w:tcPr>
            <w:tcW w:w="1499" w:type="dxa"/>
            <w:shd w:val="clear" w:color="auto" w:fill="auto"/>
            <w:noWrap/>
            <w:vAlign w:val="center"/>
            <w:hideMark/>
          </w:tcPr>
          <w:p w:rsidR="008E64CD" w:rsidRPr="00E70711" w:rsidP="00ED0D35" w14:paraId="36357413" w14:textId="77777777">
            <w:pPr>
              <w:jc w:val="center"/>
              <w:rPr>
                <w:color w:val="000000"/>
              </w:rPr>
            </w:pPr>
          </w:p>
        </w:tc>
        <w:tc>
          <w:tcPr>
            <w:tcW w:w="1686" w:type="dxa"/>
            <w:shd w:val="clear" w:color="auto" w:fill="auto"/>
            <w:noWrap/>
            <w:vAlign w:val="center"/>
            <w:hideMark/>
          </w:tcPr>
          <w:p w:rsidR="008E64CD" w:rsidRPr="00E70711" w:rsidP="00ED0D35" w14:paraId="3BB2D219" w14:textId="69181857">
            <w:pPr>
              <w:jc w:val="center"/>
              <w:rPr>
                <w:color w:val="000000"/>
              </w:rPr>
            </w:pPr>
            <w:r>
              <w:rPr>
                <w:color w:val="000000"/>
              </w:rPr>
              <w:t>12</w:t>
            </w:r>
            <w:r w:rsidRPr="00E70711" w:rsidR="003E3794">
              <w:rPr>
                <w:color w:val="000000"/>
              </w:rPr>
              <w:t>/</w:t>
            </w:r>
            <w:r w:rsidR="002D4F3E">
              <w:rPr>
                <w:color w:val="000000"/>
              </w:rPr>
              <w:t>30</w:t>
            </w:r>
            <w:r w:rsidRPr="00E70711" w:rsidR="003E3794">
              <w:rPr>
                <w:color w:val="000000"/>
              </w:rPr>
              <w:t>/2022</w:t>
            </w:r>
          </w:p>
        </w:tc>
      </w:tr>
      <w:tr w14:paraId="14E53CDC" w14:textId="77777777" w:rsidTr="00AB6736">
        <w:tblPrEx>
          <w:tblW w:w="8335" w:type="dxa"/>
          <w:tblLook w:val="04A0"/>
        </w:tblPrEx>
        <w:trPr>
          <w:trHeight w:val="60"/>
        </w:trPr>
        <w:tc>
          <w:tcPr>
            <w:tcW w:w="5150" w:type="dxa"/>
            <w:shd w:val="clear" w:color="auto" w:fill="auto"/>
            <w:vAlign w:val="bottom"/>
          </w:tcPr>
          <w:p w:rsidR="008E64CD" w:rsidRPr="00E70711" w:rsidP="00ED0D35" w14:paraId="79F04120" w14:textId="5C6AB55E">
            <w:pPr>
              <w:rPr>
                <w:bCs/>
                <w:color w:val="000000"/>
              </w:rPr>
            </w:pPr>
            <w:r w:rsidRPr="00B213CD">
              <w:rPr>
                <w:color w:val="000000"/>
              </w:rPr>
              <w:t xml:space="preserve">Final </w:t>
            </w:r>
            <w:r w:rsidRPr="00215B82" w:rsidR="00190666">
              <w:rPr>
                <w:i/>
                <w:color w:val="000000"/>
              </w:rPr>
              <w:t>AHRQ Safety Program</w:t>
            </w:r>
            <w:r w:rsidRPr="00E007FA">
              <w:rPr>
                <w:i/>
                <w:color w:val="000000"/>
              </w:rPr>
              <w:t xml:space="preserve"> for MRSA Prevention</w:t>
            </w:r>
            <w:r w:rsidRPr="00B213CD">
              <w:rPr>
                <w:color w:val="000000"/>
              </w:rPr>
              <w:t xml:space="preserve"> Toolkit</w:t>
            </w:r>
          </w:p>
        </w:tc>
        <w:tc>
          <w:tcPr>
            <w:tcW w:w="1499" w:type="dxa"/>
            <w:shd w:val="clear" w:color="auto" w:fill="auto"/>
            <w:noWrap/>
            <w:vAlign w:val="center"/>
          </w:tcPr>
          <w:p w:rsidR="008E64CD" w:rsidRPr="00E70711" w:rsidP="00ED0D35" w14:paraId="10FF6D2D" w14:textId="77777777">
            <w:pPr>
              <w:jc w:val="center"/>
              <w:rPr>
                <w:color w:val="000000"/>
              </w:rPr>
            </w:pPr>
          </w:p>
        </w:tc>
        <w:tc>
          <w:tcPr>
            <w:tcW w:w="1686" w:type="dxa"/>
            <w:shd w:val="clear" w:color="auto" w:fill="auto"/>
            <w:noWrap/>
            <w:vAlign w:val="center"/>
          </w:tcPr>
          <w:p w:rsidR="008E64CD" w:rsidRPr="00E70711" w:rsidP="00ED0D35" w14:paraId="320C1743" w14:textId="35E01BEE">
            <w:pPr>
              <w:jc w:val="center"/>
              <w:rPr>
                <w:color w:val="000000"/>
              </w:rPr>
            </w:pPr>
            <w:r w:rsidRPr="00E70711">
              <w:t>9/5</w:t>
            </w:r>
            <w:r w:rsidRPr="00E70711">
              <w:t>/2024</w:t>
            </w:r>
          </w:p>
        </w:tc>
      </w:tr>
      <w:tr w14:paraId="6B2E50D0" w14:textId="77777777" w:rsidTr="00AB6736">
        <w:tblPrEx>
          <w:tblW w:w="8335" w:type="dxa"/>
          <w:tblLook w:val="04A0"/>
        </w:tblPrEx>
        <w:trPr>
          <w:trHeight w:val="60"/>
        </w:trPr>
        <w:tc>
          <w:tcPr>
            <w:tcW w:w="5150" w:type="dxa"/>
            <w:tcBorders>
              <w:bottom w:val="single" w:sz="4" w:space="0" w:color="auto"/>
            </w:tcBorders>
            <w:shd w:val="clear" w:color="auto" w:fill="auto"/>
            <w:vAlign w:val="bottom"/>
          </w:tcPr>
          <w:p w:rsidR="008E64CD" w:rsidRPr="00E70711" w:rsidP="00ED0D35" w14:paraId="395C7D65" w14:textId="77777777">
            <w:pPr>
              <w:rPr>
                <w:bCs/>
                <w:color w:val="000000"/>
              </w:rPr>
            </w:pPr>
            <w:r w:rsidRPr="00E70711">
              <w:rPr>
                <w:bCs/>
                <w:color w:val="000000"/>
              </w:rPr>
              <w:t xml:space="preserve">Final Report </w:t>
            </w:r>
          </w:p>
        </w:tc>
        <w:tc>
          <w:tcPr>
            <w:tcW w:w="1499" w:type="dxa"/>
            <w:tcBorders>
              <w:bottom w:val="single" w:sz="4" w:space="0" w:color="auto"/>
            </w:tcBorders>
            <w:shd w:val="clear" w:color="auto" w:fill="auto"/>
            <w:noWrap/>
            <w:vAlign w:val="center"/>
          </w:tcPr>
          <w:p w:rsidR="008E64CD" w:rsidRPr="00E70711" w:rsidP="00ED0D35" w14:paraId="2C434B62" w14:textId="77777777">
            <w:pPr>
              <w:jc w:val="center"/>
            </w:pPr>
          </w:p>
        </w:tc>
        <w:tc>
          <w:tcPr>
            <w:tcW w:w="1686" w:type="dxa"/>
            <w:tcBorders>
              <w:bottom w:val="single" w:sz="4" w:space="0" w:color="auto"/>
            </w:tcBorders>
            <w:shd w:val="clear" w:color="auto" w:fill="auto"/>
            <w:noWrap/>
            <w:vAlign w:val="center"/>
          </w:tcPr>
          <w:p w:rsidR="008E64CD" w:rsidRPr="00E70711" w14:paraId="2CAFB137" w14:textId="5984E18D">
            <w:pPr>
              <w:jc w:val="center"/>
            </w:pPr>
            <w:r>
              <w:rPr>
                <w:color w:val="000000"/>
              </w:rPr>
              <w:t>6</w:t>
            </w:r>
            <w:r w:rsidRPr="00E70711" w:rsidR="00C14A17">
              <w:rPr>
                <w:color w:val="000000"/>
              </w:rPr>
              <w:t>/</w:t>
            </w:r>
            <w:r>
              <w:rPr>
                <w:color w:val="000000"/>
              </w:rPr>
              <w:t>5</w:t>
            </w:r>
            <w:r w:rsidRPr="00E70711">
              <w:rPr>
                <w:color w:val="000000"/>
              </w:rPr>
              <w:t>/2024</w:t>
            </w:r>
          </w:p>
        </w:tc>
      </w:tr>
      <w:tr w14:paraId="038DC663" w14:textId="77777777" w:rsidTr="00AB6736">
        <w:tblPrEx>
          <w:tblW w:w="8335" w:type="dxa"/>
          <w:tblLook w:val="04A0"/>
        </w:tblPrEx>
        <w:trPr>
          <w:trHeight w:val="60"/>
        </w:trPr>
        <w:tc>
          <w:tcPr>
            <w:tcW w:w="5150" w:type="dxa"/>
            <w:shd w:val="pct10" w:color="auto" w:fill="auto"/>
            <w:vAlign w:val="bottom"/>
          </w:tcPr>
          <w:p w:rsidR="008E64CD" w:rsidRPr="00E70711" w:rsidP="00ED0D35" w14:paraId="6ADF207D" w14:textId="77777777">
            <w:pPr>
              <w:rPr>
                <w:b/>
                <w:bCs/>
                <w:color w:val="000000"/>
              </w:rPr>
            </w:pPr>
            <w:r w:rsidRPr="00E70711">
              <w:rPr>
                <w:b/>
                <w:bCs/>
                <w:color w:val="000000"/>
              </w:rPr>
              <w:t>Surgical Services Cohort</w:t>
            </w:r>
          </w:p>
        </w:tc>
        <w:tc>
          <w:tcPr>
            <w:tcW w:w="1499" w:type="dxa"/>
            <w:shd w:val="pct10" w:color="auto" w:fill="auto"/>
            <w:noWrap/>
            <w:vAlign w:val="center"/>
          </w:tcPr>
          <w:p w:rsidR="008E64CD" w:rsidRPr="00E70711" w:rsidP="00ED0D35" w14:paraId="0CEE4F07" w14:textId="77777777">
            <w:pPr>
              <w:jc w:val="center"/>
            </w:pPr>
          </w:p>
        </w:tc>
        <w:tc>
          <w:tcPr>
            <w:tcW w:w="1686" w:type="dxa"/>
            <w:shd w:val="pct10" w:color="auto" w:fill="auto"/>
            <w:noWrap/>
            <w:vAlign w:val="center"/>
          </w:tcPr>
          <w:p w:rsidR="008E64CD" w:rsidRPr="00E70711" w:rsidP="00ED0D35" w14:paraId="2D5A7D83" w14:textId="77777777">
            <w:pPr>
              <w:jc w:val="center"/>
              <w:rPr>
                <w:color w:val="000000"/>
              </w:rPr>
            </w:pPr>
          </w:p>
        </w:tc>
      </w:tr>
      <w:tr w14:paraId="50E2B389" w14:textId="77777777" w:rsidTr="00AB6736">
        <w:tblPrEx>
          <w:tblW w:w="8335" w:type="dxa"/>
          <w:tblLook w:val="04A0"/>
        </w:tblPrEx>
        <w:trPr>
          <w:trHeight w:val="60"/>
        </w:trPr>
        <w:tc>
          <w:tcPr>
            <w:tcW w:w="5150" w:type="dxa"/>
            <w:shd w:val="clear" w:color="auto" w:fill="auto"/>
            <w:vAlign w:val="bottom"/>
          </w:tcPr>
          <w:p w:rsidR="008E64CD" w:rsidRPr="00E70711" w:rsidP="00ED0D35" w14:paraId="7100757D" w14:textId="77777777">
            <w:pPr>
              <w:rPr>
                <w:b/>
                <w:bCs/>
                <w:color w:val="000000"/>
              </w:rPr>
            </w:pPr>
            <w:r w:rsidRPr="00E70711">
              <w:rPr>
                <w:bCs/>
                <w:color w:val="000000"/>
              </w:rPr>
              <w:t>Data collection</w:t>
            </w:r>
          </w:p>
        </w:tc>
        <w:tc>
          <w:tcPr>
            <w:tcW w:w="1499" w:type="dxa"/>
            <w:shd w:val="clear" w:color="auto" w:fill="auto"/>
            <w:noWrap/>
            <w:vAlign w:val="center"/>
          </w:tcPr>
          <w:p w:rsidR="00521965" w:rsidRPr="00E70711" w:rsidP="00ED0D35" w14:paraId="39A83F16" w14:textId="42D6D327">
            <w:pPr>
              <w:jc w:val="center"/>
              <w:rPr>
                <w:color w:val="000000"/>
              </w:rPr>
            </w:pPr>
            <w:r w:rsidRPr="00E70711">
              <w:rPr>
                <w:color w:val="000000"/>
              </w:rPr>
              <w:t>1/</w:t>
            </w:r>
            <w:r w:rsidR="000A598A">
              <w:rPr>
                <w:color w:val="000000"/>
              </w:rPr>
              <w:t>2</w:t>
            </w:r>
            <w:r w:rsidRPr="00E70711">
              <w:rPr>
                <w:color w:val="000000"/>
              </w:rPr>
              <w:t>/</w:t>
            </w:r>
            <w:r w:rsidRPr="00E70711" w:rsidR="000A598A">
              <w:rPr>
                <w:color w:val="000000"/>
              </w:rPr>
              <w:t>202</w:t>
            </w:r>
            <w:r w:rsidR="000A598A">
              <w:rPr>
                <w:color w:val="000000"/>
              </w:rPr>
              <w:t>3</w:t>
            </w:r>
          </w:p>
        </w:tc>
        <w:tc>
          <w:tcPr>
            <w:tcW w:w="1686" w:type="dxa"/>
            <w:shd w:val="clear" w:color="auto" w:fill="auto"/>
            <w:noWrap/>
            <w:vAlign w:val="center"/>
          </w:tcPr>
          <w:p w:rsidR="00521965" w:rsidRPr="00E70711" w:rsidP="00ED0D35" w14:paraId="06890071" w14:textId="3B008EB8">
            <w:pPr>
              <w:jc w:val="center"/>
              <w:rPr>
                <w:color w:val="000000"/>
              </w:rPr>
            </w:pPr>
            <w:r>
              <w:rPr>
                <w:color w:val="000000"/>
              </w:rPr>
              <w:t>7</w:t>
            </w:r>
            <w:r w:rsidRPr="00E70711">
              <w:rPr>
                <w:color w:val="000000"/>
              </w:rPr>
              <w:t>/</w:t>
            </w:r>
            <w:r>
              <w:rPr>
                <w:color w:val="000000"/>
              </w:rPr>
              <w:t>2</w:t>
            </w:r>
            <w:r w:rsidRPr="00E70711">
              <w:rPr>
                <w:color w:val="000000"/>
              </w:rPr>
              <w:t>/2024</w:t>
            </w:r>
          </w:p>
        </w:tc>
      </w:tr>
      <w:tr w14:paraId="75BE48AC" w14:textId="77777777" w:rsidTr="00AB6736">
        <w:tblPrEx>
          <w:tblW w:w="8335" w:type="dxa"/>
          <w:tblLook w:val="04A0"/>
        </w:tblPrEx>
        <w:trPr>
          <w:trHeight w:val="60"/>
        </w:trPr>
        <w:tc>
          <w:tcPr>
            <w:tcW w:w="5150" w:type="dxa"/>
            <w:shd w:val="clear" w:color="auto" w:fill="auto"/>
            <w:vAlign w:val="bottom"/>
          </w:tcPr>
          <w:p w:rsidR="008E64CD" w:rsidRPr="00E70711" w:rsidP="00ED0D35" w14:paraId="240E695C" w14:textId="77777777">
            <w:pPr>
              <w:rPr>
                <w:b/>
                <w:bCs/>
                <w:color w:val="000000"/>
              </w:rPr>
            </w:pPr>
            <w:r w:rsidRPr="00E70711">
              <w:rPr>
                <w:bCs/>
                <w:color w:val="000000"/>
              </w:rPr>
              <w:t xml:space="preserve">Final Interim Report </w:t>
            </w:r>
          </w:p>
        </w:tc>
        <w:tc>
          <w:tcPr>
            <w:tcW w:w="1499" w:type="dxa"/>
            <w:shd w:val="clear" w:color="auto" w:fill="auto"/>
            <w:noWrap/>
            <w:vAlign w:val="center"/>
          </w:tcPr>
          <w:p w:rsidR="008E64CD" w:rsidRPr="00E70711" w:rsidP="00ED0D35" w14:paraId="57ECB90D" w14:textId="77777777">
            <w:pPr>
              <w:jc w:val="center"/>
            </w:pPr>
          </w:p>
        </w:tc>
        <w:tc>
          <w:tcPr>
            <w:tcW w:w="1686" w:type="dxa"/>
            <w:shd w:val="clear" w:color="auto" w:fill="auto"/>
            <w:noWrap/>
            <w:vAlign w:val="center"/>
          </w:tcPr>
          <w:p w:rsidR="00EB4214" w:rsidRPr="00E70711" w:rsidP="00ED0D35" w14:paraId="2F83FE44" w14:textId="1F70089B">
            <w:pPr>
              <w:jc w:val="center"/>
              <w:rPr>
                <w:color w:val="000000"/>
              </w:rPr>
            </w:pPr>
            <w:r>
              <w:rPr>
                <w:color w:val="000000"/>
              </w:rPr>
              <w:t>9</w:t>
            </w:r>
            <w:r w:rsidRPr="00E70711">
              <w:rPr>
                <w:color w:val="000000"/>
              </w:rPr>
              <w:t>/</w:t>
            </w:r>
            <w:r w:rsidR="002D4F3E">
              <w:rPr>
                <w:color w:val="000000"/>
              </w:rPr>
              <w:t>30</w:t>
            </w:r>
            <w:r w:rsidRPr="00E70711">
              <w:rPr>
                <w:color w:val="000000"/>
              </w:rPr>
              <w:t>/2023</w:t>
            </w:r>
          </w:p>
        </w:tc>
      </w:tr>
      <w:tr w14:paraId="7C8778B6" w14:textId="77777777" w:rsidTr="00AB6736">
        <w:tblPrEx>
          <w:tblW w:w="8335" w:type="dxa"/>
          <w:tblLook w:val="04A0"/>
        </w:tblPrEx>
        <w:trPr>
          <w:trHeight w:val="60"/>
        </w:trPr>
        <w:tc>
          <w:tcPr>
            <w:tcW w:w="5150" w:type="dxa"/>
            <w:shd w:val="clear" w:color="auto" w:fill="auto"/>
            <w:vAlign w:val="bottom"/>
          </w:tcPr>
          <w:p w:rsidR="008E64CD" w:rsidRPr="00E70711" w:rsidP="00ED0D35" w14:paraId="1FF6E3C0" w14:textId="2A0D88A4">
            <w:pPr>
              <w:rPr>
                <w:b/>
                <w:bCs/>
                <w:color w:val="000000"/>
              </w:rPr>
            </w:pPr>
            <w:r w:rsidRPr="00B213CD">
              <w:rPr>
                <w:color w:val="000000"/>
              </w:rPr>
              <w:t xml:space="preserve">Final </w:t>
            </w:r>
            <w:r w:rsidRPr="00CC5BBB" w:rsidR="00190666">
              <w:rPr>
                <w:i/>
                <w:color w:val="000000"/>
              </w:rPr>
              <w:t>AHRQ Safety Program</w:t>
            </w:r>
            <w:r w:rsidRPr="00B213CD">
              <w:rPr>
                <w:color w:val="000000"/>
              </w:rPr>
              <w:t xml:space="preserve"> for MRSA Prevention Toolkit</w:t>
            </w:r>
          </w:p>
        </w:tc>
        <w:tc>
          <w:tcPr>
            <w:tcW w:w="1499" w:type="dxa"/>
            <w:shd w:val="clear" w:color="auto" w:fill="auto"/>
            <w:noWrap/>
            <w:vAlign w:val="center"/>
          </w:tcPr>
          <w:p w:rsidR="008E64CD" w:rsidRPr="00E70711" w:rsidP="00ED0D35" w14:paraId="5D8BFA90" w14:textId="77777777">
            <w:pPr>
              <w:jc w:val="center"/>
            </w:pPr>
          </w:p>
        </w:tc>
        <w:tc>
          <w:tcPr>
            <w:tcW w:w="1686" w:type="dxa"/>
            <w:shd w:val="clear" w:color="auto" w:fill="auto"/>
            <w:noWrap/>
            <w:vAlign w:val="center"/>
          </w:tcPr>
          <w:p w:rsidR="00EB4214" w:rsidRPr="00E70711" w:rsidP="00ED0D35" w14:paraId="410DDF5E" w14:textId="3A7256BE">
            <w:pPr>
              <w:jc w:val="center"/>
              <w:rPr>
                <w:color w:val="000000"/>
              </w:rPr>
            </w:pPr>
            <w:r w:rsidRPr="00E70711">
              <w:t>10/12/2025</w:t>
            </w:r>
          </w:p>
          <w:p w:rsidR="008E64CD" w:rsidRPr="00E70711" w:rsidP="00ED0D35" w14:paraId="684A1153" w14:textId="77777777">
            <w:pPr>
              <w:jc w:val="center"/>
              <w:rPr>
                <w:color w:val="000000"/>
              </w:rPr>
            </w:pPr>
          </w:p>
        </w:tc>
      </w:tr>
      <w:tr w14:paraId="01494951" w14:textId="77777777" w:rsidTr="00AB6736">
        <w:tblPrEx>
          <w:tblW w:w="8335" w:type="dxa"/>
          <w:tblLook w:val="04A0"/>
        </w:tblPrEx>
        <w:trPr>
          <w:trHeight w:val="60"/>
        </w:trPr>
        <w:tc>
          <w:tcPr>
            <w:tcW w:w="5150" w:type="dxa"/>
            <w:tcBorders>
              <w:bottom w:val="single" w:sz="4" w:space="0" w:color="auto"/>
            </w:tcBorders>
            <w:shd w:val="clear" w:color="auto" w:fill="auto"/>
            <w:vAlign w:val="bottom"/>
          </w:tcPr>
          <w:p w:rsidR="008E64CD" w:rsidRPr="00E70711" w:rsidP="00ED0D35" w14:paraId="742EDCF8" w14:textId="77777777">
            <w:pPr>
              <w:rPr>
                <w:b/>
                <w:bCs/>
                <w:color w:val="000000"/>
              </w:rPr>
            </w:pPr>
            <w:r w:rsidRPr="00E70711">
              <w:rPr>
                <w:bCs/>
                <w:color w:val="000000"/>
              </w:rPr>
              <w:t xml:space="preserve">Final Report </w:t>
            </w:r>
          </w:p>
        </w:tc>
        <w:tc>
          <w:tcPr>
            <w:tcW w:w="1499" w:type="dxa"/>
            <w:tcBorders>
              <w:bottom w:val="single" w:sz="4" w:space="0" w:color="auto"/>
            </w:tcBorders>
            <w:shd w:val="clear" w:color="auto" w:fill="auto"/>
            <w:noWrap/>
            <w:vAlign w:val="center"/>
          </w:tcPr>
          <w:p w:rsidR="008E64CD" w:rsidRPr="00E70711" w:rsidP="00ED0D35" w14:paraId="44E003DD" w14:textId="77777777">
            <w:pPr>
              <w:jc w:val="center"/>
            </w:pPr>
          </w:p>
        </w:tc>
        <w:tc>
          <w:tcPr>
            <w:tcW w:w="1686" w:type="dxa"/>
            <w:tcBorders>
              <w:bottom w:val="single" w:sz="4" w:space="0" w:color="auto"/>
            </w:tcBorders>
            <w:shd w:val="clear" w:color="auto" w:fill="auto"/>
            <w:noWrap/>
            <w:vAlign w:val="center"/>
          </w:tcPr>
          <w:p w:rsidR="00EB4214" w:rsidRPr="00E70711" w:rsidP="00ED0D35" w14:paraId="6101132B" w14:textId="1068FE51">
            <w:pPr>
              <w:jc w:val="center"/>
              <w:rPr>
                <w:rFonts w:eastAsiaTheme="minorEastAsia"/>
                <w:color w:val="000000"/>
              </w:rPr>
            </w:pPr>
            <w:r>
              <w:t>07</w:t>
            </w:r>
            <w:r w:rsidRPr="00E70711">
              <w:t>/</w:t>
            </w:r>
            <w:r>
              <w:t>31</w:t>
            </w:r>
            <w:r w:rsidRPr="00E70711">
              <w:t>/2025</w:t>
            </w:r>
          </w:p>
        </w:tc>
      </w:tr>
      <w:tr w14:paraId="217F3EAA" w14:textId="77777777" w:rsidTr="00AB6736">
        <w:tblPrEx>
          <w:tblW w:w="8335" w:type="dxa"/>
          <w:tblLook w:val="04A0"/>
        </w:tblPrEx>
        <w:trPr>
          <w:trHeight w:val="60"/>
        </w:trPr>
        <w:tc>
          <w:tcPr>
            <w:tcW w:w="5150" w:type="dxa"/>
            <w:shd w:val="pct10" w:color="auto" w:fill="auto"/>
            <w:vAlign w:val="bottom"/>
          </w:tcPr>
          <w:p w:rsidR="008E64CD" w:rsidRPr="00E70711" w:rsidP="00ED0D35" w14:paraId="738E6318" w14:textId="643FC109">
            <w:pPr>
              <w:rPr>
                <w:b/>
                <w:bCs/>
                <w:color w:val="000000"/>
              </w:rPr>
            </w:pPr>
            <w:r w:rsidRPr="00E70711">
              <w:rPr>
                <w:b/>
                <w:bCs/>
                <w:color w:val="000000"/>
              </w:rPr>
              <w:t>L</w:t>
            </w:r>
            <w:r w:rsidR="004C6277">
              <w:rPr>
                <w:b/>
                <w:bCs/>
                <w:color w:val="000000"/>
              </w:rPr>
              <w:t>TC</w:t>
            </w:r>
            <w:r w:rsidRPr="00E70711">
              <w:rPr>
                <w:b/>
                <w:bCs/>
                <w:color w:val="000000"/>
              </w:rPr>
              <w:t xml:space="preserve"> Facility Cohort</w:t>
            </w:r>
          </w:p>
        </w:tc>
        <w:tc>
          <w:tcPr>
            <w:tcW w:w="1499" w:type="dxa"/>
            <w:shd w:val="pct10" w:color="auto" w:fill="auto"/>
            <w:noWrap/>
            <w:vAlign w:val="center"/>
          </w:tcPr>
          <w:p w:rsidR="008E64CD" w:rsidRPr="00E70711" w:rsidP="00ED0D35" w14:paraId="387C722D" w14:textId="77777777">
            <w:pPr>
              <w:jc w:val="center"/>
            </w:pPr>
          </w:p>
        </w:tc>
        <w:tc>
          <w:tcPr>
            <w:tcW w:w="1686" w:type="dxa"/>
            <w:shd w:val="pct10" w:color="auto" w:fill="auto"/>
            <w:noWrap/>
            <w:vAlign w:val="center"/>
          </w:tcPr>
          <w:p w:rsidR="008E64CD" w:rsidRPr="00E70711" w:rsidP="00ED0D35" w14:paraId="1935014A" w14:textId="77777777">
            <w:pPr>
              <w:jc w:val="center"/>
              <w:rPr>
                <w:color w:val="000000"/>
              </w:rPr>
            </w:pPr>
          </w:p>
        </w:tc>
      </w:tr>
      <w:tr w14:paraId="68DF1890" w14:textId="77777777" w:rsidTr="00AB6736">
        <w:tblPrEx>
          <w:tblW w:w="8335" w:type="dxa"/>
          <w:tblLook w:val="04A0"/>
        </w:tblPrEx>
        <w:trPr>
          <w:trHeight w:val="60"/>
        </w:trPr>
        <w:tc>
          <w:tcPr>
            <w:tcW w:w="5150" w:type="dxa"/>
            <w:shd w:val="clear" w:color="auto" w:fill="auto"/>
            <w:vAlign w:val="bottom"/>
          </w:tcPr>
          <w:p w:rsidR="008E64CD" w:rsidRPr="00E70711" w:rsidP="00ED0D35" w14:paraId="2993BDE0" w14:textId="77777777">
            <w:pPr>
              <w:rPr>
                <w:b/>
                <w:bCs/>
                <w:color w:val="000000"/>
              </w:rPr>
            </w:pPr>
            <w:r w:rsidRPr="00E70711">
              <w:rPr>
                <w:bCs/>
                <w:color w:val="000000"/>
              </w:rPr>
              <w:t>Data collection</w:t>
            </w:r>
          </w:p>
        </w:tc>
        <w:tc>
          <w:tcPr>
            <w:tcW w:w="1499" w:type="dxa"/>
            <w:shd w:val="clear" w:color="auto" w:fill="auto"/>
            <w:noWrap/>
            <w:vAlign w:val="center"/>
          </w:tcPr>
          <w:p w:rsidR="00521965" w:rsidRPr="00E70711" w:rsidP="00ED0D35" w14:paraId="23E8041B" w14:textId="7CDD5EB7">
            <w:pPr>
              <w:jc w:val="center"/>
              <w:rPr>
                <w:color w:val="000000"/>
              </w:rPr>
            </w:pPr>
            <w:r>
              <w:rPr>
                <w:color w:val="000000"/>
              </w:rPr>
              <w:t>6</w:t>
            </w:r>
            <w:r w:rsidRPr="00E70711">
              <w:rPr>
                <w:color w:val="000000"/>
              </w:rPr>
              <w:t>/1/2023</w:t>
            </w:r>
          </w:p>
        </w:tc>
        <w:tc>
          <w:tcPr>
            <w:tcW w:w="1686" w:type="dxa"/>
            <w:shd w:val="clear" w:color="auto" w:fill="auto"/>
            <w:noWrap/>
            <w:vAlign w:val="center"/>
          </w:tcPr>
          <w:p w:rsidR="00521965" w:rsidRPr="00E70711" w14:paraId="16F24F76" w14:textId="48887067">
            <w:pPr>
              <w:jc w:val="center"/>
              <w:rPr>
                <w:color w:val="000000"/>
              </w:rPr>
            </w:pPr>
            <w:r w:rsidRPr="00E70711">
              <w:rPr>
                <w:color w:val="000000"/>
              </w:rPr>
              <w:t>1</w:t>
            </w:r>
            <w:r>
              <w:rPr>
                <w:color w:val="000000"/>
              </w:rPr>
              <w:t>2</w:t>
            </w:r>
            <w:r w:rsidRPr="00E70711">
              <w:rPr>
                <w:color w:val="000000"/>
              </w:rPr>
              <w:t>/</w:t>
            </w:r>
            <w:r w:rsidRPr="00E70711" w:rsidR="004061E3">
              <w:rPr>
                <w:color w:val="000000"/>
              </w:rPr>
              <w:t>3</w:t>
            </w:r>
            <w:r w:rsidR="004061E3">
              <w:rPr>
                <w:color w:val="000000"/>
              </w:rPr>
              <w:t>0</w:t>
            </w:r>
            <w:r w:rsidRPr="00E70711">
              <w:rPr>
                <w:color w:val="000000"/>
              </w:rPr>
              <w:t>/2024</w:t>
            </w:r>
          </w:p>
        </w:tc>
      </w:tr>
      <w:tr w14:paraId="340F5069" w14:textId="77777777" w:rsidTr="00AB6736">
        <w:tblPrEx>
          <w:tblW w:w="8335" w:type="dxa"/>
          <w:tblLook w:val="04A0"/>
        </w:tblPrEx>
        <w:trPr>
          <w:trHeight w:val="60"/>
        </w:trPr>
        <w:tc>
          <w:tcPr>
            <w:tcW w:w="5150" w:type="dxa"/>
            <w:shd w:val="clear" w:color="auto" w:fill="auto"/>
            <w:vAlign w:val="bottom"/>
          </w:tcPr>
          <w:p w:rsidR="008E64CD" w:rsidRPr="00E70711" w:rsidP="00ED0D35" w14:paraId="51BE3D14" w14:textId="77777777">
            <w:pPr>
              <w:rPr>
                <w:b/>
                <w:bCs/>
                <w:color w:val="000000"/>
              </w:rPr>
            </w:pPr>
            <w:r w:rsidRPr="00E70711">
              <w:rPr>
                <w:bCs/>
                <w:color w:val="000000"/>
              </w:rPr>
              <w:t xml:space="preserve">Final Interim Report </w:t>
            </w:r>
          </w:p>
        </w:tc>
        <w:tc>
          <w:tcPr>
            <w:tcW w:w="1499" w:type="dxa"/>
            <w:shd w:val="clear" w:color="auto" w:fill="auto"/>
            <w:noWrap/>
            <w:vAlign w:val="center"/>
          </w:tcPr>
          <w:p w:rsidR="008E64CD" w:rsidRPr="00E70711" w:rsidP="00ED0D35" w14:paraId="0A3A1045" w14:textId="77777777">
            <w:pPr>
              <w:jc w:val="center"/>
            </w:pPr>
          </w:p>
        </w:tc>
        <w:tc>
          <w:tcPr>
            <w:tcW w:w="1686" w:type="dxa"/>
            <w:shd w:val="clear" w:color="auto" w:fill="auto"/>
            <w:noWrap/>
            <w:vAlign w:val="center"/>
          </w:tcPr>
          <w:p w:rsidR="00EB4214" w:rsidRPr="00E70711" w:rsidP="00ED0D35" w14:paraId="708EDF09" w14:textId="63275E9D">
            <w:pPr>
              <w:jc w:val="center"/>
              <w:rPr>
                <w:color w:val="000000"/>
              </w:rPr>
            </w:pPr>
            <w:r>
              <w:rPr>
                <w:color w:val="000000"/>
              </w:rPr>
              <w:t>2</w:t>
            </w:r>
            <w:r w:rsidRPr="00E70711">
              <w:rPr>
                <w:color w:val="000000"/>
              </w:rPr>
              <w:t>/</w:t>
            </w:r>
            <w:r>
              <w:rPr>
                <w:color w:val="000000"/>
              </w:rPr>
              <w:t>28</w:t>
            </w:r>
            <w:r w:rsidRPr="00E70711">
              <w:rPr>
                <w:color w:val="000000"/>
              </w:rPr>
              <w:t>/2024</w:t>
            </w:r>
          </w:p>
        </w:tc>
      </w:tr>
      <w:tr w14:paraId="4E24AA7B" w14:textId="77777777" w:rsidTr="00AB6736">
        <w:tblPrEx>
          <w:tblW w:w="8335" w:type="dxa"/>
          <w:tblLook w:val="04A0"/>
        </w:tblPrEx>
        <w:trPr>
          <w:trHeight w:val="60"/>
        </w:trPr>
        <w:tc>
          <w:tcPr>
            <w:tcW w:w="5150" w:type="dxa"/>
            <w:shd w:val="clear" w:color="auto" w:fill="auto"/>
            <w:vAlign w:val="bottom"/>
          </w:tcPr>
          <w:p w:rsidR="008E64CD" w:rsidRPr="00E70711" w:rsidP="00ED0D35" w14:paraId="4A8C949A" w14:textId="786590C3">
            <w:pPr>
              <w:rPr>
                <w:b/>
                <w:bCs/>
                <w:color w:val="000000"/>
              </w:rPr>
            </w:pPr>
            <w:r w:rsidRPr="00B213CD">
              <w:rPr>
                <w:color w:val="000000"/>
              </w:rPr>
              <w:t xml:space="preserve">Final </w:t>
            </w:r>
            <w:r w:rsidRPr="00CC5BBB" w:rsidR="00190666">
              <w:rPr>
                <w:i/>
                <w:color w:val="000000"/>
              </w:rPr>
              <w:t>AHRQ Safety Program</w:t>
            </w:r>
            <w:r w:rsidRPr="00B213CD">
              <w:rPr>
                <w:color w:val="000000"/>
              </w:rPr>
              <w:t xml:space="preserve"> for MRSA Prevention Toolkit</w:t>
            </w:r>
          </w:p>
        </w:tc>
        <w:tc>
          <w:tcPr>
            <w:tcW w:w="1499" w:type="dxa"/>
            <w:shd w:val="clear" w:color="auto" w:fill="auto"/>
            <w:noWrap/>
            <w:vAlign w:val="center"/>
          </w:tcPr>
          <w:p w:rsidR="008E64CD" w:rsidRPr="00E70711" w:rsidP="00ED0D35" w14:paraId="0E2DA43A" w14:textId="77777777">
            <w:pPr>
              <w:jc w:val="center"/>
            </w:pPr>
          </w:p>
        </w:tc>
        <w:tc>
          <w:tcPr>
            <w:tcW w:w="1686" w:type="dxa"/>
            <w:shd w:val="clear" w:color="auto" w:fill="auto"/>
            <w:noWrap/>
            <w:vAlign w:val="center"/>
          </w:tcPr>
          <w:p w:rsidR="00EB4214" w:rsidRPr="00E70711" w:rsidP="00ED0D35" w14:paraId="0801F51A" w14:textId="48239A8A">
            <w:pPr>
              <w:jc w:val="center"/>
              <w:rPr>
                <w:rFonts w:eastAsiaTheme="minorEastAsia"/>
                <w:color w:val="000000"/>
              </w:rPr>
            </w:pPr>
            <w:r w:rsidRPr="00E70711">
              <w:t>1/12/2026</w:t>
            </w:r>
          </w:p>
        </w:tc>
      </w:tr>
      <w:tr w14:paraId="328398A9" w14:textId="77777777" w:rsidTr="00AB6736">
        <w:tblPrEx>
          <w:tblW w:w="8335" w:type="dxa"/>
          <w:tblLook w:val="04A0"/>
        </w:tblPrEx>
        <w:trPr>
          <w:trHeight w:val="60"/>
        </w:trPr>
        <w:tc>
          <w:tcPr>
            <w:tcW w:w="5150" w:type="dxa"/>
            <w:shd w:val="clear" w:color="auto" w:fill="auto"/>
            <w:vAlign w:val="bottom"/>
          </w:tcPr>
          <w:p w:rsidR="008E64CD" w:rsidRPr="00E70711" w:rsidP="00ED0D35" w14:paraId="6FAD07D3" w14:textId="77777777">
            <w:pPr>
              <w:rPr>
                <w:b/>
                <w:bCs/>
                <w:color w:val="000000"/>
              </w:rPr>
            </w:pPr>
            <w:r w:rsidRPr="00E70711">
              <w:rPr>
                <w:bCs/>
                <w:color w:val="000000"/>
              </w:rPr>
              <w:t xml:space="preserve">Final Report </w:t>
            </w:r>
          </w:p>
        </w:tc>
        <w:tc>
          <w:tcPr>
            <w:tcW w:w="1499" w:type="dxa"/>
            <w:shd w:val="clear" w:color="auto" w:fill="auto"/>
            <w:noWrap/>
            <w:vAlign w:val="center"/>
          </w:tcPr>
          <w:p w:rsidR="008E64CD" w:rsidRPr="00E70711" w:rsidP="00ED0D35" w14:paraId="5C120D02" w14:textId="77777777">
            <w:pPr>
              <w:jc w:val="center"/>
            </w:pPr>
          </w:p>
        </w:tc>
        <w:tc>
          <w:tcPr>
            <w:tcW w:w="1686" w:type="dxa"/>
            <w:shd w:val="clear" w:color="auto" w:fill="auto"/>
            <w:noWrap/>
            <w:vAlign w:val="center"/>
          </w:tcPr>
          <w:p w:rsidR="00EB4214" w:rsidRPr="00E70711" w:rsidP="00ED0D35" w14:paraId="3B89DA2C" w14:textId="1594D038">
            <w:pPr>
              <w:jc w:val="center"/>
              <w:rPr>
                <w:color w:val="000000"/>
              </w:rPr>
            </w:pPr>
            <w:r>
              <w:t>7</w:t>
            </w:r>
            <w:r w:rsidRPr="00E70711">
              <w:t>/</w:t>
            </w:r>
            <w:r>
              <w:t>31</w:t>
            </w:r>
            <w:r w:rsidRPr="00E70711">
              <w:t>/202</w:t>
            </w:r>
            <w:r>
              <w:t>5</w:t>
            </w:r>
          </w:p>
        </w:tc>
      </w:tr>
    </w:tbl>
    <w:p w:rsidR="008E64CD" w:rsidRPr="00E70711" w:rsidP="00FA6388" w14:paraId="1652E42E" w14:textId="77777777">
      <w:pPr>
        <w:pStyle w:val="CommentText"/>
        <w:rPr>
          <w:sz w:val="24"/>
          <w:szCs w:val="24"/>
        </w:rPr>
      </w:pPr>
    </w:p>
    <w:p w:rsidR="009B633D" w:rsidRPr="00E70711" w:rsidP="009B633D" w14:paraId="0195C2C9" w14:textId="77777777">
      <w:pPr>
        <w:pStyle w:val="Heading2"/>
        <w:rPr>
          <w:sz w:val="24"/>
        </w:rPr>
      </w:pPr>
      <w:bookmarkStart w:id="85" w:name="_Toc151782196"/>
      <w:bookmarkStart w:id="86" w:name="_Toc158526232"/>
      <w:bookmarkStart w:id="87" w:name="_Toc73964955"/>
      <w:bookmarkStart w:id="88" w:name="_Toc73965314"/>
      <w:r w:rsidRPr="00E70711">
        <w:rPr>
          <w:sz w:val="24"/>
        </w:rPr>
        <w:t>17. Exemption for Display of Expiration Date</w:t>
      </w:r>
      <w:bookmarkEnd w:id="85"/>
      <w:bookmarkEnd w:id="86"/>
      <w:bookmarkEnd w:id="87"/>
      <w:bookmarkEnd w:id="88"/>
    </w:p>
    <w:p w:rsidR="009B633D" w:rsidRPr="00E70711" w:rsidP="009B633D" w14:paraId="695E41C7" w14:textId="77777777">
      <w:r w:rsidRPr="00E70711">
        <w:t>AHRQ does not seek this exemption.</w:t>
      </w:r>
    </w:p>
    <w:p w:rsidR="00016560" w:rsidRPr="00B213CD" w:rsidP="00F43FE9" w14:paraId="600E684D" w14:textId="77777777">
      <w:pPr>
        <w:pStyle w:val="Heading2"/>
      </w:pPr>
      <w:bookmarkStart w:id="89" w:name="_Toc73964956"/>
      <w:bookmarkStart w:id="90" w:name="_Toc73965315"/>
      <w:r w:rsidRPr="00B213CD">
        <w:t xml:space="preserve">List of </w:t>
      </w:r>
      <w:r w:rsidRPr="00B213CD">
        <w:t>Attachments</w:t>
      </w:r>
      <w:bookmarkEnd w:id="89"/>
      <w:bookmarkEnd w:id="90"/>
    </w:p>
    <w:p w:rsidR="00702CE9" w:rsidRPr="00B213CD" w:rsidP="00702CE9" w14:paraId="31CBD6E1" w14:textId="50A4D7D9">
      <w:r w:rsidRPr="00B213CD">
        <w:t xml:space="preserve">Attachment </w:t>
      </w:r>
      <w:r w:rsidRPr="00B213CD" w:rsidR="00C55529">
        <w:t>A</w:t>
      </w:r>
      <w:r w:rsidRPr="00B213CD" w:rsidR="00302210">
        <w:t xml:space="preserve">: </w:t>
      </w:r>
      <w:r w:rsidRPr="00B213CD" w:rsidR="00C55529">
        <w:t>Federal Register Notice</w:t>
      </w:r>
      <w:r w:rsidRPr="00B213CD" w:rsidR="00C55529">
        <w:br/>
      </w:r>
      <w:r w:rsidRPr="00B213CD">
        <w:t xml:space="preserve">Attachment </w:t>
      </w:r>
      <w:r w:rsidRPr="00B213CD" w:rsidR="00123A53">
        <w:t>B</w:t>
      </w:r>
      <w:r w:rsidRPr="00B213CD">
        <w:t xml:space="preserve">: </w:t>
      </w:r>
      <w:r w:rsidRPr="00B213CD" w:rsidR="00787B67">
        <w:t xml:space="preserve">ICU/Non-ICU </w:t>
      </w:r>
      <w:r w:rsidRPr="00B213CD">
        <w:t>Gap Analysis</w:t>
      </w:r>
    </w:p>
    <w:p w:rsidR="00787B67" w:rsidRPr="00B213CD" w:rsidP="00702CE9" w14:paraId="72C33A0E" w14:textId="661AE9B8">
      <w:r w:rsidRPr="00B213CD">
        <w:t xml:space="preserve">Attachment C: </w:t>
      </w:r>
      <w:r w:rsidRPr="00B213CD" w:rsidR="00006A31">
        <w:t>Surgical Services Gap Analysis</w:t>
      </w:r>
    </w:p>
    <w:p w:rsidR="00006A31" w:rsidRPr="00B213CD" w:rsidP="00702CE9" w14:paraId="318528D6" w14:textId="3995E4CD">
      <w:r w:rsidRPr="00B213CD">
        <w:t xml:space="preserve">Attachment D: </w:t>
      </w:r>
      <w:r w:rsidRPr="00B213CD" w:rsidR="00342739">
        <w:t>LTC Gap Analysis</w:t>
      </w:r>
    </w:p>
    <w:p w:rsidR="00C55529" w:rsidRPr="00B213CD" w:rsidP="00671A04" w14:paraId="77CBA836" w14:textId="1AE29C79">
      <w:r w:rsidRPr="00B213CD">
        <w:t xml:space="preserve">Attachment E: </w:t>
      </w:r>
      <w:r w:rsidRPr="00B213CD" w:rsidR="005269BE">
        <w:t>ICU/Non-ICU</w:t>
      </w:r>
      <w:r w:rsidRPr="00B213CD" w:rsidR="00717934">
        <w:t xml:space="preserve"> </w:t>
      </w:r>
      <w:r w:rsidRPr="00B213CD">
        <w:t>Team Checkup Tool</w:t>
      </w:r>
    </w:p>
    <w:p w:rsidR="00717934" w:rsidRPr="00B213CD" w:rsidP="00671A04" w14:paraId="40FC466F" w14:textId="02998C74">
      <w:r w:rsidRPr="00B213CD">
        <w:t xml:space="preserve">Attachment </w:t>
      </w:r>
      <w:r w:rsidR="006607D6">
        <w:t>F</w:t>
      </w:r>
      <w:r w:rsidRPr="00B213CD">
        <w:t>: Surgical Services Team Checkup Tool</w:t>
      </w:r>
    </w:p>
    <w:p w:rsidR="00D9297B" w:rsidRPr="00B213CD" w:rsidP="00671A04" w14:paraId="710C38B1" w14:textId="57ADDDFC">
      <w:r w:rsidRPr="00B213CD">
        <w:t xml:space="preserve">Attachment </w:t>
      </w:r>
      <w:r w:rsidR="006607D6">
        <w:t>G</w:t>
      </w:r>
      <w:r w:rsidRPr="00B213CD">
        <w:t>: LTC Team Checkup Tool</w:t>
      </w:r>
    </w:p>
    <w:p w:rsidR="00C55529" w:rsidRPr="00B213CD" w:rsidP="00671A04" w14:paraId="7E15F876" w14:textId="55CA1BA9">
      <w:r w:rsidRPr="00311C66">
        <w:rPr>
          <w:highlight w:val="yellow"/>
        </w:rPr>
        <w:t xml:space="preserve">Attachment </w:t>
      </w:r>
      <w:r w:rsidRPr="00311C66" w:rsidR="006607D6">
        <w:rPr>
          <w:highlight w:val="yellow"/>
        </w:rPr>
        <w:t>H</w:t>
      </w:r>
      <w:r w:rsidRPr="00311C66">
        <w:rPr>
          <w:highlight w:val="yellow"/>
        </w:rPr>
        <w:t xml:space="preserve">: Survey of Patient Safety Culture </w:t>
      </w:r>
      <w:r w:rsidRPr="00311C66" w:rsidR="00123A53">
        <w:rPr>
          <w:highlight w:val="yellow"/>
        </w:rPr>
        <w:t xml:space="preserve">– </w:t>
      </w:r>
      <w:r w:rsidRPr="00311C66">
        <w:rPr>
          <w:highlight w:val="yellow"/>
        </w:rPr>
        <w:t>HSOPS</w:t>
      </w:r>
      <w:r w:rsidRPr="00311C66" w:rsidR="008F76D2">
        <w:rPr>
          <w:highlight w:val="yellow"/>
        </w:rPr>
        <w:t xml:space="preserve"> V.1</w:t>
      </w:r>
    </w:p>
    <w:p w:rsidR="00123A53" w:rsidRPr="00B213CD" w:rsidP="00671A04" w14:paraId="4815FB97" w14:textId="7176807D">
      <w:r w:rsidRPr="00B213CD">
        <w:t xml:space="preserve">Attachment </w:t>
      </w:r>
      <w:r w:rsidR="006607D6">
        <w:t>I</w:t>
      </w:r>
      <w:r w:rsidRPr="00B213CD">
        <w:t xml:space="preserve">: Survey of Patient Safety Culture </w:t>
      </w:r>
      <w:r w:rsidRPr="00B213CD" w:rsidR="004228EB">
        <w:t>–</w:t>
      </w:r>
      <w:r w:rsidRPr="00B213CD">
        <w:t xml:space="preserve"> NHSOPS</w:t>
      </w:r>
      <w:r w:rsidRPr="00B213CD" w:rsidR="004228EB">
        <w:t xml:space="preserve"> </w:t>
      </w:r>
    </w:p>
    <w:p w:rsidR="00C55529" w:rsidRPr="00B213CD" w:rsidP="00671A04" w14:paraId="17432358" w14:textId="6A2C3504">
      <w:r w:rsidRPr="00B213CD">
        <w:t xml:space="preserve">Attachment </w:t>
      </w:r>
      <w:r w:rsidR="006607D6">
        <w:t>J</w:t>
      </w:r>
      <w:r w:rsidRPr="00B213CD">
        <w:t xml:space="preserve">: </w:t>
      </w:r>
      <w:r w:rsidRPr="00B213CD" w:rsidR="008E283C">
        <w:t>Clinical Outcomes Data</w:t>
      </w:r>
      <w:r w:rsidRPr="00B213CD" w:rsidR="0008378E">
        <w:t xml:space="preserve"> for ICU/Non-ICU</w:t>
      </w:r>
    </w:p>
    <w:p w:rsidR="0008378E" w:rsidRPr="00B213CD" w:rsidP="00671A04" w14:paraId="57DF5C8C" w14:textId="3CFAD32A">
      <w:r w:rsidRPr="00B213CD">
        <w:t xml:space="preserve">Attachment </w:t>
      </w:r>
      <w:r w:rsidR="006607D6">
        <w:t>K</w:t>
      </w:r>
      <w:r w:rsidRPr="00B213CD">
        <w:t>: Clinical Outcomes</w:t>
      </w:r>
      <w:r w:rsidRPr="00B213CD" w:rsidR="001902F2">
        <w:t xml:space="preserve"> Data for Surgical Services</w:t>
      </w:r>
    </w:p>
    <w:p w:rsidR="001902F2" w:rsidRPr="00B213CD" w:rsidP="00671A04" w14:paraId="14A1B174" w14:textId="7D83BDA2">
      <w:r w:rsidRPr="00B213CD">
        <w:t xml:space="preserve">Attachment </w:t>
      </w:r>
      <w:r w:rsidR="006607D6">
        <w:t>L</w:t>
      </w:r>
      <w:r w:rsidRPr="00B213CD">
        <w:t xml:space="preserve">: Clinical Outcomes Data for </w:t>
      </w:r>
      <w:r w:rsidRPr="00B213CD" w:rsidR="00D6202A">
        <w:t>LTC</w:t>
      </w:r>
    </w:p>
    <w:p w:rsidR="00D6202A" w:rsidRPr="00B213CD" w:rsidP="00671A04" w14:paraId="74357330" w14:textId="420EE5B7">
      <w:r w:rsidRPr="00B213CD">
        <w:t xml:space="preserve">Attachment </w:t>
      </w:r>
      <w:r w:rsidR="006607D6">
        <w:t>M</w:t>
      </w:r>
      <w:r w:rsidRPr="00B213CD">
        <w:t xml:space="preserve">: Completion Guide for </w:t>
      </w:r>
      <w:r w:rsidRPr="00B213CD" w:rsidR="0015271F">
        <w:t>ICU/Non-ICU Clinical Outcomes Data</w:t>
      </w:r>
    </w:p>
    <w:p w:rsidR="0015271F" w:rsidRPr="00B213CD" w:rsidP="00671A04" w14:paraId="146E3D39" w14:textId="508F6CAE">
      <w:r w:rsidRPr="00B213CD">
        <w:t xml:space="preserve">Attachment </w:t>
      </w:r>
      <w:r w:rsidR="006607D6">
        <w:t>N</w:t>
      </w:r>
      <w:r w:rsidRPr="00B213CD">
        <w:t>: Completion Guide for Surgical Services Clinical Outcomes Data</w:t>
      </w:r>
    </w:p>
    <w:p w:rsidR="0015271F" w:rsidRPr="00B213CD" w:rsidP="00671A04" w14:paraId="0E32C897" w14:textId="294928D4">
      <w:pPr>
        <w:rPr>
          <w:rStyle w:val="Strong"/>
          <w:b w:val="0"/>
        </w:rPr>
      </w:pPr>
      <w:r w:rsidRPr="00B213CD">
        <w:t xml:space="preserve">Attachment </w:t>
      </w:r>
      <w:r w:rsidR="006607D6">
        <w:t>O</w:t>
      </w:r>
      <w:r w:rsidRPr="00B213CD">
        <w:t>: Completion Guide for LTC Clinical Outcomes Data</w:t>
      </w:r>
    </w:p>
    <w:p w:rsidR="008F76D2" w:rsidP="00671A04" w14:paraId="5B31A518" w14:textId="77777777">
      <w:r w:rsidRPr="00B213CD">
        <w:rPr>
          <w:rStyle w:val="Strong"/>
          <w:b w:val="0"/>
        </w:rPr>
        <w:t xml:space="preserve">Attachment </w:t>
      </w:r>
      <w:r w:rsidR="006607D6">
        <w:rPr>
          <w:rStyle w:val="Strong"/>
          <w:b w:val="0"/>
        </w:rPr>
        <w:t>P</w:t>
      </w:r>
      <w:r w:rsidRPr="00B213CD">
        <w:rPr>
          <w:rStyle w:val="Strong"/>
          <w:b w:val="0"/>
        </w:rPr>
        <w:t xml:space="preserve">: </w:t>
      </w:r>
      <w:r w:rsidRPr="00B213CD">
        <w:t>Schedule of Evaluation Activities</w:t>
      </w:r>
    </w:p>
    <w:p w:rsidR="00DA79B5" w:rsidP="00671A04" w14:paraId="6F91BCB5" w14:textId="01BE1E74">
      <w:r w:rsidRPr="00311C66">
        <w:rPr>
          <w:highlight w:val="yellow"/>
        </w:rPr>
        <w:t>Attachment Q: Survey of Patient Safety Culture—HSOPS V.2</w:t>
      </w:r>
      <w:r w:rsidR="00C55529">
        <w:br/>
      </w:r>
    </w:p>
    <w:p w:rsidR="00DA79B5" w:rsidRPr="00535B56" w:rsidP="00B213CD" w14:paraId="65ED15E3" w14:textId="2F4B9060">
      <w:pPr>
        <w:pStyle w:val="Heading2"/>
      </w:pPr>
      <w:bookmarkStart w:id="91" w:name="_Toc73964957"/>
      <w:bookmarkStart w:id="92" w:name="_Toc73965316"/>
      <w:r>
        <w:t>References</w:t>
      </w:r>
      <w:bookmarkEnd w:id="91"/>
      <w:bookmarkEnd w:id="92"/>
    </w:p>
    <w:sectPr w:rsidSect="006E725C">
      <w:footnotePr>
        <w:numFmt w:val="chicago"/>
      </w:footnotePr>
      <w:endnotePr>
        <w:numFmt w:val="decimal"/>
      </w:endnotePr>
      <w:type w:val="continuous"/>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C7AA5" w14:paraId="026CEC1D" w14:textId="77777777">
      <w:r>
        <w:separator/>
      </w:r>
    </w:p>
  </w:endnote>
  <w:endnote w:type="continuationSeparator" w:id="1">
    <w:p w:rsidR="001C7AA5" w14:paraId="5B7207AA" w14:textId="77777777">
      <w:r>
        <w:continuationSeparator/>
      </w:r>
    </w:p>
  </w:endnote>
  <w:endnote w:type="continuationNotice" w:id="2">
    <w:p w:rsidR="001C7AA5" w14:paraId="5CAFC9C7" w14:textId="77777777"/>
  </w:endnote>
  <w:endnote w:id="3">
    <w:p w:rsidR="002B6520" w:rsidRPr="00B213CD" w:rsidP="00652EBB" w14:paraId="5EFFBE06" w14:textId="2D0ED0C2">
      <w:pPr>
        <w:pStyle w:val="EndnoteText"/>
        <w:rPr>
          <w:sz w:val="24"/>
        </w:rPr>
      </w:pPr>
      <w:r>
        <w:rPr>
          <w:rStyle w:val="EndnoteReference"/>
        </w:rPr>
        <w:endnoteRef/>
      </w:r>
      <w:r>
        <w:t xml:space="preserve"> </w:t>
      </w:r>
      <w:r w:rsidRPr="00B213CD">
        <w:rPr>
          <w:sz w:val="24"/>
        </w:rPr>
        <w:t>Strausbaugh</w:t>
      </w:r>
      <w:r w:rsidRPr="00B213CD">
        <w:rPr>
          <w:sz w:val="24"/>
        </w:rPr>
        <w:t xml:space="preserve"> LJ, Joseph CL.</w:t>
      </w:r>
      <w:r>
        <w:rPr>
          <w:sz w:val="24"/>
        </w:rPr>
        <w:t xml:space="preserve"> (2000).</w:t>
      </w:r>
      <w:r w:rsidRPr="00B213CD">
        <w:rPr>
          <w:sz w:val="24"/>
        </w:rPr>
        <w:t xml:space="preserve"> The burden of infection in long-term care.</w:t>
      </w:r>
    </w:p>
    <w:p w:rsidR="002B6520" w:rsidRPr="00CA434B" w:rsidP="00652EBB" w14:paraId="4B4DC6B0" w14:textId="01CC3D0F">
      <w:pPr>
        <w:pStyle w:val="EndnoteText"/>
        <w:rPr>
          <w:sz w:val="24"/>
        </w:rPr>
      </w:pPr>
      <w:r w:rsidRPr="00B213CD">
        <w:rPr>
          <w:i/>
          <w:sz w:val="24"/>
        </w:rPr>
        <w:t>Infect Control Hosp Epidemiol</w:t>
      </w:r>
      <w:r w:rsidRPr="00B213CD">
        <w:rPr>
          <w:sz w:val="24"/>
        </w:rPr>
        <w:t>. 21(10):674-9.</w:t>
      </w:r>
    </w:p>
  </w:endnote>
  <w:endnote w:id="4">
    <w:p w:rsidR="002B6520" w:rsidRPr="00D45544" w:rsidP="00D45544" w14:paraId="34EB5D11" w14:textId="72BAB119">
      <w:pPr>
        <w:pStyle w:val="EndnoteText"/>
        <w:spacing w:after="120"/>
        <w:rPr>
          <w:sz w:val="24"/>
          <w:szCs w:val="24"/>
        </w:rPr>
      </w:pPr>
      <w:r w:rsidRPr="00B213CD">
        <w:rPr>
          <w:rStyle w:val="EndnoteReference"/>
          <w:sz w:val="24"/>
          <w:szCs w:val="24"/>
        </w:rPr>
        <w:endnoteRef/>
      </w:r>
      <w:r w:rsidRPr="00D45544">
        <w:rPr>
          <w:sz w:val="24"/>
          <w:szCs w:val="24"/>
        </w:rPr>
        <w:t xml:space="preserve"> </w:t>
      </w:r>
      <w:r w:rsidRPr="00D45544">
        <w:rPr>
          <w:color w:val="0A0A0A"/>
          <w:sz w:val="24"/>
          <w:szCs w:val="24"/>
          <w:shd w:val="clear" w:color="auto" w:fill="FFFFFF"/>
        </w:rPr>
        <w:t xml:space="preserve">Klein E, Smith DL, Laxminarayan R. </w:t>
      </w:r>
      <w:r>
        <w:rPr>
          <w:color w:val="0A0A0A"/>
          <w:sz w:val="24"/>
          <w:szCs w:val="24"/>
          <w:shd w:val="clear" w:color="auto" w:fill="FFFFFF"/>
        </w:rPr>
        <w:t xml:space="preserve">(2007). </w:t>
      </w:r>
      <w:r w:rsidRPr="00D45544">
        <w:rPr>
          <w:color w:val="0A0A0A"/>
          <w:sz w:val="24"/>
          <w:szCs w:val="24"/>
          <w:shd w:val="clear" w:color="auto" w:fill="FFFFFF"/>
        </w:rPr>
        <w:t>Hospitalizations and Deaths Caused by Methicillin-Resistant Staphylococcus aureus, United States, 1999–2005. </w:t>
      </w:r>
      <w:r w:rsidRPr="00D45544">
        <w:rPr>
          <w:i/>
          <w:iCs/>
          <w:color w:val="0A0A0A"/>
          <w:sz w:val="24"/>
          <w:szCs w:val="24"/>
          <w:shd w:val="clear" w:color="auto" w:fill="FFFFFF"/>
        </w:rPr>
        <w:t>Emerging Infectious Diseases</w:t>
      </w:r>
      <w:r>
        <w:rPr>
          <w:color w:val="0A0A0A"/>
          <w:sz w:val="24"/>
          <w:szCs w:val="24"/>
          <w:shd w:val="clear" w:color="auto" w:fill="FFFFFF"/>
        </w:rPr>
        <w:t xml:space="preserve">, </w:t>
      </w:r>
      <w:r w:rsidRPr="00D45544">
        <w:rPr>
          <w:color w:val="0A0A0A"/>
          <w:sz w:val="24"/>
          <w:szCs w:val="24"/>
          <w:shd w:val="clear" w:color="auto" w:fill="FFFFFF"/>
        </w:rPr>
        <w:t>13(12):1840-1846. doi:10.3201/eid1312.070629.</w:t>
      </w:r>
    </w:p>
  </w:endnote>
  <w:endnote w:id="5">
    <w:p w:rsidR="002B6520" w14:paraId="360EFA0E" w14:textId="15F0990F">
      <w:pPr>
        <w:pStyle w:val="EndnoteText"/>
      </w:pPr>
      <w:r w:rsidRPr="00D45544">
        <w:rPr>
          <w:rStyle w:val="EndnoteReference"/>
        </w:rPr>
        <w:endnoteRef/>
      </w:r>
      <w:r w:rsidRPr="00D45544">
        <w:t xml:space="preserve"> </w:t>
      </w:r>
      <w:r>
        <w:rPr>
          <w:sz w:val="24"/>
          <w:szCs w:val="24"/>
        </w:rPr>
        <w:t>Klevens</w:t>
      </w:r>
      <w:r>
        <w:rPr>
          <w:sz w:val="24"/>
          <w:szCs w:val="24"/>
        </w:rPr>
        <w:t xml:space="preserve"> R</w:t>
      </w:r>
      <w:r w:rsidRPr="00D45544">
        <w:rPr>
          <w:sz w:val="24"/>
          <w:szCs w:val="24"/>
        </w:rPr>
        <w:t>M, Morrison</w:t>
      </w:r>
      <w:r>
        <w:rPr>
          <w:sz w:val="24"/>
          <w:szCs w:val="24"/>
        </w:rPr>
        <w:t xml:space="preserve"> MA</w:t>
      </w:r>
      <w:r w:rsidRPr="00B213CD">
        <w:rPr>
          <w:sz w:val="24"/>
          <w:szCs w:val="24"/>
        </w:rPr>
        <w:t>,</w:t>
      </w:r>
      <w:r>
        <w:rPr>
          <w:sz w:val="24"/>
          <w:szCs w:val="24"/>
        </w:rPr>
        <w:t xml:space="preserve"> </w:t>
      </w:r>
      <w:r>
        <w:rPr>
          <w:sz w:val="24"/>
          <w:szCs w:val="24"/>
        </w:rPr>
        <w:t>Nadle</w:t>
      </w:r>
      <w:r>
        <w:rPr>
          <w:sz w:val="24"/>
          <w:szCs w:val="24"/>
        </w:rPr>
        <w:t xml:space="preserve"> J,</w:t>
      </w:r>
      <w:r w:rsidRPr="00D45544">
        <w:rPr>
          <w:sz w:val="24"/>
          <w:szCs w:val="24"/>
        </w:rPr>
        <w:t xml:space="preserve"> et al. (2007)</w:t>
      </w:r>
      <w:r>
        <w:rPr>
          <w:sz w:val="24"/>
          <w:szCs w:val="24"/>
        </w:rPr>
        <w:t>.</w:t>
      </w:r>
      <w:r w:rsidRPr="00D45544">
        <w:rPr>
          <w:sz w:val="24"/>
          <w:szCs w:val="24"/>
        </w:rPr>
        <w:t xml:space="preserve"> Invasive </w:t>
      </w:r>
      <w:r w:rsidRPr="00D45544">
        <w:rPr>
          <w:sz w:val="24"/>
          <w:szCs w:val="24"/>
        </w:rPr>
        <w:t>methicillin-resistant</w:t>
      </w:r>
      <w:r w:rsidRPr="00D45544">
        <w:rPr>
          <w:sz w:val="24"/>
          <w:szCs w:val="24"/>
        </w:rPr>
        <w:t xml:space="preserve"> </w:t>
      </w:r>
      <w:r w:rsidRPr="00D45544">
        <w:rPr>
          <w:sz w:val="24"/>
          <w:szCs w:val="24"/>
        </w:rPr>
        <w:t>Staphylooccus</w:t>
      </w:r>
      <w:r w:rsidRPr="00D45544">
        <w:rPr>
          <w:sz w:val="24"/>
          <w:szCs w:val="24"/>
        </w:rPr>
        <w:t xml:space="preserve"> aureus infections in the United States. </w:t>
      </w:r>
      <w:r w:rsidRPr="00D45544">
        <w:rPr>
          <w:i/>
          <w:sz w:val="24"/>
          <w:szCs w:val="24"/>
        </w:rPr>
        <w:t>Journal of the American Medical Association</w:t>
      </w:r>
      <w:r>
        <w:rPr>
          <w:i/>
          <w:sz w:val="24"/>
          <w:szCs w:val="24"/>
        </w:rPr>
        <w:t>,</w:t>
      </w:r>
      <w:r w:rsidRPr="00D45544">
        <w:rPr>
          <w:sz w:val="24"/>
          <w:szCs w:val="24"/>
        </w:rPr>
        <w:t xml:space="preserve"> 298(15): 1763-1771</w:t>
      </w:r>
      <w:r>
        <w:rPr>
          <w:sz w:val="24"/>
          <w:szCs w:val="24"/>
        </w:rPr>
        <w:t xml:space="preserve">. </w:t>
      </w:r>
      <w:r w:rsidRPr="00D45544">
        <w:rPr>
          <w:sz w:val="24"/>
          <w:szCs w:val="24"/>
        </w:rPr>
        <w:t>do</w:t>
      </w:r>
      <w:r w:rsidR="00B43C5E">
        <w:rPr>
          <w:sz w:val="24"/>
          <w:szCs w:val="24"/>
        </w:rPr>
        <w:t>s</w:t>
      </w:r>
      <w:r w:rsidRPr="00D45544">
        <w:rPr>
          <w:sz w:val="24"/>
          <w:szCs w:val="24"/>
        </w:rPr>
        <w:t>i</w:t>
      </w:r>
      <w:r w:rsidRPr="00D45544">
        <w:rPr>
          <w:sz w:val="24"/>
          <w:szCs w:val="24"/>
        </w:rPr>
        <w:t>: 10.1001/jama.298.15.1763.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6520" w:rsidP="009B633D" w14:paraId="45E973F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B6520" w14:paraId="281380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6520" w:rsidP="009B633D" w14:paraId="0DE728B7" w14:textId="76A662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2B6520" w14:paraId="7811B55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93FA484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765883BC"/>
    <w:lvl w:ilvl="0">
      <w:start w:val="1"/>
      <w:numFmt w:val="bullet"/>
      <w:pStyle w:val="ListBullet"/>
      <w:lvlText w:val="■"/>
      <w:lvlJc w:val="left"/>
      <w:pPr>
        <w:ind w:left="360" w:hanging="360"/>
      </w:pPr>
      <w:rPr>
        <w:rFonts w:ascii="Times New Roman" w:hAnsi="Times New Roman" w:cs="Times New Roman" w:hint="default"/>
        <w:color w:val="F3901D"/>
        <w:sz w:val="16"/>
        <w:szCs w:val="16"/>
      </w:rPr>
    </w:lvl>
  </w:abstractNum>
  <w:abstractNum w:abstractNumId="2">
    <w:nsid w:val="002776B9"/>
    <w:multiLevelType w:val="hybridMultilevel"/>
    <w:tmpl w:val="F63601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C35FD0"/>
    <w:multiLevelType w:val="hybridMultilevel"/>
    <w:tmpl w:val="1B362E5C"/>
    <w:lvl w:ilvl="0">
      <w:start w:val="1"/>
      <w:numFmt w:val="decimal"/>
      <w:lvlText w:val="%1)"/>
      <w:lvlJc w:val="left"/>
      <w:pPr>
        <w:ind w:left="462" w:hanging="10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1BA7CFE"/>
    <w:multiLevelType w:val="hybridMultilevel"/>
    <w:tmpl w:val="DC4CF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3D775D3"/>
    <w:multiLevelType w:val="hybridMultilevel"/>
    <w:tmpl w:val="FC421B8C"/>
    <w:lvl w:ilvl="0">
      <w:start w:val="1"/>
      <w:numFmt w:val="bullet"/>
      <w:lvlText w:val=""/>
      <w:lvlJc w:val="left"/>
      <w:pPr>
        <w:ind w:left="1182" w:hanging="360"/>
      </w:pPr>
      <w:rPr>
        <w:rFonts w:ascii="Symbol" w:hAnsi="Symbol" w:hint="default"/>
      </w:rPr>
    </w:lvl>
    <w:lvl w:ilvl="1" w:tentative="1">
      <w:start w:val="1"/>
      <w:numFmt w:val="bullet"/>
      <w:lvlText w:val="o"/>
      <w:lvlJc w:val="left"/>
      <w:pPr>
        <w:ind w:left="1902" w:hanging="360"/>
      </w:pPr>
      <w:rPr>
        <w:rFonts w:ascii="Courier New" w:hAnsi="Courier New" w:cs="Courier New" w:hint="default"/>
      </w:rPr>
    </w:lvl>
    <w:lvl w:ilvl="2" w:tentative="1">
      <w:start w:val="1"/>
      <w:numFmt w:val="bullet"/>
      <w:lvlText w:val=""/>
      <w:lvlJc w:val="left"/>
      <w:pPr>
        <w:ind w:left="2622" w:hanging="360"/>
      </w:pPr>
      <w:rPr>
        <w:rFonts w:ascii="Wingdings" w:hAnsi="Wingdings" w:hint="default"/>
      </w:rPr>
    </w:lvl>
    <w:lvl w:ilvl="3" w:tentative="1">
      <w:start w:val="1"/>
      <w:numFmt w:val="bullet"/>
      <w:lvlText w:val=""/>
      <w:lvlJc w:val="left"/>
      <w:pPr>
        <w:ind w:left="3342" w:hanging="360"/>
      </w:pPr>
      <w:rPr>
        <w:rFonts w:ascii="Symbol" w:hAnsi="Symbol" w:hint="default"/>
      </w:rPr>
    </w:lvl>
    <w:lvl w:ilvl="4" w:tentative="1">
      <w:start w:val="1"/>
      <w:numFmt w:val="bullet"/>
      <w:lvlText w:val="o"/>
      <w:lvlJc w:val="left"/>
      <w:pPr>
        <w:ind w:left="4062" w:hanging="360"/>
      </w:pPr>
      <w:rPr>
        <w:rFonts w:ascii="Courier New" w:hAnsi="Courier New" w:cs="Courier New" w:hint="default"/>
      </w:rPr>
    </w:lvl>
    <w:lvl w:ilvl="5" w:tentative="1">
      <w:start w:val="1"/>
      <w:numFmt w:val="bullet"/>
      <w:lvlText w:val=""/>
      <w:lvlJc w:val="left"/>
      <w:pPr>
        <w:ind w:left="4782" w:hanging="360"/>
      </w:pPr>
      <w:rPr>
        <w:rFonts w:ascii="Wingdings" w:hAnsi="Wingdings" w:hint="default"/>
      </w:rPr>
    </w:lvl>
    <w:lvl w:ilvl="6" w:tentative="1">
      <w:start w:val="1"/>
      <w:numFmt w:val="bullet"/>
      <w:lvlText w:val=""/>
      <w:lvlJc w:val="left"/>
      <w:pPr>
        <w:ind w:left="5502" w:hanging="360"/>
      </w:pPr>
      <w:rPr>
        <w:rFonts w:ascii="Symbol" w:hAnsi="Symbol" w:hint="default"/>
      </w:rPr>
    </w:lvl>
    <w:lvl w:ilvl="7" w:tentative="1">
      <w:start w:val="1"/>
      <w:numFmt w:val="bullet"/>
      <w:lvlText w:val="o"/>
      <w:lvlJc w:val="left"/>
      <w:pPr>
        <w:ind w:left="6222" w:hanging="360"/>
      </w:pPr>
      <w:rPr>
        <w:rFonts w:ascii="Courier New" w:hAnsi="Courier New" w:cs="Courier New" w:hint="default"/>
      </w:rPr>
    </w:lvl>
    <w:lvl w:ilvl="8" w:tentative="1">
      <w:start w:val="1"/>
      <w:numFmt w:val="bullet"/>
      <w:lvlText w:val=""/>
      <w:lvlJc w:val="left"/>
      <w:pPr>
        <w:ind w:left="6942" w:hanging="360"/>
      </w:pPr>
      <w:rPr>
        <w:rFonts w:ascii="Wingdings" w:hAnsi="Wingdings" w:hint="default"/>
      </w:rPr>
    </w:lvl>
  </w:abstractNum>
  <w:abstractNum w:abstractNumId="6">
    <w:nsid w:val="05820619"/>
    <w:multiLevelType w:val="hybridMultilevel"/>
    <w:tmpl w:val="143ECE8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4D6D6A"/>
    <w:multiLevelType w:val="hybridMultilevel"/>
    <w:tmpl w:val="9312C1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2C7048"/>
    <w:multiLevelType w:val="hybridMultilevel"/>
    <w:tmpl w:val="5D3654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07632F6"/>
    <w:multiLevelType w:val="hybridMultilevel"/>
    <w:tmpl w:val="A6B05B60"/>
    <w:lvl w:ilvl="0">
      <w:start w:val="1"/>
      <w:numFmt w:val="lowerLetter"/>
      <w:lvlText w:val="%1."/>
      <w:lvlJc w:val="left"/>
      <w:pPr>
        <w:ind w:left="-216" w:hanging="360"/>
      </w:pPr>
    </w:lvl>
    <w:lvl w:ilvl="1" w:tentative="1">
      <w:start w:val="1"/>
      <w:numFmt w:val="lowerLetter"/>
      <w:lvlText w:val="%2."/>
      <w:lvlJc w:val="left"/>
      <w:pPr>
        <w:ind w:left="504" w:hanging="360"/>
      </w:pPr>
    </w:lvl>
    <w:lvl w:ilvl="2" w:tentative="1">
      <w:start w:val="1"/>
      <w:numFmt w:val="lowerRoman"/>
      <w:lvlText w:val="%3."/>
      <w:lvlJc w:val="right"/>
      <w:pPr>
        <w:ind w:left="1224" w:hanging="180"/>
      </w:pPr>
    </w:lvl>
    <w:lvl w:ilvl="3" w:tentative="1">
      <w:start w:val="1"/>
      <w:numFmt w:val="decimal"/>
      <w:lvlText w:val="%4."/>
      <w:lvlJc w:val="left"/>
      <w:pPr>
        <w:ind w:left="1944" w:hanging="360"/>
      </w:pPr>
    </w:lvl>
    <w:lvl w:ilvl="4" w:tentative="1">
      <w:start w:val="1"/>
      <w:numFmt w:val="lowerLetter"/>
      <w:lvlText w:val="%5."/>
      <w:lvlJc w:val="left"/>
      <w:pPr>
        <w:ind w:left="2664" w:hanging="360"/>
      </w:pPr>
    </w:lvl>
    <w:lvl w:ilvl="5" w:tentative="1">
      <w:start w:val="1"/>
      <w:numFmt w:val="lowerRoman"/>
      <w:lvlText w:val="%6."/>
      <w:lvlJc w:val="right"/>
      <w:pPr>
        <w:ind w:left="3384" w:hanging="180"/>
      </w:pPr>
    </w:lvl>
    <w:lvl w:ilvl="6" w:tentative="1">
      <w:start w:val="1"/>
      <w:numFmt w:val="decimal"/>
      <w:lvlText w:val="%7."/>
      <w:lvlJc w:val="left"/>
      <w:pPr>
        <w:ind w:left="4104" w:hanging="360"/>
      </w:pPr>
    </w:lvl>
    <w:lvl w:ilvl="7" w:tentative="1">
      <w:start w:val="1"/>
      <w:numFmt w:val="lowerLetter"/>
      <w:lvlText w:val="%8."/>
      <w:lvlJc w:val="left"/>
      <w:pPr>
        <w:ind w:left="4824" w:hanging="360"/>
      </w:pPr>
    </w:lvl>
    <w:lvl w:ilvl="8" w:tentative="1">
      <w:start w:val="1"/>
      <w:numFmt w:val="lowerRoman"/>
      <w:lvlText w:val="%9."/>
      <w:lvlJc w:val="right"/>
      <w:pPr>
        <w:ind w:left="5544" w:hanging="180"/>
      </w:pPr>
    </w:lvl>
  </w:abstractNum>
  <w:abstractNum w:abstractNumId="11">
    <w:nsid w:val="12D41008"/>
    <w:multiLevelType w:val="hybridMultilevel"/>
    <w:tmpl w:val="8C5896D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C941D2"/>
    <w:multiLevelType w:val="hybridMultilevel"/>
    <w:tmpl w:val="9B3497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A475BF"/>
    <w:multiLevelType w:val="hybridMultilevel"/>
    <w:tmpl w:val="DAC2D7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CC0775"/>
    <w:multiLevelType w:val="hybridMultilevel"/>
    <w:tmpl w:val="1184584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B110DFA"/>
    <w:multiLevelType w:val="hybridMultilevel"/>
    <w:tmpl w:val="D340F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641DFC"/>
    <w:multiLevelType w:val="hybridMultilevel"/>
    <w:tmpl w:val="E996ACC2"/>
    <w:lvl w:ilvl="0">
      <w:start w:val="1"/>
      <w:numFmt w:val="bullet"/>
      <w:lvlText w:val=""/>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7">
    <w:nsid w:val="26000BEF"/>
    <w:multiLevelType w:val="hybridMultilevel"/>
    <w:tmpl w:val="DAEC0BF0"/>
    <w:lvl w:ilvl="0">
      <w:start w:val="1"/>
      <w:numFmt w:val="bullet"/>
      <w:lvlText w:val=""/>
      <w:lvlJc w:val="left"/>
      <w:pPr>
        <w:ind w:left="541" w:hanging="360"/>
      </w:pPr>
      <w:rPr>
        <w:rFonts w:ascii="Symbol" w:hAnsi="Symbol" w:hint="default"/>
      </w:rPr>
    </w:lvl>
    <w:lvl w:ilvl="1" w:tentative="1">
      <w:start w:val="1"/>
      <w:numFmt w:val="bullet"/>
      <w:lvlText w:val="o"/>
      <w:lvlJc w:val="left"/>
      <w:pPr>
        <w:ind w:left="1261" w:hanging="360"/>
      </w:pPr>
      <w:rPr>
        <w:rFonts w:ascii="Courier New" w:hAnsi="Courier New" w:cs="Courier New" w:hint="default"/>
      </w:rPr>
    </w:lvl>
    <w:lvl w:ilvl="2" w:tentative="1">
      <w:start w:val="1"/>
      <w:numFmt w:val="bullet"/>
      <w:lvlText w:val=""/>
      <w:lvlJc w:val="left"/>
      <w:pPr>
        <w:ind w:left="1981" w:hanging="360"/>
      </w:pPr>
      <w:rPr>
        <w:rFonts w:ascii="Wingdings" w:hAnsi="Wingdings" w:hint="default"/>
      </w:rPr>
    </w:lvl>
    <w:lvl w:ilvl="3" w:tentative="1">
      <w:start w:val="1"/>
      <w:numFmt w:val="bullet"/>
      <w:lvlText w:val=""/>
      <w:lvlJc w:val="left"/>
      <w:pPr>
        <w:ind w:left="2701" w:hanging="360"/>
      </w:pPr>
      <w:rPr>
        <w:rFonts w:ascii="Symbol" w:hAnsi="Symbol" w:hint="default"/>
      </w:rPr>
    </w:lvl>
    <w:lvl w:ilvl="4" w:tentative="1">
      <w:start w:val="1"/>
      <w:numFmt w:val="bullet"/>
      <w:lvlText w:val="o"/>
      <w:lvlJc w:val="left"/>
      <w:pPr>
        <w:ind w:left="3421" w:hanging="360"/>
      </w:pPr>
      <w:rPr>
        <w:rFonts w:ascii="Courier New" w:hAnsi="Courier New" w:cs="Courier New" w:hint="default"/>
      </w:rPr>
    </w:lvl>
    <w:lvl w:ilvl="5" w:tentative="1">
      <w:start w:val="1"/>
      <w:numFmt w:val="bullet"/>
      <w:lvlText w:val=""/>
      <w:lvlJc w:val="left"/>
      <w:pPr>
        <w:ind w:left="4141" w:hanging="360"/>
      </w:pPr>
      <w:rPr>
        <w:rFonts w:ascii="Wingdings" w:hAnsi="Wingdings" w:hint="default"/>
      </w:rPr>
    </w:lvl>
    <w:lvl w:ilvl="6" w:tentative="1">
      <w:start w:val="1"/>
      <w:numFmt w:val="bullet"/>
      <w:lvlText w:val=""/>
      <w:lvlJc w:val="left"/>
      <w:pPr>
        <w:ind w:left="4861" w:hanging="360"/>
      </w:pPr>
      <w:rPr>
        <w:rFonts w:ascii="Symbol" w:hAnsi="Symbol" w:hint="default"/>
      </w:rPr>
    </w:lvl>
    <w:lvl w:ilvl="7" w:tentative="1">
      <w:start w:val="1"/>
      <w:numFmt w:val="bullet"/>
      <w:lvlText w:val="o"/>
      <w:lvlJc w:val="left"/>
      <w:pPr>
        <w:ind w:left="5581" w:hanging="360"/>
      </w:pPr>
      <w:rPr>
        <w:rFonts w:ascii="Courier New" w:hAnsi="Courier New" w:cs="Courier New" w:hint="default"/>
      </w:rPr>
    </w:lvl>
    <w:lvl w:ilvl="8" w:tentative="1">
      <w:start w:val="1"/>
      <w:numFmt w:val="bullet"/>
      <w:lvlText w:val=""/>
      <w:lvlJc w:val="left"/>
      <w:pPr>
        <w:ind w:left="6301" w:hanging="360"/>
      </w:pPr>
      <w:rPr>
        <w:rFonts w:ascii="Wingdings" w:hAnsi="Wingdings" w:hint="default"/>
      </w:rPr>
    </w:lvl>
  </w:abstractNum>
  <w:abstractNum w:abstractNumId="18">
    <w:nsid w:val="29863E75"/>
    <w:multiLevelType w:val="hybridMultilevel"/>
    <w:tmpl w:val="23B647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0963E8"/>
    <w:multiLevelType w:val="hybridMultilevel"/>
    <w:tmpl w:val="21CE6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566C2E"/>
    <w:multiLevelType w:val="hybridMultilevel"/>
    <w:tmpl w:val="E93435B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0B4A36"/>
    <w:multiLevelType w:val="hybridMultilevel"/>
    <w:tmpl w:val="77AA2D2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0B3C0E"/>
    <w:multiLevelType w:val="hybridMultilevel"/>
    <w:tmpl w:val="5D3654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1584802"/>
    <w:multiLevelType w:val="hybridMultilevel"/>
    <w:tmpl w:val="A6B05B6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5">
    <w:nsid w:val="326627D4"/>
    <w:multiLevelType w:val="hybridMultilevel"/>
    <w:tmpl w:val="D06A1A0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DEE0998"/>
    <w:multiLevelType w:val="hybridMultilevel"/>
    <w:tmpl w:val="B5D65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E661FCC"/>
    <w:multiLevelType w:val="hybridMultilevel"/>
    <w:tmpl w:val="395AB8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5421F6"/>
    <w:multiLevelType w:val="hybridMultilevel"/>
    <w:tmpl w:val="17AEB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1076885"/>
    <w:multiLevelType w:val="hybridMultilevel"/>
    <w:tmpl w:val="853487D6"/>
    <w:lvl w:ilvl="0">
      <w:start w:val="1"/>
      <w:numFmt w:val="lowerLetter"/>
      <w:lvlText w:val="%1."/>
      <w:lvlJc w:val="left"/>
      <w:pPr>
        <w:ind w:left="360" w:hanging="360"/>
      </w:p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42771A72"/>
    <w:multiLevelType w:val="hybridMultilevel"/>
    <w:tmpl w:val="1FC08A76"/>
    <w:lvl w:ilvl="0">
      <w:start w:val="1"/>
      <w:numFmt w:val="bullet"/>
      <w:lvlText w:val=""/>
      <w:lvlJc w:val="left"/>
      <w:pPr>
        <w:ind w:left="216" w:hanging="216"/>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4786D8B"/>
    <w:multiLevelType w:val="hybridMultilevel"/>
    <w:tmpl w:val="5FE43456"/>
    <w:lvl w:ilvl="0">
      <w:start w:val="1"/>
      <w:numFmt w:val="decimal"/>
      <w:lvlText w:val="%1)"/>
      <w:lvlJc w:val="left"/>
      <w:pPr>
        <w:ind w:left="462" w:hanging="102"/>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5DF467D"/>
    <w:multiLevelType w:val="hybridMultilevel"/>
    <w:tmpl w:val="EF84511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69D490D"/>
    <w:multiLevelType w:val="hybridMultilevel"/>
    <w:tmpl w:val="F008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7677AFC"/>
    <w:multiLevelType w:val="hybridMultilevel"/>
    <w:tmpl w:val="C9DC705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6">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C5511F0"/>
    <w:multiLevelType w:val="hybridMultilevel"/>
    <w:tmpl w:val="A6B05B6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52A97368"/>
    <w:multiLevelType w:val="hybridMultilevel"/>
    <w:tmpl w:val="A6662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41F5EE1"/>
    <w:multiLevelType w:val="hybridMultilevel"/>
    <w:tmpl w:val="3CD2A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44B1B14"/>
    <w:multiLevelType w:val="hybridMultilevel"/>
    <w:tmpl w:val="7C568D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8132377"/>
    <w:multiLevelType w:val="hybridMultilevel"/>
    <w:tmpl w:val="862226C0"/>
    <w:lvl w:ilvl="0">
      <w:start w:val="1"/>
      <w:numFmt w:val="bullet"/>
      <w:pStyle w:val="NORCTableBullet110ptNarrow"/>
      <w:lvlText w:val="■"/>
      <w:lvlJc w:val="left"/>
      <w:pPr>
        <w:ind w:left="360" w:hanging="360"/>
      </w:pPr>
      <w:rPr>
        <w:rFonts w:ascii="Arial" w:hAnsi="Arial" w:hint="default"/>
        <w:color w:val="auto"/>
        <w:position w:val="2"/>
        <w:sz w:val="15"/>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4">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45">
    <w:nsid w:val="5B8132EC"/>
    <w:multiLevelType w:val="hybridMultilevel"/>
    <w:tmpl w:val="7A381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CAD16D9"/>
    <w:multiLevelType w:val="hybridMultilevel"/>
    <w:tmpl w:val="88989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D6E1553"/>
    <w:multiLevelType w:val="hybridMultilevel"/>
    <w:tmpl w:val="7096BB7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5E007830"/>
    <w:multiLevelType w:val="hybridMultilevel"/>
    <w:tmpl w:val="44805E6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61F1299E"/>
    <w:multiLevelType w:val="hybridMultilevel"/>
    <w:tmpl w:val="A9244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23E3C4B"/>
    <w:multiLevelType w:val="hybridMultilevel"/>
    <w:tmpl w:val="A65CC1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3806650"/>
    <w:multiLevelType w:val="hybridMultilevel"/>
    <w:tmpl w:val="054EF1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69F0675E"/>
    <w:multiLevelType w:val="hybridMultilevel"/>
    <w:tmpl w:val="AE4AE49A"/>
    <w:lvl w:ilvl="0">
      <w:start w:val="1"/>
      <w:numFmt w:val="decimal"/>
      <w:lvlText w:val="%1)"/>
      <w:lvlJc w:val="left"/>
      <w:pPr>
        <w:ind w:left="462" w:hanging="102"/>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EC26199"/>
    <w:multiLevelType w:val="hybridMultilevel"/>
    <w:tmpl w:val="DA44DD82"/>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55">
    <w:nsid w:val="70757B70"/>
    <w:multiLevelType w:val="multilevel"/>
    <w:tmpl w:val="B4D6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8122FCF"/>
    <w:multiLevelType w:val="hybridMultilevel"/>
    <w:tmpl w:val="371A6E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AC06C05"/>
    <w:multiLevelType w:val="hybridMultilevel"/>
    <w:tmpl w:val="5D6C7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58"/>
  </w:num>
  <w:num w:numId="2">
    <w:abstractNumId w:val="44"/>
  </w:num>
  <w:num w:numId="3">
    <w:abstractNumId w:val="33"/>
  </w:num>
  <w:num w:numId="4">
    <w:abstractNumId w:val="42"/>
  </w:num>
  <w:num w:numId="5">
    <w:abstractNumId w:val="46"/>
  </w:num>
  <w:num w:numId="6">
    <w:abstractNumId w:val="21"/>
  </w:num>
  <w:num w:numId="7">
    <w:abstractNumId w:val="7"/>
  </w:num>
  <w:num w:numId="8">
    <w:abstractNumId w:val="39"/>
  </w:num>
  <w:num w:numId="9">
    <w:abstractNumId w:val="36"/>
  </w:num>
  <w:num w:numId="10">
    <w:abstractNumId w:val="4"/>
  </w:num>
  <w:num w:numId="11">
    <w:abstractNumId w:val="22"/>
  </w:num>
  <w:num w:numId="12">
    <w:abstractNumId w:val="9"/>
  </w:num>
  <w:num w:numId="13">
    <w:abstractNumId w:val="52"/>
  </w:num>
  <w:num w:numId="14">
    <w:abstractNumId w:val="45"/>
  </w:num>
  <w:num w:numId="15">
    <w:abstractNumId w:val="47"/>
  </w:num>
  <w:num w:numId="16">
    <w:abstractNumId w:val="18"/>
  </w:num>
  <w:num w:numId="17">
    <w:abstractNumId w:val="40"/>
  </w:num>
  <w:num w:numId="18">
    <w:abstractNumId w:val="25"/>
  </w:num>
  <w:num w:numId="19">
    <w:abstractNumId w:val="56"/>
  </w:num>
  <w:num w:numId="20">
    <w:abstractNumId w:val="8"/>
  </w:num>
  <w:num w:numId="21">
    <w:abstractNumId w:val="32"/>
  </w:num>
  <w:num w:numId="22">
    <w:abstractNumId w:val="10"/>
  </w:num>
  <w:num w:numId="23">
    <w:abstractNumId w:val="23"/>
  </w:num>
  <w:num w:numId="24">
    <w:abstractNumId w:val="24"/>
  </w:num>
  <w:num w:numId="25">
    <w:abstractNumId w:val="0"/>
  </w:num>
  <w:num w:numId="26">
    <w:abstractNumId w:val="37"/>
  </w:num>
  <w:num w:numId="27">
    <w:abstractNumId w:val="19"/>
  </w:num>
  <w:num w:numId="28">
    <w:abstractNumId w:val="13"/>
  </w:num>
  <w:num w:numId="29">
    <w:abstractNumId w:val="28"/>
  </w:num>
  <w:num w:numId="30">
    <w:abstractNumId w:val="1"/>
  </w:num>
  <w:num w:numId="31">
    <w:abstractNumId w:val="2"/>
  </w:num>
  <w:num w:numId="32">
    <w:abstractNumId w:val="12"/>
  </w:num>
  <w:num w:numId="33">
    <w:abstractNumId w:val="3"/>
  </w:num>
  <w:num w:numId="34">
    <w:abstractNumId w:val="53"/>
  </w:num>
  <w:num w:numId="35">
    <w:abstractNumId w:val="27"/>
  </w:num>
  <w:num w:numId="36">
    <w:abstractNumId w:val="6"/>
  </w:num>
  <w:num w:numId="37">
    <w:abstractNumId w:val="29"/>
  </w:num>
  <w:num w:numId="38">
    <w:abstractNumId w:val="51"/>
  </w:num>
  <w:num w:numId="39">
    <w:abstractNumId w:val="15"/>
  </w:num>
  <w:num w:numId="40">
    <w:abstractNumId w:val="30"/>
  </w:num>
  <w:num w:numId="41">
    <w:abstractNumId w:val="43"/>
  </w:num>
  <w:num w:numId="42">
    <w:abstractNumId w:val="48"/>
  </w:num>
  <w:num w:numId="43">
    <w:abstractNumId w:val="17"/>
  </w:num>
  <w:num w:numId="44">
    <w:abstractNumId w:val="49"/>
  </w:num>
  <w:num w:numId="45">
    <w:abstractNumId w:val="41"/>
  </w:num>
  <w:num w:numId="46">
    <w:abstractNumId w:val="38"/>
  </w:num>
  <w:num w:numId="47">
    <w:abstractNumId w:val="31"/>
  </w:num>
  <w:num w:numId="48">
    <w:abstractNumId w:val="54"/>
  </w:num>
  <w:num w:numId="49">
    <w:abstractNumId w:val="16"/>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num>
  <w:num w:numId="52">
    <w:abstractNumId w:val="34"/>
  </w:num>
  <w:num w:numId="53">
    <w:abstractNumId w:val="35"/>
  </w:num>
  <w:num w:numId="54">
    <w:abstractNumId w:val="50"/>
  </w:num>
  <w:num w:numId="55">
    <w:abstractNumId w:val="11"/>
  </w:num>
  <w:num w:numId="56">
    <w:abstractNumId w:val="20"/>
  </w:num>
  <w:num w:numId="57">
    <w:abstractNumId w:val="5"/>
  </w:num>
  <w:num w:numId="58">
    <w:abstractNumId w:val="14"/>
  </w:num>
  <w:num w:numId="59">
    <w:abstractNumId w:val="55"/>
  </w:num>
  <w:num w:numId="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74"/>
    <w:rsid w:val="000018B3"/>
    <w:rsid w:val="00002C07"/>
    <w:rsid w:val="000031F7"/>
    <w:rsid w:val="00003A97"/>
    <w:rsid w:val="00005358"/>
    <w:rsid w:val="00006A31"/>
    <w:rsid w:val="00006AB1"/>
    <w:rsid w:val="00007589"/>
    <w:rsid w:val="00007DB4"/>
    <w:rsid w:val="00011E85"/>
    <w:rsid w:val="00012921"/>
    <w:rsid w:val="00012FB9"/>
    <w:rsid w:val="000136F2"/>
    <w:rsid w:val="00014CA8"/>
    <w:rsid w:val="00014E7C"/>
    <w:rsid w:val="00015AAF"/>
    <w:rsid w:val="00016177"/>
    <w:rsid w:val="00016560"/>
    <w:rsid w:val="00016C5F"/>
    <w:rsid w:val="00017031"/>
    <w:rsid w:val="0002055E"/>
    <w:rsid w:val="0002259B"/>
    <w:rsid w:val="00024FEE"/>
    <w:rsid w:val="000279A6"/>
    <w:rsid w:val="00033301"/>
    <w:rsid w:val="000334DE"/>
    <w:rsid w:val="00037998"/>
    <w:rsid w:val="00041790"/>
    <w:rsid w:val="00041C74"/>
    <w:rsid w:val="00043473"/>
    <w:rsid w:val="0004369E"/>
    <w:rsid w:val="000440AF"/>
    <w:rsid w:val="00045959"/>
    <w:rsid w:val="000460AA"/>
    <w:rsid w:val="00046359"/>
    <w:rsid w:val="00046F6E"/>
    <w:rsid w:val="00050DDB"/>
    <w:rsid w:val="00053A86"/>
    <w:rsid w:val="00054B6B"/>
    <w:rsid w:val="00054D88"/>
    <w:rsid w:val="00054F53"/>
    <w:rsid w:val="00056481"/>
    <w:rsid w:val="000610D6"/>
    <w:rsid w:val="0006207D"/>
    <w:rsid w:val="000628B2"/>
    <w:rsid w:val="00063D73"/>
    <w:rsid w:val="000641B3"/>
    <w:rsid w:val="0006612E"/>
    <w:rsid w:val="00066706"/>
    <w:rsid w:val="00070F7A"/>
    <w:rsid w:val="00071306"/>
    <w:rsid w:val="000721CC"/>
    <w:rsid w:val="000722CE"/>
    <w:rsid w:val="00073394"/>
    <w:rsid w:val="00074B31"/>
    <w:rsid w:val="00075D51"/>
    <w:rsid w:val="000769F7"/>
    <w:rsid w:val="000775B2"/>
    <w:rsid w:val="000779A9"/>
    <w:rsid w:val="0008122B"/>
    <w:rsid w:val="00082047"/>
    <w:rsid w:val="000820B4"/>
    <w:rsid w:val="000821C0"/>
    <w:rsid w:val="0008378E"/>
    <w:rsid w:val="000840CC"/>
    <w:rsid w:val="000843DB"/>
    <w:rsid w:val="00086BEF"/>
    <w:rsid w:val="0009223C"/>
    <w:rsid w:val="00092734"/>
    <w:rsid w:val="00094648"/>
    <w:rsid w:val="000958CB"/>
    <w:rsid w:val="00095E32"/>
    <w:rsid w:val="000A016A"/>
    <w:rsid w:val="000A0B83"/>
    <w:rsid w:val="000A140E"/>
    <w:rsid w:val="000A1A2D"/>
    <w:rsid w:val="000A3475"/>
    <w:rsid w:val="000A4FAE"/>
    <w:rsid w:val="000A594D"/>
    <w:rsid w:val="000A598A"/>
    <w:rsid w:val="000B2A51"/>
    <w:rsid w:val="000B2C2E"/>
    <w:rsid w:val="000B56B4"/>
    <w:rsid w:val="000B6667"/>
    <w:rsid w:val="000B78CB"/>
    <w:rsid w:val="000C1845"/>
    <w:rsid w:val="000C2841"/>
    <w:rsid w:val="000C2BA8"/>
    <w:rsid w:val="000C490F"/>
    <w:rsid w:val="000C6243"/>
    <w:rsid w:val="000C78A7"/>
    <w:rsid w:val="000D429E"/>
    <w:rsid w:val="000D5174"/>
    <w:rsid w:val="000D602A"/>
    <w:rsid w:val="000E01D1"/>
    <w:rsid w:val="000E0C7E"/>
    <w:rsid w:val="000E1115"/>
    <w:rsid w:val="000E2C54"/>
    <w:rsid w:val="000E3FB7"/>
    <w:rsid w:val="000E4300"/>
    <w:rsid w:val="000E5D3A"/>
    <w:rsid w:val="000E65BF"/>
    <w:rsid w:val="000E6855"/>
    <w:rsid w:val="000E7AA5"/>
    <w:rsid w:val="000F0BCD"/>
    <w:rsid w:val="000F1328"/>
    <w:rsid w:val="000F21EA"/>
    <w:rsid w:val="000F2301"/>
    <w:rsid w:val="000F265A"/>
    <w:rsid w:val="000F2AE2"/>
    <w:rsid w:val="000F2B59"/>
    <w:rsid w:val="000F6995"/>
    <w:rsid w:val="001012C5"/>
    <w:rsid w:val="00104F3E"/>
    <w:rsid w:val="001054BE"/>
    <w:rsid w:val="00105AA9"/>
    <w:rsid w:val="00110316"/>
    <w:rsid w:val="001111D6"/>
    <w:rsid w:val="00112DBD"/>
    <w:rsid w:val="00112DF2"/>
    <w:rsid w:val="001165FC"/>
    <w:rsid w:val="00120A0C"/>
    <w:rsid w:val="00123A53"/>
    <w:rsid w:val="00124917"/>
    <w:rsid w:val="00125566"/>
    <w:rsid w:val="001269DB"/>
    <w:rsid w:val="00127339"/>
    <w:rsid w:val="001301AA"/>
    <w:rsid w:val="00131443"/>
    <w:rsid w:val="001333F9"/>
    <w:rsid w:val="00134698"/>
    <w:rsid w:val="00135E3C"/>
    <w:rsid w:val="00135FDC"/>
    <w:rsid w:val="00136013"/>
    <w:rsid w:val="0013771C"/>
    <w:rsid w:val="001407EE"/>
    <w:rsid w:val="0014252A"/>
    <w:rsid w:val="0014301C"/>
    <w:rsid w:val="00143AA5"/>
    <w:rsid w:val="00143F8A"/>
    <w:rsid w:val="0014563E"/>
    <w:rsid w:val="001508D3"/>
    <w:rsid w:val="00150F84"/>
    <w:rsid w:val="0015271F"/>
    <w:rsid w:val="0015337D"/>
    <w:rsid w:val="00153AC2"/>
    <w:rsid w:val="00155B1D"/>
    <w:rsid w:val="00157013"/>
    <w:rsid w:val="00157032"/>
    <w:rsid w:val="00162728"/>
    <w:rsid w:val="00163FBA"/>
    <w:rsid w:val="0016575E"/>
    <w:rsid w:val="00165DE6"/>
    <w:rsid w:val="00166A69"/>
    <w:rsid w:val="00167679"/>
    <w:rsid w:val="00167AFB"/>
    <w:rsid w:val="001711B5"/>
    <w:rsid w:val="0017238B"/>
    <w:rsid w:val="001756C7"/>
    <w:rsid w:val="0018096A"/>
    <w:rsid w:val="00181461"/>
    <w:rsid w:val="00182FAC"/>
    <w:rsid w:val="00183E6D"/>
    <w:rsid w:val="001868E0"/>
    <w:rsid w:val="00187A50"/>
    <w:rsid w:val="00187B55"/>
    <w:rsid w:val="00187D1D"/>
    <w:rsid w:val="001902F2"/>
    <w:rsid w:val="00190666"/>
    <w:rsid w:val="001909CD"/>
    <w:rsid w:val="001916C6"/>
    <w:rsid w:val="001924E8"/>
    <w:rsid w:val="0019300D"/>
    <w:rsid w:val="00193F47"/>
    <w:rsid w:val="00193F6A"/>
    <w:rsid w:val="00197272"/>
    <w:rsid w:val="001A07AF"/>
    <w:rsid w:val="001A0DA8"/>
    <w:rsid w:val="001A1088"/>
    <w:rsid w:val="001A2275"/>
    <w:rsid w:val="001A28C0"/>
    <w:rsid w:val="001A4E02"/>
    <w:rsid w:val="001A5102"/>
    <w:rsid w:val="001A535B"/>
    <w:rsid w:val="001A6787"/>
    <w:rsid w:val="001B06A3"/>
    <w:rsid w:val="001B06EA"/>
    <w:rsid w:val="001B1C61"/>
    <w:rsid w:val="001B1EC4"/>
    <w:rsid w:val="001B1F1E"/>
    <w:rsid w:val="001B3427"/>
    <w:rsid w:val="001B3498"/>
    <w:rsid w:val="001B4488"/>
    <w:rsid w:val="001B5923"/>
    <w:rsid w:val="001C06AD"/>
    <w:rsid w:val="001C1E5C"/>
    <w:rsid w:val="001C1EA2"/>
    <w:rsid w:val="001C264D"/>
    <w:rsid w:val="001C297D"/>
    <w:rsid w:val="001C2B9E"/>
    <w:rsid w:val="001C4721"/>
    <w:rsid w:val="001C59E4"/>
    <w:rsid w:val="001C6800"/>
    <w:rsid w:val="001C6D02"/>
    <w:rsid w:val="001C768B"/>
    <w:rsid w:val="001C7AA5"/>
    <w:rsid w:val="001D006B"/>
    <w:rsid w:val="001D3E3E"/>
    <w:rsid w:val="001D43AA"/>
    <w:rsid w:val="001D56BD"/>
    <w:rsid w:val="001E2158"/>
    <w:rsid w:val="001E26CB"/>
    <w:rsid w:val="001E30DF"/>
    <w:rsid w:val="001E3514"/>
    <w:rsid w:val="001E63C6"/>
    <w:rsid w:val="001E7116"/>
    <w:rsid w:val="001E747B"/>
    <w:rsid w:val="001E7A68"/>
    <w:rsid w:val="001E7F9E"/>
    <w:rsid w:val="001F2717"/>
    <w:rsid w:val="001F2B79"/>
    <w:rsid w:val="001F39EF"/>
    <w:rsid w:val="001F3D06"/>
    <w:rsid w:val="001F5698"/>
    <w:rsid w:val="0020064B"/>
    <w:rsid w:val="00200A74"/>
    <w:rsid w:val="00200DE1"/>
    <w:rsid w:val="00200E02"/>
    <w:rsid w:val="002038C0"/>
    <w:rsid w:val="0020742D"/>
    <w:rsid w:val="0021145A"/>
    <w:rsid w:val="00211E70"/>
    <w:rsid w:val="002129FB"/>
    <w:rsid w:val="00212B47"/>
    <w:rsid w:val="00213AB1"/>
    <w:rsid w:val="00214DD5"/>
    <w:rsid w:val="00215B82"/>
    <w:rsid w:val="00215D8B"/>
    <w:rsid w:val="0021671A"/>
    <w:rsid w:val="00216F0C"/>
    <w:rsid w:val="00221090"/>
    <w:rsid w:val="002213D6"/>
    <w:rsid w:val="00222CB1"/>
    <w:rsid w:val="002232CD"/>
    <w:rsid w:val="0022366A"/>
    <w:rsid w:val="00223E88"/>
    <w:rsid w:val="002270E2"/>
    <w:rsid w:val="002306A1"/>
    <w:rsid w:val="0023294F"/>
    <w:rsid w:val="00233775"/>
    <w:rsid w:val="002351C6"/>
    <w:rsid w:val="00235BA3"/>
    <w:rsid w:val="002403AE"/>
    <w:rsid w:val="00241AF2"/>
    <w:rsid w:val="00246DF3"/>
    <w:rsid w:val="00247059"/>
    <w:rsid w:val="00247147"/>
    <w:rsid w:val="002501A1"/>
    <w:rsid w:val="00250747"/>
    <w:rsid w:val="00250BA1"/>
    <w:rsid w:val="002520F0"/>
    <w:rsid w:val="0025541F"/>
    <w:rsid w:val="00257718"/>
    <w:rsid w:val="00260129"/>
    <w:rsid w:val="002633DD"/>
    <w:rsid w:val="0026424E"/>
    <w:rsid w:val="00264B80"/>
    <w:rsid w:val="0026507D"/>
    <w:rsid w:val="00265B6B"/>
    <w:rsid w:val="002660C6"/>
    <w:rsid w:val="002665A1"/>
    <w:rsid w:val="002673DF"/>
    <w:rsid w:val="002678F5"/>
    <w:rsid w:val="0027083C"/>
    <w:rsid w:val="0027090B"/>
    <w:rsid w:val="00271841"/>
    <w:rsid w:val="00272E29"/>
    <w:rsid w:val="002747C8"/>
    <w:rsid w:val="00274D78"/>
    <w:rsid w:val="00275D78"/>
    <w:rsid w:val="00277B41"/>
    <w:rsid w:val="002821F0"/>
    <w:rsid w:val="00284694"/>
    <w:rsid w:val="00284735"/>
    <w:rsid w:val="00285724"/>
    <w:rsid w:val="00285E4A"/>
    <w:rsid w:val="00287B69"/>
    <w:rsid w:val="00287CB3"/>
    <w:rsid w:val="00291B73"/>
    <w:rsid w:val="00292203"/>
    <w:rsid w:val="00294AE7"/>
    <w:rsid w:val="00296109"/>
    <w:rsid w:val="00296DC0"/>
    <w:rsid w:val="0029734C"/>
    <w:rsid w:val="002A085A"/>
    <w:rsid w:val="002A1283"/>
    <w:rsid w:val="002A163A"/>
    <w:rsid w:val="002A3F6F"/>
    <w:rsid w:val="002A477E"/>
    <w:rsid w:val="002B0792"/>
    <w:rsid w:val="002B2D7D"/>
    <w:rsid w:val="002B382B"/>
    <w:rsid w:val="002B5FBA"/>
    <w:rsid w:val="002B6520"/>
    <w:rsid w:val="002B7635"/>
    <w:rsid w:val="002B76EA"/>
    <w:rsid w:val="002B78AC"/>
    <w:rsid w:val="002B79F3"/>
    <w:rsid w:val="002C3CCA"/>
    <w:rsid w:val="002C459A"/>
    <w:rsid w:val="002C470E"/>
    <w:rsid w:val="002C5639"/>
    <w:rsid w:val="002C5AFD"/>
    <w:rsid w:val="002C62C5"/>
    <w:rsid w:val="002C64A9"/>
    <w:rsid w:val="002C652E"/>
    <w:rsid w:val="002C66F0"/>
    <w:rsid w:val="002D130F"/>
    <w:rsid w:val="002D364E"/>
    <w:rsid w:val="002D3E2D"/>
    <w:rsid w:val="002D3EAC"/>
    <w:rsid w:val="002D3FA8"/>
    <w:rsid w:val="002D4585"/>
    <w:rsid w:val="002D4F3E"/>
    <w:rsid w:val="002D7A36"/>
    <w:rsid w:val="002D7F74"/>
    <w:rsid w:val="002E04F0"/>
    <w:rsid w:val="002E07CA"/>
    <w:rsid w:val="002E4C6A"/>
    <w:rsid w:val="002E54EF"/>
    <w:rsid w:val="002E7A38"/>
    <w:rsid w:val="002F285E"/>
    <w:rsid w:val="002F2F6F"/>
    <w:rsid w:val="002F3374"/>
    <w:rsid w:val="002F4DE8"/>
    <w:rsid w:val="002F50B0"/>
    <w:rsid w:val="0030208C"/>
    <w:rsid w:val="00302210"/>
    <w:rsid w:val="003032EF"/>
    <w:rsid w:val="00304183"/>
    <w:rsid w:val="0030510E"/>
    <w:rsid w:val="00306A1C"/>
    <w:rsid w:val="00306C56"/>
    <w:rsid w:val="00307733"/>
    <w:rsid w:val="003111B1"/>
    <w:rsid w:val="00311C66"/>
    <w:rsid w:val="00312E56"/>
    <w:rsid w:val="003137A2"/>
    <w:rsid w:val="003154B0"/>
    <w:rsid w:val="003164D8"/>
    <w:rsid w:val="00316A30"/>
    <w:rsid w:val="00316B9E"/>
    <w:rsid w:val="00321591"/>
    <w:rsid w:val="00321A46"/>
    <w:rsid w:val="00322589"/>
    <w:rsid w:val="00325B9C"/>
    <w:rsid w:val="00325C1C"/>
    <w:rsid w:val="0032637E"/>
    <w:rsid w:val="003270FA"/>
    <w:rsid w:val="0033009D"/>
    <w:rsid w:val="00330F72"/>
    <w:rsid w:val="003318DC"/>
    <w:rsid w:val="003332DE"/>
    <w:rsid w:val="0033389C"/>
    <w:rsid w:val="00334D06"/>
    <w:rsid w:val="003365BF"/>
    <w:rsid w:val="00336C09"/>
    <w:rsid w:val="003374C8"/>
    <w:rsid w:val="003374E1"/>
    <w:rsid w:val="00340D97"/>
    <w:rsid w:val="003419F2"/>
    <w:rsid w:val="003420A5"/>
    <w:rsid w:val="00342739"/>
    <w:rsid w:val="0034325D"/>
    <w:rsid w:val="0034364E"/>
    <w:rsid w:val="00343F93"/>
    <w:rsid w:val="00345D93"/>
    <w:rsid w:val="00346774"/>
    <w:rsid w:val="00346FCE"/>
    <w:rsid w:val="00350E4E"/>
    <w:rsid w:val="00352331"/>
    <w:rsid w:val="003539C6"/>
    <w:rsid w:val="003549C2"/>
    <w:rsid w:val="003558DC"/>
    <w:rsid w:val="0036107D"/>
    <w:rsid w:val="00361F52"/>
    <w:rsid w:val="003629E7"/>
    <w:rsid w:val="00363525"/>
    <w:rsid w:val="00363C61"/>
    <w:rsid w:val="00364187"/>
    <w:rsid w:val="00364867"/>
    <w:rsid w:val="00365B7B"/>
    <w:rsid w:val="00367362"/>
    <w:rsid w:val="003701A2"/>
    <w:rsid w:val="00370BAC"/>
    <w:rsid w:val="003722D5"/>
    <w:rsid w:val="0037254D"/>
    <w:rsid w:val="003727D8"/>
    <w:rsid w:val="0037427A"/>
    <w:rsid w:val="00376D8A"/>
    <w:rsid w:val="00377301"/>
    <w:rsid w:val="0037771B"/>
    <w:rsid w:val="00377D80"/>
    <w:rsid w:val="00381A46"/>
    <w:rsid w:val="0038217D"/>
    <w:rsid w:val="00384ED4"/>
    <w:rsid w:val="0039038A"/>
    <w:rsid w:val="003904C8"/>
    <w:rsid w:val="003916CB"/>
    <w:rsid w:val="003932E8"/>
    <w:rsid w:val="0039406E"/>
    <w:rsid w:val="00394CA1"/>
    <w:rsid w:val="00396F9B"/>
    <w:rsid w:val="00397C91"/>
    <w:rsid w:val="003A0672"/>
    <w:rsid w:val="003A14B4"/>
    <w:rsid w:val="003A56F9"/>
    <w:rsid w:val="003A6008"/>
    <w:rsid w:val="003A606E"/>
    <w:rsid w:val="003A6468"/>
    <w:rsid w:val="003A6581"/>
    <w:rsid w:val="003A6F7E"/>
    <w:rsid w:val="003A7133"/>
    <w:rsid w:val="003B21D0"/>
    <w:rsid w:val="003B2951"/>
    <w:rsid w:val="003B418D"/>
    <w:rsid w:val="003B52FC"/>
    <w:rsid w:val="003B5859"/>
    <w:rsid w:val="003B59E8"/>
    <w:rsid w:val="003B6873"/>
    <w:rsid w:val="003B6B41"/>
    <w:rsid w:val="003C048C"/>
    <w:rsid w:val="003C4640"/>
    <w:rsid w:val="003C4C44"/>
    <w:rsid w:val="003C4D42"/>
    <w:rsid w:val="003C60BD"/>
    <w:rsid w:val="003C645D"/>
    <w:rsid w:val="003C7BDF"/>
    <w:rsid w:val="003C7E68"/>
    <w:rsid w:val="003D097C"/>
    <w:rsid w:val="003D18DC"/>
    <w:rsid w:val="003D21A7"/>
    <w:rsid w:val="003D30FC"/>
    <w:rsid w:val="003D3937"/>
    <w:rsid w:val="003D3DA6"/>
    <w:rsid w:val="003D4248"/>
    <w:rsid w:val="003D4667"/>
    <w:rsid w:val="003D68A7"/>
    <w:rsid w:val="003D69AE"/>
    <w:rsid w:val="003D69BE"/>
    <w:rsid w:val="003D6D70"/>
    <w:rsid w:val="003D73D8"/>
    <w:rsid w:val="003E041D"/>
    <w:rsid w:val="003E0D2C"/>
    <w:rsid w:val="003E22D5"/>
    <w:rsid w:val="003E2801"/>
    <w:rsid w:val="003E3794"/>
    <w:rsid w:val="003E65E5"/>
    <w:rsid w:val="003E780A"/>
    <w:rsid w:val="003E7EB7"/>
    <w:rsid w:val="003F0881"/>
    <w:rsid w:val="003F1AEB"/>
    <w:rsid w:val="003F1B49"/>
    <w:rsid w:val="003F24F7"/>
    <w:rsid w:val="003F3B2B"/>
    <w:rsid w:val="003F4C57"/>
    <w:rsid w:val="003F5921"/>
    <w:rsid w:val="003F6B2F"/>
    <w:rsid w:val="003F7744"/>
    <w:rsid w:val="003F7951"/>
    <w:rsid w:val="003F7F8C"/>
    <w:rsid w:val="00400A39"/>
    <w:rsid w:val="004017CB"/>
    <w:rsid w:val="00402680"/>
    <w:rsid w:val="00402BC2"/>
    <w:rsid w:val="00403D73"/>
    <w:rsid w:val="00403DC9"/>
    <w:rsid w:val="00405F26"/>
    <w:rsid w:val="004061E3"/>
    <w:rsid w:val="004066E6"/>
    <w:rsid w:val="00407FC7"/>
    <w:rsid w:val="004103E8"/>
    <w:rsid w:val="00410E8D"/>
    <w:rsid w:val="00411C9F"/>
    <w:rsid w:val="004124EF"/>
    <w:rsid w:val="00412580"/>
    <w:rsid w:val="00412837"/>
    <w:rsid w:val="004131BC"/>
    <w:rsid w:val="00414C80"/>
    <w:rsid w:val="004155E1"/>
    <w:rsid w:val="00416099"/>
    <w:rsid w:val="004208DD"/>
    <w:rsid w:val="00420AEC"/>
    <w:rsid w:val="004228EB"/>
    <w:rsid w:val="004231D8"/>
    <w:rsid w:val="00423E8F"/>
    <w:rsid w:val="00424D53"/>
    <w:rsid w:val="00425974"/>
    <w:rsid w:val="00427172"/>
    <w:rsid w:val="00432FD4"/>
    <w:rsid w:val="00433240"/>
    <w:rsid w:val="0043596B"/>
    <w:rsid w:val="00436244"/>
    <w:rsid w:val="00442161"/>
    <w:rsid w:val="004421D7"/>
    <w:rsid w:val="0044220E"/>
    <w:rsid w:val="004459FD"/>
    <w:rsid w:val="004463B9"/>
    <w:rsid w:val="0044769A"/>
    <w:rsid w:val="00450538"/>
    <w:rsid w:val="00451201"/>
    <w:rsid w:val="00452268"/>
    <w:rsid w:val="00453669"/>
    <w:rsid w:val="00456179"/>
    <w:rsid w:val="004562D6"/>
    <w:rsid w:val="0045666F"/>
    <w:rsid w:val="00460B9F"/>
    <w:rsid w:val="004614D4"/>
    <w:rsid w:val="004626E9"/>
    <w:rsid w:val="0046292C"/>
    <w:rsid w:val="00462DE8"/>
    <w:rsid w:val="00463AD3"/>
    <w:rsid w:val="00463CC2"/>
    <w:rsid w:val="00464B30"/>
    <w:rsid w:val="00466270"/>
    <w:rsid w:val="004670C2"/>
    <w:rsid w:val="00467163"/>
    <w:rsid w:val="00472E3A"/>
    <w:rsid w:val="00473636"/>
    <w:rsid w:val="004745D0"/>
    <w:rsid w:val="00474C50"/>
    <w:rsid w:val="00474D22"/>
    <w:rsid w:val="00474DF3"/>
    <w:rsid w:val="0047504D"/>
    <w:rsid w:val="00476288"/>
    <w:rsid w:val="00480523"/>
    <w:rsid w:val="004811AD"/>
    <w:rsid w:val="004811DF"/>
    <w:rsid w:val="0048272A"/>
    <w:rsid w:val="004847BF"/>
    <w:rsid w:val="0048605C"/>
    <w:rsid w:val="0048769A"/>
    <w:rsid w:val="0049012C"/>
    <w:rsid w:val="00490A8F"/>
    <w:rsid w:val="004911A1"/>
    <w:rsid w:val="0049294E"/>
    <w:rsid w:val="00492F5F"/>
    <w:rsid w:val="004962FD"/>
    <w:rsid w:val="00497467"/>
    <w:rsid w:val="00497E2A"/>
    <w:rsid w:val="004A253F"/>
    <w:rsid w:val="004A5CF8"/>
    <w:rsid w:val="004A624D"/>
    <w:rsid w:val="004A62FC"/>
    <w:rsid w:val="004B05BE"/>
    <w:rsid w:val="004B1451"/>
    <w:rsid w:val="004B171F"/>
    <w:rsid w:val="004B18D0"/>
    <w:rsid w:val="004B2145"/>
    <w:rsid w:val="004B39ED"/>
    <w:rsid w:val="004B54CD"/>
    <w:rsid w:val="004B57E9"/>
    <w:rsid w:val="004B69DB"/>
    <w:rsid w:val="004B6CA1"/>
    <w:rsid w:val="004B6DF4"/>
    <w:rsid w:val="004C1D50"/>
    <w:rsid w:val="004C1DFE"/>
    <w:rsid w:val="004C24CF"/>
    <w:rsid w:val="004C3666"/>
    <w:rsid w:val="004C3BA7"/>
    <w:rsid w:val="004C4A74"/>
    <w:rsid w:val="004C4C52"/>
    <w:rsid w:val="004C54F5"/>
    <w:rsid w:val="004C6277"/>
    <w:rsid w:val="004D0DBD"/>
    <w:rsid w:val="004D2C34"/>
    <w:rsid w:val="004D5BC3"/>
    <w:rsid w:val="004E0232"/>
    <w:rsid w:val="004E16F6"/>
    <w:rsid w:val="004E21D6"/>
    <w:rsid w:val="004E3A1B"/>
    <w:rsid w:val="004E650A"/>
    <w:rsid w:val="004F078C"/>
    <w:rsid w:val="004F0DB6"/>
    <w:rsid w:val="004F32DB"/>
    <w:rsid w:val="004F53F8"/>
    <w:rsid w:val="004F6962"/>
    <w:rsid w:val="00501308"/>
    <w:rsid w:val="00501370"/>
    <w:rsid w:val="00502C17"/>
    <w:rsid w:val="00502C39"/>
    <w:rsid w:val="00504583"/>
    <w:rsid w:val="00507969"/>
    <w:rsid w:val="00507A2E"/>
    <w:rsid w:val="00510909"/>
    <w:rsid w:val="00511158"/>
    <w:rsid w:val="00511490"/>
    <w:rsid w:val="0051745A"/>
    <w:rsid w:val="00520483"/>
    <w:rsid w:val="00520CE0"/>
    <w:rsid w:val="005212B6"/>
    <w:rsid w:val="00521868"/>
    <w:rsid w:val="00521965"/>
    <w:rsid w:val="00522805"/>
    <w:rsid w:val="00523E79"/>
    <w:rsid w:val="005244BE"/>
    <w:rsid w:val="00524536"/>
    <w:rsid w:val="00524F76"/>
    <w:rsid w:val="00525F8F"/>
    <w:rsid w:val="005266F7"/>
    <w:rsid w:val="005269BE"/>
    <w:rsid w:val="00526A1E"/>
    <w:rsid w:val="00527BBD"/>
    <w:rsid w:val="00530275"/>
    <w:rsid w:val="00531857"/>
    <w:rsid w:val="005326DF"/>
    <w:rsid w:val="00534A24"/>
    <w:rsid w:val="00534AD2"/>
    <w:rsid w:val="005357C3"/>
    <w:rsid w:val="00535B56"/>
    <w:rsid w:val="00536273"/>
    <w:rsid w:val="0054079E"/>
    <w:rsid w:val="00541453"/>
    <w:rsid w:val="005450EA"/>
    <w:rsid w:val="00545DD3"/>
    <w:rsid w:val="00555932"/>
    <w:rsid w:val="00556066"/>
    <w:rsid w:val="0056071A"/>
    <w:rsid w:val="00561062"/>
    <w:rsid w:val="00561581"/>
    <w:rsid w:val="0056238F"/>
    <w:rsid w:val="00563440"/>
    <w:rsid w:val="005642F7"/>
    <w:rsid w:val="00564D5B"/>
    <w:rsid w:val="005663A4"/>
    <w:rsid w:val="005665CD"/>
    <w:rsid w:val="00567E5B"/>
    <w:rsid w:val="00570B54"/>
    <w:rsid w:val="00571244"/>
    <w:rsid w:val="00572183"/>
    <w:rsid w:val="00573B58"/>
    <w:rsid w:val="005775A8"/>
    <w:rsid w:val="00577B35"/>
    <w:rsid w:val="00580427"/>
    <w:rsid w:val="0058162F"/>
    <w:rsid w:val="00581FD2"/>
    <w:rsid w:val="00582705"/>
    <w:rsid w:val="00583BAE"/>
    <w:rsid w:val="00585A3B"/>
    <w:rsid w:val="00590844"/>
    <w:rsid w:val="00590BC3"/>
    <w:rsid w:val="00590D6F"/>
    <w:rsid w:val="0059189B"/>
    <w:rsid w:val="00591ED5"/>
    <w:rsid w:val="00592AF3"/>
    <w:rsid w:val="00593E67"/>
    <w:rsid w:val="005942D7"/>
    <w:rsid w:val="00594447"/>
    <w:rsid w:val="00594550"/>
    <w:rsid w:val="005951E8"/>
    <w:rsid w:val="005955D0"/>
    <w:rsid w:val="00595880"/>
    <w:rsid w:val="00595F37"/>
    <w:rsid w:val="005A01A4"/>
    <w:rsid w:val="005A046D"/>
    <w:rsid w:val="005A22C8"/>
    <w:rsid w:val="005A44CD"/>
    <w:rsid w:val="005A4B77"/>
    <w:rsid w:val="005A6BA2"/>
    <w:rsid w:val="005A7B41"/>
    <w:rsid w:val="005B2955"/>
    <w:rsid w:val="005B3C01"/>
    <w:rsid w:val="005B48BD"/>
    <w:rsid w:val="005B4B50"/>
    <w:rsid w:val="005B6254"/>
    <w:rsid w:val="005B62CF"/>
    <w:rsid w:val="005B6FAA"/>
    <w:rsid w:val="005B715B"/>
    <w:rsid w:val="005B7703"/>
    <w:rsid w:val="005B7AF9"/>
    <w:rsid w:val="005C1681"/>
    <w:rsid w:val="005C23AE"/>
    <w:rsid w:val="005C2436"/>
    <w:rsid w:val="005C243D"/>
    <w:rsid w:val="005C3376"/>
    <w:rsid w:val="005C4F72"/>
    <w:rsid w:val="005C5709"/>
    <w:rsid w:val="005C6823"/>
    <w:rsid w:val="005C72EC"/>
    <w:rsid w:val="005C762B"/>
    <w:rsid w:val="005D308C"/>
    <w:rsid w:val="005D411B"/>
    <w:rsid w:val="005D53F1"/>
    <w:rsid w:val="005D6D09"/>
    <w:rsid w:val="005D6EDA"/>
    <w:rsid w:val="005E01C8"/>
    <w:rsid w:val="005E0BBB"/>
    <w:rsid w:val="005E0CE8"/>
    <w:rsid w:val="005E3BFA"/>
    <w:rsid w:val="005E492D"/>
    <w:rsid w:val="005E49B8"/>
    <w:rsid w:val="005E6BBF"/>
    <w:rsid w:val="005E7AB6"/>
    <w:rsid w:val="005F1148"/>
    <w:rsid w:val="005F15E2"/>
    <w:rsid w:val="005F33E9"/>
    <w:rsid w:val="005F4B12"/>
    <w:rsid w:val="005F670C"/>
    <w:rsid w:val="005F7855"/>
    <w:rsid w:val="0060047D"/>
    <w:rsid w:val="0060056F"/>
    <w:rsid w:val="006014DB"/>
    <w:rsid w:val="00602CA5"/>
    <w:rsid w:val="0060437C"/>
    <w:rsid w:val="00604437"/>
    <w:rsid w:val="00606400"/>
    <w:rsid w:val="00607783"/>
    <w:rsid w:val="0061116F"/>
    <w:rsid w:val="00612015"/>
    <w:rsid w:val="006130BA"/>
    <w:rsid w:val="00613C05"/>
    <w:rsid w:val="006160E9"/>
    <w:rsid w:val="00617955"/>
    <w:rsid w:val="00620B93"/>
    <w:rsid w:val="00620BF7"/>
    <w:rsid w:val="006211AD"/>
    <w:rsid w:val="00622510"/>
    <w:rsid w:val="00623E24"/>
    <w:rsid w:val="00625C1B"/>
    <w:rsid w:val="00626D1D"/>
    <w:rsid w:val="00627764"/>
    <w:rsid w:val="00627FDA"/>
    <w:rsid w:val="0063012B"/>
    <w:rsid w:val="00631C81"/>
    <w:rsid w:val="00632867"/>
    <w:rsid w:val="00633677"/>
    <w:rsid w:val="00635119"/>
    <w:rsid w:val="00636665"/>
    <w:rsid w:val="00636A0C"/>
    <w:rsid w:val="00636BAC"/>
    <w:rsid w:val="00636EEF"/>
    <w:rsid w:val="00637C04"/>
    <w:rsid w:val="00637DC4"/>
    <w:rsid w:val="006414D8"/>
    <w:rsid w:val="006443DD"/>
    <w:rsid w:val="00644773"/>
    <w:rsid w:val="00644D53"/>
    <w:rsid w:val="00645855"/>
    <w:rsid w:val="00646624"/>
    <w:rsid w:val="00646D3A"/>
    <w:rsid w:val="0064723A"/>
    <w:rsid w:val="00647788"/>
    <w:rsid w:val="0065029F"/>
    <w:rsid w:val="00652A5B"/>
    <w:rsid w:val="00652EBB"/>
    <w:rsid w:val="006545C8"/>
    <w:rsid w:val="00654E21"/>
    <w:rsid w:val="00654F33"/>
    <w:rsid w:val="0065583B"/>
    <w:rsid w:val="00655A17"/>
    <w:rsid w:val="00660689"/>
    <w:rsid w:val="006607D6"/>
    <w:rsid w:val="006614DA"/>
    <w:rsid w:val="00663573"/>
    <w:rsid w:val="00667EE9"/>
    <w:rsid w:val="00670A86"/>
    <w:rsid w:val="00671A04"/>
    <w:rsid w:val="00672A73"/>
    <w:rsid w:val="00672E53"/>
    <w:rsid w:val="00673146"/>
    <w:rsid w:val="00673643"/>
    <w:rsid w:val="006740C2"/>
    <w:rsid w:val="00674D05"/>
    <w:rsid w:val="00675B3A"/>
    <w:rsid w:val="006835B2"/>
    <w:rsid w:val="006842EB"/>
    <w:rsid w:val="00685148"/>
    <w:rsid w:val="006878E0"/>
    <w:rsid w:val="00690B64"/>
    <w:rsid w:val="00691569"/>
    <w:rsid w:val="0069176B"/>
    <w:rsid w:val="006919F7"/>
    <w:rsid w:val="00693086"/>
    <w:rsid w:val="006934CA"/>
    <w:rsid w:val="006937E6"/>
    <w:rsid w:val="00694C68"/>
    <w:rsid w:val="006961AA"/>
    <w:rsid w:val="006A042D"/>
    <w:rsid w:val="006A15D7"/>
    <w:rsid w:val="006A28E1"/>
    <w:rsid w:val="006A30A8"/>
    <w:rsid w:val="006A33BB"/>
    <w:rsid w:val="006A3FA4"/>
    <w:rsid w:val="006A4AAF"/>
    <w:rsid w:val="006A4D4E"/>
    <w:rsid w:val="006A5F8A"/>
    <w:rsid w:val="006B0F22"/>
    <w:rsid w:val="006B1ED8"/>
    <w:rsid w:val="006B34F8"/>
    <w:rsid w:val="006B5CFA"/>
    <w:rsid w:val="006B5E51"/>
    <w:rsid w:val="006B5FCB"/>
    <w:rsid w:val="006B6657"/>
    <w:rsid w:val="006B6910"/>
    <w:rsid w:val="006B6CA9"/>
    <w:rsid w:val="006C45D0"/>
    <w:rsid w:val="006C50B0"/>
    <w:rsid w:val="006C5DCA"/>
    <w:rsid w:val="006D0197"/>
    <w:rsid w:val="006D1BEB"/>
    <w:rsid w:val="006D1C5E"/>
    <w:rsid w:val="006D32EA"/>
    <w:rsid w:val="006D38F9"/>
    <w:rsid w:val="006D46BE"/>
    <w:rsid w:val="006D5791"/>
    <w:rsid w:val="006D77F0"/>
    <w:rsid w:val="006D7C70"/>
    <w:rsid w:val="006E0A89"/>
    <w:rsid w:val="006E181E"/>
    <w:rsid w:val="006E1FC5"/>
    <w:rsid w:val="006E38BE"/>
    <w:rsid w:val="006E43EA"/>
    <w:rsid w:val="006E5349"/>
    <w:rsid w:val="006E54BE"/>
    <w:rsid w:val="006E6894"/>
    <w:rsid w:val="006E725C"/>
    <w:rsid w:val="006F0590"/>
    <w:rsid w:val="006F1B69"/>
    <w:rsid w:val="006F3472"/>
    <w:rsid w:val="006F393B"/>
    <w:rsid w:val="006F78A6"/>
    <w:rsid w:val="006F7933"/>
    <w:rsid w:val="006F7F9F"/>
    <w:rsid w:val="0070072D"/>
    <w:rsid w:val="007016C0"/>
    <w:rsid w:val="00701AC2"/>
    <w:rsid w:val="0070229B"/>
    <w:rsid w:val="00702CE9"/>
    <w:rsid w:val="007034A9"/>
    <w:rsid w:val="00703573"/>
    <w:rsid w:val="00705C8F"/>
    <w:rsid w:val="007109B1"/>
    <w:rsid w:val="00710C91"/>
    <w:rsid w:val="00711615"/>
    <w:rsid w:val="007120C5"/>
    <w:rsid w:val="007129F5"/>
    <w:rsid w:val="00712E51"/>
    <w:rsid w:val="00716BA8"/>
    <w:rsid w:val="00716EC1"/>
    <w:rsid w:val="00717722"/>
    <w:rsid w:val="00717934"/>
    <w:rsid w:val="007208E0"/>
    <w:rsid w:val="0072127C"/>
    <w:rsid w:val="007226BE"/>
    <w:rsid w:val="00723075"/>
    <w:rsid w:val="00731774"/>
    <w:rsid w:val="00733323"/>
    <w:rsid w:val="007336F6"/>
    <w:rsid w:val="00734613"/>
    <w:rsid w:val="0073521F"/>
    <w:rsid w:val="00735869"/>
    <w:rsid w:val="0073700A"/>
    <w:rsid w:val="007374BC"/>
    <w:rsid w:val="00744B33"/>
    <w:rsid w:val="00744D19"/>
    <w:rsid w:val="00744E84"/>
    <w:rsid w:val="0074531C"/>
    <w:rsid w:val="00745F4A"/>
    <w:rsid w:val="00746A47"/>
    <w:rsid w:val="00747A7E"/>
    <w:rsid w:val="00747D2F"/>
    <w:rsid w:val="00752EA8"/>
    <w:rsid w:val="00752F13"/>
    <w:rsid w:val="00753A8A"/>
    <w:rsid w:val="00753D93"/>
    <w:rsid w:val="00753E41"/>
    <w:rsid w:val="0075737B"/>
    <w:rsid w:val="00761A4F"/>
    <w:rsid w:val="00761BC1"/>
    <w:rsid w:val="00762BEE"/>
    <w:rsid w:val="0076422E"/>
    <w:rsid w:val="00765D1A"/>
    <w:rsid w:val="00766299"/>
    <w:rsid w:val="00767BA0"/>
    <w:rsid w:val="007700A7"/>
    <w:rsid w:val="0077046B"/>
    <w:rsid w:val="00771BDC"/>
    <w:rsid w:val="007721F3"/>
    <w:rsid w:val="00772C95"/>
    <w:rsid w:val="00773054"/>
    <w:rsid w:val="00773900"/>
    <w:rsid w:val="00775640"/>
    <w:rsid w:val="00776654"/>
    <w:rsid w:val="00780979"/>
    <w:rsid w:val="007827AF"/>
    <w:rsid w:val="00782E33"/>
    <w:rsid w:val="00784A8B"/>
    <w:rsid w:val="007869F5"/>
    <w:rsid w:val="00786B01"/>
    <w:rsid w:val="00786B86"/>
    <w:rsid w:val="00786E44"/>
    <w:rsid w:val="00787B67"/>
    <w:rsid w:val="00791178"/>
    <w:rsid w:val="00792E45"/>
    <w:rsid w:val="0079350B"/>
    <w:rsid w:val="00793BCE"/>
    <w:rsid w:val="00794D5E"/>
    <w:rsid w:val="00795072"/>
    <w:rsid w:val="00797795"/>
    <w:rsid w:val="007A0320"/>
    <w:rsid w:val="007A1739"/>
    <w:rsid w:val="007A265C"/>
    <w:rsid w:val="007A33FF"/>
    <w:rsid w:val="007A37C6"/>
    <w:rsid w:val="007A4A48"/>
    <w:rsid w:val="007A681E"/>
    <w:rsid w:val="007A6B43"/>
    <w:rsid w:val="007B0745"/>
    <w:rsid w:val="007B0CF3"/>
    <w:rsid w:val="007B0EE8"/>
    <w:rsid w:val="007B1440"/>
    <w:rsid w:val="007B243C"/>
    <w:rsid w:val="007B3A8E"/>
    <w:rsid w:val="007B57D0"/>
    <w:rsid w:val="007B6C90"/>
    <w:rsid w:val="007B72E5"/>
    <w:rsid w:val="007B7BB8"/>
    <w:rsid w:val="007C1ECB"/>
    <w:rsid w:val="007C5521"/>
    <w:rsid w:val="007C649F"/>
    <w:rsid w:val="007D03F7"/>
    <w:rsid w:val="007D0638"/>
    <w:rsid w:val="007D0680"/>
    <w:rsid w:val="007D2C68"/>
    <w:rsid w:val="007D4F9F"/>
    <w:rsid w:val="007D52B2"/>
    <w:rsid w:val="007D55D4"/>
    <w:rsid w:val="007E0969"/>
    <w:rsid w:val="007E0DBA"/>
    <w:rsid w:val="007E3A25"/>
    <w:rsid w:val="007E4359"/>
    <w:rsid w:val="007E47B3"/>
    <w:rsid w:val="007E4DF4"/>
    <w:rsid w:val="007E6716"/>
    <w:rsid w:val="007F0E86"/>
    <w:rsid w:val="007F1F57"/>
    <w:rsid w:val="007F3599"/>
    <w:rsid w:val="007F65A5"/>
    <w:rsid w:val="007F7A36"/>
    <w:rsid w:val="007F7CFD"/>
    <w:rsid w:val="00801B3C"/>
    <w:rsid w:val="00803FE5"/>
    <w:rsid w:val="00805742"/>
    <w:rsid w:val="00805877"/>
    <w:rsid w:val="00805A59"/>
    <w:rsid w:val="00805ABC"/>
    <w:rsid w:val="0080612B"/>
    <w:rsid w:val="0080641B"/>
    <w:rsid w:val="00811735"/>
    <w:rsid w:val="0081536B"/>
    <w:rsid w:val="008155EF"/>
    <w:rsid w:val="00816E0B"/>
    <w:rsid w:val="00817977"/>
    <w:rsid w:val="00817DA0"/>
    <w:rsid w:val="00820F0A"/>
    <w:rsid w:val="00821D9B"/>
    <w:rsid w:val="0082220D"/>
    <w:rsid w:val="00824050"/>
    <w:rsid w:val="0082545C"/>
    <w:rsid w:val="00825DA9"/>
    <w:rsid w:val="00830154"/>
    <w:rsid w:val="0083145C"/>
    <w:rsid w:val="008314EB"/>
    <w:rsid w:val="00831C7F"/>
    <w:rsid w:val="00834A18"/>
    <w:rsid w:val="00835052"/>
    <w:rsid w:val="0083585C"/>
    <w:rsid w:val="0083758D"/>
    <w:rsid w:val="0084059E"/>
    <w:rsid w:val="00841047"/>
    <w:rsid w:val="008424A0"/>
    <w:rsid w:val="008450C0"/>
    <w:rsid w:val="008463CF"/>
    <w:rsid w:val="00846FD4"/>
    <w:rsid w:val="008527BE"/>
    <w:rsid w:val="008530E8"/>
    <w:rsid w:val="00853A6E"/>
    <w:rsid w:val="00854DFB"/>
    <w:rsid w:val="008560E7"/>
    <w:rsid w:val="00856A10"/>
    <w:rsid w:val="008573ED"/>
    <w:rsid w:val="00857E07"/>
    <w:rsid w:val="00861A4D"/>
    <w:rsid w:val="00861C7A"/>
    <w:rsid w:val="00861D11"/>
    <w:rsid w:val="00861E61"/>
    <w:rsid w:val="00867180"/>
    <w:rsid w:val="00871536"/>
    <w:rsid w:val="0087278B"/>
    <w:rsid w:val="0087354A"/>
    <w:rsid w:val="00873F74"/>
    <w:rsid w:val="00874C6F"/>
    <w:rsid w:val="00874F5F"/>
    <w:rsid w:val="0087593A"/>
    <w:rsid w:val="00877E58"/>
    <w:rsid w:val="00880DFE"/>
    <w:rsid w:val="00880F8C"/>
    <w:rsid w:val="0088171C"/>
    <w:rsid w:val="008824C7"/>
    <w:rsid w:val="0088435A"/>
    <w:rsid w:val="00884D8B"/>
    <w:rsid w:val="00885EE7"/>
    <w:rsid w:val="008875B1"/>
    <w:rsid w:val="00887F65"/>
    <w:rsid w:val="00892162"/>
    <w:rsid w:val="00892655"/>
    <w:rsid w:val="00894ADC"/>
    <w:rsid w:val="008953C4"/>
    <w:rsid w:val="00895FDE"/>
    <w:rsid w:val="00896D9C"/>
    <w:rsid w:val="0089799C"/>
    <w:rsid w:val="00897A8A"/>
    <w:rsid w:val="008A26A9"/>
    <w:rsid w:val="008A2A14"/>
    <w:rsid w:val="008A30B9"/>
    <w:rsid w:val="008A3E60"/>
    <w:rsid w:val="008A3EB3"/>
    <w:rsid w:val="008A4C17"/>
    <w:rsid w:val="008A61AE"/>
    <w:rsid w:val="008A6701"/>
    <w:rsid w:val="008B30B8"/>
    <w:rsid w:val="008B3EFD"/>
    <w:rsid w:val="008B593F"/>
    <w:rsid w:val="008B7CC6"/>
    <w:rsid w:val="008C0BDD"/>
    <w:rsid w:val="008C52B1"/>
    <w:rsid w:val="008C53EF"/>
    <w:rsid w:val="008C580E"/>
    <w:rsid w:val="008C5D5D"/>
    <w:rsid w:val="008D028E"/>
    <w:rsid w:val="008D201C"/>
    <w:rsid w:val="008D208C"/>
    <w:rsid w:val="008D20BD"/>
    <w:rsid w:val="008D7C14"/>
    <w:rsid w:val="008E0368"/>
    <w:rsid w:val="008E283C"/>
    <w:rsid w:val="008E3814"/>
    <w:rsid w:val="008E39E6"/>
    <w:rsid w:val="008E412E"/>
    <w:rsid w:val="008E42EB"/>
    <w:rsid w:val="008E4685"/>
    <w:rsid w:val="008E4DAD"/>
    <w:rsid w:val="008E4FC9"/>
    <w:rsid w:val="008E567E"/>
    <w:rsid w:val="008E64CD"/>
    <w:rsid w:val="008E6C3A"/>
    <w:rsid w:val="008F0B8B"/>
    <w:rsid w:val="008F1709"/>
    <w:rsid w:val="008F3737"/>
    <w:rsid w:val="008F3E8C"/>
    <w:rsid w:val="008F47DA"/>
    <w:rsid w:val="008F5033"/>
    <w:rsid w:val="008F5093"/>
    <w:rsid w:val="008F54DE"/>
    <w:rsid w:val="008F65CE"/>
    <w:rsid w:val="008F76D2"/>
    <w:rsid w:val="008F7797"/>
    <w:rsid w:val="008F78B0"/>
    <w:rsid w:val="008F7E01"/>
    <w:rsid w:val="0090076E"/>
    <w:rsid w:val="0090102E"/>
    <w:rsid w:val="009016C1"/>
    <w:rsid w:val="0090243A"/>
    <w:rsid w:val="009026AE"/>
    <w:rsid w:val="00904CC3"/>
    <w:rsid w:val="00905682"/>
    <w:rsid w:val="00905AFA"/>
    <w:rsid w:val="009066D3"/>
    <w:rsid w:val="00906ECE"/>
    <w:rsid w:val="009103E6"/>
    <w:rsid w:val="00910754"/>
    <w:rsid w:val="00910DC3"/>
    <w:rsid w:val="00910ECE"/>
    <w:rsid w:val="009112D7"/>
    <w:rsid w:val="00912F19"/>
    <w:rsid w:val="009153AB"/>
    <w:rsid w:val="00915699"/>
    <w:rsid w:val="00915FE1"/>
    <w:rsid w:val="009162B1"/>
    <w:rsid w:val="00923476"/>
    <w:rsid w:val="009303D4"/>
    <w:rsid w:val="00932C83"/>
    <w:rsid w:val="0093389A"/>
    <w:rsid w:val="00934E48"/>
    <w:rsid w:val="00936AB0"/>
    <w:rsid w:val="009374DF"/>
    <w:rsid w:val="00937941"/>
    <w:rsid w:val="00937FDA"/>
    <w:rsid w:val="009416D7"/>
    <w:rsid w:val="009420AE"/>
    <w:rsid w:val="00945E34"/>
    <w:rsid w:val="00950054"/>
    <w:rsid w:val="009537FA"/>
    <w:rsid w:val="0095510C"/>
    <w:rsid w:val="00955553"/>
    <w:rsid w:val="0096126A"/>
    <w:rsid w:val="009614BB"/>
    <w:rsid w:val="009614C8"/>
    <w:rsid w:val="0096549E"/>
    <w:rsid w:val="00965F68"/>
    <w:rsid w:val="009679FB"/>
    <w:rsid w:val="00971A60"/>
    <w:rsid w:val="00972762"/>
    <w:rsid w:val="00973909"/>
    <w:rsid w:val="009746A1"/>
    <w:rsid w:val="00975B83"/>
    <w:rsid w:val="0097646E"/>
    <w:rsid w:val="00977BC5"/>
    <w:rsid w:val="00977C4B"/>
    <w:rsid w:val="00980528"/>
    <w:rsid w:val="00983AA1"/>
    <w:rsid w:val="0098580E"/>
    <w:rsid w:val="00985F26"/>
    <w:rsid w:val="009868FA"/>
    <w:rsid w:val="00990972"/>
    <w:rsid w:val="009913EE"/>
    <w:rsid w:val="009924BC"/>
    <w:rsid w:val="00992BB8"/>
    <w:rsid w:val="00992F6D"/>
    <w:rsid w:val="00993488"/>
    <w:rsid w:val="009943E2"/>
    <w:rsid w:val="009943E4"/>
    <w:rsid w:val="00994C16"/>
    <w:rsid w:val="009957EF"/>
    <w:rsid w:val="0099646C"/>
    <w:rsid w:val="009A1C0E"/>
    <w:rsid w:val="009A237A"/>
    <w:rsid w:val="009A3710"/>
    <w:rsid w:val="009A3E4F"/>
    <w:rsid w:val="009A3EFE"/>
    <w:rsid w:val="009A49A7"/>
    <w:rsid w:val="009A5A4B"/>
    <w:rsid w:val="009A6802"/>
    <w:rsid w:val="009B11E7"/>
    <w:rsid w:val="009B1883"/>
    <w:rsid w:val="009B251D"/>
    <w:rsid w:val="009B3622"/>
    <w:rsid w:val="009B4E61"/>
    <w:rsid w:val="009B62E3"/>
    <w:rsid w:val="009B633D"/>
    <w:rsid w:val="009B63DE"/>
    <w:rsid w:val="009B6E19"/>
    <w:rsid w:val="009C155B"/>
    <w:rsid w:val="009C2F9C"/>
    <w:rsid w:val="009C443D"/>
    <w:rsid w:val="009C4881"/>
    <w:rsid w:val="009C5BAD"/>
    <w:rsid w:val="009D01D7"/>
    <w:rsid w:val="009D0E33"/>
    <w:rsid w:val="009D1CD7"/>
    <w:rsid w:val="009D3078"/>
    <w:rsid w:val="009D3DBB"/>
    <w:rsid w:val="009D4574"/>
    <w:rsid w:val="009D64E1"/>
    <w:rsid w:val="009D6625"/>
    <w:rsid w:val="009D66D8"/>
    <w:rsid w:val="009E2CF8"/>
    <w:rsid w:val="009E5077"/>
    <w:rsid w:val="009E5280"/>
    <w:rsid w:val="009E7637"/>
    <w:rsid w:val="009F299E"/>
    <w:rsid w:val="009F2A1D"/>
    <w:rsid w:val="009F2CE1"/>
    <w:rsid w:val="009F3065"/>
    <w:rsid w:val="009F3596"/>
    <w:rsid w:val="009F39D0"/>
    <w:rsid w:val="009F43EA"/>
    <w:rsid w:val="009F4D9E"/>
    <w:rsid w:val="009F597D"/>
    <w:rsid w:val="009F747A"/>
    <w:rsid w:val="009F759A"/>
    <w:rsid w:val="00A00C1A"/>
    <w:rsid w:val="00A05450"/>
    <w:rsid w:val="00A06933"/>
    <w:rsid w:val="00A0693B"/>
    <w:rsid w:val="00A070AD"/>
    <w:rsid w:val="00A076D0"/>
    <w:rsid w:val="00A11010"/>
    <w:rsid w:val="00A11EF2"/>
    <w:rsid w:val="00A1314D"/>
    <w:rsid w:val="00A13D8D"/>
    <w:rsid w:val="00A15031"/>
    <w:rsid w:val="00A15D49"/>
    <w:rsid w:val="00A20E40"/>
    <w:rsid w:val="00A2235C"/>
    <w:rsid w:val="00A22B1E"/>
    <w:rsid w:val="00A231D7"/>
    <w:rsid w:val="00A23403"/>
    <w:rsid w:val="00A24E16"/>
    <w:rsid w:val="00A2719E"/>
    <w:rsid w:val="00A30D9A"/>
    <w:rsid w:val="00A30E18"/>
    <w:rsid w:val="00A337B8"/>
    <w:rsid w:val="00A36CDE"/>
    <w:rsid w:val="00A36EA1"/>
    <w:rsid w:val="00A3766A"/>
    <w:rsid w:val="00A401EF"/>
    <w:rsid w:val="00A413DB"/>
    <w:rsid w:val="00A424F2"/>
    <w:rsid w:val="00A44855"/>
    <w:rsid w:val="00A4631C"/>
    <w:rsid w:val="00A4694A"/>
    <w:rsid w:val="00A46BD2"/>
    <w:rsid w:val="00A509C3"/>
    <w:rsid w:val="00A521BB"/>
    <w:rsid w:val="00A52B37"/>
    <w:rsid w:val="00A53D7C"/>
    <w:rsid w:val="00A567E9"/>
    <w:rsid w:val="00A57106"/>
    <w:rsid w:val="00A571F9"/>
    <w:rsid w:val="00A6155E"/>
    <w:rsid w:val="00A61BE8"/>
    <w:rsid w:val="00A648EB"/>
    <w:rsid w:val="00A64E80"/>
    <w:rsid w:val="00A65884"/>
    <w:rsid w:val="00A65AB2"/>
    <w:rsid w:val="00A67F3F"/>
    <w:rsid w:val="00A7414B"/>
    <w:rsid w:val="00A74E0A"/>
    <w:rsid w:val="00A76D94"/>
    <w:rsid w:val="00A777E1"/>
    <w:rsid w:val="00A77C20"/>
    <w:rsid w:val="00A817F5"/>
    <w:rsid w:val="00A835C4"/>
    <w:rsid w:val="00A835E4"/>
    <w:rsid w:val="00A86135"/>
    <w:rsid w:val="00A86582"/>
    <w:rsid w:val="00A86979"/>
    <w:rsid w:val="00A903DC"/>
    <w:rsid w:val="00A905D8"/>
    <w:rsid w:val="00A924A0"/>
    <w:rsid w:val="00A93106"/>
    <w:rsid w:val="00A93571"/>
    <w:rsid w:val="00A94219"/>
    <w:rsid w:val="00A9551D"/>
    <w:rsid w:val="00A96343"/>
    <w:rsid w:val="00A97187"/>
    <w:rsid w:val="00A97658"/>
    <w:rsid w:val="00A97B93"/>
    <w:rsid w:val="00AA0B6B"/>
    <w:rsid w:val="00AA1DDC"/>
    <w:rsid w:val="00AA2478"/>
    <w:rsid w:val="00AA3F0B"/>
    <w:rsid w:val="00AA467C"/>
    <w:rsid w:val="00AA613D"/>
    <w:rsid w:val="00AA696F"/>
    <w:rsid w:val="00AA788A"/>
    <w:rsid w:val="00AB1EB8"/>
    <w:rsid w:val="00AB3D95"/>
    <w:rsid w:val="00AB4A15"/>
    <w:rsid w:val="00AB4B2A"/>
    <w:rsid w:val="00AB6736"/>
    <w:rsid w:val="00AC12B7"/>
    <w:rsid w:val="00AC3479"/>
    <w:rsid w:val="00AC4AB7"/>
    <w:rsid w:val="00AC7F83"/>
    <w:rsid w:val="00AD3072"/>
    <w:rsid w:val="00AD4273"/>
    <w:rsid w:val="00AD45E0"/>
    <w:rsid w:val="00AD6516"/>
    <w:rsid w:val="00AD7052"/>
    <w:rsid w:val="00AD744C"/>
    <w:rsid w:val="00AD756E"/>
    <w:rsid w:val="00AD76F8"/>
    <w:rsid w:val="00AD7BD6"/>
    <w:rsid w:val="00AE1020"/>
    <w:rsid w:val="00AE1382"/>
    <w:rsid w:val="00AE1436"/>
    <w:rsid w:val="00AE3C89"/>
    <w:rsid w:val="00AE439A"/>
    <w:rsid w:val="00AE4702"/>
    <w:rsid w:val="00AF0676"/>
    <w:rsid w:val="00AF1AEE"/>
    <w:rsid w:val="00AF29D1"/>
    <w:rsid w:val="00AF4AAA"/>
    <w:rsid w:val="00AF57A9"/>
    <w:rsid w:val="00AF646B"/>
    <w:rsid w:val="00AF67A9"/>
    <w:rsid w:val="00AF69B1"/>
    <w:rsid w:val="00AF77FB"/>
    <w:rsid w:val="00B00D81"/>
    <w:rsid w:val="00B02C75"/>
    <w:rsid w:val="00B04362"/>
    <w:rsid w:val="00B043FD"/>
    <w:rsid w:val="00B057C3"/>
    <w:rsid w:val="00B05DB2"/>
    <w:rsid w:val="00B06057"/>
    <w:rsid w:val="00B06BB5"/>
    <w:rsid w:val="00B105CD"/>
    <w:rsid w:val="00B105DD"/>
    <w:rsid w:val="00B138B2"/>
    <w:rsid w:val="00B150DE"/>
    <w:rsid w:val="00B1551F"/>
    <w:rsid w:val="00B161DB"/>
    <w:rsid w:val="00B1664B"/>
    <w:rsid w:val="00B17067"/>
    <w:rsid w:val="00B213CD"/>
    <w:rsid w:val="00B2166E"/>
    <w:rsid w:val="00B21D57"/>
    <w:rsid w:val="00B23280"/>
    <w:rsid w:val="00B238AD"/>
    <w:rsid w:val="00B245D8"/>
    <w:rsid w:val="00B256CA"/>
    <w:rsid w:val="00B257FE"/>
    <w:rsid w:val="00B26450"/>
    <w:rsid w:val="00B27DEF"/>
    <w:rsid w:val="00B27F17"/>
    <w:rsid w:val="00B33973"/>
    <w:rsid w:val="00B340AE"/>
    <w:rsid w:val="00B34BBC"/>
    <w:rsid w:val="00B34F49"/>
    <w:rsid w:val="00B35AAA"/>
    <w:rsid w:val="00B36BAA"/>
    <w:rsid w:val="00B36FFA"/>
    <w:rsid w:val="00B40208"/>
    <w:rsid w:val="00B41B8A"/>
    <w:rsid w:val="00B4208B"/>
    <w:rsid w:val="00B43C5E"/>
    <w:rsid w:val="00B45BEB"/>
    <w:rsid w:val="00B51378"/>
    <w:rsid w:val="00B51423"/>
    <w:rsid w:val="00B519B4"/>
    <w:rsid w:val="00B52533"/>
    <w:rsid w:val="00B530E1"/>
    <w:rsid w:val="00B53B77"/>
    <w:rsid w:val="00B5406C"/>
    <w:rsid w:val="00B54D39"/>
    <w:rsid w:val="00B60470"/>
    <w:rsid w:val="00B606B3"/>
    <w:rsid w:val="00B61FEB"/>
    <w:rsid w:val="00B63DDF"/>
    <w:rsid w:val="00B645ED"/>
    <w:rsid w:val="00B720EC"/>
    <w:rsid w:val="00B72D2F"/>
    <w:rsid w:val="00B7365A"/>
    <w:rsid w:val="00B73C95"/>
    <w:rsid w:val="00B758CB"/>
    <w:rsid w:val="00B762E0"/>
    <w:rsid w:val="00B76712"/>
    <w:rsid w:val="00B76B66"/>
    <w:rsid w:val="00B80669"/>
    <w:rsid w:val="00B825D0"/>
    <w:rsid w:val="00B82E8F"/>
    <w:rsid w:val="00B83929"/>
    <w:rsid w:val="00B83ED3"/>
    <w:rsid w:val="00B83FE4"/>
    <w:rsid w:val="00B85753"/>
    <w:rsid w:val="00B8751A"/>
    <w:rsid w:val="00B90EE8"/>
    <w:rsid w:val="00B915F1"/>
    <w:rsid w:val="00B91641"/>
    <w:rsid w:val="00B91A59"/>
    <w:rsid w:val="00B92964"/>
    <w:rsid w:val="00B92B52"/>
    <w:rsid w:val="00B94869"/>
    <w:rsid w:val="00B94FB7"/>
    <w:rsid w:val="00B95031"/>
    <w:rsid w:val="00B96560"/>
    <w:rsid w:val="00B97C70"/>
    <w:rsid w:val="00BA4001"/>
    <w:rsid w:val="00BA750C"/>
    <w:rsid w:val="00BA793C"/>
    <w:rsid w:val="00BA7DEC"/>
    <w:rsid w:val="00BB0E0F"/>
    <w:rsid w:val="00BB1AB5"/>
    <w:rsid w:val="00BB1C2F"/>
    <w:rsid w:val="00BB20EC"/>
    <w:rsid w:val="00BB2479"/>
    <w:rsid w:val="00BB29D2"/>
    <w:rsid w:val="00BB7136"/>
    <w:rsid w:val="00BB7B10"/>
    <w:rsid w:val="00BC127B"/>
    <w:rsid w:val="00BC1483"/>
    <w:rsid w:val="00BC1698"/>
    <w:rsid w:val="00BC2E2E"/>
    <w:rsid w:val="00BC3A4A"/>
    <w:rsid w:val="00BC4DC9"/>
    <w:rsid w:val="00BC4E98"/>
    <w:rsid w:val="00BC55D6"/>
    <w:rsid w:val="00BC5EC6"/>
    <w:rsid w:val="00BC763B"/>
    <w:rsid w:val="00BD357C"/>
    <w:rsid w:val="00BD3C95"/>
    <w:rsid w:val="00BD50BB"/>
    <w:rsid w:val="00BD6053"/>
    <w:rsid w:val="00BD7FA4"/>
    <w:rsid w:val="00BE0430"/>
    <w:rsid w:val="00BE205A"/>
    <w:rsid w:val="00BE2979"/>
    <w:rsid w:val="00BE3934"/>
    <w:rsid w:val="00BE6F1C"/>
    <w:rsid w:val="00BE7011"/>
    <w:rsid w:val="00BE7034"/>
    <w:rsid w:val="00BE7864"/>
    <w:rsid w:val="00BE7BDC"/>
    <w:rsid w:val="00BF4F4F"/>
    <w:rsid w:val="00BF514B"/>
    <w:rsid w:val="00BF53CF"/>
    <w:rsid w:val="00BF735E"/>
    <w:rsid w:val="00C01459"/>
    <w:rsid w:val="00C0383F"/>
    <w:rsid w:val="00C04F25"/>
    <w:rsid w:val="00C05A77"/>
    <w:rsid w:val="00C061CE"/>
    <w:rsid w:val="00C06287"/>
    <w:rsid w:val="00C0644C"/>
    <w:rsid w:val="00C06876"/>
    <w:rsid w:val="00C07533"/>
    <w:rsid w:val="00C07AA5"/>
    <w:rsid w:val="00C10655"/>
    <w:rsid w:val="00C10D69"/>
    <w:rsid w:val="00C12BF3"/>
    <w:rsid w:val="00C12CB0"/>
    <w:rsid w:val="00C14A17"/>
    <w:rsid w:val="00C14D37"/>
    <w:rsid w:val="00C150CB"/>
    <w:rsid w:val="00C15A39"/>
    <w:rsid w:val="00C163C6"/>
    <w:rsid w:val="00C205C8"/>
    <w:rsid w:val="00C218DB"/>
    <w:rsid w:val="00C23714"/>
    <w:rsid w:val="00C24784"/>
    <w:rsid w:val="00C252CA"/>
    <w:rsid w:val="00C25916"/>
    <w:rsid w:val="00C27833"/>
    <w:rsid w:val="00C27D2E"/>
    <w:rsid w:val="00C30492"/>
    <w:rsid w:val="00C305C6"/>
    <w:rsid w:val="00C31634"/>
    <w:rsid w:val="00C3210A"/>
    <w:rsid w:val="00C34403"/>
    <w:rsid w:val="00C35AE7"/>
    <w:rsid w:val="00C4006D"/>
    <w:rsid w:val="00C404F4"/>
    <w:rsid w:val="00C4098D"/>
    <w:rsid w:val="00C40F5A"/>
    <w:rsid w:val="00C41CAD"/>
    <w:rsid w:val="00C4209F"/>
    <w:rsid w:val="00C43216"/>
    <w:rsid w:val="00C454ED"/>
    <w:rsid w:val="00C46919"/>
    <w:rsid w:val="00C47BD7"/>
    <w:rsid w:val="00C5012C"/>
    <w:rsid w:val="00C5095E"/>
    <w:rsid w:val="00C530B0"/>
    <w:rsid w:val="00C53EF2"/>
    <w:rsid w:val="00C541A4"/>
    <w:rsid w:val="00C546F5"/>
    <w:rsid w:val="00C55529"/>
    <w:rsid w:val="00C613EF"/>
    <w:rsid w:val="00C62B27"/>
    <w:rsid w:val="00C64690"/>
    <w:rsid w:val="00C65B05"/>
    <w:rsid w:val="00C669E3"/>
    <w:rsid w:val="00C679CA"/>
    <w:rsid w:val="00C70AC2"/>
    <w:rsid w:val="00C72231"/>
    <w:rsid w:val="00C72A78"/>
    <w:rsid w:val="00C734CC"/>
    <w:rsid w:val="00C73F08"/>
    <w:rsid w:val="00C7455E"/>
    <w:rsid w:val="00C77433"/>
    <w:rsid w:val="00C8063C"/>
    <w:rsid w:val="00C8289D"/>
    <w:rsid w:val="00C82F21"/>
    <w:rsid w:val="00C84911"/>
    <w:rsid w:val="00C85887"/>
    <w:rsid w:val="00C85EB7"/>
    <w:rsid w:val="00C8638B"/>
    <w:rsid w:val="00C916BF"/>
    <w:rsid w:val="00C91A58"/>
    <w:rsid w:val="00C924F6"/>
    <w:rsid w:val="00C9251D"/>
    <w:rsid w:val="00C929D4"/>
    <w:rsid w:val="00C933ED"/>
    <w:rsid w:val="00C9364D"/>
    <w:rsid w:val="00C93CCC"/>
    <w:rsid w:val="00C93CFD"/>
    <w:rsid w:val="00C9495E"/>
    <w:rsid w:val="00C949C9"/>
    <w:rsid w:val="00C9633D"/>
    <w:rsid w:val="00C97F26"/>
    <w:rsid w:val="00CA059C"/>
    <w:rsid w:val="00CA09FC"/>
    <w:rsid w:val="00CA0D09"/>
    <w:rsid w:val="00CA136B"/>
    <w:rsid w:val="00CA2876"/>
    <w:rsid w:val="00CA2CBE"/>
    <w:rsid w:val="00CA3EDC"/>
    <w:rsid w:val="00CA434B"/>
    <w:rsid w:val="00CA54BC"/>
    <w:rsid w:val="00CA5CDA"/>
    <w:rsid w:val="00CA5FC4"/>
    <w:rsid w:val="00CA7470"/>
    <w:rsid w:val="00CB1050"/>
    <w:rsid w:val="00CB1E2C"/>
    <w:rsid w:val="00CB4397"/>
    <w:rsid w:val="00CB4E18"/>
    <w:rsid w:val="00CB514D"/>
    <w:rsid w:val="00CB5BCA"/>
    <w:rsid w:val="00CB6D49"/>
    <w:rsid w:val="00CC23D0"/>
    <w:rsid w:val="00CC2FEA"/>
    <w:rsid w:val="00CC5506"/>
    <w:rsid w:val="00CC5BBB"/>
    <w:rsid w:val="00CC64CF"/>
    <w:rsid w:val="00CC7166"/>
    <w:rsid w:val="00CD0D54"/>
    <w:rsid w:val="00CD38B0"/>
    <w:rsid w:val="00CD4963"/>
    <w:rsid w:val="00CD5129"/>
    <w:rsid w:val="00CD6234"/>
    <w:rsid w:val="00CD655B"/>
    <w:rsid w:val="00CD67BC"/>
    <w:rsid w:val="00CD6BFD"/>
    <w:rsid w:val="00CE01D2"/>
    <w:rsid w:val="00CE2557"/>
    <w:rsid w:val="00CE4E91"/>
    <w:rsid w:val="00CE54F9"/>
    <w:rsid w:val="00CE6533"/>
    <w:rsid w:val="00CE6B10"/>
    <w:rsid w:val="00CE7B5F"/>
    <w:rsid w:val="00CF2789"/>
    <w:rsid w:val="00CF3861"/>
    <w:rsid w:val="00CF6BB1"/>
    <w:rsid w:val="00CF7F4E"/>
    <w:rsid w:val="00D001F8"/>
    <w:rsid w:val="00D00419"/>
    <w:rsid w:val="00D024BC"/>
    <w:rsid w:val="00D04494"/>
    <w:rsid w:val="00D04EFA"/>
    <w:rsid w:val="00D0660C"/>
    <w:rsid w:val="00D068A0"/>
    <w:rsid w:val="00D10D99"/>
    <w:rsid w:val="00D11271"/>
    <w:rsid w:val="00D11487"/>
    <w:rsid w:val="00D1175F"/>
    <w:rsid w:val="00D12670"/>
    <w:rsid w:val="00D12E3E"/>
    <w:rsid w:val="00D13437"/>
    <w:rsid w:val="00D14641"/>
    <w:rsid w:val="00D147ED"/>
    <w:rsid w:val="00D150A9"/>
    <w:rsid w:val="00D1511B"/>
    <w:rsid w:val="00D15E18"/>
    <w:rsid w:val="00D163D9"/>
    <w:rsid w:val="00D17FB9"/>
    <w:rsid w:val="00D20A73"/>
    <w:rsid w:val="00D20C47"/>
    <w:rsid w:val="00D21140"/>
    <w:rsid w:val="00D2521F"/>
    <w:rsid w:val="00D268F0"/>
    <w:rsid w:val="00D27096"/>
    <w:rsid w:val="00D277FE"/>
    <w:rsid w:val="00D27C2D"/>
    <w:rsid w:val="00D27D52"/>
    <w:rsid w:val="00D31167"/>
    <w:rsid w:val="00D312DB"/>
    <w:rsid w:val="00D31A3E"/>
    <w:rsid w:val="00D32392"/>
    <w:rsid w:val="00D33D18"/>
    <w:rsid w:val="00D352E9"/>
    <w:rsid w:val="00D35A15"/>
    <w:rsid w:val="00D40650"/>
    <w:rsid w:val="00D4236F"/>
    <w:rsid w:val="00D42D18"/>
    <w:rsid w:val="00D438AF"/>
    <w:rsid w:val="00D442F5"/>
    <w:rsid w:val="00D44D4E"/>
    <w:rsid w:val="00D45411"/>
    <w:rsid w:val="00D45544"/>
    <w:rsid w:val="00D474B5"/>
    <w:rsid w:val="00D519AC"/>
    <w:rsid w:val="00D52BB4"/>
    <w:rsid w:val="00D52BBC"/>
    <w:rsid w:val="00D53E90"/>
    <w:rsid w:val="00D543D5"/>
    <w:rsid w:val="00D5448A"/>
    <w:rsid w:val="00D549D2"/>
    <w:rsid w:val="00D56952"/>
    <w:rsid w:val="00D57118"/>
    <w:rsid w:val="00D57BAF"/>
    <w:rsid w:val="00D607C4"/>
    <w:rsid w:val="00D60D88"/>
    <w:rsid w:val="00D6202A"/>
    <w:rsid w:val="00D62354"/>
    <w:rsid w:val="00D64287"/>
    <w:rsid w:val="00D65943"/>
    <w:rsid w:val="00D66462"/>
    <w:rsid w:val="00D66E74"/>
    <w:rsid w:val="00D67B75"/>
    <w:rsid w:val="00D71264"/>
    <w:rsid w:val="00D7175B"/>
    <w:rsid w:val="00D72090"/>
    <w:rsid w:val="00D72839"/>
    <w:rsid w:val="00D72B8F"/>
    <w:rsid w:val="00D748BB"/>
    <w:rsid w:val="00D749E2"/>
    <w:rsid w:val="00D829BE"/>
    <w:rsid w:val="00D844CC"/>
    <w:rsid w:val="00D84723"/>
    <w:rsid w:val="00D84A59"/>
    <w:rsid w:val="00D85AE7"/>
    <w:rsid w:val="00D86687"/>
    <w:rsid w:val="00D877F3"/>
    <w:rsid w:val="00D87905"/>
    <w:rsid w:val="00D87F9B"/>
    <w:rsid w:val="00D9045B"/>
    <w:rsid w:val="00D9297B"/>
    <w:rsid w:val="00D949B9"/>
    <w:rsid w:val="00D95AA7"/>
    <w:rsid w:val="00D966A9"/>
    <w:rsid w:val="00D9680B"/>
    <w:rsid w:val="00DA097F"/>
    <w:rsid w:val="00DA1388"/>
    <w:rsid w:val="00DA2BE3"/>
    <w:rsid w:val="00DA3BCC"/>
    <w:rsid w:val="00DA3E7C"/>
    <w:rsid w:val="00DA4AE8"/>
    <w:rsid w:val="00DA4D25"/>
    <w:rsid w:val="00DA69BC"/>
    <w:rsid w:val="00DA73A3"/>
    <w:rsid w:val="00DA79B5"/>
    <w:rsid w:val="00DB0790"/>
    <w:rsid w:val="00DB0E6F"/>
    <w:rsid w:val="00DB1BBA"/>
    <w:rsid w:val="00DB263F"/>
    <w:rsid w:val="00DB3948"/>
    <w:rsid w:val="00DB49A0"/>
    <w:rsid w:val="00DB4C23"/>
    <w:rsid w:val="00DB4F81"/>
    <w:rsid w:val="00DB6FA2"/>
    <w:rsid w:val="00DB7315"/>
    <w:rsid w:val="00DB74D2"/>
    <w:rsid w:val="00DC0C55"/>
    <w:rsid w:val="00DC10BD"/>
    <w:rsid w:val="00DC1D2C"/>
    <w:rsid w:val="00DC2401"/>
    <w:rsid w:val="00DC2D2B"/>
    <w:rsid w:val="00DC3288"/>
    <w:rsid w:val="00DC3859"/>
    <w:rsid w:val="00DC59AE"/>
    <w:rsid w:val="00DC728E"/>
    <w:rsid w:val="00DC76D4"/>
    <w:rsid w:val="00DD0A49"/>
    <w:rsid w:val="00DD0D2D"/>
    <w:rsid w:val="00DD40BF"/>
    <w:rsid w:val="00DD6219"/>
    <w:rsid w:val="00DD7082"/>
    <w:rsid w:val="00DD7169"/>
    <w:rsid w:val="00DD73D1"/>
    <w:rsid w:val="00DE028F"/>
    <w:rsid w:val="00DE08CB"/>
    <w:rsid w:val="00DE0A24"/>
    <w:rsid w:val="00DE1202"/>
    <w:rsid w:val="00DE2E04"/>
    <w:rsid w:val="00DE5004"/>
    <w:rsid w:val="00DE7687"/>
    <w:rsid w:val="00DF0D60"/>
    <w:rsid w:val="00DF15CF"/>
    <w:rsid w:val="00DF42D2"/>
    <w:rsid w:val="00DF4A5E"/>
    <w:rsid w:val="00DF4F3C"/>
    <w:rsid w:val="00DF4F6F"/>
    <w:rsid w:val="00DF5547"/>
    <w:rsid w:val="00DF607F"/>
    <w:rsid w:val="00DF616B"/>
    <w:rsid w:val="00DF71F0"/>
    <w:rsid w:val="00DF7ADD"/>
    <w:rsid w:val="00E007FA"/>
    <w:rsid w:val="00E029C0"/>
    <w:rsid w:val="00E02F06"/>
    <w:rsid w:val="00E03AF5"/>
    <w:rsid w:val="00E05E80"/>
    <w:rsid w:val="00E06A23"/>
    <w:rsid w:val="00E06AA8"/>
    <w:rsid w:val="00E06C50"/>
    <w:rsid w:val="00E076A3"/>
    <w:rsid w:val="00E10878"/>
    <w:rsid w:val="00E12D0D"/>
    <w:rsid w:val="00E13123"/>
    <w:rsid w:val="00E14381"/>
    <w:rsid w:val="00E14FC3"/>
    <w:rsid w:val="00E154E5"/>
    <w:rsid w:val="00E167EA"/>
    <w:rsid w:val="00E175C4"/>
    <w:rsid w:val="00E178F4"/>
    <w:rsid w:val="00E2015E"/>
    <w:rsid w:val="00E2018F"/>
    <w:rsid w:val="00E20E48"/>
    <w:rsid w:val="00E214BE"/>
    <w:rsid w:val="00E21ACB"/>
    <w:rsid w:val="00E234CC"/>
    <w:rsid w:val="00E24EA6"/>
    <w:rsid w:val="00E2592B"/>
    <w:rsid w:val="00E304A8"/>
    <w:rsid w:val="00E30599"/>
    <w:rsid w:val="00E3129A"/>
    <w:rsid w:val="00E32106"/>
    <w:rsid w:val="00E329EE"/>
    <w:rsid w:val="00E33166"/>
    <w:rsid w:val="00E36BE4"/>
    <w:rsid w:val="00E40B1E"/>
    <w:rsid w:val="00E42A5F"/>
    <w:rsid w:val="00E43581"/>
    <w:rsid w:val="00E43EBB"/>
    <w:rsid w:val="00E4461E"/>
    <w:rsid w:val="00E46EB0"/>
    <w:rsid w:val="00E46FE9"/>
    <w:rsid w:val="00E47851"/>
    <w:rsid w:val="00E50D7A"/>
    <w:rsid w:val="00E52235"/>
    <w:rsid w:val="00E53E17"/>
    <w:rsid w:val="00E5573F"/>
    <w:rsid w:val="00E56716"/>
    <w:rsid w:val="00E61AA4"/>
    <w:rsid w:val="00E630A2"/>
    <w:rsid w:val="00E641F7"/>
    <w:rsid w:val="00E6604E"/>
    <w:rsid w:val="00E66D93"/>
    <w:rsid w:val="00E706B3"/>
    <w:rsid w:val="00E70711"/>
    <w:rsid w:val="00E715FD"/>
    <w:rsid w:val="00E738AF"/>
    <w:rsid w:val="00E73A00"/>
    <w:rsid w:val="00E7422B"/>
    <w:rsid w:val="00E771C3"/>
    <w:rsid w:val="00E77B70"/>
    <w:rsid w:val="00E80478"/>
    <w:rsid w:val="00E8401E"/>
    <w:rsid w:val="00E84EA4"/>
    <w:rsid w:val="00E85D6B"/>
    <w:rsid w:val="00E90F16"/>
    <w:rsid w:val="00E90F1D"/>
    <w:rsid w:val="00E948DD"/>
    <w:rsid w:val="00E95001"/>
    <w:rsid w:val="00E950A2"/>
    <w:rsid w:val="00E951D9"/>
    <w:rsid w:val="00E958D4"/>
    <w:rsid w:val="00E95FAF"/>
    <w:rsid w:val="00E962DA"/>
    <w:rsid w:val="00E97584"/>
    <w:rsid w:val="00EA0F6F"/>
    <w:rsid w:val="00EA1377"/>
    <w:rsid w:val="00EA36FE"/>
    <w:rsid w:val="00EA3BED"/>
    <w:rsid w:val="00EA6041"/>
    <w:rsid w:val="00EA608F"/>
    <w:rsid w:val="00EA72BE"/>
    <w:rsid w:val="00EA730A"/>
    <w:rsid w:val="00EB229C"/>
    <w:rsid w:val="00EB2ADC"/>
    <w:rsid w:val="00EB2CB8"/>
    <w:rsid w:val="00EB2E35"/>
    <w:rsid w:val="00EB384F"/>
    <w:rsid w:val="00EB4214"/>
    <w:rsid w:val="00EB56B2"/>
    <w:rsid w:val="00EB58F3"/>
    <w:rsid w:val="00EB65BE"/>
    <w:rsid w:val="00EB7F0F"/>
    <w:rsid w:val="00EC1E61"/>
    <w:rsid w:val="00EC2346"/>
    <w:rsid w:val="00EC3197"/>
    <w:rsid w:val="00EC6C86"/>
    <w:rsid w:val="00EC6EAF"/>
    <w:rsid w:val="00EC7262"/>
    <w:rsid w:val="00EC7298"/>
    <w:rsid w:val="00ED0D35"/>
    <w:rsid w:val="00ED0EBB"/>
    <w:rsid w:val="00ED1100"/>
    <w:rsid w:val="00ED11A1"/>
    <w:rsid w:val="00ED2028"/>
    <w:rsid w:val="00ED3151"/>
    <w:rsid w:val="00ED3C36"/>
    <w:rsid w:val="00ED6AAE"/>
    <w:rsid w:val="00EE0BBD"/>
    <w:rsid w:val="00EE29DC"/>
    <w:rsid w:val="00EE3FC9"/>
    <w:rsid w:val="00EE4455"/>
    <w:rsid w:val="00EE4936"/>
    <w:rsid w:val="00EE746E"/>
    <w:rsid w:val="00EF1322"/>
    <w:rsid w:val="00EF1502"/>
    <w:rsid w:val="00EF3C92"/>
    <w:rsid w:val="00EF4663"/>
    <w:rsid w:val="00EF72CB"/>
    <w:rsid w:val="00EF7BE8"/>
    <w:rsid w:val="00F00773"/>
    <w:rsid w:val="00F00EF3"/>
    <w:rsid w:val="00F04032"/>
    <w:rsid w:val="00F04055"/>
    <w:rsid w:val="00F05606"/>
    <w:rsid w:val="00F05AB2"/>
    <w:rsid w:val="00F06AAA"/>
    <w:rsid w:val="00F06BCA"/>
    <w:rsid w:val="00F10AC7"/>
    <w:rsid w:val="00F11E1F"/>
    <w:rsid w:val="00F122B9"/>
    <w:rsid w:val="00F1324D"/>
    <w:rsid w:val="00F13CAA"/>
    <w:rsid w:val="00F13FD0"/>
    <w:rsid w:val="00F155E5"/>
    <w:rsid w:val="00F161E2"/>
    <w:rsid w:val="00F16FD3"/>
    <w:rsid w:val="00F178B5"/>
    <w:rsid w:val="00F2110F"/>
    <w:rsid w:val="00F21168"/>
    <w:rsid w:val="00F21CD9"/>
    <w:rsid w:val="00F22750"/>
    <w:rsid w:val="00F22AFD"/>
    <w:rsid w:val="00F230DE"/>
    <w:rsid w:val="00F23B6F"/>
    <w:rsid w:val="00F23EB2"/>
    <w:rsid w:val="00F25727"/>
    <w:rsid w:val="00F25902"/>
    <w:rsid w:val="00F26473"/>
    <w:rsid w:val="00F26DA1"/>
    <w:rsid w:val="00F30508"/>
    <w:rsid w:val="00F30951"/>
    <w:rsid w:val="00F3207F"/>
    <w:rsid w:val="00F33D1F"/>
    <w:rsid w:val="00F3409A"/>
    <w:rsid w:val="00F35011"/>
    <w:rsid w:val="00F35343"/>
    <w:rsid w:val="00F3541A"/>
    <w:rsid w:val="00F36C18"/>
    <w:rsid w:val="00F374E6"/>
    <w:rsid w:val="00F37833"/>
    <w:rsid w:val="00F4022E"/>
    <w:rsid w:val="00F41C1F"/>
    <w:rsid w:val="00F42089"/>
    <w:rsid w:val="00F429B4"/>
    <w:rsid w:val="00F431AF"/>
    <w:rsid w:val="00F43FE9"/>
    <w:rsid w:val="00F45DFC"/>
    <w:rsid w:val="00F46275"/>
    <w:rsid w:val="00F46427"/>
    <w:rsid w:val="00F475B0"/>
    <w:rsid w:val="00F50865"/>
    <w:rsid w:val="00F526BC"/>
    <w:rsid w:val="00F52CB2"/>
    <w:rsid w:val="00F5665F"/>
    <w:rsid w:val="00F603E3"/>
    <w:rsid w:val="00F60488"/>
    <w:rsid w:val="00F604C8"/>
    <w:rsid w:val="00F6137C"/>
    <w:rsid w:val="00F631B6"/>
    <w:rsid w:val="00F63BC0"/>
    <w:rsid w:val="00F640FB"/>
    <w:rsid w:val="00F67626"/>
    <w:rsid w:val="00F70715"/>
    <w:rsid w:val="00F70967"/>
    <w:rsid w:val="00F71926"/>
    <w:rsid w:val="00F719B8"/>
    <w:rsid w:val="00F734B8"/>
    <w:rsid w:val="00F735D5"/>
    <w:rsid w:val="00F7383A"/>
    <w:rsid w:val="00F739DB"/>
    <w:rsid w:val="00F76B68"/>
    <w:rsid w:val="00F7771A"/>
    <w:rsid w:val="00F820C2"/>
    <w:rsid w:val="00F822C5"/>
    <w:rsid w:val="00F83069"/>
    <w:rsid w:val="00F8316D"/>
    <w:rsid w:val="00F83204"/>
    <w:rsid w:val="00F83EE9"/>
    <w:rsid w:val="00F85709"/>
    <w:rsid w:val="00F86247"/>
    <w:rsid w:val="00F86805"/>
    <w:rsid w:val="00F91BDB"/>
    <w:rsid w:val="00F92AAC"/>
    <w:rsid w:val="00F9475F"/>
    <w:rsid w:val="00F94B00"/>
    <w:rsid w:val="00F96324"/>
    <w:rsid w:val="00F9706B"/>
    <w:rsid w:val="00FA03AD"/>
    <w:rsid w:val="00FA2E89"/>
    <w:rsid w:val="00FA32F9"/>
    <w:rsid w:val="00FA4E42"/>
    <w:rsid w:val="00FA4E54"/>
    <w:rsid w:val="00FA59B8"/>
    <w:rsid w:val="00FA6388"/>
    <w:rsid w:val="00FA671A"/>
    <w:rsid w:val="00FA71CF"/>
    <w:rsid w:val="00FB03CA"/>
    <w:rsid w:val="00FB0826"/>
    <w:rsid w:val="00FB0CE9"/>
    <w:rsid w:val="00FB0F30"/>
    <w:rsid w:val="00FB1488"/>
    <w:rsid w:val="00FB1892"/>
    <w:rsid w:val="00FB1E0C"/>
    <w:rsid w:val="00FB4BFF"/>
    <w:rsid w:val="00FB6500"/>
    <w:rsid w:val="00FB6986"/>
    <w:rsid w:val="00FB6B82"/>
    <w:rsid w:val="00FB7187"/>
    <w:rsid w:val="00FC0790"/>
    <w:rsid w:val="00FC156D"/>
    <w:rsid w:val="00FC2D31"/>
    <w:rsid w:val="00FC31F0"/>
    <w:rsid w:val="00FC430C"/>
    <w:rsid w:val="00FC4F0D"/>
    <w:rsid w:val="00FC50B4"/>
    <w:rsid w:val="00FC63DE"/>
    <w:rsid w:val="00FC67D6"/>
    <w:rsid w:val="00FC7332"/>
    <w:rsid w:val="00FC785D"/>
    <w:rsid w:val="00FD0883"/>
    <w:rsid w:val="00FD1D9C"/>
    <w:rsid w:val="00FD1ED4"/>
    <w:rsid w:val="00FD4B35"/>
    <w:rsid w:val="00FD6CD5"/>
    <w:rsid w:val="00FD6E34"/>
    <w:rsid w:val="00FD7227"/>
    <w:rsid w:val="00FD77DA"/>
    <w:rsid w:val="00FD7B18"/>
    <w:rsid w:val="00FD7C1A"/>
    <w:rsid w:val="00FD7E09"/>
    <w:rsid w:val="00FE0D9B"/>
    <w:rsid w:val="00FE15FF"/>
    <w:rsid w:val="00FE2AC3"/>
    <w:rsid w:val="00FE5839"/>
    <w:rsid w:val="00FE6890"/>
    <w:rsid w:val="00FE75E3"/>
    <w:rsid w:val="00FF1A56"/>
    <w:rsid w:val="00FF2409"/>
    <w:rsid w:val="00FF42BD"/>
    <w:rsid w:val="00FF53CD"/>
    <w:rsid w:val="00FF56A7"/>
    <w:rsid w:val="00FF58C0"/>
    <w:rsid w:val="00FF64D7"/>
    <w:rsid w:val="00FF7037"/>
    <w:rsid w:val="00FF7188"/>
    <w:rsid w:val="00FF7B52"/>
    <w:rsid w:val="37BC5089"/>
    <w:rsid w:val="3BFFADAB"/>
  </w:rsids>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 w:name="__Grammarly_42___1" w:val="H4sIAAAAAAAEAKtWcslP9kxRslIyNDYyMzAzNjI0MzC0MDOwMDJW0lEKTi0uzszPAykwqQUAQHDn2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BD6893C"/>
  <w15:chartTrackingRefBased/>
  <w15:docId w15:val="{53AC5301-0EFB-4A7B-B91D-93216E5E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159A"/>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73F74"/>
    <w:pPr>
      <w:bidi/>
      <w:jc w:val="right"/>
    </w:pPr>
    <w:rPr>
      <w:sz w:val="20"/>
      <w:szCs w:val="20"/>
      <w:lang w:bidi="ar-QA"/>
    </w:rPr>
  </w:style>
  <w:style w:type="character" w:styleId="FootnoteReference">
    <w:name w:val="footnote reference"/>
    <w:uiPriority w:val="99"/>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uiPriority w:val="99"/>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34"/>
    <w:qFormat/>
    <w:rsid w:val="00420AEC"/>
    <w:pPr>
      <w:ind w:left="720"/>
    </w:pPr>
  </w:style>
  <w:style w:type="paragraph" w:customStyle="1" w:styleId="Default">
    <w:name w:val="Default"/>
    <w:rsid w:val="004A253F"/>
    <w:pPr>
      <w:autoSpaceDE w:val="0"/>
      <w:autoSpaceDN w:val="0"/>
      <w:adjustRightInd w:val="0"/>
    </w:pPr>
    <w:rPr>
      <w:color w:val="000000"/>
      <w:sz w:val="24"/>
      <w:szCs w:val="24"/>
    </w:rPr>
  </w:style>
  <w:style w:type="paragraph" w:styleId="BodyText">
    <w:name w:val="Body Text"/>
    <w:basedOn w:val="Normal"/>
    <w:link w:val="BodyTextChar"/>
    <w:rsid w:val="00432FD4"/>
    <w:pPr>
      <w:spacing w:after="120"/>
    </w:pPr>
  </w:style>
  <w:style w:type="character" w:customStyle="1" w:styleId="BodyTextChar">
    <w:name w:val="Body Text Char"/>
    <w:link w:val="BodyText"/>
    <w:rsid w:val="00432FD4"/>
    <w:rPr>
      <w:sz w:val="24"/>
      <w:szCs w:val="24"/>
    </w:rPr>
  </w:style>
  <w:style w:type="character" w:customStyle="1" w:styleId="FootnoteTextChar">
    <w:name w:val="Footnote Text Char"/>
    <w:link w:val="FootnoteText"/>
    <w:uiPriority w:val="99"/>
    <w:semiHidden/>
    <w:rsid w:val="00767BA0"/>
    <w:rPr>
      <w:lang w:bidi="ar-QA"/>
    </w:rPr>
  </w:style>
  <w:style w:type="paragraph" w:customStyle="1" w:styleId="GridTable31">
    <w:name w:val="Grid Table 31"/>
    <w:basedOn w:val="Heading1"/>
    <w:next w:val="Normal"/>
    <w:uiPriority w:val="39"/>
    <w:unhideWhenUsed/>
    <w:qFormat/>
    <w:rsid w:val="00233775"/>
    <w:pPr>
      <w:outlineLvl w:val="9"/>
    </w:pPr>
    <w:rPr>
      <w:rFonts w:ascii="Calibri Light" w:hAnsi="Calibri Light" w:cs="Times New Roman"/>
    </w:rPr>
  </w:style>
  <w:style w:type="character" w:customStyle="1" w:styleId="HeaderChar">
    <w:name w:val="Header Char"/>
    <w:link w:val="Header"/>
    <w:uiPriority w:val="99"/>
    <w:rsid w:val="00541453"/>
    <w:rPr>
      <w:sz w:val="24"/>
    </w:rPr>
  </w:style>
  <w:style w:type="paragraph" w:customStyle="1" w:styleId="NORCCoverTitle">
    <w:name w:val="NORC Cover Title"/>
    <w:qFormat/>
    <w:rsid w:val="00A424F2"/>
    <w:pPr>
      <w:spacing w:line="360" w:lineRule="auto"/>
    </w:pPr>
    <w:rPr>
      <w:rFonts w:ascii="Garamond" w:hAnsi="Garamond"/>
      <w:sz w:val="56"/>
      <w:szCs w:val="24"/>
    </w:rPr>
  </w:style>
  <w:style w:type="paragraph" w:styleId="ListBullet">
    <w:name w:val="List Bullet"/>
    <w:basedOn w:val="Normal"/>
    <w:rsid w:val="005955D0"/>
    <w:pPr>
      <w:numPr>
        <w:numId w:val="30"/>
      </w:numPr>
      <w:spacing w:after="40" w:line="360" w:lineRule="auto"/>
    </w:pPr>
    <w:rPr>
      <w:rFonts w:eastAsiaTheme="minorHAnsi"/>
      <w:sz w:val="22"/>
      <w:szCs w:val="22"/>
    </w:rPr>
  </w:style>
  <w:style w:type="paragraph" w:styleId="ListParagraph">
    <w:name w:val="List Paragraph"/>
    <w:basedOn w:val="Normal"/>
    <w:uiPriority w:val="34"/>
    <w:qFormat/>
    <w:rsid w:val="000C2841"/>
    <w:pPr>
      <w:ind w:left="720"/>
      <w:contextualSpacing/>
    </w:pPr>
  </w:style>
  <w:style w:type="paragraph" w:customStyle="1" w:styleId="TableHeadCenter">
    <w:name w:val="Table Head Center"/>
    <w:basedOn w:val="Normal"/>
    <w:qFormat/>
    <w:rsid w:val="00D53E90"/>
    <w:pPr>
      <w:keepNext/>
      <w:keepLines/>
      <w:jc w:val="center"/>
    </w:pPr>
    <w:rPr>
      <w:rFonts w:ascii="Arial Narrow" w:hAnsi="Arial Narrow"/>
      <w:b/>
      <w:color w:val="000000" w:themeColor="text1"/>
      <w:sz w:val="20"/>
      <w:szCs w:val="20"/>
    </w:rPr>
  </w:style>
  <w:style w:type="paragraph" w:customStyle="1" w:styleId="TableHeadLeft">
    <w:name w:val="Table Head Left"/>
    <w:basedOn w:val="TableHeadCenter"/>
    <w:qFormat/>
    <w:rsid w:val="00D53E90"/>
    <w:pPr>
      <w:keepNext w:val="0"/>
      <w:jc w:val="left"/>
    </w:pPr>
  </w:style>
  <w:style w:type="paragraph" w:styleId="NoSpacing">
    <w:name w:val="No Spacing"/>
    <w:uiPriority w:val="1"/>
    <w:qFormat/>
    <w:rsid w:val="00D53E90"/>
    <w:rPr>
      <w:rFonts w:asciiTheme="minorHAnsi" w:eastAsiaTheme="minorHAnsi" w:hAnsiTheme="minorHAnsi" w:cstheme="minorBidi"/>
      <w:sz w:val="22"/>
      <w:szCs w:val="22"/>
    </w:rPr>
  </w:style>
  <w:style w:type="table" w:customStyle="1" w:styleId="NORCTableVerticalHighlight">
    <w:name w:val="NORC Table Vertical Highlight"/>
    <w:basedOn w:val="TableNormal"/>
    <w:uiPriority w:val="99"/>
    <w:rsid w:val="00D53E90"/>
    <w:rPr>
      <w:rFonts w:asciiTheme="minorHAnsi" w:eastAsiaTheme="minorHAnsi" w:hAnsiTheme="minorHAnsi" w:cstheme="minorBidi"/>
      <w:sz w:val="22"/>
      <w:szCs w:val="22"/>
    </w:rPr>
    <w:tblPr>
      <w:tblStyleRowBandSize w:val="1"/>
      <w:tblStyleColBandSize w:val="1"/>
      <w:jc w:val="center"/>
      <w:tblBorders>
        <w:bottom w:val="single" w:sz="4" w:space="0" w:color="auto"/>
        <w:insideH w:val="single" w:sz="4" w:space="0" w:color="auto"/>
      </w:tblBorders>
      <w:tblCellMar>
        <w:left w:w="29" w:type="dxa"/>
        <w:right w:w="29" w:type="dxa"/>
      </w:tblCellMar>
    </w:tblPr>
    <w:trPr>
      <w:cantSplit/>
      <w:jc w:val="center"/>
    </w:trPr>
    <w:tblStylePr w:type="firstRow">
      <w:pPr>
        <w:jc w:val="center"/>
      </w:pPr>
      <w:tblPr/>
      <w:trPr>
        <w:tblHeader/>
      </w:trPr>
      <w:tcPr>
        <w:tcBorders>
          <w:top w:val="nil"/>
          <w:left w:val="nil"/>
          <w:bottom w:val="nil"/>
          <w:right w:val="nil"/>
          <w:insideH w:val="nil"/>
          <w:insideV w:val="nil"/>
          <w:tl2br w:val="nil"/>
          <w:tr2bl w:val="nil"/>
        </w:tcBorders>
        <w:shd w:val="clear" w:color="auto" w:fill="E3E8E6"/>
        <w:vAlign w:val="bottom"/>
      </w:tcPr>
    </w:tblStylePr>
    <w:tblStylePr w:type="band1Vert">
      <w:tblPr/>
      <w:tcPr>
        <w:shd w:val="clear" w:color="auto" w:fill="E7E6E6" w:themeFill="background2"/>
      </w:tcPr>
    </w:tblStylePr>
  </w:style>
  <w:style w:type="paragraph" w:customStyle="1" w:styleId="NORCProposalBodyDouble-Garamond11pt">
    <w:name w:val="NORC Proposal Body Double - Garamond 11pt"/>
    <w:basedOn w:val="Normal"/>
    <w:qFormat/>
    <w:rsid w:val="00D53E90"/>
    <w:pPr>
      <w:tabs>
        <w:tab w:val="right" w:pos="9360"/>
      </w:tabs>
      <w:suppressAutoHyphens/>
      <w:spacing w:line="480" w:lineRule="auto"/>
      <w:ind w:firstLine="360"/>
    </w:pPr>
    <w:rPr>
      <w:rFonts w:cs="AGaramond-Regular"/>
      <w:szCs w:val="20"/>
    </w:rPr>
  </w:style>
  <w:style w:type="paragraph" w:customStyle="1" w:styleId="NORCProposalBody12ptGaramond">
    <w:name w:val="NORC Proposal Body 12pt Garamond"/>
    <w:basedOn w:val="Normal"/>
    <w:qFormat/>
    <w:rsid w:val="00D53E90"/>
    <w:pPr>
      <w:tabs>
        <w:tab w:val="right" w:pos="9360"/>
      </w:tabs>
      <w:spacing w:after="240"/>
    </w:pPr>
    <w:rPr>
      <w:rFonts w:cs="AGaramond-Regular"/>
      <w:szCs w:val="20"/>
    </w:rPr>
  </w:style>
  <w:style w:type="paragraph" w:customStyle="1" w:styleId="NormalDoubleSpaced">
    <w:name w:val="Normal Double Spaced"/>
    <w:basedOn w:val="Normal"/>
    <w:uiPriority w:val="99"/>
    <w:qFormat/>
    <w:rsid w:val="00D53E90"/>
    <w:pPr>
      <w:spacing w:line="480" w:lineRule="auto"/>
      <w:ind w:firstLine="288"/>
    </w:pPr>
    <w:rPr>
      <w:color w:val="000000" w:themeColor="text1"/>
      <w:sz w:val="22"/>
      <w:szCs w:val="20"/>
    </w:rPr>
  </w:style>
  <w:style w:type="paragraph" w:customStyle="1" w:styleId="TableNormalL">
    <w:name w:val="Table Normal L"/>
    <w:basedOn w:val="TableHeadCenter"/>
    <w:qFormat/>
    <w:rsid w:val="00D53E90"/>
    <w:pPr>
      <w:keepNext w:val="0"/>
      <w:keepLines w:val="0"/>
      <w:jc w:val="left"/>
    </w:pPr>
    <w:rPr>
      <w:b w:val="0"/>
      <w:color w:val="auto"/>
    </w:rPr>
  </w:style>
  <w:style w:type="character" w:customStyle="1" w:styleId="NORCCaption-Color">
    <w:name w:val="NORC Caption - Color"/>
    <w:qFormat/>
    <w:rsid w:val="009868FA"/>
    <w:rPr>
      <w:rFonts w:ascii="Arial Narrow" w:hAnsi="Arial Narrow"/>
      <w:b/>
      <w:color w:val="8AB3A4"/>
      <w:sz w:val="22"/>
    </w:rPr>
  </w:style>
  <w:style w:type="paragraph" w:customStyle="1" w:styleId="NORCTableBullet110ptNarrow">
    <w:name w:val="NORC Table Bullet 1 (10ptNarrow)"/>
    <w:basedOn w:val="Normal"/>
    <w:qFormat/>
    <w:rsid w:val="009868FA"/>
    <w:pPr>
      <w:framePr w:hSpace="180" w:wrap="around" w:vAnchor="text" w:hAnchor="margin" w:y="2375"/>
      <w:numPr>
        <w:numId w:val="41"/>
      </w:numPr>
      <w:tabs>
        <w:tab w:val="left" w:pos="144"/>
      </w:tabs>
      <w:suppressOverlap/>
    </w:pPr>
    <w:rPr>
      <w:rFonts w:ascii="Arial Narrow" w:hAnsi="Arial Narrow"/>
      <w:color w:val="000000"/>
      <w:sz w:val="20"/>
      <w:szCs w:val="20"/>
    </w:rPr>
  </w:style>
  <w:style w:type="paragraph" w:customStyle="1" w:styleId="NORCTableHeaderArial">
    <w:name w:val="NORC Table Header (Arial)"/>
    <w:basedOn w:val="Normal"/>
    <w:rsid w:val="009868FA"/>
    <w:pPr>
      <w:keepNext/>
      <w:spacing w:before="40" w:after="40"/>
      <w:jc w:val="center"/>
    </w:pPr>
    <w:rPr>
      <w:rFonts w:ascii="Arial" w:eastAsia="Calibri" w:hAnsi="Arial"/>
      <w:b/>
      <w:color w:val="000000"/>
      <w:sz w:val="18"/>
      <w:szCs w:val="22"/>
    </w:rPr>
  </w:style>
  <w:style w:type="paragraph" w:customStyle="1" w:styleId="NORCTableBodyLeft">
    <w:name w:val="NORC Table Body Left"/>
    <w:basedOn w:val="Normal"/>
    <w:qFormat/>
    <w:rsid w:val="009868FA"/>
    <w:pPr>
      <w:spacing w:before="40" w:after="40"/>
    </w:pPr>
    <w:rPr>
      <w:rFonts w:ascii="Arial" w:eastAsia="SimSun" w:hAnsi="Arial"/>
      <w:sz w:val="17"/>
      <w:szCs w:val="22"/>
    </w:rPr>
  </w:style>
  <w:style w:type="character" w:customStyle="1" w:styleId="FooterChar">
    <w:name w:val="Footer Char"/>
    <w:basedOn w:val="DefaultParagraphFont"/>
    <w:link w:val="Footer"/>
    <w:uiPriority w:val="99"/>
    <w:rsid w:val="00D86687"/>
    <w:rPr>
      <w:sz w:val="24"/>
      <w:szCs w:val="24"/>
    </w:rPr>
  </w:style>
  <w:style w:type="paragraph" w:styleId="Revision">
    <w:name w:val="Revision"/>
    <w:hidden/>
    <w:uiPriority w:val="99"/>
    <w:semiHidden/>
    <w:rsid w:val="00FC50B4"/>
    <w:rPr>
      <w:sz w:val="24"/>
      <w:szCs w:val="24"/>
    </w:rPr>
  </w:style>
  <w:style w:type="character" w:customStyle="1" w:styleId="Heading2Char">
    <w:name w:val="Heading 2 Char"/>
    <w:basedOn w:val="DefaultParagraphFont"/>
    <w:link w:val="Heading2"/>
    <w:rsid w:val="00D519AC"/>
    <w:rPr>
      <w:rFonts w:ascii="Arial" w:hAnsi="Arial" w:cs="Arial"/>
      <w:b/>
      <w:bCs/>
      <w:i/>
      <w:iCs/>
      <w:sz w:val="28"/>
      <w:szCs w:val="28"/>
    </w:rPr>
  </w:style>
  <w:style w:type="character" w:customStyle="1" w:styleId="Heading1Char">
    <w:name w:val="Heading 1 Char"/>
    <w:basedOn w:val="DefaultParagraphFont"/>
    <w:link w:val="Heading1"/>
    <w:rsid w:val="0080641B"/>
    <w:rPr>
      <w:rFonts w:ascii="Arial" w:hAnsi="Arial" w:cs="Arial"/>
      <w:b/>
      <w:bCs/>
      <w:kern w:val="32"/>
      <w:sz w:val="32"/>
      <w:szCs w:val="32"/>
    </w:rPr>
  </w:style>
  <w:style w:type="character" w:styleId="UnresolvedMention">
    <w:name w:val="Unresolved Mention"/>
    <w:basedOn w:val="DefaultParagraphFont"/>
    <w:uiPriority w:val="99"/>
    <w:semiHidden/>
    <w:unhideWhenUsed/>
    <w:rsid w:val="006B1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www.ahrq.gov/hrqa99.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bls.gov/oes/current/oes_nat.ht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ViewICR?ref_nbr=202107-0935-0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d14f105-b512-4c58-b648-3bdda2cf581d" xsi:nil="true"/>
    <lcf76f155ced4ddcb4097134ff3c332f xmlns="931aec66-2863-455c-9bb0-8c99df0ac3f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15" ma:contentTypeDescription="Create a new document." ma:contentTypeScope="" ma:versionID="55b68333573daf448f17457a03634415">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f80b10a2391ad13ce6f6009bdd5393f4"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233f0f-6bd0-4026-a550-8b5d019f9378}" ma:internalName="TaxCatchAll" ma:showField="CatchAllData" ma:web="5d14f105-b512-4c58-b648-3bdda2cf5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4831F-68BC-49C6-8ED9-75286CA386AE}">
  <ds:schemaRefs>
    <ds:schemaRef ds:uri="http://schemas.microsoft.com/sharepoint/v3/contenttype/forms"/>
  </ds:schemaRefs>
</ds:datastoreItem>
</file>

<file path=customXml/itemProps2.xml><?xml version="1.0" encoding="utf-8"?>
<ds:datastoreItem xmlns:ds="http://schemas.openxmlformats.org/officeDocument/2006/customXml" ds:itemID="{B3D42082-B97B-4B82-9FA2-011943F40AA6}">
  <ds:schemaRefs>
    <ds:schemaRef ds:uri="http://schemas.openxmlformats.org/officeDocument/2006/bibliography"/>
  </ds:schemaRefs>
</ds:datastoreItem>
</file>

<file path=customXml/itemProps3.xml><?xml version="1.0" encoding="utf-8"?>
<ds:datastoreItem xmlns:ds="http://schemas.openxmlformats.org/officeDocument/2006/customXml" ds:itemID="{6E362C26-4BB0-40F2-AEE9-E8AFF731BDBA}">
  <ds:schemaRefs>
    <ds:schemaRef ds:uri="http://schemas.microsoft.com/office/2006/metadata/properties"/>
    <ds:schemaRef ds:uri="http://schemas.microsoft.com/office/infopath/2007/PartnerControls"/>
    <ds:schemaRef ds:uri="5d14f105-b512-4c58-b648-3bdda2cf581d"/>
    <ds:schemaRef ds:uri="931aec66-2863-455c-9bb0-8c99df0ac3fd"/>
  </ds:schemaRefs>
</ds:datastoreItem>
</file>

<file path=customXml/itemProps4.xml><?xml version="1.0" encoding="utf-8"?>
<ds:datastoreItem xmlns:ds="http://schemas.openxmlformats.org/officeDocument/2006/customXml" ds:itemID="{CD3A964C-86CC-4E08-A9AF-2587F35D6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24</Pages>
  <Words>7784</Words>
  <Characters>45375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DHHS</Company>
  <LinksUpToDate>false</LinksUpToDate>
  <CharactersWithSpaces>53053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Brown, Erwin (AHRQ/CFACT)</cp:lastModifiedBy>
  <cp:revision>11</cp:revision>
  <cp:lastPrinted>2020-12-10T16:11:00Z</cp:lastPrinted>
  <dcterms:created xsi:type="dcterms:W3CDTF">2022-06-16T15:26:00Z</dcterms:created>
  <dcterms:modified xsi:type="dcterms:W3CDTF">2022-10-18T19:54:00Z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0x0101009DC06F82F74DC74D9A1715CAE0E542E2</vt:lpwstr>
  </property>
  <property fmtid="{D5CDD505-2E9C-101B-9397-08002B2CF9AE}" pid="3" name="MediaServiceImageTags">
    <vt:lpwstr/>
  </property>
</Properties>
</file>