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3DBE" w:rsidR="00E54408" w:rsidP="00E54408" w:rsidRDefault="00523C64" w14:paraId="4DC024C8" w14:textId="289D1BD6">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Comprehensive</w:t>
      </w:r>
      <w:r w:rsidRPr="00DE3DBE" w:rsidR="00E54408">
        <w:rPr>
          <w:rFonts w:ascii="Times New Roman" w:hAnsi="Times New Roman" w:cs="Times New Roman"/>
        </w:rPr>
        <w:t xml:space="preserve"> Public Comments and SSA Response</w:t>
      </w:r>
      <w:r w:rsidR="00591FE4">
        <w:rPr>
          <w:rFonts w:ascii="Times New Roman" w:hAnsi="Times New Roman" w:cs="Times New Roman"/>
        </w:rPr>
        <w:t>s</w:t>
      </w:r>
      <w:r w:rsidRPr="00DE3DBE" w:rsidR="00E54408">
        <w:rPr>
          <w:rFonts w:ascii="Times New Roman" w:hAnsi="Times New Roman" w:cs="Times New Roman"/>
        </w:rPr>
        <w:t xml:space="preserve"> for:</w:t>
      </w:r>
    </w:p>
    <w:p w:rsidRPr="00DE3DBE" w:rsidR="00E54408" w:rsidP="00E54408" w:rsidRDefault="00E54408" w14:paraId="5F4FD91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DE3DBE">
        <w:rPr>
          <w:rFonts w:ascii="Times New Roman" w:hAnsi="Times New Roman" w:cs="Times New Roman"/>
        </w:rPr>
        <w:t>Electronic Consent Based Social Security Number Verification</w:t>
      </w:r>
    </w:p>
    <w:p w:rsidRPr="00DE3DBE" w:rsidR="00E54408" w:rsidP="00E54408" w:rsidRDefault="00E54408" w14:paraId="1547DEF6" w14:textId="77777777">
      <w:pPr>
        <w:jc w:val="center"/>
        <w:rPr>
          <w:rFonts w:ascii="Times New Roman" w:hAnsi="Times New Roman"/>
          <w:b/>
        </w:rPr>
      </w:pPr>
    </w:p>
    <w:p w:rsidRPr="00DE3DBE" w:rsidR="00E54408" w:rsidP="00E54408" w:rsidRDefault="00E54408" w14:paraId="01413F2A" w14:textId="31D8FF35">
      <w:pPr>
        <w:jc w:val="center"/>
        <w:rPr>
          <w:rFonts w:ascii="Times New Roman" w:hAnsi="Times New Roman"/>
          <w:b/>
        </w:rPr>
      </w:pPr>
      <w:r w:rsidRPr="00DE3DBE">
        <w:rPr>
          <w:rFonts w:ascii="Times New Roman" w:hAnsi="Times New Roman"/>
          <w:b/>
        </w:rPr>
        <w:t>OMB No. 0960-0817</w:t>
      </w:r>
    </w:p>
    <w:p w:rsidRPr="00DE3DBE" w:rsidR="00925DCC" w:rsidP="00E54408" w:rsidRDefault="00925DCC" w14:paraId="6CC368EC" w14:textId="1F9D0951">
      <w:pPr>
        <w:jc w:val="center"/>
        <w:rPr>
          <w:rFonts w:ascii="Times New Roman" w:hAnsi="Times New Roman"/>
          <w:b/>
          <w:sz w:val="22"/>
          <w:szCs w:val="22"/>
        </w:rPr>
      </w:pPr>
    </w:p>
    <w:p w:rsidRPr="00DE3DBE" w:rsidR="00925DCC" w:rsidP="00925DCC" w:rsidRDefault="00925DCC" w14:paraId="667B2B56" w14:textId="533A04D0">
      <w:pPr>
        <w:rPr>
          <w:rFonts w:ascii="Times New Roman" w:hAnsi="Times New Roman"/>
          <w:bCs/>
          <w:color w:val="FF0000"/>
          <w:sz w:val="22"/>
          <w:szCs w:val="22"/>
        </w:rPr>
      </w:pPr>
      <w:r w:rsidRPr="00DE3DBE">
        <w:rPr>
          <w:rFonts w:ascii="Times New Roman" w:hAnsi="Times New Roman"/>
          <w:b/>
          <w:i/>
          <w:iCs/>
          <w:color w:val="FF0000"/>
          <w:sz w:val="22"/>
          <w:szCs w:val="22"/>
        </w:rPr>
        <w:t>Note:</w:t>
      </w:r>
      <w:r w:rsidRPr="00DE3DBE">
        <w:rPr>
          <w:rFonts w:ascii="Times New Roman" w:hAnsi="Times New Roman"/>
          <w:bCs/>
          <w:i/>
          <w:iCs/>
          <w:color w:val="FF0000"/>
          <w:sz w:val="22"/>
          <w:szCs w:val="22"/>
        </w:rPr>
        <w:t xml:space="preserve">  This document compiles and summarizes public comments </w:t>
      </w:r>
      <w:r w:rsidR="00365467">
        <w:rPr>
          <w:rFonts w:ascii="Times New Roman" w:hAnsi="Times New Roman"/>
          <w:bCs/>
          <w:i/>
          <w:iCs/>
          <w:color w:val="FF0000"/>
          <w:sz w:val="22"/>
          <w:szCs w:val="22"/>
        </w:rPr>
        <w:t xml:space="preserve">on eCBSV </w:t>
      </w:r>
      <w:r w:rsidRPr="00DE3DBE">
        <w:rPr>
          <w:rFonts w:ascii="Times New Roman" w:hAnsi="Times New Roman"/>
          <w:bCs/>
          <w:i/>
          <w:iCs/>
          <w:color w:val="FF0000"/>
          <w:sz w:val="22"/>
          <w:szCs w:val="22"/>
        </w:rPr>
        <w:t xml:space="preserve">from the following sources:  </w:t>
      </w:r>
      <w:r w:rsidR="00523C64">
        <w:rPr>
          <w:rFonts w:ascii="Times New Roman" w:hAnsi="Times New Roman"/>
          <w:bCs/>
          <w:i/>
          <w:iCs/>
          <w:color w:val="FF0000"/>
          <w:sz w:val="22"/>
          <w:szCs w:val="22"/>
        </w:rPr>
        <w:t xml:space="preserve">1) </w:t>
      </w:r>
      <w:r w:rsidRPr="00DE3DBE">
        <w:rPr>
          <w:rFonts w:ascii="Times New Roman" w:hAnsi="Times New Roman"/>
          <w:bCs/>
          <w:i/>
          <w:iCs/>
          <w:color w:val="FF0000"/>
          <w:sz w:val="22"/>
          <w:szCs w:val="22"/>
        </w:rPr>
        <w:t>written comments submitted to SSA during two public comment periods following publication of the requisite Paperwork Reduction Act (PRA) Federal Register Notices (</w:t>
      </w:r>
      <w:hyperlink w:history="1" r:id="rId7">
        <w:r w:rsidRPr="00362257" w:rsidR="00362257">
          <w:rPr>
            <w:rStyle w:val="Hyperlink"/>
            <w:rFonts w:ascii="Times New Roman" w:hAnsi="Times New Roman"/>
            <w:b/>
            <w:i/>
            <w:iCs/>
            <w:sz w:val="22"/>
            <w:szCs w:val="22"/>
          </w:rPr>
          <w:t>Federal Register Notice 1</w:t>
        </w:r>
      </w:hyperlink>
      <w:r w:rsidR="002D6A68">
        <w:rPr>
          <w:rFonts w:ascii="Times New Roman" w:hAnsi="Times New Roman"/>
          <w:b/>
          <w:i/>
          <w:iCs/>
          <w:color w:val="FF0000"/>
          <w:sz w:val="22"/>
          <w:szCs w:val="22"/>
        </w:rPr>
        <w:t>;</w:t>
      </w:r>
      <w:r w:rsidR="00362257">
        <w:rPr>
          <w:rFonts w:ascii="Times New Roman" w:hAnsi="Times New Roman"/>
          <w:b/>
          <w:i/>
          <w:iCs/>
          <w:color w:val="FF0000"/>
          <w:sz w:val="22"/>
          <w:szCs w:val="22"/>
        </w:rPr>
        <w:t xml:space="preserve"> </w:t>
      </w:r>
      <w:hyperlink w:history="1" r:id="rId8">
        <w:r w:rsidRPr="00362257" w:rsidR="00362257">
          <w:rPr>
            <w:rStyle w:val="Hyperlink"/>
            <w:rFonts w:ascii="Times New Roman" w:hAnsi="Times New Roman"/>
            <w:b/>
            <w:i/>
            <w:iCs/>
            <w:sz w:val="22"/>
            <w:szCs w:val="22"/>
          </w:rPr>
          <w:t>Federal Register Notice 2</w:t>
        </w:r>
      </w:hyperlink>
      <w:r w:rsidRPr="00FE6368" w:rsidR="00FE6368">
        <w:rPr>
          <w:rFonts w:ascii="Times New Roman" w:hAnsi="Times New Roman"/>
          <w:bCs/>
          <w:i/>
          <w:iCs/>
          <w:color w:val="FF0000"/>
          <w:sz w:val="22"/>
          <w:szCs w:val="22"/>
        </w:rPr>
        <w:t>)</w:t>
      </w:r>
      <w:r w:rsidRPr="00DE3DBE">
        <w:rPr>
          <w:rFonts w:ascii="Times New Roman" w:hAnsi="Times New Roman"/>
          <w:bCs/>
          <w:i/>
          <w:iCs/>
          <w:color w:val="FF0000"/>
          <w:sz w:val="22"/>
          <w:szCs w:val="22"/>
        </w:rPr>
        <w:t xml:space="preserve">; </w:t>
      </w:r>
      <w:r w:rsidR="00523C64">
        <w:rPr>
          <w:rFonts w:ascii="Times New Roman" w:hAnsi="Times New Roman"/>
          <w:bCs/>
          <w:i/>
          <w:iCs/>
          <w:color w:val="FF0000"/>
          <w:sz w:val="22"/>
          <w:szCs w:val="22"/>
        </w:rPr>
        <w:t xml:space="preserve">2) </w:t>
      </w:r>
      <w:r w:rsidRPr="00DE3DBE">
        <w:rPr>
          <w:rFonts w:ascii="Times New Roman" w:hAnsi="Times New Roman"/>
          <w:bCs/>
          <w:i/>
          <w:iCs/>
          <w:color w:val="FF0000"/>
          <w:sz w:val="22"/>
          <w:szCs w:val="22"/>
        </w:rPr>
        <w:t xml:space="preserve">a listening session </w:t>
      </w:r>
      <w:r w:rsidR="00523C64">
        <w:rPr>
          <w:rFonts w:ascii="Times New Roman" w:hAnsi="Times New Roman"/>
          <w:bCs/>
          <w:i/>
          <w:iCs/>
          <w:color w:val="FF0000"/>
          <w:sz w:val="22"/>
          <w:szCs w:val="22"/>
        </w:rPr>
        <w:t>the</w:t>
      </w:r>
      <w:r w:rsidRPr="00DE3DBE">
        <w:rPr>
          <w:rFonts w:ascii="Times New Roman" w:hAnsi="Times New Roman"/>
          <w:bCs/>
          <w:i/>
          <w:iCs/>
          <w:color w:val="FF0000"/>
          <w:sz w:val="22"/>
          <w:szCs w:val="22"/>
        </w:rPr>
        <w:t xml:space="preserve"> Big Tent Coalition (BTC) </w:t>
      </w:r>
      <w:r w:rsidR="00523C64">
        <w:rPr>
          <w:rFonts w:ascii="Times New Roman" w:hAnsi="Times New Roman"/>
          <w:bCs/>
          <w:i/>
          <w:iCs/>
          <w:color w:val="FF0000"/>
          <w:sz w:val="22"/>
          <w:szCs w:val="22"/>
        </w:rPr>
        <w:t>requested from</w:t>
      </w:r>
      <w:r w:rsidRPr="00DE3DBE">
        <w:rPr>
          <w:rFonts w:ascii="Times New Roman" w:hAnsi="Times New Roman"/>
          <w:bCs/>
          <w:i/>
          <w:iCs/>
          <w:color w:val="FF0000"/>
          <w:sz w:val="22"/>
          <w:szCs w:val="22"/>
        </w:rPr>
        <w:t xml:space="preserve"> the Office of Management and Budget, with SSA in attendance, held on April 30, 2021; and</w:t>
      </w:r>
      <w:r w:rsidR="00523C64">
        <w:rPr>
          <w:rFonts w:ascii="Times New Roman" w:hAnsi="Times New Roman"/>
          <w:bCs/>
          <w:i/>
          <w:iCs/>
          <w:color w:val="FF0000"/>
          <w:sz w:val="22"/>
          <w:szCs w:val="22"/>
        </w:rPr>
        <w:t xml:space="preserve"> 3)</w:t>
      </w:r>
      <w:r w:rsidRPr="00DE3DBE">
        <w:rPr>
          <w:rFonts w:ascii="Times New Roman" w:hAnsi="Times New Roman"/>
          <w:bCs/>
          <w:i/>
          <w:iCs/>
          <w:color w:val="FF0000"/>
          <w:sz w:val="22"/>
          <w:szCs w:val="22"/>
        </w:rPr>
        <w:t xml:space="preserve"> two eCBSV discussions between the BTC and SSA, held on April 22, 2021 and May 6, 2021.</w:t>
      </w:r>
    </w:p>
    <w:p w:rsidRPr="00DE3DBE" w:rsidR="00C11340" w:rsidP="00E54408" w:rsidRDefault="00C11340" w14:paraId="6DAB8340" w14:textId="67D7210A">
      <w:pPr>
        <w:jc w:val="center"/>
        <w:rPr>
          <w:rFonts w:ascii="Times New Roman" w:hAnsi="Times New Roman"/>
          <w:b/>
          <w:sz w:val="22"/>
          <w:szCs w:val="22"/>
        </w:rPr>
      </w:pPr>
    </w:p>
    <w:p w:rsidRPr="00DE3DBE" w:rsidR="00C11340" w:rsidP="00C11340" w:rsidRDefault="00C11340" w14:paraId="431B60F6" w14:textId="683E1329">
      <w:pPr>
        <w:rPr>
          <w:rFonts w:ascii="Times New Roman" w:hAnsi="Times New Roman"/>
          <w:b/>
          <w:sz w:val="22"/>
          <w:szCs w:val="22"/>
        </w:rPr>
      </w:pPr>
      <w:r w:rsidRPr="00DE3DBE">
        <w:rPr>
          <w:rFonts w:ascii="Times New Roman" w:hAnsi="Times New Roman"/>
          <w:b/>
          <w:sz w:val="22"/>
          <w:szCs w:val="22"/>
          <w:highlight w:val="yellow"/>
        </w:rPr>
        <w:t>Part I:  Comments Relating to the Current Information Collection Request (</w:t>
      </w:r>
      <w:r w:rsidR="00615721">
        <w:rPr>
          <w:rFonts w:ascii="Times New Roman" w:hAnsi="Times New Roman"/>
          <w:b/>
          <w:sz w:val="22"/>
          <w:szCs w:val="22"/>
          <w:highlight w:val="yellow"/>
        </w:rPr>
        <w:t>i</w:t>
      </w:r>
      <w:r w:rsidR="00BF0C2B">
        <w:rPr>
          <w:rFonts w:ascii="Times New Roman" w:hAnsi="Times New Roman"/>
          <w:b/>
          <w:sz w:val="22"/>
          <w:szCs w:val="22"/>
          <w:highlight w:val="yellow"/>
        </w:rPr>
        <w:t xml:space="preserve">.e., </w:t>
      </w:r>
      <w:r w:rsidRPr="00DE3DBE">
        <w:rPr>
          <w:rFonts w:ascii="Times New Roman" w:hAnsi="Times New Roman"/>
          <w:b/>
          <w:sz w:val="22"/>
          <w:szCs w:val="22"/>
          <w:highlight w:val="yellow"/>
        </w:rPr>
        <w:t>New Material</w:t>
      </w:r>
      <w:r w:rsidR="00591FE4">
        <w:rPr>
          <w:rFonts w:ascii="Times New Roman" w:hAnsi="Times New Roman"/>
          <w:b/>
          <w:sz w:val="22"/>
          <w:szCs w:val="22"/>
          <w:highlight w:val="yellow"/>
        </w:rPr>
        <w:t xml:space="preserve"> for eCBSV Phase II</w:t>
      </w:r>
      <w:r w:rsidRPr="00DE3DBE">
        <w:rPr>
          <w:rFonts w:ascii="Times New Roman" w:hAnsi="Times New Roman"/>
          <w:b/>
          <w:sz w:val="22"/>
          <w:szCs w:val="22"/>
          <w:highlight w:val="yellow"/>
        </w:rPr>
        <w:t>)</w:t>
      </w:r>
    </w:p>
    <w:p w:rsidRPr="00DE3DBE" w:rsidR="001761CC" w:rsidP="00DC102C" w:rsidRDefault="001761CC" w14:paraId="0358281B" w14:textId="2CF76143">
      <w:pPr>
        <w:jc w:val="center"/>
        <w:rPr>
          <w:rFonts w:ascii="Times New Roman" w:hAnsi="Times New Roman"/>
          <w:sz w:val="22"/>
          <w:szCs w:val="22"/>
        </w:rPr>
      </w:pPr>
    </w:p>
    <w:tbl>
      <w:tblPr>
        <w:tblStyle w:val="TableGrid"/>
        <w:tblW w:w="0" w:type="auto"/>
        <w:tblLook w:val="04A0" w:firstRow="1" w:lastRow="0" w:firstColumn="1" w:lastColumn="0" w:noHBand="0" w:noVBand="1"/>
      </w:tblPr>
      <w:tblGrid>
        <w:gridCol w:w="3588"/>
        <w:gridCol w:w="3822"/>
        <w:gridCol w:w="1991"/>
        <w:gridCol w:w="3549"/>
      </w:tblGrid>
      <w:tr w:rsidRPr="00DE3DBE" w:rsidR="00C95F71" w:rsidTr="003B31FE" w14:paraId="7CE93B28" w14:textId="38B46A89">
        <w:trPr>
          <w:tblHeader/>
        </w:trPr>
        <w:tc>
          <w:tcPr>
            <w:tcW w:w="0" w:type="auto"/>
            <w:shd w:val="clear" w:color="auto" w:fill="FFFF00"/>
          </w:tcPr>
          <w:p w:rsidRPr="00DE3DBE" w:rsidR="00E54408" w:rsidP="00DC102C" w:rsidRDefault="00E54408" w14:paraId="2F21D7EA" w14:textId="267BA089">
            <w:pPr>
              <w:jc w:val="center"/>
              <w:rPr>
                <w:rFonts w:ascii="Times New Roman" w:hAnsi="Times New Roman"/>
                <w:b/>
                <w:bCs/>
                <w:sz w:val="22"/>
                <w:szCs w:val="22"/>
              </w:rPr>
            </w:pPr>
            <w:r w:rsidRPr="00DE3DBE">
              <w:rPr>
                <w:rFonts w:ascii="Times New Roman" w:hAnsi="Times New Roman"/>
                <w:b/>
                <w:bCs/>
                <w:sz w:val="22"/>
                <w:szCs w:val="22"/>
              </w:rPr>
              <w:t>Commenter Concern</w:t>
            </w:r>
          </w:p>
        </w:tc>
        <w:tc>
          <w:tcPr>
            <w:tcW w:w="0" w:type="auto"/>
            <w:shd w:val="clear" w:color="auto" w:fill="FFFF00"/>
          </w:tcPr>
          <w:p w:rsidRPr="00DE3DBE" w:rsidR="00E54408" w:rsidP="00DC102C" w:rsidRDefault="00E54408" w14:paraId="4064FA75" w14:textId="424E9FE8">
            <w:pPr>
              <w:jc w:val="center"/>
              <w:rPr>
                <w:rFonts w:ascii="Times New Roman" w:hAnsi="Times New Roman"/>
                <w:b/>
                <w:bCs/>
                <w:sz w:val="22"/>
                <w:szCs w:val="22"/>
              </w:rPr>
            </w:pPr>
            <w:r w:rsidRPr="00DE3DBE">
              <w:rPr>
                <w:rFonts w:ascii="Times New Roman" w:hAnsi="Times New Roman"/>
                <w:b/>
                <w:bCs/>
                <w:sz w:val="22"/>
                <w:szCs w:val="22"/>
              </w:rPr>
              <w:t>SSA Response</w:t>
            </w:r>
          </w:p>
        </w:tc>
        <w:tc>
          <w:tcPr>
            <w:tcW w:w="0" w:type="auto"/>
            <w:shd w:val="clear" w:color="auto" w:fill="FFFF00"/>
          </w:tcPr>
          <w:p w:rsidRPr="00DE3DBE" w:rsidR="00E54408" w:rsidP="00DC102C" w:rsidRDefault="00E54408" w14:paraId="6BF207D2" w14:textId="55BCA73F">
            <w:pPr>
              <w:jc w:val="center"/>
              <w:rPr>
                <w:rFonts w:ascii="Times New Roman" w:hAnsi="Times New Roman"/>
                <w:b/>
                <w:bCs/>
                <w:sz w:val="22"/>
                <w:szCs w:val="22"/>
              </w:rPr>
            </w:pPr>
            <w:r w:rsidRPr="00DE3DBE">
              <w:rPr>
                <w:rFonts w:ascii="Times New Roman" w:hAnsi="Times New Roman"/>
                <w:b/>
                <w:bCs/>
                <w:sz w:val="22"/>
                <w:szCs w:val="22"/>
              </w:rPr>
              <w:t>Final Resolution of Issue</w:t>
            </w:r>
          </w:p>
        </w:tc>
        <w:tc>
          <w:tcPr>
            <w:tcW w:w="0" w:type="auto"/>
            <w:shd w:val="clear" w:color="auto" w:fill="FFFF00"/>
          </w:tcPr>
          <w:p w:rsidRPr="00DE3DBE" w:rsidR="00E54408" w:rsidP="00DC102C" w:rsidRDefault="00E54408" w14:paraId="7C67EACC" w14:textId="11E465E8">
            <w:pPr>
              <w:jc w:val="center"/>
              <w:rPr>
                <w:rFonts w:ascii="Times New Roman" w:hAnsi="Times New Roman"/>
                <w:b/>
                <w:bCs/>
                <w:sz w:val="22"/>
                <w:szCs w:val="22"/>
              </w:rPr>
            </w:pPr>
            <w:r w:rsidRPr="00DE3DBE">
              <w:rPr>
                <w:rFonts w:ascii="Times New Roman" w:hAnsi="Times New Roman"/>
                <w:b/>
                <w:bCs/>
                <w:sz w:val="22"/>
                <w:szCs w:val="22"/>
              </w:rPr>
              <w:t>Reason for Inability to Fully Compromise</w:t>
            </w:r>
            <w:r w:rsidRPr="00DE3DBE" w:rsidR="003B31FE">
              <w:rPr>
                <w:rFonts w:ascii="Times New Roman" w:hAnsi="Times New Roman"/>
                <w:b/>
                <w:bCs/>
                <w:sz w:val="22"/>
                <w:szCs w:val="22"/>
              </w:rPr>
              <w:t>, If Applicable</w:t>
            </w:r>
          </w:p>
        </w:tc>
      </w:tr>
      <w:tr w:rsidRPr="00DE3DBE" w:rsidR="00C95F71" w:rsidTr="00E54408" w14:paraId="684B63A4" w14:textId="39A79CEE">
        <w:tc>
          <w:tcPr>
            <w:tcW w:w="0" w:type="auto"/>
          </w:tcPr>
          <w:p w:rsidRPr="00C95F71" w:rsidR="00E54408" w:rsidP="00DC102C" w:rsidRDefault="00E54408" w14:paraId="1A8F79E0" w14:textId="635B51D0">
            <w:pPr>
              <w:rPr>
                <w:rFonts w:ascii="Times New Roman" w:hAnsi="Times New Roman"/>
                <w:sz w:val="22"/>
                <w:szCs w:val="22"/>
              </w:rPr>
            </w:pPr>
            <w:r w:rsidRPr="00DE3DBE">
              <w:rPr>
                <w:rFonts w:ascii="Times New Roman" w:hAnsi="Times New Roman"/>
                <w:b/>
                <w:bCs/>
                <w:sz w:val="22"/>
                <w:szCs w:val="22"/>
              </w:rPr>
              <w:t>Comment #1:</w:t>
            </w:r>
            <w:r w:rsidRPr="00DE3DBE">
              <w:rPr>
                <w:rFonts w:ascii="Times New Roman" w:hAnsi="Times New Roman"/>
                <w:sz w:val="22"/>
                <w:szCs w:val="22"/>
              </w:rPr>
              <w:t xml:space="preserve"> </w:t>
            </w:r>
            <w:r w:rsidR="00523C64">
              <w:rPr>
                <w:rFonts w:ascii="Times New Roman" w:hAnsi="Times New Roman"/>
                <w:sz w:val="22"/>
                <w:szCs w:val="22"/>
              </w:rPr>
              <w:t>The BTC objected to restrictions</w:t>
            </w:r>
            <w:r w:rsidRPr="00DE3DBE">
              <w:rPr>
                <w:rFonts w:ascii="Times New Roman" w:hAnsi="Times New Roman"/>
                <w:sz w:val="22"/>
                <w:szCs w:val="22"/>
              </w:rPr>
              <w:t xml:space="preserve"> on the “transferring” and “processing” of SSN Verifications or Written Consents</w:t>
            </w:r>
            <w:r w:rsidR="00E073A3">
              <w:rPr>
                <w:rFonts w:ascii="Times New Roman" w:hAnsi="Times New Roman"/>
                <w:sz w:val="22"/>
                <w:szCs w:val="22"/>
              </w:rPr>
              <w:t>, stating th</w:t>
            </w:r>
            <w:r w:rsidR="00F84C11">
              <w:rPr>
                <w:rFonts w:ascii="Times New Roman" w:hAnsi="Times New Roman"/>
                <w:sz w:val="22"/>
                <w:szCs w:val="22"/>
              </w:rPr>
              <w:t>ese restrictions</w:t>
            </w:r>
            <w:r w:rsidRPr="00DE3DBE">
              <w:rPr>
                <w:rFonts w:ascii="Times New Roman" w:hAnsi="Times New Roman"/>
                <w:sz w:val="22"/>
                <w:szCs w:val="22"/>
              </w:rPr>
              <w:t xml:space="preserve"> will harm American</w:t>
            </w:r>
            <w:r w:rsidR="00523C64">
              <w:rPr>
                <w:rFonts w:ascii="Times New Roman" w:hAnsi="Times New Roman"/>
                <w:sz w:val="22"/>
                <w:szCs w:val="22"/>
              </w:rPr>
              <w:t xml:space="preserve"> consumers </w:t>
            </w:r>
            <w:r w:rsidRPr="00DE3DBE">
              <w:rPr>
                <w:rFonts w:ascii="Times New Roman" w:hAnsi="Times New Roman"/>
                <w:sz w:val="22"/>
                <w:szCs w:val="22"/>
              </w:rPr>
              <w:t>abroad</w:t>
            </w:r>
            <w:r w:rsidR="008E794E">
              <w:rPr>
                <w:rFonts w:ascii="Times New Roman" w:hAnsi="Times New Roman"/>
                <w:sz w:val="22"/>
                <w:szCs w:val="22"/>
              </w:rPr>
              <w:t xml:space="preserve"> who will be transacting business with Permitted Entities (PEs) or Financial Institutions (FIs)</w:t>
            </w:r>
            <w:r w:rsidRPr="00DE3DBE">
              <w:rPr>
                <w:rFonts w:ascii="Times New Roman" w:hAnsi="Times New Roman"/>
                <w:sz w:val="22"/>
                <w:szCs w:val="22"/>
              </w:rPr>
              <w:t>, such as service members</w:t>
            </w:r>
            <w:r w:rsidR="00747451">
              <w:rPr>
                <w:rFonts w:ascii="Times New Roman" w:hAnsi="Times New Roman"/>
                <w:sz w:val="22"/>
                <w:szCs w:val="22"/>
              </w:rPr>
              <w:t xml:space="preserve"> or vacationers</w:t>
            </w:r>
            <w:r w:rsidR="008E794E">
              <w:rPr>
                <w:rFonts w:ascii="Times New Roman" w:hAnsi="Times New Roman"/>
                <w:sz w:val="22"/>
                <w:szCs w:val="22"/>
              </w:rPr>
              <w:t xml:space="preserve">.  This </w:t>
            </w:r>
            <w:r w:rsidR="0019338D">
              <w:rPr>
                <w:rFonts w:ascii="Times New Roman" w:hAnsi="Times New Roman"/>
                <w:sz w:val="22"/>
                <w:szCs w:val="22"/>
              </w:rPr>
              <w:t xml:space="preserve">could </w:t>
            </w:r>
            <w:r w:rsidRPr="00DE3DBE" w:rsidR="0019338D">
              <w:rPr>
                <w:rFonts w:ascii="Times New Roman" w:hAnsi="Times New Roman"/>
                <w:sz w:val="22"/>
                <w:szCs w:val="22"/>
              </w:rPr>
              <w:t>even</w:t>
            </w:r>
            <w:r w:rsidRPr="00DE3DBE">
              <w:rPr>
                <w:rFonts w:ascii="Times New Roman" w:hAnsi="Times New Roman"/>
                <w:sz w:val="22"/>
                <w:szCs w:val="22"/>
              </w:rPr>
              <w:t xml:space="preserve"> lead to the perpetuation of fraud from outside the jurisdiction of the United States.</w:t>
            </w:r>
            <w:r w:rsidR="00523C64">
              <w:rPr>
                <w:rFonts w:ascii="Times New Roman" w:hAnsi="Times New Roman"/>
                <w:sz w:val="22"/>
                <w:szCs w:val="22"/>
              </w:rPr>
              <w:t xml:space="preserve">  The BTC similarly objected to the requirement that data be stored within the United States.</w:t>
            </w:r>
            <w:r w:rsidR="00C95F71">
              <w:rPr>
                <w:rFonts w:ascii="Times New Roman" w:hAnsi="Times New Roman"/>
                <w:sz w:val="22"/>
                <w:szCs w:val="22"/>
              </w:rPr>
              <w:t xml:space="preserve"> (</w:t>
            </w:r>
            <w:r w:rsidR="00C95F71">
              <w:rPr>
                <w:rFonts w:ascii="Times New Roman" w:hAnsi="Times New Roman"/>
                <w:i/>
                <w:iCs/>
                <w:sz w:val="22"/>
                <w:szCs w:val="22"/>
              </w:rPr>
              <w:t>see sections III.A.22 and V.A.5.</w:t>
            </w:r>
            <w:r w:rsidR="00C95F71">
              <w:rPr>
                <w:rFonts w:ascii="Times New Roman" w:hAnsi="Times New Roman"/>
                <w:sz w:val="22"/>
                <w:szCs w:val="22"/>
              </w:rPr>
              <w:t>)</w:t>
            </w:r>
          </w:p>
        </w:tc>
        <w:tc>
          <w:tcPr>
            <w:tcW w:w="0" w:type="auto"/>
          </w:tcPr>
          <w:p w:rsidRPr="00DE3DBE" w:rsidR="00E54408" w:rsidP="00E54408" w:rsidRDefault="00E54408" w14:paraId="679CCA44" w14:textId="7D28C1C5">
            <w:pPr>
              <w:rPr>
                <w:rFonts w:ascii="Times New Roman" w:hAnsi="Times New Roman"/>
                <w:sz w:val="22"/>
                <w:szCs w:val="22"/>
              </w:rPr>
            </w:pPr>
            <w:r w:rsidRPr="00DE3DBE">
              <w:rPr>
                <w:rFonts w:ascii="Times New Roman" w:hAnsi="Times New Roman"/>
                <w:b/>
                <w:bCs/>
                <w:color w:val="0070C0"/>
                <w:sz w:val="22"/>
                <w:szCs w:val="22"/>
              </w:rPr>
              <w:t xml:space="preserve">Response #1:  </w:t>
            </w:r>
            <w:r w:rsidRPr="00DE3DBE">
              <w:rPr>
                <w:rFonts w:ascii="Times New Roman" w:hAnsi="Times New Roman"/>
                <w:sz w:val="22"/>
                <w:szCs w:val="22"/>
              </w:rPr>
              <w:t xml:space="preserve">SSA is not placing restrictions on the location of the </w:t>
            </w:r>
            <w:r w:rsidRPr="00DE3DBE">
              <w:rPr>
                <w:rFonts w:ascii="Times New Roman" w:hAnsi="Times New Roman"/>
                <w:i/>
                <w:iCs/>
                <w:sz w:val="22"/>
                <w:szCs w:val="22"/>
              </w:rPr>
              <w:t>consumer</w:t>
            </w:r>
            <w:r w:rsidRPr="00DE3DBE">
              <w:rPr>
                <w:rFonts w:ascii="Times New Roman" w:hAnsi="Times New Roman"/>
                <w:sz w:val="22"/>
                <w:szCs w:val="22"/>
              </w:rPr>
              <w:t xml:space="preserve">.  The consumer can be anywhere, and it is the responsibility of the Permitted Entity to ensure all data is encrypted at rest and in transit.  Rather, SSA’s requirement applies only to where the SSA data is </w:t>
            </w:r>
            <w:r w:rsidRPr="00DE3DBE">
              <w:rPr>
                <w:rFonts w:ascii="Times New Roman" w:hAnsi="Times New Roman"/>
                <w:i/>
                <w:iCs/>
                <w:sz w:val="22"/>
                <w:szCs w:val="22"/>
                <w:u w:val="single"/>
              </w:rPr>
              <w:t>stored</w:t>
            </w:r>
            <w:r w:rsidRPr="00DE3DBE">
              <w:rPr>
                <w:rFonts w:ascii="Times New Roman" w:hAnsi="Times New Roman"/>
                <w:sz w:val="22"/>
                <w:szCs w:val="22"/>
              </w:rPr>
              <w:t xml:space="preserve">.  Internet and infrastructure, and the processing of requests from consumers overseas, are not in </w:t>
            </w:r>
            <w:r w:rsidR="0082244A">
              <w:rPr>
                <w:rFonts w:ascii="Times New Roman" w:hAnsi="Times New Roman"/>
                <w:sz w:val="22"/>
                <w:szCs w:val="22"/>
              </w:rPr>
              <w:t xml:space="preserve">the </w:t>
            </w:r>
            <w:r w:rsidRPr="00DE3DBE">
              <w:rPr>
                <w:rFonts w:ascii="Times New Roman" w:hAnsi="Times New Roman"/>
                <w:sz w:val="22"/>
                <w:szCs w:val="22"/>
              </w:rPr>
              <w:t>scope of this requirement.</w:t>
            </w:r>
          </w:p>
          <w:p w:rsidRPr="00DE3DBE" w:rsidR="00E54408" w:rsidP="00E54408" w:rsidRDefault="00E54408" w14:paraId="781551C7" w14:textId="77777777">
            <w:pPr>
              <w:rPr>
                <w:rFonts w:ascii="Times New Roman" w:hAnsi="Times New Roman"/>
                <w:sz w:val="22"/>
                <w:szCs w:val="22"/>
              </w:rPr>
            </w:pPr>
          </w:p>
          <w:p w:rsidRPr="00DE3DBE" w:rsidR="00AE3E53" w:rsidP="00A873E0" w:rsidRDefault="00E54408" w14:paraId="0D434219" w14:textId="01156828">
            <w:pPr>
              <w:rPr>
                <w:rFonts w:ascii="Times New Roman" w:hAnsi="Times New Roman"/>
                <w:sz w:val="22"/>
                <w:szCs w:val="22"/>
              </w:rPr>
            </w:pPr>
            <w:r w:rsidRPr="00DE3DBE">
              <w:rPr>
                <w:rFonts w:ascii="Times New Roman" w:hAnsi="Times New Roman"/>
                <w:sz w:val="22"/>
                <w:szCs w:val="22"/>
              </w:rPr>
              <w:t xml:space="preserve">To clarify this policy, SSA agrees to remove the references to “processing” and “transferring” from the relevant section of the User Agreement.  However, we will still require Permitted Entities to ensure that data is </w:t>
            </w:r>
            <w:r w:rsidRPr="00DE3DBE">
              <w:rPr>
                <w:rFonts w:ascii="Times New Roman" w:hAnsi="Times New Roman"/>
                <w:i/>
                <w:iCs/>
                <w:sz w:val="22"/>
                <w:szCs w:val="22"/>
              </w:rPr>
              <w:t>stored</w:t>
            </w:r>
            <w:r w:rsidRPr="00DE3DBE">
              <w:rPr>
                <w:rFonts w:ascii="Times New Roman" w:hAnsi="Times New Roman"/>
                <w:sz w:val="22"/>
                <w:szCs w:val="22"/>
              </w:rPr>
              <w:t xml:space="preserve"> within the continental United States, Hawaii, Alaska, Puerto Rico, Guam, and the U.S. Virgin Islands.</w:t>
            </w:r>
            <w:r w:rsidR="00E01B58">
              <w:rPr>
                <w:rFonts w:ascii="Times New Roman" w:hAnsi="Times New Roman"/>
                <w:sz w:val="22"/>
                <w:szCs w:val="22"/>
              </w:rPr>
              <w:t xml:space="preserve"> </w:t>
            </w:r>
            <w:r w:rsidR="00A873E0">
              <w:rPr>
                <w:rFonts w:ascii="Times New Roman" w:hAnsi="Times New Roman"/>
                <w:sz w:val="22"/>
                <w:szCs w:val="22"/>
              </w:rPr>
              <w:t xml:space="preserve"> </w:t>
            </w:r>
          </w:p>
        </w:tc>
        <w:tc>
          <w:tcPr>
            <w:tcW w:w="0" w:type="auto"/>
          </w:tcPr>
          <w:p w:rsidRPr="00DE3DBE" w:rsidR="00E54408" w:rsidP="00E54408" w:rsidRDefault="00E54408" w14:paraId="3BA61D67" w14:textId="11C53C6E">
            <w:pPr>
              <w:rPr>
                <w:rFonts w:ascii="Times New Roman" w:hAnsi="Times New Roman"/>
                <w:sz w:val="22"/>
                <w:szCs w:val="22"/>
              </w:rPr>
            </w:pPr>
            <w:r w:rsidRPr="00DE3DBE">
              <w:rPr>
                <w:rFonts w:ascii="Times New Roman" w:hAnsi="Times New Roman"/>
                <w:sz w:val="22"/>
                <w:szCs w:val="22"/>
              </w:rPr>
              <w:t xml:space="preserve">SSA has </w:t>
            </w:r>
            <w:r w:rsidR="00523C64">
              <w:rPr>
                <w:rFonts w:ascii="Times New Roman" w:hAnsi="Times New Roman"/>
                <w:sz w:val="22"/>
                <w:szCs w:val="22"/>
              </w:rPr>
              <w:t xml:space="preserve">partially </w:t>
            </w:r>
            <w:r w:rsidRPr="00DE3DBE">
              <w:rPr>
                <w:rFonts w:ascii="Times New Roman" w:hAnsi="Times New Roman"/>
                <w:sz w:val="22"/>
                <w:szCs w:val="22"/>
              </w:rPr>
              <w:t xml:space="preserve">compromised </w:t>
            </w:r>
            <w:r w:rsidR="00523C64">
              <w:rPr>
                <w:rFonts w:ascii="Times New Roman" w:hAnsi="Times New Roman"/>
                <w:sz w:val="22"/>
                <w:szCs w:val="22"/>
              </w:rPr>
              <w:t xml:space="preserve">by offering to modify </w:t>
            </w:r>
            <w:r w:rsidR="00E67A20">
              <w:rPr>
                <w:rFonts w:ascii="Times New Roman" w:hAnsi="Times New Roman"/>
                <w:sz w:val="22"/>
                <w:szCs w:val="22"/>
              </w:rPr>
              <w:t xml:space="preserve">User Agreement </w:t>
            </w:r>
            <w:r w:rsidR="00523C64">
              <w:rPr>
                <w:rFonts w:ascii="Times New Roman" w:hAnsi="Times New Roman"/>
                <w:sz w:val="22"/>
                <w:szCs w:val="22"/>
              </w:rPr>
              <w:t>language per the BTC’s suggestion.</w:t>
            </w:r>
            <w:r w:rsidRPr="00DE3DBE">
              <w:rPr>
                <w:rFonts w:ascii="Times New Roman" w:hAnsi="Times New Roman"/>
                <w:sz w:val="22"/>
                <w:szCs w:val="22"/>
              </w:rPr>
              <w:t xml:space="preserve">  </w:t>
            </w:r>
          </w:p>
        </w:tc>
        <w:tc>
          <w:tcPr>
            <w:tcW w:w="0" w:type="auto"/>
          </w:tcPr>
          <w:p w:rsidRPr="003D6476" w:rsidR="00E0181E" w:rsidP="00E0181E" w:rsidRDefault="00E0181E" w14:paraId="033813C5" w14:textId="77777777">
            <w:pPr>
              <w:pStyle w:val="CommentText"/>
              <w:rPr>
                <w:rFonts w:ascii="Times New Roman" w:hAnsi="Times New Roman"/>
                <w:sz w:val="22"/>
                <w:szCs w:val="22"/>
              </w:rPr>
            </w:pPr>
            <w:r w:rsidRPr="003D6476">
              <w:rPr>
                <w:rFonts w:ascii="Times New Roman" w:hAnsi="Times New Roman"/>
                <w:sz w:val="22"/>
                <w:szCs w:val="22"/>
              </w:rPr>
              <w:t>SSA cannot permit SSA data to be stored outside of the United States due to the multitude of foreign laws to which SSA data would be subject if stored outside of the United States.  Foreign laws may authorize access to data stored within a certain country that go beyond access, which SSA would permit under the Privacy Act or the Social Security Act.</w:t>
            </w:r>
          </w:p>
          <w:p w:rsidRPr="00DE3DBE" w:rsidR="00E54408" w:rsidP="00E54408" w:rsidRDefault="00E54408" w14:paraId="6E3C2402" w14:textId="7B7D87BB">
            <w:pPr>
              <w:rPr>
                <w:rFonts w:ascii="Times New Roman" w:hAnsi="Times New Roman"/>
                <w:b/>
                <w:bCs/>
                <w:sz w:val="22"/>
                <w:szCs w:val="22"/>
              </w:rPr>
            </w:pPr>
          </w:p>
        </w:tc>
      </w:tr>
      <w:tr w:rsidRPr="00DE3DBE" w:rsidR="00C95F71" w:rsidTr="00E54408" w14:paraId="71D9CA43" w14:textId="143E60DB">
        <w:tc>
          <w:tcPr>
            <w:tcW w:w="0" w:type="auto"/>
          </w:tcPr>
          <w:p w:rsidR="00E54408" w:rsidP="00DC102C" w:rsidRDefault="003B31FE" w14:paraId="0C4FC297" w14:textId="77777777">
            <w:pPr>
              <w:rPr>
                <w:rFonts w:ascii="Times New Roman" w:hAnsi="Times New Roman"/>
                <w:sz w:val="22"/>
                <w:szCs w:val="22"/>
              </w:rPr>
            </w:pPr>
            <w:r w:rsidRPr="00DE3DBE">
              <w:rPr>
                <w:rFonts w:ascii="Times New Roman" w:hAnsi="Times New Roman"/>
                <w:b/>
                <w:bCs/>
                <w:sz w:val="22"/>
                <w:szCs w:val="22"/>
              </w:rPr>
              <w:lastRenderedPageBreak/>
              <w:t xml:space="preserve">Comment #2:  </w:t>
            </w:r>
            <w:r w:rsidR="00C95F71">
              <w:rPr>
                <w:rFonts w:ascii="Times New Roman" w:hAnsi="Times New Roman"/>
                <w:sz w:val="22"/>
                <w:szCs w:val="22"/>
              </w:rPr>
              <w:t>Due to the concerns expressed in comment #1, the commenters asked that we r</w:t>
            </w:r>
            <w:r w:rsidRPr="00DE3DBE">
              <w:rPr>
                <w:rFonts w:ascii="Times New Roman" w:hAnsi="Times New Roman"/>
                <w:sz w:val="22"/>
                <w:szCs w:val="22"/>
              </w:rPr>
              <w:t>emove all references to “processing” and “transferring” in the proposed new sections of both the User Agreement and Technical Specifications documents.</w:t>
            </w:r>
          </w:p>
          <w:p w:rsidRPr="00DE3DBE" w:rsidR="00DF2A1F" w:rsidP="00DC102C" w:rsidRDefault="00DF2A1F" w14:paraId="2F3A6B03" w14:textId="124C185F">
            <w:pPr>
              <w:rPr>
                <w:rFonts w:ascii="Times New Roman" w:hAnsi="Times New Roman"/>
                <w:sz w:val="22"/>
                <w:szCs w:val="22"/>
              </w:rPr>
            </w:pPr>
          </w:p>
        </w:tc>
        <w:tc>
          <w:tcPr>
            <w:tcW w:w="0" w:type="auto"/>
          </w:tcPr>
          <w:p w:rsidRPr="00DE3DBE" w:rsidR="00C95F71" w:rsidP="00C95F71" w:rsidRDefault="003B31FE" w14:paraId="0767C2B5" w14:textId="35AB7403">
            <w:pPr>
              <w:rPr>
                <w:rFonts w:ascii="Times New Roman" w:hAnsi="Times New Roman"/>
                <w:sz w:val="22"/>
                <w:szCs w:val="22"/>
              </w:rPr>
            </w:pPr>
            <w:r w:rsidRPr="00DE3DBE">
              <w:rPr>
                <w:rFonts w:ascii="Times New Roman" w:hAnsi="Times New Roman"/>
                <w:b/>
                <w:bCs/>
                <w:color w:val="0070C0"/>
                <w:sz w:val="22"/>
                <w:szCs w:val="22"/>
              </w:rPr>
              <w:t xml:space="preserve">Response #2:  </w:t>
            </w:r>
            <w:r w:rsidRPr="00DE3DBE">
              <w:rPr>
                <w:rFonts w:ascii="Times New Roman" w:hAnsi="Times New Roman"/>
                <w:bCs/>
                <w:sz w:val="22"/>
                <w:szCs w:val="22"/>
              </w:rPr>
              <w:t xml:space="preserve">As we mentioned above, SSA agrees to remove the references to “processing” and “transferring” from the </w:t>
            </w:r>
            <w:r w:rsidR="00C95F71">
              <w:rPr>
                <w:rFonts w:ascii="Times New Roman" w:hAnsi="Times New Roman"/>
                <w:bCs/>
                <w:sz w:val="22"/>
                <w:szCs w:val="22"/>
              </w:rPr>
              <w:t xml:space="preserve">relevant sections of the </w:t>
            </w:r>
            <w:r w:rsidRPr="00DE3DBE">
              <w:rPr>
                <w:rFonts w:ascii="Times New Roman" w:hAnsi="Times New Roman"/>
                <w:bCs/>
                <w:sz w:val="22"/>
                <w:szCs w:val="22"/>
              </w:rPr>
              <w:t>User Agreement</w:t>
            </w:r>
            <w:r w:rsidR="00C95F71">
              <w:rPr>
                <w:rFonts w:ascii="Times New Roman" w:hAnsi="Times New Roman"/>
                <w:bCs/>
                <w:sz w:val="22"/>
                <w:szCs w:val="22"/>
              </w:rPr>
              <w:t xml:space="preserve"> </w:t>
            </w:r>
            <w:r w:rsidR="00E01B58">
              <w:rPr>
                <w:rFonts w:ascii="Times New Roman" w:hAnsi="Times New Roman"/>
                <w:bCs/>
                <w:sz w:val="22"/>
                <w:szCs w:val="22"/>
              </w:rPr>
              <w:t>(t</w:t>
            </w:r>
            <w:r w:rsidRPr="00F84C11" w:rsidR="00E01B58">
              <w:rPr>
                <w:rFonts w:ascii="Times New Roman" w:hAnsi="Times New Roman"/>
                <w:bCs/>
                <w:sz w:val="22"/>
                <w:szCs w:val="22"/>
              </w:rPr>
              <w:t xml:space="preserve">he </w:t>
            </w:r>
            <w:hyperlink w:history="1" r:id="rId9">
              <w:r w:rsidRPr="00F84C11" w:rsidR="00F84C11">
                <w:rPr>
                  <w:rStyle w:val="Hyperlink"/>
                  <w:rFonts w:ascii="Times New Roman" w:hAnsi="Times New Roman"/>
                  <w:bCs/>
                  <w:sz w:val="22"/>
                  <w:szCs w:val="22"/>
                </w:rPr>
                <w:t>Technical Information Guide</w:t>
              </w:r>
            </w:hyperlink>
            <w:r w:rsidR="00E01B58">
              <w:rPr>
                <w:rFonts w:ascii="Times New Roman" w:hAnsi="Times New Roman"/>
                <w:bCs/>
                <w:sz w:val="22"/>
                <w:szCs w:val="22"/>
              </w:rPr>
              <w:t xml:space="preserve"> is not undergoing PRA approval, but we can make similar changes there)</w:t>
            </w:r>
            <w:r w:rsidRPr="00DE3DBE">
              <w:rPr>
                <w:rFonts w:ascii="Times New Roman" w:hAnsi="Times New Roman"/>
                <w:bCs/>
                <w:sz w:val="22"/>
                <w:szCs w:val="22"/>
              </w:rPr>
              <w:t xml:space="preserve">.  </w:t>
            </w:r>
          </w:p>
          <w:p w:rsidRPr="00DE3DBE" w:rsidR="00E54408" w:rsidP="00DC102C" w:rsidRDefault="00E54408" w14:paraId="6F282329" w14:textId="2B966726">
            <w:pPr>
              <w:rPr>
                <w:rFonts w:ascii="Times New Roman" w:hAnsi="Times New Roman"/>
                <w:sz w:val="22"/>
                <w:szCs w:val="22"/>
              </w:rPr>
            </w:pPr>
          </w:p>
        </w:tc>
        <w:tc>
          <w:tcPr>
            <w:tcW w:w="0" w:type="auto"/>
          </w:tcPr>
          <w:p w:rsidRPr="00DE3DBE" w:rsidR="00E54408" w:rsidP="00DC102C" w:rsidRDefault="003B31FE" w14:paraId="42316959" w14:textId="5A6CF26C">
            <w:pPr>
              <w:rPr>
                <w:rFonts w:ascii="Times New Roman" w:hAnsi="Times New Roman"/>
                <w:sz w:val="22"/>
                <w:szCs w:val="22"/>
              </w:rPr>
            </w:pPr>
            <w:r w:rsidRPr="00DE3DBE">
              <w:rPr>
                <w:rFonts w:ascii="Times New Roman" w:hAnsi="Times New Roman"/>
                <w:sz w:val="22"/>
                <w:szCs w:val="22"/>
              </w:rPr>
              <w:t>Issue resolved; SSA agrees to remove the words requested by commenters.</w:t>
            </w:r>
          </w:p>
        </w:tc>
        <w:tc>
          <w:tcPr>
            <w:tcW w:w="0" w:type="auto"/>
          </w:tcPr>
          <w:p w:rsidRPr="00DE3DBE" w:rsidR="00E54408" w:rsidP="00DC102C" w:rsidRDefault="003B31FE" w14:paraId="38167C6A" w14:textId="70620415">
            <w:pPr>
              <w:rPr>
                <w:rFonts w:ascii="Times New Roman" w:hAnsi="Times New Roman"/>
                <w:sz w:val="22"/>
                <w:szCs w:val="22"/>
              </w:rPr>
            </w:pPr>
            <w:r w:rsidRPr="00DE3DBE">
              <w:rPr>
                <w:rFonts w:ascii="Times New Roman" w:hAnsi="Times New Roman"/>
                <w:sz w:val="22"/>
                <w:szCs w:val="22"/>
              </w:rPr>
              <w:t>N/A</w:t>
            </w:r>
          </w:p>
        </w:tc>
      </w:tr>
      <w:tr w:rsidRPr="00DE3DBE" w:rsidR="00C95F71" w:rsidTr="00E54408" w14:paraId="3553C998" w14:textId="51AFB397">
        <w:tc>
          <w:tcPr>
            <w:tcW w:w="0" w:type="auto"/>
          </w:tcPr>
          <w:p w:rsidRPr="00DE3DBE" w:rsidR="00E54408" w:rsidP="00DC102C" w:rsidRDefault="003B31FE" w14:paraId="4B315B9C" w14:textId="3CD477B6">
            <w:pPr>
              <w:rPr>
                <w:rFonts w:ascii="Times New Roman" w:hAnsi="Times New Roman"/>
                <w:b/>
                <w:bCs/>
                <w:sz w:val="22"/>
                <w:szCs w:val="22"/>
              </w:rPr>
            </w:pPr>
            <w:r w:rsidRPr="00DE3DBE">
              <w:rPr>
                <w:rFonts w:ascii="Times New Roman" w:hAnsi="Times New Roman"/>
                <w:b/>
                <w:bCs/>
                <w:sz w:val="22"/>
                <w:szCs w:val="22"/>
              </w:rPr>
              <w:t xml:space="preserve">Comment #3: </w:t>
            </w:r>
            <w:r w:rsidRPr="00DE3DBE">
              <w:rPr>
                <w:rFonts w:ascii="Times New Roman" w:hAnsi="Times New Roman"/>
                <w:sz w:val="22"/>
                <w:szCs w:val="22"/>
              </w:rPr>
              <w:t>Changes should be limited in scope to “SSN Verifications” only, not “Written Consents.”</w:t>
            </w:r>
            <w:r w:rsidRPr="00DE3DBE" w:rsidR="00EE0EC3">
              <w:rPr>
                <w:rFonts w:ascii="Times New Roman" w:hAnsi="Times New Roman"/>
                <w:sz w:val="22"/>
                <w:szCs w:val="22"/>
              </w:rPr>
              <w:t xml:space="preserve">  The scope of the proposed changes in both the User Agreement and Technical Specifications should be limited in applicability solely to SSN Verifications. References to Written Consent in the proposed new sections should be deleted.</w:t>
            </w:r>
          </w:p>
        </w:tc>
        <w:tc>
          <w:tcPr>
            <w:tcW w:w="0" w:type="auto"/>
          </w:tcPr>
          <w:p w:rsidR="00932DE1" w:rsidP="00932DE1" w:rsidRDefault="003B31FE" w14:paraId="1F5507CF" w14:textId="1BFA0B24">
            <w:pPr>
              <w:rPr>
                <w:rFonts w:ascii="Times New Roman" w:hAnsi="Times New Roman"/>
                <w:sz w:val="22"/>
                <w:szCs w:val="22"/>
              </w:rPr>
            </w:pPr>
            <w:r w:rsidRPr="00DE3DBE">
              <w:rPr>
                <w:rFonts w:ascii="Times New Roman" w:hAnsi="Times New Roman"/>
                <w:b/>
                <w:bCs/>
                <w:color w:val="0070C0"/>
                <w:sz w:val="22"/>
                <w:szCs w:val="22"/>
              </w:rPr>
              <w:t xml:space="preserve">Response #3:  </w:t>
            </w:r>
            <w:r w:rsidRPr="00DE3DBE" w:rsidR="00932DE1">
              <w:rPr>
                <w:rFonts w:ascii="Times New Roman" w:hAnsi="Times New Roman"/>
                <w:sz w:val="22"/>
                <w:szCs w:val="22"/>
              </w:rPr>
              <w:t>SSA agrees to remove the phrase “Written Consent” from the following provisions regarding cloud service providers and managed service providers that were added to the eCBSV User Agreement as part of the most recent PRA filing:  III.A.22, V.A.5.  However, in response to fuller comments made by public commenters</w:t>
            </w:r>
            <w:r w:rsidR="006310B3">
              <w:rPr>
                <w:rFonts w:ascii="Times New Roman" w:hAnsi="Times New Roman"/>
                <w:sz w:val="22"/>
                <w:szCs w:val="22"/>
              </w:rPr>
              <w:t xml:space="preserve"> on this issue</w:t>
            </w:r>
            <w:r w:rsidRPr="00DE3DBE" w:rsidR="00932DE1">
              <w:rPr>
                <w:rFonts w:ascii="Times New Roman" w:hAnsi="Times New Roman"/>
                <w:sz w:val="22"/>
                <w:szCs w:val="22"/>
              </w:rPr>
              <w:t xml:space="preserve">, we would like to clarify two </w:t>
            </w:r>
            <w:r w:rsidR="006310B3">
              <w:rPr>
                <w:rFonts w:ascii="Times New Roman" w:hAnsi="Times New Roman"/>
                <w:sz w:val="22"/>
                <w:szCs w:val="22"/>
              </w:rPr>
              <w:t>points</w:t>
            </w:r>
            <w:r w:rsidRPr="00DE3DBE" w:rsidR="00932DE1">
              <w:rPr>
                <w:rFonts w:ascii="Times New Roman" w:hAnsi="Times New Roman"/>
                <w:sz w:val="22"/>
                <w:szCs w:val="22"/>
              </w:rPr>
              <w:t>.</w:t>
            </w:r>
          </w:p>
          <w:p w:rsidRPr="00DE3DBE" w:rsidR="008616FE" w:rsidP="00932DE1" w:rsidRDefault="008616FE" w14:paraId="628A342D" w14:textId="77777777">
            <w:pPr>
              <w:rPr>
                <w:rFonts w:ascii="Times New Roman" w:hAnsi="Times New Roman"/>
                <w:sz w:val="22"/>
                <w:szCs w:val="22"/>
              </w:rPr>
            </w:pPr>
          </w:p>
          <w:p w:rsidRPr="00DE3DBE" w:rsidR="00932DE1" w:rsidP="00932DE1" w:rsidRDefault="00932DE1" w14:paraId="1387B005" w14:textId="34DD4DBB">
            <w:pPr>
              <w:rPr>
                <w:rFonts w:ascii="Times New Roman" w:hAnsi="Times New Roman"/>
                <w:sz w:val="22"/>
                <w:szCs w:val="22"/>
              </w:rPr>
            </w:pPr>
            <w:r w:rsidRPr="00DE3DBE">
              <w:rPr>
                <w:rFonts w:ascii="Times New Roman" w:hAnsi="Times New Roman"/>
                <w:sz w:val="22"/>
                <w:szCs w:val="22"/>
              </w:rPr>
              <w:t xml:space="preserve">First, </w:t>
            </w:r>
            <w:r w:rsidR="003634A5">
              <w:rPr>
                <w:rFonts w:ascii="Times New Roman" w:hAnsi="Times New Roman"/>
                <w:sz w:val="22"/>
                <w:szCs w:val="22"/>
              </w:rPr>
              <w:t>r</w:t>
            </w:r>
            <w:r w:rsidRPr="00DE3DBE">
              <w:rPr>
                <w:rFonts w:ascii="Times New Roman" w:hAnsi="Times New Roman"/>
                <w:sz w:val="22"/>
                <w:szCs w:val="22"/>
              </w:rPr>
              <w:t>egardless of who “owns” eCBSV Written Consent, for SSA to disclose the SSN verification, Written Consent must meet SSA’s requirements that SSA dictates in the eCBSV User Agreement</w:t>
            </w:r>
            <w:r w:rsidR="003634A5">
              <w:rPr>
                <w:rFonts w:ascii="Times New Roman" w:hAnsi="Times New Roman"/>
                <w:sz w:val="22"/>
                <w:szCs w:val="22"/>
              </w:rPr>
              <w:t>:</w:t>
            </w:r>
            <w:r w:rsidRPr="00DE3DBE">
              <w:rPr>
                <w:rFonts w:ascii="Times New Roman" w:hAnsi="Times New Roman"/>
                <w:sz w:val="22"/>
                <w:szCs w:val="22"/>
              </w:rPr>
              <w:t xml:space="preserve">  “Written Consent, including electronic, by which the SSN holder gives SSA permission to disclose SSN Verification results to the Permitted Entity or Financial Institution (or both) in connection with a credit transaction or any circumstance described in section 604 of the Fair Credit Reporting Act (15 U.S.C. § 1681b).  The Written Consent must meet SSA’s requirements in section IV of [the] user agreement and SSA’s regulations.”  </w:t>
            </w:r>
          </w:p>
          <w:p w:rsidRPr="00DE3DBE" w:rsidR="00932DE1" w:rsidP="00932DE1" w:rsidRDefault="00932DE1" w14:paraId="57785CFF" w14:textId="77777777">
            <w:pPr>
              <w:rPr>
                <w:rFonts w:ascii="Times New Roman" w:hAnsi="Times New Roman"/>
                <w:sz w:val="22"/>
                <w:szCs w:val="22"/>
              </w:rPr>
            </w:pPr>
            <w:r w:rsidRPr="00DE3DBE">
              <w:rPr>
                <w:rFonts w:ascii="Times New Roman" w:hAnsi="Times New Roman"/>
                <w:sz w:val="22"/>
                <w:szCs w:val="22"/>
              </w:rPr>
              <w:t xml:space="preserve"> </w:t>
            </w:r>
          </w:p>
          <w:p w:rsidR="007224AF" w:rsidP="003634A5" w:rsidRDefault="00932DE1" w14:paraId="23E2B0CC" w14:textId="77777777">
            <w:pPr>
              <w:rPr>
                <w:rFonts w:ascii="Times New Roman" w:hAnsi="Times New Roman"/>
                <w:sz w:val="22"/>
                <w:szCs w:val="22"/>
              </w:rPr>
            </w:pPr>
            <w:r w:rsidRPr="00DE3DBE">
              <w:rPr>
                <w:rFonts w:ascii="Times New Roman" w:hAnsi="Times New Roman"/>
                <w:sz w:val="22"/>
                <w:szCs w:val="22"/>
              </w:rPr>
              <w:t xml:space="preserve">Second, as </w:t>
            </w:r>
            <w:r w:rsidR="003634A5">
              <w:rPr>
                <w:rFonts w:ascii="Times New Roman" w:hAnsi="Times New Roman"/>
                <w:sz w:val="22"/>
                <w:szCs w:val="22"/>
              </w:rPr>
              <w:t xml:space="preserve">previously </w:t>
            </w:r>
            <w:r w:rsidRPr="00DE3DBE">
              <w:rPr>
                <w:rFonts w:ascii="Times New Roman" w:hAnsi="Times New Roman"/>
                <w:sz w:val="22"/>
                <w:szCs w:val="22"/>
              </w:rPr>
              <w:t xml:space="preserve">stated, we disagree that the </w:t>
            </w:r>
            <w:r w:rsidRPr="00965ECC" w:rsidR="00F84C11">
              <w:rPr>
                <w:rFonts w:ascii="Times New Roman" w:hAnsi="Times New Roman"/>
                <w:sz w:val="22"/>
                <w:szCs w:val="22"/>
              </w:rPr>
              <w:t>Economic Growth, Regulatory Relief, and Consumer Protection Act of 2018 (Pub. L. No. 115-174, referred to as the "Banking Bill")</w:t>
            </w:r>
            <w:r w:rsidRPr="00DE3DBE">
              <w:rPr>
                <w:rFonts w:ascii="Times New Roman" w:hAnsi="Times New Roman"/>
                <w:sz w:val="22"/>
                <w:szCs w:val="22"/>
              </w:rPr>
              <w:t xml:space="preserve"> and </w:t>
            </w:r>
            <w:r w:rsidR="00F84C11">
              <w:rPr>
                <w:rFonts w:ascii="Times New Roman" w:hAnsi="Times New Roman"/>
                <w:sz w:val="22"/>
                <w:szCs w:val="22"/>
              </w:rPr>
              <w:t xml:space="preserve">eCBSV </w:t>
            </w:r>
            <w:r w:rsidRPr="00DE3DBE">
              <w:rPr>
                <w:rFonts w:ascii="Times New Roman" w:hAnsi="Times New Roman"/>
                <w:sz w:val="22"/>
                <w:szCs w:val="22"/>
              </w:rPr>
              <w:t xml:space="preserve">User Agreement identify the </w:t>
            </w:r>
            <w:r w:rsidR="00F84C11">
              <w:rPr>
                <w:rFonts w:ascii="Times New Roman" w:hAnsi="Times New Roman"/>
                <w:i/>
                <w:iCs/>
                <w:sz w:val="22"/>
                <w:szCs w:val="22"/>
              </w:rPr>
              <w:t xml:space="preserve">Gramm-Leach-Bliley Act </w:t>
            </w:r>
            <w:r w:rsidR="00F84C11">
              <w:rPr>
                <w:rFonts w:ascii="Times New Roman" w:hAnsi="Times New Roman"/>
                <w:sz w:val="22"/>
                <w:szCs w:val="22"/>
              </w:rPr>
              <w:t>(GLBA)</w:t>
            </w:r>
            <w:r w:rsidRPr="00DE3DBE">
              <w:rPr>
                <w:rFonts w:ascii="Times New Roman" w:hAnsi="Times New Roman"/>
                <w:sz w:val="22"/>
                <w:szCs w:val="22"/>
              </w:rPr>
              <w:t xml:space="preserve"> as the sole, controlling body of rules and regulations.  The Banking Bill does not override the privacy expectations and requirements set forth in the Privacy Act and the Social Security Act, as set forth in SSA’s regulations, to which SSA is bound.</w:t>
            </w:r>
          </w:p>
          <w:p w:rsidR="00D029BC" w:rsidP="003634A5" w:rsidRDefault="00932DE1" w14:paraId="627490E0" w14:textId="5A4E7DC7">
            <w:pPr>
              <w:rPr>
                <w:rFonts w:ascii="Times New Roman" w:hAnsi="Times New Roman"/>
                <w:sz w:val="22"/>
                <w:szCs w:val="22"/>
              </w:rPr>
            </w:pPr>
            <w:r w:rsidRPr="00DE3DBE">
              <w:rPr>
                <w:rFonts w:ascii="Times New Roman" w:hAnsi="Times New Roman"/>
                <w:sz w:val="22"/>
                <w:szCs w:val="22"/>
              </w:rPr>
              <w:t xml:space="preserve">  </w:t>
            </w:r>
          </w:p>
          <w:p w:rsidRPr="00DE3DBE" w:rsidR="00D029BC" w:rsidP="003634A5" w:rsidRDefault="00D029BC" w14:paraId="3F943F79" w14:textId="0462EEEC">
            <w:pPr>
              <w:rPr>
                <w:rFonts w:ascii="Times New Roman" w:hAnsi="Times New Roman"/>
                <w:sz w:val="22"/>
                <w:szCs w:val="22"/>
              </w:rPr>
            </w:pPr>
          </w:p>
        </w:tc>
        <w:tc>
          <w:tcPr>
            <w:tcW w:w="0" w:type="auto"/>
          </w:tcPr>
          <w:p w:rsidRPr="00DE3DBE" w:rsidR="00E54408" w:rsidP="00DC102C" w:rsidRDefault="00932DE1" w14:paraId="214C478E" w14:textId="18B08039">
            <w:pPr>
              <w:rPr>
                <w:rFonts w:ascii="Times New Roman" w:hAnsi="Times New Roman"/>
                <w:color w:val="FF0000"/>
                <w:sz w:val="22"/>
                <w:szCs w:val="22"/>
              </w:rPr>
            </w:pPr>
            <w:r w:rsidRPr="00DE3DBE">
              <w:rPr>
                <w:rFonts w:ascii="Times New Roman" w:hAnsi="Times New Roman"/>
                <w:sz w:val="22"/>
                <w:szCs w:val="22"/>
              </w:rPr>
              <w:t>Issue resolved</w:t>
            </w:r>
            <w:r w:rsidRPr="00DE3DBE" w:rsidR="0064447C">
              <w:rPr>
                <w:rFonts w:ascii="Times New Roman" w:hAnsi="Times New Roman"/>
                <w:sz w:val="22"/>
                <w:szCs w:val="22"/>
              </w:rPr>
              <w:t>.</w:t>
            </w:r>
          </w:p>
        </w:tc>
        <w:tc>
          <w:tcPr>
            <w:tcW w:w="0" w:type="auto"/>
          </w:tcPr>
          <w:p w:rsidRPr="00DE3DBE" w:rsidR="00E54408" w:rsidP="00DC102C" w:rsidRDefault="0064447C" w14:paraId="5C8993D3" w14:textId="50312A00">
            <w:pPr>
              <w:rPr>
                <w:rFonts w:ascii="Times New Roman" w:hAnsi="Times New Roman"/>
                <w:sz w:val="22"/>
                <w:szCs w:val="22"/>
              </w:rPr>
            </w:pPr>
            <w:r w:rsidRPr="00DE3DBE">
              <w:rPr>
                <w:rFonts w:ascii="Times New Roman" w:hAnsi="Times New Roman"/>
                <w:sz w:val="22"/>
                <w:szCs w:val="22"/>
              </w:rPr>
              <w:t>N/A</w:t>
            </w:r>
          </w:p>
        </w:tc>
      </w:tr>
      <w:tr w:rsidRPr="00DE3DBE" w:rsidR="00C95F71" w:rsidTr="00E54408" w14:paraId="73A74C33" w14:textId="24F8FC0B">
        <w:tc>
          <w:tcPr>
            <w:tcW w:w="0" w:type="auto"/>
          </w:tcPr>
          <w:p w:rsidRPr="00BF0C2B" w:rsidR="00EE0EC3" w:rsidP="00EE0EC3" w:rsidRDefault="003B31FE" w14:paraId="089273FF" w14:textId="4A6753EC">
            <w:pPr>
              <w:rPr>
                <w:rFonts w:ascii="Times New Roman" w:hAnsi="Times New Roman"/>
                <w:sz w:val="22"/>
                <w:szCs w:val="22"/>
              </w:rPr>
            </w:pPr>
            <w:r w:rsidRPr="00DE3DBE">
              <w:rPr>
                <w:rFonts w:ascii="Times New Roman" w:hAnsi="Times New Roman"/>
                <w:b/>
                <w:bCs/>
                <w:sz w:val="22"/>
                <w:szCs w:val="22"/>
              </w:rPr>
              <w:t>Comment #4:</w:t>
            </w:r>
            <w:r w:rsidRPr="00DE3DBE" w:rsidR="00EE0EC3">
              <w:rPr>
                <w:rFonts w:ascii="Times New Roman" w:hAnsi="Times New Roman"/>
                <w:b/>
                <w:bCs/>
                <w:sz w:val="22"/>
                <w:szCs w:val="22"/>
              </w:rPr>
              <w:t xml:space="preserve">  </w:t>
            </w:r>
            <w:r w:rsidRPr="00DE3DBE" w:rsidR="00EE0EC3">
              <w:rPr>
                <w:rFonts w:ascii="Times New Roman" w:hAnsi="Times New Roman"/>
                <w:sz w:val="22"/>
                <w:szCs w:val="22"/>
              </w:rPr>
              <w:t xml:space="preserve">Proposed new regulatory and “verification” requirements are a duplicative and unnecessary encroachment into bank regulation by SSA, and conflicts with </w:t>
            </w:r>
            <w:r w:rsidR="00300468">
              <w:rPr>
                <w:rFonts w:ascii="Times New Roman" w:hAnsi="Times New Roman"/>
                <w:sz w:val="22"/>
                <w:szCs w:val="22"/>
              </w:rPr>
              <w:t>Federal Information Security Management Act</w:t>
            </w:r>
            <w:r w:rsidRPr="00DE3DBE" w:rsidR="00300468">
              <w:rPr>
                <w:rFonts w:ascii="Times New Roman" w:hAnsi="Times New Roman"/>
                <w:sz w:val="22"/>
                <w:szCs w:val="22"/>
              </w:rPr>
              <w:t xml:space="preserve"> </w:t>
            </w:r>
            <w:r w:rsidR="00300468">
              <w:rPr>
                <w:rFonts w:ascii="Times New Roman" w:hAnsi="Times New Roman"/>
                <w:sz w:val="22"/>
                <w:szCs w:val="22"/>
              </w:rPr>
              <w:t>(</w:t>
            </w:r>
            <w:r w:rsidRPr="00DE3DBE" w:rsidR="00300468">
              <w:rPr>
                <w:rFonts w:ascii="Times New Roman" w:hAnsi="Times New Roman"/>
                <w:sz w:val="22"/>
                <w:szCs w:val="22"/>
              </w:rPr>
              <w:t>FISMA</w:t>
            </w:r>
            <w:r w:rsidR="00300468">
              <w:rPr>
                <w:rFonts w:ascii="Times New Roman" w:hAnsi="Times New Roman"/>
                <w:sz w:val="22"/>
                <w:szCs w:val="22"/>
              </w:rPr>
              <w:t xml:space="preserve">) </w:t>
            </w:r>
            <w:r w:rsidRPr="00DE3DBE" w:rsidR="00300468">
              <w:rPr>
                <w:rFonts w:ascii="Times New Roman" w:hAnsi="Times New Roman"/>
                <w:sz w:val="22"/>
                <w:szCs w:val="22"/>
              </w:rPr>
              <w:t xml:space="preserve">and </w:t>
            </w:r>
            <w:r w:rsidR="00300468">
              <w:rPr>
                <w:rFonts w:ascii="Times New Roman" w:hAnsi="Times New Roman"/>
                <w:sz w:val="22"/>
                <w:szCs w:val="22"/>
              </w:rPr>
              <w:t>Federal Risk and Authorization Management Program (</w:t>
            </w:r>
            <w:r w:rsidRPr="00DE3DBE" w:rsidR="00300468">
              <w:rPr>
                <w:rFonts w:ascii="Times New Roman" w:hAnsi="Times New Roman"/>
                <w:sz w:val="22"/>
                <w:szCs w:val="22"/>
              </w:rPr>
              <w:t>FedRAMP</w:t>
            </w:r>
            <w:r w:rsidR="00300468">
              <w:rPr>
                <w:rFonts w:ascii="Times New Roman" w:hAnsi="Times New Roman"/>
                <w:sz w:val="22"/>
                <w:szCs w:val="22"/>
              </w:rPr>
              <w:t xml:space="preserve">) </w:t>
            </w:r>
            <w:r w:rsidRPr="00DE3DBE" w:rsidR="00EE0EC3">
              <w:rPr>
                <w:rFonts w:ascii="Times New Roman" w:hAnsi="Times New Roman"/>
                <w:sz w:val="22"/>
                <w:szCs w:val="22"/>
              </w:rPr>
              <w:t>guidance.</w:t>
            </w:r>
            <w:r w:rsidR="00BF0C2B">
              <w:rPr>
                <w:rFonts w:ascii="Times New Roman" w:hAnsi="Times New Roman"/>
                <w:sz w:val="22"/>
                <w:szCs w:val="22"/>
              </w:rPr>
              <w:t xml:space="preserve">  As well, FIs are already subject to the GLBA, so SSA should not go beyond the GLBA’s provisions.</w:t>
            </w:r>
          </w:p>
          <w:p w:rsidRPr="00DE3DBE" w:rsidR="00E54408" w:rsidP="00DC102C" w:rsidRDefault="003B31FE" w14:paraId="6A698E61" w14:textId="7578B395">
            <w:pPr>
              <w:rPr>
                <w:rFonts w:ascii="Times New Roman" w:hAnsi="Times New Roman"/>
                <w:sz w:val="22"/>
                <w:szCs w:val="22"/>
              </w:rPr>
            </w:pPr>
            <w:r w:rsidRPr="00DE3DBE">
              <w:rPr>
                <w:rFonts w:ascii="Times New Roman" w:hAnsi="Times New Roman"/>
                <w:b/>
                <w:bCs/>
                <w:sz w:val="22"/>
                <w:szCs w:val="22"/>
              </w:rPr>
              <w:t xml:space="preserve">  </w:t>
            </w:r>
          </w:p>
        </w:tc>
        <w:tc>
          <w:tcPr>
            <w:tcW w:w="0" w:type="auto"/>
          </w:tcPr>
          <w:p w:rsidRPr="00DE3DBE" w:rsidR="005C1D3D" w:rsidP="005C1D3D" w:rsidRDefault="00EE0EC3" w14:paraId="590DA31C" w14:textId="4B5F8CD7">
            <w:pPr>
              <w:rPr>
                <w:rFonts w:ascii="Times New Roman" w:hAnsi="Times New Roman"/>
                <w:sz w:val="22"/>
                <w:szCs w:val="22"/>
              </w:rPr>
            </w:pPr>
            <w:r w:rsidRPr="00544A50">
              <w:rPr>
                <w:rFonts w:ascii="Times New Roman" w:hAnsi="Times New Roman"/>
                <w:b/>
                <w:bCs/>
                <w:color w:val="0070C0"/>
                <w:sz w:val="22"/>
                <w:szCs w:val="22"/>
              </w:rPr>
              <w:t>Response #4:</w:t>
            </w:r>
            <w:r w:rsidRPr="00544A50" w:rsidR="005C1D3D">
              <w:rPr>
                <w:rFonts w:ascii="Times New Roman" w:hAnsi="Times New Roman"/>
                <w:color w:val="0070C0"/>
                <w:sz w:val="22"/>
                <w:szCs w:val="22"/>
              </w:rPr>
              <w:t xml:space="preserve">  </w:t>
            </w:r>
            <w:r w:rsidRPr="00585A09" w:rsidR="007F3A12">
              <w:rPr>
                <w:rFonts w:ascii="Times New Roman" w:hAnsi="Times New Roman"/>
              </w:rPr>
              <w:t>We have not imposed any new regulatory requirements, and the only verification requirements we are imposing are to ensure the security of data we are providing</w:t>
            </w:r>
            <w:r w:rsidR="007F3A12">
              <w:rPr>
                <w:rFonts w:ascii="Times New Roman" w:hAnsi="Times New Roman"/>
              </w:rPr>
              <w:t xml:space="preserve">.  </w:t>
            </w:r>
            <w:r w:rsidRPr="00DE3DBE" w:rsidR="005C1D3D">
              <w:rPr>
                <w:rFonts w:ascii="Times New Roman" w:hAnsi="Times New Roman"/>
                <w:sz w:val="22"/>
                <w:szCs w:val="22"/>
              </w:rPr>
              <w:t xml:space="preserve">SSA notes that both FISMA and FedRAMP allow federal agencies to establish additional security controls in providing for agencies to take a risk-based approach to securing data by providing for information security protections commensurate with the risk.  The requirement that data is stored within the continental United States, Hawaii, Alaska, Puerto Rico, Guam, and the U.S. Virgin Islands, and data encryption requirements are well-defined and long-standing safeguards to protect SSA data held by external entities.  </w:t>
            </w:r>
          </w:p>
          <w:p w:rsidRPr="00DE3DBE" w:rsidR="005C1D3D" w:rsidP="005C1D3D" w:rsidRDefault="005C1D3D" w14:paraId="7B374900" w14:textId="77777777">
            <w:pPr>
              <w:rPr>
                <w:rFonts w:ascii="Times New Roman" w:hAnsi="Times New Roman"/>
                <w:sz w:val="22"/>
                <w:szCs w:val="22"/>
              </w:rPr>
            </w:pPr>
          </w:p>
          <w:p w:rsidR="009659A2" w:rsidP="00D029BC" w:rsidRDefault="005C1D3D" w14:paraId="4392F072" w14:textId="77777777">
            <w:pPr>
              <w:rPr>
                <w:rFonts w:ascii="Times New Roman" w:hAnsi="Times New Roman"/>
                <w:sz w:val="22"/>
                <w:szCs w:val="22"/>
              </w:rPr>
            </w:pPr>
            <w:r w:rsidRPr="00DE3DBE">
              <w:rPr>
                <w:rFonts w:ascii="Times New Roman" w:hAnsi="Times New Roman"/>
                <w:sz w:val="22"/>
                <w:szCs w:val="22"/>
              </w:rPr>
              <w:t xml:space="preserve">SSA agrees that the Permitted Entity shall be required to adopt policies and procedures to ensure that the SSN Verification (and associated Consent) are encrypted. The permitted entity </w:t>
            </w:r>
            <w:r w:rsidR="00BF0C2B">
              <w:rPr>
                <w:rFonts w:ascii="Times New Roman" w:hAnsi="Times New Roman"/>
                <w:sz w:val="22"/>
                <w:szCs w:val="22"/>
              </w:rPr>
              <w:t>should</w:t>
            </w:r>
            <w:r w:rsidRPr="00DE3DBE">
              <w:rPr>
                <w:rFonts w:ascii="Times New Roman" w:hAnsi="Times New Roman"/>
                <w:sz w:val="22"/>
                <w:szCs w:val="22"/>
              </w:rPr>
              <w:t xml:space="preserve"> ensure the security and confidentiality of both the SSN Verification and Written </w:t>
            </w:r>
            <w:r w:rsidR="00300468">
              <w:rPr>
                <w:rFonts w:ascii="Times New Roman" w:hAnsi="Times New Roman"/>
                <w:sz w:val="22"/>
                <w:szCs w:val="22"/>
              </w:rPr>
              <w:t>C</w:t>
            </w:r>
            <w:r w:rsidRPr="00DE3DBE">
              <w:rPr>
                <w:rFonts w:ascii="Times New Roman" w:hAnsi="Times New Roman"/>
                <w:sz w:val="22"/>
                <w:szCs w:val="22"/>
              </w:rPr>
              <w:t xml:space="preserve">onsent in accordance with Federal law (GLBA has a privacy rule FIs must follow). SSA also agrees that the Permitted Entity should have a process in place (quality reviews, internal audits) to ensure they are </w:t>
            </w:r>
            <w:proofErr w:type="gramStart"/>
            <w:r w:rsidRPr="00DE3DBE">
              <w:rPr>
                <w:rFonts w:ascii="Times New Roman" w:hAnsi="Times New Roman"/>
                <w:sz w:val="22"/>
                <w:szCs w:val="22"/>
              </w:rPr>
              <w:t>actually implementing</w:t>
            </w:r>
            <w:proofErr w:type="gramEnd"/>
            <w:r w:rsidRPr="00DE3DBE">
              <w:rPr>
                <w:rFonts w:ascii="Times New Roman" w:hAnsi="Times New Roman"/>
                <w:sz w:val="22"/>
                <w:szCs w:val="22"/>
              </w:rPr>
              <w:t xml:space="preserve"> the rules, while recognizing that the</w:t>
            </w:r>
            <w:r w:rsidR="00300468">
              <w:rPr>
                <w:rFonts w:ascii="Times New Roman" w:hAnsi="Times New Roman"/>
                <w:sz w:val="22"/>
                <w:szCs w:val="22"/>
              </w:rPr>
              <w:t xml:space="preserve"> government heavily regulate these</w:t>
            </w:r>
            <w:r w:rsidRPr="00DE3DBE">
              <w:rPr>
                <w:rFonts w:ascii="Times New Roman" w:hAnsi="Times New Roman"/>
                <w:sz w:val="22"/>
                <w:szCs w:val="22"/>
              </w:rPr>
              <w:t xml:space="preserve"> organizations.  SSA notes that the Permitted Entity Certification requires the Permitted Entity to attest they </w:t>
            </w:r>
            <w:r w:rsidR="00300468">
              <w:rPr>
                <w:rFonts w:ascii="Times New Roman" w:hAnsi="Times New Roman"/>
                <w:sz w:val="22"/>
                <w:szCs w:val="22"/>
              </w:rPr>
              <w:t>comply</w:t>
            </w:r>
            <w:r w:rsidRPr="00DE3DBE">
              <w:rPr>
                <w:rFonts w:ascii="Times New Roman" w:hAnsi="Times New Roman"/>
                <w:sz w:val="22"/>
                <w:szCs w:val="22"/>
              </w:rPr>
              <w:t xml:space="preserve"> with GLBA.</w:t>
            </w:r>
            <w:r w:rsidRPr="00DE3DBE" w:rsidR="00EE0EC3">
              <w:rPr>
                <w:rFonts w:ascii="Times New Roman" w:hAnsi="Times New Roman"/>
                <w:sz w:val="22"/>
                <w:szCs w:val="22"/>
              </w:rPr>
              <w:t xml:space="preserve">    </w:t>
            </w:r>
          </w:p>
          <w:p w:rsidRPr="00DE3DBE" w:rsidR="00D029BC" w:rsidP="00D029BC" w:rsidRDefault="00D029BC" w14:paraId="6E8807FC" w14:textId="2EC480EE">
            <w:pPr>
              <w:rPr>
                <w:rFonts w:ascii="Times New Roman" w:hAnsi="Times New Roman"/>
                <w:sz w:val="22"/>
                <w:szCs w:val="22"/>
              </w:rPr>
            </w:pPr>
          </w:p>
        </w:tc>
        <w:tc>
          <w:tcPr>
            <w:tcW w:w="0" w:type="auto"/>
          </w:tcPr>
          <w:p w:rsidRPr="00DE3DBE" w:rsidR="00E54408" w:rsidP="00DC102C" w:rsidRDefault="000E709A" w14:paraId="72598A11" w14:textId="44027E0A">
            <w:pPr>
              <w:rPr>
                <w:rFonts w:ascii="Times New Roman" w:hAnsi="Times New Roman"/>
                <w:sz w:val="22"/>
                <w:szCs w:val="22"/>
              </w:rPr>
            </w:pPr>
            <w:r w:rsidRPr="00DE3DBE">
              <w:rPr>
                <w:rFonts w:ascii="Times New Roman" w:hAnsi="Times New Roman"/>
                <w:sz w:val="22"/>
                <w:szCs w:val="22"/>
              </w:rPr>
              <w:t>Clarified that we were not imposing new regulatory or verification requirements.</w:t>
            </w:r>
          </w:p>
        </w:tc>
        <w:tc>
          <w:tcPr>
            <w:tcW w:w="0" w:type="auto"/>
          </w:tcPr>
          <w:p w:rsidRPr="00DE3DBE" w:rsidR="00E54408" w:rsidP="00DC102C" w:rsidRDefault="00300468" w14:paraId="7EE9E52B" w14:textId="2B969F50">
            <w:pPr>
              <w:rPr>
                <w:rFonts w:ascii="Times New Roman" w:hAnsi="Times New Roman"/>
                <w:sz w:val="22"/>
                <w:szCs w:val="22"/>
              </w:rPr>
            </w:pPr>
            <w:r>
              <w:rPr>
                <w:rFonts w:ascii="Times New Roman" w:hAnsi="Times New Roman"/>
                <w:sz w:val="22"/>
                <w:szCs w:val="22"/>
              </w:rPr>
              <w:t>N/A</w:t>
            </w:r>
          </w:p>
        </w:tc>
      </w:tr>
      <w:tr w:rsidRPr="00DE3DBE" w:rsidR="00C95F71" w:rsidTr="007224AF" w14:paraId="345E684B" w14:textId="6E09A525">
        <w:trPr>
          <w:trHeight w:val="47"/>
        </w:trPr>
        <w:tc>
          <w:tcPr>
            <w:tcW w:w="0" w:type="auto"/>
          </w:tcPr>
          <w:p w:rsidRPr="00DE3DBE" w:rsidR="009659A2" w:rsidP="009659A2" w:rsidRDefault="00AE3E53" w14:paraId="74342C5F" w14:textId="0871FA9B">
            <w:pPr>
              <w:rPr>
                <w:rFonts w:ascii="Times New Roman" w:hAnsi="Times New Roman"/>
                <w:sz w:val="22"/>
                <w:szCs w:val="22"/>
              </w:rPr>
            </w:pPr>
            <w:r w:rsidRPr="00DE3DBE">
              <w:rPr>
                <w:rFonts w:ascii="Times New Roman" w:hAnsi="Times New Roman"/>
                <w:b/>
                <w:bCs/>
                <w:sz w:val="22"/>
                <w:szCs w:val="22"/>
              </w:rPr>
              <w:t>Comment #5:</w:t>
            </w:r>
            <w:r w:rsidRPr="00DE3DBE">
              <w:rPr>
                <w:rFonts w:ascii="Times New Roman" w:hAnsi="Times New Roman"/>
                <w:sz w:val="22"/>
                <w:szCs w:val="22"/>
              </w:rPr>
              <w:t xml:space="preserve">  </w:t>
            </w:r>
            <w:r w:rsidR="00544A50">
              <w:rPr>
                <w:rFonts w:ascii="Times New Roman" w:hAnsi="Times New Roman"/>
                <w:sz w:val="22"/>
                <w:szCs w:val="22"/>
              </w:rPr>
              <w:t>The BTC stated that t</w:t>
            </w:r>
            <w:r w:rsidRPr="00DE3DBE" w:rsidR="009659A2">
              <w:rPr>
                <w:rFonts w:ascii="Times New Roman" w:hAnsi="Times New Roman"/>
                <w:sz w:val="22"/>
                <w:szCs w:val="22"/>
              </w:rPr>
              <w:t>he proposed new section III.A.22 of the User Agreement should be re-written as follows</w:t>
            </w:r>
            <w:r w:rsidR="0087789F">
              <w:rPr>
                <w:rFonts w:ascii="Times New Roman" w:hAnsi="Times New Roman"/>
                <w:sz w:val="22"/>
                <w:szCs w:val="22"/>
              </w:rPr>
              <w:t xml:space="preserve">, </w:t>
            </w:r>
            <w:r w:rsidRPr="00DE3DBE" w:rsidR="009659A2">
              <w:rPr>
                <w:rFonts w:ascii="Times New Roman" w:hAnsi="Times New Roman"/>
                <w:sz w:val="22"/>
                <w:szCs w:val="22"/>
              </w:rPr>
              <w:t xml:space="preserve">to resolve all of the regulatory overreach issues </w:t>
            </w:r>
            <w:r w:rsidR="00544A50">
              <w:rPr>
                <w:rFonts w:ascii="Times New Roman" w:hAnsi="Times New Roman"/>
                <w:sz w:val="22"/>
                <w:szCs w:val="22"/>
              </w:rPr>
              <w:t xml:space="preserve">they </w:t>
            </w:r>
            <w:r w:rsidRPr="00DE3DBE" w:rsidR="009659A2">
              <w:rPr>
                <w:rFonts w:ascii="Times New Roman" w:hAnsi="Times New Roman"/>
                <w:sz w:val="22"/>
                <w:szCs w:val="22"/>
              </w:rPr>
              <w:t xml:space="preserve">described </w:t>
            </w:r>
            <w:r w:rsidR="00544A50">
              <w:rPr>
                <w:rFonts w:ascii="Times New Roman" w:hAnsi="Times New Roman"/>
                <w:sz w:val="22"/>
                <w:szCs w:val="22"/>
              </w:rPr>
              <w:t>repeatedly</w:t>
            </w:r>
            <w:r w:rsidRPr="00DE3DBE" w:rsidR="009659A2">
              <w:rPr>
                <w:rFonts w:ascii="Times New Roman" w:hAnsi="Times New Roman"/>
                <w:sz w:val="22"/>
                <w:szCs w:val="22"/>
              </w:rPr>
              <w:t xml:space="preserve"> and </w:t>
            </w:r>
            <w:r w:rsidR="00544A50">
              <w:rPr>
                <w:rFonts w:ascii="Times New Roman" w:hAnsi="Times New Roman"/>
                <w:sz w:val="22"/>
                <w:szCs w:val="22"/>
              </w:rPr>
              <w:t xml:space="preserve">to </w:t>
            </w:r>
            <w:r w:rsidRPr="00DE3DBE" w:rsidR="009659A2">
              <w:rPr>
                <w:rFonts w:ascii="Times New Roman" w:hAnsi="Times New Roman"/>
                <w:sz w:val="22"/>
                <w:szCs w:val="22"/>
              </w:rPr>
              <w:t>align the User Agreement with existing GLBA regulatory requirements:</w:t>
            </w:r>
          </w:p>
          <w:p w:rsidR="00E54408" w:rsidP="009659A2" w:rsidRDefault="009659A2" w14:paraId="552DB766" w14:textId="77777777">
            <w:pPr>
              <w:rPr>
                <w:rFonts w:ascii="Times New Roman" w:hAnsi="Times New Roman"/>
                <w:color w:val="002060"/>
                <w:sz w:val="22"/>
                <w:szCs w:val="22"/>
              </w:rPr>
            </w:pPr>
            <w:r w:rsidRPr="00DE3DBE">
              <w:rPr>
                <w:rFonts w:ascii="Times New Roman" w:hAnsi="Times New Roman"/>
                <w:color w:val="002060"/>
                <w:sz w:val="22"/>
                <w:szCs w:val="22"/>
              </w:rPr>
              <w:t>“Consistent with its Permitted Entity Certification and existing obligations under the GLBA, the Permitted Entity shall maintain policies and procedures that 1) ensure the security and confidentiality of the SSN Verifications and 2) ensure SSN Verifications that are maintained in a Managed Service Provider or Cloud Service Provider are encrypted at rest and in transit, and 3) assess the sufficiency of these policies and procedures on an ongoing basis. The Permitted Entity must not provide the Managed Service Provider or Cloud Service Provider the key to unencrypt the SSN Verification maintained in their environment.”</w:t>
            </w:r>
            <w:r w:rsidR="007224AF">
              <w:rPr>
                <w:rFonts w:ascii="Times New Roman" w:hAnsi="Times New Roman"/>
                <w:color w:val="002060"/>
                <w:sz w:val="22"/>
                <w:szCs w:val="22"/>
              </w:rPr>
              <w:t xml:space="preserve"> </w:t>
            </w:r>
          </w:p>
          <w:p w:rsidRPr="00DE3DBE" w:rsidR="007224AF" w:rsidP="009659A2" w:rsidRDefault="007224AF" w14:paraId="742331E4" w14:textId="6599B7D1">
            <w:pPr>
              <w:rPr>
                <w:rFonts w:ascii="Times New Roman" w:hAnsi="Times New Roman"/>
                <w:sz w:val="22"/>
                <w:szCs w:val="22"/>
              </w:rPr>
            </w:pPr>
          </w:p>
        </w:tc>
        <w:tc>
          <w:tcPr>
            <w:tcW w:w="0" w:type="auto"/>
          </w:tcPr>
          <w:p w:rsidR="002A3B4B" w:rsidP="009659A2" w:rsidRDefault="00627073" w14:paraId="4F445E4C" w14:textId="1265C741">
            <w:pPr>
              <w:rPr>
                <w:rFonts w:ascii="Times New Roman" w:hAnsi="Times New Roman"/>
                <w:color w:val="0000FF"/>
                <w:sz w:val="22"/>
                <w:szCs w:val="22"/>
              </w:rPr>
            </w:pPr>
            <w:r w:rsidRPr="00544A50">
              <w:rPr>
                <w:rFonts w:ascii="Times New Roman" w:hAnsi="Times New Roman"/>
                <w:b/>
                <w:bCs/>
                <w:color w:val="0070C0"/>
                <w:sz w:val="22"/>
                <w:szCs w:val="22"/>
              </w:rPr>
              <w:t>Response #5:</w:t>
            </w:r>
            <w:r w:rsidRPr="00544A50">
              <w:rPr>
                <w:rFonts w:ascii="Times New Roman" w:hAnsi="Times New Roman"/>
                <w:color w:val="0070C0"/>
                <w:sz w:val="22"/>
                <w:szCs w:val="22"/>
              </w:rPr>
              <w:t xml:space="preserve">  </w:t>
            </w:r>
            <w:r w:rsidRPr="00DE3DBE" w:rsidR="009659A2">
              <w:rPr>
                <w:rFonts w:ascii="Times New Roman" w:hAnsi="Times New Roman"/>
                <w:sz w:val="22"/>
                <w:szCs w:val="22"/>
              </w:rPr>
              <w:t>While SSA disagrees with the characterization of our requirements as “regulatory overreach,” we agree to accept the language proposed by the BTC for proposed new section III.A.22.</w:t>
            </w:r>
            <w:r w:rsidR="00D029BC">
              <w:rPr>
                <w:rFonts w:ascii="Times New Roman" w:hAnsi="Times New Roman"/>
                <w:sz w:val="22"/>
                <w:szCs w:val="22"/>
              </w:rPr>
              <w:t xml:space="preserve"> </w:t>
            </w:r>
            <w:r w:rsidR="007224AF">
              <w:rPr>
                <w:rFonts w:ascii="Times New Roman" w:hAnsi="Times New Roman"/>
                <w:sz w:val="22"/>
                <w:szCs w:val="22"/>
              </w:rPr>
              <w:t xml:space="preserve"> </w:t>
            </w:r>
          </w:p>
          <w:p w:rsidR="002A3B4B" w:rsidP="009659A2" w:rsidRDefault="002A3B4B" w14:paraId="62113B57" w14:textId="4A1E5285">
            <w:pPr>
              <w:rPr>
                <w:rFonts w:ascii="Times New Roman" w:hAnsi="Times New Roman"/>
                <w:color w:val="0000FF"/>
                <w:sz w:val="22"/>
                <w:szCs w:val="22"/>
              </w:rPr>
            </w:pPr>
          </w:p>
          <w:p w:rsidR="002A3B4B" w:rsidP="009659A2" w:rsidRDefault="002A3B4B" w14:paraId="085090F6" w14:textId="15D5DC46">
            <w:pPr>
              <w:rPr>
                <w:rFonts w:ascii="Times New Roman" w:hAnsi="Times New Roman"/>
                <w:color w:val="0000FF"/>
                <w:sz w:val="22"/>
                <w:szCs w:val="22"/>
              </w:rPr>
            </w:pPr>
          </w:p>
          <w:p w:rsidR="002A3B4B" w:rsidP="009659A2" w:rsidRDefault="002A3B4B" w14:paraId="48703807" w14:textId="14225324">
            <w:pPr>
              <w:rPr>
                <w:rFonts w:ascii="Times New Roman" w:hAnsi="Times New Roman"/>
                <w:color w:val="0000FF"/>
                <w:sz w:val="22"/>
                <w:szCs w:val="22"/>
              </w:rPr>
            </w:pPr>
          </w:p>
          <w:p w:rsidR="002A3B4B" w:rsidP="009659A2" w:rsidRDefault="002A3B4B" w14:paraId="03DC4374" w14:textId="34147589">
            <w:pPr>
              <w:rPr>
                <w:rFonts w:ascii="Times New Roman" w:hAnsi="Times New Roman"/>
                <w:color w:val="0000FF"/>
                <w:sz w:val="22"/>
                <w:szCs w:val="22"/>
              </w:rPr>
            </w:pPr>
          </w:p>
          <w:p w:rsidR="002A3B4B" w:rsidP="009659A2" w:rsidRDefault="002A3B4B" w14:paraId="0FEDCBAF" w14:textId="30ABB3EB">
            <w:pPr>
              <w:rPr>
                <w:rFonts w:ascii="Times New Roman" w:hAnsi="Times New Roman"/>
                <w:color w:val="0000FF"/>
                <w:sz w:val="22"/>
                <w:szCs w:val="22"/>
              </w:rPr>
            </w:pPr>
          </w:p>
          <w:p w:rsidR="002A3B4B" w:rsidP="009659A2" w:rsidRDefault="002A3B4B" w14:paraId="462212D1" w14:textId="2438AA9A">
            <w:pPr>
              <w:rPr>
                <w:rFonts w:ascii="Times New Roman" w:hAnsi="Times New Roman"/>
                <w:color w:val="0000FF"/>
                <w:sz w:val="22"/>
                <w:szCs w:val="22"/>
              </w:rPr>
            </w:pPr>
          </w:p>
          <w:p w:rsidR="002A3B4B" w:rsidP="009659A2" w:rsidRDefault="002A3B4B" w14:paraId="2CF5A525" w14:textId="66CD560E">
            <w:pPr>
              <w:rPr>
                <w:rFonts w:ascii="Times New Roman" w:hAnsi="Times New Roman"/>
                <w:color w:val="0000FF"/>
                <w:sz w:val="22"/>
                <w:szCs w:val="22"/>
              </w:rPr>
            </w:pPr>
          </w:p>
          <w:p w:rsidR="002A3B4B" w:rsidP="009659A2" w:rsidRDefault="002A3B4B" w14:paraId="6E6B3A37" w14:textId="22A535BC">
            <w:pPr>
              <w:rPr>
                <w:rFonts w:ascii="Times New Roman" w:hAnsi="Times New Roman"/>
                <w:color w:val="0000FF"/>
                <w:sz w:val="22"/>
                <w:szCs w:val="22"/>
              </w:rPr>
            </w:pPr>
          </w:p>
          <w:p w:rsidR="002A3B4B" w:rsidP="009659A2" w:rsidRDefault="002A3B4B" w14:paraId="370B3A8C" w14:textId="44D1F11D">
            <w:pPr>
              <w:rPr>
                <w:rFonts w:ascii="Times New Roman" w:hAnsi="Times New Roman"/>
                <w:color w:val="0000FF"/>
                <w:sz w:val="22"/>
                <w:szCs w:val="22"/>
              </w:rPr>
            </w:pPr>
          </w:p>
          <w:p w:rsidR="002A3B4B" w:rsidP="009659A2" w:rsidRDefault="002A3B4B" w14:paraId="451BC0B9" w14:textId="54BD5538">
            <w:pPr>
              <w:rPr>
                <w:rFonts w:ascii="Times New Roman" w:hAnsi="Times New Roman"/>
                <w:color w:val="0000FF"/>
                <w:sz w:val="22"/>
                <w:szCs w:val="22"/>
              </w:rPr>
            </w:pPr>
          </w:p>
          <w:p w:rsidR="002A3B4B" w:rsidP="009659A2" w:rsidRDefault="002A3B4B" w14:paraId="7E7B2147" w14:textId="54B89C20">
            <w:pPr>
              <w:rPr>
                <w:rFonts w:ascii="Times New Roman" w:hAnsi="Times New Roman"/>
                <w:color w:val="0000FF"/>
                <w:sz w:val="22"/>
                <w:szCs w:val="22"/>
              </w:rPr>
            </w:pPr>
          </w:p>
          <w:p w:rsidR="002A3B4B" w:rsidP="009659A2" w:rsidRDefault="002A3B4B" w14:paraId="494A50DD" w14:textId="430D14F0">
            <w:pPr>
              <w:rPr>
                <w:rFonts w:ascii="Times New Roman" w:hAnsi="Times New Roman"/>
                <w:color w:val="0000FF"/>
                <w:sz w:val="22"/>
                <w:szCs w:val="22"/>
              </w:rPr>
            </w:pPr>
          </w:p>
          <w:p w:rsidR="002A3B4B" w:rsidP="009659A2" w:rsidRDefault="002A3B4B" w14:paraId="67E90F2E" w14:textId="72F8494D">
            <w:pPr>
              <w:rPr>
                <w:rFonts w:ascii="Times New Roman" w:hAnsi="Times New Roman"/>
                <w:color w:val="0000FF"/>
                <w:sz w:val="22"/>
                <w:szCs w:val="22"/>
              </w:rPr>
            </w:pPr>
          </w:p>
          <w:p w:rsidR="002A3B4B" w:rsidP="009659A2" w:rsidRDefault="002A3B4B" w14:paraId="3A20F6E6" w14:textId="1DACAD00">
            <w:pPr>
              <w:rPr>
                <w:rFonts w:ascii="Times New Roman" w:hAnsi="Times New Roman"/>
                <w:color w:val="0000FF"/>
                <w:sz w:val="22"/>
                <w:szCs w:val="22"/>
              </w:rPr>
            </w:pPr>
          </w:p>
          <w:p w:rsidR="002A3B4B" w:rsidP="009659A2" w:rsidRDefault="002A3B4B" w14:paraId="04758B81" w14:textId="2C7597AD">
            <w:pPr>
              <w:rPr>
                <w:rFonts w:ascii="Times New Roman" w:hAnsi="Times New Roman"/>
                <w:color w:val="0000FF"/>
                <w:sz w:val="22"/>
                <w:szCs w:val="22"/>
              </w:rPr>
            </w:pPr>
          </w:p>
          <w:p w:rsidR="002A3B4B" w:rsidP="009659A2" w:rsidRDefault="002A3B4B" w14:paraId="36488A16" w14:textId="17E6375A">
            <w:pPr>
              <w:rPr>
                <w:rFonts w:ascii="Times New Roman" w:hAnsi="Times New Roman"/>
                <w:color w:val="0000FF"/>
                <w:sz w:val="22"/>
                <w:szCs w:val="22"/>
              </w:rPr>
            </w:pPr>
          </w:p>
          <w:p w:rsidRPr="00DE3DBE" w:rsidR="002A3B4B" w:rsidP="009659A2" w:rsidRDefault="002A3B4B" w14:paraId="75E62480" w14:textId="77777777">
            <w:pPr>
              <w:rPr>
                <w:rFonts w:ascii="Times New Roman" w:hAnsi="Times New Roman"/>
                <w:color w:val="0000FF"/>
                <w:sz w:val="22"/>
                <w:szCs w:val="22"/>
              </w:rPr>
            </w:pPr>
          </w:p>
          <w:p w:rsidRPr="00DE3DBE" w:rsidR="00E54408" w:rsidP="00DC102C" w:rsidRDefault="00E54408" w14:paraId="053DF14A" w14:textId="77777777">
            <w:pPr>
              <w:rPr>
                <w:rFonts w:ascii="Times New Roman" w:hAnsi="Times New Roman"/>
                <w:sz w:val="22"/>
                <w:szCs w:val="22"/>
              </w:rPr>
            </w:pPr>
          </w:p>
        </w:tc>
        <w:tc>
          <w:tcPr>
            <w:tcW w:w="0" w:type="auto"/>
          </w:tcPr>
          <w:p w:rsidRPr="00DE3DBE" w:rsidR="00E54408" w:rsidP="00DC102C" w:rsidRDefault="0036060D" w14:paraId="133504FA" w14:textId="0D6F65AA">
            <w:pPr>
              <w:rPr>
                <w:rFonts w:ascii="Times New Roman" w:hAnsi="Times New Roman"/>
                <w:sz w:val="22"/>
                <w:szCs w:val="22"/>
              </w:rPr>
            </w:pPr>
            <w:r w:rsidRPr="00DE3DBE">
              <w:rPr>
                <w:rFonts w:ascii="Times New Roman" w:hAnsi="Times New Roman"/>
                <w:sz w:val="22"/>
                <w:szCs w:val="22"/>
              </w:rPr>
              <w:t>Issue resolved.</w:t>
            </w:r>
          </w:p>
        </w:tc>
        <w:tc>
          <w:tcPr>
            <w:tcW w:w="0" w:type="auto"/>
          </w:tcPr>
          <w:p w:rsidRPr="00DE3DBE" w:rsidR="00E54408" w:rsidP="00DC102C" w:rsidRDefault="0036060D" w14:paraId="03116678" w14:textId="23BCD6D5">
            <w:pPr>
              <w:rPr>
                <w:rFonts w:ascii="Times New Roman" w:hAnsi="Times New Roman"/>
                <w:sz w:val="22"/>
                <w:szCs w:val="22"/>
              </w:rPr>
            </w:pPr>
            <w:r w:rsidRPr="00DE3DBE">
              <w:rPr>
                <w:rFonts w:ascii="Times New Roman" w:hAnsi="Times New Roman"/>
                <w:sz w:val="22"/>
                <w:szCs w:val="22"/>
              </w:rPr>
              <w:t>N/A</w:t>
            </w:r>
          </w:p>
        </w:tc>
      </w:tr>
      <w:tr w:rsidRPr="00DE3DBE" w:rsidR="00C95F71" w:rsidTr="00E54408" w14:paraId="4A779E39" w14:textId="4D94BDF8">
        <w:tc>
          <w:tcPr>
            <w:tcW w:w="0" w:type="auto"/>
          </w:tcPr>
          <w:p w:rsidRPr="00DE3DBE" w:rsidR="00E54408" w:rsidP="00DC102C" w:rsidRDefault="00627073" w14:paraId="5961F10A" w14:textId="5DB0ECEF">
            <w:pPr>
              <w:rPr>
                <w:rFonts w:ascii="Times New Roman" w:hAnsi="Times New Roman"/>
                <w:color w:val="002060"/>
                <w:sz w:val="22"/>
                <w:szCs w:val="22"/>
              </w:rPr>
            </w:pPr>
            <w:r w:rsidRPr="00DE3DBE">
              <w:rPr>
                <w:rFonts w:ascii="Times New Roman" w:hAnsi="Times New Roman"/>
                <w:b/>
                <w:bCs/>
                <w:sz w:val="22"/>
                <w:szCs w:val="22"/>
              </w:rPr>
              <w:t xml:space="preserve">Comment #6:  </w:t>
            </w:r>
            <w:r w:rsidR="00544A50">
              <w:rPr>
                <w:rFonts w:ascii="Times New Roman" w:hAnsi="Times New Roman"/>
                <w:sz w:val="22"/>
                <w:szCs w:val="22"/>
              </w:rPr>
              <w:t>The BTC asked that t</w:t>
            </w:r>
            <w:r w:rsidRPr="00DE3DBE">
              <w:rPr>
                <w:rFonts w:ascii="Times New Roman" w:hAnsi="Times New Roman"/>
                <w:sz w:val="22"/>
                <w:szCs w:val="22"/>
              </w:rPr>
              <w:t>he proposed new section V.A.5 of the Technical Specifications and System Security section, as described in Change #3 of the Addendum, should be re-written as follows to align the User Agreement with existing GLBA regulatory requirements:</w:t>
            </w:r>
          </w:p>
          <w:p w:rsidRPr="00DE3DBE" w:rsidR="00627073" w:rsidP="00627073" w:rsidRDefault="00627073" w14:paraId="245222DB" w14:textId="06612974">
            <w:pPr>
              <w:rPr>
                <w:rFonts w:ascii="Times New Roman" w:hAnsi="Times New Roman"/>
                <w:color w:val="002060"/>
                <w:sz w:val="22"/>
                <w:szCs w:val="22"/>
              </w:rPr>
            </w:pPr>
            <w:r w:rsidRPr="00DE3DBE">
              <w:rPr>
                <w:rFonts w:ascii="Times New Roman" w:hAnsi="Times New Roman"/>
                <w:color w:val="002060"/>
                <w:sz w:val="22"/>
                <w:szCs w:val="22"/>
              </w:rPr>
              <w:t xml:space="preserve">“Consistent with its Permitted Entity Certification and existing obligations </w:t>
            </w:r>
          </w:p>
          <w:p w:rsidR="00627073" w:rsidP="00627073" w:rsidRDefault="00627073" w14:paraId="10C51E3B" w14:textId="3F3B49AE">
            <w:pPr>
              <w:rPr>
                <w:rFonts w:ascii="Times New Roman" w:hAnsi="Times New Roman"/>
                <w:color w:val="002060"/>
                <w:sz w:val="22"/>
                <w:szCs w:val="22"/>
              </w:rPr>
            </w:pPr>
            <w:r w:rsidRPr="00DE3DBE">
              <w:rPr>
                <w:rFonts w:ascii="Times New Roman" w:hAnsi="Times New Roman"/>
                <w:color w:val="002060"/>
                <w:sz w:val="22"/>
                <w:szCs w:val="22"/>
              </w:rPr>
              <w:t xml:space="preserve">under the GLBA, the Permitted Entity shall maintain policies and procedures to ensure that SSN Verifications are encrypted at rest and in transit. The Permitted Entity </w:t>
            </w:r>
            <w:r w:rsidR="00FF2D4A">
              <w:rPr>
                <w:rFonts w:ascii="Times New Roman" w:hAnsi="Times New Roman"/>
                <w:color w:val="002060"/>
                <w:sz w:val="22"/>
                <w:szCs w:val="22"/>
              </w:rPr>
              <w:t>shall</w:t>
            </w:r>
            <w:r w:rsidRPr="00DE3DBE">
              <w:rPr>
                <w:rFonts w:ascii="Times New Roman" w:hAnsi="Times New Roman"/>
                <w:color w:val="002060"/>
                <w:sz w:val="22"/>
                <w:szCs w:val="22"/>
              </w:rPr>
              <w:t xml:space="preserve"> also ensure that SSN Verifications are stored within the jurisdiction of the United States (i.e., within the continental United States, Hawaii, Alaska, Puerto Rico, Guam, and the U.S. Virgin Islands).”</w:t>
            </w:r>
          </w:p>
          <w:p w:rsidRPr="00DE3DBE" w:rsidR="002A3B4B" w:rsidP="00627073" w:rsidRDefault="002A3B4B" w14:paraId="24D3D8DE" w14:textId="1913342B">
            <w:pPr>
              <w:rPr>
                <w:rFonts w:ascii="Times New Roman" w:hAnsi="Times New Roman"/>
                <w:color w:val="002060"/>
                <w:sz w:val="22"/>
                <w:szCs w:val="22"/>
              </w:rPr>
            </w:pPr>
          </w:p>
        </w:tc>
        <w:tc>
          <w:tcPr>
            <w:tcW w:w="0" w:type="auto"/>
          </w:tcPr>
          <w:p w:rsidRPr="00DE3DBE" w:rsidR="00E54408" w:rsidP="00DC102C" w:rsidRDefault="00627073" w14:paraId="6E338B65" w14:textId="7358AA90">
            <w:pPr>
              <w:rPr>
                <w:rFonts w:ascii="Times New Roman" w:hAnsi="Times New Roman"/>
                <w:sz w:val="22"/>
                <w:szCs w:val="22"/>
              </w:rPr>
            </w:pPr>
            <w:r w:rsidRPr="00544A50">
              <w:rPr>
                <w:rFonts w:ascii="Times New Roman" w:hAnsi="Times New Roman"/>
                <w:b/>
                <w:bCs/>
                <w:color w:val="0070C0"/>
                <w:sz w:val="22"/>
                <w:szCs w:val="22"/>
              </w:rPr>
              <w:t>Response #6:</w:t>
            </w:r>
            <w:r w:rsidRPr="00544A50" w:rsidR="00AA7F2E">
              <w:rPr>
                <w:rFonts w:ascii="Times New Roman" w:hAnsi="Times New Roman"/>
                <w:b/>
                <w:bCs/>
                <w:color w:val="0070C0"/>
                <w:sz w:val="22"/>
                <w:szCs w:val="22"/>
              </w:rPr>
              <w:t xml:space="preserve">  </w:t>
            </w:r>
            <w:r w:rsidRPr="00DE3DBE" w:rsidR="00AA7F2E">
              <w:rPr>
                <w:rFonts w:ascii="Times New Roman" w:hAnsi="Times New Roman"/>
                <w:sz w:val="22"/>
                <w:szCs w:val="22"/>
              </w:rPr>
              <w:t>SSA agrees to accept this new proposed language for section V.A.5.</w:t>
            </w:r>
            <w:r w:rsidRPr="00DE3DBE">
              <w:rPr>
                <w:rFonts w:ascii="Times New Roman" w:hAnsi="Times New Roman"/>
                <w:b/>
                <w:bCs/>
                <w:sz w:val="22"/>
                <w:szCs w:val="22"/>
              </w:rPr>
              <w:t xml:space="preserve"> </w:t>
            </w:r>
            <w:r w:rsidRPr="00DE3DBE">
              <w:rPr>
                <w:rFonts w:ascii="Times New Roman" w:hAnsi="Times New Roman"/>
                <w:sz w:val="22"/>
                <w:szCs w:val="22"/>
              </w:rPr>
              <w:t xml:space="preserve">  </w:t>
            </w:r>
          </w:p>
        </w:tc>
        <w:tc>
          <w:tcPr>
            <w:tcW w:w="0" w:type="auto"/>
          </w:tcPr>
          <w:p w:rsidRPr="00DE3DBE" w:rsidR="00E54408" w:rsidP="00DC102C" w:rsidRDefault="00AA7F2E" w14:paraId="252CC3BF" w14:textId="317C49C3">
            <w:pPr>
              <w:rPr>
                <w:rFonts w:ascii="Times New Roman" w:hAnsi="Times New Roman"/>
                <w:sz w:val="22"/>
                <w:szCs w:val="22"/>
              </w:rPr>
            </w:pPr>
            <w:r w:rsidRPr="00DE3DBE">
              <w:rPr>
                <w:rFonts w:ascii="Times New Roman" w:hAnsi="Times New Roman"/>
                <w:sz w:val="22"/>
                <w:szCs w:val="22"/>
              </w:rPr>
              <w:t>Issue resolved.</w:t>
            </w:r>
          </w:p>
        </w:tc>
        <w:tc>
          <w:tcPr>
            <w:tcW w:w="0" w:type="auto"/>
          </w:tcPr>
          <w:p w:rsidRPr="00DE3DBE" w:rsidR="00E54408" w:rsidP="00DC102C" w:rsidRDefault="00AA7F2E" w14:paraId="5E48ABA9" w14:textId="49275389">
            <w:pPr>
              <w:rPr>
                <w:rFonts w:ascii="Times New Roman" w:hAnsi="Times New Roman"/>
                <w:sz w:val="22"/>
                <w:szCs w:val="22"/>
              </w:rPr>
            </w:pPr>
            <w:r w:rsidRPr="00DE3DBE">
              <w:rPr>
                <w:rFonts w:ascii="Times New Roman" w:hAnsi="Times New Roman"/>
                <w:sz w:val="22"/>
                <w:szCs w:val="22"/>
              </w:rPr>
              <w:t>N/A</w:t>
            </w:r>
          </w:p>
        </w:tc>
      </w:tr>
      <w:tr w:rsidRPr="00DE3DBE" w:rsidR="00C95F71" w:rsidTr="00E54408" w14:paraId="27AEC6EC" w14:textId="24EE57B3">
        <w:tc>
          <w:tcPr>
            <w:tcW w:w="0" w:type="auto"/>
          </w:tcPr>
          <w:p w:rsidRPr="00DE3DBE" w:rsidR="00E54408" w:rsidP="007D02F2" w:rsidRDefault="007D02F2" w14:paraId="75D49B4A" w14:textId="634D6788">
            <w:pPr>
              <w:rPr>
                <w:rFonts w:ascii="Times New Roman" w:hAnsi="Times New Roman"/>
                <w:sz w:val="22"/>
                <w:szCs w:val="22"/>
              </w:rPr>
            </w:pPr>
            <w:r w:rsidRPr="00DE3DBE">
              <w:rPr>
                <w:rFonts w:ascii="Times New Roman" w:hAnsi="Times New Roman"/>
                <w:b/>
                <w:bCs/>
                <w:sz w:val="22"/>
                <w:szCs w:val="22"/>
              </w:rPr>
              <w:t xml:space="preserve">Comment #7:  </w:t>
            </w:r>
            <w:r w:rsidR="00544A50">
              <w:rPr>
                <w:rFonts w:ascii="Times New Roman" w:hAnsi="Times New Roman"/>
                <w:sz w:val="22"/>
                <w:szCs w:val="22"/>
              </w:rPr>
              <w:t xml:space="preserve">The BTC asserted </w:t>
            </w:r>
            <w:r w:rsidRPr="00DE3DBE">
              <w:rPr>
                <w:rFonts w:ascii="Times New Roman" w:hAnsi="Times New Roman"/>
                <w:sz w:val="22"/>
                <w:szCs w:val="22"/>
              </w:rPr>
              <w:t xml:space="preserve">1) The definition of “cloud service provider” is overly broad and conflicts with the User Agreement.  The proposed definition of “cloud service provider” is a general definition that is overly broad for purposes of eCBSV. In fact, </w:t>
            </w:r>
            <w:proofErr w:type="gramStart"/>
            <w:r w:rsidRPr="00DE3DBE">
              <w:rPr>
                <w:rFonts w:ascii="Times New Roman" w:hAnsi="Times New Roman"/>
                <w:sz w:val="22"/>
                <w:szCs w:val="22"/>
              </w:rPr>
              <w:t>due to the fact that</w:t>
            </w:r>
            <w:proofErr w:type="gramEnd"/>
            <w:r w:rsidRPr="00DE3DBE">
              <w:rPr>
                <w:rFonts w:ascii="Times New Roman" w:hAnsi="Times New Roman"/>
                <w:sz w:val="22"/>
                <w:szCs w:val="22"/>
              </w:rPr>
              <w:t xml:space="preserve"> the definition is extremely broad, it is likely to result in conflicts within the User Agreement and excessive or impossible technical burdens for some Permitted Entities. </w:t>
            </w:r>
            <w:r w:rsidR="00544A50">
              <w:rPr>
                <w:rFonts w:ascii="Times New Roman" w:hAnsi="Times New Roman"/>
                <w:sz w:val="22"/>
                <w:szCs w:val="22"/>
              </w:rPr>
              <w:t xml:space="preserve">They also said that </w:t>
            </w:r>
            <w:r w:rsidRPr="00DE3DBE">
              <w:rPr>
                <w:rFonts w:ascii="Times New Roman" w:hAnsi="Times New Roman"/>
                <w:sz w:val="22"/>
                <w:szCs w:val="22"/>
              </w:rPr>
              <w:t>2) SSA’s definition of cloud computing is unclear.</w:t>
            </w:r>
          </w:p>
          <w:p w:rsidRPr="00DE3DBE" w:rsidR="0070112C" w:rsidP="007D02F2" w:rsidRDefault="0070112C" w14:paraId="2415FD12" w14:textId="77777777">
            <w:pPr>
              <w:rPr>
                <w:rFonts w:ascii="Times New Roman" w:hAnsi="Times New Roman"/>
                <w:sz w:val="22"/>
                <w:szCs w:val="22"/>
              </w:rPr>
            </w:pPr>
          </w:p>
          <w:p w:rsidRPr="00DE3DBE" w:rsidR="0070112C" w:rsidP="0070112C" w:rsidRDefault="00544A50" w14:paraId="7A9A64BE" w14:textId="661E6420">
            <w:pPr>
              <w:rPr>
                <w:rFonts w:ascii="Times New Roman" w:hAnsi="Times New Roman"/>
                <w:sz w:val="22"/>
                <w:szCs w:val="22"/>
                <w:u w:val="single"/>
              </w:rPr>
            </w:pPr>
            <w:r>
              <w:rPr>
                <w:rFonts w:ascii="Times New Roman" w:hAnsi="Times New Roman"/>
                <w:sz w:val="22"/>
                <w:szCs w:val="22"/>
                <w:u w:val="single"/>
              </w:rPr>
              <w:t>They</w:t>
            </w:r>
            <w:r w:rsidRPr="00DE3DBE" w:rsidR="0070112C">
              <w:rPr>
                <w:rFonts w:ascii="Times New Roman" w:hAnsi="Times New Roman"/>
                <w:sz w:val="22"/>
                <w:szCs w:val="22"/>
                <w:u w:val="single"/>
              </w:rPr>
              <w:t xml:space="preserve"> request</w:t>
            </w:r>
            <w:r>
              <w:rPr>
                <w:rFonts w:ascii="Times New Roman" w:hAnsi="Times New Roman"/>
                <w:sz w:val="22"/>
                <w:szCs w:val="22"/>
                <w:u w:val="single"/>
              </w:rPr>
              <w:t>ed</w:t>
            </w:r>
            <w:r w:rsidRPr="00DE3DBE" w:rsidR="0070112C">
              <w:rPr>
                <w:rFonts w:ascii="Times New Roman" w:hAnsi="Times New Roman"/>
                <w:sz w:val="22"/>
                <w:szCs w:val="22"/>
                <w:u w:val="single"/>
              </w:rPr>
              <w:t xml:space="preserve"> SSA resolve this by taking the following two actions:</w:t>
            </w:r>
          </w:p>
          <w:p w:rsidRPr="00DE3DBE" w:rsidR="0070112C" w:rsidP="0070112C" w:rsidRDefault="0070112C" w14:paraId="1017B8A0" w14:textId="4DB27A22">
            <w:pPr>
              <w:rPr>
                <w:rFonts w:ascii="Times New Roman" w:hAnsi="Times New Roman"/>
                <w:sz w:val="22"/>
                <w:szCs w:val="22"/>
              </w:rPr>
            </w:pPr>
            <w:r w:rsidRPr="00DE3DBE">
              <w:rPr>
                <w:rFonts w:ascii="Times New Roman" w:hAnsi="Times New Roman"/>
                <w:sz w:val="22"/>
                <w:szCs w:val="22"/>
              </w:rPr>
              <w:t>1) Modify the definition of “cloud service provider” to limit it to the specific areas of concern for SSA in the context of eCBSV as follows:</w:t>
            </w:r>
            <w:r w:rsidR="000D3CCC">
              <w:rPr>
                <w:rFonts w:ascii="Times New Roman" w:hAnsi="Times New Roman"/>
                <w:sz w:val="22"/>
                <w:szCs w:val="22"/>
              </w:rPr>
              <w:t xml:space="preserve"> “</w:t>
            </w:r>
            <w:r w:rsidRPr="00DE3DBE">
              <w:rPr>
                <w:rFonts w:ascii="Times New Roman" w:hAnsi="Times New Roman"/>
                <w:sz w:val="22"/>
                <w:szCs w:val="22"/>
              </w:rPr>
              <w:t>A third</w:t>
            </w:r>
            <w:r w:rsidR="000D3CCC">
              <w:rPr>
                <w:rFonts w:ascii="Times New Roman" w:hAnsi="Times New Roman"/>
                <w:sz w:val="22"/>
                <w:szCs w:val="22"/>
              </w:rPr>
              <w:noBreakHyphen/>
            </w:r>
            <w:r w:rsidRPr="00DE3DBE">
              <w:rPr>
                <w:rFonts w:ascii="Times New Roman" w:hAnsi="Times New Roman"/>
                <w:sz w:val="22"/>
                <w:szCs w:val="22"/>
              </w:rPr>
              <w:t>party company offering cloud</w:t>
            </w:r>
            <w:r w:rsidR="000D3CCC">
              <w:rPr>
                <w:rFonts w:ascii="Times New Roman" w:hAnsi="Times New Roman"/>
                <w:sz w:val="22"/>
                <w:szCs w:val="22"/>
              </w:rPr>
              <w:noBreakHyphen/>
            </w:r>
            <w:r w:rsidRPr="00DE3DBE">
              <w:rPr>
                <w:rFonts w:ascii="Times New Roman" w:hAnsi="Times New Roman"/>
                <w:sz w:val="22"/>
                <w:szCs w:val="22"/>
              </w:rPr>
              <w:t>based infrastructure or storage services.</w:t>
            </w:r>
            <w:r w:rsidR="000D3CCC">
              <w:rPr>
                <w:rFonts w:ascii="Times New Roman" w:hAnsi="Times New Roman"/>
                <w:sz w:val="22"/>
                <w:szCs w:val="22"/>
              </w:rPr>
              <w:t>”</w:t>
            </w:r>
          </w:p>
          <w:p w:rsidRPr="00DE3DBE" w:rsidR="0070112C" w:rsidP="0070112C" w:rsidRDefault="0070112C" w14:paraId="3B5568EA" w14:textId="56A6B5EB">
            <w:pPr>
              <w:rPr>
                <w:rFonts w:ascii="Times New Roman" w:hAnsi="Times New Roman"/>
                <w:sz w:val="22"/>
                <w:szCs w:val="22"/>
              </w:rPr>
            </w:pPr>
          </w:p>
          <w:p w:rsidRPr="00DE3DBE" w:rsidR="0070112C" w:rsidP="0070112C" w:rsidRDefault="0070112C" w14:paraId="549DDB33" w14:textId="5F3C1A26">
            <w:pPr>
              <w:rPr>
                <w:rFonts w:ascii="Times New Roman" w:hAnsi="Times New Roman"/>
                <w:sz w:val="22"/>
                <w:szCs w:val="22"/>
              </w:rPr>
            </w:pPr>
            <w:r w:rsidRPr="00DE3DBE">
              <w:rPr>
                <w:rFonts w:ascii="Times New Roman" w:hAnsi="Times New Roman"/>
                <w:sz w:val="22"/>
                <w:szCs w:val="22"/>
              </w:rPr>
              <w:t>2) Add clarifying language to both the definitions of “cloud service provider” and “managed service provider” to indicate that, for purposes of the User Agreement, these definitions do not include “cloud service providers” or “managed service providers” who are Permitted Entities.</w:t>
            </w:r>
          </w:p>
          <w:p w:rsidRPr="00DE3DBE" w:rsidR="0070112C" w:rsidP="007D02F2" w:rsidRDefault="0070112C" w14:paraId="69FDC659" w14:textId="78565C0B">
            <w:pPr>
              <w:rPr>
                <w:rFonts w:ascii="Times New Roman" w:hAnsi="Times New Roman"/>
                <w:sz w:val="22"/>
                <w:szCs w:val="22"/>
              </w:rPr>
            </w:pPr>
          </w:p>
        </w:tc>
        <w:tc>
          <w:tcPr>
            <w:tcW w:w="0" w:type="auto"/>
          </w:tcPr>
          <w:p w:rsidRPr="006B3AD1" w:rsidR="007D02F2" w:rsidP="007D02F2" w:rsidRDefault="007D02F2" w14:paraId="34791639" w14:textId="75D578F7">
            <w:pPr>
              <w:pStyle w:val="Default"/>
              <w:spacing w:after="120"/>
              <w:rPr>
                <w:i/>
                <w:iCs/>
                <w:color w:val="0000FF"/>
                <w:sz w:val="22"/>
                <w:szCs w:val="22"/>
              </w:rPr>
            </w:pPr>
            <w:r w:rsidRPr="00544A50">
              <w:rPr>
                <w:b/>
                <w:bCs/>
                <w:color w:val="0070C0"/>
                <w:sz w:val="22"/>
                <w:szCs w:val="22"/>
              </w:rPr>
              <w:t>Response #</w:t>
            </w:r>
            <w:r w:rsidRPr="00544A50" w:rsidR="0070112C">
              <w:rPr>
                <w:b/>
                <w:bCs/>
                <w:color w:val="0070C0"/>
                <w:sz w:val="22"/>
                <w:szCs w:val="22"/>
              </w:rPr>
              <w:t>7</w:t>
            </w:r>
            <w:r w:rsidRPr="00544A50">
              <w:rPr>
                <w:b/>
                <w:bCs/>
                <w:color w:val="0070C0"/>
                <w:sz w:val="22"/>
                <w:szCs w:val="22"/>
              </w:rPr>
              <w:t xml:space="preserve">:  </w:t>
            </w:r>
            <w:r w:rsidRPr="00DE3DBE">
              <w:rPr>
                <w:sz w:val="22"/>
                <w:szCs w:val="22"/>
              </w:rPr>
              <w:t xml:space="preserve">SSA agrees </w:t>
            </w:r>
            <w:r w:rsidR="00300468">
              <w:rPr>
                <w:sz w:val="22"/>
                <w:szCs w:val="22"/>
              </w:rPr>
              <w:t xml:space="preserve">to </w:t>
            </w:r>
            <w:r w:rsidR="00610217">
              <w:rPr>
                <w:sz w:val="22"/>
                <w:szCs w:val="22"/>
              </w:rPr>
              <w:t>define</w:t>
            </w:r>
            <w:r w:rsidRPr="00DE3DBE">
              <w:rPr>
                <w:sz w:val="22"/>
                <w:szCs w:val="22"/>
              </w:rPr>
              <w:t xml:space="preserve"> </w:t>
            </w:r>
            <w:r w:rsidR="00610217">
              <w:rPr>
                <w:sz w:val="22"/>
                <w:szCs w:val="22"/>
              </w:rPr>
              <w:t>“c</w:t>
            </w:r>
            <w:r w:rsidRPr="00DE3DBE">
              <w:rPr>
                <w:sz w:val="22"/>
                <w:szCs w:val="22"/>
              </w:rPr>
              <w:t xml:space="preserve">loud </w:t>
            </w:r>
            <w:r w:rsidR="00610217">
              <w:rPr>
                <w:sz w:val="22"/>
                <w:szCs w:val="22"/>
              </w:rPr>
              <w:t>s</w:t>
            </w:r>
            <w:r w:rsidRPr="00DE3DBE">
              <w:rPr>
                <w:sz w:val="22"/>
                <w:szCs w:val="22"/>
              </w:rPr>
              <w:t xml:space="preserve">ervice </w:t>
            </w:r>
            <w:r w:rsidR="00610217">
              <w:rPr>
                <w:sz w:val="22"/>
                <w:szCs w:val="22"/>
              </w:rPr>
              <w:t>p</w:t>
            </w:r>
            <w:r w:rsidRPr="00DE3DBE">
              <w:rPr>
                <w:sz w:val="22"/>
                <w:szCs w:val="22"/>
              </w:rPr>
              <w:t>rovider</w:t>
            </w:r>
            <w:r w:rsidR="00610217">
              <w:rPr>
                <w:sz w:val="22"/>
                <w:szCs w:val="22"/>
              </w:rPr>
              <w:t>”</w:t>
            </w:r>
            <w:r w:rsidRPr="00DE3DBE">
              <w:rPr>
                <w:sz w:val="22"/>
                <w:szCs w:val="22"/>
              </w:rPr>
              <w:t xml:space="preserve"> within the scope of eCBSV.  </w:t>
            </w:r>
            <w:r w:rsidRPr="00DE3DBE" w:rsidR="0055668A">
              <w:rPr>
                <w:sz w:val="22"/>
                <w:szCs w:val="22"/>
              </w:rPr>
              <w:t>Accordingly, SSA agre</w:t>
            </w:r>
            <w:r w:rsidRPr="00DE3DBE">
              <w:rPr>
                <w:color w:val="auto"/>
                <w:sz w:val="22"/>
                <w:szCs w:val="22"/>
              </w:rPr>
              <w:t>es with the BTC’s first recommendation</w:t>
            </w:r>
            <w:r w:rsidRPr="00DE3DBE" w:rsidR="0055668A">
              <w:rPr>
                <w:color w:val="auto"/>
                <w:sz w:val="22"/>
                <w:szCs w:val="22"/>
              </w:rPr>
              <w:t xml:space="preserve">, to modify the </w:t>
            </w:r>
            <w:r w:rsidRPr="00DE3DBE" w:rsidR="0055668A">
              <w:rPr>
                <w:sz w:val="22"/>
                <w:szCs w:val="22"/>
              </w:rPr>
              <w:t>definition of “cloud service provider” to limit it to the specific areas of concern for SSA in the context of eCBSV as follows:</w:t>
            </w:r>
            <w:r w:rsidRPr="00DE3DBE">
              <w:rPr>
                <w:color w:val="auto"/>
                <w:sz w:val="22"/>
                <w:szCs w:val="22"/>
              </w:rPr>
              <w:t xml:space="preserve">  </w:t>
            </w:r>
            <w:r w:rsidRPr="00DE3DBE">
              <w:rPr>
                <w:color w:val="0000FF"/>
                <w:sz w:val="22"/>
                <w:szCs w:val="22"/>
              </w:rPr>
              <w:t>“A third-party company offering cloud-based infrastructure or storage services.”</w:t>
            </w:r>
            <w:r w:rsidR="006B3AD1">
              <w:rPr>
                <w:color w:val="0000FF"/>
                <w:sz w:val="22"/>
                <w:szCs w:val="22"/>
              </w:rPr>
              <w:t xml:space="preserve"> </w:t>
            </w:r>
            <w:r w:rsidRPr="006B3AD1" w:rsidR="006B3AD1">
              <w:rPr>
                <w:color w:val="auto"/>
                <w:sz w:val="22"/>
                <w:szCs w:val="22"/>
              </w:rPr>
              <w:t>(</w:t>
            </w:r>
            <w:r w:rsidRPr="006B3AD1" w:rsidR="006B3AD1">
              <w:rPr>
                <w:i/>
                <w:iCs/>
                <w:color w:val="auto"/>
                <w:sz w:val="22"/>
                <w:szCs w:val="22"/>
              </w:rPr>
              <w:t>see page 2)</w:t>
            </w:r>
          </w:p>
          <w:p w:rsidRPr="00DE3DBE" w:rsidR="007D02F2" w:rsidP="007D02F2" w:rsidRDefault="007D02F2" w14:paraId="24566146" w14:textId="2FFCB6D6">
            <w:pPr>
              <w:rPr>
                <w:rFonts w:ascii="Times New Roman" w:hAnsi="Times New Roman"/>
                <w:sz w:val="22"/>
                <w:szCs w:val="22"/>
              </w:rPr>
            </w:pPr>
            <w:r w:rsidRPr="00DE3DBE">
              <w:rPr>
                <w:rFonts w:ascii="Times New Roman" w:hAnsi="Times New Roman"/>
                <w:sz w:val="22"/>
                <w:szCs w:val="22"/>
              </w:rPr>
              <w:t xml:space="preserve">However, SSA does not agree with the BTC’s second point.  SSA uses the </w:t>
            </w:r>
            <w:r w:rsidR="00610217">
              <w:rPr>
                <w:rFonts w:ascii="Times New Roman" w:hAnsi="Times New Roman"/>
                <w:sz w:val="22"/>
                <w:szCs w:val="22"/>
              </w:rPr>
              <w:t>National Institute of Standards and Technology (</w:t>
            </w:r>
            <w:r w:rsidRPr="00DE3DBE" w:rsidR="00610217">
              <w:rPr>
                <w:rFonts w:ascii="Times New Roman" w:hAnsi="Times New Roman"/>
                <w:sz w:val="22"/>
                <w:szCs w:val="22"/>
              </w:rPr>
              <w:t>NIST</w:t>
            </w:r>
            <w:r w:rsidR="00610217">
              <w:rPr>
                <w:rFonts w:ascii="Times New Roman" w:hAnsi="Times New Roman"/>
                <w:sz w:val="22"/>
                <w:szCs w:val="22"/>
              </w:rPr>
              <w:t>)</w:t>
            </w:r>
            <w:r w:rsidRPr="00DE3DBE">
              <w:rPr>
                <w:rFonts w:ascii="Times New Roman" w:hAnsi="Times New Roman"/>
                <w:sz w:val="22"/>
                <w:szCs w:val="22"/>
              </w:rPr>
              <w:t xml:space="preserve"> definition of cloud computing (</w:t>
            </w:r>
            <w:hyperlink w:history="1" r:id="rId10">
              <w:r w:rsidRPr="00DE3DBE">
                <w:rPr>
                  <w:rStyle w:val="Hyperlink"/>
                  <w:rFonts w:ascii="Times New Roman" w:hAnsi="Times New Roman"/>
                  <w:color w:val="0000FF"/>
                  <w:sz w:val="22"/>
                  <w:szCs w:val="22"/>
                </w:rPr>
                <w:t>Special Publication 800-145</w:t>
              </w:r>
            </w:hyperlink>
            <w:r w:rsidRPr="00DE3DBE">
              <w:rPr>
                <w:rStyle w:val="Hyperlink"/>
                <w:rFonts w:ascii="Times New Roman" w:hAnsi="Times New Roman"/>
                <w:sz w:val="22"/>
                <w:szCs w:val="22"/>
              </w:rPr>
              <w:t>).</w:t>
            </w:r>
            <w:r w:rsidRPr="00DE3DBE" w:rsidR="0055668A">
              <w:rPr>
                <w:rStyle w:val="Hyperlink"/>
                <w:rFonts w:ascii="Times New Roman" w:hAnsi="Times New Roman"/>
                <w:sz w:val="22"/>
                <w:szCs w:val="22"/>
              </w:rPr>
              <w:t xml:space="preserve">  </w:t>
            </w:r>
            <w:r w:rsidRPr="00DE3DBE" w:rsidR="0055668A">
              <w:rPr>
                <w:rFonts w:ascii="Times New Roman" w:hAnsi="Times New Roman"/>
                <w:bCs/>
                <w:sz w:val="22"/>
                <w:szCs w:val="22"/>
              </w:rPr>
              <w:t>Therefore, we will not change our current definitions in the User Agreement.</w:t>
            </w:r>
          </w:p>
          <w:p w:rsidRPr="00DE3DBE" w:rsidR="00E54408" w:rsidP="00DC102C" w:rsidRDefault="00E54408" w14:paraId="47AF35C6" w14:textId="20DE88BB">
            <w:pPr>
              <w:rPr>
                <w:rFonts w:ascii="Times New Roman" w:hAnsi="Times New Roman"/>
                <w:sz w:val="22"/>
                <w:szCs w:val="22"/>
              </w:rPr>
            </w:pPr>
          </w:p>
        </w:tc>
        <w:tc>
          <w:tcPr>
            <w:tcW w:w="0" w:type="auto"/>
          </w:tcPr>
          <w:p w:rsidRPr="00DE3DBE" w:rsidR="00E54408" w:rsidP="00DC102C" w:rsidRDefault="007D02F2" w14:paraId="56FCB7FD" w14:textId="74CC02A9">
            <w:pPr>
              <w:rPr>
                <w:rFonts w:ascii="Times New Roman" w:hAnsi="Times New Roman"/>
                <w:sz w:val="22"/>
                <w:szCs w:val="22"/>
              </w:rPr>
            </w:pPr>
            <w:r w:rsidRPr="00DE3DBE">
              <w:rPr>
                <w:rFonts w:ascii="Times New Roman" w:hAnsi="Times New Roman"/>
                <w:sz w:val="22"/>
                <w:szCs w:val="22"/>
              </w:rPr>
              <w:t>Issue resolved</w:t>
            </w:r>
            <w:r w:rsidRPr="00DE3DBE" w:rsidR="0055668A">
              <w:rPr>
                <w:rFonts w:ascii="Times New Roman" w:hAnsi="Times New Roman"/>
                <w:sz w:val="22"/>
                <w:szCs w:val="22"/>
              </w:rPr>
              <w:t>.  SSA has made changes where we can do so.</w:t>
            </w:r>
          </w:p>
        </w:tc>
        <w:tc>
          <w:tcPr>
            <w:tcW w:w="0" w:type="auto"/>
          </w:tcPr>
          <w:p w:rsidRPr="00DE3DBE" w:rsidR="00E54408" w:rsidP="00DC102C" w:rsidRDefault="0055668A" w14:paraId="66A737AE" w14:textId="031BB25D">
            <w:pPr>
              <w:rPr>
                <w:rFonts w:ascii="Times New Roman" w:hAnsi="Times New Roman"/>
                <w:sz w:val="22"/>
                <w:szCs w:val="22"/>
              </w:rPr>
            </w:pPr>
            <w:r w:rsidRPr="00DE3DBE">
              <w:rPr>
                <w:rFonts w:ascii="Times New Roman" w:hAnsi="Times New Roman"/>
                <w:sz w:val="22"/>
                <w:szCs w:val="22"/>
              </w:rPr>
              <w:t>SSA uses the NIST definition of cloud computing, so we cannot change our current definitions</w:t>
            </w:r>
            <w:r w:rsidRPr="00DE3DBE" w:rsidR="00C27CC9">
              <w:rPr>
                <w:rFonts w:ascii="Times New Roman" w:hAnsi="Times New Roman"/>
                <w:sz w:val="22"/>
                <w:szCs w:val="22"/>
              </w:rPr>
              <w:t xml:space="preserve"> in the User Agreement. </w:t>
            </w:r>
          </w:p>
        </w:tc>
      </w:tr>
    </w:tbl>
    <w:p w:rsidR="005C2947" w:rsidP="00DC102C" w:rsidRDefault="005C2947" w14:paraId="00F40D74" w14:textId="35D5F84E">
      <w:pPr>
        <w:rPr>
          <w:rFonts w:ascii="Times New Roman" w:hAnsi="Times New Roman"/>
          <w:b/>
          <w:sz w:val="22"/>
          <w:szCs w:val="22"/>
          <w:highlight w:val="cyan"/>
        </w:rPr>
      </w:pPr>
    </w:p>
    <w:p w:rsidR="005C2947" w:rsidRDefault="005C2947" w14:paraId="6CA38F4A" w14:textId="77777777">
      <w:pPr>
        <w:widowControl/>
        <w:rPr>
          <w:rFonts w:ascii="Times New Roman" w:hAnsi="Times New Roman"/>
          <w:b/>
          <w:sz w:val="22"/>
          <w:szCs w:val="22"/>
          <w:highlight w:val="cyan"/>
        </w:rPr>
      </w:pPr>
      <w:r>
        <w:rPr>
          <w:rFonts w:ascii="Times New Roman" w:hAnsi="Times New Roman"/>
          <w:b/>
          <w:sz w:val="22"/>
          <w:szCs w:val="22"/>
          <w:highlight w:val="cyan"/>
        </w:rPr>
        <w:br w:type="page"/>
      </w:r>
    </w:p>
    <w:p w:rsidR="00FE6368" w:rsidP="00DC102C" w:rsidRDefault="00FE6368" w14:paraId="78F04D64" w14:textId="77777777">
      <w:pPr>
        <w:rPr>
          <w:rFonts w:ascii="Times New Roman" w:hAnsi="Times New Roman"/>
          <w:b/>
          <w:sz w:val="22"/>
          <w:szCs w:val="22"/>
          <w:highlight w:val="cyan"/>
        </w:rPr>
      </w:pPr>
    </w:p>
    <w:p w:rsidRPr="00DE3DBE" w:rsidR="00C11340" w:rsidP="00DC102C" w:rsidRDefault="00C11340" w14:paraId="73FFD106" w14:textId="5AC2D4D7">
      <w:pPr>
        <w:rPr>
          <w:rFonts w:ascii="Times New Roman" w:hAnsi="Times New Roman"/>
          <w:b/>
          <w:sz w:val="22"/>
          <w:szCs w:val="22"/>
        </w:rPr>
      </w:pPr>
      <w:r w:rsidRPr="00DE3DBE">
        <w:rPr>
          <w:rFonts w:ascii="Times New Roman" w:hAnsi="Times New Roman"/>
          <w:b/>
          <w:sz w:val="22"/>
          <w:szCs w:val="22"/>
          <w:highlight w:val="cyan"/>
        </w:rPr>
        <w:t xml:space="preserve">Part II:  Comments Relating to </w:t>
      </w:r>
      <w:r w:rsidR="005C2947">
        <w:rPr>
          <w:rFonts w:ascii="Times New Roman" w:hAnsi="Times New Roman"/>
          <w:b/>
          <w:sz w:val="22"/>
          <w:szCs w:val="22"/>
          <w:highlight w:val="cyan"/>
        </w:rPr>
        <w:t>Old Material/</w:t>
      </w:r>
      <w:r w:rsidRPr="00DE3DBE">
        <w:rPr>
          <w:rFonts w:ascii="Times New Roman" w:hAnsi="Times New Roman"/>
          <w:b/>
          <w:sz w:val="22"/>
          <w:szCs w:val="22"/>
          <w:highlight w:val="cyan"/>
        </w:rPr>
        <w:t xml:space="preserve">eCBSV Phase </w:t>
      </w:r>
      <w:r w:rsidRPr="005C2947">
        <w:rPr>
          <w:rFonts w:ascii="Times New Roman" w:hAnsi="Times New Roman"/>
          <w:b/>
          <w:sz w:val="22"/>
          <w:szCs w:val="22"/>
          <w:highlight w:val="cyan"/>
        </w:rPr>
        <w:t>I, No</w:t>
      </w:r>
      <w:r w:rsidRPr="005C2947" w:rsidR="005C2947">
        <w:rPr>
          <w:rFonts w:ascii="Times New Roman" w:hAnsi="Times New Roman"/>
          <w:b/>
          <w:sz w:val="22"/>
          <w:szCs w:val="22"/>
          <w:highlight w:val="cyan"/>
        </w:rPr>
        <w:t>t Proposed eCBSV Phase II</w:t>
      </w:r>
      <w:r w:rsidRPr="00DE3DBE">
        <w:rPr>
          <w:rFonts w:ascii="Times New Roman" w:hAnsi="Times New Roman"/>
          <w:b/>
          <w:sz w:val="22"/>
          <w:szCs w:val="22"/>
        </w:rPr>
        <w:t xml:space="preserve"> </w:t>
      </w:r>
    </w:p>
    <w:p w:rsidRPr="00DE3DBE" w:rsidR="00C11340" w:rsidP="00DC102C" w:rsidRDefault="00C11340" w14:paraId="36A04951" w14:textId="3E2988DC">
      <w:pPr>
        <w:rPr>
          <w:rFonts w:ascii="Times New Roman" w:hAnsi="Times New Roman"/>
          <w:b/>
          <w:sz w:val="22"/>
          <w:szCs w:val="22"/>
        </w:rPr>
      </w:pPr>
    </w:p>
    <w:tbl>
      <w:tblPr>
        <w:tblStyle w:val="TableGrid"/>
        <w:tblW w:w="0" w:type="auto"/>
        <w:tblCellMar>
          <w:left w:w="115" w:type="dxa"/>
          <w:right w:w="115" w:type="dxa"/>
        </w:tblCellMar>
        <w:tblLook w:val="04A0" w:firstRow="1" w:lastRow="0" w:firstColumn="1" w:lastColumn="0" w:noHBand="0" w:noVBand="1"/>
      </w:tblPr>
      <w:tblGrid>
        <w:gridCol w:w="3731"/>
        <w:gridCol w:w="4720"/>
        <w:gridCol w:w="2707"/>
        <w:gridCol w:w="1792"/>
      </w:tblGrid>
      <w:tr w:rsidRPr="00DE3DBE" w:rsidR="00140284" w:rsidTr="00681C2B" w14:paraId="2CCC7608" w14:textId="77777777">
        <w:trPr>
          <w:tblHeader/>
        </w:trPr>
        <w:tc>
          <w:tcPr>
            <w:tcW w:w="0" w:type="auto"/>
            <w:shd w:val="clear" w:color="auto" w:fill="00FFFF"/>
          </w:tcPr>
          <w:p w:rsidRPr="00DE3DBE" w:rsidR="00C11340" w:rsidP="00C11340" w:rsidRDefault="00C11340" w14:paraId="0B303EB3" w14:textId="166A90D2">
            <w:pPr>
              <w:jc w:val="center"/>
              <w:rPr>
                <w:rFonts w:ascii="Times New Roman" w:hAnsi="Times New Roman"/>
                <w:b/>
                <w:sz w:val="22"/>
                <w:szCs w:val="22"/>
              </w:rPr>
            </w:pPr>
            <w:r w:rsidRPr="00DE3DBE">
              <w:rPr>
                <w:rFonts w:ascii="Times New Roman" w:hAnsi="Times New Roman"/>
                <w:b/>
                <w:sz w:val="22"/>
                <w:szCs w:val="22"/>
              </w:rPr>
              <w:t>Commenter Concern</w:t>
            </w:r>
          </w:p>
        </w:tc>
        <w:tc>
          <w:tcPr>
            <w:tcW w:w="0" w:type="auto"/>
            <w:shd w:val="clear" w:color="auto" w:fill="00FFFF"/>
          </w:tcPr>
          <w:p w:rsidRPr="00DE3DBE" w:rsidR="00C11340" w:rsidP="00C11340" w:rsidRDefault="00C11340" w14:paraId="54E20802" w14:textId="5EACC56F">
            <w:pPr>
              <w:jc w:val="center"/>
              <w:rPr>
                <w:rFonts w:ascii="Times New Roman" w:hAnsi="Times New Roman"/>
                <w:b/>
                <w:sz w:val="22"/>
                <w:szCs w:val="22"/>
              </w:rPr>
            </w:pPr>
            <w:r w:rsidRPr="00DE3DBE">
              <w:rPr>
                <w:rFonts w:ascii="Times New Roman" w:hAnsi="Times New Roman"/>
                <w:b/>
                <w:sz w:val="22"/>
                <w:szCs w:val="22"/>
              </w:rPr>
              <w:t>SSA Response</w:t>
            </w:r>
          </w:p>
        </w:tc>
        <w:tc>
          <w:tcPr>
            <w:tcW w:w="0" w:type="auto"/>
            <w:shd w:val="clear" w:color="auto" w:fill="00FFFF"/>
          </w:tcPr>
          <w:p w:rsidRPr="00DE3DBE" w:rsidR="00C11340" w:rsidP="00C11340" w:rsidRDefault="00C11340" w14:paraId="7E5A0A4B" w14:textId="040D0F0D">
            <w:pPr>
              <w:jc w:val="center"/>
              <w:rPr>
                <w:rFonts w:ascii="Times New Roman" w:hAnsi="Times New Roman"/>
                <w:b/>
                <w:sz w:val="22"/>
                <w:szCs w:val="22"/>
              </w:rPr>
            </w:pPr>
            <w:r w:rsidRPr="00DE3DBE">
              <w:rPr>
                <w:rFonts w:ascii="Times New Roman" w:hAnsi="Times New Roman"/>
                <w:b/>
                <w:sz w:val="22"/>
                <w:szCs w:val="22"/>
              </w:rPr>
              <w:t>Final Resolution of Issue</w:t>
            </w:r>
          </w:p>
        </w:tc>
        <w:tc>
          <w:tcPr>
            <w:tcW w:w="0" w:type="auto"/>
            <w:shd w:val="clear" w:color="auto" w:fill="00FFFF"/>
          </w:tcPr>
          <w:p w:rsidRPr="00DE3DBE" w:rsidR="00C11340" w:rsidP="00C11340" w:rsidRDefault="00C11340" w14:paraId="5F49C9B8" w14:textId="43820198">
            <w:pPr>
              <w:jc w:val="center"/>
              <w:rPr>
                <w:rFonts w:ascii="Times New Roman" w:hAnsi="Times New Roman"/>
                <w:b/>
                <w:sz w:val="22"/>
                <w:szCs w:val="22"/>
              </w:rPr>
            </w:pPr>
            <w:r w:rsidRPr="00DE3DBE">
              <w:rPr>
                <w:rFonts w:ascii="Times New Roman" w:hAnsi="Times New Roman"/>
                <w:b/>
                <w:sz w:val="22"/>
                <w:szCs w:val="22"/>
              </w:rPr>
              <w:t>Reason for Inability to Fully Compromise, If Applicable</w:t>
            </w:r>
          </w:p>
        </w:tc>
      </w:tr>
      <w:tr w:rsidRPr="00DE3DBE" w:rsidR="00140284" w:rsidTr="00F41BA8" w14:paraId="153AE098" w14:textId="77777777">
        <w:tc>
          <w:tcPr>
            <w:tcW w:w="0" w:type="auto"/>
          </w:tcPr>
          <w:p w:rsidRPr="00DE3DBE" w:rsidR="00C11340" w:rsidP="00DC102C" w:rsidRDefault="003F7503" w14:paraId="3AD8D0BF" w14:textId="714217E4">
            <w:pPr>
              <w:rPr>
                <w:rFonts w:ascii="Times New Roman" w:hAnsi="Times New Roman"/>
                <w:bCs/>
                <w:sz w:val="22"/>
                <w:szCs w:val="22"/>
              </w:rPr>
            </w:pPr>
            <w:r w:rsidRPr="00DE3DBE">
              <w:rPr>
                <w:rFonts w:ascii="Times New Roman" w:hAnsi="Times New Roman"/>
                <w:b/>
                <w:sz w:val="22"/>
                <w:szCs w:val="22"/>
              </w:rPr>
              <w:t xml:space="preserve">Comment #1:  </w:t>
            </w:r>
            <w:r w:rsidR="000D6B14">
              <w:rPr>
                <w:rFonts w:ascii="Times New Roman" w:hAnsi="Times New Roman"/>
                <w:bCs/>
                <w:sz w:val="22"/>
                <w:szCs w:val="22"/>
              </w:rPr>
              <w:t>An unaffiliated</w:t>
            </w:r>
            <w:r w:rsidRPr="00DE3DBE">
              <w:rPr>
                <w:rFonts w:ascii="Times New Roman" w:hAnsi="Times New Roman"/>
                <w:bCs/>
                <w:sz w:val="22"/>
                <w:szCs w:val="22"/>
              </w:rPr>
              <w:t xml:space="preserve"> commenter stated that the fee for this service by the government is too low.  In addition, the commenter also </w:t>
            </w:r>
            <w:r w:rsidR="00755897">
              <w:rPr>
                <w:rFonts w:ascii="Times New Roman" w:hAnsi="Times New Roman"/>
                <w:bCs/>
                <w:sz w:val="22"/>
                <w:szCs w:val="22"/>
              </w:rPr>
              <w:t>questioned</w:t>
            </w:r>
            <w:r w:rsidRPr="00DE3DBE">
              <w:rPr>
                <w:rFonts w:ascii="Times New Roman" w:hAnsi="Times New Roman"/>
                <w:bCs/>
                <w:sz w:val="22"/>
                <w:szCs w:val="22"/>
              </w:rPr>
              <w:t xml:space="preserve"> how the government maintains any kind of privacy for this kind of information.   Accordingly, the commenter suggested that banks themselves should perform this service.  The commenter also said the government should charge higher fees for the service.  </w:t>
            </w:r>
          </w:p>
        </w:tc>
        <w:tc>
          <w:tcPr>
            <w:tcW w:w="0" w:type="auto"/>
          </w:tcPr>
          <w:p w:rsidRPr="00DE3DBE" w:rsidR="003F7503" w:rsidP="003F7503" w:rsidRDefault="003F7503" w14:paraId="117EE9E9" w14:textId="667D9A07">
            <w:pPr>
              <w:spacing w:after="120"/>
              <w:rPr>
                <w:rFonts w:ascii="Times New Roman" w:hAnsi="Times New Roman"/>
                <w:color w:val="000000"/>
                <w:sz w:val="22"/>
                <w:szCs w:val="22"/>
              </w:rPr>
            </w:pPr>
            <w:r w:rsidRPr="000D6B14">
              <w:rPr>
                <w:rFonts w:ascii="Times New Roman" w:hAnsi="Times New Roman"/>
                <w:b/>
                <w:bCs/>
                <w:color w:val="0070C0"/>
                <w:sz w:val="22"/>
                <w:szCs w:val="22"/>
              </w:rPr>
              <w:t>Response #</w:t>
            </w:r>
            <w:r w:rsidRPr="000D6B14" w:rsidR="00961339">
              <w:rPr>
                <w:rFonts w:ascii="Times New Roman" w:hAnsi="Times New Roman"/>
                <w:b/>
                <w:bCs/>
                <w:color w:val="0070C0"/>
                <w:sz w:val="22"/>
                <w:szCs w:val="22"/>
              </w:rPr>
              <w:t>1</w:t>
            </w:r>
            <w:r w:rsidRPr="000D6B14">
              <w:rPr>
                <w:rFonts w:ascii="Times New Roman" w:hAnsi="Times New Roman"/>
                <w:b/>
                <w:bCs/>
                <w:color w:val="0070C0"/>
                <w:sz w:val="22"/>
                <w:szCs w:val="22"/>
              </w:rPr>
              <w:t xml:space="preserve">:  </w:t>
            </w:r>
            <w:r w:rsidRPr="00DE3DBE">
              <w:rPr>
                <w:rFonts w:ascii="Times New Roman" w:hAnsi="Times New Roman"/>
                <w:bCs/>
                <w:sz w:val="22"/>
                <w:szCs w:val="22"/>
              </w:rPr>
              <w:t xml:space="preserve">The type of verification sought here can only be conducted by </w:t>
            </w:r>
            <w:r w:rsidRPr="00DE3DBE" w:rsidR="00FE6368">
              <w:rPr>
                <w:rFonts w:ascii="Times New Roman" w:hAnsi="Times New Roman"/>
                <w:bCs/>
                <w:sz w:val="22"/>
                <w:szCs w:val="22"/>
              </w:rPr>
              <w:t>SSA and</w:t>
            </w:r>
            <w:r w:rsidRPr="00DE3DBE">
              <w:rPr>
                <w:rFonts w:ascii="Times New Roman" w:hAnsi="Times New Roman"/>
                <w:bCs/>
                <w:sz w:val="22"/>
                <w:szCs w:val="22"/>
              </w:rPr>
              <w:t xml:space="preserve"> is mandated by the Banking Bill.  Regarding the </w:t>
            </w:r>
            <w:r w:rsidR="00B56172">
              <w:rPr>
                <w:rFonts w:ascii="Times New Roman" w:hAnsi="Times New Roman"/>
                <w:bCs/>
                <w:sz w:val="22"/>
                <w:szCs w:val="22"/>
              </w:rPr>
              <w:t xml:space="preserve">eCBSV </w:t>
            </w:r>
            <w:r w:rsidRPr="00DE3DBE">
              <w:rPr>
                <w:rFonts w:ascii="Times New Roman" w:hAnsi="Times New Roman"/>
                <w:bCs/>
                <w:sz w:val="22"/>
                <w:szCs w:val="22"/>
              </w:rPr>
              <w:t xml:space="preserve">fees we charge, SSA is </w:t>
            </w:r>
            <w:r w:rsidRPr="00DE3DBE">
              <w:rPr>
                <w:rFonts w:ascii="Times New Roman" w:hAnsi="Times New Roman"/>
                <w:color w:val="000000"/>
                <w:sz w:val="22"/>
                <w:szCs w:val="22"/>
              </w:rPr>
              <w:t xml:space="preserve">required to collect the full cost of eCBSV services.  SSA cannot legally profit from eCBSV services.  Each Permitted Entity (PE) is required to pay an annual tier-based subscription fee on estimated transaction volume, as well as an administrative fee.  </w:t>
            </w:r>
            <w:r w:rsidR="00B56172">
              <w:rPr>
                <w:rFonts w:ascii="Times New Roman" w:hAnsi="Times New Roman"/>
                <w:color w:val="000000"/>
                <w:sz w:val="22"/>
                <w:szCs w:val="22"/>
              </w:rPr>
              <w:t>We based the f</w:t>
            </w:r>
            <w:r w:rsidRPr="00DE3DBE">
              <w:rPr>
                <w:rFonts w:ascii="Times New Roman" w:hAnsi="Times New Roman"/>
                <w:color w:val="000000"/>
                <w:sz w:val="22"/>
                <w:szCs w:val="22"/>
              </w:rPr>
              <w:t>ees on forecasted expenses for systems and operational expenses, agency oversight, overhead and the cost to audit each PE by an independent Certified Public Accounting firm.  SSA will periodically calculate its costs to provide eCBSV services and adjust the fees accordingly.  We will notify PEs in advance of any fee adjustment and post a notice in the Federal Register.   This information was described in detail in our 2020 Paperwork Reduction Act submission.</w:t>
            </w:r>
          </w:p>
          <w:p w:rsidRPr="00DE3DBE" w:rsidR="003F7503" w:rsidP="003F7503" w:rsidRDefault="003F7503" w14:paraId="4CE03BB4" w14:textId="77777777">
            <w:pPr>
              <w:spacing w:after="120"/>
              <w:rPr>
                <w:rFonts w:ascii="Times New Roman" w:hAnsi="Times New Roman"/>
                <w:spacing w:val="3"/>
                <w:sz w:val="22"/>
                <w:szCs w:val="22"/>
                <w:shd w:val="clear" w:color="auto" w:fill="FFFFFF"/>
              </w:rPr>
            </w:pPr>
            <w:r w:rsidRPr="00DE3DBE">
              <w:rPr>
                <w:rFonts w:ascii="Times New Roman" w:hAnsi="Times New Roman"/>
                <w:color w:val="000000"/>
                <w:sz w:val="22"/>
                <w:szCs w:val="22"/>
              </w:rPr>
              <w:t xml:space="preserve">Regarding concerns about the privacy of the information we are providing, we note that the </w:t>
            </w:r>
            <w:r w:rsidRPr="00DE3DBE">
              <w:rPr>
                <w:rFonts w:ascii="Times New Roman" w:hAnsi="Times New Roman"/>
                <w:sz w:val="22"/>
                <w:szCs w:val="22"/>
              </w:rPr>
              <w:t xml:space="preserve">eCBSV services are only available to PEs that have a current, valid, and signed User Agreement in place.  Each PE is subject to a rigorous authorization and authentication protocol.  Each PE must provide SSA with a valid Employer Identification Number (EIN) and qualify as a financial institution under the </w:t>
            </w:r>
            <w:r w:rsidRPr="00DE3DBE">
              <w:rPr>
                <w:rFonts w:ascii="Times New Roman" w:hAnsi="Times New Roman"/>
                <w:i/>
                <w:iCs/>
                <w:sz w:val="22"/>
                <w:szCs w:val="22"/>
              </w:rPr>
              <w:t>Gramm-Leach-Bliley Act</w:t>
            </w:r>
            <w:r w:rsidRPr="00DE3DBE">
              <w:rPr>
                <w:rFonts w:ascii="Times New Roman" w:hAnsi="Times New Roman"/>
                <w:sz w:val="22"/>
                <w:szCs w:val="22"/>
              </w:rPr>
              <w:t xml:space="preserve"> </w:t>
            </w:r>
            <w:r w:rsidRPr="00DE3DBE">
              <w:rPr>
                <w:rFonts w:ascii="Times New Roman" w:hAnsi="Times New Roman"/>
                <w:spacing w:val="3"/>
                <w:sz w:val="22"/>
                <w:szCs w:val="22"/>
                <w:shd w:val="clear" w:color="auto" w:fill="FFFFFF"/>
              </w:rPr>
              <w:t>(15 U.S.C. 6809), or service provider, subsidiary, affiliate, agent, subcontractor, or assignee of a financial institution (section 215(b)(4)).  Additionally, each PE is required to submit a PE Certification Statement at least every two years.</w:t>
            </w:r>
          </w:p>
          <w:p w:rsidRPr="00DE3DBE" w:rsidR="00140284" w:rsidP="003F7503" w:rsidRDefault="003F7503" w14:paraId="0446B939" w14:textId="4C17047E">
            <w:pPr>
              <w:rPr>
                <w:rFonts w:ascii="Times New Roman" w:hAnsi="Times New Roman"/>
                <w:color w:val="000000"/>
                <w:sz w:val="22"/>
                <w:szCs w:val="22"/>
              </w:rPr>
            </w:pPr>
            <w:r w:rsidRPr="00DE3DBE">
              <w:rPr>
                <w:rFonts w:ascii="Times New Roman" w:hAnsi="Times New Roman"/>
                <w:spacing w:val="3"/>
                <w:sz w:val="22"/>
                <w:szCs w:val="22"/>
                <w:shd w:val="clear" w:color="auto" w:fill="FFFFFF"/>
              </w:rPr>
              <w:t xml:space="preserve">Finally, </w:t>
            </w:r>
            <w:r w:rsidRPr="00DE3DBE">
              <w:rPr>
                <w:rFonts w:ascii="Times New Roman" w:hAnsi="Times New Roman"/>
                <w:color w:val="000000"/>
                <w:sz w:val="22"/>
                <w:szCs w:val="22"/>
              </w:rPr>
              <w:t xml:space="preserve">to verify a Social Security Number (SSN), the PE </w:t>
            </w:r>
            <w:r w:rsidR="0069445A">
              <w:rPr>
                <w:rFonts w:ascii="Times New Roman" w:hAnsi="Times New Roman"/>
                <w:color w:val="000000"/>
                <w:sz w:val="22"/>
                <w:szCs w:val="22"/>
              </w:rPr>
              <w:t xml:space="preserve">must have valid written consent that is signed </w:t>
            </w:r>
            <w:r w:rsidR="00CA5DC6">
              <w:rPr>
                <w:rFonts w:ascii="Times New Roman" w:hAnsi="Times New Roman"/>
                <w:color w:val="000000"/>
                <w:sz w:val="22"/>
                <w:szCs w:val="22"/>
              </w:rPr>
              <w:t xml:space="preserve">by the SSN holder before the PE </w:t>
            </w:r>
            <w:r w:rsidRPr="00DE3DBE">
              <w:rPr>
                <w:rFonts w:ascii="Times New Roman" w:hAnsi="Times New Roman"/>
                <w:color w:val="000000"/>
                <w:sz w:val="22"/>
                <w:szCs w:val="22"/>
              </w:rPr>
              <w:t>submit</w:t>
            </w:r>
            <w:r w:rsidR="00CA5DC6">
              <w:rPr>
                <w:rFonts w:ascii="Times New Roman" w:hAnsi="Times New Roman"/>
                <w:color w:val="000000"/>
                <w:sz w:val="22"/>
                <w:szCs w:val="22"/>
              </w:rPr>
              <w:t>s</w:t>
            </w:r>
            <w:r w:rsidRPr="00DE3DBE">
              <w:rPr>
                <w:rFonts w:ascii="Times New Roman" w:hAnsi="Times New Roman"/>
                <w:color w:val="000000"/>
                <w:sz w:val="22"/>
                <w:szCs w:val="22"/>
              </w:rPr>
              <w:t xml:space="preserve"> the SSN holder’s name, date of birth and SSN to </w:t>
            </w:r>
            <w:r w:rsidR="00CA5DC6">
              <w:rPr>
                <w:rFonts w:ascii="Times New Roman" w:hAnsi="Times New Roman"/>
                <w:color w:val="000000"/>
                <w:sz w:val="22"/>
                <w:szCs w:val="22"/>
              </w:rPr>
              <w:t xml:space="preserve">the </w:t>
            </w:r>
            <w:r w:rsidRPr="00DE3DBE">
              <w:rPr>
                <w:rFonts w:ascii="Times New Roman" w:hAnsi="Times New Roman"/>
                <w:color w:val="000000"/>
                <w:sz w:val="22"/>
                <w:szCs w:val="22"/>
              </w:rPr>
              <w:t>eCBSV</w:t>
            </w:r>
            <w:r w:rsidR="00CA5DC6">
              <w:rPr>
                <w:rFonts w:ascii="Times New Roman" w:hAnsi="Times New Roman"/>
                <w:color w:val="000000"/>
                <w:sz w:val="22"/>
                <w:szCs w:val="22"/>
              </w:rPr>
              <w:t xml:space="preserve"> service</w:t>
            </w:r>
            <w:r w:rsidRPr="00DE3DBE">
              <w:rPr>
                <w:rFonts w:ascii="Times New Roman" w:hAnsi="Times New Roman"/>
                <w:color w:val="000000"/>
                <w:sz w:val="22"/>
                <w:szCs w:val="22"/>
              </w:rPr>
              <w:t>.  eCBSV will simply return a response of “yes” or “no.”  If our records show that the SSN holder is deceased, eCBSV will return a death indicator.  eCBSV does not verify an individual’s identity, nor does it provide further information beyond that described here.</w:t>
            </w:r>
            <w:r w:rsidR="007224AF">
              <w:rPr>
                <w:rFonts w:ascii="Times New Roman" w:hAnsi="Times New Roman"/>
                <w:color w:val="000000"/>
                <w:sz w:val="22"/>
                <w:szCs w:val="22"/>
              </w:rPr>
              <w:t xml:space="preserve"> </w:t>
            </w:r>
          </w:p>
          <w:p w:rsidRPr="00DE3DBE" w:rsidR="00C11340" w:rsidP="00DC102C" w:rsidRDefault="00C11340" w14:paraId="2ACCFFF0" w14:textId="4D5D300A">
            <w:pPr>
              <w:rPr>
                <w:rFonts w:ascii="Times New Roman" w:hAnsi="Times New Roman"/>
                <w:bCs/>
                <w:sz w:val="22"/>
                <w:szCs w:val="22"/>
              </w:rPr>
            </w:pPr>
          </w:p>
        </w:tc>
        <w:tc>
          <w:tcPr>
            <w:tcW w:w="0" w:type="auto"/>
          </w:tcPr>
          <w:p w:rsidRPr="00DE3DBE" w:rsidR="00C11340" w:rsidP="00DC102C" w:rsidRDefault="001234DB" w14:paraId="158357C8" w14:textId="585CBC50">
            <w:pPr>
              <w:rPr>
                <w:rFonts w:ascii="Times New Roman" w:hAnsi="Times New Roman"/>
                <w:bCs/>
                <w:sz w:val="22"/>
                <w:szCs w:val="22"/>
              </w:rPr>
            </w:pPr>
            <w:r>
              <w:rPr>
                <w:rFonts w:ascii="Times New Roman" w:hAnsi="Times New Roman"/>
                <w:bCs/>
                <w:sz w:val="22"/>
                <w:szCs w:val="22"/>
              </w:rPr>
              <w:t>SSA addressed the commenter’s concerns.</w:t>
            </w:r>
          </w:p>
        </w:tc>
        <w:tc>
          <w:tcPr>
            <w:tcW w:w="0" w:type="auto"/>
          </w:tcPr>
          <w:p w:rsidRPr="00DE3DBE" w:rsidR="00C11340" w:rsidP="00DC102C" w:rsidRDefault="00C11340" w14:paraId="6ACB52F8" w14:textId="77777777">
            <w:pPr>
              <w:rPr>
                <w:rFonts w:ascii="Times New Roman" w:hAnsi="Times New Roman"/>
                <w:bCs/>
                <w:sz w:val="22"/>
                <w:szCs w:val="22"/>
              </w:rPr>
            </w:pPr>
          </w:p>
        </w:tc>
      </w:tr>
      <w:tr w:rsidRPr="00DE3DBE" w:rsidR="00140284" w:rsidTr="00F41BA8" w14:paraId="46F412D7" w14:textId="77777777">
        <w:tc>
          <w:tcPr>
            <w:tcW w:w="0" w:type="auto"/>
          </w:tcPr>
          <w:p w:rsidRPr="00DE3DBE" w:rsidR="006C0746" w:rsidP="006C0746" w:rsidRDefault="00961339" w14:paraId="0DCA7F2F" w14:textId="1CA81F19">
            <w:pPr>
              <w:autoSpaceDE w:val="0"/>
              <w:autoSpaceDN w:val="0"/>
              <w:adjustRightInd w:val="0"/>
              <w:rPr>
                <w:rFonts w:ascii="Times New Roman" w:hAnsi="Times New Roman"/>
                <w:b/>
                <w:bCs/>
                <w:color w:val="000000"/>
                <w:sz w:val="22"/>
                <w:szCs w:val="22"/>
              </w:rPr>
            </w:pPr>
            <w:r w:rsidRPr="00DE3DBE">
              <w:rPr>
                <w:rFonts w:ascii="Times New Roman" w:hAnsi="Times New Roman"/>
                <w:b/>
                <w:sz w:val="22"/>
                <w:szCs w:val="22"/>
              </w:rPr>
              <w:t xml:space="preserve">Comment #2:  </w:t>
            </w:r>
            <w:r w:rsidR="000D6B14">
              <w:rPr>
                <w:rFonts w:ascii="Times New Roman" w:hAnsi="Times New Roman"/>
                <w:b/>
                <w:sz w:val="22"/>
                <w:szCs w:val="22"/>
              </w:rPr>
              <w:t xml:space="preserve">The BTC requested that </w:t>
            </w:r>
            <w:r w:rsidRPr="00DE3DBE" w:rsidR="006C0746">
              <w:rPr>
                <w:rFonts w:ascii="Times New Roman" w:hAnsi="Times New Roman"/>
                <w:b/>
                <w:bCs/>
                <w:color w:val="000000"/>
                <w:sz w:val="22"/>
                <w:szCs w:val="22"/>
              </w:rPr>
              <w:t>SSA should enhance its customer service capabilities for eCBSV users.</w:t>
            </w:r>
          </w:p>
          <w:p w:rsidRPr="00DE3DBE" w:rsidR="006C0746" w:rsidP="006C0746" w:rsidRDefault="006C0746" w14:paraId="2C7DF08A" w14:textId="4E735502">
            <w:pPr>
              <w:autoSpaceDE w:val="0"/>
              <w:autoSpaceDN w:val="0"/>
              <w:adjustRightInd w:val="0"/>
              <w:rPr>
                <w:rFonts w:ascii="Times New Roman" w:hAnsi="Times New Roman"/>
                <w:color w:val="000000"/>
                <w:sz w:val="22"/>
                <w:szCs w:val="22"/>
              </w:rPr>
            </w:pPr>
            <w:r w:rsidRPr="00DE3DBE">
              <w:rPr>
                <w:rFonts w:ascii="Times New Roman" w:hAnsi="Times New Roman"/>
                <w:color w:val="000000"/>
                <w:sz w:val="22"/>
                <w:szCs w:val="22"/>
              </w:rPr>
              <w:t xml:space="preserve">Specifically, the eCBSV system is intended to be available to Permitted Entities on a near-continuous 24/7 basis, with some periods of scheduled downtime. However, there is currently no adequate customer service support available to address issues which occur during off-times, when SSA is closed. Given that Congress directed Permitted Entities to pay for the entire cost of the development and upkeep of eCBSV, </w:t>
            </w:r>
            <w:r w:rsidR="00755897">
              <w:rPr>
                <w:rFonts w:ascii="Times New Roman" w:hAnsi="Times New Roman"/>
                <w:color w:val="000000"/>
                <w:sz w:val="22"/>
                <w:szCs w:val="22"/>
              </w:rPr>
              <w:t>the BTC believes</w:t>
            </w:r>
            <w:r w:rsidRPr="00DE3DBE">
              <w:rPr>
                <w:rFonts w:ascii="Times New Roman" w:hAnsi="Times New Roman"/>
                <w:color w:val="000000"/>
                <w:sz w:val="22"/>
                <w:szCs w:val="22"/>
              </w:rPr>
              <w:t xml:space="preserve"> it </w:t>
            </w:r>
            <w:proofErr w:type="gramStart"/>
            <w:r w:rsidRPr="00DE3DBE">
              <w:rPr>
                <w:rFonts w:ascii="Times New Roman" w:hAnsi="Times New Roman"/>
                <w:color w:val="000000"/>
                <w:sz w:val="22"/>
                <w:szCs w:val="22"/>
              </w:rPr>
              <w:t>is appropriate and necessary for SSA to provide a customer support mechanism at all times</w:t>
            </w:r>
            <w:proofErr w:type="gramEnd"/>
            <w:r w:rsidRPr="00DE3DBE">
              <w:rPr>
                <w:rFonts w:ascii="Times New Roman" w:hAnsi="Times New Roman"/>
                <w:color w:val="000000"/>
                <w:sz w:val="22"/>
                <w:szCs w:val="22"/>
              </w:rPr>
              <w:t>.</w:t>
            </w:r>
            <w:r w:rsidR="001B7FF4">
              <w:rPr>
                <w:rFonts w:ascii="Times New Roman" w:hAnsi="Times New Roman"/>
                <w:color w:val="000000"/>
                <w:sz w:val="22"/>
                <w:szCs w:val="22"/>
              </w:rPr>
              <w:t xml:space="preserve">  The BTC believes PEs are willing to pay more for more robust service.</w:t>
            </w:r>
          </w:p>
          <w:p w:rsidRPr="00DE3DBE" w:rsidR="00C11340" w:rsidP="00DC102C" w:rsidRDefault="00961339" w14:paraId="0EC6DB4C" w14:textId="76819607">
            <w:pPr>
              <w:rPr>
                <w:rFonts w:ascii="Times New Roman" w:hAnsi="Times New Roman"/>
                <w:bCs/>
                <w:sz w:val="22"/>
                <w:szCs w:val="22"/>
              </w:rPr>
            </w:pPr>
            <w:r w:rsidRPr="00DE3DBE">
              <w:rPr>
                <w:rFonts w:ascii="Times New Roman" w:hAnsi="Times New Roman"/>
                <w:b/>
                <w:sz w:val="22"/>
                <w:szCs w:val="22"/>
              </w:rPr>
              <w:t xml:space="preserve"> </w:t>
            </w:r>
          </w:p>
        </w:tc>
        <w:tc>
          <w:tcPr>
            <w:tcW w:w="0" w:type="auto"/>
          </w:tcPr>
          <w:p w:rsidRPr="00DE3DBE" w:rsidR="00784E00" w:rsidP="00784E00" w:rsidRDefault="006C0746" w14:paraId="04C8EE08" w14:textId="6C986E90">
            <w:pPr>
              <w:rPr>
                <w:rFonts w:ascii="Times New Roman" w:hAnsi="Times New Roman"/>
                <w:sz w:val="22"/>
                <w:szCs w:val="22"/>
              </w:rPr>
            </w:pPr>
            <w:r w:rsidRPr="000D6B14">
              <w:rPr>
                <w:rFonts w:ascii="Times New Roman" w:hAnsi="Times New Roman"/>
                <w:b/>
                <w:bCs/>
                <w:color w:val="0070C0"/>
                <w:sz w:val="22"/>
                <w:szCs w:val="22"/>
              </w:rPr>
              <w:t>Response #</w:t>
            </w:r>
            <w:r w:rsidRPr="000D6B14" w:rsidR="00802B25">
              <w:rPr>
                <w:rFonts w:ascii="Times New Roman" w:hAnsi="Times New Roman"/>
                <w:b/>
                <w:bCs/>
                <w:color w:val="0070C0"/>
                <w:sz w:val="22"/>
                <w:szCs w:val="22"/>
              </w:rPr>
              <w:t>2</w:t>
            </w:r>
            <w:r w:rsidRPr="000D6B14" w:rsidR="00784E00">
              <w:rPr>
                <w:rFonts w:ascii="Times New Roman" w:hAnsi="Times New Roman"/>
                <w:b/>
                <w:bCs/>
                <w:color w:val="0070C0"/>
                <w:sz w:val="22"/>
                <w:szCs w:val="22"/>
              </w:rPr>
              <w:t xml:space="preserve">:  </w:t>
            </w:r>
            <w:r w:rsidRPr="00DE3DBE" w:rsidR="00784E00">
              <w:rPr>
                <w:rFonts w:ascii="Times New Roman" w:hAnsi="Times New Roman"/>
                <w:sz w:val="22"/>
                <w:szCs w:val="22"/>
              </w:rPr>
              <w:t xml:space="preserve">eCBSV is and will continue to be available 24/7.  If eCBSV users experience technical problems, SSA offers support as soon as possible during that </w:t>
            </w:r>
            <w:r w:rsidR="00755897">
              <w:rPr>
                <w:rFonts w:ascii="Times New Roman" w:hAnsi="Times New Roman"/>
                <w:sz w:val="22"/>
                <w:szCs w:val="22"/>
              </w:rPr>
              <w:t xml:space="preserve">business day, </w:t>
            </w:r>
            <w:r w:rsidRPr="00DE3DBE" w:rsidR="00784E00">
              <w:rPr>
                <w:rFonts w:ascii="Times New Roman" w:hAnsi="Times New Roman"/>
                <w:sz w:val="22"/>
                <w:szCs w:val="22"/>
              </w:rPr>
              <w:t xml:space="preserve">or the next business day.  However, the BTC has expressed they would like 24/7 customer service, for both hardware and software support, and </w:t>
            </w:r>
            <w:r w:rsidR="00755897">
              <w:rPr>
                <w:rFonts w:ascii="Times New Roman" w:hAnsi="Times New Roman"/>
                <w:sz w:val="22"/>
                <w:szCs w:val="22"/>
              </w:rPr>
              <w:t xml:space="preserve">that </w:t>
            </w:r>
            <w:r w:rsidRPr="00DE3DBE" w:rsidR="00784E00">
              <w:rPr>
                <w:rFonts w:ascii="Times New Roman" w:hAnsi="Times New Roman"/>
                <w:sz w:val="22"/>
                <w:szCs w:val="22"/>
              </w:rPr>
              <w:t>they are willing to pay for it.  They expressed this would be helpful for them since the financial industry functions on a 24-hour basis, and users may be located outside of the U.S.</w:t>
            </w:r>
            <w:r w:rsidR="00755897">
              <w:rPr>
                <w:rFonts w:ascii="Times New Roman" w:hAnsi="Times New Roman"/>
                <w:sz w:val="22"/>
                <w:szCs w:val="22"/>
              </w:rPr>
              <w:t xml:space="preserve"> time zones.</w:t>
            </w:r>
          </w:p>
          <w:p w:rsidR="00784E00" w:rsidP="00784E00" w:rsidRDefault="00784E00" w14:paraId="2B6051AB" w14:textId="2C0BC93B">
            <w:pPr>
              <w:rPr>
                <w:rFonts w:ascii="Times New Roman" w:hAnsi="Times New Roman"/>
                <w:sz w:val="22"/>
                <w:szCs w:val="22"/>
              </w:rPr>
            </w:pPr>
          </w:p>
          <w:p w:rsidRPr="00DE3DBE" w:rsidR="008A3A81" w:rsidP="00784E00" w:rsidRDefault="008A3A81" w14:paraId="5B33B958" w14:textId="77777777">
            <w:pPr>
              <w:rPr>
                <w:rFonts w:ascii="Times New Roman" w:hAnsi="Times New Roman"/>
                <w:sz w:val="22"/>
                <w:szCs w:val="22"/>
              </w:rPr>
            </w:pPr>
          </w:p>
          <w:p w:rsidRPr="00DE3DBE" w:rsidR="00140284" w:rsidP="00784E00" w:rsidRDefault="00755897" w14:paraId="39B346FC" w14:textId="328E44FA">
            <w:pPr>
              <w:rPr>
                <w:rFonts w:ascii="Times New Roman" w:hAnsi="Times New Roman"/>
                <w:sz w:val="22"/>
                <w:szCs w:val="22"/>
              </w:rPr>
            </w:pPr>
            <w:r>
              <w:rPr>
                <w:rFonts w:ascii="Times New Roman" w:hAnsi="Times New Roman"/>
                <w:sz w:val="22"/>
                <w:szCs w:val="22"/>
              </w:rPr>
              <w:t>SSA</w:t>
            </w:r>
            <w:r w:rsidRPr="00DE3DBE" w:rsidR="00784E00">
              <w:rPr>
                <w:rFonts w:ascii="Times New Roman" w:hAnsi="Times New Roman"/>
                <w:sz w:val="22"/>
                <w:szCs w:val="22"/>
              </w:rPr>
              <w:t xml:space="preserve"> understand</w:t>
            </w:r>
            <w:r>
              <w:rPr>
                <w:rFonts w:ascii="Times New Roman" w:hAnsi="Times New Roman"/>
                <w:sz w:val="22"/>
                <w:szCs w:val="22"/>
              </w:rPr>
              <w:t>s</w:t>
            </w:r>
            <w:r w:rsidRPr="00DE3DBE" w:rsidR="00784E00">
              <w:rPr>
                <w:rFonts w:ascii="Times New Roman" w:hAnsi="Times New Roman"/>
                <w:sz w:val="22"/>
                <w:szCs w:val="22"/>
              </w:rPr>
              <w:t xml:space="preserve"> the </w:t>
            </w:r>
            <w:r w:rsidR="001234DB">
              <w:rPr>
                <w:rFonts w:ascii="Times New Roman" w:hAnsi="Times New Roman"/>
                <w:sz w:val="22"/>
                <w:szCs w:val="22"/>
              </w:rPr>
              <w:t>BTC</w:t>
            </w:r>
            <w:r w:rsidRPr="00DE3DBE" w:rsidR="00784E00">
              <w:rPr>
                <w:rFonts w:ascii="Times New Roman" w:hAnsi="Times New Roman"/>
                <w:sz w:val="22"/>
                <w:szCs w:val="22"/>
              </w:rPr>
              <w:t xml:space="preserve">’s desire for such service.  However, this is a major undertaking that is very much outside the scope of SSA’s current activities in any area- we do not offer 24/7 service for </w:t>
            </w:r>
            <w:r w:rsidR="000D6B14">
              <w:rPr>
                <w:rFonts w:ascii="Times New Roman" w:hAnsi="Times New Roman"/>
                <w:sz w:val="22"/>
                <w:szCs w:val="22"/>
              </w:rPr>
              <w:t>any of our programs</w:t>
            </w:r>
            <w:r w:rsidRPr="00DE3DBE" w:rsidR="00784E00">
              <w:rPr>
                <w:rFonts w:ascii="Times New Roman" w:hAnsi="Times New Roman"/>
                <w:sz w:val="22"/>
                <w:szCs w:val="22"/>
              </w:rPr>
              <w:t xml:space="preserve">, even those </w:t>
            </w:r>
            <w:r w:rsidR="000D6B14">
              <w:rPr>
                <w:rFonts w:ascii="Times New Roman" w:hAnsi="Times New Roman"/>
                <w:sz w:val="22"/>
                <w:szCs w:val="22"/>
              </w:rPr>
              <w:t>are</w:t>
            </w:r>
            <w:r w:rsidRPr="00DE3DBE" w:rsidR="00784E00">
              <w:rPr>
                <w:rFonts w:ascii="Times New Roman" w:hAnsi="Times New Roman"/>
                <w:sz w:val="22"/>
                <w:szCs w:val="22"/>
              </w:rPr>
              <w:t xml:space="preserve"> the core of our mandate as an agency.  Since we have no basis on which to calculate </w:t>
            </w:r>
            <w:r>
              <w:rPr>
                <w:rFonts w:ascii="Times New Roman" w:hAnsi="Times New Roman"/>
                <w:sz w:val="22"/>
                <w:szCs w:val="22"/>
              </w:rPr>
              <w:t xml:space="preserve">24/7 support </w:t>
            </w:r>
            <w:r w:rsidRPr="00DE3DBE" w:rsidR="00784E00">
              <w:rPr>
                <w:rFonts w:ascii="Times New Roman" w:hAnsi="Times New Roman"/>
                <w:sz w:val="22"/>
                <w:szCs w:val="22"/>
              </w:rPr>
              <w:t xml:space="preserve">costs to impose on the BTC, we would need </w:t>
            </w:r>
            <w:r>
              <w:rPr>
                <w:rFonts w:ascii="Times New Roman" w:hAnsi="Times New Roman"/>
                <w:sz w:val="22"/>
                <w:szCs w:val="22"/>
              </w:rPr>
              <w:t xml:space="preserve">time </w:t>
            </w:r>
            <w:r w:rsidRPr="00DE3DBE" w:rsidR="00784E00">
              <w:rPr>
                <w:rFonts w:ascii="Times New Roman" w:hAnsi="Times New Roman"/>
                <w:sz w:val="22"/>
                <w:szCs w:val="22"/>
              </w:rPr>
              <w:t xml:space="preserve">to explore feasibility and costs in the areas of hiring, facilities, systems, communications systems, and personnel issues.  Accordingly, we believe this is a long-term discussion, </w:t>
            </w:r>
            <w:r w:rsidR="00B56172">
              <w:rPr>
                <w:rFonts w:ascii="Times New Roman" w:hAnsi="Times New Roman"/>
                <w:sz w:val="22"/>
                <w:szCs w:val="22"/>
              </w:rPr>
              <w:t xml:space="preserve">and </w:t>
            </w:r>
            <w:r w:rsidRPr="00DE3DBE" w:rsidR="00784E00">
              <w:rPr>
                <w:rFonts w:ascii="Times New Roman" w:hAnsi="Times New Roman"/>
                <w:sz w:val="22"/>
                <w:szCs w:val="22"/>
              </w:rPr>
              <w:t xml:space="preserve">one that will not be resolved during this PRA cycle.  However, although we cannot speak to this proposal </w:t>
            </w:r>
            <w:r w:rsidR="00B56172">
              <w:rPr>
                <w:rFonts w:ascii="Times New Roman" w:hAnsi="Times New Roman"/>
                <w:sz w:val="22"/>
                <w:szCs w:val="22"/>
              </w:rPr>
              <w:t>now</w:t>
            </w:r>
            <w:r w:rsidRPr="00DE3DBE" w:rsidR="00784E00">
              <w:rPr>
                <w:rFonts w:ascii="Times New Roman" w:hAnsi="Times New Roman"/>
                <w:sz w:val="22"/>
                <w:szCs w:val="22"/>
              </w:rPr>
              <w:t xml:space="preserve">, we can agree to explore it further as a long-term goal.   </w:t>
            </w:r>
          </w:p>
          <w:p w:rsidRPr="00DE3DBE" w:rsidR="00C11340" w:rsidP="00DC102C" w:rsidRDefault="00C11340" w14:paraId="7DD7AF4C" w14:textId="467A4974">
            <w:pPr>
              <w:rPr>
                <w:rFonts w:ascii="Times New Roman" w:hAnsi="Times New Roman"/>
                <w:sz w:val="22"/>
                <w:szCs w:val="22"/>
              </w:rPr>
            </w:pPr>
          </w:p>
        </w:tc>
        <w:tc>
          <w:tcPr>
            <w:tcW w:w="0" w:type="auto"/>
          </w:tcPr>
          <w:p w:rsidRPr="00DE3DBE" w:rsidR="00C11340" w:rsidP="00DC102C" w:rsidRDefault="00802B25" w14:paraId="566CFBC2" w14:textId="13646862">
            <w:pPr>
              <w:rPr>
                <w:rFonts w:ascii="Times New Roman" w:hAnsi="Times New Roman"/>
                <w:bCs/>
                <w:sz w:val="22"/>
                <w:szCs w:val="22"/>
              </w:rPr>
            </w:pPr>
            <w:r w:rsidRPr="00DE3DBE">
              <w:rPr>
                <w:rFonts w:ascii="Times New Roman" w:hAnsi="Times New Roman"/>
                <w:bCs/>
                <w:sz w:val="22"/>
                <w:szCs w:val="22"/>
              </w:rPr>
              <w:t>Tabled for future discussion</w:t>
            </w:r>
          </w:p>
        </w:tc>
        <w:tc>
          <w:tcPr>
            <w:tcW w:w="0" w:type="auto"/>
          </w:tcPr>
          <w:p w:rsidRPr="00DE3DBE" w:rsidR="00C11340" w:rsidP="00DC102C" w:rsidRDefault="00802B25" w14:paraId="2E0312C6" w14:textId="7EAE8611">
            <w:pPr>
              <w:rPr>
                <w:rFonts w:ascii="Times New Roman" w:hAnsi="Times New Roman"/>
                <w:bCs/>
                <w:sz w:val="22"/>
                <w:szCs w:val="22"/>
              </w:rPr>
            </w:pPr>
            <w:r w:rsidRPr="00DE3DBE">
              <w:rPr>
                <w:rFonts w:ascii="Times New Roman" w:hAnsi="Times New Roman"/>
                <w:bCs/>
                <w:sz w:val="22"/>
                <w:szCs w:val="22"/>
              </w:rPr>
              <w:t>Feasibility and resource issues.</w:t>
            </w:r>
          </w:p>
        </w:tc>
      </w:tr>
      <w:tr w:rsidRPr="00DE3DBE" w:rsidR="00140284" w:rsidTr="0056304E" w14:paraId="1E29FD0D" w14:textId="77777777">
        <w:trPr>
          <w:trHeight w:val="58"/>
        </w:trPr>
        <w:tc>
          <w:tcPr>
            <w:tcW w:w="0" w:type="auto"/>
          </w:tcPr>
          <w:p w:rsidRPr="00DE3DBE" w:rsidR="00DE3DBE" w:rsidP="00DE3DBE" w:rsidRDefault="009A1AA7" w14:paraId="4069BDB1" w14:textId="77777777">
            <w:pPr>
              <w:autoSpaceDE w:val="0"/>
              <w:autoSpaceDN w:val="0"/>
              <w:adjustRightInd w:val="0"/>
              <w:rPr>
                <w:rFonts w:ascii="Times New Roman" w:hAnsi="Times New Roman"/>
                <w:b/>
                <w:bCs/>
                <w:color w:val="000000"/>
                <w:sz w:val="22"/>
                <w:szCs w:val="22"/>
              </w:rPr>
            </w:pPr>
            <w:r w:rsidRPr="00DE3DBE">
              <w:rPr>
                <w:rFonts w:ascii="Times New Roman" w:hAnsi="Times New Roman"/>
                <w:b/>
                <w:sz w:val="22"/>
                <w:szCs w:val="22"/>
              </w:rPr>
              <w:t>Comment #3:</w:t>
            </w:r>
            <w:r w:rsidRPr="00DE3DBE">
              <w:rPr>
                <w:rFonts w:ascii="Times New Roman" w:hAnsi="Times New Roman"/>
                <w:bCs/>
                <w:sz w:val="22"/>
                <w:szCs w:val="22"/>
              </w:rPr>
              <w:t xml:space="preserve">  </w:t>
            </w:r>
            <w:r w:rsidRPr="00DE3DBE" w:rsidR="00DE3DBE">
              <w:rPr>
                <w:rFonts w:ascii="Times New Roman" w:hAnsi="Times New Roman"/>
                <w:b/>
                <w:bCs/>
                <w:color w:val="000000"/>
                <w:sz w:val="22"/>
                <w:szCs w:val="22"/>
              </w:rPr>
              <w:t xml:space="preserve">SSA should accelerate its exploration of how to enhance the matching logic of the eCBSV to provide better information to help fight fraud. </w:t>
            </w:r>
          </w:p>
          <w:p w:rsidRPr="00DE3DBE" w:rsidR="00DE3DBE" w:rsidP="00DE3DBE" w:rsidRDefault="00DE3DBE" w14:paraId="339F0578" w14:textId="77777777">
            <w:pPr>
              <w:rPr>
                <w:rFonts w:ascii="Times New Roman" w:hAnsi="Times New Roman"/>
                <w:color w:val="000000"/>
                <w:sz w:val="22"/>
                <w:szCs w:val="22"/>
              </w:rPr>
            </w:pPr>
          </w:p>
          <w:p w:rsidRPr="00DE3DBE" w:rsidR="00DE3DBE" w:rsidP="00DE3DBE" w:rsidRDefault="00DE3DBE" w14:paraId="76A1A215" w14:textId="5FCF08A2">
            <w:pPr>
              <w:rPr>
                <w:rFonts w:ascii="Times New Roman" w:hAnsi="Times New Roman"/>
                <w:color w:val="000000"/>
                <w:sz w:val="22"/>
                <w:szCs w:val="22"/>
              </w:rPr>
            </w:pPr>
            <w:r w:rsidRPr="00DE3DBE">
              <w:rPr>
                <w:rFonts w:ascii="Times New Roman" w:hAnsi="Times New Roman"/>
                <w:color w:val="000000"/>
                <w:sz w:val="22"/>
                <w:szCs w:val="22"/>
              </w:rPr>
              <w:t xml:space="preserve">Commenting PEs again questioned the type of response eCBSV offers, an issue that was questioned, discussed, and established during the PRA process for eCBSV Phase I.  To reiterate, eCBSV does not verify identity.  As </w:t>
            </w:r>
            <w:r w:rsidR="0006603A">
              <w:rPr>
                <w:rFonts w:ascii="Times New Roman" w:hAnsi="Times New Roman"/>
                <w:color w:val="000000"/>
                <w:sz w:val="22"/>
                <w:szCs w:val="22"/>
              </w:rPr>
              <w:t>SSA has</w:t>
            </w:r>
            <w:r w:rsidRPr="00DE3DBE">
              <w:rPr>
                <w:rFonts w:ascii="Times New Roman" w:hAnsi="Times New Roman"/>
                <w:color w:val="000000"/>
                <w:sz w:val="22"/>
                <w:szCs w:val="22"/>
              </w:rPr>
              <w:t xml:space="preserve"> made clear, we specify if the name and SSN submitted to us match each other in our records; if the name/SSN are recorded in our records as being associated with a deceased person, we provide that information.</w:t>
            </w:r>
          </w:p>
          <w:p w:rsidRPr="00DE3DBE" w:rsidR="00DE3DBE" w:rsidP="00DE3DBE" w:rsidRDefault="00DE3DBE" w14:paraId="31D40980" w14:textId="77777777">
            <w:pPr>
              <w:rPr>
                <w:rFonts w:ascii="Times New Roman" w:hAnsi="Times New Roman"/>
                <w:color w:val="000000"/>
                <w:sz w:val="22"/>
                <w:szCs w:val="22"/>
              </w:rPr>
            </w:pPr>
          </w:p>
          <w:p w:rsidRPr="00DE3DBE" w:rsidR="00DE3DBE" w:rsidP="00DE3DBE" w:rsidRDefault="00DE3DBE" w14:paraId="2E7D2F5E" w14:textId="77777777">
            <w:pPr>
              <w:rPr>
                <w:rFonts w:ascii="Times New Roman" w:hAnsi="Times New Roman"/>
                <w:color w:val="000000"/>
                <w:sz w:val="22"/>
                <w:szCs w:val="22"/>
              </w:rPr>
            </w:pPr>
            <w:r w:rsidRPr="00DE3DBE">
              <w:rPr>
                <w:rFonts w:ascii="Times New Roman" w:hAnsi="Times New Roman"/>
                <w:color w:val="000000"/>
                <w:sz w:val="22"/>
                <w:szCs w:val="22"/>
              </w:rPr>
              <w:t xml:space="preserve">The BTC again asked for more specific information beyond the “yes,” “no,” or “death” options.  They expressed that while a binary “yes” or “no” response is helpful, an eCBSV system that incorporates more sophisticated logic into its core functionality would greatly enhance the effectiveness of the system. For example, SSA could enhance eCBSV by providing a “yes” or “no” response for each of the three pieces Fraud Protection Data submitted by a Permitted Entity </w:t>
            </w:r>
            <w:proofErr w:type="gramStart"/>
            <w:r w:rsidRPr="00DE3DBE">
              <w:rPr>
                <w:rFonts w:ascii="Times New Roman" w:hAnsi="Times New Roman"/>
                <w:color w:val="000000"/>
                <w:sz w:val="22"/>
                <w:szCs w:val="22"/>
              </w:rPr>
              <w:t>in the course of</w:t>
            </w:r>
            <w:proofErr w:type="gramEnd"/>
            <w:r w:rsidRPr="00DE3DBE">
              <w:rPr>
                <w:rFonts w:ascii="Times New Roman" w:hAnsi="Times New Roman"/>
                <w:color w:val="000000"/>
                <w:sz w:val="22"/>
                <w:szCs w:val="22"/>
              </w:rPr>
              <w:t xml:space="preserve"> making an SSN Verification request. </w:t>
            </w:r>
          </w:p>
          <w:p w:rsidRPr="00DE3DBE" w:rsidR="00DE3DBE" w:rsidP="00DE3DBE" w:rsidRDefault="00DE3DBE" w14:paraId="138F0803" w14:textId="77777777">
            <w:pPr>
              <w:rPr>
                <w:rFonts w:ascii="Times New Roman" w:hAnsi="Times New Roman"/>
                <w:color w:val="000000"/>
                <w:sz w:val="22"/>
                <w:szCs w:val="22"/>
              </w:rPr>
            </w:pPr>
          </w:p>
          <w:p w:rsidRPr="00DE3DBE" w:rsidR="00DE3DBE" w:rsidP="00DE3DBE" w:rsidRDefault="00DE3DBE" w14:paraId="71330CEA" w14:textId="6ECAF6BD">
            <w:pPr>
              <w:rPr>
                <w:rFonts w:ascii="Times New Roman" w:hAnsi="Times New Roman"/>
                <w:b/>
                <w:bCs/>
                <w:sz w:val="22"/>
                <w:szCs w:val="22"/>
              </w:rPr>
            </w:pPr>
            <w:r w:rsidRPr="00DE3DBE">
              <w:rPr>
                <w:rFonts w:ascii="Times New Roman" w:hAnsi="Times New Roman"/>
                <w:color w:val="000000"/>
                <w:sz w:val="22"/>
                <w:szCs w:val="22"/>
              </w:rPr>
              <w:t xml:space="preserve">The BTC expressed that this more descriptive matching response would put users of the eCBSV system in a better position to make more intelligent decision on identity verification of individuals, thereby protecting more consumers from financial and identity fraud. They also asserted the belief that such a change is well within SSA’s statutory </w:t>
            </w:r>
            <w:r w:rsidRPr="00DE3DBE" w:rsidR="00401CCD">
              <w:rPr>
                <w:rFonts w:ascii="Times New Roman" w:hAnsi="Times New Roman"/>
                <w:color w:val="000000"/>
                <w:sz w:val="22"/>
                <w:szCs w:val="22"/>
              </w:rPr>
              <w:t>authority and</w:t>
            </w:r>
            <w:r w:rsidRPr="00DE3DBE">
              <w:rPr>
                <w:rFonts w:ascii="Times New Roman" w:hAnsi="Times New Roman"/>
                <w:color w:val="000000"/>
                <w:sz w:val="22"/>
                <w:szCs w:val="22"/>
              </w:rPr>
              <w:t xml:space="preserve"> is in line with the stated goal of the Banking Bill.</w:t>
            </w:r>
          </w:p>
          <w:p w:rsidRPr="00DE3DBE" w:rsidR="00C11340" w:rsidP="00DC102C" w:rsidRDefault="00C11340" w14:paraId="1C83A4F0" w14:textId="4E836531">
            <w:pPr>
              <w:rPr>
                <w:rFonts w:ascii="Times New Roman" w:hAnsi="Times New Roman"/>
                <w:bCs/>
                <w:sz w:val="22"/>
                <w:szCs w:val="22"/>
              </w:rPr>
            </w:pPr>
          </w:p>
        </w:tc>
        <w:tc>
          <w:tcPr>
            <w:tcW w:w="0" w:type="auto"/>
          </w:tcPr>
          <w:p w:rsidRPr="000D6B14" w:rsidR="00255D00" w:rsidP="00255D00" w:rsidRDefault="005C1B66" w14:paraId="323E17B0" w14:textId="2FCE04EF">
            <w:pPr>
              <w:rPr>
                <w:rFonts w:ascii="Times New Roman" w:hAnsi="Times New Roman"/>
                <w:color w:val="0070C0"/>
                <w:sz w:val="22"/>
                <w:szCs w:val="22"/>
              </w:rPr>
            </w:pPr>
            <w:r w:rsidRPr="000D6B14">
              <w:rPr>
                <w:rFonts w:ascii="Times New Roman" w:hAnsi="Times New Roman"/>
                <w:b/>
                <w:bCs/>
                <w:color w:val="0070C0"/>
                <w:sz w:val="22"/>
                <w:szCs w:val="22"/>
              </w:rPr>
              <w:t>Response #</w:t>
            </w:r>
            <w:r w:rsidRPr="000D6B14" w:rsidR="00E33667">
              <w:rPr>
                <w:rFonts w:ascii="Times New Roman" w:hAnsi="Times New Roman"/>
                <w:b/>
                <w:bCs/>
                <w:color w:val="0070C0"/>
                <w:sz w:val="22"/>
                <w:szCs w:val="22"/>
              </w:rPr>
              <w:t>3</w:t>
            </w:r>
            <w:r w:rsidRPr="000D6B14">
              <w:rPr>
                <w:rFonts w:ascii="Times New Roman" w:hAnsi="Times New Roman"/>
                <w:b/>
                <w:bCs/>
                <w:color w:val="0070C0"/>
                <w:sz w:val="22"/>
                <w:szCs w:val="22"/>
              </w:rPr>
              <w:t>:</w:t>
            </w:r>
            <w:r w:rsidRPr="000D6B14" w:rsidR="00255D00">
              <w:rPr>
                <w:rFonts w:ascii="Times New Roman" w:hAnsi="Times New Roman"/>
                <w:b/>
                <w:bCs/>
                <w:color w:val="0070C0"/>
                <w:sz w:val="22"/>
                <w:szCs w:val="22"/>
              </w:rPr>
              <w:t xml:space="preserve">  </w:t>
            </w:r>
          </w:p>
          <w:p w:rsidR="00255D00" w:rsidP="00255D00" w:rsidRDefault="00255D00" w14:paraId="222C53D4" w14:textId="738AB4D2">
            <w:pPr>
              <w:rPr>
                <w:rFonts w:ascii="Times New Roman" w:hAnsi="Times New Roman"/>
                <w:b/>
                <w:bCs/>
                <w:iCs/>
                <w:color w:val="FF0000"/>
                <w:sz w:val="22"/>
                <w:szCs w:val="22"/>
              </w:rPr>
            </w:pPr>
            <w:r w:rsidRPr="008241A7">
              <w:rPr>
                <w:rFonts w:ascii="Times New Roman" w:hAnsi="Times New Roman"/>
                <w:b/>
                <w:bCs/>
                <w:i/>
                <w:iCs/>
                <w:color w:val="FF0000"/>
                <w:sz w:val="22"/>
                <w:szCs w:val="22"/>
              </w:rPr>
              <w:t>Legal Reasons Why We Use the Current Paradigm (Especially Privacy):</w:t>
            </w:r>
          </w:p>
          <w:p w:rsidRPr="007224AF" w:rsidR="00C341B5" w:rsidP="00C341B5" w:rsidRDefault="00C341B5" w14:paraId="7FD48CD2" w14:textId="77777777">
            <w:pPr>
              <w:rPr>
                <w:rFonts w:ascii="Times New Roman" w:hAnsi="Times New Roman"/>
                <w:bCs/>
                <w:iCs/>
                <w:sz w:val="22"/>
                <w:szCs w:val="22"/>
              </w:rPr>
            </w:pPr>
            <w:r w:rsidRPr="007224AF">
              <w:rPr>
                <w:rFonts w:ascii="Times New Roman" w:hAnsi="Times New Roman"/>
                <w:sz w:val="22"/>
                <w:szCs w:val="22"/>
              </w:rPr>
              <w:t>The Privacy Act states that</w:t>
            </w:r>
            <w:r w:rsidRPr="00C341B5">
              <w:rPr>
                <w:rFonts w:ascii="Times New Roman" w:hAnsi="Times New Roman"/>
                <w:color w:val="002060"/>
                <w:sz w:val="22"/>
                <w:szCs w:val="22"/>
              </w:rPr>
              <w:t xml:space="preserve"> “[n]o agency shall disclose any record which is contained in a system of records by any means of communication to any person, or to another agency, except pursuant to a written request by, or with the prior written consent of, the individual to whom the record pertains. . . .”  5 U.S.C. § 552a(b).  </w:t>
            </w:r>
            <w:r w:rsidRPr="007224AF">
              <w:rPr>
                <w:rFonts w:ascii="Times New Roman" w:hAnsi="Times New Roman"/>
                <w:sz w:val="22"/>
                <w:szCs w:val="22"/>
              </w:rPr>
              <w:t xml:space="preserve">In the case of eCBSV, SSA does not collect and maintain the number holder’s consent, which increases risk of improper disclosures for the agency.  Consequently, increasing the number of data elements upon which the agency verifies and discloses data will increase the agency’s risk of improper disclosure.  Further, the agency would have to change the consent language in the electronic and paper templates </w:t>
            </w:r>
            <w:proofErr w:type="gramStart"/>
            <w:r w:rsidRPr="007224AF">
              <w:rPr>
                <w:rFonts w:ascii="Times New Roman" w:hAnsi="Times New Roman"/>
                <w:sz w:val="22"/>
                <w:szCs w:val="22"/>
              </w:rPr>
              <w:t>in order to</w:t>
            </w:r>
            <w:proofErr w:type="gramEnd"/>
            <w:r w:rsidRPr="007224AF">
              <w:rPr>
                <w:rFonts w:ascii="Times New Roman" w:hAnsi="Times New Roman"/>
                <w:sz w:val="22"/>
                <w:szCs w:val="22"/>
              </w:rPr>
              <w:t xml:space="preserve"> obtain the number holder’s informed consent for such granular disclosure.  As explained below, the Banking Bill does not require the agency to provide verification of each fraud element and the agency’s long-standing practice has been to provide a “Y” or “N” except in very limited circumstances.  Thus, we do not see a basis to increase SSA’s risk of a wrongful disclosure.  </w:t>
            </w:r>
          </w:p>
          <w:p w:rsidRPr="007224AF" w:rsidR="00C341B5" w:rsidP="00C341B5" w:rsidRDefault="00C341B5" w14:paraId="182B5325" w14:textId="77777777">
            <w:pPr>
              <w:rPr>
                <w:rFonts w:ascii="Times New Roman" w:hAnsi="Times New Roman"/>
                <w:bCs/>
                <w:iCs/>
                <w:sz w:val="22"/>
                <w:szCs w:val="22"/>
              </w:rPr>
            </w:pPr>
          </w:p>
          <w:p w:rsidRPr="007224AF" w:rsidR="00C341B5" w:rsidP="00C341B5" w:rsidRDefault="00C341B5" w14:paraId="512179D9" w14:textId="77777777">
            <w:pPr>
              <w:rPr>
                <w:rFonts w:ascii="Times New Roman" w:hAnsi="Times New Roman"/>
                <w:bCs/>
                <w:iCs/>
                <w:sz w:val="22"/>
                <w:szCs w:val="22"/>
              </w:rPr>
            </w:pPr>
            <w:r w:rsidRPr="007224AF">
              <w:rPr>
                <w:rFonts w:ascii="Times New Roman" w:hAnsi="Times New Roman"/>
                <w:bCs/>
                <w:iCs/>
                <w:sz w:val="22"/>
                <w:szCs w:val="22"/>
              </w:rPr>
              <w:t xml:space="preserve">In addition, SSA’s policies on consent and minimal disclosure are based on the personal and sensitive nature of the public’s information.  </w:t>
            </w:r>
            <w:r w:rsidRPr="007224AF">
              <w:rPr>
                <w:rFonts w:ascii="Times New Roman" w:hAnsi="Times New Roman"/>
                <w:sz w:val="22"/>
                <w:szCs w:val="22"/>
              </w:rPr>
              <w:t>Participation in the social security program is mandatory, so people cannot limit what information is given to us.  Therefore, we have traditionally followed a policy of strict confidentiality of our records.  Our established framework was developed by balancing the sensitivity of the information; individuals’ expectation of confidentiality in the information that they provide to us; and the interest in the disclosure. </w:t>
            </w:r>
          </w:p>
          <w:p w:rsidRPr="007224AF" w:rsidR="00C341B5" w:rsidP="00C341B5" w:rsidRDefault="00C341B5" w14:paraId="0C4C57A5" w14:textId="77777777">
            <w:pPr>
              <w:rPr>
                <w:rFonts w:ascii="Times New Roman" w:hAnsi="Times New Roman"/>
                <w:bCs/>
                <w:iCs/>
                <w:sz w:val="22"/>
                <w:szCs w:val="22"/>
              </w:rPr>
            </w:pPr>
          </w:p>
          <w:p w:rsidRPr="003D6476" w:rsidR="00E238DE" w:rsidP="00C341B5" w:rsidRDefault="00C341B5" w14:paraId="2B47D8BF" w14:textId="67CB184D">
            <w:pPr>
              <w:rPr>
                <w:rFonts w:ascii="Times New Roman" w:hAnsi="Times New Roman"/>
                <w:bCs/>
                <w:iCs/>
                <w:sz w:val="22"/>
                <w:szCs w:val="22"/>
              </w:rPr>
            </w:pPr>
            <w:r w:rsidRPr="007224AF">
              <w:rPr>
                <w:rFonts w:ascii="Times New Roman" w:hAnsi="Times New Roman"/>
                <w:bCs/>
                <w:iCs/>
                <w:sz w:val="22"/>
                <w:szCs w:val="22"/>
              </w:rPr>
              <w:t>To ensure appropriate use of Privacy Act-protected data entrusted to us and to remain consistent with our longstanding practice, we will disclose only a “Y” or “N” per verification request, not for each specific element.</w:t>
            </w:r>
            <w:r w:rsidRPr="007224AF" w:rsidR="0081128A">
              <w:rPr>
                <w:rFonts w:ascii="Times New Roman" w:hAnsi="Times New Roman"/>
                <w:bCs/>
                <w:iCs/>
                <w:sz w:val="22"/>
                <w:szCs w:val="22"/>
              </w:rPr>
              <w:t xml:space="preserve">  </w:t>
            </w:r>
          </w:p>
          <w:p w:rsidRPr="008241A7" w:rsidR="00255D00" w:rsidP="00255D00" w:rsidRDefault="00255D00" w14:paraId="1998C0B0" w14:textId="77777777">
            <w:pPr>
              <w:rPr>
                <w:rFonts w:ascii="Times New Roman" w:hAnsi="Times New Roman"/>
                <w:b/>
                <w:bCs/>
                <w:i/>
                <w:iCs/>
                <w:color w:val="FF0000"/>
                <w:sz w:val="22"/>
                <w:szCs w:val="22"/>
              </w:rPr>
            </w:pPr>
          </w:p>
          <w:p w:rsidR="00255D00" w:rsidP="00255D00" w:rsidRDefault="00255D00" w14:paraId="1424DD28" w14:textId="0AF35D86">
            <w:pPr>
              <w:rPr>
                <w:rFonts w:ascii="Times New Roman" w:hAnsi="Times New Roman"/>
                <w:b/>
                <w:bCs/>
                <w:i/>
                <w:iCs/>
                <w:color w:val="FF0000"/>
                <w:sz w:val="22"/>
                <w:szCs w:val="22"/>
              </w:rPr>
            </w:pPr>
            <w:r w:rsidRPr="008241A7">
              <w:rPr>
                <w:rFonts w:ascii="Times New Roman" w:hAnsi="Times New Roman"/>
                <w:b/>
                <w:bCs/>
                <w:i/>
                <w:iCs/>
                <w:color w:val="FF0000"/>
                <w:sz w:val="22"/>
                <w:szCs w:val="22"/>
              </w:rPr>
              <w:t xml:space="preserve">We Do Not Provide It </w:t>
            </w:r>
            <w:proofErr w:type="gramStart"/>
            <w:r w:rsidRPr="008241A7">
              <w:rPr>
                <w:rFonts w:ascii="Times New Roman" w:hAnsi="Times New Roman"/>
                <w:b/>
                <w:bCs/>
                <w:i/>
                <w:iCs/>
                <w:color w:val="FF0000"/>
                <w:sz w:val="22"/>
                <w:szCs w:val="22"/>
              </w:rPr>
              <w:t>For</w:t>
            </w:r>
            <w:proofErr w:type="gramEnd"/>
            <w:r w:rsidRPr="008241A7">
              <w:rPr>
                <w:rFonts w:ascii="Times New Roman" w:hAnsi="Times New Roman"/>
                <w:b/>
                <w:bCs/>
                <w:i/>
                <w:iCs/>
                <w:color w:val="FF0000"/>
                <w:sz w:val="22"/>
                <w:szCs w:val="22"/>
              </w:rPr>
              <w:t xml:space="preserve"> Any Other Data Matching:</w:t>
            </w:r>
          </w:p>
          <w:p w:rsidRPr="003701F7" w:rsidR="00255D00" w:rsidP="00255D00" w:rsidRDefault="003D6476" w14:paraId="24AB92E3" w14:textId="2F34161F">
            <w:pPr>
              <w:rPr>
                <w:rFonts w:ascii="Times New Roman" w:hAnsi="Times New Roman"/>
                <w:bCs/>
                <w:iCs/>
                <w:color w:val="000000" w:themeColor="text1"/>
                <w:sz w:val="22"/>
                <w:szCs w:val="22"/>
              </w:rPr>
            </w:pPr>
            <w:r w:rsidRPr="003701F7">
              <w:rPr>
                <w:rFonts w:ascii="Times New Roman" w:hAnsi="Times New Roman"/>
                <w:bCs/>
                <w:iCs/>
                <w:color w:val="000000" w:themeColor="text1"/>
                <w:sz w:val="22"/>
                <w:szCs w:val="22"/>
              </w:rPr>
              <w:t>In general, we do not provide this data for any other data matching, so it would be problematic to provide it only in this context.</w:t>
            </w:r>
          </w:p>
          <w:p w:rsidRPr="008241A7" w:rsidR="00255D00" w:rsidP="00255D00" w:rsidRDefault="00255D00" w14:paraId="652EE707" w14:textId="77777777">
            <w:pPr>
              <w:rPr>
                <w:rFonts w:ascii="Times New Roman" w:hAnsi="Times New Roman"/>
                <w:b/>
                <w:bCs/>
                <w:i/>
                <w:iCs/>
                <w:color w:val="FF0000"/>
                <w:sz w:val="22"/>
                <w:szCs w:val="22"/>
              </w:rPr>
            </w:pPr>
          </w:p>
          <w:p w:rsidR="00255D00" w:rsidP="00255D00" w:rsidRDefault="00255D00" w14:paraId="5361EC35" w14:textId="25CDBF17">
            <w:pPr>
              <w:rPr>
                <w:rFonts w:ascii="Times New Roman" w:hAnsi="Times New Roman"/>
                <w:b/>
                <w:bCs/>
                <w:i/>
                <w:iCs/>
                <w:color w:val="FF0000"/>
                <w:sz w:val="22"/>
                <w:szCs w:val="22"/>
              </w:rPr>
            </w:pPr>
            <w:r w:rsidRPr="008241A7">
              <w:rPr>
                <w:rFonts w:ascii="Times New Roman" w:hAnsi="Times New Roman"/>
                <w:b/>
                <w:bCs/>
                <w:i/>
                <w:iCs/>
                <w:color w:val="FF0000"/>
                <w:sz w:val="22"/>
                <w:szCs w:val="22"/>
              </w:rPr>
              <w:t>How Current Paradigm Satisfies Banking Bill Requirements:</w:t>
            </w:r>
          </w:p>
          <w:p w:rsidRPr="008532B1" w:rsidR="008532B1" w:rsidP="008532B1" w:rsidRDefault="008532B1" w14:paraId="7EEB31B8" w14:textId="7C416A5E">
            <w:pPr>
              <w:rPr>
                <w:rFonts w:ascii="Times New Roman" w:hAnsi="Times New Roman"/>
                <w:color w:val="002060"/>
                <w:sz w:val="22"/>
                <w:szCs w:val="22"/>
              </w:rPr>
            </w:pPr>
            <w:r w:rsidRPr="007224AF">
              <w:rPr>
                <w:rFonts w:ascii="Times New Roman" w:hAnsi="Times New Roman"/>
                <w:sz w:val="22"/>
                <w:szCs w:val="22"/>
              </w:rPr>
              <w:t xml:space="preserve">SSA provides millions of SSN verifications a year to public and private entities.  Our policy and practice </w:t>
            </w:r>
            <w:proofErr w:type="gramStart"/>
            <w:r w:rsidRPr="007224AF">
              <w:rPr>
                <w:rFonts w:ascii="Times New Roman" w:hAnsi="Times New Roman"/>
                <w:sz w:val="22"/>
                <w:szCs w:val="22"/>
              </w:rPr>
              <w:t>has</w:t>
            </w:r>
            <w:proofErr w:type="gramEnd"/>
            <w:r w:rsidRPr="007224AF">
              <w:rPr>
                <w:rFonts w:ascii="Times New Roman" w:hAnsi="Times New Roman"/>
                <w:sz w:val="22"/>
                <w:szCs w:val="22"/>
              </w:rPr>
              <w:t xml:space="preserve"> been to provide a SSN verification as a “Y” or “N.”  We have limited instances in which SSA discloses more information related to an SSN verification with explicit authorization from the number holder.  These exceptions are limited to Federal agencies only.  Further, our current SSN verification practice satisfies our obligations under section 215 of the Banking Bill.  The Banking Bill does not require us to alter SSA’s longstanding framework for SSN verifications to public and private entities based on the number holder’s written consent.  Section 215 of the Banking Bill does not speak to whether SSA must provide a “yes” or “no” response for each Fraud Protection Data element a permitted entity submits and does not require SSA to modify the database or process to provide a reason for a “no match.” SSA’s eCBSV service, by providing the match/no match response, “compare[s] fraud protection data … against such information maintained by [SSA] in order to confirm (or not confirm) the validity of the information provided.”  See section 215(d)(1).”  The eCBSV service as it is currently designed (to give a yes/no response), is “reasonably designed to effectuate the purpose of [section 215 of the Banking Bill].”  Accordingly, we will maintain our established SSN framework.</w:t>
            </w:r>
          </w:p>
          <w:p w:rsidRPr="008241A7" w:rsidR="00255D00" w:rsidP="00255D00" w:rsidRDefault="00255D00" w14:paraId="6EAF7FF9" w14:textId="77777777">
            <w:pPr>
              <w:rPr>
                <w:rFonts w:ascii="Times New Roman" w:hAnsi="Times New Roman"/>
                <w:b/>
                <w:bCs/>
                <w:i/>
                <w:iCs/>
                <w:color w:val="FF0000"/>
                <w:sz w:val="22"/>
                <w:szCs w:val="22"/>
              </w:rPr>
            </w:pPr>
          </w:p>
          <w:p w:rsidRPr="008241A7" w:rsidR="00255D00" w:rsidP="00255D00" w:rsidRDefault="00255D00" w14:paraId="5DCD61AD" w14:textId="77777777">
            <w:pPr>
              <w:rPr>
                <w:rFonts w:ascii="Times New Roman" w:hAnsi="Times New Roman"/>
                <w:b/>
                <w:bCs/>
                <w:i/>
                <w:iCs/>
                <w:color w:val="FF0000"/>
                <w:sz w:val="22"/>
                <w:szCs w:val="22"/>
              </w:rPr>
            </w:pPr>
            <w:r w:rsidRPr="008241A7">
              <w:rPr>
                <w:rFonts w:ascii="Times New Roman" w:hAnsi="Times New Roman"/>
                <w:b/>
                <w:bCs/>
                <w:i/>
                <w:iCs/>
                <w:color w:val="FF0000"/>
                <w:sz w:val="22"/>
                <w:szCs w:val="22"/>
              </w:rPr>
              <w:t>Explanation of How BTC’s Proposal Does Not Really Combat Synthetic Identity Fraud:</w:t>
            </w:r>
          </w:p>
          <w:p w:rsidRPr="00C61ADB" w:rsidR="00255D00" w:rsidP="00255D00" w:rsidRDefault="0081128A" w14:paraId="6A9BC195" w14:textId="6A5A47CC">
            <w:pPr>
              <w:rPr>
                <w:rFonts w:ascii="Times New Roman" w:hAnsi="Times New Roman"/>
                <w:color w:val="002060"/>
                <w:sz w:val="22"/>
                <w:szCs w:val="22"/>
              </w:rPr>
            </w:pPr>
            <w:r w:rsidRPr="003701F7">
              <w:rPr>
                <w:rFonts w:ascii="Times New Roman" w:hAnsi="Times New Roman"/>
                <w:bCs/>
                <w:iCs/>
                <w:color w:val="000000" w:themeColor="text1"/>
                <w:sz w:val="22"/>
                <w:szCs w:val="22"/>
              </w:rPr>
              <w:t xml:space="preserve">Our current data provided to PEs ensures they make objective-based decisions regarding the results of verification requests submitted.  By providing more granular “Y/N” for each data element submitted, we introduce subjectivity into the PE decision-making process (i.e., PEs can potentially treat certain combinations of matches/no matches differently).  Some combinations of matches/no matches may be the result of typos, colloquial/nicknames, etc.  However, other data-specific no matches may be the result of fraud and, therefore, could negatively impact the number holder as well as contradict the intent of the Banking Bill.  </w:t>
            </w:r>
          </w:p>
          <w:p w:rsidR="004F4D1A" w:rsidP="00255D00" w:rsidRDefault="004F4D1A" w14:paraId="2B268213" w14:textId="3FF8FECB">
            <w:pPr>
              <w:rPr>
                <w:rFonts w:ascii="Times New Roman" w:hAnsi="Times New Roman"/>
                <w:color w:val="002060"/>
                <w:sz w:val="22"/>
                <w:szCs w:val="22"/>
              </w:rPr>
            </w:pPr>
          </w:p>
          <w:p w:rsidR="00140284" w:rsidP="00255D00" w:rsidRDefault="00140284" w14:paraId="12D1F9E2" w14:textId="77777777">
            <w:pPr>
              <w:rPr>
                <w:rFonts w:ascii="Times New Roman" w:hAnsi="Times New Roman"/>
                <w:color w:val="002060"/>
                <w:sz w:val="22"/>
                <w:szCs w:val="22"/>
              </w:rPr>
            </w:pPr>
          </w:p>
          <w:p w:rsidR="004F4D1A" w:rsidP="00255D00" w:rsidRDefault="004F4D1A" w14:paraId="1042D4ED" w14:textId="6EEF3414">
            <w:pPr>
              <w:rPr>
                <w:rFonts w:ascii="Times New Roman" w:hAnsi="Times New Roman"/>
                <w:color w:val="002060"/>
                <w:sz w:val="22"/>
                <w:szCs w:val="22"/>
              </w:rPr>
            </w:pPr>
          </w:p>
          <w:p w:rsidRPr="00C61ADB" w:rsidR="004F4D1A" w:rsidP="00255D00" w:rsidRDefault="004F4D1A" w14:paraId="69ADD501" w14:textId="77777777">
            <w:pPr>
              <w:rPr>
                <w:rFonts w:ascii="Times New Roman" w:hAnsi="Times New Roman"/>
                <w:color w:val="002060"/>
                <w:sz w:val="22"/>
                <w:szCs w:val="22"/>
              </w:rPr>
            </w:pPr>
          </w:p>
          <w:p w:rsidRPr="005C1B66" w:rsidR="00C11340" w:rsidP="00DC102C" w:rsidRDefault="005C1B66" w14:paraId="015B5512" w14:textId="66905727">
            <w:pPr>
              <w:rPr>
                <w:rFonts w:ascii="Times New Roman" w:hAnsi="Times New Roman"/>
                <w:sz w:val="22"/>
                <w:szCs w:val="22"/>
              </w:rPr>
            </w:pPr>
            <w:r w:rsidRPr="00DE3DBE">
              <w:rPr>
                <w:rFonts w:ascii="Times New Roman" w:hAnsi="Times New Roman"/>
                <w:b/>
                <w:bCs/>
                <w:color w:val="00B0F0"/>
                <w:sz w:val="22"/>
                <w:szCs w:val="22"/>
              </w:rPr>
              <w:t xml:space="preserve">  </w:t>
            </w:r>
          </w:p>
        </w:tc>
        <w:tc>
          <w:tcPr>
            <w:tcW w:w="0" w:type="auto"/>
          </w:tcPr>
          <w:p w:rsidRPr="00DE3DBE" w:rsidR="00C11340" w:rsidP="00DC102C" w:rsidRDefault="00255D00" w14:paraId="27DB4AC3" w14:textId="14B94778">
            <w:pPr>
              <w:rPr>
                <w:rFonts w:ascii="Times New Roman" w:hAnsi="Times New Roman"/>
                <w:bCs/>
                <w:sz w:val="22"/>
                <w:szCs w:val="22"/>
              </w:rPr>
            </w:pPr>
            <w:r>
              <w:rPr>
                <w:rFonts w:ascii="Times New Roman" w:hAnsi="Times New Roman"/>
                <w:bCs/>
                <w:sz w:val="22"/>
                <w:szCs w:val="22"/>
              </w:rPr>
              <w:t>SSA will continue to provide the information elements originally described in eCBSV Phase I.</w:t>
            </w:r>
          </w:p>
        </w:tc>
        <w:tc>
          <w:tcPr>
            <w:tcW w:w="0" w:type="auto"/>
          </w:tcPr>
          <w:p w:rsidRPr="00DE3DBE" w:rsidR="00C11340" w:rsidP="00DC102C" w:rsidRDefault="00255D00" w14:paraId="22CFEFA9" w14:textId="2A302986">
            <w:pPr>
              <w:rPr>
                <w:rFonts w:ascii="Times New Roman" w:hAnsi="Times New Roman"/>
                <w:bCs/>
                <w:sz w:val="22"/>
                <w:szCs w:val="22"/>
              </w:rPr>
            </w:pPr>
            <w:r>
              <w:rPr>
                <w:rFonts w:ascii="Times New Roman" w:hAnsi="Times New Roman"/>
                <w:bCs/>
                <w:sz w:val="22"/>
                <w:szCs w:val="22"/>
              </w:rPr>
              <w:t>See response for further explanation.</w:t>
            </w:r>
          </w:p>
        </w:tc>
      </w:tr>
      <w:tr w:rsidRPr="00DE3DBE" w:rsidR="00140284" w:rsidTr="007F223F" w14:paraId="15771FDD" w14:textId="77777777">
        <w:trPr>
          <w:trHeight w:val="58"/>
        </w:trPr>
        <w:tc>
          <w:tcPr>
            <w:tcW w:w="0" w:type="auto"/>
          </w:tcPr>
          <w:p w:rsidR="004F4D1A" w:rsidP="00E33667" w:rsidRDefault="00E33667" w14:paraId="124A4A47" w14:textId="77777777">
            <w:pPr>
              <w:autoSpaceDE w:val="0"/>
              <w:autoSpaceDN w:val="0"/>
              <w:adjustRightInd w:val="0"/>
              <w:rPr>
                <w:rFonts w:ascii="Times New Roman" w:hAnsi="Times New Roman"/>
                <w:b/>
                <w:sz w:val="22"/>
                <w:szCs w:val="22"/>
              </w:rPr>
            </w:pPr>
            <w:r>
              <w:rPr>
                <w:rFonts w:ascii="Times New Roman" w:hAnsi="Times New Roman"/>
                <w:b/>
                <w:sz w:val="22"/>
                <w:szCs w:val="22"/>
              </w:rPr>
              <w:t xml:space="preserve">Comment #4:  </w:t>
            </w:r>
          </w:p>
          <w:p w:rsidRPr="00681C2B" w:rsidR="00E33667" w:rsidP="00E33667" w:rsidRDefault="00E33667" w14:paraId="5F258B49" w14:textId="22FB0061">
            <w:pPr>
              <w:autoSpaceDE w:val="0"/>
              <w:autoSpaceDN w:val="0"/>
              <w:adjustRightInd w:val="0"/>
              <w:rPr>
                <w:rFonts w:ascii="Times New Roman" w:hAnsi="Times New Roman"/>
                <w:b/>
                <w:bCs/>
                <w:color w:val="000000"/>
                <w:sz w:val="22"/>
                <w:szCs w:val="22"/>
              </w:rPr>
            </w:pPr>
            <w:r w:rsidRPr="00F56131">
              <w:rPr>
                <w:rFonts w:ascii="Times New Roman" w:hAnsi="Times New Roman"/>
                <w:b/>
                <w:bCs/>
                <w:color w:val="000000"/>
                <w:sz w:val="22"/>
                <w:szCs w:val="22"/>
              </w:rPr>
              <w:t xml:space="preserve">SSA should create </w:t>
            </w:r>
            <w:r w:rsidRPr="00681C2B">
              <w:rPr>
                <w:rFonts w:ascii="Times New Roman" w:hAnsi="Times New Roman"/>
                <w:b/>
                <w:bCs/>
                <w:color w:val="000000"/>
                <w:sz w:val="22"/>
                <w:szCs w:val="22"/>
              </w:rPr>
              <w:t xml:space="preserve">consistency in consent language requirements for all user experiences – digital and paper. </w:t>
            </w:r>
          </w:p>
          <w:p w:rsidRPr="00681C2B" w:rsidR="00E33667" w:rsidP="00E33667" w:rsidRDefault="00E33667" w14:paraId="3E5D575F" w14:textId="77777777">
            <w:pPr>
              <w:autoSpaceDE w:val="0"/>
              <w:autoSpaceDN w:val="0"/>
              <w:adjustRightInd w:val="0"/>
              <w:rPr>
                <w:rFonts w:ascii="Times New Roman" w:hAnsi="Times New Roman"/>
                <w:color w:val="000000"/>
                <w:sz w:val="22"/>
                <w:szCs w:val="22"/>
              </w:rPr>
            </w:pPr>
          </w:p>
          <w:p w:rsidRPr="00B56172" w:rsidR="00E33667" w:rsidP="00B56172" w:rsidRDefault="00E33667" w14:paraId="49248CE1" w14:textId="3303E1F5">
            <w:pPr>
              <w:rPr>
                <w:rFonts w:ascii="Times New Roman" w:hAnsi="Times New Roman"/>
                <w:color w:val="000000"/>
                <w:sz w:val="22"/>
                <w:szCs w:val="22"/>
              </w:rPr>
            </w:pPr>
            <w:r w:rsidRPr="00681C2B">
              <w:rPr>
                <w:rFonts w:ascii="Times New Roman" w:hAnsi="Times New Roman"/>
                <w:color w:val="000000"/>
                <w:sz w:val="22"/>
                <w:szCs w:val="22"/>
              </w:rPr>
              <w:t xml:space="preserve">Last year, OMB and SSA finalized a User Agreement for eCBSV containing approved Written Consent templates, which are memorialized in Exhibit C of the User Agreement. Given the effort that led to this successful outcome, </w:t>
            </w:r>
            <w:r w:rsidR="004F4D1A">
              <w:rPr>
                <w:rFonts w:ascii="Times New Roman" w:hAnsi="Times New Roman"/>
                <w:color w:val="000000"/>
                <w:sz w:val="22"/>
                <w:szCs w:val="22"/>
              </w:rPr>
              <w:t>the BTC believes</w:t>
            </w:r>
            <w:r w:rsidRPr="00681C2B">
              <w:rPr>
                <w:rFonts w:ascii="Times New Roman" w:hAnsi="Times New Roman"/>
                <w:color w:val="000000"/>
                <w:sz w:val="22"/>
                <w:szCs w:val="22"/>
              </w:rPr>
              <w:t xml:space="preserve"> it would be appropriate to allow this approved language to be incorporated into paper-based consumer credit applications, obviating the need for a separate Form SSA-89. This would greatly enhance the user experience for consumers, likely reducing confusion, and reduce burdens for Permitted Entities by streamlining the process for obtaining consumer consent prior to accessing eCBSV.</w:t>
            </w:r>
          </w:p>
        </w:tc>
        <w:tc>
          <w:tcPr>
            <w:tcW w:w="0" w:type="auto"/>
          </w:tcPr>
          <w:p w:rsidRPr="000D6B14" w:rsidR="00681C2B" w:rsidP="00681C2B" w:rsidRDefault="00E33667" w14:paraId="648C9454" w14:textId="77777777">
            <w:pPr>
              <w:rPr>
                <w:rFonts w:ascii="Times New Roman" w:hAnsi="Times New Roman"/>
                <w:color w:val="0070C0"/>
                <w:sz w:val="22"/>
                <w:szCs w:val="22"/>
              </w:rPr>
            </w:pPr>
            <w:r w:rsidRPr="000D6B14">
              <w:rPr>
                <w:rFonts w:ascii="Times New Roman" w:hAnsi="Times New Roman"/>
                <w:b/>
                <w:bCs/>
                <w:color w:val="0070C0"/>
                <w:sz w:val="22"/>
                <w:szCs w:val="22"/>
              </w:rPr>
              <w:t xml:space="preserve">Response #4:  </w:t>
            </w:r>
          </w:p>
          <w:p w:rsidRPr="00681C2B" w:rsidR="00681C2B" w:rsidP="00681C2B" w:rsidRDefault="00681C2B" w14:paraId="00233BC7" w14:textId="06C1E526">
            <w:pPr>
              <w:rPr>
                <w:rFonts w:ascii="Times New Roman" w:hAnsi="Times New Roman"/>
                <w:color w:val="000000"/>
                <w:sz w:val="22"/>
                <w:szCs w:val="22"/>
              </w:rPr>
            </w:pPr>
            <w:r w:rsidRPr="00681C2B">
              <w:rPr>
                <w:rFonts w:ascii="Times New Roman" w:hAnsi="Times New Roman"/>
                <w:sz w:val="22"/>
                <w:szCs w:val="22"/>
              </w:rPr>
              <w:t xml:space="preserve">SSA agrees to amend the eCBSV User Agreement to allow PEs/FIs to use the Written Consent Template language in the PE’s/FI’s paper business process.  However, we caution that it is our legal opinion that on its own, the Written Consent Template </w:t>
            </w:r>
            <w:r w:rsidR="00A1636C">
              <w:rPr>
                <w:rFonts w:ascii="Times New Roman" w:hAnsi="Times New Roman"/>
                <w:sz w:val="22"/>
                <w:szCs w:val="22"/>
              </w:rPr>
              <w:t xml:space="preserve">does not constitute </w:t>
            </w:r>
            <w:r w:rsidRPr="00681C2B">
              <w:rPr>
                <w:rFonts w:ascii="Times New Roman" w:hAnsi="Times New Roman"/>
                <w:sz w:val="22"/>
                <w:szCs w:val="22"/>
              </w:rPr>
              <w:t xml:space="preserve">sufficient consent </w:t>
            </w:r>
            <w:r w:rsidR="00A1636C">
              <w:rPr>
                <w:rFonts w:ascii="Times New Roman" w:hAnsi="Times New Roman"/>
                <w:sz w:val="22"/>
                <w:szCs w:val="22"/>
              </w:rPr>
              <w:t xml:space="preserve">as it does not contain the other </w:t>
            </w:r>
            <w:r w:rsidR="007F223F">
              <w:rPr>
                <w:rFonts w:ascii="Times New Roman" w:hAnsi="Times New Roman"/>
                <w:sz w:val="22"/>
                <w:szCs w:val="22"/>
              </w:rPr>
              <w:t>consent requirements</w:t>
            </w:r>
            <w:r w:rsidR="00A1636C">
              <w:rPr>
                <w:rFonts w:ascii="Times New Roman" w:hAnsi="Times New Roman"/>
                <w:sz w:val="22"/>
                <w:szCs w:val="22"/>
              </w:rPr>
              <w:t xml:space="preserve"> in Section IV of the eCBSV User Agreement, i.e., </w:t>
            </w:r>
            <w:r w:rsidRPr="00681C2B">
              <w:rPr>
                <w:rFonts w:ascii="Times New Roman" w:hAnsi="Times New Roman"/>
                <w:sz w:val="22"/>
                <w:szCs w:val="22"/>
              </w:rPr>
              <w:t>does not include the Fraud Protection Data on that form</w:t>
            </w:r>
            <w:r w:rsidR="00A1636C">
              <w:rPr>
                <w:rFonts w:ascii="Times New Roman" w:hAnsi="Times New Roman"/>
                <w:sz w:val="22"/>
                <w:szCs w:val="22"/>
              </w:rPr>
              <w:t xml:space="preserve"> and does not include the signature of the consenting individual</w:t>
            </w:r>
            <w:r w:rsidRPr="00681C2B">
              <w:rPr>
                <w:rFonts w:ascii="Times New Roman" w:hAnsi="Times New Roman"/>
                <w:sz w:val="22"/>
                <w:szCs w:val="22"/>
              </w:rPr>
              <w:t xml:space="preserve">.  </w:t>
            </w:r>
            <w:r w:rsidRPr="007224AF" w:rsidR="0056304E">
              <w:rPr>
                <w:rFonts w:ascii="Times New Roman" w:hAnsi="Times New Roman"/>
                <w:sz w:val="22"/>
                <w:szCs w:val="22"/>
              </w:rPr>
              <w:t>To be sufficient</w:t>
            </w:r>
            <w:r w:rsidRPr="007224AF" w:rsidR="000C2682">
              <w:rPr>
                <w:rFonts w:ascii="Times New Roman" w:hAnsi="Times New Roman"/>
                <w:sz w:val="22"/>
                <w:szCs w:val="22"/>
              </w:rPr>
              <w:t xml:space="preserve"> consent</w:t>
            </w:r>
            <w:r w:rsidRPr="007224AF" w:rsidR="0056304E">
              <w:rPr>
                <w:rFonts w:ascii="Times New Roman" w:hAnsi="Times New Roman"/>
                <w:sz w:val="22"/>
                <w:szCs w:val="22"/>
              </w:rPr>
              <w:t xml:space="preserve">, </w:t>
            </w:r>
            <w:r w:rsidRPr="007224AF" w:rsidR="00256C21">
              <w:rPr>
                <w:rFonts w:ascii="Times New Roman" w:hAnsi="Times New Roman"/>
                <w:sz w:val="22"/>
                <w:szCs w:val="22"/>
              </w:rPr>
              <w:t xml:space="preserve">the Written Consent Template </w:t>
            </w:r>
            <w:r w:rsidRPr="007224AF" w:rsidR="000C2682">
              <w:rPr>
                <w:rFonts w:ascii="Times New Roman" w:hAnsi="Times New Roman"/>
                <w:sz w:val="22"/>
                <w:szCs w:val="22"/>
              </w:rPr>
              <w:t xml:space="preserve">language must </w:t>
            </w:r>
            <w:r w:rsidRPr="007224AF" w:rsidR="0056304E">
              <w:rPr>
                <w:rFonts w:ascii="Times New Roman" w:hAnsi="Times New Roman"/>
                <w:sz w:val="22"/>
                <w:szCs w:val="22"/>
              </w:rPr>
              <w:t xml:space="preserve">include all the requirements listed in Section IV </w:t>
            </w:r>
            <w:r w:rsidRPr="007224AF" w:rsidR="00AF34E1">
              <w:rPr>
                <w:rFonts w:ascii="Times New Roman" w:hAnsi="Times New Roman"/>
                <w:sz w:val="22"/>
                <w:szCs w:val="22"/>
              </w:rPr>
              <w:t xml:space="preserve">of the User Agreement and SSA’s regulations </w:t>
            </w:r>
            <w:r w:rsidRPr="007224AF" w:rsidR="0056304E">
              <w:rPr>
                <w:rFonts w:ascii="Times New Roman" w:hAnsi="Times New Roman"/>
                <w:sz w:val="22"/>
                <w:szCs w:val="22"/>
              </w:rPr>
              <w:t>(</w:t>
            </w:r>
            <w:r w:rsidRPr="007224AF" w:rsidR="00AF34E1">
              <w:rPr>
                <w:rFonts w:ascii="Times New Roman" w:hAnsi="Times New Roman"/>
                <w:sz w:val="22"/>
                <w:szCs w:val="22"/>
              </w:rPr>
              <w:t xml:space="preserve">i.e., </w:t>
            </w:r>
            <w:r w:rsidRPr="007224AF" w:rsidR="000C2682">
              <w:rPr>
                <w:rFonts w:ascii="Times New Roman" w:hAnsi="Times New Roman"/>
                <w:sz w:val="22"/>
                <w:szCs w:val="22"/>
              </w:rPr>
              <w:t xml:space="preserve">the consent must be associated with </w:t>
            </w:r>
            <w:r w:rsidRPr="007224AF" w:rsidR="0056304E">
              <w:rPr>
                <w:rFonts w:ascii="Times New Roman" w:hAnsi="Times New Roman"/>
                <w:sz w:val="22"/>
                <w:szCs w:val="22"/>
              </w:rPr>
              <w:t xml:space="preserve"> the </w:t>
            </w:r>
            <w:r w:rsidRPr="007224AF" w:rsidR="003701F7">
              <w:rPr>
                <w:rFonts w:ascii="Times New Roman" w:hAnsi="Times New Roman"/>
                <w:sz w:val="22"/>
                <w:szCs w:val="22"/>
              </w:rPr>
              <w:t>number holder’s name, date of birth, and SSN</w:t>
            </w:r>
            <w:r w:rsidRPr="007224AF" w:rsidR="00AF34E1">
              <w:rPr>
                <w:rFonts w:ascii="Times New Roman" w:hAnsi="Times New Roman"/>
                <w:sz w:val="22"/>
                <w:szCs w:val="22"/>
              </w:rPr>
              <w:t>; Exhibit C</w:t>
            </w:r>
            <w:r w:rsidRPr="007224AF" w:rsidR="007224AF">
              <w:rPr>
                <w:rFonts w:ascii="Times New Roman" w:hAnsi="Times New Roman"/>
                <w:sz w:val="22"/>
                <w:szCs w:val="22"/>
              </w:rPr>
              <w:t xml:space="preserve">, </w:t>
            </w:r>
            <w:r w:rsidRPr="007224AF" w:rsidR="00AF34E1">
              <w:rPr>
                <w:rFonts w:ascii="Times New Roman" w:hAnsi="Times New Roman"/>
                <w:sz w:val="22"/>
                <w:szCs w:val="22"/>
              </w:rPr>
              <w:t>Written</w:t>
            </w:r>
            <w:r w:rsidRPr="007224AF" w:rsidR="003701F7">
              <w:rPr>
                <w:rFonts w:ascii="Times New Roman" w:hAnsi="Times New Roman"/>
                <w:sz w:val="22"/>
                <w:szCs w:val="22"/>
              </w:rPr>
              <w:t xml:space="preserve"> </w:t>
            </w:r>
            <w:r w:rsidRPr="007224AF" w:rsidR="00AF34E1">
              <w:rPr>
                <w:rFonts w:ascii="Times New Roman" w:hAnsi="Times New Roman"/>
                <w:sz w:val="22"/>
                <w:szCs w:val="22"/>
              </w:rPr>
              <w:t>C</w:t>
            </w:r>
            <w:r w:rsidRPr="007224AF" w:rsidR="0056304E">
              <w:rPr>
                <w:rFonts w:ascii="Times New Roman" w:hAnsi="Times New Roman"/>
                <w:sz w:val="22"/>
                <w:szCs w:val="22"/>
              </w:rPr>
              <w:t xml:space="preserve">onsent </w:t>
            </w:r>
            <w:r w:rsidRPr="007224AF" w:rsidR="006C1F7A">
              <w:rPr>
                <w:rFonts w:ascii="Times New Roman" w:hAnsi="Times New Roman"/>
                <w:sz w:val="22"/>
                <w:szCs w:val="22"/>
              </w:rPr>
              <w:t xml:space="preserve">Template </w:t>
            </w:r>
            <w:r w:rsidRPr="007224AF" w:rsidR="0056304E">
              <w:rPr>
                <w:rFonts w:ascii="Times New Roman" w:hAnsi="Times New Roman"/>
                <w:sz w:val="22"/>
                <w:szCs w:val="22"/>
              </w:rPr>
              <w:t>language, ,</w:t>
            </w:r>
            <w:r w:rsidRPr="007224AF" w:rsidR="006C1F7A">
              <w:rPr>
                <w:rFonts w:ascii="Times New Roman" w:hAnsi="Times New Roman"/>
                <w:sz w:val="22"/>
                <w:szCs w:val="22"/>
              </w:rPr>
              <w:t xml:space="preserve"> the specific purpose for the SSN Verification,</w:t>
            </w:r>
            <w:r w:rsidRPr="007224AF" w:rsidR="0056304E">
              <w:rPr>
                <w:rFonts w:ascii="Times New Roman" w:hAnsi="Times New Roman"/>
                <w:sz w:val="22"/>
                <w:szCs w:val="22"/>
              </w:rPr>
              <w:t xml:space="preserve"> and a valid </w:t>
            </w:r>
            <w:r w:rsidRPr="007224AF" w:rsidR="006C1F7A">
              <w:rPr>
                <w:rFonts w:ascii="Times New Roman" w:hAnsi="Times New Roman"/>
                <w:sz w:val="22"/>
                <w:szCs w:val="22"/>
              </w:rPr>
              <w:t>s</w:t>
            </w:r>
            <w:r w:rsidRPr="007224AF" w:rsidR="00A33940">
              <w:rPr>
                <w:rFonts w:ascii="Times New Roman" w:hAnsi="Times New Roman"/>
                <w:sz w:val="22"/>
                <w:szCs w:val="22"/>
              </w:rPr>
              <w:t>ignature)</w:t>
            </w:r>
            <w:r w:rsidRPr="007224AF" w:rsidR="0056304E">
              <w:rPr>
                <w:rFonts w:ascii="Times New Roman" w:hAnsi="Times New Roman"/>
                <w:sz w:val="22"/>
                <w:szCs w:val="22"/>
              </w:rPr>
              <w:t xml:space="preserve">.  </w:t>
            </w:r>
            <w:r w:rsidRPr="007224AF">
              <w:rPr>
                <w:rFonts w:ascii="Times New Roman" w:hAnsi="Times New Roman"/>
                <w:sz w:val="22"/>
                <w:szCs w:val="22"/>
              </w:rPr>
              <w:t xml:space="preserve">We also note that </w:t>
            </w:r>
            <w:r w:rsidRPr="00681C2B">
              <w:rPr>
                <w:rFonts w:ascii="Times New Roman" w:hAnsi="Times New Roman"/>
                <w:sz w:val="22"/>
                <w:szCs w:val="22"/>
              </w:rPr>
              <w:t xml:space="preserve">the BTC </w:t>
            </w:r>
            <w:r w:rsidR="0002366B">
              <w:rPr>
                <w:rFonts w:ascii="Times New Roman" w:hAnsi="Times New Roman"/>
                <w:sz w:val="22"/>
                <w:szCs w:val="22"/>
              </w:rPr>
              <w:t>did not appear</w:t>
            </w:r>
            <w:r w:rsidRPr="00681C2B">
              <w:rPr>
                <w:rFonts w:ascii="Times New Roman" w:hAnsi="Times New Roman"/>
                <w:sz w:val="22"/>
                <w:szCs w:val="22"/>
              </w:rPr>
              <w:t xml:space="preserve"> to have offered substantiated reasons for their request to incorporate the Exhibit C Written Consent Template language of the eCBSV User Agreement into their paper-based business process.  Regardless, SSA will allow this request, but will continue to offer and encourage the use of the SSA-89 as the most valid form of written consent.  </w:t>
            </w:r>
          </w:p>
          <w:p w:rsidRPr="00681C2B" w:rsidR="00E33667" w:rsidP="00255D00" w:rsidRDefault="00E33667" w14:paraId="1A3D61E4" w14:textId="62B8EBED">
            <w:pPr>
              <w:rPr>
                <w:rFonts w:ascii="Times New Roman" w:hAnsi="Times New Roman"/>
                <w:b/>
                <w:bCs/>
                <w:color w:val="00B0F0"/>
                <w:sz w:val="22"/>
                <w:szCs w:val="22"/>
              </w:rPr>
            </w:pPr>
          </w:p>
        </w:tc>
        <w:tc>
          <w:tcPr>
            <w:tcW w:w="0" w:type="auto"/>
          </w:tcPr>
          <w:p w:rsidR="00E33667" w:rsidP="00DC102C" w:rsidRDefault="00140284" w14:paraId="3FE12C9D" w14:textId="03155B67">
            <w:pPr>
              <w:rPr>
                <w:rFonts w:ascii="Times New Roman" w:hAnsi="Times New Roman"/>
                <w:bCs/>
                <w:sz w:val="22"/>
                <w:szCs w:val="22"/>
              </w:rPr>
            </w:pPr>
            <w:r>
              <w:rPr>
                <w:rFonts w:ascii="Times New Roman" w:hAnsi="Times New Roman"/>
                <w:bCs/>
                <w:sz w:val="22"/>
                <w:szCs w:val="22"/>
              </w:rPr>
              <w:t>SSA agrees to amend the eCBSV User Agreement to allow the use the Written Consent Template language for the paper (CBSV) process.  However, we strongly encourage PEs and FIs to continue to use the SSA</w:t>
            </w:r>
            <w:r>
              <w:rPr>
                <w:rFonts w:ascii="Times New Roman" w:hAnsi="Times New Roman"/>
                <w:bCs/>
                <w:sz w:val="22"/>
                <w:szCs w:val="22"/>
              </w:rPr>
              <w:noBreakHyphen/>
              <w:t>89.</w:t>
            </w:r>
          </w:p>
        </w:tc>
        <w:tc>
          <w:tcPr>
            <w:tcW w:w="0" w:type="auto"/>
          </w:tcPr>
          <w:p w:rsidR="00E33667" w:rsidP="00DC102C" w:rsidRDefault="00140284" w14:paraId="3C795322" w14:textId="77305D13">
            <w:pPr>
              <w:rPr>
                <w:rFonts w:ascii="Times New Roman" w:hAnsi="Times New Roman"/>
                <w:bCs/>
                <w:sz w:val="22"/>
                <w:szCs w:val="22"/>
              </w:rPr>
            </w:pPr>
            <w:r>
              <w:rPr>
                <w:rFonts w:ascii="Times New Roman" w:hAnsi="Times New Roman"/>
                <w:bCs/>
                <w:sz w:val="22"/>
                <w:szCs w:val="22"/>
              </w:rPr>
              <w:t>N/A</w:t>
            </w:r>
          </w:p>
        </w:tc>
      </w:tr>
    </w:tbl>
    <w:p w:rsidR="00140284" w:rsidP="0019338D" w:rsidRDefault="00140284" w14:paraId="4D39D344" w14:textId="1D518B7E">
      <w:pPr>
        <w:rPr>
          <w:rFonts w:ascii="Times New Roman" w:hAnsi="Times New Roman"/>
          <w:b/>
          <w:sz w:val="22"/>
          <w:szCs w:val="22"/>
          <w:highlight w:val="green"/>
        </w:rPr>
      </w:pPr>
    </w:p>
    <w:p w:rsidR="003F4814" w:rsidP="0019338D" w:rsidRDefault="003F4814" w14:paraId="5C612BA0" w14:textId="16D38493">
      <w:pPr>
        <w:rPr>
          <w:rFonts w:ascii="Times New Roman" w:hAnsi="Times New Roman"/>
          <w:b/>
          <w:sz w:val="22"/>
          <w:szCs w:val="22"/>
          <w:highlight w:val="green"/>
        </w:rPr>
      </w:pPr>
    </w:p>
    <w:p w:rsidR="003F4814" w:rsidP="0019338D" w:rsidRDefault="003F4814" w14:paraId="184C32B0" w14:textId="77777777">
      <w:pPr>
        <w:rPr>
          <w:rFonts w:ascii="Times New Roman" w:hAnsi="Times New Roman"/>
          <w:b/>
          <w:sz w:val="22"/>
          <w:szCs w:val="22"/>
          <w:highlight w:val="green"/>
        </w:rPr>
      </w:pPr>
    </w:p>
    <w:p w:rsidR="0019338D" w:rsidP="0019338D" w:rsidRDefault="0019338D" w14:paraId="178C3C33" w14:textId="14C1052C">
      <w:pPr>
        <w:rPr>
          <w:rFonts w:ascii="Times New Roman" w:hAnsi="Times New Roman"/>
          <w:b/>
          <w:sz w:val="22"/>
          <w:szCs w:val="22"/>
          <w:highlight w:val="cyan"/>
        </w:rPr>
      </w:pPr>
      <w:r w:rsidRPr="00FE6368">
        <w:rPr>
          <w:rFonts w:ascii="Times New Roman" w:hAnsi="Times New Roman"/>
          <w:b/>
          <w:sz w:val="22"/>
          <w:szCs w:val="22"/>
          <w:highlight w:val="green"/>
        </w:rPr>
        <w:t>Part I</w:t>
      </w:r>
      <w:r>
        <w:rPr>
          <w:rFonts w:ascii="Times New Roman" w:hAnsi="Times New Roman"/>
          <w:b/>
          <w:sz w:val="22"/>
          <w:szCs w:val="22"/>
          <w:highlight w:val="green"/>
        </w:rPr>
        <w:t>I</w:t>
      </w:r>
      <w:r w:rsidRPr="00FE6368">
        <w:rPr>
          <w:rFonts w:ascii="Times New Roman" w:hAnsi="Times New Roman"/>
          <w:b/>
          <w:sz w:val="22"/>
          <w:szCs w:val="22"/>
          <w:highlight w:val="green"/>
        </w:rPr>
        <w:t xml:space="preserve">I:  </w:t>
      </w:r>
      <w:r w:rsidR="00B757CB">
        <w:rPr>
          <w:rFonts w:ascii="Times New Roman" w:hAnsi="Times New Roman"/>
          <w:b/>
          <w:sz w:val="22"/>
          <w:szCs w:val="22"/>
          <w:highlight w:val="green"/>
        </w:rPr>
        <w:t>Minor Technical Issues/Misunderstandings for eCBSV Phase II, All of Which Are Resolved</w:t>
      </w:r>
      <w:r w:rsidR="00D75D01">
        <w:rPr>
          <w:rFonts w:ascii="Times New Roman" w:hAnsi="Times New Roman"/>
          <w:b/>
          <w:sz w:val="22"/>
          <w:szCs w:val="22"/>
          <w:highlight w:val="green"/>
        </w:rPr>
        <w:t>/Clarified</w:t>
      </w:r>
    </w:p>
    <w:p w:rsidR="0019338D" w:rsidP="0019338D" w:rsidRDefault="0019338D" w14:paraId="79EE3F93" w14:textId="77777777">
      <w:pPr>
        <w:rPr>
          <w:rFonts w:ascii="Times New Roman" w:hAnsi="Times New Roman"/>
          <w:b/>
          <w:sz w:val="22"/>
          <w:szCs w:val="22"/>
          <w:highlight w:val="cyan"/>
        </w:rPr>
      </w:pPr>
    </w:p>
    <w:tbl>
      <w:tblPr>
        <w:tblStyle w:val="TableGrid"/>
        <w:tblW w:w="0" w:type="auto"/>
        <w:tblCellMar>
          <w:left w:w="115" w:type="dxa"/>
          <w:right w:w="115" w:type="dxa"/>
        </w:tblCellMar>
        <w:tblLook w:val="04A0" w:firstRow="1" w:lastRow="0" w:firstColumn="1" w:lastColumn="0" w:noHBand="0" w:noVBand="1"/>
      </w:tblPr>
      <w:tblGrid>
        <w:gridCol w:w="4390"/>
        <w:gridCol w:w="3821"/>
        <w:gridCol w:w="2931"/>
        <w:gridCol w:w="1808"/>
      </w:tblGrid>
      <w:tr w:rsidRPr="00DE3DBE" w:rsidR="00000202" w:rsidTr="00D671F4" w14:paraId="748AD3E7" w14:textId="77777777">
        <w:trPr>
          <w:tblHeader/>
        </w:trPr>
        <w:tc>
          <w:tcPr>
            <w:tcW w:w="0" w:type="auto"/>
            <w:shd w:val="clear" w:color="auto" w:fill="00FF00"/>
          </w:tcPr>
          <w:p w:rsidRPr="00FE6368" w:rsidR="0019338D" w:rsidP="00D671F4" w:rsidRDefault="0019338D" w14:paraId="4409DC71" w14:textId="77777777">
            <w:pPr>
              <w:jc w:val="center"/>
              <w:rPr>
                <w:rFonts w:ascii="Times New Roman" w:hAnsi="Times New Roman"/>
                <w:b/>
                <w:sz w:val="22"/>
                <w:szCs w:val="22"/>
              </w:rPr>
            </w:pPr>
            <w:r w:rsidRPr="00FE6368">
              <w:rPr>
                <w:rFonts w:ascii="Times New Roman" w:hAnsi="Times New Roman"/>
                <w:b/>
                <w:sz w:val="22"/>
                <w:szCs w:val="22"/>
              </w:rPr>
              <w:t>Commenter Concern</w:t>
            </w:r>
          </w:p>
        </w:tc>
        <w:tc>
          <w:tcPr>
            <w:tcW w:w="0" w:type="auto"/>
            <w:shd w:val="clear" w:color="auto" w:fill="00FF00"/>
          </w:tcPr>
          <w:p w:rsidRPr="00FE6368" w:rsidR="0019338D" w:rsidP="00D671F4" w:rsidRDefault="0019338D" w14:paraId="495AC693" w14:textId="77777777">
            <w:pPr>
              <w:jc w:val="center"/>
              <w:rPr>
                <w:rFonts w:ascii="Times New Roman" w:hAnsi="Times New Roman"/>
                <w:b/>
                <w:sz w:val="22"/>
                <w:szCs w:val="22"/>
              </w:rPr>
            </w:pPr>
            <w:r w:rsidRPr="00FE6368">
              <w:rPr>
                <w:rFonts w:ascii="Times New Roman" w:hAnsi="Times New Roman"/>
                <w:b/>
                <w:sz w:val="22"/>
                <w:szCs w:val="22"/>
              </w:rPr>
              <w:t>SSA Response</w:t>
            </w:r>
          </w:p>
        </w:tc>
        <w:tc>
          <w:tcPr>
            <w:tcW w:w="0" w:type="auto"/>
            <w:shd w:val="clear" w:color="auto" w:fill="00FF00"/>
          </w:tcPr>
          <w:p w:rsidRPr="00FE6368" w:rsidR="0019338D" w:rsidP="00D671F4" w:rsidRDefault="0019338D" w14:paraId="3A80C1FB" w14:textId="77777777">
            <w:pPr>
              <w:jc w:val="center"/>
              <w:rPr>
                <w:rFonts w:ascii="Times New Roman" w:hAnsi="Times New Roman"/>
                <w:b/>
                <w:sz w:val="22"/>
                <w:szCs w:val="22"/>
              </w:rPr>
            </w:pPr>
            <w:r w:rsidRPr="00FE6368">
              <w:rPr>
                <w:rFonts w:ascii="Times New Roman" w:hAnsi="Times New Roman"/>
                <w:b/>
                <w:sz w:val="22"/>
                <w:szCs w:val="22"/>
              </w:rPr>
              <w:t>Final Resolution of Issue</w:t>
            </w:r>
          </w:p>
        </w:tc>
        <w:tc>
          <w:tcPr>
            <w:tcW w:w="0" w:type="auto"/>
            <w:shd w:val="clear" w:color="auto" w:fill="00FF00"/>
          </w:tcPr>
          <w:p w:rsidRPr="00FE6368" w:rsidR="0019338D" w:rsidP="00D671F4" w:rsidRDefault="0019338D" w14:paraId="789E8615" w14:textId="77777777">
            <w:pPr>
              <w:jc w:val="center"/>
              <w:rPr>
                <w:rFonts w:ascii="Times New Roman" w:hAnsi="Times New Roman"/>
                <w:b/>
                <w:sz w:val="22"/>
                <w:szCs w:val="22"/>
              </w:rPr>
            </w:pPr>
            <w:r w:rsidRPr="00FE6368">
              <w:rPr>
                <w:rFonts w:ascii="Times New Roman" w:hAnsi="Times New Roman"/>
                <w:b/>
                <w:sz w:val="22"/>
                <w:szCs w:val="22"/>
              </w:rPr>
              <w:t>Reason for Inability to Fully Compromise, If Applicable</w:t>
            </w:r>
          </w:p>
        </w:tc>
      </w:tr>
      <w:tr w:rsidRPr="00DE3DBE" w:rsidR="00000202" w:rsidTr="00D671F4" w14:paraId="4962DDDB" w14:textId="77777777">
        <w:tc>
          <w:tcPr>
            <w:tcW w:w="0" w:type="auto"/>
          </w:tcPr>
          <w:p w:rsidRPr="00DE3DBE" w:rsidR="00736362" w:rsidP="008A3A81" w:rsidRDefault="0019338D" w14:paraId="0CF043ED" w14:textId="0F815349">
            <w:pPr>
              <w:rPr>
                <w:rFonts w:ascii="Times New Roman" w:hAnsi="Times New Roman"/>
                <w:bCs/>
                <w:sz w:val="22"/>
                <w:szCs w:val="22"/>
              </w:rPr>
            </w:pPr>
            <w:r w:rsidRPr="00DE3DBE">
              <w:rPr>
                <w:rFonts w:ascii="Times New Roman" w:hAnsi="Times New Roman"/>
                <w:b/>
                <w:sz w:val="22"/>
                <w:szCs w:val="22"/>
              </w:rPr>
              <w:t xml:space="preserve">Comment #1:  </w:t>
            </w:r>
            <w:r w:rsidRPr="0019338D">
              <w:rPr>
                <w:rFonts w:ascii="Times New Roman" w:hAnsi="Times New Roman"/>
                <w:bCs/>
                <w:sz w:val="22"/>
                <w:szCs w:val="22"/>
              </w:rPr>
              <w:t xml:space="preserve">The </w:t>
            </w:r>
            <w:r w:rsidR="00401CCD">
              <w:rPr>
                <w:rFonts w:ascii="Times New Roman" w:hAnsi="Times New Roman"/>
                <w:bCs/>
                <w:sz w:val="22"/>
                <w:szCs w:val="22"/>
              </w:rPr>
              <w:t>BTC</w:t>
            </w:r>
            <w:r w:rsidRPr="0019338D">
              <w:rPr>
                <w:rFonts w:ascii="Times New Roman" w:hAnsi="Times New Roman"/>
                <w:bCs/>
                <w:sz w:val="22"/>
                <w:szCs w:val="22"/>
              </w:rPr>
              <w:t xml:space="preserve"> </w:t>
            </w:r>
            <w:r w:rsidRPr="0019338D">
              <w:rPr>
                <w:rFonts w:ascii="Times New Roman" w:hAnsi="Times New Roman"/>
                <w:sz w:val="22"/>
                <w:szCs w:val="22"/>
              </w:rPr>
              <w:t>noted</w:t>
            </w:r>
            <w:r w:rsidRPr="0019338D">
              <w:rPr>
                <w:rFonts w:ascii="Times New Roman" w:hAnsi="Times New Roman"/>
                <w:color w:val="000000"/>
                <w:sz w:val="22"/>
                <w:szCs w:val="22"/>
              </w:rPr>
              <w:t xml:space="preserve"> that we changed the Permitted Entity Certification to eliminate the specific reference for detailed Permitted Entity definition, and only reference the generic Banking Bill.  This appears to leave Service Providers (SP) in the position of providing sufficient reference for clients to determine eligibility (a search using the term Banking Bill performed on 1/12/2021 returned a reference to a 2020 piece of legislation, rather than the one related to eCBSV).  </w:t>
            </w:r>
            <w:r w:rsidR="00B757CB">
              <w:rPr>
                <w:rFonts w:ascii="Times New Roman" w:hAnsi="Times New Roman"/>
                <w:color w:val="000000"/>
                <w:sz w:val="22"/>
                <w:szCs w:val="22"/>
              </w:rPr>
              <w:t>The BTC asked if, b</w:t>
            </w:r>
            <w:r w:rsidRPr="0019338D">
              <w:rPr>
                <w:rFonts w:ascii="Times New Roman" w:hAnsi="Times New Roman"/>
                <w:color w:val="000000"/>
                <w:sz w:val="22"/>
                <w:szCs w:val="22"/>
              </w:rPr>
              <w:t xml:space="preserve">ased on that information, </w:t>
            </w:r>
            <w:r w:rsidR="00B757CB">
              <w:rPr>
                <w:rFonts w:ascii="Times New Roman" w:hAnsi="Times New Roman"/>
                <w:color w:val="000000"/>
                <w:sz w:val="22"/>
                <w:szCs w:val="22"/>
              </w:rPr>
              <w:t>the</w:t>
            </w:r>
            <w:r w:rsidRPr="0019338D">
              <w:rPr>
                <w:rFonts w:ascii="Times New Roman" w:hAnsi="Times New Roman"/>
                <w:color w:val="000000"/>
                <w:sz w:val="22"/>
                <w:szCs w:val="22"/>
              </w:rPr>
              <w:t xml:space="preserve"> change </w:t>
            </w:r>
            <w:r w:rsidR="00B757CB">
              <w:rPr>
                <w:rFonts w:ascii="Times New Roman" w:hAnsi="Times New Roman"/>
                <w:color w:val="000000"/>
                <w:sz w:val="22"/>
                <w:szCs w:val="22"/>
              </w:rPr>
              <w:t xml:space="preserve">was </w:t>
            </w:r>
            <w:r w:rsidRPr="0019338D">
              <w:rPr>
                <w:rFonts w:ascii="Times New Roman" w:hAnsi="Times New Roman"/>
                <w:color w:val="000000"/>
                <w:sz w:val="22"/>
                <w:szCs w:val="22"/>
              </w:rPr>
              <w:t>intentional?  If so, does it affect who can participate in the eCBSV</w:t>
            </w:r>
            <w:r w:rsidRPr="002E3178">
              <w:rPr>
                <w:rFonts w:ascii="Times New Roman" w:hAnsi="Times New Roman"/>
                <w:color w:val="000000"/>
              </w:rPr>
              <w:t xml:space="preserve"> </w:t>
            </w:r>
            <w:r w:rsidRPr="0019338D">
              <w:rPr>
                <w:rFonts w:ascii="Times New Roman" w:hAnsi="Times New Roman"/>
                <w:color w:val="000000"/>
                <w:sz w:val="22"/>
                <w:szCs w:val="22"/>
              </w:rPr>
              <w:t>Program?</w:t>
            </w:r>
            <w:r w:rsidR="008A3A81">
              <w:rPr>
                <w:rFonts w:ascii="Times New Roman" w:hAnsi="Times New Roman"/>
                <w:color w:val="000000"/>
                <w:sz w:val="22"/>
                <w:szCs w:val="22"/>
              </w:rPr>
              <w:t xml:space="preserve"> </w:t>
            </w:r>
          </w:p>
        </w:tc>
        <w:tc>
          <w:tcPr>
            <w:tcW w:w="0" w:type="auto"/>
          </w:tcPr>
          <w:p w:rsidRPr="00DE3DBE" w:rsidR="0019338D" w:rsidP="00D671F4" w:rsidRDefault="0019338D" w14:paraId="72ED3400" w14:textId="22293352">
            <w:pPr>
              <w:rPr>
                <w:rFonts w:ascii="Times New Roman" w:hAnsi="Times New Roman"/>
                <w:color w:val="000000"/>
                <w:sz w:val="22"/>
                <w:szCs w:val="22"/>
              </w:rPr>
            </w:pPr>
            <w:r w:rsidRPr="00B757CB">
              <w:rPr>
                <w:rFonts w:ascii="Times New Roman" w:hAnsi="Times New Roman"/>
                <w:b/>
                <w:bCs/>
                <w:color w:val="0070C0"/>
                <w:sz w:val="22"/>
                <w:szCs w:val="22"/>
              </w:rPr>
              <w:t xml:space="preserve">Response #1:  </w:t>
            </w:r>
            <w:r w:rsidRPr="0019338D">
              <w:rPr>
                <w:rFonts w:ascii="Times New Roman" w:hAnsi="Times New Roman"/>
                <w:color w:val="000000" w:themeColor="text1"/>
                <w:sz w:val="22"/>
                <w:szCs w:val="22"/>
              </w:rPr>
              <w:t>SSA did not make any changes to the Permitted Entity Certification (PEC).  The correct PEC template is in Exhibit A in the User Agreement.  We are using the same template in the Customer Connection.  There was an extra PEC template for the initial rollout only on the eCBSV website; however, we will remove that older version to alleviate any confusion</w:t>
            </w:r>
            <w:r w:rsidRPr="0019338D">
              <w:rPr>
                <w:rFonts w:ascii="Times New Roman" w:hAnsi="Times New Roman"/>
                <w:color w:val="000000"/>
                <w:sz w:val="22"/>
                <w:szCs w:val="22"/>
              </w:rPr>
              <w:t>.</w:t>
            </w:r>
          </w:p>
          <w:p w:rsidRPr="00DE3DBE" w:rsidR="0019338D" w:rsidP="00D671F4" w:rsidRDefault="0019338D" w14:paraId="10F0D00D" w14:textId="77777777">
            <w:pPr>
              <w:rPr>
                <w:rFonts w:ascii="Times New Roman" w:hAnsi="Times New Roman"/>
                <w:bCs/>
                <w:sz w:val="22"/>
                <w:szCs w:val="22"/>
              </w:rPr>
            </w:pPr>
          </w:p>
        </w:tc>
        <w:tc>
          <w:tcPr>
            <w:tcW w:w="0" w:type="auto"/>
          </w:tcPr>
          <w:p w:rsidRPr="00DE3DBE" w:rsidR="0019338D" w:rsidP="00D671F4" w:rsidRDefault="00140284" w14:paraId="016A3381" w14:textId="348057C8">
            <w:pPr>
              <w:rPr>
                <w:rFonts w:ascii="Times New Roman" w:hAnsi="Times New Roman"/>
                <w:bCs/>
                <w:sz w:val="22"/>
                <w:szCs w:val="22"/>
              </w:rPr>
            </w:pPr>
            <w:r>
              <w:rPr>
                <w:rFonts w:ascii="Times New Roman" w:hAnsi="Times New Roman"/>
                <w:bCs/>
                <w:sz w:val="22"/>
                <w:szCs w:val="22"/>
              </w:rPr>
              <w:t>Issue Resolved.</w:t>
            </w:r>
          </w:p>
        </w:tc>
        <w:tc>
          <w:tcPr>
            <w:tcW w:w="0" w:type="auto"/>
          </w:tcPr>
          <w:p w:rsidRPr="00DE3DBE" w:rsidR="0019338D" w:rsidP="00D671F4" w:rsidRDefault="0019338D" w14:paraId="624698DA" w14:textId="3A135648">
            <w:pPr>
              <w:rPr>
                <w:rFonts w:ascii="Times New Roman" w:hAnsi="Times New Roman"/>
                <w:bCs/>
                <w:sz w:val="22"/>
                <w:szCs w:val="22"/>
              </w:rPr>
            </w:pPr>
            <w:r>
              <w:rPr>
                <w:rFonts w:ascii="Times New Roman" w:hAnsi="Times New Roman"/>
                <w:bCs/>
                <w:sz w:val="22"/>
                <w:szCs w:val="22"/>
              </w:rPr>
              <w:t>N/A</w:t>
            </w:r>
          </w:p>
        </w:tc>
      </w:tr>
      <w:tr w:rsidRPr="00DE3DBE" w:rsidR="00932605" w:rsidTr="00D671F4" w14:paraId="3F36E415" w14:textId="77777777">
        <w:tc>
          <w:tcPr>
            <w:tcW w:w="0" w:type="auto"/>
          </w:tcPr>
          <w:p w:rsidRPr="00DE3DBE" w:rsidR="00736362" w:rsidP="008A3A81" w:rsidRDefault="0019338D" w14:paraId="38E49A0B" w14:textId="080BD2FA">
            <w:pPr>
              <w:rPr>
                <w:rFonts w:ascii="Times New Roman" w:hAnsi="Times New Roman"/>
                <w:b/>
                <w:sz w:val="22"/>
                <w:szCs w:val="22"/>
              </w:rPr>
            </w:pPr>
            <w:r>
              <w:rPr>
                <w:rFonts w:ascii="Times New Roman" w:hAnsi="Times New Roman"/>
                <w:b/>
                <w:sz w:val="22"/>
                <w:szCs w:val="22"/>
              </w:rPr>
              <w:t xml:space="preserve">Comment #2:  </w:t>
            </w:r>
            <w:r w:rsidRPr="0019338D">
              <w:rPr>
                <w:rFonts w:ascii="Times New Roman" w:hAnsi="Times New Roman"/>
                <w:sz w:val="22"/>
                <w:szCs w:val="22"/>
              </w:rPr>
              <w:t xml:space="preserve">The </w:t>
            </w:r>
            <w:r w:rsidR="00401CCD">
              <w:rPr>
                <w:rFonts w:ascii="Times New Roman" w:hAnsi="Times New Roman"/>
                <w:sz w:val="22"/>
                <w:szCs w:val="22"/>
              </w:rPr>
              <w:t>BTC</w:t>
            </w:r>
            <w:r>
              <w:rPr>
                <w:rFonts w:ascii="Times New Roman" w:hAnsi="Times New Roman"/>
                <w:sz w:val="22"/>
                <w:szCs w:val="22"/>
              </w:rPr>
              <w:t xml:space="preserve"> </w:t>
            </w:r>
            <w:r w:rsidRPr="0019338D">
              <w:rPr>
                <w:rFonts w:ascii="Times New Roman" w:hAnsi="Times New Roman"/>
                <w:color w:val="000000"/>
                <w:sz w:val="22"/>
                <w:szCs w:val="22"/>
              </w:rPr>
              <w:t xml:space="preserve">noted that in the Permitted Entity Certification, the “Financial Institution Registration” </w:t>
            </w:r>
            <w:r w:rsidR="00B757CB">
              <w:rPr>
                <w:rFonts w:ascii="Times New Roman" w:hAnsi="Times New Roman"/>
                <w:color w:val="000000"/>
                <w:sz w:val="22"/>
                <w:szCs w:val="22"/>
              </w:rPr>
              <w:t>section,</w:t>
            </w:r>
            <w:r w:rsidRPr="0019338D">
              <w:rPr>
                <w:rFonts w:ascii="Times New Roman" w:hAnsi="Times New Roman"/>
                <w:color w:val="000000"/>
                <w:sz w:val="22"/>
                <w:szCs w:val="22"/>
              </w:rPr>
              <w:t xml:space="preserve"> SSA does not specifically state that only Financial Institutions (FI) are eligible to participate.  While SSA provides a hyperlink to learn more about Permitted Entity Certification, the documentation provided lacks ability to explore that link.  The </w:t>
            </w:r>
            <w:r>
              <w:rPr>
                <w:rFonts w:ascii="Times New Roman" w:hAnsi="Times New Roman"/>
                <w:color w:val="000000"/>
                <w:sz w:val="22"/>
                <w:szCs w:val="22"/>
              </w:rPr>
              <w:t>commenter</w:t>
            </w:r>
            <w:r w:rsidR="00000202">
              <w:rPr>
                <w:rFonts w:ascii="Times New Roman" w:hAnsi="Times New Roman"/>
                <w:color w:val="000000"/>
                <w:sz w:val="22"/>
                <w:szCs w:val="22"/>
              </w:rPr>
              <w:t>s</w:t>
            </w:r>
            <w:r w:rsidRPr="0019338D">
              <w:rPr>
                <w:rFonts w:ascii="Times New Roman" w:hAnsi="Times New Roman"/>
                <w:color w:val="000000"/>
                <w:sz w:val="22"/>
                <w:szCs w:val="22"/>
              </w:rPr>
              <w:t xml:space="preserve"> then asked:  does this link provide sufficient detail related to Permitted Entity qualification?  In addition, for clarity </w:t>
            </w:r>
            <w:r w:rsidR="00F84417">
              <w:rPr>
                <w:rFonts w:ascii="Times New Roman" w:hAnsi="Times New Roman"/>
                <w:color w:val="000000"/>
                <w:sz w:val="22"/>
                <w:szCs w:val="22"/>
              </w:rPr>
              <w:t>and</w:t>
            </w:r>
            <w:r w:rsidRPr="0019338D">
              <w:rPr>
                <w:rFonts w:ascii="Times New Roman" w:hAnsi="Times New Roman"/>
                <w:color w:val="000000"/>
                <w:sz w:val="22"/>
                <w:szCs w:val="22"/>
              </w:rPr>
              <w:t xml:space="preserve"> simplicity, the </w:t>
            </w:r>
            <w:r>
              <w:rPr>
                <w:rFonts w:ascii="Times New Roman" w:hAnsi="Times New Roman"/>
                <w:color w:val="000000"/>
                <w:sz w:val="22"/>
                <w:szCs w:val="22"/>
              </w:rPr>
              <w:t>commenter</w:t>
            </w:r>
            <w:r w:rsidR="00000202">
              <w:rPr>
                <w:rFonts w:ascii="Times New Roman" w:hAnsi="Times New Roman"/>
                <w:color w:val="000000"/>
                <w:sz w:val="22"/>
                <w:szCs w:val="22"/>
              </w:rPr>
              <w:t>s</w:t>
            </w:r>
            <w:r w:rsidRPr="0019338D">
              <w:rPr>
                <w:rFonts w:ascii="Times New Roman" w:hAnsi="Times New Roman"/>
                <w:color w:val="000000"/>
                <w:sz w:val="22"/>
                <w:szCs w:val="22"/>
              </w:rPr>
              <w:t xml:space="preserve"> suggested that SSA add the requirement that participation through an SP is limited to FIs.</w:t>
            </w:r>
            <w:r w:rsidR="008A3A81">
              <w:rPr>
                <w:rFonts w:ascii="Times New Roman" w:hAnsi="Times New Roman"/>
                <w:color w:val="000000"/>
                <w:sz w:val="22"/>
                <w:szCs w:val="22"/>
              </w:rPr>
              <w:t xml:space="preserve"> </w:t>
            </w:r>
          </w:p>
        </w:tc>
        <w:tc>
          <w:tcPr>
            <w:tcW w:w="0" w:type="auto"/>
          </w:tcPr>
          <w:p w:rsidRPr="00DE3DBE" w:rsidR="003F4814" w:rsidP="003F4814" w:rsidRDefault="0019338D" w14:paraId="34F67D60" w14:textId="1632688F">
            <w:pPr>
              <w:rPr>
                <w:rFonts w:ascii="Times New Roman" w:hAnsi="Times New Roman"/>
                <w:b/>
                <w:bCs/>
                <w:color w:val="00B0F0"/>
                <w:sz w:val="22"/>
                <w:szCs w:val="22"/>
              </w:rPr>
            </w:pPr>
            <w:r w:rsidRPr="00B757CB">
              <w:rPr>
                <w:rFonts w:ascii="Times New Roman" w:hAnsi="Times New Roman"/>
                <w:b/>
                <w:bCs/>
                <w:color w:val="0070C0"/>
                <w:sz w:val="22"/>
                <w:szCs w:val="22"/>
              </w:rPr>
              <w:t xml:space="preserve">Response #2:  </w:t>
            </w:r>
            <w:r w:rsidRPr="0019338D">
              <w:rPr>
                <w:rFonts w:ascii="Times New Roman" w:hAnsi="Times New Roman"/>
                <w:sz w:val="22"/>
                <w:szCs w:val="22"/>
              </w:rPr>
              <w:t xml:space="preserve">The link on the screen will direct the user back to the eCBSV Website where there is information about the onboarding process, including the FI Registration process.  SSA appreciates the suggestion and </w:t>
            </w:r>
            <w:r w:rsidR="00F84417">
              <w:rPr>
                <w:rFonts w:ascii="Times New Roman" w:hAnsi="Times New Roman"/>
                <w:sz w:val="22"/>
                <w:szCs w:val="22"/>
              </w:rPr>
              <w:t xml:space="preserve">we </w:t>
            </w:r>
            <w:r w:rsidRPr="0019338D">
              <w:rPr>
                <w:rFonts w:ascii="Times New Roman" w:hAnsi="Times New Roman"/>
                <w:sz w:val="22"/>
                <w:szCs w:val="22"/>
              </w:rPr>
              <w:t>will consider it for a future update</w:t>
            </w:r>
            <w:r>
              <w:rPr>
                <w:rFonts w:ascii="Times New Roman" w:hAnsi="Times New Roman"/>
                <w:sz w:val="22"/>
                <w:szCs w:val="22"/>
              </w:rPr>
              <w:t>.</w:t>
            </w:r>
            <w:r w:rsidR="003F4814">
              <w:rPr>
                <w:rFonts w:ascii="Times New Roman" w:hAnsi="Times New Roman"/>
                <w:sz w:val="22"/>
                <w:szCs w:val="22"/>
              </w:rPr>
              <w:t xml:space="preserve"> </w:t>
            </w:r>
          </w:p>
        </w:tc>
        <w:tc>
          <w:tcPr>
            <w:tcW w:w="0" w:type="auto"/>
          </w:tcPr>
          <w:p w:rsidR="0019338D" w:rsidP="00D671F4" w:rsidRDefault="0019338D" w14:paraId="6F349C7F" w14:textId="6C53FC63">
            <w:pPr>
              <w:rPr>
                <w:rFonts w:ascii="Times New Roman" w:hAnsi="Times New Roman"/>
                <w:bCs/>
                <w:sz w:val="22"/>
                <w:szCs w:val="22"/>
              </w:rPr>
            </w:pPr>
            <w:r>
              <w:rPr>
                <w:rFonts w:ascii="Times New Roman" w:hAnsi="Times New Roman"/>
                <w:bCs/>
                <w:sz w:val="22"/>
                <w:szCs w:val="22"/>
              </w:rPr>
              <w:t xml:space="preserve">SSA ensured the link on the screen directs the user back to the onboarding </w:t>
            </w:r>
            <w:r w:rsidR="00000202">
              <w:rPr>
                <w:rFonts w:ascii="Times New Roman" w:hAnsi="Times New Roman"/>
                <w:bCs/>
                <w:sz w:val="22"/>
                <w:szCs w:val="22"/>
              </w:rPr>
              <w:t>process on the</w:t>
            </w:r>
            <w:r>
              <w:rPr>
                <w:rFonts w:ascii="Times New Roman" w:hAnsi="Times New Roman"/>
                <w:bCs/>
                <w:sz w:val="22"/>
                <w:szCs w:val="22"/>
              </w:rPr>
              <w:t xml:space="preserve"> eCBSV website.</w:t>
            </w:r>
            <w:r w:rsidR="00000202">
              <w:rPr>
                <w:rFonts w:ascii="Times New Roman" w:hAnsi="Times New Roman"/>
                <w:bCs/>
                <w:sz w:val="22"/>
                <w:szCs w:val="22"/>
              </w:rPr>
              <w:t xml:space="preserve">  SSA will consider the suggestion of adding the requirement that participation through an SP is limited to FIs for a future update.</w:t>
            </w:r>
          </w:p>
        </w:tc>
        <w:tc>
          <w:tcPr>
            <w:tcW w:w="0" w:type="auto"/>
          </w:tcPr>
          <w:p w:rsidR="0019338D" w:rsidP="00D671F4" w:rsidRDefault="00000202" w14:paraId="50649F0F" w14:textId="3F187C42">
            <w:pPr>
              <w:rPr>
                <w:rFonts w:ascii="Times New Roman" w:hAnsi="Times New Roman"/>
                <w:bCs/>
                <w:sz w:val="22"/>
                <w:szCs w:val="22"/>
              </w:rPr>
            </w:pPr>
            <w:r>
              <w:rPr>
                <w:rFonts w:ascii="Times New Roman" w:hAnsi="Times New Roman"/>
                <w:bCs/>
                <w:sz w:val="22"/>
                <w:szCs w:val="22"/>
              </w:rPr>
              <w:t>N/A</w:t>
            </w:r>
          </w:p>
        </w:tc>
      </w:tr>
      <w:tr w:rsidRPr="00DE3DBE" w:rsidR="00000202" w:rsidTr="00D671F4" w14:paraId="5FB1D4E6" w14:textId="77777777">
        <w:tc>
          <w:tcPr>
            <w:tcW w:w="0" w:type="auto"/>
          </w:tcPr>
          <w:p w:rsidR="00000202" w:rsidP="00D671F4" w:rsidRDefault="00000202" w14:paraId="62AD14A1" w14:textId="77777777">
            <w:pPr>
              <w:rPr>
                <w:rFonts w:ascii="Times New Roman" w:hAnsi="Times New Roman"/>
                <w:color w:val="000000"/>
                <w:sz w:val="22"/>
                <w:szCs w:val="22"/>
              </w:rPr>
            </w:pPr>
            <w:r>
              <w:rPr>
                <w:rFonts w:ascii="Times New Roman" w:hAnsi="Times New Roman"/>
                <w:b/>
                <w:sz w:val="22"/>
                <w:szCs w:val="22"/>
              </w:rPr>
              <w:t xml:space="preserve">Comment #3:  </w:t>
            </w:r>
            <w:r w:rsidRPr="00000202">
              <w:rPr>
                <w:rFonts w:ascii="Times New Roman" w:hAnsi="Times New Roman"/>
                <w:color w:val="000000"/>
                <w:sz w:val="22"/>
                <w:szCs w:val="22"/>
              </w:rPr>
              <w:t xml:space="preserve">The </w:t>
            </w:r>
            <w:r w:rsidR="00401CCD">
              <w:rPr>
                <w:rFonts w:ascii="Times New Roman" w:hAnsi="Times New Roman"/>
                <w:color w:val="000000"/>
                <w:sz w:val="22"/>
                <w:szCs w:val="22"/>
              </w:rPr>
              <w:t>BTC</w:t>
            </w:r>
            <w:r>
              <w:rPr>
                <w:rFonts w:ascii="Times New Roman" w:hAnsi="Times New Roman"/>
                <w:color w:val="000000"/>
                <w:sz w:val="22"/>
                <w:szCs w:val="22"/>
              </w:rPr>
              <w:t xml:space="preserve"> </w:t>
            </w:r>
            <w:r w:rsidRPr="00000202">
              <w:rPr>
                <w:rFonts w:ascii="Times New Roman" w:hAnsi="Times New Roman"/>
                <w:color w:val="000000"/>
                <w:sz w:val="22"/>
                <w:szCs w:val="22"/>
              </w:rPr>
              <w:t xml:space="preserve">observed that the FI Registration completion notice provides advice to download and save the completed PE certification, but not the Employer Identification Number (EIN) Consent form, nor does it advise the respondents to share copies with the SP.  The </w:t>
            </w:r>
            <w:r w:rsidR="00932605">
              <w:rPr>
                <w:rFonts w:ascii="Times New Roman" w:hAnsi="Times New Roman"/>
                <w:color w:val="000000"/>
                <w:sz w:val="22"/>
                <w:szCs w:val="22"/>
              </w:rPr>
              <w:t>BTC</w:t>
            </w:r>
            <w:r w:rsidRPr="00000202">
              <w:rPr>
                <w:rFonts w:ascii="Times New Roman" w:hAnsi="Times New Roman"/>
                <w:color w:val="000000"/>
                <w:sz w:val="22"/>
                <w:szCs w:val="22"/>
              </w:rPr>
              <w:t xml:space="preserve">’s assumption is the SP needs the EIN to supply to SSA prior to initiation of traffic to eCBSV.  Therefore, giving the advice to share with SP would be helpful here.  The </w:t>
            </w:r>
            <w:r w:rsidR="00401CCD">
              <w:rPr>
                <w:rFonts w:ascii="Times New Roman" w:hAnsi="Times New Roman"/>
                <w:color w:val="000000"/>
                <w:sz w:val="22"/>
                <w:szCs w:val="22"/>
              </w:rPr>
              <w:t>BTC</w:t>
            </w:r>
            <w:r w:rsidRPr="00000202">
              <w:rPr>
                <w:rFonts w:ascii="Times New Roman" w:hAnsi="Times New Roman"/>
                <w:color w:val="000000"/>
                <w:sz w:val="22"/>
                <w:szCs w:val="22"/>
              </w:rPr>
              <w:t xml:space="preserve"> requested that SSA provide the full package of documents required by the PE, and advise that if the PE is coming through an SP, that they share those documents SSA will require of the SP</w:t>
            </w:r>
            <w:r>
              <w:rPr>
                <w:rFonts w:ascii="Times New Roman" w:hAnsi="Times New Roman"/>
                <w:color w:val="000000"/>
                <w:sz w:val="22"/>
                <w:szCs w:val="22"/>
              </w:rPr>
              <w:t>.</w:t>
            </w:r>
          </w:p>
          <w:p w:rsidR="007224AF" w:rsidP="00D671F4" w:rsidRDefault="007224AF" w14:paraId="05D7B67D" w14:textId="2A142A72">
            <w:pPr>
              <w:rPr>
                <w:rFonts w:ascii="Times New Roman" w:hAnsi="Times New Roman"/>
                <w:b/>
                <w:sz w:val="22"/>
                <w:szCs w:val="22"/>
              </w:rPr>
            </w:pPr>
          </w:p>
        </w:tc>
        <w:tc>
          <w:tcPr>
            <w:tcW w:w="0" w:type="auto"/>
          </w:tcPr>
          <w:p w:rsidR="00000202" w:rsidP="00D671F4" w:rsidRDefault="00000202" w14:paraId="3F809EF2" w14:textId="1B4E2560">
            <w:pPr>
              <w:rPr>
                <w:rFonts w:ascii="Times New Roman" w:hAnsi="Times New Roman"/>
                <w:b/>
                <w:bCs/>
                <w:color w:val="00B0F0"/>
                <w:sz w:val="22"/>
                <w:szCs w:val="22"/>
              </w:rPr>
            </w:pPr>
            <w:r w:rsidRPr="00B757CB">
              <w:rPr>
                <w:rFonts w:ascii="Times New Roman" w:hAnsi="Times New Roman"/>
                <w:b/>
                <w:bCs/>
                <w:color w:val="0070C0"/>
                <w:sz w:val="22"/>
                <w:szCs w:val="22"/>
              </w:rPr>
              <w:t xml:space="preserve">Response #3:  </w:t>
            </w:r>
            <w:r w:rsidRPr="00000202">
              <w:rPr>
                <w:rFonts w:ascii="Times New Roman" w:hAnsi="Times New Roman"/>
                <w:color w:val="000000" w:themeColor="text1"/>
                <w:sz w:val="22"/>
                <w:szCs w:val="22"/>
              </w:rPr>
              <w:t>The requirement for SPs to manually provide SSA with the EINs of the FI they serve, prior to submitting traffic, was for the Initial rollout only.  In the Expanded rollout, FI</w:t>
            </w:r>
            <w:r w:rsidR="00F84417">
              <w:rPr>
                <w:rFonts w:ascii="Times New Roman" w:hAnsi="Times New Roman"/>
                <w:color w:val="000000" w:themeColor="text1"/>
                <w:sz w:val="22"/>
                <w:szCs w:val="22"/>
              </w:rPr>
              <w:t>s</w:t>
            </w:r>
            <w:r w:rsidRPr="00000202">
              <w:rPr>
                <w:rFonts w:ascii="Times New Roman" w:hAnsi="Times New Roman"/>
                <w:color w:val="000000" w:themeColor="text1"/>
                <w:sz w:val="22"/>
                <w:szCs w:val="22"/>
              </w:rPr>
              <w:t xml:space="preserve"> will use the FI Registration screen to register their entity with SSA.  Once this is complete, that FI will be registered to use eCBSV through an SP.  SPs will need to send the EIN associated to the transaction when making a request.  It will be on each SP to obtain the FI’s EIN as part of their internal business process when adding on FIs</w:t>
            </w:r>
            <w:r>
              <w:rPr>
                <w:rFonts w:ascii="Times New Roman" w:hAnsi="Times New Roman"/>
                <w:color w:val="000000" w:themeColor="text1"/>
                <w:sz w:val="22"/>
                <w:szCs w:val="22"/>
              </w:rPr>
              <w:t>.</w:t>
            </w:r>
          </w:p>
        </w:tc>
        <w:tc>
          <w:tcPr>
            <w:tcW w:w="0" w:type="auto"/>
          </w:tcPr>
          <w:p w:rsidR="00000202" w:rsidP="00D671F4" w:rsidRDefault="00000202" w14:paraId="445E72F8" w14:textId="5C2788B1">
            <w:pPr>
              <w:rPr>
                <w:rFonts w:ascii="Times New Roman" w:hAnsi="Times New Roman"/>
                <w:bCs/>
                <w:sz w:val="22"/>
                <w:szCs w:val="22"/>
              </w:rPr>
            </w:pPr>
            <w:r>
              <w:rPr>
                <w:rFonts w:ascii="Times New Roman" w:hAnsi="Times New Roman"/>
                <w:bCs/>
                <w:sz w:val="22"/>
                <w:szCs w:val="22"/>
              </w:rPr>
              <w:t>SSA explained the new process under eCBSV Phase II will differ from Phase I, as we included a specific FI Registration page for this purpose.  The SPs will need to obtain the FI’s EIN as part of their internal business process.</w:t>
            </w:r>
          </w:p>
        </w:tc>
        <w:tc>
          <w:tcPr>
            <w:tcW w:w="0" w:type="auto"/>
          </w:tcPr>
          <w:p w:rsidR="00000202" w:rsidP="00D671F4" w:rsidRDefault="00000202" w14:paraId="766D71C0" w14:textId="22650A79">
            <w:pPr>
              <w:rPr>
                <w:rFonts w:ascii="Times New Roman" w:hAnsi="Times New Roman"/>
                <w:bCs/>
                <w:sz w:val="22"/>
                <w:szCs w:val="22"/>
              </w:rPr>
            </w:pPr>
            <w:r>
              <w:rPr>
                <w:rFonts w:ascii="Times New Roman" w:hAnsi="Times New Roman"/>
                <w:bCs/>
                <w:sz w:val="22"/>
                <w:szCs w:val="22"/>
              </w:rPr>
              <w:t>N/A</w:t>
            </w:r>
          </w:p>
        </w:tc>
      </w:tr>
      <w:tr w:rsidRPr="00DE3DBE" w:rsidR="00000202" w:rsidTr="00D671F4" w14:paraId="5E56356C" w14:textId="77777777">
        <w:tc>
          <w:tcPr>
            <w:tcW w:w="0" w:type="auto"/>
          </w:tcPr>
          <w:p w:rsidR="00000202" w:rsidP="00D671F4" w:rsidRDefault="00000202" w14:paraId="7AA7B1E0" w14:textId="77777777">
            <w:pPr>
              <w:rPr>
                <w:rFonts w:ascii="Times New Roman" w:hAnsi="Times New Roman"/>
                <w:color w:val="000000"/>
                <w:sz w:val="22"/>
                <w:szCs w:val="22"/>
              </w:rPr>
            </w:pPr>
            <w:r>
              <w:rPr>
                <w:rFonts w:ascii="Times New Roman" w:hAnsi="Times New Roman"/>
                <w:b/>
                <w:sz w:val="22"/>
                <w:szCs w:val="22"/>
              </w:rPr>
              <w:t>Comment #4:</w:t>
            </w:r>
            <w:r w:rsidRPr="00000202">
              <w:rPr>
                <w:rFonts w:ascii="Times New Roman" w:hAnsi="Times New Roman"/>
                <w:b/>
                <w:sz w:val="22"/>
                <w:szCs w:val="22"/>
              </w:rPr>
              <w:t xml:space="preserve">  </w:t>
            </w:r>
            <w:r w:rsidRPr="00000202">
              <w:rPr>
                <w:rFonts w:ascii="Times New Roman" w:hAnsi="Times New Roman"/>
                <w:color w:val="000000"/>
                <w:sz w:val="22"/>
                <w:szCs w:val="22"/>
              </w:rPr>
              <w:t>The</w:t>
            </w:r>
            <w:r w:rsidR="00401CCD">
              <w:rPr>
                <w:rFonts w:ascii="Times New Roman" w:hAnsi="Times New Roman"/>
                <w:color w:val="000000"/>
                <w:sz w:val="22"/>
                <w:szCs w:val="22"/>
              </w:rPr>
              <w:t xml:space="preserve"> BTC</w:t>
            </w:r>
            <w:r w:rsidRPr="00000202">
              <w:rPr>
                <w:rFonts w:ascii="Times New Roman" w:hAnsi="Times New Roman"/>
                <w:color w:val="000000"/>
                <w:sz w:val="22"/>
                <w:szCs w:val="22"/>
              </w:rPr>
              <w:t xml:space="preserve"> remarked that the online enrollment process for FIs using SP does not require entry of the name of the intended SP.  They stated that, because SSA is not requiring that information, it is unclear how the SP will ensure that Item #1 from the current User Agreement is complete.  Similarly, there is no obvious mechanism for providing the notice of intended use of SPs by an FI (#11 from User Agreement) via the Portal screens.  They are asking SSA to please clarify this</w:t>
            </w:r>
            <w:r>
              <w:rPr>
                <w:rFonts w:ascii="Times New Roman" w:hAnsi="Times New Roman"/>
                <w:color w:val="000000"/>
                <w:sz w:val="22"/>
                <w:szCs w:val="22"/>
              </w:rPr>
              <w:t>.</w:t>
            </w:r>
          </w:p>
          <w:p w:rsidR="007A6F9F" w:rsidP="00D671F4" w:rsidRDefault="007A6F9F" w14:paraId="3E21F16E" w14:textId="639C34EF">
            <w:pPr>
              <w:rPr>
                <w:rFonts w:ascii="Times New Roman" w:hAnsi="Times New Roman"/>
                <w:b/>
                <w:sz w:val="22"/>
                <w:szCs w:val="22"/>
              </w:rPr>
            </w:pPr>
          </w:p>
        </w:tc>
        <w:tc>
          <w:tcPr>
            <w:tcW w:w="0" w:type="auto"/>
          </w:tcPr>
          <w:p w:rsidR="00B83535" w:rsidP="00D671F4" w:rsidRDefault="00000202" w14:paraId="22F61B8E" w14:textId="249A33AD">
            <w:pPr>
              <w:rPr>
                <w:rFonts w:ascii="Times New Roman" w:hAnsi="Times New Roman"/>
                <w:b/>
                <w:bCs/>
                <w:color w:val="00B0F0"/>
                <w:sz w:val="22"/>
                <w:szCs w:val="22"/>
              </w:rPr>
            </w:pPr>
            <w:r w:rsidRPr="00F80CDD">
              <w:rPr>
                <w:rFonts w:ascii="Times New Roman" w:hAnsi="Times New Roman"/>
                <w:b/>
                <w:bCs/>
                <w:color w:val="0070C0"/>
                <w:sz w:val="22"/>
                <w:szCs w:val="22"/>
              </w:rPr>
              <w:t xml:space="preserve">Response #4:  </w:t>
            </w:r>
            <w:r w:rsidR="00F80CDD">
              <w:rPr>
                <w:rFonts w:ascii="Times New Roman" w:hAnsi="Times New Roman"/>
                <w:sz w:val="22"/>
                <w:szCs w:val="22"/>
              </w:rPr>
              <w:t>Pe</w:t>
            </w:r>
            <w:r w:rsidRPr="00000202">
              <w:rPr>
                <w:rFonts w:ascii="Times New Roman" w:hAnsi="Times New Roman"/>
                <w:sz w:val="22"/>
                <w:szCs w:val="22"/>
              </w:rPr>
              <w:t>r our response above to Comment #3, the FI does not need to indicate the SP they plan to use.  Once they are registered, they can use whichever SP they choose.  The SP is required to provide the EIN of the FI where the transaction is coming from.  If that FI has not previously registered, the verification service will not process the transaction</w:t>
            </w:r>
            <w:r>
              <w:rPr>
                <w:rFonts w:ascii="Times New Roman" w:hAnsi="Times New Roman"/>
                <w:sz w:val="22"/>
                <w:szCs w:val="22"/>
              </w:rPr>
              <w:t>.</w:t>
            </w:r>
            <w:r w:rsidR="007224AF">
              <w:rPr>
                <w:rFonts w:ascii="Times New Roman" w:hAnsi="Times New Roman"/>
                <w:sz w:val="22"/>
                <w:szCs w:val="22"/>
              </w:rPr>
              <w:t xml:space="preserve"> </w:t>
            </w:r>
          </w:p>
          <w:p w:rsidR="00B83535" w:rsidP="00D671F4" w:rsidRDefault="00B83535" w14:paraId="4BDF18F7" w14:textId="48A97B7D">
            <w:pPr>
              <w:rPr>
                <w:rFonts w:ascii="Times New Roman" w:hAnsi="Times New Roman"/>
                <w:b/>
                <w:bCs/>
                <w:color w:val="00B0F0"/>
                <w:sz w:val="22"/>
                <w:szCs w:val="22"/>
              </w:rPr>
            </w:pPr>
          </w:p>
          <w:p w:rsidR="008A3A81" w:rsidP="00D671F4" w:rsidRDefault="008A3A81" w14:paraId="28F34CDE" w14:textId="18D8AE0D">
            <w:pPr>
              <w:rPr>
                <w:rFonts w:ascii="Times New Roman" w:hAnsi="Times New Roman"/>
                <w:b/>
                <w:bCs/>
                <w:color w:val="00B0F0"/>
                <w:sz w:val="22"/>
                <w:szCs w:val="22"/>
              </w:rPr>
            </w:pPr>
          </w:p>
          <w:p w:rsidR="008A3A81" w:rsidP="00D671F4" w:rsidRDefault="008A3A81" w14:paraId="4B99F48D" w14:textId="77777777">
            <w:pPr>
              <w:rPr>
                <w:rFonts w:ascii="Times New Roman" w:hAnsi="Times New Roman"/>
                <w:b/>
                <w:bCs/>
                <w:color w:val="00B0F0"/>
                <w:sz w:val="22"/>
                <w:szCs w:val="22"/>
              </w:rPr>
            </w:pPr>
          </w:p>
          <w:p w:rsidR="00B83535" w:rsidP="00D671F4" w:rsidRDefault="00B83535" w14:paraId="1525EEBA" w14:textId="77777777">
            <w:pPr>
              <w:rPr>
                <w:rFonts w:ascii="Times New Roman" w:hAnsi="Times New Roman"/>
                <w:b/>
                <w:bCs/>
                <w:color w:val="00B0F0"/>
                <w:sz w:val="22"/>
                <w:szCs w:val="22"/>
              </w:rPr>
            </w:pPr>
          </w:p>
          <w:p w:rsidR="00B83535" w:rsidP="00D671F4" w:rsidRDefault="00B83535" w14:paraId="3737EA12" w14:textId="48CDAB00">
            <w:pPr>
              <w:rPr>
                <w:rFonts w:ascii="Times New Roman" w:hAnsi="Times New Roman"/>
                <w:b/>
                <w:bCs/>
                <w:color w:val="00B0F0"/>
                <w:sz w:val="22"/>
                <w:szCs w:val="22"/>
              </w:rPr>
            </w:pPr>
          </w:p>
        </w:tc>
        <w:tc>
          <w:tcPr>
            <w:tcW w:w="0" w:type="auto"/>
          </w:tcPr>
          <w:p w:rsidR="00000202" w:rsidP="00D671F4" w:rsidRDefault="00000202" w14:paraId="771B7799" w14:textId="71F82FDF">
            <w:pPr>
              <w:rPr>
                <w:rFonts w:ascii="Times New Roman" w:hAnsi="Times New Roman"/>
                <w:bCs/>
                <w:sz w:val="22"/>
                <w:szCs w:val="22"/>
              </w:rPr>
            </w:pPr>
            <w:r>
              <w:rPr>
                <w:rFonts w:ascii="Times New Roman" w:hAnsi="Times New Roman"/>
                <w:bCs/>
                <w:sz w:val="22"/>
                <w:szCs w:val="22"/>
              </w:rPr>
              <w:t>SSA reiterated that FIs will not need to indicate the SP they plan to use on their registration page, and that the SP the FI chooses will be required to provide the EIN of the FI.  In addition, eCBSV will only process transactions for registered FIs.</w:t>
            </w:r>
          </w:p>
        </w:tc>
        <w:tc>
          <w:tcPr>
            <w:tcW w:w="0" w:type="auto"/>
          </w:tcPr>
          <w:p w:rsidR="00000202" w:rsidP="00D671F4" w:rsidRDefault="00000202" w14:paraId="73C81839" w14:textId="23CC5B17">
            <w:pPr>
              <w:rPr>
                <w:rFonts w:ascii="Times New Roman" w:hAnsi="Times New Roman"/>
                <w:bCs/>
                <w:sz w:val="22"/>
                <w:szCs w:val="22"/>
              </w:rPr>
            </w:pPr>
            <w:r>
              <w:rPr>
                <w:rFonts w:ascii="Times New Roman" w:hAnsi="Times New Roman"/>
                <w:bCs/>
                <w:sz w:val="22"/>
                <w:szCs w:val="22"/>
              </w:rPr>
              <w:t>N/A</w:t>
            </w:r>
          </w:p>
        </w:tc>
      </w:tr>
      <w:tr w:rsidRPr="00DE3DBE" w:rsidR="00000202" w:rsidTr="00140284" w14:paraId="4C3CA62B" w14:textId="77777777">
        <w:trPr>
          <w:trHeight w:val="521"/>
        </w:trPr>
        <w:tc>
          <w:tcPr>
            <w:tcW w:w="0" w:type="auto"/>
          </w:tcPr>
          <w:p w:rsidR="00000202" w:rsidP="00D671F4" w:rsidRDefault="00000202" w14:paraId="5B19C2D5" w14:textId="77777777">
            <w:pPr>
              <w:rPr>
                <w:rFonts w:ascii="Times New Roman" w:hAnsi="Times New Roman"/>
                <w:color w:val="000000"/>
                <w:sz w:val="22"/>
                <w:szCs w:val="22"/>
              </w:rPr>
            </w:pPr>
            <w:r w:rsidRPr="00480130">
              <w:rPr>
                <w:rFonts w:ascii="Times New Roman" w:hAnsi="Times New Roman"/>
                <w:b/>
                <w:sz w:val="22"/>
                <w:szCs w:val="22"/>
              </w:rPr>
              <w:t xml:space="preserve">Comment #5:  </w:t>
            </w:r>
            <w:r w:rsidRPr="00480130">
              <w:rPr>
                <w:rFonts w:ascii="Times New Roman" w:hAnsi="Times New Roman"/>
                <w:color w:val="000000"/>
                <w:sz w:val="22"/>
                <w:szCs w:val="22"/>
              </w:rPr>
              <w:t xml:space="preserve">The </w:t>
            </w:r>
            <w:r w:rsidR="00401CCD">
              <w:rPr>
                <w:rFonts w:ascii="Times New Roman" w:hAnsi="Times New Roman"/>
                <w:color w:val="000000"/>
                <w:sz w:val="22"/>
                <w:szCs w:val="22"/>
              </w:rPr>
              <w:t xml:space="preserve">BTC </w:t>
            </w:r>
            <w:r w:rsidRPr="00480130">
              <w:rPr>
                <w:rFonts w:ascii="Times New Roman" w:hAnsi="Times New Roman"/>
                <w:color w:val="000000"/>
                <w:sz w:val="22"/>
                <w:szCs w:val="22"/>
              </w:rPr>
              <w:t>pointed out that SSA’s sample Entity Registration email contains a reference to a real entity.  They requested that SSA’s samples avoid references to any real corporate entities</w:t>
            </w:r>
            <w:r w:rsidRPr="00480130" w:rsidR="00480130">
              <w:rPr>
                <w:rFonts w:ascii="Times New Roman" w:hAnsi="Times New Roman"/>
                <w:color w:val="000000"/>
                <w:sz w:val="22"/>
                <w:szCs w:val="22"/>
              </w:rPr>
              <w:t>.</w:t>
            </w:r>
          </w:p>
          <w:p w:rsidR="00063B55" w:rsidP="00D671F4" w:rsidRDefault="00063B55" w14:paraId="6A20EC78" w14:textId="77777777">
            <w:pPr>
              <w:rPr>
                <w:rFonts w:ascii="Times New Roman" w:hAnsi="Times New Roman"/>
                <w:b/>
                <w:color w:val="000000"/>
                <w:sz w:val="22"/>
                <w:szCs w:val="22"/>
              </w:rPr>
            </w:pPr>
          </w:p>
          <w:p w:rsidRPr="00063B55" w:rsidR="00063B55" w:rsidP="00D671F4" w:rsidRDefault="00063B55" w14:paraId="7936DFEE" w14:textId="0CA4C43E">
            <w:pPr>
              <w:rPr>
                <w:rFonts w:ascii="Times New Roman" w:hAnsi="Times New Roman"/>
                <w:b/>
                <w:i/>
                <w:iCs/>
                <w:sz w:val="22"/>
                <w:szCs w:val="22"/>
              </w:rPr>
            </w:pPr>
            <w:r>
              <w:rPr>
                <w:rFonts w:ascii="Times New Roman" w:hAnsi="Times New Roman"/>
                <w:b/>
                <w:color w:val="000000"/>
                <w:sz w:val="22"/>
                <w:szCs w:val="22"/>
              </w:rPr>
              <w:t>(</w:t>
            </w:r>
            <w:r>
              <w:rPr>
                <w:rFonts w:ascii="Times New Roman" w:hAnsi="Times New Roman"/>
                <w:b/>
                <w:i/>
                <w:iCs/>
                <w:color w:val="000000"/>
                <w:sz w:val="22"/>
                <w:szCs w:val="22"/>
              </w:rPr>
              <w:t>Note:  This was on SSA’s website, not in any other eCBSV materials.)</w:t>
            </w:r>
          </w:p>
        </w:tc>
        <w:tc>
          <w:tcPr>
            <w:tcW w:w="0" w:type="auto"/>
          </w:tcPr>
          <w:p w:rsidRPr="00480130" w:rsidR="00000202" w:rsidP="00D671F4" w:rsidRDefault="00000202" w14:paraId="4939A426" w14:textId="491C072F">
            <w:pPr>
              <w:rPr>
                <w:rFonts w:ascii="Times New Roman" w:hAnsi="Times New Roman"/>
                <w:b/>
                <w:bCs/>
                <w:color w:val="00B0F0"/>
                <w:sz w:val="22"/>
                <w:szCs w:val="22"/>
              </w:rPr>
            </w:pPr>
            <w:r w:rsidRPr="00F80CDD">
              <w:rPr>
                <w:rFonts w:ascii="Times New Roman" w:hAnsi="Times New Roman"/>
                <w:b/>
                <w:bCs/>
                <w:color w:val="0070C0"/>
                <w:sz w:val="22"/>
                <w:szCs w:val="22"/>
              </w:rPr>
              <w:t xml:space="preserve">Response #5:  </w:t>
            </w:r>
            <w:r w:rsidRPr="00480130" w:rsidR="00480130">
              <w:rPr>
                <w:rFonts w:ascii="Times New Roman" w:hAnsi="Times New Roman"/>
                <w:sz w:val="22"/>
                <w:szCs w:val="22"/>
              </w:rPr>
              <w:t>SSA appreciates this observation, and we will update the sample to remove the reference.  We will avoid making any references to real corporate entities in the future.</w:t>
            </w:r>
          </w:p>
        </w:tc>
        <w:tc>
          <w:tcPr>
            <w:tcW w:w="0" w:type="auto"/>
          </w:tcPr>
          <w:p w:rsidR="00000202" w:rsidP="00D671F4" w:rsidRDefault="00140284" w14:paraId="435B14DB" w14:textId="4BFAACC0">
            <w:pPr>
              <w:rPr>
                <w:rFonts w:ascii="Times New Roman" w:hAnsi="Times New Roman"/>
                <w:bCs/>
                <w:sz w:val="22"/>
                <w:szCs w:val="22"/>
              </w:rPr>
            </w:pPr>
            <w:r>
              <w:rPr>
                <w:rFonts w:ascii="Times New Roman" w:hAnsi="Times New Roman"/>
                <w:bCs/>
                <w:sz w:val="22"/>
                <w:szCs w:val="22"/>
              </w:rPr>
              <w:t>Issue Resolved.</w:t>
            </w:r>
          </w:p>
        </w:tc>
        <w:tc>
          <w:tcPr>
            <w:tcW w:w="0" w:type="auto"/>
          </w:tcPr>
          <w:p w:rsidR="00000202" w:rsidP="00D671F4" w:rsidRDefault="00480130" w14:paraId="183BE13D" w14:textId="6DCC9FB8">
            <w:pPr>
              <w:rPr>
                <w:rFonts w:ascii="Times New Roman" w:hAnsi="Times New Roman"/>
                <w:bCs/>
                <w:sz w:val="22"/>
                <w:szCs w:val="22"/>
              </w:rPr>
            </w:pPr>
            <w:r>
              <w:rPr>
                <w:rFonts w:ascii="Times New Roman" w:hAnsi="Times New Roman"/>
                <w:bCs/>
                <w:sz w:val="22"/>
                <w:szCs w:val="22"/>
              </w:rPr>
              <w:t>N/A</w:t>
            </w:r>
          </w:p>
        </w:tc>
      </w:tr>
    </w:tbl>
    <w:p w:rsidRPr="00DE3DBE" w:rsidR="0019338D" w:rsidP="00DC102C" w:rsidRDefault="0019338D" w14:paraId="72C8AC70" w14:textId="77777777">
      <w:pPr>
        <w:rPr>
          <w:rFonts w:ascii="Times New Roman" w:hAnsi="Times New Roman"/>
          <w:bCs/>
          <w:sz w:val="22"/>
          <w:szCs w:val="22"/>
        </w:rPr>
      </w:pPr>
    </w:p>
    <w:sectPr w:rsidRPr="00DE3DBE" w:rsidR="0019338D" w:rsidSect="00D557D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04F8" w14:textId="77777777" w:rsidR="003C2BC1" w:rsidRDefault="003C2BC1" w:rsidP="00E54408">
      <w:r>
        <w:separator/>
      </w:r>
    </w:p>
  </w:endnote>
  <w:endnote w:type="continuationSeparator" w:id="0">
    <w:p w14:paraId="279C517D" w14:textId="77777777" w:rsidR="003C2BC1" w:rsidRDefault="003C2BC1" w:rsidP="00E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48E1" w14:textId="34857203" w:rsidR="00E54408" w:rsidRPr="00E54408" w:rsidRDefault="00E54408" w:rsidP="00E54408">
    <w:pPr>
      <w:pStyle w:val="Footer"/>
      <w:jc w:val="right"/>
      <w:rPr>
        <w:rFonts w:ascii="Times New Roman" w:hAnsi="Times New Roman"/>
        <w:sz w:val="22"/>
        <w:szCs w:val="22"/>
      </w:rPr>
    </w:pPr>
    <w:r w:rsidRPr="00E54408">
      <w:rPr>
        <w:rFonts w:ascii="Times New Roman" w:hAnsi="Times New Roman"/>
        <w:sz w:val="22"/>
        <w:szCs w:val="22"/>
      </w:rPr>
      <w:t xml:space="preserve">eCBSV </w:t>
    </w:r>
    <w:r w:rsidR="00E073A3">
      <w:rPr>
        <w:rFonts w:ascii="Times New Roman" w:hAnsi="Times New Roman"/>
        <w:sz w:val="22"/>
        <w:szCs w:val="22"/>
      </w:rPr>
      <w:t xml:space="preserve">Phase II </w:t>
    </w:r>
    <w:r w:rsidRPr="00E54408">
      <w:rPr>
        <w:rFonts w:ascii="Times New Roman" w:hAnsi="Times New Roman"/>
        <w:sz w:val="22"/>
        <w:szCs w:val="22"/>
      </w:rPr>
      <w:t>Public Comments</w:t>
    </w:r>
    <w:r>
      <w:rPr>
        <w:rFonts w:ascii="Times New Roman" w:hAnsi="Times New Roman"/>
        <w:sz w:val="22"/>
        <w:szCs w:val="22"/>
      </w:rPr>
      <w:t>, SSA Responses</w:t>
    </w:r>
  </w:p>
  <w:p w14:paraId="45A9A53B" w14:textId="73DBD5C2" w:rsidR="00E54408" w:rsidRPr="00E54408" w:rsidRDefault="00E54408" w:rsidP="00E54408">
    <w:pPr>
      <w:pStyle w:val="Footer"/>
      <w:jc w:val="right"/>
      <w:rPr>
        <w:rFonts w:ascii="Times New Roman" w:hAnsi="Times New Roman"/>
        <w:sz w:val="22"/>
        <w:szCs w:val="22"/>
      </w:rPr>
    </w:pPr>
    <w:r w:rsidRPr="00E54408">
      <w:rPr>
        <w:rFonts w:ascii="Times New Roman" w:hAnsi="Times New Roman"/>
        <w:sz w:val="22"/>
        <w:szCs w:val="22"/>
      </w:rPr>
      <w:t xml:space="preserve">Page </w:t>
    </w:r>
    <w:r w:rsidRPr="00E54408">
      <w:rPr>
        <w:rFonts w:ascii="Times New Roman" w:hAnsi="Times New Roman"/>
        <w:sz w:val="22"/>
        <w:szCs w:val="22"/>
      </w:rPr>
      <w:fldChar w:fldCharType="begin"/>
    </w:r>
    <w:r w:rsidRPr="00E54408">
      <w:rPr>
        <w:rFonts w:ascii="Times New Roman" w:hAnsi="Times New Roman"/>
        <w:sz w:val="22"/>
        <w:szCs w:val="22"/>
      </w:rPr>
      <w:instrText xml:space="preserve"> PAGE   \* MERGEFORMAT </w:instrText>
    </w:r>
    <w:r w:rsidRPr="00E54408">
      <w:rPr>
        <w:rFonts w:ascii="Times New Roman" w:hAnsi="Times New Roman"/>
        <w:sz w:val="22"/>
        <w:szCs w:val="22"/>
      </w:rPr>
      <w:fldChar w:fldCharType="separate"/>
    </w:r>
    <w:r w:rsidR="000C2682">
      <w:rPr>
        <w:rFonts w:ascii="Times New Roman" w:hAnsi="Times New Roman"/>
        <w:noProof/>
        <w:sz w:val="22"/>
        <w:szCs w:val="22"/>
      </w:rPr>
      <w:t>14</w:t>
    </w:r>
    <w:r w:rsidRPr="00E54408">
      <w:rPr>
        <w:rFonts w:ascii="Times New Roman" w:hAnsi="Times New Roman"/>
        <w:noProof/>
        <w:sz w:val="22"/>
        <w:szCs w:val="22"/>
      </w:rPr>
      <w:fldChar w:fldCharType="end"/>
    </w:r>
  </w:p>
  <w:p w14:paraId="2C3A679B" w14:textId="77777777" w:rsidR="00E54408" w:rsidRDefault="00E54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D04B" w14:textId="77777777" w:rsidR="003C2BC1" w:rsidRDefault="003C2BC1" w:rsidP="00E54408">
      <w:r>
        <w:separator/>
      </w:r>
    </w:p>
  </w:footnote>
  <w:footnote w:type="continuationSeparator" w:id="0">
    <w:p w14:paraId="340F6644" w14:textId="77777777" w:rsidR="003C2BC1" w:rsidRDefault="003C2BC1" w:rsidP="00E54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2C"/>
    <w:rsid w:val="00000202"/>
    <w:rsid w:val="0002366B"/>
    <w:rsid w:val="00025110"/>
    <w:rsid w:val="00063B55"/>
    <w:rsid w:val="0006603A"/>
    <w:rsid w:val="00070567"/>
    <w:rsid w:val="0007742C"/>
    <w:rsid w:val="000C2682"/>
    <w:rsid w:val="000D3CCC"/>
    <w:rsid w:val="000D6B14"/>
    <w:rsid w:val="000E709A"/>
    <w:rsid w:val="001234DB"/>
    <w:rsid w:val="00140284"/>
    <w:rsid w:val="001761CC"/>
    <w:rsid w:val="0019338D"/>
    <w:rsid w:val="001B7FF4"/>
    <w:rsid w:val="00205D9D"/>
    <w:rsid w:val="00255D00"/>
    <w:rsid w:val="00256C21"/>
    <w:rsid w:val="0029303B"/>
    <w:rsid w:val="002A3B4B"/>
    <w:rsid w:val="002D6A68"/>
    <w:rsid w:val="00300468"/>
    <w:rsid w:val="0036060D"/>
    <w:rsid w:val="00362257"/>
    <w:rsid w:val="003634A5"/>
    <w:rsid w:val="00365467"/>
    <w:rsid w:val="003701F7"/>
    <w:rsid w:val="003B31FE"/>
    <w:rsid w:val="003C2BC1"/>
    <w:rsid w:val="003D6476"/>
    <w:rsid w:val="003E4A9D"/>
    <w:rsid w:val="003F4814"/>
    <w:rsid w:val="003F7503"/>
    <w:rsid w:val="00401CCD"/>
    <w:rsid w:val="00480130"/>
    <w:rsid w:val="004A7B60"/>
    <w:rsid w:val="004F4D1A"/>
    <w:rsid w:val="00500753"/>
    <w:rsid w:val="00504EE7"/>
    <w:rsid w:val="00522879"/>
    <w:rsid w:val="00523C64"/>
    <w:rsid w:val="00524EF0"/>
    <w:rsid w:val="00544A50"/>
    <w:rsid w:val="0055668A"/>
    <w:rsid w:val="0056304E"/>
    <w:rsid w:val="00585A09"/>
    <w:rsid w:val="00591FE4"/>
    <w:rsid w:val="005B309E"/>
    <w:rsid w:val="005C1B66"/>
    <w:rsid w:val="005C1D3D"/>
    <w:rsid w:val="005C2947"/>
    <w:rsid w:val="00610217"/>
    <w:rsid w:val="00615721"/>
    <w:rsid w:val="00627073"/>
    <w:rsid w:val="006310B3"/>
    <w:rsid w:val="0064447C"/>
    <w:rsid w:val="00681C2B"/>
    <w:rsid w:val="006917CA"/>
    <w:rsid w:val="0069445A"/>
    <w:rsid w:val="006B3AD1"/>
    <w:rsid w:val="006C0746"/>
    <w:rsid w:val="006C1F7A"/>
    <w:rsid w:val="0070112C"/>
    <w:rsid w:val="007224AF"/>
    <w:rsid w:val="0073427F"/>
    <w:rsid w:val="00736362"/>
    <w:rsid w:val="00736C48"/>
    <w:rsid w:val="00747451"/>
    <w:rsid w:val="00755897"/>
    <w:rsid w:val="00784E00"/>
    <w:rsid w:val="007926C2"/>
    <w:rsid w:val="0079582D"/>
    <w:rsid w:val="007A6F9F"/>
    <w:rsid w:val="007C08D9"/>
    <w:rsid w:val="007D02F2"/>
    <w:rsid w:val="007F223F"/>
    <w:rsid w:val="007F3A12"/>
    <w:rsid w:val="00802B25"/>
    <w:rsid w:val="0081128A"/>
    <w:rsid w:val="00813A34"/>
    <w:rsid w:val="0082244A"/>
    <w:rsid w:val="008241A7"/>
    <w:rsid w:val="00833099"/>
    <w:rsid w:val="008532B1"/>
    <w:rsid w:val="008616FE"/>
    <w:rsid w:val="0087789F"/>
    <w:rsid w:val="008A3A81"/>
    <w:rsid w:val="008A5884"/>
    <w:rsid w:val="008E794E"/>
    <w:rsid w:val="009051E3"/>
    <w:rsid w:val="00925DCC"/>
    <w:rsid w:val="00932605"/>
    <w:rsid w:val="00932DE1"/>
    <w:rsid w:val="009519CE"/>
    <w:rsid w:val="00961339"/>
    <w:rsid w:val="0096201B"/>
    <w:rsid w:val="009659A2"/>
    <w:rsid w:val="00987B35"/>
    <w:rsid w:val="009A1AA7"/>
    <w:rsid w:val="009C0653"/>
    <w:rsid w:val="00A1636C"/>
    <w:rsid w:val="00A223C7"/>
    <w:rsid w:val="00A33940"/>
    <w:rsid w:val="00A53D10"/>
    <w:rsid w:val="00A85A3C"/>
    <w:rsid w:val="00A873E0"/>
    <w:rsid w:val="00AA5CFC"/>
    <w:rsid w:val="00AA7F2E"/>
    <w:rsid w:val="00AE3E53"/>
    <w:rsid w:val="00AF34E1"/>
    <w:rsid w:val="00B56172"/>
    <w:rsid w:val="00B757CB"/>
    <w:rsid w:val="00B83535"/>
    <w:rsid w:val="00BD0E77"/>
    <w:rsid w:val="00BF0C2B"/>
    <w:rsid w:val="00C11340"/>
    <w:rsid w:val="00C27CC9"/>
    <w:rsid w:val="00C341B5"/>
    <w:rsid w:val="00C3612F"/>
    <w:rsid w:val="00C95F71"/>
    <w:rsid w:val="00C960F2"/>
    <w:rsid w:val="00CA5DC6"/>
    <w:rsid w:val="00D029BC"/>
    <w:rsid w:val="00D27C94"/>
    <w:rsid w:val="00D557D0"/>
    <w:rsid w:val="00D73B18"/>
    <w:rsid w:val="00D75D01"/>
    <w:rsid w:val="00DC102C"/>
    <w:rsid w:val="00DE3DBE"/>
    <w:rsid w:val="00DF2A1F"/>
    <w:rsid w:val="00E0181E"/>
    <w:rsid w:val="00E01B58"/>
    <w:rsid w:val="00E073A3"/>
    <w:rsid w:val="00E238DE"/>
    <w:rsid w:val="00E33667"/>
    <w:rsid w:val="00E54408"/>
    <w:rsid w:val="00E6377E"/>
    <w:rsid w:val="00E67A20"/>
    <w:rsid w:val="00EE0EC3"/>
    <w:rsid w:val="00EE3603"/>
    <w:rsid w:val="00EE77F8"/>
    <w:rsid w:val="00EF3F34"/>
    <w:rsid w:val="00F37600"/>
    <w:rsid w:val="00F41BA8"/>
    <w:rsid w:val="00F80CDD"/>
    <w:rsid w:val="00F84417"/>
    <w:rsid w:val="00F84C11"/>
    <w:rsid w:val="00FB2ED9"/>
    <w:rsid w:val="00FC5F80"/>
    <w:rsid w:val="00FE0566"/>
    <w:rsid w:val="00FE6368"/>
    <w:rsid w:val="00FF2D4A"/>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2AAD"/>
  <w15:chartTrackingRefBased/>
  <w15:docId w15:val="{BB49E275-D1CA-4690-B293-55786478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02C"/>
    <w:pPr>
      <w:widowControl w:val="0"/>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DC102C"/>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link w:val="Heading2Char"/>
    <w:uiPriority w:val="9"/>
    <w:semiHidden/>
    <w:unhideWhenUsed/>
    <w:qFormat/>
    <w:rsid w:val="00E238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02C"/>
    <w:rPr>
      <w:rFonts w:ascii="Courier New" w:eastAsia="Times New Roman" w:hAnsi="Courier New" w:cs="Courier New"/>
      <w:b/>
      <w:bCs/>
      <w:snapToGrid w:val="0"/>
      <w:sz w:val="24"/>
      <w:szCs w:val="24"/>
    </w:rPr>
  </w:style>
  <w:style w:type="table" w:styleId="TableGrid">
    <w:name w:val="Table Grid"/>
    <w:basedOn w:val="TableNormal"/>
    <w:uiPriority w:val="39"/>
    <w:rsid w:val="00DC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408"/>
    <w:pPr>
      <w:tabs>
        <w:tab w:val="center" w:pos="4680"/>
        <w:tab w:val="right" w:pos="9360"/>
      </w:tabs>
    </w:pPr>
  </w:style>
  <w:style w:type="character" w:customStyle="1" w:styleId="HeaderChar">
    <w:name w:val="Header Char"/>
    <w:basedOn w:val="DefaultParagraphFont"/>
    <w:link w:val="Header"/>
    <w:uiPriority w:val="99"/>
    <w:rsid w:val="00E54408"/>
    <w:rPr>
      <w:rFonts w:ascii="Courier" w:eastAsia="Times New Roman" w:hAnsi="Courier" w:cs="Times New Roman"/>
      <w:snapToGrid w:val="0"/>
      <w:sz w:val="24"/>
      <w:szCs w:val="24"/>
    </w:rPr>
  </w:style>
  <w:style w:type="paragraph" w:styleId="Footer">
    <w:name w:val="footer"/>
    <w:basedOn w:val="Normal"/>
    <w:link w:val="FooterChar"/>
    <w:uiPriority w:val="99"/>
    <w:unhideWhenUsed/>
    <w:rsid w:val="00E54408"/>
    <w:pPr>
      <w:tabs>
        <w:tab w:val="center" w:pos="4680"/>
        <w:tab w:val="right" w:pos="9360"/>
      </w:tabs>
    </w:pPr>
  </w:style>
  <w:style w:type="character" w:customStyle="1" w:styleId="FooterChar">
    <w:name w:val="Footer Char"/>
    <w:basedOn w:val="DefaultParagraphFont"/>
    <w:link w:val="Footer"/>
    <w:uiPriority w:val="99"/>
    <w:rsid w:val="00E54408"/>
    <w:rPr>
      <w:rFonts w:ascii="Courier" w:eastAsia="Times New Roman" w:hAnsi="Courier" w:cs="Times New Roman"/>
      <w:snapToGrid w:val="0"/>
      <w:sz w:val="24"/>
      <w:szCs w:val="24"/>
    </w:rPr>
  </w:style>
  <w:style w:type="character" w:styleId="CommentReference">
    <w:name w:val="annotation reference"/>
    <w:basedOn w:val="DefaultParagraphFont"/>
    <w:uiPriority w:val="99"/>
    <w:semiHidden/>
    <w:unhideWhenUsed/>
    <w:rsid w:val="00D557D0"/>
    <w:rPr>
      <w:sz w:val="16"/>
      <w:szCs w:val="16"/>
    </w:rPr>
  </w:style>
  <w:style w:type="paragraph" w:styleId="CommentText">
    <w:name w:val="annotation text"/>
    <w:basedOn w:val="Normal"/>
    <w:link w:val="CommentTextChar"/>
    <w:uiPriority w:val="99"/>
    <w:semiHidden/>
    <w:unhideWhenUsed/>
    <w:rsid w:val="00D557D0"/>
    <w:rPr>
      <w:sz w:val="20"/>
      <w:szCs w:val="20"/>
    </w:rPr>
  </w:style>
  <w:style w:type="character" w:customStyle="1" w:styleId="CommentTextChar">
    <w:name w:val="Comment Text Char"/>
    <w:basedOn w:val="DefaultParagraphFont"/>
    <w:link w:val="CommentText"/>
    <w:uiPriority w:val="99"/>
    <w:semiHidden/>
    <w:rsid w:val="00D557D0"/>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557D0"/>
    <w:rPr>
      <w:b/>
      <w:bCs/>
    </w:rPr>
  </w:style>
  <w:style w:type="character" w:customStyle="1" w:styleId="CommentSubjectChar">
    <w:name w:val="Comment Subject Char"/>
    <w:basedOn w:val="CommentTextChar"/>
    <w:link w:val="CommentSubject"/>
    <w:uiPriority w:val="99"/>
    <w:semiHidden/>
    <w:rsid w:val="00D557D0"/>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D55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D0"/>
    <w:rPr>
      <w:rFonts w:ascii="Segoe UI" w:eastAsia="Times New Roman" w:hAnsi="Segoe UI" w:cs="Segoe UI"/>
      <w:snapToGrid w:val="0"/>
      <w:sz w:val="18"/>
      <w:szCs w:val="18"/>
    </w:rPr>
  </w:style>
  <w:style w:type="character" w:styleId="Hyperlink">
    <w:name w:val="Hyperlink"/>
    <w:basedOn w:val="DefaultParagraphFont"/>
    <w:uiPriority w:val="99"/>
    <w:unhideWhenUsed/>
    <w:rsid w:val="007D02F2"/>
    <w:rPr>
      <w:color w:val="0563C1" w:themeColor="hyperlink"/>
      <w:u w:val="single"/>
    </w:rPr>
  </w:style>
  <w:style w:type="paragraph" w:customStyle="1" w:styleId="Default">
    <w:name w:val="Default"/>
    <w:rsid w:val="007D02F2"/>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D6A68"/>
    <w:rPr>
      <w:color w:val="605E5C"/>
      <w:shd w:val="clear" w:color="auto" w:fill="E1DFDD"/>
    </w:rPr>
  </w:style>
  <w:style w:type="character" w:customStyle="1" w:styleId="Heading2Char">
    <w:name w:val="Heading 2 Char"/>
    <w:basedOn w:val="DefaultParagraphFont"/>
    <w:link w:val="Heading2"/>
    <w:uiPriority w:val="9"/>
    <w:semiHidden/>
    <w:rsid w:val="00E238DE"/>
    <w:rPr>
      <w:rFonts w:asciiTheme="majorHAnsi" w:eastAsiaTheme="majorEastAsia" w:hAnsiTheme="majorHAnsi" w:cstheme="majorBidi"/>
      <w:snapToGrid w:val="0"/>
      <w:color w:val="2F5496" w:themeColor="accent1" w:themeShade="BF"/>
      <w:sz w:val="26"/>
      <w:szCs w:val="26"/>
    </w:rPr>
  </w:style>
  <w:style w:type="character" w:customStyle="1" w:styleId="UnresolvedMention2">
    <w:name w:val="Unresolved Mention2"/>
    <w:basedOn w:val="DefaultParagraphFont"/>
    <w:uiPriority w:val="99"/>
    <w:semiHidden/>
    <w:unhideWhenUsed/>
    <w:rsid w:val="00F8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6727">
      <w:bodyDiv w:val="1"/>
      <w:marLeft w:val="0"/>
      <w:marRight w:val="0"/>
      <w:marTop w:val="0"/>
      <w:marBottom w:val="0"/>
      <w:divBdr>
        <w:top w:val="none" w:sz="0" w:space="0" w:color="auto"/>
        <w:left w:val="none" w:sz="0" w:space="0" w:color="auto"/>
        <w:bottom w:val="none" w:sz="0" w:space="0" w:color="auto"/>
        <w:right w:val="none" w:sz="0" w:space="0" w:color="auto"/>
      </w:divBdr>
    </w:div>
    <w:div w:id="348261561">
      <w:bodyDiv w:val="1"/>
      <w:marLeft w:val="0"/>
      <w:marRight w:val="0"/>
      <w:marTop w:val="0"/>
      <w:marBottom w:val="0"/>
      <w:divBdr>
        <w:top w:val="none" w:sz="0" w:space="0" w:color="auto"/>
        <w:left w:val="none" w:sz="0" w:space="0" w:color="auto"/>
        <w:bottom w:val="none" w:sz="0" w:space="0" w:color="auto"/>
        <w:right w:val="none" w:sz="0" w:space="0" w:color="auto"/>
      </w:divBdr>
    </w:div>
    <w:div w:id="15373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4-05/pdf/2021-0696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FR-2020-11-30/pdf/2020-2629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src.nist.gov/publications/detail/sp/800-145/final" TargetMode="External"/><Relationship Id="rId4" Type="http://schemas.openxmlformats.org/officeDocument/2006/relationships/webSettings" Target="webSettings.xml"/><Relationship Id="rId9" Type="http://schemas.openxmlformats.org/officeDocument/2006/relationships/hyperlink" Target="https://www.ssa.gov/dataexchange/eCBSV/documents/eCBSV%20Technical%20Information%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E6D5-22A7-4F7F-9A36-B7EAEEDF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4418</Words>
  <Characters>25184</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Lipsky, Faye</dc:creator>
  <cp:keywords/>
  <dc:description/>
  <cp:lastModifiedBy>Naomi Sipple</cp:lastModifiedBy>
  <cp:revision>2</cp:revision>
  <dcterms:created xsi:type="dcterms:W3CDTF">2021-06-08T19:51:00Z</dcterms:created>
  <dcterms:modified xsi:type="dcterms:W3CDTF">2021-06-08T19:51:00Z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-1533503330</vt:i4>
  </property>
  <property fmtid="{D5CDD505-2E9C-101B-9397-08002B2CF9AE}" pid="3" name="_NewReviewCycle">
    <vt:lpwstr/>
  </property>
  <property fmtid="{D5CDD505-2E9C-101B-9397-08002B2CF9AE}" pid="4" name="_EmailSubject">
    <vt:lpwstr>eCBSV - docs to upload to ROCIS tomorrow</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PreviousAdHocReviewCycleID">
    <vt:i4>347795539</vt:i4>
  </property>
  <property fmtid="{D5CDD505-2E9C-101B-9397-08002B2CF9AE}" pid="8" name="_ReviewingToolsShownOnce">
    <vt:lpwstr/>
  </property>
</Properties>
</file>