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39C5" w:rsidRPr="00F139C5" w:rsidP="00F139C5" w14:paraId="519BB58C" w14:textId="7777777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Pr="00F139C5">
        <w:rPr>
          <w:rFonts w:ascii="Times New Roman" w:hAnsi="Times New Roman"/>
          <w:b/>
          <w:bCs/>
        </w:rPr>
        <w:t>Electronic Consent Based Social Security Number Verification</w:t>
      </w:r>
    </w:p>
    <w:p w:rsidR="00F139C5" w:rsidRPr="00F139C5" w:rsidP="00F139C5" w14:paraId="5D90A1C3" w14:textId="77777777">
      <w:pPr>
        <w:jc w:val="center"/>
        <w:rPr>
          <w:rFonts w:ascii="Times New Roman" w:hAnsi="Times New Roman"/>
          <w:b/>
          <w:bCs/>
        </w:rPr>
      </w:pPr>
      <w:r w:rsidRPr="00F139C5">
        <w:rPr>
          <w:rFonts w:ascii="Times New Roman" w:hAnsi="Times New Roman"/>
          <w:b/>
          <w:bCs/>
        </w:rPr>
        <w:t>20 CFR 401.100</w:t>
      </w:r>
    </w:p>
    <w:p w:rsidR="00F139C5" w:rsidRPr="00F139C5" w:rsidP="00F139C5" w14:paraId="109A90E2" w14:textId="77777777">
      <w:pPr>
        <w:jc w:val="center"/>
        <w:rPr>
          <w:rFonts w:ascii="Times New Roman" w:hAnsi="Times New Roman"/>
          <w:b/>
          <w:bCs/>
        </w:rPr>
      </w:pPr>
      <w:r w:rsidRPr="00F139C5">
        <w:rPr>
          <w:rFonts w:ascii="Times New Roman" w:hAnsi="Times New Roman"/>
          <w:b/>
          <w:bCs/>
        </w:rPr>
        <w:t>OMB No. 0960-0817</w:t>
      </w:r>
    </w:p>
    <w:p w:rsidR="00C03EDF" w:rsidP="00F139C5" w14:paraId="505A2DF7" w14:textId="14B4D5D1">
      <w:pPr>
        <w:jc w:val="center"/>
        <w:rPr>
          <w:rFonts w:ascii="Times New Roman" w:hAnsi="Times New Roman"/>
        </w:rPr>
      </w:pPr>
    </w:p>
    <w:p w:rsidR="002E4114" w:rsidRPr="002E4114" w:rsidP="002E4114" w14:paraId="55D83636" w14:textId="77777777">
      <w:pPr>
        <w:widowControl/>
        <w:snapToGrid/>
        <w:rPr>
          <w:rFonts w:ascii="Times New Roman" w:eastAsia="Calibri" w:hAnsi="Times New Roman"/>
        </w:rPr>
      </w:pPr>
      <w:r w:rsidRPr="002E4114">
        <w:rPr>
          <w:rFonts w:ascii="Times New Roman" w:eastAsia="Calibri" w:hAnsi="Times New Roman"/>
          <w:b/>
          <w:u w:val="single"/>
        </w:rPr>
        <w:t>Background</w:t>
      </w:r>
    </w:p>
    <w:p w:rsidR="002E4114" w:rsidP="002E4114" w14:paraId="2DDFE9FC" w14:textId="28055879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are transitioning registration for </w:t>
      </w:r>
      <w:r w:rsidRPr="002E4114">
        <w:rPr>
          <w:rFonts w:ascii="Times New Roman" w:hAnsi="Times New Roman"/>
        </w:rPr>
        <w:t>Electronic Consent Based Social Security Number Verification (eCBSV)</w:t>
      </w:r>
      <w:r>
        <w:rPr>
          <w:rFonts w:ascii="Times New Roman" w:hAnsi="Times New Roman"/>
          <w:snapToGrid w:val="0"/>
        </w:rPr>
        <w:t xml:space="preserve"> to the EAZE Management Portal.  </w:t>
      </w:r>
      <w:r w:rsidR="006F7D15">
        <w:rPr>
          <w:rFonts w:ascii="Times New Roman" w:hAnsi="Times New Roman"/>
        </w:rPr>
        <w:t>The</w:t>
      </w:r>
      <w:r w:rsidRPr="006F7D15" w:rsidR="006F7D15">
        <w:rPr>
          <w:rFonts w:ascii="Times New Roman" w:hAnsi="Times New Roman"/>
        </w:rPr>
        <w:t xml:space="preserve"> transition </w:t>
      </w:r>
      <w:r w:rsidR="006F7D15">
        <w:rPr>
          <w:rFonts w:ascii="Times New Roman" w:hAnsi="Times New Roman"/>
        </w:rPr>
        <w:t xml:space="preserve">to the </w:t>
      </w:r>
      <w:r w:rsidR="006F7D15">
        <w:rPr>
          <w:rFonts w:ascii="Times New Roman" w:hAnsi="Times New Roman"/>
          <w:snapToGrid w:val="0"/>
        </w:rPr>
        <w:t>EAZE Management Portal</w:t>
      </w:r>
      <w:r w:rsidRPr="006F7D15" w:rsidR="006F7D15">
        <w:rPr>
          <w:rFonts w:ascii="Times New Roman" w:hAnsi="Times New Roman"/>
        </w:rPr>
        <w:t xml:space="preserve"> </w:t>
      </w:r>
      <w:r w:rsidR="006F7D15">
        <w:rPr>
          <w:rFonts w:ascii="Times New Roman" w:hAnsi="Times New Roman"/>
        </w:rPr>
        <w:t xml:space="preserve">will </w:t>
      </w:r>
      <w:r w:rsidRPr="006F7D15" w:rsidR="006F7D15">
        <w:rPr>
          <w:rFonts w:ascii="Times New Roman" w:hAnsi="Times New Roman"/>
        </w:rPr>
        <w:t>not impact the eCBSV customers or our business process</w:t>
      </w:r>
      <w:r w:rsidR="006F7D15">
        <w:rPr>
          <w:rFonts w:ascii="Times New Roman" w:hAnsi="Times New Roman"/>
        </w:rPr>
        <w:t>.</w:t>
      </w:r>
      <w:r w:rsidR="000C60A2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napToGrid w:val="0"/>
        </w:rPr>
        <w:t>After an entity has successfully registered for</w:t>
      </w:r>
      <w:r>
        <w:rPr>
          <w:rFonts w:ascii="Times New Roman" w:hAnsi="Times New Roman"/>
          <w:snapToGrid w:val="0"/>
        </w:rPr>
        <w:t xml:space="preserve"> EAZE</w:t>
      </w:r>
      <w:r w:rsidRPr="002E4114">
        <w:rPr>
          <w:rFonts w:ascii="Times New Roman" w:hAnsi="Times New Roman"/>
          <w:snapToGrid w:val="0"/>
        </w:rPr>
        <w:t>, entity’s representatives</w:t>
      </w:r>
      <w:r>
        <w:rPr>
          <w:rFonts w:ascii="Times New Roman" w:hAnsi="Times New Roman"/>
          <w:snapToGrid w:val="0"/>
        </w:rPr>
        <w:t xml:space="preserve"> will have access to the </w:t>
      </w:r>
      <w:r w:rsidRPr="009E5EA3">
        <w:rPr>
          <w:rFonts w:ascii="Times New Roman" w:hAnsi="Times New Roman"/>
          <w:snapToGrid w:val="0"/>
        </w:rPr>
        <w:t>EAZE Management Portal</w:t>
      </w:r>
      <w:r>
        <w:rPr>
          <w:rFonts w:ascii="Times New Roman" w:hAnsi="Times New Roman"/>
          <w:snapToGrid w:val="0"/>
        </w:rPr>
        <w:t>, which</w:t>
      </w:r>
      <w:r w:rsidRPr="009E5EA3">
        <w:rPr>
          <w:rFonts w:ascii="Times New Roman" w:hAnsi="Times New Roman"/>
          <w:snapToGrid w:val="0"/>
        </w:rPr>
        <w:t xml:space="preserve"> is the place that </w:t>
      </w:r>
      <w:r>
        <w:rPr>
          <w:rFonts w:ascii="Times New Roman" w:hAnsi="Times New Roman"/>
          <w:snapToGrid w:val="0"/>
        </w:rPr>
        <w:t>they</w:t>
      </w:r>
      <w:r w:rsidRPr="009E5EA3">
        <w:rPr>
          <w:rFonts w:ascii="Times New Roman" w:hAnsi="Times New Roman"/>
          <w:snapToGrid w:val="0"/>
        </w:rPr>
        <w:t xml:space="preserve"> can update their registration information (</w:t>
      </w:r>
      <w:r w:rsidRPr="009E5EA3">
        <w:rPr>
          <w:rFonts w:ascii="Times New Roman" w:hAnsi="Times New Roman"/>
          <w:snapToGrid w:val="0"/>
        </w:rPr>
        <w:t>i.e.</w:t>
      </w:r>
      <w:r w:rsidRPr="009E5EA3">
        <w:rPr>
          <w:rFonts w:ascii="Times New Roman" w:hAnsi="Times New Roman"/>
          <w:snapToGrid w:val="0"/>
        </w:rPr>
        <w:t xml:space="preserve"> issuer URL or technical email address) in a self-service manner</w:t>
      </w:r>
      <w:r>
        <w:rPr>
          <w:rFonts w:ascii="Times New Roman" w:hAnsi="Times New Roman"/>
          <w:snapToGrid w:val="0"/>
        </w:rPr>
        <w:t>.  In addition, they could view a list of OIDC/OAuth2 Client IDs and enrolled business services</w:t>
      </w:r>
      <w:r w:rsidRPr="009E5EA3">
        <w:rPr>
          <w:rFonts w:ascii="Times New Roman" w:hAnsi="Times New Roman"/>
          <w:snapToGrid w:val="0"/>
        </w:rPr>
        <w:t>.</w:t>
      </w:r>
    </w:p>
    <w:p w:rsidR="002E4114" w:rsidP="00C03EDF" w14:paraId="328D0095" w14:textId="77777777">
      <w:pPr>
        <w:rPr>
          <w:rFonts w:ascii="Times New Roman" w:hAnsi="Times New Roman"/>
          <w:snapToGrid w:val="0"/>
        </w:rPr>
      </w:pPr>
    </w:p>
    <w:p w:rsidR="002B1BF9" w:rsidP="00C03EDF" w14:paraId="5F6C034C" w14:textId="3D357D41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After registering, entities will have access to the Entity Management page shown below:</w:t>
      </w:r>
    </w:p>
    <w:p w:rsidR="00FC782A" w:rsidP="00C03EDF" w14:paraId="4DC76E00" w14:textId="77777777">
      <w:pPr>
        <w:rPr>
          <w:rFonts w:ascii="Times New Roman" w:hAnsi="Times New Roman"/>
          <w:snapToGrid w:val="0"/>
        </w:rPr>
      </w:pPr>
    </w:p>
    <w:p w:rsidR="00FC782A" w:rsidP="00C03EDF" w14:paraId="76D3C559" w14:textId="7C9BCD6D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  <w:snapToGrid w:val="0"/>
        </w:rPr>
        <w:drawing>
          <wp:inline distT="0" distB="0" distL="0" distR="0">
            <wp:extent cx="4914900" cy="2752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0A" w:rsidP="00C03EDF" w14:paraId="3E587341" w14:textId="77777777">
      <w:pPr>
        <w:rPr>
          <w:rFonts w:ascii="Times New Roman" w:hAnsi="Times New Roman"/>
          <w:snapToGrid w:val="0"/>
        </w:rPr>
      </w:pPr>
    </w:p>
    <w:p w:rsidR="00083A0A" w:rsidRPr="00EF61FD" w:rsidP="00083A0A" w14:paraId="700D9EC9" w14:textId="77777777">
      <w:pPr>
        <w:widowControl/>
        <w:snapToGrid/>
        <w:rPr>
          <w:rFonts w:ascii="Times New Roman" w:eastAsia="Calibri" w:hAnsi="Times New Roman"/>
          <w:b/>
          <w:snapToGrid w:val="0"/>
          <w:u w:val="single"/>
        </w:rPr>
      </w:pPr>
      <w:r w:rsidRPr="00EF61FD">
        <w:rPr>
          <w:rFonts w:ascii="Times New Roman" w:eastAsia="Calibri" w:hAnsi="Times New Roman"/>
          <w:b/>
          <w:snapToGrid w:val="0"/>
          <w:u w:val="single"/>
        </w:rPr>
        <w:t>Justification for Non-Substantive Changes to the Collection</w:t>
      </w:r>
    </w:p>
    <w:p w:rsidR="00083A0A" w:rsidP="00083A0A" w14:paraId="5591660D" w14:textId="77777777">
      <w:pPr>
        <w:rPr>
          <w:rFonts w:ascii="Times New Roman" w:hAnsi="Times New Roman"/>
          <w:snapToGrid w:val="0"/>
        </w:rPr>
      </w:pPr>
    </w:p>
    <w:p w:rsidR="00083A0A" w:rsidRPr="00EF61FD" w:rsidP="00083A0A" w14:paraId="4604E341" w14:textId="32093232">
      <w:pPr>
        <w:rPr>
          <w:rFonts w:ascii="Times New Roman" w:hAnsi="Times New Roman"/>
          <w:snapToGrid w:val="0"/>
        </w:rPr>
      </w:pPr>
      <w:r w:rsidRPr="00EF61FD">
        <w:rPr>
          <w:rFonts w:ascii="Times New Roman" w:hAnsi="Times New Roman"/>
          <w:snapToGrid w:val="0"/>
        </w:rPr>
        <w:t xml:space="preserve">We are making the following revisions to </w:t>
      </w:r>
      <w:r w:rsidR="00654A66">
        <w:rPr>
          <w:rFonts w:ascii="Times New Roman" w:hAnsi="Times New Roman"/>
          <w:snapToGrid w:val="0"/>
        </w:rPr>
        <w:t>this collection</w:t>
      </w:r>
      <w:r w:rsidRPr="00EF61FD">
        <w:rPr>
          <w:rFonts w:ascii="Times New Roman" w:hAnsi="Times New Roman"/>
          <w:snapToGrid w:val="0"/>
        </w:rPr>
        <w:t>:</w:t>
      </w:r>
    </w:p>
    <w:p w:rsidR="001E0B40" w:rsidP="00C03EDF" w14:paraId="4113A161" w14:textId="77777777">
      <w:pPr>
        <w:rPr>
          <w:rFonts w:ascii="Times New Roman" w:hAnsi="Times New Roman"/>
          <w:snapToGrid w:val="0"/>
        </w:rPr>
      </w:pPr>
    </w:p>
    <w:p w:rsidR="00FC782A" w:rsidP="00FC782A" w14:paraId="2922D836" w14:textId="0D52F8DA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83A0A">
        <w:rPr>
          <w:rFonts w:ascii="Times New Roman" w:hAnsi="Times New Roman"/>
          <w:b/>
          <w:bCs/>
          <w:snapToGrid w:val="0"/>
          <w:u w:val="single"/>
        </w:rPr>
        <w:t>Change #1</w:t>
      </w:r>
      <w:r w:rsidRPr="00083A0A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bookmarkStart w:id="0" w:name="_Hlk114031533"/>
      <w:r w:rsidR="00083A0A">
        <w:rPr>
          <w:rFonts w:ascii="Times New Roman" w:hAnsi="Times New Roman"/>
          <w:snapToGrid w:val="0"/>
        </w:rPr>
        <w:t xml:space="preserve">The EAZE Management Portal </w:t>
      </w:r>
      <w:r>
        <w:rPr>
          <w:rFonts w:ascii="Times New Roman" w:hAnsi="Times New Roman"/>
          <w:snapToGrid w:val="0"/>
        </w:rPr>
        <w:t xml:space="preserve">will </w:t>
      </w:r>
      <w:bookmarkEnd w:id="0"/>
      <w:r>
        <w:rPr>
          <w:rFonts w:ascii="Times New Roman" w:hAnsi="Times New Roman"/>
          <w:snapToGrid w:val="0"/>
        </w:rPr>
        <w:t>give users the ability to change</w:t>
      </w:r>
      <w:r w:rsidR="00F84497">
        <w:rPr>
          <w:rFonts w:ascii="Times New Roman" w:hAnsi="Times New Roman"/>
          <w:snapToGrid w:val="0"/>
        </w:rPr>
        <w:t xml:space="preserve"> the </w:t>
      </w:r>
      <w:r>
        <w:rPr>
          <w:rFonts w:ascii="Times New Roman" w:hAnsi="Times New Roman"/>
          <w:snapToGrid w:val="0"/>
        </w:rPr>
        <w:t>OIDC Issuer URL</w:t>
      </w:r>
      <w:r w:rsidR="00502A08">
        <w:rPr>
          <w:rFonts w:ascii="Times New Roman" w:hAnsi="Times New Roman"/>
          <w:snapToGrid w:val="0"/>
        </w:rPr>
        <w:t xml:space="preserve"> in a self-service manner.</w:t>
      </w:r>
    </w:p>
    <w:p w:rsidR="00F84497" w:rsidP="00F84497" w14:paraId="46E98822" w14:textId="0267AF8B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  <w:snapToGrid w:val="0"/>
        </w:rPr>
        <w:drawing>
          <wp:inline distT="0" distB="0" distL="0" distR="0">
            <wp:extent cx="4943475" cy="2847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82A" w:rsidP="00FC782A" w14:paraId="38CD5E84" w14:textId="77777777">
      <w:pPr>
        <w:ind w:left="360"/>
        <w:rPr>
          <w:rFonts w:ascii="Times New Roman" w:hAnsi="Times New Roman"/>
          <w:snapToGrid w:val="0"/>
        </w:rPr>
      </w:pPr>
    </w:p>
    <w:p w:rsidR="00FC782A" w:rsidP="00F84497" w14:paraId="3EDAA658" w14:textId="0E4DF501">
      <w:pPr>
        <w:ind w:left="360"/>
        <w:rPr>
          <w:rFonts w:ascii="Times New Roman" w:hAnsi="Times New Roman"/>
          <w:snapToGrid w:val="0"/>
        </w:rPr>
      </w:pPr>
      <w:r w:rsidRPr="00083A0A">
        <w:rPr>
          <w:rFonts w:ascii="Times New Roman" w:hAnsi="Times New Roman"/>
          <w:b/>
          <w:bCs/>
          <w:snapToGrid w:val="0"/>
          <w:u w:val="single"/>
        </w:rPr>
        <w:t>Justification #1</w:t>
      </w:r>
      <w:r w:rsidRPr="00083A0A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F84497">
        <w:rPr>
          <w:rFonts w:ascii="Times New Roman" w:hAnsi="Times New Roman"/>
          <w:snapToGrid w:val="0"/>
        </w:rPr>
        <w:t xml:space="preserve"> </w:t>
      </w:r>
      <w:bookmarkStart w:id="1" w:name="_Hlk114031631"/>
      <w:r>
        <w:rPr>
          <w:rFonts w:ascii="Times New Roman" w:hAnsi="Times New Roman"/>
          <w:snapToGrid w:val="0"/>
        </w:rPr>
        <w:t xml:space="preserve">This </w:t>
      </w:r>
      <w:r w:rsidR="00F84497">
        <w:rPr>
          <w:rFonts w:ascii="Times New Roman" w:hAnsi="Times New Roman"/>
          <w:snapToGrid w:val="0"/>
        </w:rPr>
        <w:t>new option</w:t>
      </w:r>
      <w:r>
        <w:rPr>
          <w:rFonts w:ascii="Times New Roman" w:hAnsi="Times New Roman"/>
          <w:snapToGrid w:val="0"/>
        </w:rPr>
        <w:t xml:space="preserve"> </w:t>
      </w:r>
      <w:r w:rsidR="00F84497">
        <w:rPr>
          <w:rFonts w:ascii="Times New Roman" w:hAnsi="Times New Roman"/>
          <w:snapToGrid w:val="0"/>
        </w:rPr>
        <w:t>will</w:t>
      </w:r>
      <w:r>
        <w:rPr>
          <w:rFonts w:ascii="Times New Roman" w:hAnsi="Times New Roman"/>
          <w:snapToGrid w:val="0"/>
        </w:rPr>
        <w:t xml:space="preserve"> save time </w:t>
      </w:r>
      <w:r w:rsidR="00F84497">
        <w:rPr>
          <w:rFonts w:ascii="Times New Roman" w:hAnsi="Times New Roman"/>
          <w:snapToGrid w:val="0"/>
        </w:rPr>
        <w:t xml:space="preserve">for the </w:t>
      </w:r>
      <w:r>
        <w:rPr>
          <w:rFonts w:ascii="Times New Roman" w:hAnsi="Times New Roman"/>
          <w:snapToGrid w:val="0"/>
        </w:rPr>
        <w:t>users, help desk representatives</w:t>
      </w:r>
      <w:r w:rsidR="00F84497">
        <w:rPr>
          <w:rFonts w:ascii="Times New Roman" w:hAnsi="Times New Roman"/>
          <w:snapToGrid w:val="0"/>
        </w:rPr>
        <w:t>,</w:t>
      </w:r>
      <w:r>
        <w:rPr>
          <w:rFonts w:ascii="Times New Roman" w:hAnsi="Times New Roman"/>
          <w:snapToGrid w:val="0"/>
        </w:rPr>
        <w:t xml:space="preserve"> and database administrators from </w:t>
      </w:r>
      <w:r w:rsidR="00F84497">
        <w:rPr>
          <w:rFonts w:ascii="Times New Roman" w:hAnsi="Times New Roman"/>
          <w:snapToGrid w:val="0"/>
        </w:rPr>
        <w:t xml:space="preserve">having to coordinate </w:t>
      </w:r>
      <w:r w:rsidR="006810F6">
        <w:rPr>
          <w:rFonts w:ascii="Times New Roman" w:hAnsi="Times New Roman"/>
          <w:snapToGrid w:val="0"/>
        </w:rPr>
        <w:t>to update</w:t>
      </w:r>
      <w:r>
        <w:rPr>
          <w:rFonts w:ascii="Times New Roman" w:hAnsi="Times New Roman"/>
          <w:snapToGrid w:val="0"/>
        </w:rPr>
        <w:t xml:space="preserve"> this information </w:t>
      </w:r>
      <w:r w:rsidR="001E0B40">
        <w:rPr>
          <w:rFonts w:ascii="Times New Roman" w:hAnsi="Times New Roman"/>
          <w:snapToGrid w:val="0"/>
        </w:rPr>
        <w:t>manually</w:t>
      </w:r>
      <w:bookmarkEnd w:id="1"/>
      <w:r w:rsidR="001E0B40">
        <w:rPr>
          <w:rFonts w:ascii="Times New Roman" w:hAnsi="Times New Roman"/>
          <w:snapToGrid w:val="0"/>
        </w:rPr>
        <w:t>.</w:t>
      </w:r>
    </w:p>
    <w:p w:rsidR="00F768E7" w:rsidP="00C03EDF" w14:paraId="652C5A0E" w14:textId="77777777">
      <w:pPr>
        <w:rPr>
          <w:rFonts w:ascii="Times New Roman" w:hAnsi="Times New Roman"/>
          <w:snapToGrid w:val="0"/>
        </w:rPr>
      </w:pPr>
    </w:p>
    <w:p w:rsidR="006810F6" w:rsidP="006810F6" w14:paraId="7187ADFD" w14:textId="432188BB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F84497">
        <w:rPr>
          <w:rFonts w:ascii="Times New Roman" w:hAnsi="Times New Roman"/>
          <w:b/>
          <w:bCs/>
          <w:snapToGrid w:val="0"/>
          <w:u w:val="single"/>
        </w:rPr>
        <w:t>Change #2</w:t>
      </w:r>
      <w:r w:rsidRPr="00F84497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F84497">
        <w:rPr>
          <w:rFonts w:ascii="Times New Roman" w:hAnsi="Times New Roman"/>
          <w:snapToGrid w:val="0"/>
        </w:rPr>
        <w:t xml:space="preserve">The EAZE Management Portal will </w:t>
      </w:r>
      <w:r>
        <w:rPr>
          <w:rFonts w:ascii="Times New Roman" w:hAnsi="Times New Roman"/>
          <w:snapToGrid w:val="0"/>
        </w:rPr>
        <w:t xml:space="preserve">give users the ability to change </w:t>
      </w:r>
      <w:r w:rsidR="00F84497">
        <w:rPr>
          <w:rFonts w:ascii="Times New Roman" w:hAnsi="Times New Roman"/>
          <w:snapToGrid w:val="0"/>
        </w:rPr>
        <w:t xml:space="preserve">the </w:t>
      </w:r>
      <w:r>
        <w:rPr>
          <w:rFonts w:ascii="Times New Roman" w:hAnsi="Times New Roman"/>
          <w:snapToGrid w:val="0"/>
        </w:rPr>
        <w:t>Alert Email Address</w:t>
      </w:r>
      <w:r w:rsidR="00502A08">
        <w:rPr>
          <w:rFonts w:ascii="Times New Roman" w:hAnsi="Times New Roman"/>
          <w:snapToGrid w:val="0"/>
        </w:rPr>
        <w:t xml:space="preserve"> in a self-service manner</w:t>
      </w:r>
      <w:r>
        <w:rPr>
          <w:rFonts w:ascii="Times New Roman" w:hAnsi="Times New Roman"/>
          <w:snapToGrid w:val="0"/>
        </w:rPr>
        <w:t>.</w:t>
      </w:r>
    </w:p>
    <w:p w:rsidR="00F84497" w:rsidP="00F84497" w14:paraId="788736FC" w14:textId="76556591">
      <w:pPr>
        <w:rPr>
          <w:rFonts w:ascii="Times New Roman" w:hAnsi="Times New Roman"/>
          <w:snapToGrid w:val="0"/>
        </w:rPr>
      </w:pPr>
    </w:p>
    <w:p w:rsidR="00F84497" w:rsidP="00F84497" w14:paraId="45266DFA" w14:textId="2FAC929E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  <w:snapToGrid w:val="0"/>
        </w:rPr>
        <w:drawing>
          <wp:inline distT="0" distB="0" distL="0" distR="0">
            <wp:extent cx="5010150" cy="2857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0F6" w:rsidP="006810F6" w14:paraId="7D2ABA1E" w14:textId="77777777">
      <w:pPr>
        <w:ind w:left="360"/>
        <w:rPr>
          <w:rFonts w:ascii="Times New Roman" w:hAnsi="Times New Roman"/>
          <w:snapToGrid w:val="0"/>
        </w:rPr>
      </w:pPr>
    </w:p>
    <w:p w:rsidR="00F768E7" w:rsidP="006810F6" w14:paraId="6B3310CC" w14:textId="23EBEDD9">
      <w:pPr>
        <w:ind w:left="360"/>
        <w:rPr>
          <w:rFonts w:ascii="Times New Roman" w:hAnsi="Times New Roman"/>
          <w:snapToGrid w:val="0"/>
        </w:rPr>
      </w:pPr>
      <w:r w:rsidRPr="00F84497">
        <w:rPr>
          <w:rFonts w:ascii="Times New Roman" w:hAnsi="Times New Roman"/>
          <w:b/>
          <w:bCs/>
          <w:snapToGrid w:val="0"/>
          <w:u w:val="single"/>
        </w:rPr>
        <w:t>Justification #2</w:t>
      </w:r>
      <w:r w:rsidRPr="00F84497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F84497">
        <w:rPr>
          <w:rFonts w:ascii="Times New Roman" w:hAnsi="Times New Roman"/>
          <w:snapToGrid w:val="0"/>
        </w:rPr>
        <w:t xml:space="preserve"> This new option will save time for the users, help desk representatives, and database administrators from having to coordinate to update this information manually</w:t>
      </w:r>
      <w:r>
        <w:rPr>
          <w:rFonts w:ascii="Times New Roman" w:hAnsi="Times New Roman"/>
          <w:snapToGrid w:val="0"/>
        </w:rPr>
        <w:t>.</w:t>
      </w:r>
    </w:p>
    <w:p w:rsidR="007D76C2" w:rsidP="006810F6" w14:paraId="211864B6" w14:textId="77777777">
      <w:pPr>
        <w:ind w:left="360"/>
        <w:rPr>
          <w:rFonts w:ascii="Times New Roman" w:hAnsi="Times New Roman"/>
          <w:snapToGrid w:val="0"/>
        </w:rPr>
      </w:pPr>
    </w:p>
    <w:p w:rsidR="006810F6" w:rsidP="006810F6" w14:paraId="3FDC64AC" w14:textId="5B74ECC8">
      <w:pPr>
        <w:ind w:left="360"/>
        <w:rPr>
          <w:rFonts w:ascii="Times New Roman" w:hAnsi="Times New Roman"/>
          <w:snapToGrid w:val="0"/>
        </w:rPr>
      </w:pPr>
    </w:p>
    <w:p w:rsidR="00666A5E" w:rsidP="00666A5E" w14:paraId="050EEA10" w14:textId="03797DAE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F84497">
        <w:rPr>
          <w:rFonts w:ascii="Times New Roman" w:hAnsi="Times New Roman"/>
          <w:b/>
          <w:bCs/>
          <w:snapToGrid w:val="0"/>
          <w:u w:val="single"/>
        </w:rPr>
        <w:t>Change #3</w:t>
      </w:r>
      <w:r w:rsidRPr="00F84497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F84497">
        <w:rPr>
          <w:rFonts w:ascii="Times New Roman" w:hAnsi="Times New Roman"/>
          <w:snapToGrid w:val="0"/>
        </w:rPr>
        <w:t xml:space="preserve">The </w:t>
      </w:r>
      <w:r w:rsidR="00EB4950">
        <w:rPr>
          <w:rFonts w:ascii="Times New Roman" w:hAnsi="Times New Roman"/>
          <w:snapToGrid w:val="0"/>
        </w:rPr>
        <w:t>OIDC/OAuth2 Clients tab</w:t>
      </w:r>
      <w:r>
        <w:rPr>
          <w:rFonts w:ascii="Times New Roman" w:hAnsi="Times New Roman"/>
          <w:snapToGrid w:val="0"/>
        </w:rPr>
        <w:t xml:space="preserve"> will give users the ability to view</w:t>
      </w:r>
      <w:r w:rsidR="00915A1B">
        <w:rPr>
          <w:rFonts w:ascii="Times New Roman" w:hAnsi="Times New Roman"/>
          <w:snapToGrid w:val="0"/>
        </w:rPr>
        <w:t xml:space="preserve"> their entity’s list of</w:t>
      </w:r>
      <w:r>
        <w:rPr>
          <w:rFonts w:ascii="Times New Roman" w:hAnsi="Times New Roman"/>
          <w:snapToGrid w:val="0"/>
        </w:rPr>
        <w:t xml:space="preserve"> OIDC/OAuth2 Client IDs</w:t>
      </w:r>
      <w:r w:rsidR="003F63AB">
        <w:rPr>
          <w:rFonts w:ascii="Times New Roman" w:hAnsi="Times New Roman"/>
          <w:snapToGrid w:val="0"/>
        </w:rPr>
        <w:t xml:space="preserve"> </w:t>
      </w:r>
      <w:r w:rsidR="00915A1B">
        <w:rPr>
          <w:rFonts w:ascii="Times New Roman" w:hAnsi="Times New Roman"/>
          <w:snapToGrid w:val="0"/>
        </w:rPr>
        <w:t xml:space="preserve">in </w:t>
      </w:r>
      <w:r w:rsidR="00502A08">
        <w:rPr>
          <w:rFonts w:ascii="Times New Roman" w:hAnsi="Times New Roman"/>
          <w:snapToGrid w:val="0"/>
        </w:rPr>
        <w:t>a self-service manner</w:t>
      </w:r>
      <w:r>
        <w:rPr>
          <w:rFonts w:ascii="Times New Roman" w:hAnsi="Times New Roman"/>
          <w:snapToGrid w:val="0"/>
        </w:rPr>
        <w:t>.</w:t>
      </w:r>
    </w:p>
    <w:p w:rsidR="00F84497" w:rsidP="00F84497" w14:paraId="6E64A67F" w14:textId="507120B2">
      <w:pPr>
        <w:rPr>
          <w:rFonts w:ascii="Times New Roman" w:hAnsi="Times New Roman"/>
          <w:snapToGrid w:val="0"/>
        </w:rPr>
      </w:pPr>
    </w:p>
    <w:p w:rsidR="00F84497" w:rsidP="00F84497" w14:paraId="1F001E1D" w14:textId="62900305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  <w:snapToGrid w:val="0"/>
        </w:rPr>
        <w:drawing>
          <wp:inline distT="0" distB="0" distL="0" distR="0">
            <wp:extent cx="5010150" cy="3038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A5E" w:rsidP="00666A5E" w14:paraId="2836178B" w14:textId="77777777">
      <w:pPr>
        <w:ind w:left="360"/>
        <w:rPr>
          <w:rFonts w:ascii="Times New Roman" w:hAnsi="Times New Roman"/>
          <w:snapToGrid w:val="0"/>
        </w:rPr>
      </w:pPr>
    </w:p>
    <w:p w:rsidR="006810F6" w:rsidP="00F84497" w14:paraId="3E31FE05" w14:textId="7C3E16DF">
      <w:pPr>
        <w:ind w:left="360"/>
        <w:rPr>
          <w:rFonts w:ascii="Times New Roman" w:hAnsi="Times New Roman"/>
          <w:snapToGrid w:val="0"/>
        </w:rPr>
      </w:pPr>
      <w:r w:rsidRPr="00F84497">
        <w:rPr>
          <w:rFonts w:ascii="Times New Roman" w:hAnsi="Times New Roman"/>
          <w:b/>
          <w:bCs/>
          <w:snapToGrid w:val="0"/>
          <w:u w:val="single"/>
        </w:rPr>
        <w:t>Justification #3</w:t>
      </w:r>
      <w:r w:rsidRPr="00F84497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F84497">
        <w:rPr>
          <w:rFonts w:ascii="Times New Roman" w:hAnsi="Times New Roman"/>
          <w:snapToGrid w:val="0"/>
        </w:rPr>
        <w:t xml:space="preserve"> This new option will save time for the users, help desk representatives, and database administrators from having to coordinate to obtain this information manually</w:t>
      </w:r>
      <w:r>
        <w:rPr>
          <w:rFonts w:ascii="Times New Roman" w:hAnsi="Times New Roman"/>
          <w:snapToGrid w:val="0"/>
        </w:rPr>
        <w:t>.</w:t>
      </w:r>
    </w:p>
    <w:p w:rsidR="00B002F7" w:rsidP="00C03EDF" w14:paraId="05D07F32" w14:textId="77777777">
      <w:pPr>
        <w:rPr>
          <w:rFonts w:ascii="Times New Roman" w:hAnsi="Times New Roman"/>
          <w:snapToGrid w:val="0"/>
        </w:rPr>
      </w:pPr>
    </w:p>
    <w:p w:rsidR="00502A08" w:rsidP="00502A08" w14:paraId="2AAC4AC0" w14:textId="2C2C868C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2A3FF5">
        <w:rPr>
          <w:rFonts w:ascii="Times New Roman" w:hAnsi="Times New Roman"/>
          <w:b/>
          <w:bCs/>
          <w:snapToGrid w:val="0"/>
          <w:u w:val="single"/>
        </w:rPr>
        <w:t>Change #4</w:t>
      </w:r>
      <w:r w:rsidRPr="002A3FF5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2A3FF5">
        <w:rPr>
          <w:rFonts w:ascii="Times New Roman" w:hAnsi="Times New Roman"/>
          <w:snapToGrid w:val="0"/>
        </w:rPr>
        <w:t xml:space="preserve">The </w:t>
      </w:r>
      <w:r w:rsidR="00EB4950">
        <w:rPr>
          <w:rFonts w:ascii="Times New Roman" w:hAnsi="Times New Roman"/>
          <w:snapToGrid w:val="0"/>
        </w:rPr>
        <w:t>Business Services tab</w:t>
      </w:r>
      <w:r>
        <w:rPr>
          <w:rFonts w:ascii="Times New Roman" w:hAnsi="Times New Roman"/>
          <w:snapToGrid w:val="0"/>
        </w:rPr>
        <w:t xml:space="preserve"> will give users the ability to view </w:t>
      </w:r>
      <w:r w:rsidR="00915A1B">
        <w:rPr>
          <w:rFonts w:ascii="Times New Roman" w:hAnsi="Times New Roman"/>
          <w:snapToGrid w:val="0"/>
        </w:rPr>
        <w:t>their entity’s</w:t>
      </w:r>
      <w:r>
        <w:rPr>
          <w:rFonts w:ascii="Times New Roman" w:hAnsi="Times New Roman"/>
          <w:snapToGrid w:val="0"/>
        </w:rPr>
        <w:t xml:space="preserve"> list of enrolled Business Services in a self-service manner.</w:t>
      </w:r>
    </w:p>
    <w:p w:rsidR="002A3FF5" w:rsidP="002A3FF5" w14:paraId="4332652D" w14:textId="265B3148">
      <w:pPr>
        <w:rPr>
          <w:rFonts w:ascii="Times New Roman" w:hAnsi="Times New Roman"/>
          <w:snapToGrid w:val="0"/>
        </w:rPr>
      </w:pPr>
    </w:p>
    <w:p w:rsidR="002A3FF5" w:rsidP="002A3FF5" w14:paraId="137E7053" w14:textId="74A7D978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  <w:snapToGrid w:val="0"/>
        </w:rPr>
        <w:drawing>
          <wp:inline distT="0" distB="0" distL="0" distR="0">
            <wp:extent cx="4991100" cy="2305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08" w:rsidP="00502A08" w14:paraId="2EBC7A53" w14:textId="77777777">
      <w:pPr>
        <w:ind w:left="360"/>
        <w:rPr>
          <w:rFonts w:ascii="Times New Roman" w:hAnsi="Times New Roman"/>
          <w:snapToGrid w:val="0"/>
        </w:rPr>
      </w:pPr>
    </w:p>
    <w:p w:rsidR="00502A08" w:rsidP="002A3FF5" w14:paraId="0FAD7C13" w14:textId="07ADE2CD">
      <w:pPr>
        <w:ind w:left="360"/>
        <w:rPr>
          <w:rFonts w:ascii="Times New Roman" w:hAnsi="Times New Roman"/>
          <w:snapToGrid w:val="0"/>
        </w:rPr>
      </w:pPr>
      <w:r w:rsidRPr="002A3FF5">
        <w:rPr>
          <w:rFonts w:ascii="Times New Roman" w:hAnsi="Times New Roman"/>
          <w:b/>
          <w:bCs/>
          <w:snapToGrid w:val="0"/>
          <w:u w:val="single"/>
        </w:rPr>
        <w:t>Justification #4</w:t>
      </w:r>
      <w:r w:rsidRPr="002A3FF5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2A3FF5">
        <w:rPr>
          <w:rFonts w:ascii="Times New Roman" w:hAnsi="Times New Roman"/>
          <w:snapToGrid w:val="0"/>
        </w:rPr>
        <w:t>This new option will save time for the users, help desk representatives, and database administrators from having to coordinate to obtain this information manually</w:t>
      </w:r>
      <w:r>
        <w:rPr>
          <w:rFonts w:ascii="Times New Roman" w:hAnsi="Times New Roman"/>
          <w:snapToGrid w:val="0"/>
        </w:rPr>
        <w:t>.</w:t>
      </w:r>
    </w:p>
    <w:p w:rsidR="00502A08" w:rsidP="00C03EDF" w14:paraId="0D7DA80B" w14:textId="77777777">
      <w:pPr>
        <w:rPr>
          <w:rFonts w:ascii="Times New Roman" w:hAnsi="Times New Roman"/>
          <w:snapToGrid w:val="0"/>
        </w:rPr>
      </w:pPr>
    </w:p>
    <w:p w:rsidR="00083A0A" w:rsidRPr="00083A0A" w:rsidP="00083A0A" w14:paraId="68E1F4B9" w14:textId="2C03AE89">
      <w:pPr>
        <w:widowControl/>
        <w:snapToGrid/>
        <w:rPr>
          <w:rFonts w:ascii="Times New Roman" w:eastAsia="Calibri" w:hAnsi="Times New Roman"/>
          <w:lang w:bidi="he-IL"/>
        </w:rPr>
      </w:pPr>
      <w:r w:rsidRPr="00083A0A">
        <w:rPr>
          <w:rFonts w:ascii="Times New Roman" w:eastAsia="Calibri" w:hAnsi="Times New Roman"/>
          <w:lang w:bidi="he-IL"/>
        </w:rPr>
        <w:t>SSA will implement these IT Modification changes upon OMB approval.</w:t>
      </w:r>
    </w:p>
    <w:p w:rsidR="00083A0A" w:rsidRPr="00083A0A" w:rsidP="00083A0A" w14:paraId="3F764309" w14:textId="77777777">
      <w:pPr>
        <w:rPr>
          <w:rFonts w:ascii="Times New Roman" w:hAnsi="Times New Roman"/>
          <w:b/>
          <w:bCs/>
          <w:u w:val="single"/>
        </w:rPr>
      </w:pPr>
    </w:p>
    <w:p w:rsidR="00083A0A" w:rsidRPr="00083A0A" w:rsidP="00083A0A" w14:paraId="36F68457" w14:textId="77777777">
      <w:pPr>
        <w:rPr>
          <w:rFonts w:ascii="Times New Roman" w:eastAsia="Calibri" w:hAnsi="Times New Roman"/>
          <w:b/>
          <w:snapToGrid w:val="0"/>
          <w:u w:val="single"/>
        </w:rPr>
      </w:pPr>
      <w:r w:rsidRPr="00083A0A">
        <w:rPr>
          <w:rFonts w:ascii="Times New Roman" w:hAnsi="Times New Roman"/>
          <w:bCs/>
        </w:rPr>
        <w:t>These actions do not affect the public reporting burden.</w:t>
      </w:r>
    </w:p>
    <w:p w:rsidR="00083A0A" w:rsidP="002E4114" w14:paraId="4EDBFF67" w14:textId="77777777"/>
    <w:p w:rsidR="002E4114" w:rsidRPr="00083A0A" w:rsidP="002E4114" w14:paraId="18771D79" w14:textId="71AF67A5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hope to include these</w:t>
      </w:r>
      <w:r w:rsidRPr="00083A0A">
        <w:rPr>
          <w:rFonts w:ascii="Times New Roman" w:hAnsi="Times New Roman"/>
          <w:snapToGrid w:val="0"/>
        </w:rPr>
        <w:t xml:space="preserve"> screens </w:t>
      </w:r>
      <w:r>
        <w:rPr>
          <w:rFonts w:ascii="Times New Roman" w:hAnsi="Times New Roman"/>
          <w:snapToGrid w:val="0"/>
        </w:rPr>
        <w:t>as</w:t>
      </w:r>
      <w:r w:rsidRPr="00083A0A">
        <w:rPr>
          <w:rFonts w:ascii="Times New Roman" w:hAnsi="Times New Roman"/>
          <w:snapToGrid w:val="0"/>
        </w:rPr>
        <w:t xml:space="preserve"> part of </w:t>
      </w:r>
      <w:r w:rsidR="002A3FF5">
        <w:rPr>
          <w:rFonts w:ascii="Times New Roman" w:hAnsi="Times New Roman"/>
          <w:snapToGrid w:val="0"/>
        </w:rPr>
        <w:t>a</w:t>
      </w:r>
      <w:r w:rsidRPr="00083A0A">
        <w:rPr>
          <w:rFonts w:ascii="Times New Roman" w:hAnsi="Times New Roman"/>
          <w:snapToGrid w:val="0"/>
        </w:rPr>
        <w:t xml:space="preserve"> release scheduled for October 15, 2022.</w:t>
      </w:r>
    </w:p>
    <w:p w:rsidR="002E4114" w:rsidP="00C03EDF" w14:paraId="7E72E2E3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3A0A"/>
    <w:rsid w:val="00085001"/>
    <w:rsid w:val="000910C1"/>
    <w:rsid w:val="00093C2F"/>
    <w:rsid w:val="0009530B"/>
    <w:rsid w:val="000976FC"/>
    <w:rsid w:val="000A0288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0A2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0B40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3FF5"/>
    <w:rsid w:val="002A44E6"/>
    <w:rsid w:val="002A5C3F"/>
    <w:rsid w:val="002A6556"/>
    <w:rsid w:val="002A7185"/>
    <w:rsid w:val="002B1345"/>
    <w:rsid w:val="002B1BF9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5F81"/>
    <w:rsid w:val="002D63F2"/>
    <w:rsid w:val="002D683C"/>
    <w:rsid w:val="002E4114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3AB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2A08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1C67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2987"/>
    <w:rsid w:val="00654030"/>
    <w:rsid w:val="00654A66"/>
    <w:rsid w:val="0066234A"/>
    <w:rsid w:val="00662DDB"/>
    <w:rsid w:val="00662DEB"/>
    <w:rsid w:val="00666A5E"/>
    <w:rsid w:val="0066750E"/>
    <w:rsid w:val="00667926"/>
    <w:rsid w:val="00670361"/>
    <w:rsid w:val="00671E15"/>
    <w:rsid w:val="00675260"/>
    <w:rsid w:val="00675FCB"/>
    <w:rsid w:val="006777C6"/>
    <w:rsid w:val="006810F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6F7D15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D76C2"/>
    <w:rsid w:val="007E3AFC"/>
    <w:rsid w:val="007E3C3A"/>
    <w:rsid w:val="007E5D54"/>
    <w:rsid w:val="007E784C"/>
    <w:rsid w:val="007F0BCA"/>
    <w:rsid w:val="007F1614"/>
    <w:rsid w:val="007F2248"/>
    <w:rsid w:val="007F259A"/>
    <w:rsid w:val="007F3ACD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45A3"/>
    <w:rsid w:val="00910DD0"/>
    <w:rsid w:val="009127BB"/>
    <w:rsid w:val="00913768"/>
    <w:rsid w:val="00913EFB"/>
    <w:rsid w:val="009154F2"/>
    <w:rsid w:val="00915730"/>
    <w:rsid w:val="00915A1B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574A5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4EBE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5EA3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02F7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9B7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B4950"/>
    <w:rsid w:val="00EC6A7D"/>
    <w:rsid w:val="00EC6CAF"/>
    <w:rsid w:val="00ED1BF5"/>
    <w:rsid w:val="00ED3F8C"/>
    <w:rsid w:val="00EE4833"/>
    <w:rsid w:val="00EF2106"/>
    <w:rsid w:val="00EF61FD"/>
    <w:rsid w:val="00F005C8"/>
    <w:rsid w:val="00F01C7C"/>
    <w:rsid w:val="00F0281B"/>
    <w:rsid w:val="00F03E4F"/>
    <w:rsid w:val="00F06C16"/>
    <w:rsid w:val="00F07E55"/>
    <w:rsid w:val="00F106EB"/>
    <w:rsid w:val="00F139C5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768E7"/>
    <w:rsid w:val="00F82CC0"/>
    <w:rsid w:val="00F84497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82A"/>
    <w:rsid w:val="00FC795C"/>
    <w:rsid w:val="00FD29C9"/>
    <w:rsid w:val="00FD311B"/>
    <w:rsid w:val="00FD41CB"/>
    <w:rsid w:val="00FE011A"/>
    <w:rsid w:val="00FE09AC"/>
    <w:rsid w:val="00FE22B7"/>
    <w:rsid w:val="00FE759F"/>
    <w:rsid w:val="00FF18E1"/>
    <w:rsid w:val="00FF4CC9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05424B"/>
  <w15:chartTrackingRefBased/>
  <w15:docId w15:val="{946D4D5C-EA53-4CEE-9E2A-F4FD2157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Header">
    <w:name w:val="header"/>
    <w:basedOn w:val="Normal"/>
    <w:link w:val="HeaderChar"/>
    <w:rsid w:val="002D5F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5F81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2D5F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5F81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367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9</cp:revision>
  <dcterms:created xsi:type="dcterms:W3CDTF">2022-09-14T10:43:00Z</dcterms:created>
  <dcterms:modified xsi:type="dcterms:W3CDTF">2022-09-15T12:43:00Z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-677186870</vt:i4>
  </property>
  <property fmtid="{D5CDD505-2E9C-101B-9397-08002B2CF9AE}" pid="3" name="_AuthorEmail">
    <vt:lpwstr>Christopher.David@ssa.gov</vt:lpwstr>
  </property>
  <property fmtid="{D5CDD505-2E9C-101B-9397-08002B2CF9AE}" pid="4" name="_AuthorEmailDisplayName">
    <vt:lpwstr>David, Christopher</vt:lpwstr>
  </property>
  <property fmtid="{D5CDD505-2E9C-101B-9397-08002B2CF9AE}" pid="5" name="_EmailSubject">
    <vt:lpwstr>eCBSV OMB Change Request - EAZE Management Portal</vt:lpwstr>
  </property>
  <property fmtid="{D5CDD505-2E9C-101B-9397-08002B2CF9AE}" pid="6" name="_NewReviewCycle">
    <vt:lpwstr/>
  </property>
  <property fmtid="{D5CDD505-2E9C-101B-9397-08002B2CF9AE}" pid="7" name="_PreviousAdHocReviewCycleID">
    <vt:i4>-1111187396</vt:i4>
  </property>
  <property fmtid="{D5CDD505-2E9C-101B-9397-08002B2CF9AE}" pid="8" name="_ReviewingToolsShownOnce">
    <vt:lpwstr/>
  </property>
</Properties>
</file>