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9A4" w:rsidP="00267DA9" w14:paraId="66D5D9C7" w14:textId="1089A9B6">
      <w:pPr>
        <w:pStyle w:val="TxBrp1"/>
        <w:spacing w:line="240" w:lineRule="auto"/>
        <w:ind w:left="90"/>
        <w:jc w:val="center"/>
        <w:rPr>
          <w:rFonts w:ascii="Times New (W1)" w:hAnsi="Times New (W1)"/>
          <w:b/>
          <w:bCs/>
        </w:rPr>
      </w:pPr>
      <w:r>
        <w:rPr>
          <w:rFonts w:ascii="Times New (W1)" w:hAnsi="Times New (W1)"/>
          <w:b/>
          <w:bCs/>
        </w:rPr>
        <w:t>S</w:t>
      </w:r>
      <w:r w:rsidR="00115A6B">
        <w:rPr>
          <w:rFonts w:ascii="Times New (W1)" w:hAnsi="Times New (W1)"/>
          <w:b/>
          <w:bCs/>
        </w:rPr>
        <w:t>upporting Statement for</w:t>
      </w:r>
      <w:r w:rsidR="00FC6231">
        <w:rPr>
          <w:rFonts w:ascii="Times New (W1)" w:hAnsi="Times New (W1)"/>
          <w:b/>
          <w:bCs/>
        </w:rPr>
        <w:t xml:space="preserve"> </w:t>
      </w:r>
      <w:r w:rsidR="00B4187A">
        <w:rPr>
          <w:rFonts w:ascii="Times New (W1)" w:hAnsi="Times New (W1)"/>
          <w:b/>
          <w:bCs/>
        </w:rPr>
        <w:t xml:space="preserve">Electronic </w:t>
      </w:r>
      <w:r w:rsidR="00FC6231">
        <w:rPr>
          <w:rFonts w:ascii="Times New (W1)" w:hAnsi="Times New (W1)"/>
          <w:b/>
          <w:bCs/>
        </w:rPr>
        <w:t>SSDI and SSI Wage Reporting:</w:t>
      </w:r>
    </w:p>
    <w:p w:rsidR="009149A4" w:rsidP="00267DA9" w14:paraId="35109896" w14:textId="71482442">
      <w:pPr>
        <w:pStyle w:val="TxBrp1"/>
        <w:spacing w:line="240" w:lineRule="auto"/>
        <w:ind w:left="90"/>
        <w:jc w:val="center"/>
        <w:rPr>
          <w:rFonts w:ascii="Times New (W1)" w:hAnsi="Times New (W1)"/>
          <w:b/>
          <w:bCs/>
        </w:rPr>
      </w:pPr>
      <w:r>
        <w:rPr>
          <w:rFonts w:ascii="Times New (W1)" w:hAnsi="Times New (W1)"/>
          <w:b/>
          <w:bCs/>
        </w:rPr>
        <w:t>myWageReport</w:t>
      </w:r>
      <w:r w:rsidR="00333328">
        <w:rPr>
          <w:rFonts w:ascii="Times New (W1)" w:hAnsi="Times New (W1)"/>
          <w:b/>
          <w:bCs/>
        </w:rPr>
        <w:t>,</w:t>
      </w:r>
      <w:r w:rsidRPr="00333328" w:rsidR="00333328">
        <w:rPr>
          <w:rFonts w:ascii="Times New (W1)" w:hAnsi="Times New (W1)"/>
          <w:b/>
          <w:bCs/>
        </w:rPr>
        <w:t xml:space="preserve"> </w:t>
      </w:r>
      <w:r w:rsidR="00333328">
        <w:rPr>
          <w:rFonts w:ascii="Times New (W1)" w:hAnsi="Times New (W1)"/>
          <w:b/>
          <w:bCs/>
        </w:rPr>
        <w:t xml:space="preserve">SSA Mobile Wage Reporting, and </w:t>
      </w:r>
      <w:r w:rsidRPr="00D13891" w:rsidR="00D13891">
        <w:rPr>
          <w:rFonts w:ascii="Times New (W1)" w:hAnsi="Times New (W1)"/>
          <w:b/>
          <w:bCs/>
        </w:rPr>
        <w:t>Supplemental Security Income</w:t>
      </w:r>
      <w:r w:rsidRPr="000D5A5D" w:rsidR="006D5027">
        <w:rPr>
          <w:rFonts w:ascii="Times New (W1)" w:hAnsi="Times New (W1)"/>
          <w:b/>
          <w:bCs/>
        </w:rPr>
        <w:t xml:space="preserve"> </w:t>
      </w:r>
      <w:r w:rsidRPr="008F4FF5" w:rsidR="008F4FF5">
        <w:rPr>
          <w:rFonts w:ascii="Times New (W1)" w:hAnsi="Times New (W1)"/>
          <w:b/>
          <w:bCs/>
        </w:rPr>
        <w:t xml:space="preserve">Telephone </w:t>
      </w:r>
      <w:r w:rsidRPr="000D5A5D" w:rsidR="006D5027">
        <w:rPr>
          <w:rFonts w:ascii="Times New (W1)" w:hAnsi="Times New (W1)"/>
          <w:b/>
          <w:bCs/>
          <w:iCs/>
        </w:rPr>
        <w:t>W</w:t>
      </w:r>
      <w:r w:rsidRPr="000D5A5D" w:rsidR="00444FF4">
        <w:rPr>
          <w:rFonts w:ascii="Times New (W1)" w:hAnsi="Times New (W1)"/>
          <w:b/>
          <w:bCs/>
          <w:iCs/>
        </w:rPr>
        <w:t>age Reporting</w:t>
      </w:r>
      <w:r w:rsidRPr="000D5A5D" w:rsidR="00444FF4">
        <w:rPr>
          <w:rFonts w:ascii="Times New (W1)" w:hAnsi="Times New (W1)"/>
          <w:b/>
          <w:bCs/>
        </w:rPr>
        <w:t xml:space="preserve"> </w:t>
      </w:r>
    </w:p>
    <w:p w:rsidR="005D223B" w:rsidP="00267DA9" w14:paraId="0595825A" w14:textId="14E7CC60">
      <w:pPr>
        <w:pStyle w:val="TxBrp1"/>
        <w:spacing w:line="240" w:lineRule="auto"/>
        <w:jc w:val="center"/>
        <w:rPr>
          <w:rFonts w:ascii="Times New (W1)" w:hAnsi="Times New (W1)"/>
          <w:b/>
          <w:bCs/>
        </w:rPr>
      </w:pPr>
      <w:r w:rsidRPr="00FC6231">
        <w:rPr>
          <w:rFonts w:ascii="Times New (W1)" w:hAnsi="Times New (W1)"/>
          <w:b/>
          <w:bCs/>
        </w:rPr>
        <w:t>20 CFR 404.1520(b), 404.1571-1576, &amp; 404.1584-1593</w:t>
      </w:r>
      <w:r>
        <w:rPr>
          <w:rFonts w:ascii="Times New (W1)" w:hAnsi="Times New (W1)"/>
          <w:b/>
          <w:bCs/>
        </w:rPr>
        <w:t>,</w:t>
      </w:r>
      <w:r w:rsidRPr="000D5A5D" w:rsidR="002619FA">
        <w:rPr>
          <w:rFonts w:ascii="Times New (W1)" w:hAnsi="Times New (W1)"/>
          <w:b/>
          <w:bCs/>
        </w:rPr>
        <w:t xml:space="preserve"> </w:t>
      </w:r>
      <w:r w:rsidRPr="000D5A5D">
        <w:rPr>
          <w:rFonts w:ascii="Times New (W1)" w:hAnsi="Times New (W1)"/>
          <w:b/>
          <w:bCs/>
        </w:rPr>
        <w:t>20 CFR 416.701-</w:t>
      </w:r>
      <w:r w:rsidR="00115A6B">
        <w:rPr>
          <w:rFonts w:ascii="Times New (W1)" w:hAnsi="Times New (W1)"/>
          <w:b/>
          <w:bCs/>
        </w:rPr>
        <w:t>416.</w:t>
      </w:r>
      <w:r w:rsidRPr="000D5A5D">
        <w:rPr>
          <w:rFonts w:ascii="Times New (W1)" w:hAnsi="Times New (W1)"/>
          <w:b/>
          <w:bCs/>
        </w:rPr>
        <w:t>732</w:t>
      </w:r>
    </w:p>
    <w:p w:rsidR="00E105C8" w:rsidP="00267DA9" w14:paraId="16A9BBF4" w14:textId="4EF07AFE">
      <w:pPr>
        <w:tabs>
          <w:tab w:val="left" w:pos="204"/>
        </w:tabs>
        <w:jc w:val="center"/>
        <w:rPr>
          <w:rFonts w:ascii="Times New (W1)" w:hAnsi="Times New (W1)"/>
          <w:b/>
          <w:bCs/>
          <w:iCs/>
        </w:rPr>
      </w:pPr>
      <w:r w:rsidRPr="000D5A5D">
        <w:rPr>
          <w:rFonts w:ascii="Times New (W1)" w:hAnsi="Times New (W1)"/>
          <w:b/>
          <w:bCs/>
          <w:iCs/>
        </w:rPr>
        <w:t>OMB No.</w:t>
      </w:r>
      <w:r w:rsidRPr="000D5A5D" w:rsidR="00FE69DF">
        <w:rPr>
          <w:rFonts w:ascii="Times New (W1)" w:hAnsi="Times New (W1)"/>
          <w:b/>
          <w:bCs/>
          <w:iCs/>
        </w:rPr>
        <w:t xml:space="preserve"> 0960-</w:t>
      </w:r>
      <w:r w:rsidRPr="000D5A5D" w:rsidR="004D1C0B">
        <w:rPr>
          <w:rFonts w:ascii="Times New (W1)" w:hAnsi="Times New (W1)"/>
          <w:b/>
          <w:bCs/>
          <w:iCs/>
        </w:rPr>
        <w:t>0715</w:t>
      </w:r>
      <w:r w:rsidR="00EC11FA">
        <w:rPr>
          <w:rFonts w:ascii="Times New (W1)" w:hAnsi="Times New (W1)"/>
          <w:b/>
          <w:bCs/>
          <w:iCs/>
        </w:rPr>
        <w:t xml:space="preserve"> </w:t>
      </w:r>
    </w:p>
    <w:p w:rsidR="00BD3010" w:rsidRPr="00BD3010" w:rsidP="00267DA9" w14:paraId="2451943D" w14:textId="77777777">
      <w:pPr>
        <w:tabs>
          <w:tab w:val="left" w:pos="204"/>
        </w:tabs>
        <w:jc w:val="center"/>
        <w:rPr>
          <w:rFonts w:ascii="Times New (W1)" w:hAnsi="Times New (W1)"/>
          <w:b/>
          <w:bCs/>
          <w:iCs/>
        </w:rPr>
      </w:pPr>
    </w:p>
    <w:p w:rsidR="005D223B" w:rsidRPr="00F94B8C" w:rsidP="00267DA9" w14:paraId="089C4733" w14:textId="044A594B">
      <w:pPr>
        <w:pStyle w:val="TxBrp3"/>
        <w:tabs>
          <w:tab w:val="left" w:pos="720"/>
          <w:tab w:val="clear" w:pos="856"/>
        </w:tabs>
        <w:spacing w:line="240" w:lineRule="auto"/>
        <w:ind w:left="720" w:hanging="540"/>
        <w:rPr>
          <w:rFonts w:ascii="Times New (W1)" w:hAnsi="Times New (W1)"/>
          <w:b/>
          <w:bCs/>
        </w:rPr>
      </w:pPr>
      <w:r w:rsidRPr="00F94B8C">
        <w:rPr>
          <w:rFonts w:ascii="Times New (W1)" w:hAnsi="Times New (W1)"/>
          <w:b/>
          <w:bCs/>
        </w:rPr>
        <w:t>A.</w:t>
      </w:r>
      <w:r w:rsidRPr="00F94B8C">
        <w:rPr>
          <w:rFonts w:ascii="Times New (W1)" w:hAnsi="Times New (W1)"/>
          <w:b/>
          <w:bCs/>
        </w:rPr>
        <w:tab/>
      </w:r>
      <w:r w:rsidRPr="00F94B8C">
        <w:rPr>
          <w:rFonts w:ascii="Times New (W1)" w:hAnsi="Times New (W1)"/>
          <w:b/>
          <w:bCs/>
          <w:u w:val="single"/>
        </w:rPr>
        <w:t>Justification</w:t>
      </w:r>
    </w:p>
    <w:p w:rsidR="005D223B" w:rsidRPr="00943CDF" w:rsidP="00267DA9" w14:paraId="6E6434E9" w14:textId="77777777">
      <w:pPr>
        <w:tabs>
          <w:tab w:val="left" w:pos="856"/>
        </w:tabs>
      </w:pPr>
    </w:p>
    <w:p w:rsidR="00682ADA" w:rsidP="00267DA9" w14:paraId="154EB021" w14:textId="6FC57E74">
      <w:pPr>
        <w:numPr>
          <w:ilvl w:val="0"/>
          <w:numId w:val="1"/>
        </w:numPr>
        <w:autoSpaceDE/>
        <w:autoSpaceDN/>
        <w:adjustRightInd/>
        <w:rPr>
          <w:b/>
        </w:rPr>
      </w:pPr>
      <w:r>
        <w:rPr>
          <w:b/>
        </w:rPr>
        <w:t>Introduction/</w:t>
      </w:r>
      <w:r w:rsidRPr="00BC7F42">
        <w:rPr>
          <w:b/>
        </w:rPr>
        <w:t>Authoring Laws and Regulations</w:t>
      </w:r>
    </w:p>
    <w:p w:rsidR="001A3D1E" w:rsidP="00267DA9" w14:paraId="25E69503" w14:textId="724D6D4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cs="Times New Roman"/>
          <w:b w:val="0"/>
        </w:rPr>
      </w:pPr>
      <w:r>
        <w:rPr>
          <w:rFonts w:ascii="Times New Roman" w:hAnsi="Times New Roman" w:cs="Times New Roman"/>
          <w:b w:val="0"/>
        </w:rPr>
        <w:t>The Social Security Administration (SSA) requires S</w:t>
      </w:r>
      <w:r w:rsidR="00186605">
        <w:rPr>
          <w:rFonts w:ascii="Times New Roman" w:hAnsi="Times New Roman" w:cs="Times New Roman"/>
          <w:b w:val="0"/>
        </w:rPr>
        <w:t xml:space="preserve">ocial </w:t>
      </w:r>
      <w:r>
        <w:rPr>
          <w:rFonts w:ascii="Times New Roman" w:hAnsi="Times New Roman" w:cs="Times New Roman"/>
          <w:b w:val="0"/>
        </w:rPr>
        <w:t>S</w:t>
      </w:r>
      <w:r w:rsidR="00186605">
        <w:rPr>
          <w:rFonts w:ascii="Times New Roman" w:hAnsi="Times New Roman" w:cs="Times New Roman"/>
          <w:b w:val="0"/>
        </w:rPr>
        <w:t xml:space="preserve">ecurity </w:t>
      </w:r>
      <w:r>
        <w:rPr>
          <w:rFonts w:ascii="Times New Roman" w:hAnsi="Times New Roman" w:cs="Times New Roman"/>
          <w:b w:val="0"/>
        </w:rPr>
        <w:t>D</w:t>
      </w:r>
      <w:r w:rsidR="00186605">
        <w:rPr>
          <w:rFonts w:ascii="Times New Roman" w:hAnsi="Times New Roman" w:cs="Times New Roman"/>
          <w:b w:val="0"/>
        </w:rPr>
        <w:t xml:space="preserve">isability </w:t>
      </w:r>
      <w:r>
        <w:rPr>
          <w:rFonts w:ascii="Times New Roman" w:hAnsi="Times New Roman" w:cs="Times New Roman"/>
          <w:b w:val="0"/>
        </w:rPr>
        <w:t>I</w:t>
      </w:r>
      <w:r w:rsidR="00186605">
        <w:rPr>
          <w:rFonts w:ascii="Times New Roman" w:hAnsi="Times New Roman" w:cs="Times New Roman"/>
          <w:b w:val="0"/>
        </w:rPr>
        <w:t>nsurance (SSDI)</w:t>
      </w:r>
      <w:r>
        <w:rPr>
          <w:rFonts w:ascii="Times New Roman" w:hAnsi="Times New Roman" w:cs="Times New Roman"/>
          <w:b w:val="0"/>
        </w:rPr>
        <w:t xml:space="preserve"> beneficiaries or their representative payees to report when beneficiaries return to wor</w:t>
      </w:r>
      <w:r>
        <w:rPr>
          <w:rFonts w:ascii="Times New Roman" w:hAnsi="Times New Roman" w:cs="Times New Roman"/>
          <w:b w:val="0"/>
        </w:rPr>
        <w:t xml:space="preserve">k, when their amount of work increases, or when their earnings increase. </w:t>
      </w:r>
      <w:r w:rsidR="00250303">
        <w:rPr>
          <w:rFonts w:ascii="Times New Roman" w:hAnsi="Times New Roman" w:cs="Times New Roman"/>
          <w:b w:val="0"/>
        </w:rPr>
        <w:t xml:space="preserve"> </w:t>
      </w:r>
      <w:r w:rsidR="00186605">
        <w:rPr>
          <w:rFonts w:ascii="Times New Roman" w:hAnsi="Times New Roman" w:cs="Times New Roman"/>
          <w:b w:val="0"/>
        </w:rPr>
        <w:t>Similarly,</w:t>
      </w:r>
      <w:r>
        <w:rPr>
          <w:rFonts w:ascii="Times New Roman" w:hAnsi="Times New Roman" w:cs="Times New Roman"/>
          <w:b w:val="0"/>
        </w:rPr>
        <w:t xml:space="preserve"> SSA</w:t>
      </w:r>
      <w:r w:rsidR="00186605">
        <w:rPr>
          <w:rFonts w:ascii="Times New Roman" w:hAnsi="Times New Roman" w:cs="Times New Roman"/>
          <w:b w:val="0"/>
        </w:rPr>
        <w:t xml:space="preserve"> requires recipients of Supplemental Security Income (SSI), their deemors</w:t>
      </w:r>
      <w:r w:rsidR="00055FF9">
        <w:rPr>
          <w:rFonts w:ascii="Times New Roman" w:hAnsi="Times New Roman" w:cs="Times New Roman"/>
          <w:b w:val="0"/>
        </w:rPr>
        <w:t>,</w:t>
      </w:r>
      <w:r w:rsidR="00186605">
        <w:rPr>
          <w:rFonts w:ascii="Times New Roman" w:hAnsi="Times New Roman" w:cs="Times New Roman"/>
          <w:b w:val="0"/>
        </w:rPr>
        <w:t xml:space="preserve"> and representative payees to report changes in work </w:t>
      </w:r>
      <w:r w:rsidR="00055FF9">
        <w:rPr>
          <w:rFonts w:ascii="Times New Roman" w:hAnsi="Times New Roman" w:cs="Times New Roman"/>
          <w:b w:val="0"/>
        </w:rPr>
        <w:t xml:space="preserve">and </w:t>
      </w:r>
      <w:r w:rsidR="00186605">
        <w:rPr>
          <w:rFonts w:ascii="Times New Roman" w:hAnsi="Times New Roman" w:cs="Times New Roman"/>
          <w:b w:val="0"/>
        </w:rPr>
        <w:t xml:space="preserve">monthly wages. </w:t>
      </w:r>
      <w:r w:rsidRPr="00B943A1">
        <w:rPr>
          <w:rFonts w:ascii="Times New Roman" w:hAnsi="Times New Roman" w:cs="Times New Roman"/>
          <w:b w:val="0"/>
        </w:rPr>
        <w:t xml:space="preserve"> </w:t>
      </w:r>
      <w:r>
        <w:rPr>
          <w:rFonts w:ascii="Times New Roman" w:hAnsi="Times New Roman" w:cs="Times New Roman"/>
          <w:b w:val="0"/>
        </w:rPr>
        <w:t>SSA</w:t>
      </w:r>
      <w:r w:rsidRPr="00B943A1">
        <w:rPr>
          <w:rFonts w:ascii="Times New Roman" w:hAnsi="Times New Roman" w:cs="Times New Roman"/>
          <w:b w:val="0"/>
        </w:rPr>
        <w:t xml:space="preserve"> allows SSDI beneficiar</w:t>
      </w:r>
      <w:r>
        <w:rPr>
          <w:rFonts w:ascii="Times New Roman" w:hAnsi="Times New Roman" w:cs="Times New Roman"/>
          <w:b w:val="0"/>
        </w:rPr>
        <w:t>ies</w:t>
      </w:r>
      <w:r w:rsidRPr="00B943A1">
        <w:rPr>
          <w:rFonts w:ascii="Times New Roman" w:hAnsi="Times New Roman" w:cs="Times New Roman"/>
          <w:b w:val="0"/>
        </w:rPr>
        <w:t>, SSI recipients</w:t>
      </w:r>
      <w:r>
        <w:rPr>
          <w:rFonts w:ascii="Times New Roman" w:hAnsi="Times New Roman" w:cs="Times New Roman"/>
          <w:b w:val="0"/>
        </w:rPr>
        <w:t xml:space="preserve"> and deemors</w:t>
      </w:r>
      <w:r w:rsidRPr="00B943A1">
        <w:rPr>
          <w:rFonts w:ascii="Times New Roman" w:hAnsi="Times New Roman" w:cs="Times New Roman"/>
          <w:b w:val="0"/>
        </w:rPr>
        <w:t>, and representative payees to report earnings via</w:t>
      </w:r>
      <w:r w:rsidR="00186605">
        <w:rPr>
          <w:rFonts w:ascii="Times New Roman" w:hAnsi="Times New Roman" w:cs="Times New Roman"/>
          <w:b w:val="0"/>
        </w:rPr>
        <w:t xml:space="preserve"> electronic means</w:t>
      </w:r>
      <w:r w:rsidR="00055FF9">
        <w:rPr>
          <w:rFonts w:ascii="Times New Roman" w:hAnsi="Times New Roman" w:cs="Times New Roman"/>
          <w:b w:val="0"/>
        </w:rPr>
        <w:t>, though the methods available depend on the type of benefits received</w:t>
      </w:r>
      <w:r w:rsidR="00186605">
        <w:rPr>
          <w:rFonts w:ascii="Times New Roman" w:hAnsi="Times New Roman" w:cs="Times New Roman"/>
          <w:b w:val="0"/>
        </w:rPr>
        <w:t>.</w:t>
      </w:r>
      <w:r w:rsidRPr="00B943A1">
        <w:rPr>
          <w:rFonts w:ascii="Times New Roman" w:hAnsi="Times New Roman" w:cs="Times New Roman"/>
          <w:b w:val="0"/>
        </w:rPr>
        <w:t xml:space="preserve"> </w:t>
      </w:r>
      <w:r w:rsidR="00250303">
        <w:rPr>
          <w:rFonts w:ascii="Times New Roman" w:hAnsi="Times New Roman" w:cs="Times New Roman"/>
          <w:b w:val="0"/>
        </w:rPr>
        <w:t xml:space="preserve"> </w:t>
      </w:r>
      <w:r>
        <w:rPr>
          <w:rFonts w:ascii="Times New Roman" w:hAnsi="Times New Roman" w:cs="Times New Roman"/>
          <w:b w:val="0"/>
        </w:rPr>
        <w:t xml:space="preserve">SSDI </w:t>
      </w:r>
      <w:r w:rsidR="009C1E51">
        <w:rPr>
          <w:rFonts w:ascii="Times New Roman" w:hAnsi="Times New Roman" w:cs="Times New Roman"/>
          <w:b w:val="0"/>
        </w:rPr>
        <w:t xml:space="preserve">users </w:t>
      </w:r>
      <w:r>
        <w:rPr>
          <w:rFonts w:ascii="Times New Roman" w:hAnsi="Times New Roman" w:cs="Times New Roman"/>
          <w:b w:val="0"/>
        </w:rPr>
        <w:t>may report wages using</w:t>
      </w:r>
      <w:r w:rsidRPr="001A3D1E">
        <w:rPr>
          <w:rFonts w:ascii="Times New Roman" w:hAnsi="Times New Roman" w:cs="Times New Roman"/>
          <w:b w:val="0"/>
        </w:rPr>
        <w:t xml:space="preserve"> </w:t>
      </w:r>
      <w:r w:rsidRPr="00B943A1">
        <w:rPr>
          <w:rFonts w:ascii="Times New Roman" w:hAnsi="Times New Roman" w:cs="Times New Roman"/>
          <w:b w:val="0"/>
        </w:rPr>
        <w:t>an</w:t>
      </w:r>
      <w:r>
        <w:rPr>
          <w:rFonts w:ascii="Times New Roman" w:hAnsi="Times New Roman" w:cs="Times New Roman"/>
          <w:b w:val="0"/>
        </w:rPr>
        <w:t xml:space="preserve"> I</w:t>
      </w:r>
      <w:r w:rsidRPr="00B943A1">
        <w:rPr>
          <w:rFonts w:ascii="Times New Roman" w:hAnsi="Times New Roman" w:cs="Times New Roman"/>
          <w:b w:val="0"/>
        </w:rPr>
        <w:t>nternet reporting system called myWageReport.</w:t>
      </w:r>
      <w:r>
        <w:rPr>
          <w:rFonts w:ascii="Times New Roman" w:hAnsi="Times New Roman" w:cs="Times New Roman"/>
          <w:b w:val="0"/>
        </w:rPr>
        <w:t xml:space="preserve"> </w:t>
      </w:r>
      <w:r w:rsidR="00250303">
        <w:rPr>
          <w:rFonts w:ascii="Times New Roman" w:hAnsi="Times New Roman" w:cs="Times New Roman"/>
          <w:b w:val="0"/>
        </w:rPr>
        <w:t xml:space="preserve"> </w:t>
      </w:r>
      <w:r w:rsidR="009C1E51">
        <w:rPr>
          <w:rFonts w:ascii="Times New Roman" w:hAnsi="Times New Roman" w:cs="Times New Roman"/>
          <w:b w:val="0"/>
        </w:rPr>
        <w:t>In addition to myWageReport,</w:t>
      </w:r>
      <w:r>
        <w:rPr>
          <w:rFonts w:ascii="Times New Roman" w:hAnsi="Times New Roman" w:cs="Times New Roman"/>
          <w:b w:val="0"/>
        </w:rPr>
        <w:t xml:space="preserve"> SSI users have two </w:t>
      </w:r>
      <w:r w:rsidR="009C1E51">
        <w:rPr>
          <w:rFonts w:ascii="Times New Roman" w:hAnsi="Times New Roman" w:cs="Times New Roman"/>
          <w:b w:val="0"/>
        </w:rPr>
        <w:t>other</w:t>
      </w:r>
      <w:r>
        <w:rPr>
          <w:rFonts w:ascii="Times New Roman" w:hAnsi="Times New Roman" w:cs="Times New Roman"/>
          <w:b w:val="0"/>
        </w:rPr>
        <w:t xml:space="preserve"> electronic options, the SSA Mobile Wage Reporting application (SSAMWR) and the SSI Telephone Wage Repor</w:t>
      </w:r>
      <w:r>
        <w:rPr>
          <w:rFonts w:ascii="Times New Roman" w:hAnsi="Times New Roman" w:cs="Times New Roman"/>
          <w:b w:val="0"/>
        </w:rPr>
        <w:t>ting System (SSITWR).</w:t>
      </w:r>
    </w:p>
    <w:p w:rsidR="005D0E18" w:rsidRPr="00795C27" w:rsidP="00267DA9" w14:paraId="0802D731" w14:textId="1B0A1122">
      <w:pPr>
        <w:pStyle w:val="TxBrp5"/>
        <w:spacing w:line="240" w:lineRule="auto"/>
        <w:ind w:left="0"/>
      </w:pPr>
    </w:p>
    <w:p w:rsidR="005D0E18" w:rsidP="00267DA9" w14:paraId="369B479B" w14:textId="4A4C7D97">
      <w:pPr>
        <w:pStyle w:val="TxBrp5"/>
        <w:spacing w:line="240" w:lineRule="auto"/>
        <w:ind w:left="1440"/>
      </w:pPr>
      <w:r>
        <w:t>S</w:t>
      </w:r>
      <w:r w:rsidRPr="00795C27">
        <w:t xml:space="preserve">tatute and regulations </w:t>
      </w:r>
      <w:r>
        <w:t xml:space="preserve">authorize </w:t>
      </w:r>
      <w:r w:rsidRPr="00795C27" w:rsidR="00E12897">
        <w:t>SSA to collect information about earnings and work.</w:t>
      </w:r>
      <w:r w:rsidR="005C20B9">
        <w:t xml:space="preserve"> </w:t>
      </w:r>
      <w:r w:rsidRPr="00795C27">
        <w:t xml:space="preserve"> Sections</w:t>
      </w:r>
      <w:r w:rsidRPr="000415F0">
        <w:t xml:space="preserve"> </w:t>
      </w:r>
      <w:r w:rsidRPr="005C20B9">
        <w:rPr>
          <w:i/>
          <w:iCs/>
        </w:rPr>
        <w:t>205(a)</w:t>
      </w:r>
      <w:r w:rsidRPr="00795C27">
        <w:t xml:space="preserve"> </w:t>
      </w:r>
      <w:r w:rsidRPr="00795C27" w:rsidR="00795C27">
        <w:t>and</w:t>
      </w:r>
      <w:r w:rsidRPr="00795C27">
        <w:t xml:space="preserve"> Section</w:t>
      </w:r>
      <w:r w:rsidRPr="000415F0">
        <w:t xml:space="preserve"> </w:t>
      </w:r>
      <w:r w:rsidRPr="005C20B9">
        <w:rPr>
          <w:i/>
          <w:iCs/>
        </w:rPr>
        <w:t>1631(d)(1)</w:t>
      </w:r>
      <w:r w:rsidRPr="000415F0">
        <w:t xml:space="preserve"> </w:t>
      </w:r>
      <w:r w:rsidRPr="00795C27">
        <w:t xml:space="preserve">of the </w:t>
      </w:r>
      <w:r w:rsidRPr="005C20B9">
        <w:rPr>
          <w:i/>
          <w:iCs/>
        </w:rPr>
        <w:t>Social Security Act</w:t>
      </w:r>
      <w:r w:rsidRPr="000415F0">
        <w:t xml:space="preserve"> </w:t>
      </w:r>
      <w:r w:rsidRPr="005C20B9" w:rsidR="005C20B9">
        <w:rPr>
          <w:i/>
          <w:iCs/>
        </w:rPr>
        <w:t>(Act)</w:t>
      </w:r>
      <w:r w:rsidR="005C20B9">
        <w:t xml:space="preserve"> </w:t>
      </w:r>
      <w:r w:rsidRPr="00795C27">
        <w:t xml:space="preserve">authorize the Commissioner of the Social Security Administration (SSA) to conduct quality review processes. </w:t>
      </w:r>
      <w:r w:rsidR="005C20B9">
        <w:t xml:space="preserve"> </w:t>
      </w:r>
      <w:r w:rsidRPr="00795C27" w:rsidR="00795C27">
        <w:t xml:space="preserve">Section </w:t>
      </w:r>
      <w:r w:rsidRPr="005C20B9" w:rsidR="00795C27">
        <w:rPr>
          <w:i/>
          <w:iCs/>
        </w:rPr>
        <w:t>20 CFR 416.701</w:t>
      </w:r>
      <w:r w:rsidR="00057B41">
        <w:rPr>
          <w:i/>
          <w:iCs/>
        </w:rPr>
        <w:t>-</w:t>
      </w:r>
      <w:r w:rsidRPr="005C20B9" w:rsidR="00795C27">
        <w:rPr>
          <w:i/>
          <w:iCs/>
        </w:rPr>
        <w:t>416.732</w:t>
      </w:r>
      <w:r w:rsidRPr="00795C27" w:rsidR="00795C27">
        <w:t xml:space="preserve"> of the </w:t>
      </w:r>
      <w:r w:rsidRPr="005C20B9" w:rsidR="00795C27">
        <w:rPr>
          <w:i/>
          <w:iCs/>
        </w:rPr>
        <w:t>Code of Federal Regulations</w:t>
      </w:r>
      <w:r w:rsidR="00057B41">
        <w:rPr>
          <w:i/>
          <w:iCs/>
        </w:rPr>
        <w:t xml:space="preserve"> (Code)</w:t>
      </w:r>
      <w:r w:rsidRPr="000415F0" w:rsidR="00795C27">
        <w:t xml:space="preserve"> </w:t>
      </w:r>
      <w:r w:rsidRPr="00795C27" w:rsidR="00795C27">
        <w:t xml:space="preserve">require SSI recipients to report changes such as, changes in income, resources, and living arrangements, which could affect the receipt and amount of their SSI payments.  Section </w:t>
      </w:r>
      <w:r w:rsidRPr="005C20B9" w:rsidR="00795C27">
        <w:rPr>
          <w:i/>
          <w:iCs/>
        </w:rPr>
        <w:t>223(d)(4)</w:t>
      </w:r>
      <w:r w:rsidRPr="00795C27" w:rsidR="00795C27">
        <w:t xml:space="preserve"> of the </w:t>
      </w:r>
      <w:r w:rsidRPr="005C20B9" w:rsidR="00795C27">
        <w:rPr>
          <w:i/>
          <w:iCs/>
        </w:rPr>
        <w:t>Act</w:t>
      </w:r>
      <w:r w:rsidRPr="00795C27" w:rsidR="00795C27">
        <w:t xml:space="preserve"> provides the Commissioner of SSA with the authority to provide regulations for administering the disability provisions of the law.  The associated regulations are </w:t>
      </w:r>
      <w:r>
        <w:t>found</w:t>
      </w:r>
      <w:r w:rsidRPr="00795C27" w:rsidR="00795C27">
        <w:t xml:space="preserve"> in </w:t>
      </w:r>
      <w:r w:rsidR="00057B41">
        <w:t>S</w:t>
      </w:r>
      <w:r w:rsidRPr="00795C27" w:rsidR="00795C27">
        <w:t xml:space="preserve">ections </w:t>
      </w:r>
      <w:r w:rsidRPr="00057B41" w:rsidR="00795C27">
        <w:rPr>
          <w:i/>
          <w:iCs/>
        </w:rPr>
        <w:t>20 CFR 404.1520(b)</w:t>
      </w:r>
      <w:r w:rsidRPr="00795C27" w:rsidR="00795C27">
        <w:t xml:space="preserve">, </w:t>
      </w:r>
      <w:r w:rsidRPr="00057B41" w:rsidR="00795C27">
        <w:rPr>
          <w:i/>
          <w:iCs/>
        </w:rPr>
        <w:t>404.1571-1576</w:t>
      </w:r>
      <w:r w:rsidRPr="00795C27" w:rsidR="00795C27">
        <w:t xml:space="preserve">, and </w:t>
      </w:r>
      <w:r w:rsidRPr="00057B41" w:rsidR="00795C27">
        <w:rPr>
          <w:i/>
          <w:iCs/>
        </w:rPr>
        <w:t>404.1584-1593</w:t>
      </w:r>
      <w:r w:rsidRPr="00795C27" w:rsidR="00795C27">
        <w:t xml:space="preserve"> of the </w:t>
      </w:r>
      <w:r w:rsidRPr="00057B41" w:rsidR="00795C27">
        <w:rPr>
          <w:i/>
          <w:iCs/>
        </w:rPr>
        <w:t>Code</w:t>
      </w:r>
      <w:r w:rsidRPr="00795C27" w:rsidR="00795C27">
        <w:t xml:space="preserve">.  Section </w:t>
      </w:r>
      <w:r w:rsidRPr="008D074D" w:rsidR="00795C27">
        <w:rPr>
          <w:i/>
          <w:iCs/>
        </w:rPr>
        <w:t>826</w:t>
      </w:r>
      <w:r w:rsidRPr="00795C27" w:rsidR="00795C27">
        <w:t xml:space="preserve"> of the </w:t>
      </w:r>
      <w:r w:rsidRPr="008D074D" w:rsidR="00795C27">
        <w:rPr>
          <w:i/>
          <w:iCs/>
        </w:rPr>
        <w:t>Bipartisan Budget Act of 2015</w:t>
      </w:r>
      <w:r w:rsidRPr="00795C27" w:rsidR="00795C27">
        <w:t xml:space="preserve">, </w:t>
      </w:r>
      <w:r w:rsidRPr="008D074D" w:rsidR="00795C27">
        <w:rPr>
          <w:i/>
          <w:iCs/>
        </w:rPr>
        <w:t>P.L.</w:t>
      </w:r>
      <w:r w:rsidR="008D074D">
        <w:rPr>
          <w:i/>
          <w:iCs/>
        </w:rPr>
        <w:t xml:space="preserve"> </w:t>
      </w:r>
      <w:r w:rsidRPr="008D074D" w:rsidR="00795C27">
        <w:rPr>
          <w:i/>
          <w:iCs/>
        </w:rPr>
        <w:t>114-74</w:t>
      </w:r>
      <w:r w:rsidRPr="00795C27" w:rsidR="00795C27">
        <w:t>, requires SSA to offer SSDI beneficiaries similar electronic or automated receipt wage reporting methods available to SSI recipients.</w:t>
      </w:r>
      <w:r w:rsidRPr="00795C27">
        <w:t xml:space="preserve"> </w:t>
      </w:r>
      <w:r w:rsidR="008D074D">
        <w:t xml:space="preserve"> </w:t>
      </w:r>
      <w:r w:rsidRPr="00795C27">
        <w:t xml:space="preserve">Section </w:t>
      </w:r>
      <w:r w:rsidRPr="008D074D">
        <w:rPr>
          <w:i/>
          <w:iCs/>
        </w:rPr>
        <w:t>202</w:t>
      </w:r>
      <w:r w:rsidRPr="00795C27">
        <w:t xml:space="preserve"> of the </w:t>
      </w:r>
      <w:r w:rsidRPr="008D074D">
        <w:rPr>
          <w:i/>
          <w:iCs/>
        </w:rPr>
        <w:t xml:space="preserve">Social Security Protection Act </w:t>
      </w:r>
      <w:r w:rsidRPr="000415F0">
        <w:t>(</w:t>
      </w:r>
      <w:r w:rsidRPr="008D074D">
        <w:rPr>
          <w:i/>
          <w:iCs/>
        </w:rPr>
        <w:t xml:space="preserve">42 USC 902 </w:t>
      </w:r>
      <w:r w:rsidRPr="008D074D">
        <w:t>of the</w:t>
      </w:r>
      <w:r w:rsidRPr="008D074D">
        <w:rPr>
          <w:i/>
          <w:iCs/>
        </w:rPr>
        <w:t xml:space="preserve"> United States Code</w:t>
      </w:r>
      <w:r w:rsidRPr="00795C27">
        <w:t>) requires</w:t>
      </w:r>
      <w:r>
        <w:t xml:space="preserve"> SSA to issue receipts to SSI recipients, or their representatives, when they report wages.</w:t>
      </w:r>
    </w:p>
    <w:p w:rsidR="00267DA9" w:rsidP="00267DA9" w14:paraId="795D310B" w14:textId="77777777">
      <w:pPr>
        <w:pStyle w:val="TxBrp5"/>
        <w:spacing w:line="240" w:lineRule="auto"/>
        <w:ind w:left="1440"/>
      </w:pPr>
    </w:p>
    <w:p w:rsidR="005D0E18" w:rsidRPr="009F3AF3" w:rsidP="00267DA9" w14:paraId="199FF2C2" w14:textId="352E438A">
      <w:pPr>
        <w:numPr>
          <w:ilvl w:val="0"/>
          <w:numId w:val="1"/>
        </w:numPr>
        <w:autoSpaceDE/>
        <w:autoSpaceDN/>
        <w:adjustRightInd/>
      </w:pPr>
      <w:r>
        <w:rPr>
          <w:b/>
        </w:rPr>
        <w:t>Descrip</w:t>
      </w:r>
      <w:r>
        <w:rPr>
          <w:b/>
        </w:rPr>
        <w:t>tion of Collection</w:t>
      </w:r>
    </w:p>
    <w:p w:rsidR="006516BE" w:rsidP="00267DA9" w14:paraId="69C31BA0" w14:textId="4E6B2566">
      <w:pPr>
        <w:pStyle w:val="ListParagraph"/>
        <w:ind w:left="1440"/>
      </w:pPr>
      <w:r>
        <w:t>SSA receives yearly earnings information from employers (</w:t>
      </w:r>
      <w:r w:rsidR="00321A71">
        <w:t xml:space="preserve">through our </w:t>
      </w:r>
      <w:r w:rsidRPr="002B0F61" w:rsidR="002B0F61">
        <w:rPr>
          <w:rFonts w:eastAsia="SimSun"/>
          <w:lang w:eastAsia="zh-CN"/>
        </w:rPr>
        <w:t>Integrated Registration Services (IRES) System</w:t>
      </w:r>
      <w:r w:rsidRPr="002B0F61" w:rsidR="002B0F61">
        <w:t>,</w:t>
      </w:r>
      <w:r w:rsidR="002B0F61">
        <w:t xml:space="preserve"> </w:t>
      </w:r>
      <w:r w:rsidRPr="00946B6B">
        <w:t>OMB No. 0960</w:t>
      </w:r>
      <w:r w:rsidR="002B0F61">
        <w:noBreakHyphen/>
      </w:r>
      <w:r w:rsidRPr="00946B6B">
        <w:t>0626</w:t>
      </w:r>
      <w:r>
        <w:t>)</w:t>
      </w:r>
      <w:r w:rsidR="00B7129A">
        <w:t xml:space="preserve">. </w:t>
      </w:r>
      <w:r w:rsidR="002B0F61">
        <w:t xml:space="preserve"> </w:t>
      </w:r>
      <w:r w:rsidR="00B7129A">
        <w:t xml:space="preserve">We also receive earnings information </w:t>
      </w:r>
      <w:r>
        <w:t>via data exchange</w:t>
      </w:r>
      <w:r w:rsidR="00B7129A">
        <w:t>s</w:t>
      </w:r>
      <w:r>
        <w:t xml:space="preserve"> with the IRS</w:t>
      </w:r>
      <w:r w:rsidR="00B7129A">
        <w:t xml:space="preserve"> and </w:t>
      </w:r>
      <w:r w:rsidR="00992C31">
        <w:t>t</w:t>
      </w:r>
      <w:r w:rsidRPr="00992C31" w:rsidR="00992C31">
        <w:t>he Office of Child Support Enforcement</w:t>
      </w:r>
      <w:r w:rsidR="00992C31">
        <w:t xml:space="preserve"> (OCSE)</w:t>
      </w:r>
      <w:r w:rsidR="00B7129A">
        <w:t xml:space="preserve">. </w:t>
      </w:r>
      <w:r>
        <w:t xml:space="preserve"> </w:t>
      </w:r>
      <w:r w:rsidR="00545BA3">
        <w:t>H</w:t>
      </w:r>
      <w:r>
        <w:t xml:space="preserve">owever, we do not receive this information until many months after the individual worked and </w:t>
      </w:r>
      <w:r w:rsidR="00545BA3">
        <w:t>these sources</w:t>
      </w:r>
      <w:r>
        <w:t xml:space="preserve"> do</w:t>
      </w:r>
      <w:r w:rsidR="00545BA3">
        <w:t xml:space="preserve"> </w:t>
      </w:r>
      <w:r>
        <w:t xml:space="preserve">not provide monthly earnings information.  To ensure proper payment, it is ultimately the responsibility </w:t>
      </w:r>
      <w:r w:rsidR="00545BA3">
        <w:t xml:space="preserve">of </w:t>
      </w:r>
      <w:r>
        <w:t xml:space="preserve">the beneficiary </w:t>
      </w:r>
      <w:r>
        <w:t xml:space="preserve">or representative payee to report wage and </w:t>
      </w:r>
      <w:r>
        <w:t>employment information</w:t>
      </w:r>
      <w:r w:rsidR="00545BA3">
        <w:t>.</w:t>
      </w:r>
      <w:r>
        <w:t xml:space="preserve"> </w:t>
      </w:r>
      <w:r w:rsidR="002B0F61">
        <w:t xml:space="preserve"> </w:t>
      </w:r>
      <w:r w:rsidR="00545BA3">
        <w:t xml:space="preserve">To make wage reporting easier, </w:t>
      </w:r>
      <w:r>
        <w:t xml:space="preserve">SSA </w:t>
      </w:r>
      <w:r>
        <w:t xml:space="preserve">created several </w:t>
      </w:r>
      <w:r w:rsidR="00545BA3">
        <w:t xml:space="preserve">semi-automated and electronic </w:t>
      </w:r>
      <w:r>
        <w:t>methods through which beneficiaries may report.</w:t>
      </w:r>
    </w:p>
    <w:p w:rsidR="00C470BF" w:rsidP="00267DA9" w14:paraId="129B84DE" w14:textId="77777777">
      <w:pPr>
        <w:pStyle w:val="ListParagraph"/>
        <w:ind w:left="1440"/>
      </w:pPr>
    </w:p>
    <w:p w:rsidR="006516BE" w:rsidP="00267DA9" w14:paraId="6D976CDD" w14:textId="781DFC10">
      <w:pPr>
        <w:pStyle w:val="ListParagraph"/>
        <w:ind w:left="1440"/>
      </w:pPr>
      <w:r w:rsidRPr="003763B6">
        <w:t>myWageReport is a</w:t>
      </w:r>
      <w:r>
        <w:t xml:space="preserve"> secure</w:t>
      </w:r>
      <w:r w:rsidRPr="003763B6">
        <w:t xml:space="preserve"> </w:t>
      </w:r>
      <w:r w:rsidR="00321A71">
        <w:t>I</w:t>
      </w:r>
      <w:r w:rsidRPr="003763B6">
        <w:t>nternet reporting tool withi</w:t>
      </w:r>
      <w:r w:rsidRPr="003763B6">
        <w:t xml:space="preserve">n the mySSA portal that </w:t>
      </w:r>
      <w:r>
        <w:t>enables SSDI beneficiaries, SSI recipients, and representative payees</w:t>
      </w:r>
      <w:r w:rsidRPr="003763B6">
        <w:t xml:space="preserve"> to submit pay stub information to SSA.</w:t>
      </w:r>
      <w:r w:rsidRPr="00A26BB8" w:rsidR="00A26BB8">
        <w:t xml:space="preserve"> </w:t>
      </w:r>
      <w:r w:rsidR="002B0F61">
        <w:t xml:space="preserve"> </w:t>
      </w:r>
      <w:r>
        <w:t>For SSDI, SSA’s system screens the</w:t>
      </w:r>
      <w:r w:rsidR="002B0F61">
        <w:t xml:space="preserve"> </w:t>
      </w:r>
      <w:r>
        <w:t>myWageReport submission to determine the need for additional employment information.  I</w:t>
      </w:r>
      <w:r>
        <w:t xml:space="preserve">f the monthly earnings indicate that the individual completed the trial work period (TWP) or has </w:t>
      </w:r>
      <w:r w:rsidR="00321A71">
        <w:t>substantial gainful activity (</w:t>
      </w:r>
      <w:r>
        <w:t>SGA</w:t>
      </w:r>
      <w:r w:rsidR="00321A71">
        <w:t>)</w:t>
      </w:r>
      <w:r>
        <w:t xml:space="preserve"> level earnings after the TWP, SSA systems alert the technician to conduct a work review to determine if the individual is performing SGA. </w:t>
      </w:r>
      <w:r w:rsidR="002B0F61">
        <w:t xml:space="preserve"> </w:t>
      </w:r>
      <w:r>
        <w:t xml:space="preserve">The technician  </w:t>
      </w:r>
      <w:r>
        <w:t xml:space="preserve">reaches out to beneficiaries or their representative payees, using Form SSA-821, Work Activity Report (OMB No. 0960-0059) to collect information about possible work incentives and </w:t>
      </w:r>
      <w:r w:rsidR="00A9420D">
        <w:t>non</w:t>
      </w:r>
      <w:r w:rsidR="002B0F61">
        <w:noBreakHyphen/>
      </w:r>
      <w:r w:rsidR="00A9420D">
        <w:t>work</w:t>
      </w:r>
      <w:r w:rsidR="002B0F61">
        <w:noBreakHyphen/>
      </w:r>
      <w:r w:rsidR="00A9420D">
        <w:t>related</w:t>
      </w:r>
      <w:r>
        <w:t xml:space="preserve"> income.  </w:t>
      </w:r>
      <w:r w:rsidRPr="00075393">
        <w:t>For SSI recipients, myWageReport calculates a mont</w:t>
      </w:r>
      <w:r w:rsidRPr="00075393">
        <w:t>hly total for the wage submission and automatically sends the information to the appropriate record, preventing improper payments and virtually eliminating the need for manual intervention by SSA staff.</w:t>
      </w:r>
      <w:r>
        <w:t xml:space="preserve"> </w:t>
      </w:r>
      <w:r w:rsidR="002B0F61">
        <w:t xml:space="preserve"> </w:t>
      </w:r>
      <w:r w:rsidR="00C8450D">
        <w:t>It also generates a receipt</w:t>
      </w:r>
      <w:r w:rsidR="00101C46">
        <w:t xml:space="preserve"> for SSDI and SSI wage reports</w:t>
      </w:r>
      <w:r w:rsidR="00C8450D">
        <w:t>, thus providing confirmation that SSA received the earnings report.</w:t>
      </w:r>
    </w:p>
    <w:p w:rsidR="006516BE" w:rsidP="00267DA9" w14:paraId="3C75F06F" w14:textId="77777777">
      <w:pPr>
        <w:pStyle w:val="ListParagraph"/>
        <w:ind w:left="1440"/>
      </w:pPr>
    </w:p>
    <w:p w:rsidR="00C470BF" w:rsidP="00267DA9" w14:paraId="4142F2E3" w14:textId="793730DB">
      <w:pPr>
        <w:pStyle w:val="ListParagraph"/>
        <w:ind w:left="1440"/>
      </w:pPr>
      <w:r w:rsidRPr="003763B6">
        <w:t xml:space="preserve">SSAMWR is an application available for download on smartphones or other </w:t>
      </w:r>
      <w:r>
        <w:t xml:space="preserve">Android and iOS </w:t>
      </w:r>
      <w:r w:rsidRPr="003763B6">
        <w:t>devices</w:t>
      </w:r>
      <w:r>
        <w:t>,</w:t>
      </w:r>
      <w:r w:rsidRPr="003763B6">
        <w:t xml:space="preserve"> which allows users to submit pay stub information</w:t>
      </w:r>
      <w:r>
        <w:t xml:space="preserve"> in a similar manner to myWageRepor</w:t>
      </w:r>
      <w:r>
        <w:t>t</w:t>
      </w:r>
      <w:r w:rsidRPr="003763B6">
        <w:t xml:space="preserve">. </w:t>
      </w:r>
      <w:r w:rsidR="004708F2">
        <w:t xml:space="preserve"> </w:t>
      </w:r>
      <w:r w:rsidR="005A1205">
        <w:t xml:space="preserve">SSAMWR streamlines the wage reporting process using Optical Character Recognition and </w:t>
      </w:r>
      <w:r w:rsidR="00B338F9">
        <w:t>Intelligent Document Processing</w:t>
      </w:r>
      <w:r w:rsidR="005A1205">
        <w:t xml:space="preserve"> technologies. </w:t>
      </w:r>
      <w:r w:rsidR="004708F2">
        <w:t xml:space="preserve"> </w:t>
      </w:r>
      <w:r w:rsidR="005A1205">
        <w:t>Users are able to upload</w:t>
      </w:r>
      <w:r w:rsidR="00B338F9">
        <w:t xml:space="preserve"> pay stub images, which the app screens and transcribes to data fields for user review. </w:t>
      </w:r>
      <w:r w:rsidR="004708F2">
        <w:t xml:space="preserve"> </w:t>
      </w:r>
      <w:r w:rsidR="00B338F9">
        <w:t xml:space="preserve">These technologies reduce the number of entries respondents must manually enter. </w:t>
      </w:r>
      <w:r w:rsidR="004708F2">
        <w:t xml:space="preserve"> </w:t>
      </w:r>
      <w:r w:rsidRPr="003763B6" w:rsidR="003763B6">
        <w:t xml:space="preserve">The SSITWR system </w:t>
      </w:r>
      <w:r w:rsidR="00802E64">
        <w:t xml:space="preserve">is an automated 800 number, which </w:t>
      </w:r>
      <w:r w:rsidRPr="003763B6" w:rsidR="003763B6">
        <w:t xml:space="preserve">allows users to submit monthly gross wage information </w:t>
      </w:r>
      <w:r w:rsidR="00C8450D">
        <w:t xml:space="preserve">by speaking their responses through voice recognition technology, or by keying in responses using a telephone </w:t>
      </w:r>
      <w:r w:rsidR="00A9420D">
        <w:t>keypad</w:t>
      </w:r>
      <w:r w:rsidR="00C8450D">
        <w:t xml:space="preserve">.  To ensure the security of the information provided, SSAMWR and SSITWR ask respondents to provide information SSA can compare against our records for authentication purposes.  Once the system authenticates the identity of the respondents, they can report their wage data. </w:t>
      </w:r>
      <w:r w:rsidR="004708F2">
        <w:t xml:space="preserve"> </w:t>
      </w:r>
      <w:r w:rsidR="00C8450D">
        <w:t>Both SSAMWR and SSITWR</w:t>
      </w:r>
      <w:r w:rsidRPr="003763B6" w:rsidR="003763B6">
        <w:t xml:space="preserve"> feed wage reports to SSA systems and generate a receipt for the report. </w:t>
      </w:r>
      <w:r w:rsidR="004708F2">
        <w:t xml:space="preserve"> </w:t>
      </w:r>
      <w:r w:rsidR="00407290">
        <w:t xml:space="preserve">We transmit </w:t>
      </w:r>
      <w:r w:rsidRPr="003763B6" w:rsidR="003763B6">
        <w:t>SSI wages submitted via electronic reporting methods to the SSI system to immediately affect monthly payments without the need for SSA technician intervention.</w:t>
      </w:r>
    </w:p>
    <w:p w:rsidR="002B0F61" w:rsidP="00267DA9" w14:paraId="118860E1" w14:textId="37F95A80">
      <w:pPr>
        <w:pStyle w:val="ListParagraph"/>
        <w:ind w:left="1440"/>
      </w:pPr>
    </w:p>
    <w:p w:rsidR="002B0F61" w:rsidRPr="000415F0" w:rsidP="00267DA9" w14:paraId="7411B444" w14:textId="29839DEB">
      <w:pPr>
        <w:pStyle w:val="ListParagraph"/>
        <w:ind w:left="1440"/>
      </w:pPr>
      <w:r>
        <w:t xml:space="preserve">Respondents submit reports generally on a monthly basis.  </w:t>
      </w:r>
      <w:r w:rsidRPr="00505457">
        <w:t xml:space="preserve">SSA allows </w:t>
      </w:r>
      <w:r>
        <w:t>these individuals</w:t>
      </w:r>
      <w:r w:rsidRPr="00505457">
        <w:t xml:space="preserve"> </w:t>
      </w:r>
      <w:r w:rsidRPr="00505457">
        <w:t>to report earnings via</w:t>
      </w:r>
      <w:r>
        <w:t xml:space="preserve"> the </w:t>
      </w:r>
      <w:r w:rsidRPr="00505457">
        <w:t>electronic means</w:t>
      </w:r>
      <w:r>
        <w:t xml:space="preserve"> above</w:t>
      </w:r>
      <w:r w:rsidRPr="00505457">
        <w:t>.</w:t>
      </w:r>
      <w:r>
        <w:t xml:space="preserve">  However, respondents </w:t>
      </w:r>
      <w:r w:rsidRPr="00C470BF">
        <w:t xml:space="preserve">who prefer not to use electronic options are also able to use conventional methods to report wages. </w:t>
      </w:r>
      <w:r>
        <w:t xml:space="preserve"> </w:t>
      </w:r>
      <w:r w:rsidRPr="00C470BF">
        <w:t>SSA accepts wage reports via calls to our 800 number, calls or visits to a local f</w:t>
      </w:r>
      <w:r w:rsidRPr="00C470BF">
        <w:t>ield office (FO), or mailing pay stubs and earnings information to local FOs.</w:t>
      </w:r>
      <w:r>
        <w:t xml:space="preserve">  However, per our current management information data, a majority of respondents use the electronic options.  The respondents for this collection are SSDI beneficiaries, SSI reci</w:t>
      </w:r>
      <w:r>
        <w:t xml:space="preserve">pients, SSI </w:t>
      </w:r>
      <w:r>
        <w:t>deemors, or representative payees.</w:t>
      </w:r>
    </w:p>
    <w:p w:rsidR="005D0E18" w:rsidP="00267DA9" w14:paraId="75FD5C93" w14:textId="77777777">
      <w:pPr>
        <w:pStyle w:val="TxBrp5"/>
        <w:spacing w:line="240" w:lineRule="auto"/>
        <w:ind w:left="0"/>
      </w:pPr>
    </w:p>
    <w:p w:rsidR="005D0E18" w:rsidRPr="0036696D" w:rsidP="00267DA9" w14:paraId="13D5576F" w14:textId="77777777">
      <w:pPr>
        <w:numPr>
          <w:ilvl w:val="1"/>
          <w:numId w:val="5"/>
        </w:numPr>
        <w:autoSpaceDE/>
        <w:autoSpaceDN/>
        <w:adjustRightInd/>
      </w:pPr>
      <w:r w:rsidRPr="00682ADA">
        <w:rPr>
          <w:b/>
        </w:rPr>
        <w:t>Use of Information Technology to Collect the Information</w:t>
      </w:r>
    </w:p>
    <w:p w:rsidR="002A1B99" w:rsidP="00267DA9" w14:paraId="3FFB3F36" w14:textId="1B4A269B">
      <w:pPr>
        <w:pStyle w:val="ListParagraph"/>
        <w:ind w:left="1440"/>
      </w:pPr>
      <w:r w:rsidRPr="00901438">
        <w:t xml:space="preserve">We collect </w:t>
      </w:r>
      <w:r>
        <w:t>wage</w:t>
      </w:r>
      <w:r w:rsidRPr="00901438">
        <w:t xml:space="preserve"> information electronically</w:t>
      </w:r>
      <w:r w:rsidRPr="00D93D4C">
        <w:t xml:space="preserve"> </w:t>
      </w:r>
      <w:r>
        <w:t>i</w:t>
      </w:r>
      <w:r w:rsidRPr="00D93D4C">
        <w:t xml:space="preserve">n accordance with the agency’s Government </w:t>
      </w:r>
      <w:r>
        <w:t>Paperwork Elimination Act plan.</w:t>
      </w:r>
      <w:r w:rsidRPr="006633E0">
        <w:t xml:space="preserve"> </w:t>
      </w:r>
      <w:r w:rsidR="0005791D">
        <w:t xml:space="preserve"> </w:t>
      </w:r>
      <w:r w:rsidRPr="002A1B99">
        <w:t xml:space="preserve">The respondents initiate </w:t>
      </w:r>
      <w:r>
        <w:t>electro</w:t>
      </w:r>
      <w:r>
        <w:t>nic wage reporting options</w:t>
      </w:r>
      <w:r w:rsidRPr="002A1B99">
        <w:t xml:space="preserve"> from our website</w:t>
      </w:r>
      <w:r>
        <w:t xml:space="preserve">, an application, or via a toll-free 800 number. </w:t>
      </w:r>
    </w:p>
    <w:p w:rsidR="002A1B99" w:rsidP="00267DA9" w14:paraId="458A0B5E" w14:textId="77777777">
      <w:pPr>
        <w:pStyle w:val="ListParagraph"/>
        <w:ind w:left="1440"/>
      </w:pPr>
    </w:p>
    <w:p w:rsidR="006633E0" w:rsidP="00235644" w14:paraId="09BD0FAB" w14:textId="547F20BB">
      <w:pPr>
        <w:ind w:left="1440"/>
      </w:pPr>
      <w:r>
        <w:t xml:space="preserve">myWageReport is available </w:t>
      </w:r>
      <w:r w:rsidRPr="00901438">
        <w:t>through SSA’s public facing my Social Security account portal via the SSA website:  www.socialsecurity.gov.  The myWageReport applicatio</w:t>
      </w:r>
      <w:r w:rsidRPr="00901438">
        <w:t>n allows users to access the application on their desktop, laptop, or mobile device(s).</w:t>
      </w:r>
      <w:r w:rsidR="00802E64">
        <w:rPr>
          <w:bCs/>
          <w:iCs/>
        </w:rPr>
        <w:t xml:space="preserve">  We obtained OMB approval for the authentication for this service through SSA’s Public Credentialing and Authentication Process (OMB No. 0960-0789). </w:t>
      </w:r>
      <w:r w:rsidR="00125B9A">
        <w:rPr>
          <w:bCs/>
          <w:iCs/>
        </w:rPr>
        <w:t xml:space="preserve"> </w:t>
      </w:r>
      <w:r w:rsidRPr="006633E0">
        <w:t xml:space="preserve">The SSAMWR application is available for </w:t>
      </w:r>
      <w:r w:rsidR="002A1B99">
        <w:t xml:space="preserve">free </w:t>
      </w:r>
      <w:r w:rsidRPr="006633E0">
        <w:t>download</w:t>
      </w:r>
      <w:r w:rsidR="002A1B99">
        <w:t xml:space="preserve"> in the Apple App and Google Play </w:t>
      </w:r>
      <w:r w:rsidR="005A088B">
        <w:t>s</w:t>
      </w:r>
      <w:r w:rsidR="002A1B99">
        <w:t>tores</w:t>
      </w:r>
      <w:r w:rsidRPr="006633E0">
        <w:t xml:space="preserve"> on smartphones or other Android and iOS</w:t>
      </w:r>
      <w:r w:rsidR="00A26BB8">
        <w:t xml:space="preserve"> compatible</w:t>
      </w:r>
      <w:r w:rsidRPr="006633E0">
        <w:t xml:space="preserve"> devices</w:t>
      </w:r>
      <w:r w:rsidR="002A1B99">
        <w:t xml:space="preserve">. </w:t>
      </w:r>
      <w:r w:rsidR="00235644">
        <w:t xml:space="preserve"> </w:t>
      </w:r>
      <w:r w:rsidR="00802E64">
        <w:t xml:space="preserve">Using myWageReport and SSAMWR, respondents </w:t>
      </w:r>
      <w:r w:rsidRPr="00901438" w:rsidR="00802E64">
        <w:t>provide information by making selections via dropdown boxes; radio buttons; and keying specific paystub information.</w:t>
      </w:r>
      <w:r w:rsidRPr="00802E64" w:rsidR="00802E64">
        <w:t xml:space="preserve"> </w:t>
      </w:r>
      <w:r w:rsidR="00235644">
        <w:t xml:space="preserve"> </w:t>
      </w:r>
      <w:r w:rsidR="005A088B">
        <w:t>Additionally, SSAMWR uses</w:t>
      </w:r>
      <w:r w:rsidRPr="00A26BB8" w:rsidR="005A088B">
        <w:t xml:space="preserve"> Optical Character Recognition and Intelligent Document Processing</w:t>
      </w:r>
      <w:r w:rsidR="005A088B">
        <w:t xml:space="preserve"> technologies to streamline the reporting process by using pay stub images to fill in data fields.</w:t>
      </w:r>
      <w:r w:rsidRPr="006633E0" w:rsidR="005A088B">
        <w:t xml:space="preserve"> </w:t>
      </w:r>
      <w:r w:rsidR="00235644">
        <w:t xml:space="preserve"> </w:t>
      </w:r>
      <w:r w:rsidRPr="00802E64" w:rsidR="00802E64">
        <w:t xml:space="preserve">The SSITWR system is an automated </w:t>
      </w:r>
      <w:r w:rsidR="00802E64">
        <w:t xml:space="preserve">toll-free </w:t>
      </w:r>
      <w:r w:rsidRPr="00802E64" w:rsidR="00802E64">
        <w:t xml:space="preserve">800 number </w:t>
      </w:r>
      <w:r w:rsidR="00802E64">
        <w:t xml:space="preserve">that uses voice recognition technology to receive and transmit wage reports to SSA. </w:t>
      </w:r>
      <w:r w:rsidR="00235644">
        <w:t xml:space="preserve"> </w:t>
      </w:r>
      <w:r w:rsidR="00A26BB8">
        <w:t xml:space="preserve">Respondents using SSITWR speak their gross wage total for the month </w:t>
      </w:r>
      <w:r w:rsidR="005A088B">
        <w:t xml:space="preserve">into the telephone </w:t>
      </w:r>
      <w:r w:rsidR="00A26BB8">
        <w:t>or use the telephone keypad to enter in the</w:t>
      </w:r>
      <w:r w:rsidR="005A088B">
        <w:t xml:space="preserve"> wage</w:t>
      </w:r>
      <w:r w:rsidR="00A26BB8">
        <w:t xml:space="preserve"> amount.</w:t>
      </w:r>
      <w:r w:rsidRPr="005A088B" w:rsidR="005A088B">
        <w:t xml:space="preserve"> </w:t>
      </w:r>
      <w:r w:rsidR="00235644">
        <w:t xml:space="preserve"> </w:t>
      </w:r>
      <w:r w:rsidR="00C13D75">
        <w:t>We authenticate respondents through telephone speech technology authentication, covered under OMB No. 0960-0596.</w:t>
      </w:r>
      <w:r w:rsidR="00235644">
        <w:t xml:space="preserve">  </w:t>
      </w:r>
      <w:r w:rsidRPr="00901438" w:rsidR="005A088B">
        <w:t>SSA receives the information</w:t>
      </w:r>
      <w:r w:rsidR="00235644">
        <w:t xml:space="preserve"> we collect</w:t>
      </w:r>
      <w:r w:rsidRPr="00901438" w:rsidR="005A088B">
        <w:t xml:space="preserve"> over secure channels.</w:t>
      </w:r>
      <w:r w:rsidR="00235644">
        <w:t xml:space="preserve">  </w:t>
      </w:r>
      <w:r>
        <w:t xml:space="preserve">Accordingly, </w:t>
      </w:r>
      <w:r w:rsidRPr="00D93D4C">
        <w:t xml:space="preserve">we estimate </w:t>
      </w:r>
      <w:r>
        <w:t>10</w:t>
      </w:r>
      <w:r w:rsidRPr="00D93D4C">
        <w:t>0% of respon</w:t>
      </w:r>
      <w:r>
        <w:t>dents under this</w:t>
      </w:r>
      <w:r>
        <w:t xml:space="preserve"> OMB number use t</w:t>
      </w:r>
      <w:r w:rsidRPr="00D93D4C">
        <w:t>he</w:t>
      </w:r>
      <w:r w:rsidR="00321A71">
        <w:t>se</w:t>
      </w:r>
      <w:r w:rsidRPr="00D93D4C">
        <w:t xml:space="preserve"> electronic </w:t>
      </w:r>
      <w:r>
        <w:t>v</w:t>
      </w:r>
      <w:r w:rsidRPr="00D93D4C">
        <w:t>ersion</w:t>
      </w:r>
      <w:r>
        <w:t>s</w:t>
      </w:r>
      <w:r w:rsidRPr="00D93D4C">
        <w:t>.</w:t>
      </w:r>
      <w:r w:rsidR="00235644">
        <w:t xml:space="preserve">  </w:t>
      </w:r>
      <w:r w:rsidRPr="00901438" w:rsidR="00802E64">
        <w:t xml:space="preserve">We </w:t>
      </w:r>
      <w:r w:rsidR="00235644">
        <w:t xml:space="preserve">can </w:t>
      </w:r>
      <w:r w:rsidRPr="00901438" w:rsidR="00802E64">
        <w:t>also collect</w:t>
      </w:r>
      <w:r w:rsidR="00B93393">
        <w:t xml:space="preserve"> wage</w:t>
      </w:r>
      <w:r w:rsidRPr="00901438" w:rsidR="00802E64">
        <w:t xml:space="preserve"> </w:t>
      </w:r>
      <w:r w:rsidR="00B93393">
        <w:t>reports</w:t>
      </w:r>
      <w:r w:rsidRPr="00901438" w:rsidR="00802E64">
        <w:t xml:space="preserve"> through mail; or in-person for those who cannot, or choose not to, submit wages </w:t>
      </w:r>
      <w:r w:rsidR="00802E64">
        <w:t>using electronic methods.</w:t>
      </w:r>
      <w:r w:rsidR="00235644">
        <w:t xml:space="preserve">  However, as mentioned above,</w:t>
      </w:r>
      <w:r w:rsidR="00321A71">
        <w:t xml:space="preserve"> our current data shows that</w:t>
      </w:r>
      <w:r w:rsidR="00235644">
        <w:t xml:space="preserve"> a majority, if not all respondents for this collection, use the electronic versions.</w:t>
      </w:r>
    </w:p>
    <w:p w:rsidR="005D0E18" w:rsidP="00267DA9" w14:paraId="42EFF1ED" w14:textId="77777777">
      <w:pPr>
        <w:ind w:left="1440"/>
        <w:rPr>
          <w:color w:val="0000FF"/>
        </w:rPr>
      </w:pPr>
    </w:p>
    <w:p w:rsidR="005D0E18" w:rsidP="00267DA9" w14:paraId="3384426D" w14:textId="1EABF5AE">
      <w:pPr>
        <w:numPr>
          <w:ilvl w:val="2"/>
          <w:numId w:val="5"/>
        </w:numPr>
        <w:tabs>
          <w:tab w:val="left" w:pos="1440"/>
        </w:tabs>
      </w:pPr>
      <w:r w:rsidRPr="00682ADA">
        <w:rPr>
          <w:b/>
        </w:rPr>
        <w:t>Why We Cannot Use Duplicate Information</w:t>
      </w:r>
    </w:p>
    <w:p w:rsidR="00C13D75" w:rsidRPr="00C13D75" w:rsidP="00267DA9" w14:paraId="7C1D0A89" w14:textId="06B7CEF8">
      <w:pPr>
        <w:pStyle w:val="ListParagraph"/>
        <w:autoSpaceDE/>
        <w:autoSpaceDN/>
        <w:adjustRightInd/>
        <w:ind w:left="1440"/>
        <w:rPr>
          <w:rFonts w:eastAsia="SimSun"/>
        </w:rPr>
      </w:pPr>
      <w:r w:rsidRPr="00C13D75">
        <w:rPr>
          <w:rFonts w:eastAsia="SimSun"/>
        </w:rPr>
        <w:t xml:space="preserve">The nature of the information we collect and the manner in which we collect it precludes duplication. </w:t>
      </w:r>
      <w:r w:rsidR="0005791D">
        <w:rPr>
          <w:rFonts w:eastAsia="SimSun"/>
        </w:rPr>
        <w:t xml:space="preserve"> </w:t>
      </w:r>
      <w:r w:rsidRPr="00C13D75">
        <w:rPr>
          <w:rFonts w:eastAsia="SimSun"/>
        </w:rPr>
        <w:t xml:space="preserve">SSA does not use another collection instrument to obtain similar data.  </w:t>
      </w:r>
    </w:p>
    <w:p w:rsidR="00933569" w:rsidP="00267DA9" w14:paraId="6DF92762" w14:textId="77777777">
      <w:pPr>
        <w:ind w:left="1440"/>
      </w:pPr>
    </w:p>
    <w:p w:rsidR="005D0E18" w:rsidRPr="00682ADA" w:rsidP="00267DA9" w14:paraId="5AA82C72" w14:textId="77777777">
      <w:pPr>
        <w:pStyle w:val="TxBrp10"/>
        <w:numPr>
          <w:ilvl w:val="0"/>
          <w:numId w:val="7"/>
        </w:numPr>
        <w:tabs>
          <w:tab w:val="clear" w:pos="538"/>
          <w:tab w:val="left" w:pos="720"/>
          <w:tab w:val="num" w:pos="1440"/>
          <w:tab w:val="clear" w:pos="2700"/>
        </w:tabs>
        <w:spacing w:line="240" w:lineRule="auto"/>
        <w:rPr>
          <w:sz w:val="22"/>
          <w:szCs w:val="22"/>
        </w:rPr>
      </w:pPr>
      <w:r w:rsidRPr="00682ADA">
        <w:rPr>
          <w:b/>
        </w:rPr>
        <w:t>Minimizing Burden on Small Respondents</w:t>
      </w:r>
    </w:p>
    <w:p w:rsidR="005D0E18" w:rsidRPr="000D5A5D" w:rsidP="00267DA9" w14:paraId="00BE0329" w14:textId="77777777">
      <w:pPr>
        <w:pStyle w:val="TxBrp10"/>
        <w:tabs>
          <w:tab w:val="clear" w:pos="538"/>
          <w:tab w:val="left" w:pos="720"/>
        </w:tabs>
        <w:spacing w:line="240" w:lineRule="auto"/>
        <w:ind w:left="1440"/>
        <w:rPr>
          <w:i/>
        </w:rPr>
      </w:pPr>
      <w:r w:rsidRPr="000D5A5D">
        <w:t xml:space="preserve">This </w:t>
      </w:r>
      <w:r>
        <w:t xml:space="preserve">collection </w:t>
      </w:r>
      <w:r w:rsidRPr="000D5A5D">
        <w:t xml:space="preserve">does not affect small businesses or other small entities. </w:t>
      </w:r>
    </w:p>
    <w:p w:rsidR="00933569" w:rsidRPr="00136CA0" w:rsidP="00267DA9" w14:paraId="731AA887" w14:textId="77777777">
      <w:pPr>
        <w:tabs>
          <w:tab w:val="left" w:pos="538"/>
        </w:tabs>
      </w:pPr>
    </w:p>
    <w:p w:rsidR="005D0E18" w:rsidRPr="00682ADA" w:rsidP="00267DA9" w14:paraId="55DE3308" w14:textId="77777777">
      <w:pPr>
        <w:numPr>
          <w:ilvl w:val="0"/>
          <w:numId w:val="7"/>
        </w:numPr>
        <w:tabs>
          <w:tab w:val="num" w:pos="1440"/>
          <w:tab w:val="clear" w:pos="2700"/>
        </w:tabs>
        <w:rPr>
          <w:rFonts w:ascii="Courier New" w:hAnsi="Courier New"/>
          <w:i/>
        </w:rPr>
      </w:pPr>
      <w:r w:rsidRPr="00682ADA">
        <w:rPr>
          <w:b/>
        </w:rPr>
        <w:t>Consequence of Not Collecting Information or Collecting it Less Frequently</w:t>
      </w:r>
    </w:p>
    <w:p w:rsidR="005D0E18" w:rsidP="00267DA9" w14:paraId="4858980E" w14:textId="11B1EA1F">
      <w:pPr>
        <w:ind w:left="1440"/>
      </w:pPr>
      <w:r>
        <w:t xml:space="preserve">If we did not collect this information, or fail to collect it in a timely fashion, </w:t>
      </w:r>
      <w:r w:rsidR="00C13D75">
        <w:t>unreported work and wages would cause substantially more improper payments in both the SSDI and SSI programs.</w:t>
      </w:r>
      <w:r>
        <w:t xml:space="preserve">  </w:t>
      </w:r>
      <w:r w:rsidR="00933569">
        <w:t>Not offering the</w:t>
      </w:r>
      <w:r w:rsidR="00C13D75">
        <w:t xml:space="preserve"> electronic and </w:t>
      </w:r>
      <w:r w:rsidR="00933569">
        <w:t>semi-automated</w:t>
      </w:r>
      <w:r w:rsidR="00C13D75">
        <w:t xml:space="preserve"> methods to collect wage information</w:t>
      </w:r>
      <w:r w:rsidR="00933569">
        <w:t xml:space="preserve"> described under this OMB Control number </w:t>
      </w:r>
      <w:r w:rsidR="00933569">
        <w:t xml:space="preserve">would leave the public with fewer options to comply with their reporting responsibilities. </w:t>
      </w:r>
      <w:r w:rsidR="000E4485">
        <w:t xml:space="preserve"> </w:t>
      </w:r>
      <w:r w:rsidR="00933569">
        <w:t>The public would need to report wages directly to SSA field offices</w:t>
      </w:r>
      <w:r>
        <w:t xml:space="preserve">, </w:t>
      </w:r>
      <w:r w:rsidR="00933569">
        <w:t>resulting in additional burden and processing delays.</w:t>
      </w:r>
      <w:r>
        <w:t xml:space="preserve"> </w:t>
      </w:r>
      <w:r w:rsidR="00933569">
        <w:t xml:space="preserve"> Additionally, if we did not use the myWageReport application, we would not comply with Section</w:t>
      </w:r>
      <w:r w:rsidRPr="00830A92" w:rsidR="00933569">
        <w:rPr>
          <w:i/>
        </w:rPr>
        <w:t xml:space="preserve"> 826 of the Bipartisan Budget Act of 2015</w:t>
      </w:r>
      <w:r w:rsidR="00933569">
        <w:t xml:space="preserve">. </w:t>
      </w:r>
      <w:r w:rsidR="000E4485">
        <w:t xml:space="preserve"> </w:t>
      </w:r>
      <w:r w:rsidRPr="00E954C2">
        <w:t>Since we collect the information on an as-needed basis, we cannot collect it less frequently.  There are no technical or legal obstacles to burden reduction</w:t>
      </w:r>
      <w:r>
        <w:t>.</w:t>
      </w:r>
    </w:p>
    <w:p w:rsidR="005D0E18" w:rsidRPr="000D5A5D" w:rsidP="00267DA9" w14:paraId="523D4E73" w14:textId="77777777">
      <w:pPr>
        <w:ind w:left="1440"/>
        <w:rPr>
          <w:rFonts w:ascii="Courier New" w:hAnsi="Courier New"/>
          <w:i/>
        </w:rPr>
      </w:pPr>
    </w:p>
    <w:p w:rsidR="005D0E18" w:rsidRPr="00682ADA" w:rsidP="00267DA9" w14:paraId="14F773A3" w14:textId="77777777">
      <w:pPr>
        <w:pStyle w:val="TxBrp10"/>
        <w:numPr>
          <w:ilvl w:val="0"/>
          <w:numId w:val="7"/>
        </w:numPr>
        <w:tabs>
          <w:tab w:val="clear" w:pos="538"/>
          <w:tab w:val="left" w:pos="720"/>
          <w:tab w:val="num" w:pos="1440"/>
          <w:tab w:val="clear" w:pos="2700"/>
        </w:tabs>
        <w:spacing w:line="240" w:lineRule="auto"/>
        <w:rPr>
          <w:rFonts w:ascii="Courier New" w:hAnsi="Courier New"/>
          <w:i/>
        </w:rPr>
      </w:pPr>
      <w:r w:rsidRPr="00682ADA">
        <w:rPr>
          <w:b/>
        </w:rPr>
        <w:t xml:space="preserve">Special Circumstances </w:t>
      </w:r>
    </w:p>
    <w:p w:rsidR="005D0E18" w:rsidP="00267DA9" w14:paraId="741BF03B" w14:textId="736021DD">
      <w:pPr>
        <w:pStyle w:val="TxBrp10"/>
        <w:tabs>
          <w:tab w:val="clear" w:pos="538"/>
          <w:tab w:val="left" w:pos="720"/>
        </w:tabs>
        <w:spacing w:line="240" w:lineRule="auto"/>
        <w:ind w:left="1440"/>
      </w:pPr>
      <w:r>
        <w:t>T</w:t>
      </w:r>
      <w:r w:rsidRPr="00B9302D">
        <w:t>here are no special circu</w:t>
      </w:r>
      <w:r w:rsidRPr="00B9302D">
        <w:t>mstances that would cause</w:t>
      </w:r>
      <w:r>
        <w:t xml:space="preserve"> SSA to conduct this i</w:t>
      </w:r>
      <w:r w:rsidRPr="00B9302D">
        <w:t xml:space="preserve">nformation collection </w:t>
      </w:r>
      <w:r>
        <w:t>in a manner inconsistent with</w:t>
      </w:r>
      <w:r w:rsidRPr="00B9302D">
        <w:t xml:space="preserve"> </w:t>
      </w:r>
      <w:r w:rsidRPr="005C740E">
        <w:rPr>
          <w:i/>
        </w:rPr>
        <w:t>5 CFR 1320.5</w:t>
      </w:r>
      <w:r>
        <w:t>.</w:t>
      </w:r>
    </w:p>
    <w:p w:rsidR="005D0E18" w:rsidP="00267DA9" w14:paraId="6EDBF43A" w14:textId="77777777">
      <w:pPr>
        <w:pStyle w:val="TxBrp10"/>
        <w:tabs>
          <w:tab w:val="clear" w:pos="538"/>
          <w:tab w:val="left" w:pos="720"/>
        </w:tabs>
        <w:spacing w:line="240" w:lineRule="auto"/>
      </w:pPr>
    </w:p>
    <w:p w:rsidR="005D0E18" w:rsidRPr="00773671" w:rsidP="00267DA9" w14:paraId="07354B63" w14:textId="77777777">
      <w:pPr>
        <w:pStyle w:val="TxBrp4"/>
        <w:numPr>
          <w:ilvl w:val="0"/>
          <w:numId w:val="7"/>
        </w:numPr>
        <w:tabs>
          <w:tab w:val="left" w:pos="1440"/>
        </w:tabs>
        <w:spacing w:line="240" w:lineRule="auto"/>
        <w:ind w:right="-655"/>
      </w:pPr>
      <w:r w:rsidRPr="00682ADA">
        <w:rPr>
          <w:b/>
        </w:rPr>
        <w:t>Solicitation of Public Comment and Other Consultations with the Public</w:t>
      </w:r>
      <w:r>
        <w:rPr>
          <w:b/>
        </w:rPr>
        <w:t xml:space="preserve"> </w:t>
      </w:r>
    </w:p>
    <w:p w:rsidR="005D0E18" w:rsidRPr="00314D56" w:rsidP="00267DA9" w14:paraId="0AABB470" w14:textId="0EACF75C">
      <w:pPr>
        <w:pStyle w:val="ListParagraph"/>
        <w:tabs>
          <w:tab w:val="left" w:pos="1440"/>
          <w:tab w:val="right" w:pos="8640"/>
        </w:tabs>
        <w:ind w:left="1440"/>
      </w:pPr>
      <w:r w:rsidRPr="00DF78F3">
        <w:rPr>
          <w:bCs/>
          <w:snapToGrid w:val="0"/>
        </w:rPr>
        <w:t xml:space="preserve">The 60-day advance Federal Register Notice published on </w:t>
      </w:r>
      <w:r w:rsidR="00947E15">
        <w:rPr>
          <w:bCs/>
          <w:snapToGrid w:val="0"/>
        </w:rPr>
        <w:t>July 25</w:t>
      </w:r>
      <w:r w:rsidRPr="00DF78F3">
        <w:rPr>
          <w:bCs/>
          <w:snapToGrid w:val="0"/>
        </w:rPr>
        <w:t xml:space="preserve">, </w:t>
      </w:r>
      <w:r w:rsidRPr="00DF78F3">
        <w:rPr>
          <w:bCs/>
          <w:snapToGrid w:val="0"/>
        </w:rPr>
        <w:t>2022, at 87</w:t>
      </w:r>
      <w:r w:rsidR="00E45570">
        <w:rPr>
          <w:bCs/>
          <w:snapToGrid w:val="0"/>
        </w:rPr>
        <w:t> </w:t>
      </w:r>
      <w:r w:rsidRPr="00DF78F3">
        <w:rPr>
          <w:bCs/>
          <w:snapToGrid w:val="0"/>
        </w:rPr>
        <w:t>FR</w:t>
      </w:r>
      <w:r w:rsidR="00E45570">
        <w:rPr>
          <w:bCs/>
          <w:snapToGrid w:val="0"/>
        </w:rPr>
        <w:t> </w:t>
      </w:r>
      <w:r w:rsidR="00947E15">
        <w:rPr>
          <w:bCs/>
          <w:snapToGrid w:val="0"/>
        </w:rPr>
        <w:t>44180</w:t>
      </w:r>
      <w:r w:rsidRPr="00DF78F3">
        <w:rPr>
          <w:bCs/>
          <w:snapToGrid w:val="0"/>
        </w:rPr>
        <w:t xml:space="preserve">, and we received no public comments.  The 30-day FRN published on </w:t>
      </w:r>
      <w:r w:rsidR="00EF6C6E">
        <w:rPr>
          <w:bCs/>
          <w:snapToGrid w:val="0"/>
        </w:rPr>
        <w:t>October 6</w:t>
      </w:r>
      <w:r w:rsidRPr="00DF78F3">
        <w:rPr>
          <w:bCs/>
          <w:snapToGrid w:val="0"/>
        </w:rPr>
        <w:t xml:space="preserve">, 2022, at 87 FR </w:t>
      </w:r>
      <w:r w:rsidR="00EF6C6E">
        <w:rPr>
          <w:bCs/>
          <w:snapToGrid w:val="0"/>
        </w:rPr>
        <w:t>60721</w:t>
      </w:r>
      <w:r w:rsidRPr="00DF78F3">
        <w:rPr>
          <w:bCs/>
          <w:snapToGrid w:val="0"/>
        </w:rPr>
        <w:t>.  If we receive any comments in response to this Notice, we will forward them to OMB</w:t>
      </w:r>
      <w:r w:rsidRPr="00314D56">
        <w:t>.</w:t>
      </w:r>
    </w:p>
    <w:p w:rsidR="005D0E18" w:rsidRPr="005C3238" w:rsidP="00267DA9" w14:paraId="493B3685" w14:textId="77777777">
      <w:pPr>
        <w:pStyle w:val="TxBrp4"/>
        <w:tabs>
          <w:tab w:val="left" w:pos="1440"/>
        </w:tabs>
        <w:spacing w:line="240" w:lineRule="auto"/>
        <w:ind w:left="1440" w:right="-655"/>
        <w:rPr>
          <w:color w:val="000000"/>
        </w:rPr>
      </w:pPr>
    </w:p>
    <w:p w:rsidR="005D0E18" w:rsidRPr="00682ADA" w:rsidP="00267DA9" w14:paraId="7FA76973" w14:textId="77777777">
      <w:pPr>
        <w:pStyle w:val="TxBrp10"/>
        <w:numPr>
          <w:ilvl w:val="0"/>
          <w:numId w:val="7"/>
        </w:numPr>
        <w:tabs>
          <w:tab w:val="left" w:pos="720"/>
          <w:tab w:val="num" w:pos="1440"/>
        </w:tabs>
        <w:spacing w:line="240" w:lineRule="auto"/>
      </w:pPr>
      <w:r w:rsidRPr="00682ADA">
        <w:rPr>
          <w:b/>
        </w:rPr>
        <w:t>Payment or Gifts to Respondents</w:t>
      </w:r>
    </w:p>
    <w:p w:rsidR="005D0E18" w:rsidRPr="00B9302D" w:rsidP="00267DA9" w14:paraId="54855883" w14:textId="77777777">
      <w:pPr>
        <w:pStyle w:val="TxBrp10"/>
        <w:tabs>
          <w:tab w:val="left" w:pos="720"/>
        </w:tabs>
        <w:spacing w:line="240" w:lineRule="auto"/>
        <w:ind w:left="1440"/>
      </w:pPr>
      <w:r w:rsidRPr="002C65F1">
        <w:t xml:space="preserve">SSA does not provide payments or gifts to the respondents. </w:t>
      </w:r>
    </w:p>
    <w:p w:rsidR="00267DA9" w:rsidRPr="005D223B" w:rsidP="00267DA9" w14:paraId="70E25CC3" w14:textId="77777777">
      <w:pPr>
        <w:tabs>
          <w:tab w:val="left" w:pos="538"/>
        </w:tabs>
      </w:pPr>
    </w:p>
    <w:p w:rsidR="005D0E18" w:rsidRPr="00682ADA" w:rsidP="00267DA9" w14:paraId="405D030B" w14:textId="77777777">
      <w:pPr>
        <w:pStyle w:val="TxBrp10"/>
        <w:numPr>
          <w:ilvl w:val="0"/>
          <w:numId w:val="7"/>
        </w:numPr>
        <w:tabs>
          <w:tab w:val="left" w:pos="720"/>
          <w:tab w:val="num" w:pos="1440"/>
        </w:tabs>
        <w:spacing w:line="240" w:lineRule="auto"/>
      </w:pPr>
      <w:r w:rsidRPr="00682ADA">
        <w:rPr>
          <w:b/>
        </w:rPr>
        <w:t>Assurances of Confidentiality</w:t>
      </w:r>
    </w:p>
    <w:p w:rsidR="005D0E18" w:rsidP="00267DA9" w14:paraId="4B4AA55F" w14:textId="77777777">
      <w:pPr>
        <w:pStyle w:val="TxBrp10"/>
        <w:tabs>
          <w:tab w:val="left" w:pos="720"/>
        </w:tabs>
        <w:spacing w:line="240" w:lineRule="auto"/>
        <w:ind w:left="1440"/>
      </w:pPr>
      <w:r w:rsidRPr="00853D1D">
        <w:t>SSA protects and holds</w:t>
      </w:r>
      <w:r>
        <w:t xml:space="preserve"> confidential the information we collect</w:t>
      </w:r>
      <w:r w:rsidRPr="00853D1D">
        <w:t xml:space="preserve"> in accordance with </w:t>
      </w:r>
      <w:r>
        <w:t xml:space="preserve">  </w:t>
      </w:r>
      <w:r w:rsidRPr="00D75F03">
        <w:rPr>
          <w:i/>
        </w:rPr>
        <w:t>42 U.S.C. 1306, 20 CFR 401</w:t>
      </w:r>
      <w:r w:rsidRPr="00853D1D">
        <w:t xml:space="preserve"> and </w:t>
      </w:r>
      <w:r w:rsidRPr="00D75F03">
        <w:rPr>
          <w:i/>
        </w:rPr>
        <w:t>402, 5 U.S.C. 552</w:t>
      </w:r>
      <w:r w:rsidRPr="00853D1D">
        <w:t xml:space="preserve"> </w:t>
      </w:r>
      <w:r w:rsidRPr="00C478A0">
        <w:t>(</w:t>
      </w:r>
      <w:r w:rsidRPr="00D04626">
        <w:t>Freedom of Information Act</w:t>
      </w:r>
      <w:r w:rsidRPr="00C478A0">
        <w:t>),</w:t>
      </w:r>
      <w:r>
        <w:rPr>
          <w:i/>
        </w:rPr>
        <w:t xml:space="preserve"> </w:t>
      </w:r>
      <w:r w:rsidRPr="00D75F03">
        <w:rPr>
          <w:i/>
        </w:rPr>
        <w:t xml:space="preserve">5 </w:t>
      </w:r>
      <w:r w:rsidRPr="00D75F03">
        <w:rPr>
          <w:i/>
        </w:rPr>
        <w:t xml:space="preserve">U.S.C. 552a </w:t>
      </w:r>
      <w:r w:rsidRPr="00C478A0">
        <w:t>(</w:t>
      </w:r>
      <w:r w:rsidRPr="00D04626">
        <w:t>Privacy Act of 1974)</w:t>
      </w:r>
      <w:r w:rsidRPr="00D75F03">
        <w:rPr>
          <w:i/>
        </w:rPr>
        <w:t>,</w:t>
      </w:r>
      <w:r w:rsidRPr="00853D1D">
        <w:t xml:space="preserve"> and OMB Circular No. A-130.</w:t>
      </w:r>
    </w:p>
    <w:p w:rsidR="005D0E18" w:rsidRPr="00C40E15" w:rsidP="00267DA9" w14:paraId="09B70854" w14:textId="77777777">
      <w:pPr>
        <w:autoSpaceDE/>
        <w:autoSpaceDN/>
        <w:adjustRightInd/>
        <w:ind w:left="1440"/>
        <w:contextualSpacing/>
        <w:rPr>
          <w:snapToGrid w:val="0"/>
        </w:rPr>
      </w:pPr>
      <w:r w:rsidRPr="00C40E15">
        <w:rPr>
          <w:snapToGrid w:val="0"/>
        </w:rPr>
        <w:t>Additionally, SSA protects and holds confidential the information it receives by adhering to our Internet Privacy Policy, which stipulates:</w:t>
      </w:r>
    </w:p>
    <w:p w:rsidR="005D0E18" w:rsidRPr="00C40E15" w:rsidP="00267DA9" w14:paraId="4DC737AF" w14:textId="77777777">
      <w:pPr>
        <w:autoSpaceDE/>
        <w:autoSpaceDN/>
        <w:adjustRightInd/>
        <w:ind w:left="720"/>
        <w:contextualSpacing/>
        <w:rPr>
          <w:snapToGrid w:val="0"/>
        </w:rPr>
      </w:pPr>
    </w:p>
    <w:p w:rsidR="005D0E18" w:rsidRPr="00C40E15" w:rsidP="00267DA9" w14:paraId="6EB0251D" w14:textId="77777777">
      <w:pPr>
        <w:numPr>
          <w:ilvl w:val="0"/>
          <w:numId w:val="16"/>
        </w:numPr>
        <w:suppressAutoHyphens/>
        <w:autoSpaceDE/>
        <w:autoSpaceDN/>
        <w:adjustRightInd/>
        <w:contextualSpacing/>
        <w:rPr>
          <w:b/>
          <w:bCs/>
          <w:snapToGrid w:val="0"/>
        </w:rPr>
      </w:pPr>
      <w:r w:rsidRPr="00C40E15">
        <w:rPr>
          <w:snapToGrid w:val="0"/>
        </w:rPr>
        <w:t>The public does not need to give us personal informa</w:t>
      </w:r>
      <w:r w:rsidRPr="00C40E15">
        <w:rPr>
          <w:snapToGrid w:val="0"/>
        </w:rPr>
        <w:t>tion to visit our site;</w:t>
      </w:r>
    </w:p>
    <w:p w:rsidR="005D0E18" w:rsidRPr="00C40E15" w:rsidP="00267DA9" w14:paraId="768CC2FE" w14:textId="77777777">
      <w:pPr>
        <w:autoSpaceDE/>
        <w:autoSpaceDN/>
        <w:adjustRightInd/>
        <w:ind w:left="1080"/>
        <w:contextualSpacing/>
        <w:rPr>
          <w:b/>
          <w:bCs/>
          <w:snapToGrid w:val="0"/>
        </w:rPr>
      </w:pPr>
    </w:p>
    <w:p w:rsidR="005D0E18" w:rsidRPr="00C40E15" w:rsidP="00267DA9" w14:paraId="1121750D" w14:textId="77777777">
      <w:pPr>
        <w:numPr>
          <w:ilvl w:val="0"/>
          <w:numId w:val="16"/>
        </w:numPr>
        <w:suppressAutoHyphens/>
        <w:autoSpaceDE/>
        <w:autoSpaceDN/>
        <w:adjustRightInd/>
        <w:contextualSpacing/>
        <w:rPr>
          <w:b/>
          <w:bCs/>
          <w:snapToGrid w:val="0"/>
        </w:rPr>
      </w:pPr>
      <w:r w:rsidRPr="00C40E15">
        <w:rPr>
          <w:snapToGrid w:val="0"/>
        </w:rPr>
        <w:t>We collect personally identifiable information (name, social security number, date of birth,  or e-mail) only if we know beneficiaries or their representatives provided it;</w:t>
      </w:r>
    </w:p>
    <w:p w:rsidR="005D0E18" w:rsidRPr="00C40E15" w:rsidP="00267DA9" w14:paraId="4B94210E" w14:textId="77777777">
      <w:pPr>
        <w:autoSpaceDE/>
        <w:autoSpaceDN/>
        <w:adjustRightInd/>
        <w:ind w:left="720"/>
        <w:contextualSpacing/>
        <w:rPr>
          <w:b/>
          <w:bCs/>
          <w:snapToGrid w:val="0"/>
        </w:rPr>
      </w:pPr>
    </w:p>
    <w:p w:rsidR="005D0E18" w:rsidRPr="00C40E15" w:rsidP="00267DA9" w14:paraId="0CC4EBCF" w14:textId="77777777">
      <w:pPr>
        <w:numPr>
          <w:ilvl w:val="0"/>
          <w:numId w:val="16"/>
        </w:numPr>
        <w:suppressAutoHyphens/>
        <w:autoSpaceDE/>
        <w:autoSpaceDN/>
        <w:adjustRightInd/>
        <w:contextualSpacing/>
        <w:rPr>
          <w:b/>
          <w:bCs/>
          <w:snapToGrid w:val="0"/>
        </w:rPr>
      </w:pPr>
      <w:r w:rsidRPr="00C40E15">
        <w:rPr>
          <w:snapToGrid w:val="0"/>
        </w:rPr>
        <w:t>We only use personal identifying information in conjuncti</w:t>
      </w:r>
      <w:r w:rsidRPr="00C40E15">
        <w:rPr>
          <w:snapToGrid w:val="0"/>
        </w:rPr>
        <w:t>on with services beneficiaries requested at the time they submitted the information to us;</w:t>
      </w:r>
    </w:p>
    <w:p w:rsidR="005D0E18" w:rsidRPr="00C40E15" w:rsidP="00267DA9" w14:paraId="79970FE1" w14:textId="77777777">
      <w:pPr>
        <w:autoSpaceDE/>
        <w:autoSpaceDN/>
        <w:adjustRightInd/>
        <w:ind w:left="720"/>
        <w:contextualSpacing/>
        <w:rPr>
          <w:b/>
          <w:bCs/>
          <w:snapToGrid w:val="0"/>
        </w:rPr>
      </w:pPr>
    </w:p>
    <w:p w:rsidR="005D0E18" w:rsidRPr="00C40E15" w:rsidP="00267DA9" w14:paraId="334926F8" w14:textId="77777777">
      <w:pPr>
        <w:numPr>
          <w:ilvl w:val="0"/>
          <w:numId w:val="16"/>
        </w:numPr>
        <w:suppressAutoHyphens/>
        <w:autoSpaceDE/>
        <w:autoSpaceDN/>
        <w:adjustRightInd/>
        <w:contextualSpacing/>
        <w:rPr>
          <w:b/>
          <w:bCs/>
          <w:snapToGrid w:val="0"/>
        </w:rPr>
      </w:pPr>
      <w:r w:rsidRPr="00C40E15">
        <w:rPr>
          <w:snapToGrid w:val="0"/>
        </w:rPr>
        <w:t>We sometimes perform statistical analyses of user behavior in order to assess customer interest in the various areas of our site.  We will disclose this information</w:t>
      </w:r>
      <w:r w:rsidRPr="00C40E15">
        <w:rPr>
          <w:snapToGrid w:val="0"/>
        </w:rPr>
        <w:t xml:space="preserve"> to third parties only in aggregate, never specific form;</w:t>
      </w:r>
    </w:p>
    <w:p w:rsidR="005D0E18" w:rsidRPr="00C40E15" w:rsidP="00267DA9" w14:paraId="1868D83B" w14:textId="77777777">
      <w:pPr>
        <w:suppressAutoHyphens/>
        <w:autoSpaceDE/>
        <w:autoSpaceDN/>
        <w:adjustRightInd/>
        <w:ind w:left="1800"/>
        <w:contextualSpacing/>
        <w:rPr>
          <w:b/>
          <w:bCs/>
          <w:snapToGrid w:val="0"/>
        </w:rPr>
      </w:pPr>
    </w:p>
    <w:p w:rsidR="005D0E18" w:rsidRPr="00C40E15" w:rsidP="00267DA9" w14:paraId="093C04A3" w14:textId="77777777">
      <w:pPr>
        <w:numPr>
          <w:ilvl w:val="0"/>
          <w:numId w:val="16"/>
        </w:numPr>
        <w:suppressAutoHyphens/>
        <w:autoSpaceDE/>
        <w:autoSpaceDN/>
        <w:adjustRightInd/>
        <w:contextualSpacing/>
        <w:rPr>
          <w:b/>
          <w:bCs/>
          <w:snapToGrid w:val="0"/>
        </w:rPr>
      </w:pPr>
      <w:r w:rsidRPr="00C40E15">
        <w:rPr>
          <w:snapToGrid w:val="0"/>
        </w:rPr>
        <w:t>We never give, sell, or transfer any personal information to a third party.</w:t>
      </w:r>
    </w:p>
    <w:p w:rsidR="005D0E18" w:rsidRPr="00C40E15" w:rsidP="00267DA9" w14:paraId="5E8A9357" w14:textId="77777777">
      <w:pPr>
        <w:autoSpaceDE/>
        <w:autoSpaceDN/>
        <w:adjustRightInd/>
        <w:ind w:left="720"/>
        <w:contextualSpacing/>
        <w:rPr>
          <w:b/>
          <w:bCs/>
          <w:snapToGrid w:val="0"/>
        </w:rPr>
      </w:pPr>
    </w:p>
    <w:p w:rsidR="005D0E18" w:rsidRPr="00C40E15" w:rsidP="00267DA9" w14:paraId="05435E4E" w14:textId="77777777">
      <w:pPr>
        <w:autoSpaceDE/>
        <w:autoSpaceDN/>
        <w:adjustRightInd/>
        <w:ind w:left="1440"/>
        <w:rPr>
          <w:snapToGrid w:val="0"/>
        </w:rPr>
      </w:pPr>
      <w:r w:rsidRPr="00C40E15">
        <w:rPr>
          <w:snapToGrid w:val="0"/>
        </w:rPr>
        <w:t>We also take the following measures to ensure the confidentiality of applicants’ personal information:</w:t>
      </w:r>
    </w:p>
    <w:p w:rsidR="005D0E18" w:rsidRPr="00C40E15" w:rsidP="00267DA9" w14:paraId="048586D2" w14:textId="77777777">
      <w:pPr>
        <w:autoSpaceDE/>
        <w:autoSpaceDN/>
        <w:adjustRightInd/>
        <w:ind w:left="1440"/>
        <w:rPr>
          <w:snapToGrid w:val="0"/>
        </w:rPr>
      </w:pPr>
    </w:p>
    <w:p w:rsidR="005D0E18" w:rsidRPr="00C40E15" w:rsidP="00267DA9" w14:paraId="1191C769" w14:textId="77777777">
      <w:pPr>
        <w:numPr>
          <w:ilvl w:val="0"/>
          <w:numId w:val="17"/>
        </w:numPr>
        <w:suppressAutoHyphens/>
        <w:autoSpaceDE/>
        <w:autoSpaceDN/>
        <w:adjustRightInd/>
        <w:contextualSpacing/>
        <w:rPr>
          <w:b/>
          <w:bCs/>
          <w:snapToGrid w:val="0"/>
        </w:rPr>
      </w:pPr>
      <w:r w:rsidRPr="00C40E15">
        <w:rPr>
          <w:snapToGrid w:val="0"/>
        </w:rPr>
        <w:t xml:space="preserve">We </w:t>
      </w:r>
      <w:r w:rsidRPr="00C40E15">
        <w:rPr>
          <w:snapToGrid w:val="0"/>
        </w:rPr>
        <w:t>encrypt all electronic requests using the Secure Socket Layer (SSL) security protocol. SSL encryption prevents a third party from reading the transmitted data even if they intercept any data.  This protocol is an industry standard used by banks such as Wel</w:t>
      </w:r>
      <w:r w:rsidRPr="00C40E15">
        <w:rPr>
          <w:snapToGrid w:val="0"/>
        </w:rPr>
        <w:t>ls Fargo and Bank of America for Internet banking;</w:t>
      </w:r>
    </w:p>
    <w:p w:rsidR="005D0E18" w:rsidRPr="00C40E15" w:rsidP="00267DA9" w14:paraId="209BC590" w14:textId="77777777">
      <w:pPr>
        <w:autoSpaceDE/>
        <w:autoSpaceDN/>
        <w:adjustRightInd/>
        <w:ind w:left="1080"/>
        <w:contextualSpacing/>
        <w:rPr>
          <w:b/>
          <w:bCs/>
          <w:snapToGrid w:val="0"/>
        </w:rPr>
      </w:pPr>
    </w:p>
    <w:p w:rsidR="005D0E18" w:rsidRPr="00C40E15" w:rsidP="00267DA9" w14:paraId="12F6E48E" w14:textId="77777777">
      <w:pPr>
        <w:numPr>
          <w:ilvl w:val="0"/>
          <w:numId w:val="17"/>
        </w:numPr>
        <w:suppressAutoHyphens/>
        <w:autoSpaceDE/>
        <w:autoSpaceDN/>
        <w:adjustRightInd/>
        <w:contextualSpacing/>
        <w:rPr>
          <w:b/>
          <w:bCs/>
          <w:snapToGrid w:val="0"/>
        </w:rPr>
      </w:pPr>
      <w:r w:rsidRPr="00C40E15">
        <w:rPr>
          <w:snapToGrid w:val="0"/>
        </w:rPr>
        <w:t>We give applicants adequate warnings that the Internet is an open system, and there is no absolute guarantee others will not intercept and decrypt the personal information the applicants submitted.  We ad</w:t>
      </w:r>
      <w:r w:rsidRPr="00C40E15">
        <w:rPr>
          <w:snapToGrid w:val="0"/>
        </w:rPr>
        <w:t>vise applicants about alternative methods of requesting personal information, i.e., personal visit to a field office or a call to the 800 number;</w:t>
      </w:r>
    </w:p>
    <w:p w:rsidR="005D0E18" w:rsidRPr="00C40E15" w:rsidP="00267DA9" w14:paraId="24AADAC1" w14:textId="77777777">
      <w:pPr>
        <w:autoSpaceDE/>
        <w:autoSpaceDN/>
        <w:adjustRightInd/>
        <w:ind w:left="720"/>
        <w:contextualSpacing/>
        <w:rPr>
          <w:snapToGrid w:val="0"/>
        </w:rPr>
      </w:pPr>
    </w:p>
    <w:p w:rsidR="005D0E18" w:rsidRPr="00C40E15" w:rsidP="00267DA9" w14:paraId="4996D64F" w14:textId="77777777">
      <w:pPr>
        <w:numPr>
          <w:ilvl w:val="0"/>
          <w:numId w:val="17"/>
        </w:numPr>
        <w:suppressAutoHyphens/>
        <w:autoSpaceDE/>
        <w:autoSpaceDN/>
        <w:adjustRightInd/>
        <w:contextualSpacing/>
        <w:rPr>
          <w:b/>
          <w:bCs/>
          <w:snapToGrid w:val="0"/>
        </w:rPr>
      </w:pPr>
      <w:r w:rsidRPr="00C40E15">
        <w:rPr>
          <w:snapToGrid w:val="0"/>
        </w:rPr>
        <w:t>We will only allow requestors access to additional screens used for making changes to personal information or</w:t>
      </w:r>
      <w:r w:rsidRPr="00C40E15">
        <w:rPr>
          <w:snapToGrid w:val="0"/>
        </w:rPr>
        <w:t xml:space="preserve"> requests to SSA once we verify requestor identity.</w:t>
      </w:r>
    </w:p>
    <w:p w:rsidR="005D0E18" w:rsidP="00267DA9" w14:paraId="6BF8A68B" w14:textId="77777777">
      <w:pPr>
        <w:pStyle w:val="TxBrp10"/>
        <w:tabs>
          <w:tab w:val="left" w:pos="720"/>
        </w:tabs>
        <w:spacing w:line="240" w:lineRule="auto"/>
      </w:pPr>
    </w:p>
    <w:p w:rsidR="00783E32" w:rsidRPr="00783E32" w:rsidP="00267DA9" w14:paraId="383513E7" w14:textId="77777777">
      <w:pPr>
        <w:pStyle w:val="TxBrp14"/>
        <w:numPr>
          <w:ilvl w:val="0"/>
          <w:numId w:val="7"/>
        </w:numPr>
        <w:tabs>
          <w:tab w:val="left" w:pos="720"/>
          <w:tab w:val="num" w:pos="1440"/>
        </w:tabs>
        <w:spacing w:line="240" w:lineRule="auto"/>
      </w:pPr>
      <w:r w:rsidRPr="00E8529D">
        <w:rPr>
          <w:b/>
        </w:rPr>
        <w:t>Justification for Sensitive Questions</w:t>
      </w:r>
    </w:p>
    <w:p w:rsidR="00783E32" w:rsidP="00267DA9" w14:paraId="244BE3CA" w14:textId="77777777">
      <w:pPr>
        <w:pStyle w:val="TxBrp14"/>
        <w:tabs>
          <w:tab w:val="left" w:pos="720"/>
        </w:tabs>
        <w:spacing w:line="240" w:lineRule="auto"/>
        <w:ind w:left="1440"/>
      </w:pPr>
      <w:r w:rsidRPr="00B9302D">
        <w:t>The information collection does not contain any questions of a sensitive nature.</w:t>
      </w:r>
    </w:p>
    <w:p w:rsidR="00267DA9" w:rsidRPr="00783E32" w:rsidP="00783E32" w14:paraId="3345EC6B" w14:textId="77777777">
      <w:pPr>
        <w:pStyle w:val="TxBrp14"/>
        <w:tabs>
          <w:tab w:val="left" w:pos="720"/>
        </w:tabs>
        <w:spacing w:line="240" w:lineRule="auto"/>
        <w:ind w:left="1440"/>
      </w:pPr>
    </w:p>
    <w:p w:rsidR="00BC534E" w:rsidP="00701670" w14:paraId="0623FE86" w14:textId="0E5D46ED">
      <w:pPr>
        <w:pStyle w:val="TxBrp14"/>
        <w:tabs>
          <w:tab w:val="left" w:pos="1440"/>
        </w:tabs>
        <w:spacing w:line="240" w:lineRule="auto"/>
        <w:ind w:left="1440" w:hanging="720"/>
        <w:rPr>
          <w:b/>
          <w:bCs/>
        </w:rPr>
      </w:pPr>
      <w:r>
        <w:rPr>
          <w:b/>
          <w:bCs/>
        </w:rPr>
        <w:t>12.</w:t>
      </w:r>
      <w:r w:rsidR="00701670">
        <w:rPr>
          <w:b/>
          <w:bCs/>
        </w:rPr>
        <w:tab/>
      </w:r>
      <w:r w:rsidRPr="00783E32">
        <w:rPr>
          <w:b/>
          <w:bCs/>
        </w:rPr>
        <w:t xml:space="preserve">Estimates of Public Reporting Burden   </w:t>
      </w:r>
    </w:p>
    <w:p w:rsidR="00594A97" w:rsidP="00701670" w14:paraId="621B287E" w14:textId="153D5224">
      <w:pPr>
        <w:pStyle w:val="TxBrp14"/>
        <w:tabs>
          <w:tab w:val="left" w:pos="1440"/>
        </w:tabs>
        <w:spacing w:line="240" w:lineRule="auto"/>
        <w:ind w:left="1440"/>
      </w:pPr>
      <w:r w:rsidRPr="00701670">
        <w:rPr>
          <w:bCs/>
          <w:snapToGrid w:val="0"/>
        </w:rPr>
        <w:t>Please see the burden chart below</w:t>
      </w:r>
      <w:r w:rsidRPr="00701670">
        <w:t>:</w:t>
      </w:r>
    </w:p>
    <w:tbl>
      <w:tblPr>
        <w:tblpPr w:leftFromText="180" w:rightFromText="180" w:vertAnchor="text" w:horzAnchor="margin" w:tblpXSpec="center" w:tblpY="94"/>
        <w:tblW w:w="1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5"/>
        <w:gridCol w:w="1530"/>
        <w:gridCol w:w="1350"/>
        <w:gridCol w:w="1342"/>
        <w:gridCol w:w="1260"/>
        <w:gridCol w:w="1260"/>
        <w:gridCol w:w="1453"/>
        <w:gridCol w:w="1695"/>
      </w:tblGrid>
      <w:tr w14:paraId="00B51710" w14:textId="77777777" w:rsidTr="00E00948">
        <w:tblPrEx>
          <w:tblW w:w="1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340"/>
        </w:trPr>
        <w:tc>
          <w:tcPr>
            <w:tcW w:w="1895" w:type="dxa"/>
            <w:shd w:val="clear" w:color="auto" w:fill="auto"/>
          </w:tcPr>
          <w:p w:rsidR="00E00948" w:rsidRPr="00701670" w:rsidP="00E00948" w14:paraId="2413E7A8" w14:textId="77777777">
            <w:pPr>
              <w:widowControl/>
              <w:suppressAutoHyphens/>
              <w:autoSpaceDE/>
              <w:autoSpaceDN/>
              <w:adjustRightInd/>
              <w:rPr>
                <w:rFonts w:eastAsia="SimSun"/>
                <w:b/>
                <w:lang w:eastAsia="ar-SA"/>
              </w:rPr>
            </w:pPr>
            <w:r w:rsidRPr="00701670">
              <w:rPr>
                <w:rFonts w:eastAsia="SimSun"/>
                <w:b/>
                <w:lang w:eastAsia="ar-SA"/>
              </w:rPr>
              <w:t>Modality of Completion</w:t>
            </w:r>
          </w:p>
        </w:tc>
        <w:tc>
          <w:tcPr>
            <w:tcW w:w="1530" w:type="dxa"/>
            <w:shd w:val="clear" w:color="auto" w:fill="auto"/>
          </w:tcPr>
          <w:p w:rsidR="00E00948" w:rsidRPr="00701670" w:rsidP="00E00948" w14:paraId="2AAAE463" w14:textId="77777777">
            <w:pPr>
              <w:widowControl/>
              <w:suppressAutoHyphens/>
              <w:autoSpaceDE/>
              <w:autoSpaceDN/>
              <w:adjustRightInd/>
              <w:rPr>
                <w:rFonts w:eastAsia="SimSun"/>
                <w:b/>
                <w:lang w:eastAsia="ar-SA"/>
              </w:rPr>
            </w:pPr>
            <w:r w:rsidRPr="00701670">
              <w:rPr>
                <w:rFonts w:eastAsia="SimSun"/>
                <w:b/>
                <w:lang w:eastAsia="ar-SA"/>
              </w:rPr>
              <w:t>Number of Respondents</w:t>
            </w:r>
          </w:p>
        </w:tc>
        <w:tc>
          <w:tcPr>
            <w:tcW w:w="1350" w:type="dxa"/>
          </w:tcPr>
          <w:p w:rsidR="00E00948" w:rsidRPr="00701670" w:rsidP="00E00948" w14:paraId="790860F6" w14:textId="77777777">
            <w:pPr>
              <w:widowControl/>
              <w:suppressAutoHyphens/>
              <w:autoSpaceDE/>
              <w:autoSpaceDN/>
              <w:adjustRightInd/>
              <w:rPr>
                <w:rFonts w:eastAsia="SimSun"/>
                <w:b/>
                <w:lang w:eastAsia="ar-SA"/>
              </w:rPr>
            </w:pPr>
            <w:r w:rsidRPr="00701670">
              <w:rPr>
                <w:rFonts w:eastAsia="SimSun"/>
                <w:b/>
                <w:lang w:eastAsia="ar-SA"/>
              </w:rPr>
              <w:t>Frequency of Response</w:t>
            </w:r>
          </w:p>
        </w:tc>
        <w:tc>
          <w:tcPr>
            <w:tcW w:w="1342" w:type="dxa"/>
          </w:tcPr>
          <w:p w:rsidR="00E00948" w:rsidRPr="00701670" w:rsidP="00E00948" w14:paraId="517CA3A5" w14:textId="77777777">
            <w:pPr>
              <w:widowControl/>
              <w:suppressAutoHyphens/>
              <w:autoSpaceDE/>
              <w:autoSpaceDN/>
              <w:adjustRightInd/>
              <w:rPr>
                <w:rFonts w:eastAsia="SimSun"/>
                <w:b/>
                <w:lang w:eastAsia="ar-SA"/>
              </w:rPr>
            </w:pPr>
            <w:r w:rsidRPr="00701670">
              <w:rPr>
                <w:rFonts w:eastAsia="SimSun"/>
                <w:b/>
                <w:lang w:eastAsia="ar-SA"/>
              </w:rPr>
              <w:t>Number of Responses</w:t>
            </w:r>
          </w:p>
        </w:tc>
        <w:tc>
          <w:tcPr>
            <w:tcW w:w="1260" w:type="dxa"/>
            <w:shd w:val="clear" w:color="auto" w:fill="auto"/>
          </w:tcPr>
          <w:p w:rsidR="00E00948" w:rsidRPr="00701670" w:rsidP="00E00948" w14:paraId="359EC889" w14:textId="77777777">
            <w:pPr>
              <w:widowControl/>
              <w:suppressAutoHyphens/>
              <w:autoSpaceDE/>
              <w:autoSpaceDN/>
              <w:adjustRightInd/>
              <w:rPr>
                <w:rFonts w:eastAsia="SimSun"/>
                <w:b/>
                <w:lang w:eastAsia="ar-SA"/>
              </w:rPr>
            </w:pPr>
            <w:r w:rsidRPr="00701670">
              <w:rPr>
                <w:rFonts w:eastAsia="SimSun"/>
                <w:b/>
                <w:lang w:eastAsia="ar-SA"/>
              </w:rPr>
              <w:t>Average Burden Per Response (minutes)</w:t>
            </w:r>
          </w:p>
        </w:tc>
        <w:tc>
          <w:tcPr>
            <w:tcW w:w="1260" w:type="dxa"/>
          </w:tcPr>
          <w:p w:rsidR="00E00948" w:rsidRPr="00701670" w:rsidP="00E00948" w14:paraId="277FF036" w14:textId="77777777">
            <w:pPr>
              <w:widowControl/>
              <w:suppressAutoHyphens/>
              <w:autoSpaceDE/>
              <w:autoSpaceDN/>
              <w:adjustRightInd/>
              <w:rPr>
                <w:rFonts w:eastAsia="SimSun"/>
                <w:b/>
                <w:lang w:eastAsia="ar-SA"/>
              </w:rPr>
            </w:pPr>
            <w:r w:rsidRPr="00701670">
              <w:rPr>
                <w:rFonts w:eastAsia="SimSun"/>
                <w:b/>
                <w:lang w:eastAsia="ar-SA"/>
              </w:rPr>
              <w:t>Estimated Total Annual Burden (hours)</w:t>
            </w:r>
          </w:p>
        </w:tc>
        <w:tc>
          <w:tcPr>
            <w:tcW w:w="1453" w:type="dxa"/>
          </w:tcPr>
          <w:p w:rsidR="00E00948" w:rsidRPr="00701670" w:rsidP="00E00948" w14:paraId="722F032F" w14:textId="77777777">
            <w:pPr>
              <w:widowControl/>
              <w:suppressAutoHyphens/>
              <w:autoSpaceDE/>
              <w:autoSpaceDN/>
              <w:adjustRightInd/>
              <w:rPr>
                <w:rFonts w:eastAsia="SimSun"/>
                <w:b/>
                <w:lang w:eastAsia="ar-SA"/>
              </w:rPr>
            </w:pPr>
            <w:r w:rsidRPr="00701670">
              <w:rPr>
                <w:rFonts w:eastAsia="SimSun"/>
                <w:b/>
                <w:lang w:eastAsia="ar-SA"/>
              </w:rPr>
              <w:t>Average Theoretical Hourly Cost Amount (dollars)**</w:t>
            </w:r>
          </w:p>
        </w:tc>
        <w:tc>
          <w:tcPr>
            <w:tcW w:w="1695" w:type="dxa"/>
            <w:shd w:val="clear" w:color="auto" w:fill="auto"/>
          </w:tcPr>
          <w:p w:rsidR="00E00948" w:rsidRPr="00701670" w:rsidP="00E00948" w14:paraId="109A0B6D" w14:textId="77777777">
            <w:pPr>
              <w:widowControl/>
              <w:suppressAutoHyphens/>
              <w:autoSpaceDE/>
              <w:autoSpaceDN/>
              <w:adjustRightInd/>
              <w:rPr>
                <w:rFonts w:eastAsia="SimSun"/>
                <w:b/>
                <w:lang w:eastAsia="ar-SA"/>
              </w:rPr>
            </w:pPr>
            <w:r w:rsidRPr="00701670">
              <w:rPr>
                <w:rFonts w:eastAsia="SimSun"/>
                <w:b/>
                <w:lang w:eastAsia="ar-SA"/>
              </w:rPr>
              <w:t>Total Annual Opportunity Cost (dollars) **</w:t>
            </w:r>
            <w:r w:rsidRPr="00701670">
              <w:rPr>
                <w:rFonts w:eastAsia="SimSun"/>
                <w:b/>
                <w:lang w:eastAsia="ar-SA"/>
              </w:rPr>
              <w:t>*</w:t>
            </w:r>
          </w:p>
        </w:tc>
      </w:tr>
      <w:tr w14:paraId="387E24AB" w14:textId="77777777" w:rsidTr="00E00948">
        <w:tblPrEx>
          <w:tblW w:w="11785" w:type="dxa"/>
          <w:tblLayout w:type="fixed"/>
          <w:tblLook w:val="01E0"/>
        </w:tblPrEx>
        <w:trPr>
          <w:trHeight w:val="119"/>
        </w:trPr>
        <w:tc>
          <w:tcPr>
            <w:tcW w:w="1895" w:type="dxa"/>
          </w:tcPr>
          <w:p w:rsidR="00E00948" w:rsidRPr="00701670" w:rsidP="00E00948" w14:paraId="3E4278B6" w14:textId="77777777">
            <w:pPr>
              <w:widowControl/>
              <w:suppressAutoHyphens/>
              <w:autoSpaceDE/>
              <w:autoSpaceDN/>
              <w:adjustRightInd/>
              <w:rPr>
                <w:rFonts w:eastAsia="SimSun"/>
                <w:lang w:eastAsia="ar-SA"/>
              </w:rPr>
            </w:pPr>
            <w:r w:rsidRPr="00701670">
              <w:t>Training / Instruction*</w:t>
            </w:r>
          </w:p>
        </w:tc>
        <w:tc>
          <w:tcPr>
            <w:tcW w:w="1530" w:type="dxa"/>
            <w:shd w:val="clear" w:color="auto" w:fill="auto"/>
          </w:tcPr>
          <w:p w:rsidR="00E00948" w:rsidRPr="00701670" w:rsidP="00E00948" w14:paraId="171DA4EE" w14:textId="77777777">
            <w:pPr>
              <w:widowControl/>
              <w:suppressAutoHyphens/>
              <w:autoSpaceDE/>
              <w:autoSpaceDN/>
              <w:adjustRightInd/>
              <w:jc w:val="right"/>
              <w:rPr>
                <w:rFonts w:eastAsia="SimSun"/>
                <w:lang w:eastAsia="ar-SA"/>
              </w:rPr>
            </w:pPr>
            <w:r w:rsidRPr="00701670">
              <w:rPr>
                <w:rFonts w:eastAsia="SimSun"/>
                <w:lang w:eastAsia="zh-CN"/>
              </w:rPr>
              <w:t>108,280</w:t>
            </w:r>
          </w:p>
        </w:tc>
        <w:tc>
          <w:tcPr>
            <w:tcW w:w="1350" w:type="dxa"/>
            <w:shd w:val="clear" w:color="auto" w:fill="auto"/>
          </w:tcPr>
          <w:p w:rsidR="00E00948" w:rsidRPr="00701670" w:rsidP="00E00948" w14:paraId="674CEFFD" w14:textId="77777777">
            <w:pPr>
              <w:widowControl/>
              <w:suppressAutoHyphens/>
              <w:autoSpaceDE/>
              <w:autoSpaceDN/>
              <w:adjustRightInd/>
              <w:jc w:val="right"/>
              <w:rPr>
                <w:rFonts w:eastAsia="SimSun"/>
                <w:lang w:eastAsia="ar-SA"/>
              </w:rPr>
            </w:pPr>
            <w:r w:rsidRPr="00701670">
              <w:rPr>
                <w:rFonts w:eastAsia="SimSun"/>
                <w:lang w:eastAsia="zh-CN"/>
              </w:rPr>
              <w:t>1</w:t>
            </w:r>
          </w:p>
        </w:tc>
        <w:tc>
          <w:tcPr>
            <w:tcW w:w="1342" w:type="dxa"/>
          </w:tcPr>
          <w:p w:rsidR="00E00948" w:rsidRPr="00701670" w:rsidP="00E00948" w14:paraId="0D9F993A" w14:textId="77777777">
            <w:pPr>
              <w:widowControl/>
              <w:suppressAutoHyphens/>
              <w:autoSpaceDE/>
              <w:autoSpaceDN/>
              <w:adjustRightInd/>
              <w:jc w:val="right"/>
              <w:rPr>
                <w:rFonts w:eastAsia="SimSun"/>
                <w:lang w:eastAsia="zh-CN"/>
              </w:rPr>
            </w:pPr>
            <w:r w:rsidRPr="00701670">
              <w:rPr>
                <w:rFonts w:eastAsia="SimSun"/>
                <w:lang w:eastAsia="zh-CN"/>
              </w:rPr>
              <w:t>108,280</w:t>
            </w:r>
          </w:p>
        </w:tc>
        <w:tc>
          <w:tcPr>
            <w:tcW w:w="1260" w:type="dxa"/>
            <w:shd w:val="clear" w:color="auto" w:fill="auto"/>
          </w:tcPr>
          <w:p w:rsidR="00E00948" w:rsidRPr="00701670" w:rsidP="00E00948" w14:paraId="3EC5F128" w14:textId="77777777">
            <w:pPr>
              <w:widowControl/>
              <w:suppressAutoHyphens/>
              <w:autoSpaceDE/>
              <w:autoSpaceDN/>
              <w:adjustRightInd/>
              <w:jc w:val="right"/>
              <w:rPr>
                <w:rFonts w:eastAsia="SimSun"/>
                <w:lang w:eastAsia="ar-SA"/>
              </w:rPr>
            </w:pPr>
            <w:r w:rsidRPr="00701670">
              <w:rPr>
                <w:rFonts w:eastAsia="SimSun"/>
                <w:lang w:eastAsia="zh-CN"/>
              </w:rPr>
              <w:t>35</w:t>
            </w:r>
          </w:p>
        </w:tc>
        <w:tc>
          <w:tcPr>
            <w:tcW w:w="1260" w:type="dxa"/>
          </w:tcPr>
          <w:p w:rsidR="00E00948" w:rsidRPr="00701670" w:rsidP="00E00948" w14:paraId="4AC15004" w14:textId="77777777">
            <w:pPr>
              <w:widowControl/>
              <w:suppressAutoHyphens/>
              <w:autoSpaceDE/>
              <w:autoSpaceDN/>
              <w:adjustRightInd/>
              <w:jc w:val="right"/>
              <w:rPr>
                <w:rFonts w:eastAsia="SimSun"/>
                <w:lang w:eastAsia="ar-SA"/>
              </w:rPr>
            </w:pPr>
            <w:r w:rsidRPr="00701670">
              <w:rPr>
                <w:rFonts w:eastAsia="SimSun"/>
                <w:lang w:eastAsia="zh-CN"/>
              </w:rPr>
              <w:t>63,163</w:t>
            </w:r>
          </w:p>
        </w:tc>
        <w:tc>
          <w:tcPr>
            <w:tcW w:w="1453" w:type="dxa"/>
          </w:tcPr>
          <w:p w:rsidR="00E00948" w:rsidRPr="00701670" w:rsidP="00E00948" w14:paraId="7527840A" w14:textId="77777777">
            <w:pPr>
              <w:widowControl/>
              <w:suppressAutoHyphens/>
              <w:autoSpaceDE/>
              <w:autoSpaceDN/>
              <w:adjustRightInd/>
              <w:jc w:val="right"/>
              <w:rPr>
                <w:rFonts w:eastAsia="SimSun"/>
                <w:lang w:eastAsia="ar-SA"/>
              </w:rPr>
            </w:pPr>
            <w:r w:rsidRPr="00701670">
              <w:rPr>
                <w:rFonts w:eastAsia="SimSun"/>
                <w:lang w:eastAsia="ar-SA"/>
              </w:rPr>
              <w:t>$19.86**</w:t>
            </w:r>
          </w:p>
        </w:tc>
        <w:tc>
          <w:tcPr>
            <w:tcW w:w="1695" w:type="dxa"/>
            <w:shd w:val="clear" w:color="auto" w:fill="auto"/>
          </w:tcPr>
          <w:p w:rsidR="00E00948" w:rsidRPr="00701670" w:rsidP="00E00948" w14:paraId="080164A1" w14:textId="77777777">
            <w:pPr>
              <w:widowControl/>
              <w:suppressAutoHyphens/>
              <w:autoSpaceDE/>
              <w:autoSpaceDN/>
              <w:adjustRightInd/>
              <w:jc w:val="right"/>
              <w:rPr>
                <w:rFonts w:eastAsia="SimSun"/>
                <w:lang w:eastAsia="ar-SA"/>
              </w:rPr>
            </w:pPr>
            <w:r w:rsidRPr="00701670">
              <w:rPr>
                <w:rFonts w:eastAsia="SimSun"/>
                <w:lang w:eastAsia="ar-SA"/>
              </w:rPr>
              <w:t>$1,254,417***</w:t>
            </w:r>
          </w:p>
        </w:tc>
      </w:tr>
      <w:tr w14:paraId="6CF89DBD" w14:textId="77777777" w:rsidTr="00E00948">
        <w:tblPrEx>
          <w:tblW w:w="11785" w:type="dxa"/>
          <w:tblLayout w:type="fixed"/>
          <w:tblLook w:val="01E0"/>
        </w:tblPrEx>
        <w:trPr>
          <w:trHeight w:val="119"/>
        </w:trPr>
        <w:tc>
          <w:tcPr>
            <w:tcW w:w="1895" w:type="dxa"/>
            <w:shd w:val="clear" w:color="auto" w:fill="auto"/>
          </w:tcPr>
          <w:p w:rsidR="00E00948" w:rsidRPr="00701670" w:rsidP="00E00948" w14:paraId="5A518617" w14:textId="77777777">
            <w:pPr>
              <w:widowControl/>
              <w:suppressAutoHyphens/>
              <w:autoSpaceDE/>
              <w:autoSpaceDN/>
              <w:adjustRightInd/>
              <w:rPr>
                <w:rFonts w:eastAsia="SimSun"/>
                <w:lang w:eastAsia="zh-CN"/>
              </w:rPr>
            </w:pPr>
            <w:r w:rsidRPr="00701670">
              <w:rPr>
                <w:rFonts w:eastAsia="SimSun"/>
                <w:lang w:eastAsia="zh-CN"/>
              </w:rPr>
              <w:t>myWageReport</w:t>
            </w:r>
          </w:p>
        </w:tc>
        <w:tc>
          <w:tcPr>
            <w:tcW w:w="1530" w:type="dxa"/>
            <w:shd w:val="clear" w:color="auto" w:fill="auto"/>
          </w:tcPr>
          <w:p w:rsidR="00E00948" w:rsidRPr="00701670" w:rsidP="00E00948" w14:paraId="0492159F" w14:textId="77777777">
            <w:pPr>
              <w:widowControl/>
              <w:suppressAutoHyphens/>
              <w:autoSpaceDE/>
              <w:autoSpaceDN/>
              <w:adjustRightInd/>
              <w:jc w:val="right"/>
              <w:rPr>
                <w:rFonts w:eastAsia="SimSun"/>
                <w:lang w:eastAsia="zh-CN"/>
              </w:rPr>
            </w:pPr>
            <w:r w:rsidRPr="00701670">
              <w:rPr>
                <w:rFonts w:eastAsia="SimSun"/>
                <w:lang w:eastAsia="zh-CN"/>
              </w:rPr>
              <w:t>3,557</w:t>
            </w:r>
          </w:p>
        </w:tc>
        <w:tc>
          <w:tcPr>
            <w:tcW w:w="1350" w:type="dxa"/>
            <w:shd w:val="clear" w:color="auto" w:fill="auto"/>
          </w:tcPr>
          <w:p w:rsidR="00E00948" w:rsidRPr="00701670" w:rsidP="00E00948" w14:paraId="73543280" w14:textId="77777777">
            <w:pPr>
              <w:widowControl/>
              <w:suppressAutoHyphens/>
              <w:autoSpaceDE/>
              <w:autoSpaceDN/>
              <w:adjustRightInd/>
              <w:jc w:val="right"/>
              <w:rPr>
                <w:rFonts w:eastAsia="SimSun"/>
                <w:lang w:eastAsia="zh-CN"/>
              </w:rPr>
            </w:pPr>
            <w:r w:rsidRPr="00701670">
              <w:rPr>
                <w:rFonts w:eastAsia="SimSun"/>
                <w:lang w:eastAsia="zh-CN"/>
              </w:rPr>
              <w:t>12</w:t>
            </w:r>
          </w:p>
        </w:tc>
        <w:tc>
          <w:tcPr>
            <w:tcW w:w="1342" w:type="dxa"/>
          </w:tcPr>
          <w:p w:rsidR="00E00948" w:rsidRPr="00701670" w:rsidP="00E00948" w14:paraId="00224C1E" w14:textId="77777777">
            <w:pPr>
              <w:widowControl/>
              <w:suppressAutoHyphens/>
              <w:autoSpaceDE/>
              <w:autoSpaceDN/>
              <w:adjustRightInd/>
              <w:jc w:val="right"/>
              <w:rPr>
                <w:rFonts w:eastAsia="SimSun"/>
                <w:lang w:eastAsia="zh-CN"/>
              </w:rPr>
            </w:pPr>
            <w:r w:rsidRPr="00701670">
              <w:rPr>
                <w:rFonts w:eastAsia="SimSun"/>
                <w:lang w:eastAsia="zh-CN"/>
              </w:rPr>
              <w:t>42,684</w:t>
            </w:r>
          </w:p>
        </w:tc>
        <w:tc>
          <w:tcPr>
            <w:tcW w:w="1260" w:type="dxa"/>
            <w:shd w:val="clear" w:color="auto" w:fill="auto"/>
          </w:tcPr>
          <w:p w:rsidR="00E00948" w:rsidRPr="00701670" w:rsidP="00E00948" w14:paraId="3ECED8DD" w14:textId="77777777">
            <w:pPr>
              <w:widowControl/>
              <w:suppressAutoHyphens/>
              <w:autoSpaceDE/>
              <w:autoSpaceDN/>
              <w:adjustRightInd/>
              <w:jc w:val="right"/>
              <w:rPr>
                <w:rFonts w:eastAsia="SimSun"/>
                <w:lang w:eastAsia="zh-CN"/>
              </w:rPr>
            </w:pPr>
            <w:r w:rsidRPr="00701670">
              <w:rPr>
                <w:rFonts w:eastAsia="SimSun"/>
                <w:lang w:eastAsia="zh-CN"/>
              </w:rPr>
              <w:t>7</w:t>
            </w:r>
          </w:p>
        </w:tc>
        <w:tc>
          <w:tcPr>
            <w:tcW w:w="1260" w:type="dxa"/>
          </w:tcPr>
          <w:p w:rsidR="00E00948" w:rsidRPr="00701670" w:rsidP="00E00948" w14:paraId="20627872" w14:textId="77777777">
            <w:pPr>
              <w:widowControl/>
              <w:suppressAutoHyphens/>
              <w:autoSpaceDE/>
              <w:autoSpaceDN/>
              <w:adjustRightInd/>
              <w:jc w:val="right"/>
              <w:rPr>
                <w:rFonts w:eastAsia="SimSun"/>
                <w:lang w:eastAsia="zh-CN"/>
              </w:rPr>
            </w:pPr>
            <w:r w:rsidRPr="00701670">
              <w:rPr>
                <w:rFonts w:eastAsia="SimSun"/>
                <w:lang w:eastAsia="zh-CN"/>
              </w:rPr>
              <w:t>4,980</w:t>
            </w:r>
          </w:p>
        </w:tc>
        <w:tc>
          <w:tcPr>
            <w:tcW w:w="1453" w:type="dxa"/>
          </w:tcPr>
          <w:p w:rsidR="00E00948" w:rsidRPr="00701670" w:rsidP="00E00948" w14:paraId="7CB36D53" w14:textId="77777777">
            <w:pPr>
              <w:widowControl/>
              <w:suppressAutoHyphens/>
              <w:autoSpaceDE/>
              <w:autoSpaceDN/>
              <w:adjustRightInd/>
              <w:jc w:val="right"/>
              <w:rPr>
                <w:rFonts w:eastAsia="SimSun"/>
                <w:lang w:eastAsia="ar-SA"/>
              </w:rPr>
            </w:pPr>
            <w:r w:rsidRPr="00701670">
              <w:rPr>
                <w:rFonts w:eastAsia="SimSun"/>
                <w:lang w:eastAsia="ar-SA"/>
              </w:rPr>
              <w:t>$19.86**</w:t>
            </w:r>
          </w:p>
        </w:tc>
        <w:tc>
          <w:tcPr>
            <w:tcW w:w="1695" w:type="dxa"/>
            <w:shd w:val="clear" w:color="auto" w:fill="auto"/>
          </w:tcPr>
          <w:p w:rsidR="00E00948" w:rsidRPr="00701670" w:rsidP="00E00948" w14:paraId="0A760709" w14:textId="77777777">
            <w:pPr>
              <w:widowControl/>
              <w:suppressAutoHyphens/>
              <w:autoSpaceDE/>
              <w:autoSpaceDN/>
              <w:adjustRightInd/>
              <w:jc w:val="right"/>
              <w:rPr>
                <w:rFonts w:eastAsia="SimSun"/>
                <w:lang w:eastAsia="ar-SA"/>
              </w:rPr>
            </w:pPr>
            <w:r w:rsidRPr="00701670">
              <w:rPr>
                <w:rFonts w:eastAsia="SimSun"/>
                <w:lang w:eastAsia="ar-SA"/>
              </w:rPr>
              <w:t>$98,903***</w:t>
            </w:r>
          </w:p>
        </w:tc>
      </w:tr>
      <w:tr w14:paraId="23DE14E5" w14:textId="77777777" w:rsidTr="00E00948">
        <w:tblPrEx>
          <w:tblW w:w="11785" w:type="dxa"/>
          <w:tblLayout w:type="fixed"/>
          <w:tblLook w:val="01E0"/>
        </w:tblPrEx>
        <w:trPr>
          <w:trHeight w:val="119"/>
        </w:trPr>
        <w:tc>
          <w:tcPr>
            <w:tcW w:w="1895" w:type="dxa"/>
            <w:shd w:val="clear" w:color="auto" w:fill="auto"/>
          </w:tcPr>
          <w:p w:rsidR="00E00948" w:rsidRPr="00701670" w:rsidP="00E00948" w14:paraId="18C841B7" w14:textId="77777777">
            <w:pPr>
              <w:widowControl/>
              <w:suppressAutoHyphens/>
              <w:autoSpaceDE/>
              <w:autoSpaceDN/>
              <w:adjustRightInd/>
              <w:rPr>
                <w:rFonts w:eastAsia="SimSun"/>
                <w:lang w:eastAsia="zh-CN"/>
              </w:rPr>
            </w:pPr>
            <w:r w:rsidRPr="00701670">
              <w:rPr>
                <w:rFonts w:eastAsia="SimSun"/>
                <w:lang w:eastAsia="zh-CN"/>
              </w:rPr>
              <w:t>SSITWR</w:t>
            </w:r>
          </w:p>
        </w:tc>
        <w:tc>
          <w:tcPr>
            <w:tcW w:w="1530" w:type="dxa"/>
            <w:shd w:val="clear" w:color="auto" w:fill="auto"/>
          </w:tcPr>
          <w:p w:rsidR="00E00948" w:rsidRPr="00701670" w:rsidP="00E00948" w14:paraId="558DCC3E" w14:textId="77777777">
            <w:pPr>
              <w:widowControl/>
              <w:suppressAutoHyphens/>
              <w:autoSpaceDE/>
              <w:autoSpaceDN/>
              <w:adjustRightInd/>
              <w:jc w:val="right"/>
              <w:rPr>
                <w:rFonts w:eastAsia="SimSun"/>
                <w:lang w:eastAsia="zh-CN"/>
              </w:rPr>
            </w:pPr>
            <w:r w:rsidRPr="00701670">
              <w:rPr>
                <w:rFonts w:eastAsia="SimSun"/>
                <w:lang w:eastAsia="zh-CN"/>
              </w:rPr>
              <w:t>16,341</w:t>
            </w:r>
          </w:p>
        </w:tc>
        <w:tc>
          <w:tcPr>
            <w:tcW w:w="1350" w:type="dxa"/>
            <w:shd w:val="clear" w:color="auto" w:fill="auto"/>
          </w:tcPr>
          <w:p w:rsidR="00E00948" w:rsidRPr="00701670" w:rsidP="00E00948" w14:paraId="3BE13A4B" w14:textId="77777777">
            <w:pPr>
              <w:widowControl/>
              <w:suppressAutoHyphens/>
              <w:autoSpaceDE/>
              <w:autoSpaceDN/>
              <w:adjustRightInd/>
              <w:jc w:val="right"/>
              <w:rPr>
                <w:rFonts w:eastAsia="SimSun"/>
                <w:lang w:eastAsia="zh-CN"/>
              </w:rPr>
            </w:pPr>
            <w:r w:rsidRPr="00701670">
              <w:rPr>
                <w:rFonts w:eastAsia="SimSun"/>
                <w:lang w:eastAsia="zh-CN"/>
              </w:rPr>
              <w:t>12</w:t>
            </w:r>
          </w:p>
        </w:tc>
        <w:tc>
          <w:tcPr>
            <w:tcW w:w="1342" w:type="dxa"/>
          </w:tcPr>
          <w:p w:rsidR="00E00948" w:rsidRPr="00701670" w:rsidP="00E00948" w14:paraId="4A862BEF" w14:textId="77777777">
            <w:pPr>
              <w:widowControl/>
              <w:suppressAutoHyphens/>
              <w:autoSpaceDE/>
              <w:autoSpaceDN/>
              <w:adjustRightInd/>
              <w:jc w:val="right"/>
              <w:rPr>
                <w:rFonts w:eastAsia="SimSun"/>
                <w:lang w:eastAsia="zh-CN"/>
              </w:rPr>
            </w:pPr>
            <w:r w:rsidRPr="00701670">
              <w:rPr>
                <w:rFonts w:eastAsia="SimSun"/>
                <w:lang w:eastAsia="zh-CN"/>
              </w:rPr>
              <w:t>196,092</w:t>
            </w:r>
          </w:p>
        </w:tc>
        <w:tc>
          <w:tcPr>
            <w:tcW w:w="1260" w:type="dxa"/>
            <w:shd w:val="clear" w:color="auto" w:fill="auto"/>
          </w:tcPr>
          <w:p w:rsidR="00E00948" w:rsidRPr="00701670" w:rsidP="00E00948" w14:paraId="18503DC1" w14:textId="77777777">
            <w:pPr>
              <w:widowControl/>
              <w:suppressAutoHyphens/>
              <w:autoSpaceDE/>
              <w:autoSpaceDN/>
              <w:adjustRightInd/>
              <w:jc w:val="right"/>
              <w:rPr>
                <w:rFonts w:eastAsia="SimSun"/>
                <w:lang w:eastAsia="zh-CN"/>
              </w:rPr>
            </w:pPr>
            <w:r w:rsidRPr="00701670">
              <w:rPr>
                <w:rFonts w:eastAsia="SimSun"/>
                <w:lang w:eastAsia="zh-CN"/>
              </w:rPr>
              <w:t>5</w:t>
            </w:r>
          </w:p>
        </w:tc>
        <w:tc>
          <w:tcPr>
            <w:tcW w:w="1260" w:type="dxa"/>
          </w:tcPr>
          <w:p w:rsidR="00E00948" w:rsidRPr="00701670" w:rsidP="00E00948" w14:paraId="595DC4FE" w14:textId="77777777">
            <w:pPr>
              <w:widowControl/>
              <w:suppressAutoHyphens/>
              <w:autoSpaceDE/>
              <w:autoSpaceDN/>
              <w:adjustRightInd/>
              <w:jc w:val="right"/>
              <w:rPr>
                <w:rFonts w:eastAsia="SimSun"/>
                <w:lang w:eastAsia="zh-CN"/>
              </w:rPr>
            </w:pPr>
            <w:r w:rsidRPr="00701670">
              <w:rPr>
                <w:rFonts w:eastAsia="SimSun"/>
                <w:lang w:eastAsia="zh-CN"/>
              </w:rPr>
              <w:t>16,341</w:t>
            </w:r>
          </w:p>
        </w:tc>
        <w:tc>
          <w:tcPr>
            <w:tcW w:w="1453" w:type="dxa"/>
          </w:tcPr>
          <w:p w:rsidR="00E00948" w:rsidRPr="00701670" w:rsidP="00E00948" w14:paraId="7D5B20BB" w14:textId="77777777">
            <w:pPr>
              <w:widowControl/>
              <w:suppressAutoHyphens/>
              <w:autoSpaceDE/>
              <w:autoSpaceDN/>
              <w:adjustRightInd/>
              <w:jc w:val="right"/>
              <w:rPr>
                <w:rFonts w:eastAsia="SimSun"/>
                <w:lang w:eastAsia="ar-SA"/>
              </w:rPr>
            </w:pPr>
            <w:r w:rsidRPr="00701670">
              <w:rPr>
                <w:rFonts w:eastAsia="SimSun"/>
                <w:lang w:eastAsia="ar-SA"/>
              </w:rPr>
              <w:t>$19.86**</w:t>
            </w:r>
          </w:p>
        </w:tc>
        <w:tc>
          <w:tcPr>
            <w:tcW w:w="1695" w:type="dxa"/>
            <w:shd w:val="clear" w:color="auto" w:fill="auto"/>
          </w:tcPr>
          <w:p w:rsidR="00E00948" w:rsidRPr="00701670" w:rsidP="00E00948" w14:paraId="2C03ABAF" w14:textId="77777777">
            <w:pPr>
              <w:widowControl/>
              <w:suppressAutoHyphens/>
              <w:autoSpaceDE/>
              <w:autoSpaceDN/>
              <w:adjustRightInd/>
              <w:jc w:val="right"/>
              <w:rPr>
                <w:rFonts w:eastAsia="SimSun"/>
                <w:lang w:eastAsia="ar-SA"/>
              </w:rPr>
            </w:pPr>
            <w:r w:rsidRPr="00701670">
              <w:rPr>
                <w:rFonts w:eastAsia="SimSun"/>
                <w:lang w:eastAsia="ar-SA"/>
              </w:rPr>
              <w:t>$324,532***</w:t>
            </w:r>
          </w:p>
        </w:tc>
      </w:tr>
      <w:tr w14:paraId="222ED0F9" w14:textId="77777777" w:rsidTr="00E00948">
        <w:tblPrEx>
          <w:tblW w:w="11785" w:type="dxa"/>
          <w:tblLayout w:type="fixed"/>
          <w:tblLook w:val="01E0"/>
        </w:tblPrEx>
        <w:trPr>
          <w:trHeight w:val="119"/>
        </w:trPr>
        <w:tc>
          <w:tcPr>
            <w:tcW w:w="1895" w:type="dxa"/>
            <w:shd w:val="clear" w:color="auto" w:fill="auto"/>
          </w:tcPr>
          <w:p w:rsidR="00E00948" w:rsidRPr="00701670" w:rsidP="00E00948" w14:paraId="19D45123" w14:textId="77777777">
            <w:pPr>
              <w:widowControl/>
              <w:suppressAutoHyphens/>
              <w:autoSpaceDE/>
              <w:autoSpaceDN/>
              <w:adjustRightInd/>
              <w:rPr>
                <w:rFonts w:eastAsia="SimSun"/>
                <w:lang w:eastAsia="zh-CN"/>
              </w:rPr>
            </w:pPr>
            <w:r w:rsidRPr="00701670">
              <w:rPr>
                <w:rFonts w:eastAsia="SimSun"/>
                <w:lang w:eastAsia="zh-CN"/>
              </w:rPr>
              <w:t>SSAMWR</w:t>
            </w:r>
          </w:p>
        </w:tc>
        <w:tc>
          <w:tcPr>
            <w:tcW w:w="1530" w:type="dxa"/>
            <w:shd w:val="clear" w:color="auto" w:fill="auto"/>
          </w:tcPr>
          <w:p w:rsidR="00E00948" w:rsidRPr="00701670" w:rsidP="00E00948" w14:paraId="01396B2F" w14:textId="77777777">
            <w:pPr>
              <w:widowControl/>
              <w:suppressAutoHyphens/>
              <w:autoSpaceDE/>
              <w:autoSpaceDN/>
              <w:adjustRightInd/>
              <w:jc w:val="right"/>
              <w:rPr>
                <w:rFonts w:eastAsia="SimSun"/>
                <w:lang w:eastAsia="zh-CN"/>
              </w:rPr>
            </w:pPr>
            <w:r w:rsidRPr="00701670">
              <w:rPr>
                <w:rFonts w:eastAsia="SimSun"/>
                <w:lang w:eastAsia="zh-CN"/>
              </w:rPr>
              <w:t>88,382</w:t>
            </w:r>
          </w:p>
        </w:tc>
        <w:tc>
          <w:tcPr>
            <w:tcW w:w="1350" w:type="dxa"/>
            <w:shd w:val="clear" w:color="auto" w:fill="auto"/>
          </w:tcPr>
          <w:p w:rsidR="00E00948" w:rsidRPr="00701670" w:rsidP="00E00948" w14:paraId="12D197C9" w14:textId="77777777">
            <w:pPr>
              <w:widowControl/>
              <w:suppressAutoHyphens/>
              <w:autoSpaceDE/>
              <w:autoSpaceDN/>
              <w:adjustRightInd/>
              <w:jc w:val="right"/>
              <w:rPr>
                <w:rFonts w:eastAsia="SimSun"/>
                <w:lang w:eastAsia="zh-CN"/>
              </w:rPr>
            </w:pPr>
            <w:r w:rsidRPr="00701670">
              <w:rPr>
                <w:rFonts w:eastAsia="SimSun"/>
                <w:lang w:eastAsia="zh-CN"/>
              </w:rPr>
              <w:t>12</w:t>
            </w:r>
          </w:p>
        </w:tc>
        <w:tc>
          <w:tcPr>
            <w:tcW w:w="1342" w:type="dxa"/>
          </w:tcPr>
          <w:p w:rsidR="00E00948" w:rsidRPr="00701670" w:rsidP="00E00948" w14:paraId="0DB8A5DB" w14:textId="77777777">
            <w:pPr>
              <w:widowControl/>
              <w:suppressAutoHyphens/>
              <w:autoSpaceDE/>
              <w:autoSpaceDN/>
              <w:adjustRightInd/>
              <w:jc w:val="right"/>
              <w:rPr>
                <w:rFonts w:eastAsia="SimSun"/>
                <w:lang w:eastAsia="zh-CN"/>
              </w:rPr>
            </w:pPr>
            <w:r w:rsidRPr="00701670">
              <w:rPr>
                <w:rFonts w:eastAsia="SimSun"/>
                <w:lang w:eastAsia="zh-CN"/>
              </w:rPr>
              <w:t>1,060,584</w:t>
            </w:r>
          </w:p>
        </w:tc>
        <w:tc>
          <w:tcPr>
            <w:tcW w:w="1260" w:type="dxa"/>
            <w:shd w:val="clear" w:color="auto" w:fill="auto"/>
          </w:tcPr>
          <w:p w:rsidR="00E00948" w:rsidRPr="00701670" w:rsidP="00E00948" w14:paraId="7FBF8B7F" w14:textId="77777777">
            <w:pPr>
              <w:widowControl/>
              <w:suppressAutoHyphens/>
              <w:autoSpaceDE/>
              <w:autoSpaceDN/>
              <w:adjustRightInd/>
              <w:jc w:val="right"/>
              <w:rPr>
                <w:rFonts w:eastAsia="SimSun"/>
                <w:lang w:eastAsia="zh-CN"/>
              </w:rPr>
            </w:pPr>
            <w:r w:rsidRPr="00701670">
              <w:rPr>
                <w:rFonts w:eastAsia="SimSun"/>
                <w:lang w:eastAsia="zh-CN"/>
              </w:rPr>
              <w:t>6</w:t>
            </w:r>
          </w:p>
        </w:tc>
        <w:tc>
          <w:tcPr>
            <w:tcW w:w="1260" w:type="dxa"/>
          </w:tcPr>
          <w:p w:rsidR="00E00948" w:rsidRPr="00701670" w:rsidP="00E00948" w14:paraId="725793E3" w14:textId="77777777">
            <w:pPr>
              <w:widowControl/>
              <w:suppressAutoHyphens/>
              <w:autoSpaceDE/>
              <w:autoSpaceDN/>
              <w:adjustRightInd/>
              <w:jc w:val="right"/>
              <w:rPr>
                <w:rFonts w:eastAsia="SimSun"/>
                <w:lang w:eastAsia="zh-CN"/>
              </w:rPr>
            </w:pPr>
            <w:r w:rsidRPr="00701670">
              <w:rPr>
                <w:rFonts w:eastAsia="SimSun"/>
                <w:lang w:eastAsia="zh-CN"/>
              </w:rPr>
              <w:t>106,058</w:t>
            </w:r>
          </w:p>
        </w:tc>
        <w:tc>
          <w:tcPr>
            <w:tcW w:w="1453" w:type="dxa"/>
          </w:tcPr>
          <w:p w:rsidR="00E00948" w:rsidRPr="00701670" w:rsidP="00E00948" w14:paraId="24D160BB" w14:textId="77777777">
            <w:pPr>
              <w:widowControl/>
              <w:suppressAutoHyphens/>
              <w:autoSpaceDE/>
              <w:autoSpaceDN/>
              <w:adjustRightInd/>
              <w:jc w:val="right"/>
              <w:rPr>
                <w:rFonts w:eastAsia="SimSun"/>
                <w:lang w:eastAsia="ar-SA"/>
              </w:rPr>
            </w:pPr>
            <w:r w:rsidRPr="00701670">
              <w:rPr>
                <w:rFonts w:eastAsia="SimSun"/>
                <w:lang w:eastAsia="ar-SA"/>
              </w:rPr>
              <w:t>$19.86**</w:t>
            </w:r>
          </w:p>
        </w:tc>
        <w:tc>
          <w:tcPr>
            <w:tcW w:w="1695" w:type="dxa"/>
            <w:shd w:val="clear" w:color="auto" w:fill="auto"/>
          </w:tcPr>
          <w:p w:rsidR="00E00948" w:rsidRPr="00701670" w:rsidP="00E00948" w14:paraId="0F78A3C1" w14:textId="77777777">
            <w:pPr>
              <w:widowControl/>
              <w:suppressAutoHyphens/>
              <w:autoSpaceDE/>
              <w:autoSpaceDN/>
              <w:adjustRightInd/>
              <w:jc w:val="right"/>
              <w:rPr>
                <w:rFonts w:eastAsia="SimSun"/>
                <w:lang w:eastAsia="ar-SA"/>
              </w:rPr>
            </w:pPr>
            <w:r w:rsidRPr="00701670">
              <w:rPr>
                <w:rFonts w:eastAsia="SimSun"/>
                <w:lang w:eastAsia="ar-SA"/>
              </w:rPr>
              <w:t>$2,106,312***</w:t>
            </w:r>
          </w:p>
        </w:tc>
      </w:tr>
      <w:tr w14:paraId="43169C02" w14:textId="77777777" w:rsidTr="00E00948">
        <w:tblPrEx>
          <w:tblW w:w="11785" w:type="dxa"/>
          <w:tblLayout w:type="fixed"/>
          <w:tblLook w:val="01E0"/>
        </w:tblPrEx>
        <w:trPr>
          <w:trHeight w:val="119"/>
        </w:trPr>
        <w:tc>
          <w:tcPr>
            <w:tcW w:w="1895" w:type="dxa"/>
            <w:shd w:val="clear" w:color="auto" w:fill="auto"/>
          </w:tcPr>
          <w:p w:rsidR="00E00948" w:rsidRPr="00701670" w:rsidP="00E00948" w14:paraId="79139A39" w14:textId="77777777">
            <w:pPr>
              <w:widowControl/>
              <w:suppressAutoHyphens/>
              <w:autoSpaceDE/>
              <w:autoSpaceDN/>
              <w:adjustRightInd/>
              <w:rPr>
                <w:rFonts w:eastAsia="SimSun"/>
                <w:b/>
                <w:lang w:eastAsia="zh-CN"/>
              </w:rPr>
            </w:pPr>
            <w:r w:rsidRPr="00701670">
              <w:rPr>
                <w:rFonts w:eastAsia="SimSun"/>
                <w:b/>
                <w:lang w:eastAsia="zh-CN"/>
              </w:rPr>
              <w:t>Totals</w:t>
            </w:r>
          </w:p>
        </w:tc>
        <w:tc>
          <w:tcPr>
            <w:tcW w:w="1530" w:type="dxa"/>
          </w:tcPr>
          <w:p w:rsidR="00E00948" w:rsidRPr="00701670" w:rsidP="00E00948" w14:paraId="00107EA3" w14:textId="77777777">
            <w:pPr>
              <w:widowControl/>
              <w:suppressAutoHyphens/>
              <w:autoSpaceDE/>
              <w:autoSpaceDN/>
              <w:adjustRightInd/>
              <w:jc w:val="right"/>
              <w:rPr>
                <w:rFonts w:eastAsia="SimSun"/>
                <w:b/>
                <w:lang w:eastAsia="zh-CN"/>
              </w:rPr>
            </w:pPr>
            <w:r w:rsidRPr="00701670">
              <w:rPr>
                <w:rFonts w:eastAsia="SimSun"/>
                <w:b/>
                <w:lang w:eastAsia="zh-CN"/>
              </w:rPr>
              <w:t>216,560</w:t>
            </w:r>
          </w:p>
        </w:tc>
        <w:tc>
          <w:tcPr>
            <w:tcW w:w="1350" w:type="dxa"/>
          </w:tcPr>
          <w:p w:rsidR="00E00948" w:rsidRPr="00701670" w:rsidP="00E00948" w14:paraId="13D6E57F" w14:textId="77777777">
            <w:pPr>
              <w:widowControl/>
              <w:suppressAutoHyphens/>
              <w:autoSpaceDE/>
              <w:autoSpaceDN/>
              <w:adjustRightInd/>
              <w:jc w:val="right"/>
              <w:rPr>
                <w:rFonts w:eastAsia="SimSun"/>
                <w:b/>
                <w:lang w:eastAsia="zh-CN"/>
              </w:rPr>
            </w:pPr>
          </w:p>
        </w:tc>
        <w:tc>
          <w:tcPr>
            <w:tcW w:w="1342" w:type="dxa"/>
          </w:tcPr>
          <w:p w:rsidR="00E00948" w:rsidRPr="00701670" w:rsidP="00E00948" w14:paraId="362EE80B" w14:textId="77777777">
            <w:pPr>
              <w:widowControl/>
              <w:suppressAutoHyphens/>
              <w:autoSpaceDE/>
              <w:autoSpaceDN/>
              <w:adjustRightInd/>
              <w:jc w:val="right"/>
              <w:rPr>
                <w:rFonts w:eastAsia="SimSun"/>
                <w:b/>
                <w:lang w:eastAsia="zh-CN"/>
              </w:rPr>
            </w:pPr>
            <w:r w:rsidRPr="00701670">
              <w:rPr>
                <w:rFonts w:eastAsia="SimSun"/>
                <w:b/>
                <w:lang w:eastAsia="zh-CN"/>
              </w:rPr>
              <w:t>1,407,640</w:t>
            </w:r>
          </w:p>
        </w:tc>
        <w:tc>
          <w:tcPr>
            <w:tcW w:w="1260" w:type="dxa"/>
          </w:tcPr>
          <w:p w:rsidR="00E00948" w:rsidRPr="00701670" w:rsidP="00E00948" w14:paraId="4088CA40" w14:textId="77777777">
            <w:pPr>
              <w:widowControl/>
              <w:suppressAutoHyphens/>
              <w:autoSpaceDE/>
              <w:autoSpaceDN/>
              <w:adjustRightInd/>
              <w:jc w:val="right"/>
              <w:rPr>
                <w:rFonts w:eastAsia="SimSun"/>
                <w:b/>
                <w:lang w:eastAsia="zh-CN"/>
              </w:rPr>
            </w:pPr>
          </w:p>
        </w:tc>
        <w:tc>
          <w:tcPr>
            <w:tcW w:w="1260" w:type="dxa"/>
          </w:tcPr>
          <w:p w:rsidR="00E00948" w:rsidRPr="00701670" w:rsidP="00E00948" w14:paraId="5AC3E239" w14:textId="77777777">
            <w:pPr>
              <w:widowControl/>
              <w:suppressAutoHyphens/>
              <w:autoSpaceDE/>
              <w:autoSpaceDN/>
              <w:adjustRightInd/>
              <w:jc w:val="right"/>
              <w:rPr>
                <w:rFonts w:eastAsia="SimSun"/>
                <w:b/>
                <w:lang w:eastAsia="zh-CN"/>
              </w:rPr>
            </w:pPr>
            <w:bookmarkStart w:id="0" w:name="_Hlk105498934"/>
            <w:r w:rsidRPr="00701670">
              <w:rPr>
                <w:rFonts w:eastAsia="SimSun"/>
                <w:b/>
                <w:lang w:eastAsia="zh-CN"/>
              </w:rPr>
              <w:t>190,54</w:t>
            </w:r>
            <w:bookmarkEnd w:id="0"/>
            <w:r w:rsidRPr="00701670">
              <w:rPr>
                <w:rFonts w:eastAsia="SimSun"/>
                <w:b/>
                <w:lang w:eastAsia="zh-CN"/>
              </w:rPr>
              <w:t>2</w:t>
            </w:r>
          </w:p>
        </w:tc>
        <w:tc>
          <w:tcPr>
            <w:tcW w:w="1453" w:type="dxa"/>
          </w:tcPr>
          <w:p w:rsidR="00E00948" w:rsidRPr="00701670" w:rsidP="00E00948" w14:paraId="27CA90E8" w14:textId="77777777">
            <w:pPr>
              <w:widowControl/>
              <w:suppressAutoHyphens/>
              <w:autoSpaceDE/>
              <w:autoSpaceDN/>
              <w:adjustRightInd/>
              <w:jc w:val="right"/>
              <w:rPr>
                <w:rFonts w:eastAsia="SimSun"/>
                <w:b/>
                <w:lang w:eastAsia="ar-SA"/>
              </w:rPr>
            </w:pPr>
          </w:p>
        </w:tc>
        <w:tc>
          <w:tcPr>
            <w:tcW w:w="1695" w:type="dxa"/>
            <w:shd w:val="clear" w:color="auto" w:fill="auto"/>
          </w:tcPr>
          <w:p w:rsidR="00E00948" w:rsidRPr="00701670" w:rsidP="00E00948" w14:paraId="2125D2D9" w14:textId="77777777">
            <w:pPr>
              <w:widowControl/>
              <w:suppressAutoHyphens/>
              <w:autoSpaceDE/>
              <w:autoSpaceDN/>
              <w:adjustRightInd/>
              <w:jc w:val="right"/>
              <w:rPr>
                <w:rFonts w:eastAsia="SimSun"/>
                <w:b/>
                <w:lang w:eastAsia="ar-SA"/>
              </w:rPr>
            </w:pPr>
            <w:r w:rsidRPr="00701670">
              <w:rPr>
                <w:rFonts w:eastAsia="SimSun"/>
                <w:b/>
                <w:lang w:eastAsia="ar-SA"/>
              </w:rPr>
              <w:t>$3,784,164***</w:t>
            </w:r>
          </w:p>
        </w:tc>
      </w:tr>
    </w:tbl>
    <w:p w:rsidR="00701670" w:rsidP="00701670" w14:paraId="45C1F2A5" w14:textId="16520FB5">
      <w:pPr>
        <w:widowControl/>
        <w:ind w:left="1440"/>
        <w:rPr>
          <w:rFonts w:eastAsia="SimSun"/>
        </w:rPr>
      </w:pPr>
      <w:r w:rsidRPr="00701670">
        <w:rPr>
          <w:rFonts w:eastAsia="SimSun"/>
        </w:rPr>
        <w:t xml:space="preserve">* SSI respondents are completing training and a modality of collection.  SSA is not able to break down the number of new wage reporters who receive training and longtime wage </w:t>
      </w:r>
      <w:r w:rsidRPr="00701670">
        <w:rPr>
          <w:rFonts w:eastAsia="SimSun"/>
        </w:rPr>
        <w:t xml:space="preserve">reporters who did not receive training; therefore, the actual number may be less than the estimate we provided.  SSA collects management information data based on the number of transactions; </w:t>
      </w:r>
      <w:r>
        <w:rPr>
          <w:rFonts w:eastAsia="SimSun"/>
        </w:rPr>
        <w:t xml:space="preserve">we extrapolated </w:t>
      </w:r>
      <w:r w:rsidRPr="00701670">
        <w:rPr>
          <w:rFonts w:eastAsia="SimSun"/>
        </w:rPr>
        <w:t xml:space="preserve">the number of respondents </w:t>
      </w:r>
      <w:r w:rsidRPr="00701670">
        <w:rPr>
          <w:rFonts w:eastAsia="SimSun"/>
        </w:rPr>
        <w:t>from that number</w:t>
      </w:r>
      <w:r w:rsidRPr="00701670">
        <w:rPr>
          <w:rFonts w:eastAsia="SimSun"/>
        </w:rPr>
        <w:t>.  We do not collect MI on unique reporters.</w:t>
      </w:r>
    </w:p>
    <w:p w:rsidR="00701670" w:rsidRPr="00701670" w:rsidP="00701670" w14:paraId="6ED86F69" w14:textId="77777777">
      <w:pPr>
        <w:widowControl/>
        <w:ind w:left="1440"/>
        <w:rPr>
          <w:rFonts w:eastAsia="SimSun"/>
        </w:rPr>
      </w:pPr>
    </w:p>
    <w:p w:rsidR="00701670" w:rsidP="00701670" w14:paraId="3C86704B" w14:textId="0036FE31">
      <w:pPr>
        <w:suppressAutoHyphens/>
        <w:autoSpaceDE/>
        <w:autoSpaceDN/>
        <w:adjustRightInd/>
        <w:ind w:left="1440"/>
        <w:rPr>
          <w:lang w:eastAsia="ar-SA"/>
        </w:rPr>
      </w:pPr>
      <w:r w:rsidRPr="00701670">
        <w:rPr>
          <w:rFonts w:eastAsia="SimSun"/>
          <w:lang w:eastAsia="ar-SA"/>
        </w:rPr>
        <w:t>** We based this figure by averaging both the average DI payments based on SSA's current FY 2022 data (</w:t>
      </w:r>
      <w:hyperlink r:id="rId5" w:history="1">
        <w:r w:rsidRPr="00701670">
          <w:rPr>
            <w:rFonts w:eastAsia="SimSun"/>
            <w:snapToGrid w:val="0"/>
            <w:color w:val="0000FF"/>
            <w:u w:val="single"/>
            <w:lang w:eastAsia="ar-SA"/>
          </w:rPr>
          <w:t>https://www.ssa.gov/legislation/2022facts</w:t>
        </w:r>
        <w:r w:rsidRPr="00701670">
          <w:rPr>
            <w:rFonts w:eastAsia="SimSun"/>
            <w:snapToGrid w:val="0"/>
            <w:color w:val="0000FF"/>
            <w:u w:val="single"/>
            <w:lang w:eastAsia="ar-SA"/>
          </w:rPr>
          <w:t>heet.pdf</w:t>
        </w:r>
      </w:hyperlink>
      <w:r w:rsidRPr="00701670">
        <w:rPr>
          <w:rFonts w:eastAsia="SimSun"/>
          <w:lang w:eastAsia="ar-SA"/>
        </w:rPr>
        <w:t>), and the average U.S. worker’s hourly wages, as reported by Bureau of Labor Statistics data (</w:t>
      </w:r>
      <w:hyperlink r:id="rId6" w:history="1">
        <w:r w:rsidRPr="00701670">
          <w:rPr>
            <w:rFonts w:eastAsia="SimSun"/>
            <w:snapToGrid w:val="0"/>
            <w:color w:val="0000FF"/>
            <w:u w:val="single"/>
            <w:lang w:eastAsia="ar-SA"/>
          </w:rPr>
          <w:t>https://www.bls.gov/oes/current/oes_nat.htm</w:t>
        </w:r>
      </w:hyperlink>
      <w:r w:rsidRPr="00701670">
        <w:rPr>
          <w:rFonts w:eastAsia="SimSun"/>
          <w:lang w:eastAsia="ar-SA"/>
        </w:rPr>
        <w:t>)</w:t>
      </w:r>
      <w:r w:rsidRPr="00701670">
        <w:rPr>
          <w:lang w:eastAsia="ar-SA"/>
        </w:rPr>
        <w:t>.</w:t>
      </w:r>
    </w:p>
    <w:p w:rsidR="00701670" w:rsidRPr="00701670" w:rsidP="00701670" w14:paraId="58C258C5" w14:textId="77777777">
      <w:pPr>
        <w:suppressAutoHyphens/>
        <w:autoSpaceDE/>
        <w:autoSpaceDN/>
        <w:adjustRightInd/>
        <w:ind w:left="1440"/>
        <w:rPr>
          <w:snapToGrid w:val="0"/>
        </w:rPr>
      </w:pPr>
    </w:p>
    <w:p w:rsidR="00701670" w:rsidP="00701670" w14:paraId="427340E8" w14:textId="0C8ECA9C">
      <w:pPr>
        <w:tabs>
          <w:tab w:val="left" w:pos="1440"/>
        </w:tabs>
        <w:ind w:left="1440"/>
      </w:pPr>
      <w:r w:rsidRPr="00701670">
        <w:t>*** This figure does not represent actual cost</w:t>
      </w:r>
      <w:r w:rsidRPr="00701670">
        <w:t xml:space="preserve">s that SSA is imposing on recipients </w:t>
      </w:r>
      <w:r w:rsidRPr="00701670">
        <w:t xml:space="preserve">of Social Security payments to complete this application; rather, these are theoretical opportunity costs for the additional time respondents will spend to complete the application.  </w:t>
      </w:r>
      <w:r w:rsidRPr="00701670">
        <w:rPr>
          <w:b/>
          <w:u w:val="single"/>
        </w:rPr>
        <w:t>There is no actual charge to respond</w:t>
      </w:r>
      <w:r w:rsidRPr="00701670">
        <w:rPr>
          <w:b/>
          <w:u w:val="single"/>
        </w:rPr>
        <w:t>ents to complete the application</w:t>
      </w:r>
      <w:r w:rsidRPr="00701670">
        <w:rPr>
          <w:b/>
          <w:bCs/>
          <w:snapToGrid w:val="0"/>
        </w:rPr>
        <w:t>.</w:t>
      </w:r>
    </w:p>
    <w:p w:rsidR="000616C5" w:rsidP="007F0C22" w14:paraId="7E0FB579" w14:textId="77777777">
      <w:pPr>
        <w:tabs>
          <w:tab w:val="left" w:pos="1440"/>
        </w:tabs>
        <w:ind w:left="1440"/>
      </w:pPr>
    </w:p>
    <w:p w:rsidR="000616C5" w:rsidP="000616C5" w14:paraId="5F39485E" w14:textId="656684EB">
      <w:pPr>
        <w:tabs>
          <w:tab w:val="left" w:pos="1440"/>
        </w:tabs>
        <w:ind w:left="1440"/>
      </w:pPr>
      <w:r w:rsidRPr="00752390">
        <w:rPr>
          <w:rFonts w:eastAsia="Calibri"/>
          <w:color w:val="000000"/>
        </w:rPr>
        <w:t>We base our burden estimates on current management information data, which includes data from actual interviews, as well as from years of conducting this information collection.  Per our management information data, we be</w:t>
      </w:r>
      <w:r w:rsidRPr="00752390">
        <w:rPr>
          <w:rFonts w:eastAsia="Calibri"/>
          <w:color w:val="000000"/>
        </w:rPr>
        <w:t xml:space="preserve">lieve that </w:t>
      </w:r>
      <w:r>
        <w:rPr>
          <w:rFonts w:eastAsia="Calibri"/>
          <w:color w:val="000000"/>
        </w:rPr>
        <w:t xml:space="preserve">the </w:t>
      </w:r>
      <w:r w:rsidRPr="00752390">
        <w:rPr>
          <w:rFonts w:eastAsia="Calibri"/>
          <w:b/>
          <w:bCs/>
          <w:color w:val="000000"/>
        </w:rPr>
        <w:t>3</w:t>
      </w:r>
      <w:r>
        <w:rPr>
          <w:rFonts w:eastAsia="Calibri"/>
          <w:b/>
          <w:bCs/>
          <w:color w:val="000000"/>
        </w:rPr>
        <w:t>5, 7, 5, and 6</w:t>
      </w:r>
      <w:r w:rsidRPr="00752390">
        <w:rPr>
          <w:rFonts w:eastAsia="Calibri"/>
          <w:color w:val="000000"/>
        </w:rPr>
        <w:t xml:space="preserve"> minutes accurately shows the average burden per response for reading the </w:t>
      </w:r>
      <w:r w:rsidRPr="00752390">
        <w:rPr>
          <w:rFonts w:eastAsia="Calibri"/>
        </w:rPr>
        <w:t>instructions, gathering the facts, and answering the questions</w:t>
      </w:r>
      <w:r w:rsidRPr="00752390">
        <w:rPr>
          <w:rFonts w:eastAsia="Calibri"/>
          <w:color w:val="000000"/>
        </w:rPr>
        <w:t>.  Based on our current management information data, the current burden information we pro</w:t>
      </w:r>
      <w:r w:rsidRPr="00752390">
        <w:rPr>
          <w:rFonts w:eastAsia="Calibri"/>
          <w:color w:val="000000"/>
        </w:rPr>
        <w:t xml:space="preserve">vided is accurate.  </w:t>
      </w:r>
      <w:r w:rsidRPr="00752390">
        <w:rPr>
          <w:rFonts w:eastAsia="Calibri"/>
        </w:rPr>
        <w:t xml:space="preserve">The total burden for this collection instrument is </w:t>
      </w:r>
      <w:r>
        <w:rPr>
          <w:b/>
        </w:rPr>
        <w:t>190,542</w:t>
      </w:r>
      <w:r w:rsidRPr="00752390">
        <w:rPr>
          <w:b/>
        </w:rPr>
        <w:t xml:space="preserve"> </w:t>
      </w:r>
      <w:r w:rsidRPr="00752390">
        <w:rPr>
          <w:rFonts w:eastAsia="Calibri"/>
        </w:rPr>
        <w:t xml:space="preserve">burden hours (reflecting SSA management information data), which results in an associated theoretical (not actual) opportunity cost financial burden of </w:t>
      </w:r>
      <w:r w:rsidRPr="00752390">
        <w:rPr>
          <w:rFonts w:eastAsia="Calibri"/>
          <w:b/>
          <w:bCs/>
          <w:color w:val="000000"/>
        </w:rPr>
        <w:t>$</w:t>
      </w:r>
      <w:r>
        <w:rPr>
          <w:rFonts w:eastAsia="Calibri"/>
          <w:b/>
          <w:bCs/>
          <w:color w:val="000000"/>
        </w:rPr>
        <w:t>3,784,164</w:t>
      </w:r>
      <w:r w:rsidRPr="00752390">
        <w:rPr>
          <w:rFonts w:eastAsia="Calibri"/>
        </w:rPr>
        <w:t>.  SSA does not charge respondents to complete our applications</w:t>
      </w:r>
      <w:r w:rsidRPr="007F0C22">
        <w:t>.</w:t>
      </w:r>
    </w:p>
    <w:p w:rsidR="00745F59" w:rsidP="007F0C22" w14:paraId="12E58B6E" w14:textId="77777777">
      <w:pPr>
        <w:tabs>
          <w:tab w:val="left" w:pos="1440"/>
        </w:tabs>
        <w:ind w:left="1440"/>
      </w:pPr>
    </w:p>
    <w:p w:rsidR="005D0E18" w:rsidRPr="00BC7F42" w:rsidP="005D0E18" w14:paraId="1D8775BE" w14:textId="77777777">
      <w:pPr>
        <w:pStyle w:val="TxBrp15"/>
        <w:numPr>
          <w:ilvl w:val="0"/>
          <w:numId w:val="3"/>
        </w:numPr>
        <w:tabs>
          <w:tab w:val="clear" w:pos="538"/>
          <w:tab w:val="left" w:pos="720"/>
          <w:tab w:val="clear" w:pos="1043"/>
          <w:tab w:val="clear" w:pos="1111"/>
          <w:tab w:val="num" w:pos="1440"/>
        </w:tabs>
        <w:spacing w:line="272" w:lineRule="exact"/>
      </w:pPr>
      <w:r w:rsidRPr="00682ADA">
        <w:rPr>
          <w:b/>
        </w:rPr>
        <w:t>Annual</w:t>
      </w:r>
      <w:r w:rsidRPr="00BC7F42">
        <w:t xml:space="preserve"> </w:t>
      </w:r>
      <w:r w:rsidRPr="00682ADA">
        <w:rPr>
          <w:b/>
        </w:rPr>
        <w:t>Cost to the Responden</w:t>
      </w:r>
      <w:r w:rsidRPr="00682ADA">
        <w:rPr>
          <w:b/>
        </w:rPr>
        <w:t>ts (Other)</w:t>
      </w:r>
      <w:r w:rsidRPr="00BC7F42">
        <w:t xml:space="preserve"> </w:t>
      </w:r>
    </w:p>
    <w:p w:rsidR="005D0E18" w:rsidP="005D0E18" w14:paraId="70BCBA3C" w14:textId="77777777">
      <w:pPr>
        <w:pStyle w:val="TxBrp15"/>
        <w:tabs>
          <w:tab w:val="clear" w:pos="538"/>
          <w:tab w:val="left" w:pos="720"/>
          <w:tab w:val="clear" w:pos="1043"/>
        </w:tabs>
        <w:spacing w:line="272" w:lineRule="exact"/>
        <w:ind w:left="1440"/>
      </w:pPr>
      <w:r w:rsidRPr="006D4E13">
        <w:t>This collection does not impose a known cost burden on the respondents</w:t>
      </w:r>
      <w:r w:rsidRPr="003E2696">
        <w:t>.</w:t>
      </w:r>
    </w:p>
    <w:p w:rsidR="005D0E18" w:rsidP="005D0E18" w14:paraId="13418331" w14:textId="77777777">
      <w:pPr>
        <w:pStyle w:val="TxBrp15"/>
        <w:tabs>
          <w:tab w:val="clear" w:pos="538"/>
          <w:tab w:val="left" w:pos="720"/>
          <w:tab w:val="clear" w:pos="1043"/>
        </w:tabs>
        <w:spacing w:line="272" w:lineRule="exact"/>
        <w:ind w:left="1440"/>
      </w:pPr>
    </w:p>
    <w:p w:rsidR="005D0E18" w:rsidRPr="003B2EFC" w:rsidP="005D0E18" w14:paraId="535297C9" w14:textId="77777777">
      <w:pPr>
        <w:pStyle w:val="TxBrp15"/>
        <w:numPr>
          <w:ilvl w:val="0"/>
          <w:numId w:val="3"/>
        </w:numPr>
        <w:tabs>
          <w:tab w:val="clear" w:pos="538"/>
          <w:tab w:val="left" w:pos="720"/>
          <w:tab w:val="clear" w:pos="1043"/>
          <w:tab w:val="clear" w:pos="1111"/>
          <w:tab w:val="num" w:pos="1440"/>
        </w:tabs>
        <w:spacing w:line="272" w:lineRule="exact"/>
        <w:rPr>
          <w:b/>
        </w:rPr>
      </w:pPr>
      <w:r w:rsidRPr="003B2EFC">
        <w:rPr>
          <w:b/>
        </w:rPr>
        <w:t>Annual Cost To Federal Government</w:t>
      </w:r>
    </w:p>
    <w:p w:rsidR="002409B4" w:rsidRPr="002409B4" w:rsidP="000415F0" w14:paraId="49C11085" w14:textId="5B6AD165">
      <w:pPr>
        <w:pStyle w:val="ListParagraph"/>
        <w:ind w:left="1440"/>
        <w:rPr>
          <w:color w:val="000000"/>
        </w:rPr>
      </w:pPr>
      <w:r w:rsidRPr="002409B4">
        <w:rPr>
          <w:color w:val="000000"/>
        </w:rPr>
        <w:t xml:space="preserve">The annual cost to the Federal Government is approximately </w:t>
      </w:r>
      <w:r w:rsidRPr="002409B4">
        <w:rPr>
          <w:b/>
          <w:bCs/>
          <w:color w:val="000000"/>
        </w:rPr>
        <w:t>$5,029,750</w:t>
      </w:r>
      <w:r>
        <w:rPr>
          <w:color w:val="000000"/>
        </w:rPr>
        <w:t>.</w:t>
      </w:r>
      <w:r w:rsidR="00BC2642">
        <w:rPr>
          <w:color w:val="000000"/>
        </w:rPr>
        <w:t xml:space="preserve"> </w:t>
      </w:r>
      <w:r w:rsidRPr="002409B4">
        <w:rPr>
          <w:color w:val="000000"/>
        </w:rPr>
        <w:t xml:space="preserve"> </w:t>
      </w:r>
      <w:r w:rsidRPr="002409B4">
        <w:rPr>
          <w:color w:val="000000"/>
        </w:rPr>
        <w:t>This estimate accounts for costs from the following areas:</w:t>
      </w:r>
    </w:p>
    <w:p w:rsidR="005D0E18" w:rsidP="005D0E18" w14:paraId="6AFB78ED" w14:textId="77777777">
      <w:pPr>
        <w:pStyle w:val="TxBrp15"/>
        <w:tabs>
          <w:tab w:val="clear" w:pos="538"/>
          <w:tab w:val="left" w:pos="720"/>
          <w:tab w:val="clear" w:pos="1043"/>
        </w:tabs>
        <w:spacing w:line="272" w:lineRule="exact"/>
        <w:ind w:left="1440"/>
      </w:pP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2222"/>
      </w:tblGrid>
      <w:tr w14:paraId="06487B8F" w14:textId="77777777" w:rsidTr="002563A9">
        <w:tblPrEx>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5D0E18" w:rsidRPr="00003983" w:rsidP="002563A9" w14:paraId="4C5B0299" w14:textId="77777777">
            <w:pPr>
              <w:pStyle w:val="ListParagraph"/>
              <w:ind w:left="0"/>
              <w:rPr>
                <w:b/>
                <w:bCs/>
                <w:color w:val="000000"/>
              </w:rPr>
            </w:pPr>
            <w:r w:rsidRPr="00003983">
              <w:rPr>
                <w:b/>
                <w:bCs/>
                <w:color w:val="000000"/>
              </w:rPr>
              <w:t>Description of Cost Factor</w:t>
            </w:r>
          </w:p>
        </w:tc>
        <w:tc>
          <w:tcPr>
            <w:tcW w:w="3117" w:type="dxa"/>
            <w:shd w:val="clear" w:color="auto" w:fill="auto"/>
          </w:tcPr>
          <w:p w:rsidR="005D0E18" w:rsidRPr="00003983" w:rsidP="002563A9" w14:paraId="5A7F9401" w14:textId="77777777">
            <w:pPr>
              <w:pStyle w:val="ListParagraph"/>
              <w:ind w:left="0"/>
              <w:rPr>
                <w:b/>
                <w:bCs/>
                <w:color w:val="000000"/>
              </w:rPr>
            </w:pPr>
            <w:r w:rsidRPr="00003983">
              <w:rPr>
                <w:b/>
                <w:bCs/>
                <w:color w:val="000000"/>
              </w:rPr>
              <w:t>Methodology for Estimating Cost</w:t>
            </w:r>
          </w:p>
        </w:tc>
        <w:tc>
          <w:tcPr>
            <w:tcW w:w="2222" w:type="dxa"/>
            <w:shd w:val="clear" w:color="auto" w:fill="auto"/>
          </w:tcPr>
          <w:p w:rsidR="005D0E18" w:rsidRPr="00003983" w:rsidP="002563A9" w14:paraId="6B5DBDD5" w14:textId="77777777">
            <w:pPr>
              <w:pStyle w:val="ListParagraph"/>
              <w:ind w:left="0"/>
              <w:rPr>
                <w:b/>
                <w:bCs/>
                <w:color w:val="000000"/>
              </w:rPr>
            </w:pPr>
            <w:r w:rsidRPr="00003983">
              <w:rPr>
                <w:b/>
                <w:bCs/>
                <w:color w:val="000000"/>
              </w:rPr>
              <w:t>Cost in Dollars*</w:t>
            </w:r>
          </w:p>
        </w:tc>
      </w:tr>
      <w:tr w14:paraId="27F0E24D" w14:textId="77777777" w:rsidTr="00BC2642">
        <w:tblPrEx>
          <w:tblW w:w="0" w:type="auto"/>
          <w:tblInd w:w="894" w:type="dxa"/>
          <w:tblLook w:val="04A0"/>
        </w:tblPrEx>
        <w:trPr>
          <w:trHeight w:val="602"/>
        </w:trPr>
        <w:tc>
          <w:tcPr>
            <w:tcW w:w="3116" w:type="dxa"/>
            <w:shd w:val="clear" w:color="auto" w:fill="auto"/>
          </w:tcPr>
          <w:p w:rsidR="005D0E18" w:rsidRPr="00003983" w:rsidP="002563A9" w14:paraId="25B8D513" w14:textId="77777777">
            <w:pPr>
              <w:pStyle w:val="ListParagraph"/>
              <w:ind w:left="0"/>
              <w:rPr>
                <w:color w:val="000000"/>
              </w:rPr>
            </w:pPr>
            <w:r w:rsidRPr="00003983">
              <w:rPr>
                <w:color w:val="000000"/>
              </w:rPr>
              <w:t>Designing and Printing the Form</w:t>
            </w:r>
          </w:p>
        </w:tc>
        <w:tc>
          <w:tcPr>
            <w:tcW w:w="3117" w:type="dxa"/>
            <w:shd w:val="clear" w:color="auto" w:fill="auto"/>
          </w:tcPr>
          <w:p w:rsidR="005D0E18" w:rsidRPr="00003983" w:rsidP="002563A9" w14:paraId="3ED2EF40" w14:textId="77777777">
            <w:pPr>
              <w:pStyle w:val="ListParagraph"/>
              <w:ind w:left="0"/>
              <w:rPr>
                <w:color w:val="000000"/>
              </w:rPr>
            </w:pPr>
            <w:r w:rsidRPr="00003983">
              <w:rPr>
                <w:color w:val="000000"/>
              </w:rPr>
              <w:t>Design Cost + Printing Cost</w:t>
            </w:r>
          </w:p>
        </w:tc>
        <w:tc>
          <w:tcPr>
            <w:tcW w:w="2222" w:type="dxa"/>
            <w:shd w:val="clear" w:color="auto" w:fill="auto"/>
          </w:tcPr>
          <w:p w:rsidR="005D0E18" w:rsidRPr="00003983" w:rsidP="008F7A59" w14:paraId="3D3150AD" w14:textId="37C1CA2C">
            <w:pPr>
              <w:pStyle w:val="ListParagraph"/>
              <w:ind w:left="0"/>
              <w:jc w:val="right"/>
              <w:rPr>
                <w:color w:val="000000"/>
              </w:rPr>
            </w:pPr>
            <w:r>
              <w:rPr>
                <w:color w:val="000000"/>
              </w:rPr>
              <w:t>$0*</w:t>
            </w:r>
          </w:p>
        </w:tc>
      </w:tr>
      <w:tr w14:paraId="53B6CA94" w14:textId="77777777" w:rsidTr="00BC2642">
        <w:tblPrEx>
          <w:tblW w:w="0" w:type="auto"/>
          <w:tblInd w:w="894" w:type="dxa"/>
          <w:tblLook w:val="04A0"/>
        </w:tblPrEx>
        <w:trPr>
          <w:trHeight w:val="557"/>
        </w:trPr>
        <w:tc>
          <w:tcPr>
            <w:tcW w:w="3116" w:type="dxa"/>
            <w:shd w:val="clear" w:color="auto" w:fill="auto"/>
          </w:tcPr>
          <w:p w:rsidR="005D0E18" w:rsidRPr="00003983" w:rsidP="002563A9" w14:paraId="5F267B90" w14:textId="77777777">
            <w:pPr>
              <w:pStyle w:val="ListParagraph"/>
              <w:ind w:left="0"/>
              <w:rPr>
                <w:color w:val="000000"/>
              </w:rPr>
            </w:pPr>
            <w:r w:rsidRPr="00003983">
              <w:rPr>
                <w:color w:val="000000"/>
              </w:rPr>
              <w:t>Distributing, Shipping, and Material Costs for the Form</w:t>
            </w:r>
          </w:p>
        </w:tc>
        <w:tc>
          <w:tcPr>
            <w:tcW w:w="3117" w:type="dxa"/>
            <w:shd w:val="clear" w:color="auto" w:fill="auto"/>
          </w:tcPr>
          <w:p w:rsidR="005D0E18" w:rsidRPr="00003983" w:rsidP="002563A9" w14:paraId="625F2A1D" w14:textId="77777777">
            <w:pPr>
              <w:pStyle w:val="ListParagraph"/>
              <w:ind w:left="0"/>
              <w:rPr>
                <w:color w:val="000000"/>
              </w:rPr>
            </w:pPr>
            <w:r w:rsidRPr="00003983">
              <w:rPr>
                <w:color w:val="000000"/>
              </w:rPr>
              <w:t>Distribution + Shipping + Material Cost</w:t>
            </w:r>
          </w:p>
        </w:tc>
        <w:tc>
          <w:tcPr>
            <w:tcW w:w="2222" w:type="dxa"/>
            <w:shd w:val="clear" w:color="auto" w:fill="auto"/>
          </w:tcPr>
          <w:p w:rsidR="005D0E18" w:rsidRPr="00003983" w:rsidP="008F7A59" w14:paraId="77DF7C77" w14:textId="311879F3">
            <w:pPr>
              <w:pStyle w:val="ListParagraph"/>
              <w:ind w:left="0"/>
              <w:jc w:val="right"/>
              <w:rPr>
                <w:color w:val="000000"/>
              </w:rPr>
            </w:pPr>
            <w:r>
              <w:rPr>
                <w:color w:val="000000"/>
              </w:rPr>
              <w:t>$0*</w:t>
            </w:r>
            <w:r w:rsidRPr="0031261C">
              <w:rPr>
                <w:color w:val="000000"/>
              </w:rPr>
              <w:t xml:space="preserve"> </w:t>
            </w:r>
          </w:p>
        </w:tc>
      </w:tr>
      <w:tr w14:paraId="5F16250A" w14:textId="77777777" w:rsidTr="00BC2642">
        <w:tblPrEx>
          <w:tblW w:w="0" w:type="auto"/>
          <w:tblInd w:w="894" w:type="dxa"/>
          <w:tblLook w:val="04A0"/>
        </w:tblPrEx>
        <w:trPr>
          <w:trHeight w:val="1187"/>
        </w:trPr>
        <w:tc>
          <w:tcPr>
            <w:tcW w:w="3116" w:type="dxa"/>
            <w:shd w:val="clear" w:color="auto" w:fill="auto"/>
          </w:tcPr>
          <w:p w:rsidR="005D0E18" w:rsidRPr="00003983" w:rsidP="002563A9" w14:paraId="26867898" w14:textId="77777777">
            <w:pPr>
              <w:pStyle w:val="ListParagraph"/>
              <w:ind w:left="0"/>
              <w:rPr>
                <w:color w:val="000000"/>
              </w:rPr>
            </w:pPr>
            <w:r w:rsidRPr="00003983">
              <w:rPr>
                <w:color w:val="000000"/>
              </w:rPr>
              <w:t xml:space="preserve">SSA </w:t>
            </w:r>
            <w:r w:rsidRPr="00003983">
              <w:rPr>
                <w:color w:val="000000"/>
              </w:rPr>
              <w:t>Employee (e.g., field office, 800 number, DDS staff) Information Collection and Processing Time</w:t>
            </w:r>
          </w:p>
        </w:tc>
        <w:tc>
          <w:tcPr>
            <w:tcW w:w="3117" w:type="dxa"/>
            <w:shd w:val="clear" w:color="auto" w:fill="auto"/>
          </w:tcPr>
          <w:p w:rsidR="005D0E18" w:rsidRPr="00003983" w:rsidP="002563A9" w14:paraId="0FCD171E" w14:textId="59E751AA">
            <w:pPr>
              <w:pStyle w:val="ListParagraph"/>
              <w:ind w:left="0"/>
              <w:rPr>
                <w:color w:val="000000"/>
              </w:rPr>
            </w:pPr>
            <w:r w:rsidRPr="00003983">
              <w:rPr>
                <w:color w:val="000000"/>
              </w:rPr>
              <w:t>GS-9 employee</w:t>
            </w:r>
            <w:r w:rsidR="002409B4">
              <w:rPr>
                <w:color w:val="000000"/>
              </w:rPr>
              <w:t xml:space="preserve"> administering participant training</w:t>
            </w:r>
          </w:p>
        </w:tc>
        <w:tc>
          <w:tcPr>
            <w:tcW w:w="2222" w:type="dxa"/>
            <w:shd w:val="clear" w:color="auto" w:fill="auto"/>
          </w:tcPr>
          <w:p w:rsidR="005D0E18" w:rsidP="008F7A59" w14:paraId="49FCA0B5" w14:textId="720AF519">
            <w:pPr>
              <w:pStyle w:val="ListParagraph"/>
              <w:ind w:left="0"/>
              <w:jc w:val="right"/>
              <w:rPr>
                <w:color w:val="000000"/>
              </w:rPr>
            </w:pPr>
            <w:r>
              <w:rPr>
                <w:color w:val="000000"/>
              </w:rPr>
              <w:t>$1,616,981</w:t>
            </w:r>
          </w:p>
          <w:p w:rsidR="005D0E18" w:rsidRPr="00003983" w:rsidP="008F7A59" w14:paraId="7BAE0C2D" w14:textId="77777777">
            <w:pPr>
              <w:pStyle w:val="ListParagraph"/>
              <w:ind w:left="0"/>
              <w:jc w:val="right"/>
              <w:rPr>
                <w:color w:val="000000"/>
              </w:rPr>
            </w:pPr>
          </w:p>
        </w:tc>
      </w:tr>
      <w:tr w14:paraId="19768E6B" w14:textId="77777777" w:rsidTr="002563A9">
        <w:tblPrEx>
          <w:tblW w:w="0" w:type="auto"/>
          <w:tblInd w:w="894" w:type="dxa"/>
          <w:tblLook w:val="04A0"/>
        </w:tblPrEx>
        <w:trPr>
          <w:trHeight w:val="848"/>
        </w:trPr>
        <w:tc>
          <w:tcPr>
            <w:tcW w:w="3116" w:type="dxa"/>
            <w:shd w:val="clear" w:color="auto" w:fill="auto"/>
          </w:tcPr>
          <w:p w:rsidR="005D0E18" w:rsidRPr="00003983" w:rsidP="002563A9" w14:paraId="6F97D2DC" w14:textId="77777777">
            <w:pPr>
              <w:pStyle w:val="ListParagraph"/>
              <w:ind w:left="0"/>
              <w:rPr>
                <w:color w:val="000000"/>
              </w:rPr>
            </w:pPr>
            <w:r w:rsidRPr="00003983">
              <w:rPr>
                <w:color w:val="000000"/>
              </w:rPr>
              <w:t>Full-Time Equivalent Costs</w:t>
            </w:r>
          </w:p>
        </w:tc>
        <w:tc>
          <w:tcPr>
            <w:tcW w:w="3117" w:type="dxa"/>
            <w:shd w:val="clear" w:color="auto" w:fill="auto"/>
          </w:tcPr>
          <w:p w:rsidR="005D0E18" w:rsidRPr="00003983" w:rsidP="002563A9" w14:paraId="2E814725" w14:textId="77777777">
            <w:pPr>
              <w:pStyle w:val="ListParagraph"/>
              <w:ind w:left="0"/>
              <w:rPr>
                <w:color w:val="000000"/>
              </w:rPr>
            </w:pPr>
            <w:r w:rsidRPr="00003983">
              <w:rPr>
                <w:color w:val="000000"/>
              </w:rPr>
              <w:t>Out of pocket costs + Other expenses for providing this service</w:t>
            </w:r>
          </w:p>
        </w:tc>
        <w:tc>
          <w:tcPr>
            <w:tcW w:w="2222" w:type="dxa"/>
            <w:shd w:val="clear" w:color="auto" w:fill="auto"/>
          </w:tcPr>
          <w:p w:rsidR="005D0E18" w:rsidRPr="00003983" w:rsidP="008F7A59" w14:paraId="30932EC8" w14:textId="130B22B7">
            <w:pPr>
              <w:pStyle w:val="ListParagraph"/>
              <w:ind w:left="0"/>
              <w:jc w:val="right"/>
              <w:rPr>
                <w:color w:val="000000"/>
              </w:rPr>
            </w:pPr>
            <w:r>
              <w:rPr>
                <w:color w:val="000000"/>
              </w:rPr>
              <w:t>$0</w:t>
            </w:r>
            <w:r w:rsidR="008F7A59">
              <w:rPr>
                <w:color w:val="000000"/>
              </w:rPr>
              <w:t>*</w:t>
            </w:r>
          </w:p>
        </w:tc>
      </w:tr>
      <w:tr w14:paraId="59363C30" w14:textId="77777777" w:rsidTr="00F31579">
        <w:tblPrEx>
          <w:tblW w:w="0" w:type="auto"/>
          <w:tblInd w:w="894" w:type="dxa"/>
          <w:tblLook w:val="04A0"/>
        </w:tblPrEx>
        <w:trPr>
          <w:trHeight w:val="1104"/>
        </w:trPr>
        <w:tc>
          <w:tcPr>
            <w:tcW w:w="3116" w:type="dxa"/>
            <w:shd w:val="clear" w:color="auto" w:fill="auto"/>
          </w:tcPr>
          <w:p w:rsidR="008F7A59" w:rsidRPr="00003983" w:rsidP="002563A9" w14:paraId="74425797" w14:textId="77777777">
            <w:pPr>
              <w:pStyle w:val="ListParagraph"/>
              <w:ind w:left="0"/>
              <w:rPr>
                <w:color w:val="000000"/>
              </w:rPr>
            </w:pPr>
            <w:r w:rsidRPr="00003983">
              <w:rPr>
                <w:color w:val="000000"/>
              </w:rPr>
              <w:t>Systems Development, Updating, and Maintenance</w:t>
            </w:r>
          </w:p>
        </w:tc>
        <w:tc>
          <w:tcPr>
            <w:tcW w:w="3117" w:type="dxa"/>
            <w:shd w:val="clear" w:color="auto" w:fill="auto"/>
          </w:tcPr>
          <w:p w:rsidR="008F7A59" w:rsidRPr="00003983" w:rsidP="002563A9" w14:paraId="302728F4" w14:textId="7AF7BAB6">
            <w:pPr>
              <w:pStyle w:val="ListParagraph"/>
              <w:ind w:left="0"/>
              <w:rPr>
                <w:color w:val="000000"/>
              </w:rPr>
            </w:pPr>
            <w:r w:rsidRPr="00003983">
              <w:rPr>
                <w:color w:val="000000"/>
              </w:rPr>
              <w:t>GS-9 employee x man hours for development, updating, maintenance</w:t>
            </w:r>
          </w:p>
        </w:tc>
        <w:tc>
          <w:tcPr>
            <w:tcW w:w="2222" w:type="dxa"/>
            <w:shd w:val="clear" w:color="auto" w:fill="auto"/>
          </w:tcPr>
          <w:p w:rsidR="008F7A59" w:rsidRPr="00003983" w:rsidP="008F7A59" w14:paraId="5E074D88" w14:textId="65AE5205">
            <w:pPr>
              <w:pStyle w:val="ListParagraph"/>
              <w:ind w:left="0"/>
              <w:jc w:val="right"/>
              <w:rPr>
                <w:color w:val="000000"/>
              </w:rPr>
            </w:pPr>
            <w:r>
              <w:rPr>
                <w:color w:val="000000"/>
              </w:rPr>
              <w:t>$3,084,212</w:t>
            </w:r>
          </w:p>
        </w:tc>
      </w:tr>
      <w:tr w14:paraId="78A1EB32" w14:textId="77777777" w:rsidTr="00BC2642">
        <w:tblPrEx>
          <w:tblW w:w="0" w:type="auto"/>
          <w:tblInd w:w="894" w:type="dxa"/>
          <w:tblLook w:val="04A0"/>
        </w:tblPrEx>
        <w:trPr>
          <w:trHeight w:val="350"/>
        </w:trPr>
        <w:tc>
          <w:tcPr>
            <w:tcW w:w="3116" w:type="dxa"/>
            <w:shd w:val="clear" w:color="auto" w:fill="auto"/>
          </w:tcPr>
          <w:p w:rsidR="008F7A59" w:rsidRPr="00003983" w:rsidP="002563A9" w14:paraId="68794916" w14:textId="77777777">
            <w:pPr>
              <w:pStyle w:val="ListParagraph"/>
              <w:ind w:left="0"/>
              <w:rPr>
                <w:color w:val="000000"/>
              </w:rPr>
            </w:pPr>
            <w:r w:rsidRPr="00003983">
              <w:rPr>
                <w:color w:val="000000"/>
              </w:rPr>
              <w:t>Quantifiable IT Costs</w:t>
            </w:r>
          </w:p>
        </w:tc>
        <w:tc>
          <w:tcPr>
            <w:tcW w:w="3117" w:type="dxa"/>
            <w:shd w:val="clear" w:color="auto" w:fill="auto"/>
          </w:tcPr>
          <w:p w:rsidR="008F7A59" w:rsidRPr="00003983" w:rsidP="002563A9" w14:paraId="0FF5B147" w14:textId="77777777">
            <w:pPr>
              <w:pStyle w:val="ListParagraph"/>
              <w:ind w:left="0"/>
              <w:rPr>
                <w:color w:val="000000"/>
              </w:rPr>
            </w:pPr>
            <w:r w:rsidRPr="00003983">
              <w:rPr>
                <w:color w:val="000000"/>
              </w:rPr>
              <w:t>Any additional IT costs</w:t>
            </w:r>
          </w:p>
        </w:tc>
        <w:tc>
          <w:tcPr>
            <w:tcW w:w="2222" w:type="dxa"/>
            <w:shd w:val="clear" w:color="auto" w:fill="auto"/>
          </w:tcPr>
          <w:p w:rsidR="008F7A59" w:rsidRPr="00003983" w:rsidP="008F7A59" w14:paraId="666981B5" w14:textId="586275D0">
            <w:pPr>
              <w:pStyle w:val="ListParagraph"/>
              <w:ind w:left="0"/>
              <w:jc w:val="right"/>
              <w:rPr>
                <w:color w:val="000000"/>
              </w:rPr>
            </w:pPr>
            <w:r>
              <w:rPr>
                <w:color w:val="000000"/>
              </w:rPr>
              <w:t>$328,557</w:t>
            </w:r>
          </w:p>
        </w:tc>
      </w:tr>
      <w:tr w14:paraId="66B07E1D" w14:textId="77777777" w:rsidTr="002563A9">
        <w:tblPrEx>
          <w:tblW w:w="0" w:type="auto"/>
          <w:tblInd w:w="894" w:type="dxa"/>
          <w:tblLook w:val="04A0"/>
        </w:tblPrEx>
        <w:tc>
          <w:tcPr>
            <w:tcW w:w="3116" w:type="dxa"/>
            <w:shd w:val="clear" w:color="auto" w:fill="auto"/>
          </w:tcPr>
          <w:p w:rsidR="005D0E18" w:rsidRPr="00003983" w:rsidP="002563A9" w14:paraId="4C5F6AA0" w14:textId="77777777">
            <w:pPr>
              <w:pStyle w:val="ListParagraph"/>
              <w:ind w:left="0"/>
              <w:rPr>
                <w:b/>
                <w:bCs/>
                <w:color w:val="000000"/>
              </w:rPr>
            </w:pPr>
            <w:r w:rsidRPr="00003983">
              <w:rPr>
                <w:b/>
                <w:bCs/>
                <w:color w:val="000000"/>
              </w:rPr>
              <w:t>Total</w:t>
            </w:r>
          </w:p>
        </w:tc>
        <w:tc>
          <w:tcPr>
            <w:tcW w:w="3117" w:type="dxa"/>
            <w:shd w:val="clear" w:color="auto" w:fill="auto"/>
          </w:tcPr>
          <w:p w:rsidR="005D0E18" w:rsidRPr="00003983" w:rsidP="002563A9" w14:paraId="038A4B7A" w14:textId="77777777">
            <w:pPr>
              <w:pStyle w:val="ListParagraph"/>
              <w:ind w:left="0"/>
              <w:rPr>
                <w:b/>
                <w:bCs/>
                <w:color w:val="000000"/>
              </w:rPr>
            </w:pPr>
          </w:p>
        </w:tc>
        <w:tc>
          <w:tcPr>
            <w:tcW w:w="2222" w:type="dxa"/>
            <w:shd w:val="clear" w:color="auto" w:fill="auto"/>
          </w:tcPr>
          <w:p w:rsidR="005D0E18" w:rsidRPr="00003983" w:rsidP="008F7A59" w14:paraId="6B7E4881" w14:textId="70BC7A6D">
            <w:pPr>
              <w:pStyle w:val="ListParagraph"/>
              <w:ind w:left="0"/>
              <w:jc w:val="right"/>
              <w:rPr>
                <w:b/>
                <w:bCs/>
                <w:color w:val="000000"/>
              </w:rPr>
            </w:pPr>
            <w:bookmarkStart w:id="1" w:name="_Hlk105500784"/>
            <w:r w:rsidRPr="002409B4">
              <w:rPr>
                <w:b/>
                <w:bCs/>
                <w:color w:val="000000"/>
              </w:rPr>
              <w:t>$5,029,750</w:t>
            </w:r>
            <w:bookmarkEnd w:id="1"/>
          </w:p>
        </w:tc>
      </w:tr>
    </w:tbl>
    <w:p w:rsidR="005D0E18" w:rsidP="00267DA9" w14:paraId="1BE3051D" w14:textId="2A626205">
      <w:pPr>
        <w:tabs>
          <w:tab w:val="left" w:pos="1440"/>
        </w:tabs>
        <w:ind w:left="1440"/>
        <w:rPr>
          <w:color w:val="000000"/>
        </w:rPr>
      </w:pPr>
      <w:r>
        <w:rPr>
          <w:color w:val="000000"/>
        </w:rPr>
        <w:t xml:space="preserve">* We have inserted a $0 amount for cost factors that do </w:t>
      </w:r>
      <w:r>
        <w:rPr>
          <w:color w:val="000000"/>
        </w:rPr>
        <w:t>not apply to this collection.</w:t>
      </w:r>
    </w:p>
    <w:p w:rsidR="005D0E18" w:rsidP="00267DA9" w14:paraId="6F47F68F" w14:textId="77777777">
      <w:pPr>
        <w:pStyle w:val="TxBrp15"/>
        <w:tabs>
          <w:tab w:val="clear" w:pos="538"/>
          <w:tab w:val="left" w:pos="720"/>
          <w:tab w:val="clear" w:pos="1043"/>
          <w:tab w:val="left" w:pos="1440"/>
        </w:tabs>
        <w:spacing w:line="240" w:lineRule="auto"/>
        <w:ind w:left="1440"/>
      </w:pPr>
    </w:p>
    <w:p w:rsidR="005D0E18" w:rsidP="00267DA9" w14:paraId="36CAC1AA" w14:textId="3589FF02">
      <w:pPr>
        <w:pStyle w:val="TxBrp15"/>
        <w:tabs>
          <w:tab w:val="clear" w:pos="538"/>
          <w:tab w:val="left" w:pos="720"/>
          <w:tab w:val="clear" w:pos="1043"/>
        </w:tabs>
        <w:spacing w:line="240" w:lineRule="auto"/>
        <w:ind w:left="1440"/>
      </w:pPr>
      <w:r w:rsidRPr="00BC2642">
        <w:rPr>
          <w:snapToGrid w:val="0"/>
          <w:color w:val="000000"/>
        </w:rPr>
        <w:t xml:space="preserve">SSA is unable to break down the costs to the Federal government further than we already have.  It is difficult for us to break down the cost for processing a single form, as field office staff often help respondents fill out </w:t>
      </w:r>
      <w:r w:rsidRPr="00BC2642">
        <w:rPr>
          <w:snapToGrid w:val="0"/>
          <w:color w:val="000000"/>
        </w:rPr>
        <w:t>several forms at once, and the time it takes to do so can vary greatly per respondent.  As well, because so many employees have a hand in each aspect of our forms, we use an estimated average hourly wage, based on the wage of our average field office emplo</w:t>
      </w:r>
      <w:r w:rsidRPr="00BC2642">
        <w:rPr>
          <w:snapToGrid w:val="0"/>
          <w:color w:val="000000"/>
        </w:rPr>
        <w:t>yee (GS-9) for these calculations.  However, we have calculated these costs as accurately as possible based on the information we collect for creating, updating, and maintaining these information collections</w:t>
      </w:r>
      <w:r w:rsidRPr="002409B4" w:rsidR="002409B4">
        <w:t>.</w:t>
      </w:r>
    </w:p>
    <w:p w:rsidR="002409B4" w:rsidP="00267DA9" w14:paraId="3FDD2F37" w14:textId="77777777">
      <w:pPr>
        <w:pStyle w:val="TxBrp15"/>
        <w:tabs>
          <w:tab w:val="clear" w:pos="538"/>
          <w:tab w:val="left" w:pos="720"/>
          <w:tab w:val="clear" w:pos="1043"/>
        </w:tabs>
        <w:spacing w:line="240" w:lineRule="auto"/>
        <w:ind w:left="1440"/>
      </w:pPr>
    </w:p>
    <w:p w:rsidR="005D0E18" w:rsidRPr="003B2EFC" w:rsidP="00267DA9" w14:paraId="1B745806" w14:textId="77777777">
      <w:pPr>
        <w:pStyle w:val="TxBrp6"/>
        <w:numPr>
          <w:ilvl w:val="0"/>
          <w:numId w:val="4"/>
        </w:numPr>
        <w:tabs>
          <w:tab w:val="clear" w:pos="204"/>
          <w:tab w:val="left" w:pos="720"/>
          <w:tab w:val="num" w:pos="1440"/>
        </w:tabs>
        <w:spacing w:line="240" w:lineRule="auto"/>
        <w:rPr>
          <w:b/>
        </w:rPr>
      </w:pPr>
      <w:r w:rsidRPr="003B2EFC">
        <w:rPr>
          <w:b/>
        </w:rPr>
        <w:t xml:space="preserve">Program Changes or Adjustments to the </w:t>
      </w:r>
      <w:r w:rsidRPr="003B2EFC">
        <w:rPr>
          <w:b/>
        </w:rPr>
        <w:t>Information Collection Request</w:t>
      </w:r>
    </w:p>
    <w:p w:rsidR="00F01BA8" w:rsidP="00267DA9" w14:paraId="47ECCB12" w14:textId="4FCB16D6">
      <w:pPr>
        <w:pStyle w:val="TxBrp6"/>
        <w:tabs>
          <w:tab w:val="clear" w:pos="204"/>
        </w:tabs>
        <w:spacing w:line="240" w:lineRule="auto"/>
        <w:ind w:left="1440"/>
      </w:pPr>
      <w:r w:rsidRPr="00F01BA8">
        <w:t>When we last cleared this IC in 201</w:t>
      </w:r>
      <w:r>
        <w:t>9</w:t>
      </w:r>
      <w:r w:rsidRPr="00F01BA8">
        <w:t xml:space="preserve">, the burden was </w:t>
      </w:r>
      <w:r>
        <w:t>132,283</w:t>
      </w:r>
      <w:r w:rsidRPr="00F01BA8">
        <w:t xml:space="preserve"> hours.  However, we are currently reporting a burden of </w:t>
      </w:r>
      <w:r>
        <w:t>190,542</w:t>
      </w:r>
      <w:r w:rsidRPr="00F01BA8">
        <w:t xml:space="preserve"> hours.  This change stems </w:t>
      </w:r>
      <w:r>
        <w:t xml:space="preserve">from </w:t>
      </w:r>
      <w:r w:rsidRPr="00F01BA8">
        <w:t>a</w:t>
      </w:r>
      <w:r>
        <w:t>n</w:t>
      </w:r>
      <w:r w:rsidRPr="00F01BA8">
        <w:t xml:space="preserve"> increase in the number of responses from </w:t>
      </w:r>
      <w:r>
        <w:t>1,339,000</w:t>
      </w:r>
      <w:r w:rsidRPr="00F01BA8">
        <w:t xml:space="preserve"> to </w:t>
      </w:r>
      <w:r>
        <w:t>1,364,956</w:t>
      </w:r>
      <w:r w:rsidRPr="00F01BA8">
        <w:t xml:space="preserve">.  </w:t>
      </w:r>
      <w:r>
        <w:t>In addition, we changed the completion time of the SSAMWR</w:t>
      </w:r>
      <w:r w:rsidR="00EC47FF">
        <w:t xml:space="preserve"> from 3 to </w:t>
      </w:r>
      <w:r w:rsidR="004F38BC">
        <w:t>6 minutes</w:t>
      </w:r>
      <w:r>
        <w:t xml:space="preserve"> as per our current management information data for the mobile application</w:t>
      </w:r>
      <w:r w:rsidR="00EC47FF">
        <w:t>.</w:t>
      </w:r>
      <w:r w:rsidR="004F38BC">
        <w:t xml:space="preserve">  Lastly, when</w:t>
      </w:r>
      <w:r w:rsidRPr="00C40E15" w:rsidR="004F38BC">
        <w:t xml:space="preserve"> we last cleared th</w:t>
      </w:r>
      <w:r w:rsidR="004F38BC">
        <w:t>e</w:t>
      </w:r>
      <w:r w:rsidRPr="00C40E15" w:rsidR="004F38BC">
        <w:t xml:space="preserve"> IC</w:t>
      </w:r>
      <w:r w:rsidRPr="005D0F36" w:rsidR="004F38BC">
        <w:t xml:space="preserve"> </w:t>
      </w:r>
      <w:r w:rsidR="004F38BC">
        <w:t>for myWageReport</w:t>
      </w:r>
      <w:r w:rsidRPr="005D0F36" w:rsidR="004F38BC">
        <w:t xml:space="preserve"> </w:t>
      </w:r>
      <w:r w:rsidRPr="00C40E15" w:rsidR="004F38BC">
        <w:t>in 20</w:t>
      </w:r>
      <w:r w:rsidR="004F38BC">
        <w:t>21, we reported the burden under</w:t>
      </w:r>
      <w:r w:rsidRPr="005D0F36" w:rsidR="004F38BC">
        <w:t xml:space="preserve"> OMB No. 0960-0808</w:t>
      </w:r>
      <w:r w:rsidR="004F38BC">
        <w:t xml:space="preserve">. </w:t>
      </w:r>
      <w:r w:rsidRPr="00C40E15" w:rsidR="004F38BC">
        <w:t xml:space="preserve"> </w:t>
      </w:r>
      <w:r w:rsidR="004F38BC">
        <w:t>However, we will now include the burden for myWageReport under this clearance package</w:t>
      </w:r>
      <w:r>
        <w:t>, which increased the overall burden accordingly</w:t>
      </w:r>
      <w:r w:rsidR="004F38BC">
        <w:t xml:space="preserve">.  </w:t>
      </w:r>
      <w:r w:rsidRPr="00F01BA8">
        <w:t>These figures represent current Management Information data.</w:t>
      </w:r>
    </w:p>
    <w:p w:rsidR="005D0E18" w:rsidP="00267DA9" w14:paraId="68D0D556" w14:textId="562A7553">
      <w:pPr>
        <w:pStyle w:val="TxBrp6"/>
        <w:tabs>
          <w:tab w:val="clear" w:pos="204"/>
        </w:tabs>
        <w:spacing w:line="240" w:lineRule="auto"/>
      </w:pPr>
    </w:p>
    <w:p w:rsidR="005D0E18" w:rsidRPr="003B2EFC" w:rsidP="00267DA9" w14:paraId="2E952487" w14:textId="77777777">
      <w:pPr>
        <w:pStyle w:val="BodyText2"/>
        <w:numPr>
          <w:ilvl w:val="0"/>
          <w:numId w:val="6"/>
        </w:numPr>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i w:val="0"/>
          <w:iCs/>
          <w:szCs w:val="24"/>
        </w:rPr>
      </w:pPr>
      <w:r w:rsidRPr="003B2EFC">
        <w:rPr>
          <w:rFonts w:ascii="Times New Roman" w:hAnsi="Times New Roman"/>
          <w:i w:val="0"/>
          <w:szCs w:val="24"/>
        </w:rPr>
        <w:t>Plans for Publication Information Collection Results</w:t>
      </w:r>
    </w:p>
    <w:p w:rsidR="005D0E18" w:rsidRPr="004F72DF" w:rsidP="00267DA9" w14:paraId="2AA7122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szCs w:val="24"/>
        </w:rPr>
      </w:pPr>
      <w:r w:rsidRPr="001C725F">
        <w:rPr>
          <w:rFonts w:ascii="Times New Roman" w:hAnsi="Times New Roman"/>
          <w:b w:val="0"/>
          <w:i w:val="0"/>
          <w:szCs w:val="24"/>
        </w:rPr>
        <w:t>SSA will not publish the results of the information collection</w:t>
      </w:r>
      <w:r>
        <w:rPr>
          <w:rFonts w:ascii="Times New Roman" w:hAnsi="Times New Roman"/>
          <w:b w:val="0"/>
          <w:i w:val="0"/>
          <w:szCs w:val="24"/>
        </w:rPr>
        <w:t>s</w:t>
      </w:r>
      <w:r w:rsidRPr="001C725F">
        <w:rPr>
          <w:rFonts w:ascii="Times New Roman" w:hAnsi="Times New Roman"/>
          <w:b w:val="0"/>
          <w:i w:val="0"/>
          <w:szCs w:val="24"/>
        </w:rPr>
        <w:t>.</w:t>
      </w:r>
    </w:p>
    <w:p w:rsidR="008D78D2" w:rsidRPr="001C725F" w:rsidP="00267DA9" w14:paraId="7746346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szCs w:val="24"/>
        </w:rPr>
      </w:pPr>
    </w:p>
    <w:p w:rsidR="005D0E18" w:rsidRPr="009B2BC4" w:rsidP="00267DA9" w14:paraId="21892B73" w14:textId="77777777">
      <w:pPr>
        <w:pStyle w:val="TxBrp18"/>
        <w:numPr>
          <w:ilvl w:val="1"/>
          <w:numId w:val="6"/>
        </w:numPr>
        <w:tabs>
          <w:tab w:val="left" w:pos="538"/>
          <w:tab w:val="num" w:pos="1440"/>
          <w:tab w:val="clear" w:pos="3451"/>
        </w:tabs>
        <w:spacing w:line="240" w:lineRule="auto"/>
        <w:jc w:val="left"/>
        <w:rPr>
          <w:b/>
        </w:rPr>
      </w:pPr>
      <w:r w:rsidRPr="009B2BC4">
        <w:rPr>
          <w:b/>
        </w:rPr>
        <w:t>Displaying the OMB Expiration Date</w:t>
      </w:r>
    </w:p>
    <w:p w:rsidR="008D78D2" w:rsidRPr="003C44CC" w:rsidP="00267DA9" w14:paraId="257C2714" w14:textId="60E8ECD1">
      <w:pPr>
        <w:pStyle w:val="TxBrp18"/>
        <w:tabs>
          <w:tab w:val="left" w:pos="538"/>
        </w:tabs>
        <w:spacing w:line="240" w:lineRule="auto"/>
        <w:ind w:left="1440" w:firstLine="0"/>
        <w:jc w:val="left"/>
      </w:pPr>
      <w:r w:rsidRPr="003B3549">
        <w:t xml:space="preserve">SSA is not </w:t>
      </w:r>
      <w:r w:rsidRPr="003B3549">
        <w:t>requesting an exception to the requirement to display the OMB expiration date</w:t>
      </w:r>
      <w:r>
        <w:t>.</w:t>
      </w:r>
      <w:r w:rsidRPr="003C44CC">
        <w:t xml:space="preserve">  </w:t>
      </w:r>
      <w:r>
        <w:br/>
      </w:r>
    </w:p>
    <w:p w:rsidR="005D0E18" w:rsidRPr="001C26E1" w:rsidP="00267DA9" w14:paraId="1920B467" w14:textId="77777777">
      <w:pPr>
        <w:pStyle w:val="TxBrp20"/>
        <w:numPr>
          <w:ilvl w:val="1"/>
          <w:numId w:val="6"/>
        </w:numPr>
        <w:tabs>
          <w:tab w:val="num" w:pos="1440"/>
          <w:tab w:val="clear" w:pos="3451"/>
        </w:tabs>
        <w:spacing w:line="240" w:lineRule="auto"/>
        <w:jc w:val="left"/>
        <w:rPr>
          <w:rFonts w:ascii="Courier New" w:hAnsi="Courier New" w:cs="Courier New"/>
          <w:b/>
          <w:sz w:val="22"/>
          <w:szCs w:val="22"/>
        </w:rPr>
      </w:pPr>
      <w:r w:rsidRPr="001C26E1">
        <w:rPr>
          <w:b/>
        </w:rPr>
        <w:t>Exception to Certification Statement</w:t>
      </w:r>
    </w:p>
    <w:p w:rsidR="005D0E18" w:rsidRPr="00EE1587" w:rsidP="00267DA9" w14:paraId="16B59595" w14:textId="035D47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E1587">
        <w:rPr>
          <w:rFonts w:ascii="Times New Roman" w:hAnsi="Times New Roman"/>
          <w:b w:val="0"/>
          <w:i w:val="0"/>
        </w:rPr>
        <w:t xml:space="preserve">SSA is not requesting an exception to the certification requirements at </w:t>
      </w:r>
      <w:r w:rsidRPr="00EC1517">
        <w:rPr>
          <w:rFonts w:ascii="Times New Roman" w:hAnsi="Times New Roman"/>
          <w:b w:val="0"/>
        </w:rPr>
        <w:t>5</w:t>
      </w:r>
      <w:r w:rsidR="00267DA9">
        <w:rPr>
          <w:rFonts w:ascii="Times New Roman" w:hAnsi="Times New Roman"/>
          <w:b w:val="0"/>
        </w:rPr>
        <w:t> </w:t>
      </w:r>
      <w:r w:rsidRPr="00EC1517">
        <w:rPr>
          <w:rFonts w:ascii="Times New Roman" w:hAnsi="Times New Roman"/>
          <w:b w:val="0"/>
        </w:rPr>
        <w:t>CFR</w:t>
      </w:r>
      <w:r w:rsidR="00267DA9">
        <w:rPr>
          <w:rFonts w:ascii="Times New Roman" w:hAnsi="Times New Roman"/>
          <w:b w:val="0"/>
        </w:rPr>
        <w:t> </w:t>
      </w:r>
      <w:r w:rsidRPr="00EC1517">
        <w:rPr>
          <w:rFonts w:ascii="Times New Roman" w:hAnsi="Times New Roman"/>
          <w:b w:val="0"/>
        </w:rPr>
        <w:t>1320.9</w:t>
      </w:r>
      <w:r w:rsidRPr="00EE1587">
        <w:rPr>
          <w:rFonts w:ascii="Times New Roman" w:hAnsi="Times New Roman"/>
          <w:b w:val="0"/>
          <w:i w:val="0"/>
        </w:rPr>
        <w:t xml:space="preserve"> and related provisions at </w:t>
      </w:r>
      <w:r w:rsidRPr="00EC1517">
        <w:rPr>
          <w:rFonts w:ascii="Times New Roman" w:hAnsi="Times New Roman"/>
          <w:b w:val="0"/>
        </w:rPr>
        <w:t>5 CFR 1320.8(b)(3)</w:t>
      </w:r>
      <w:r>
        <w:rPr>
          <w:rFonts w:ascii="Times New Roman" w:hAnsi="Times New Roman"/>
          <w:b w:val="0"/>
          <w:i w:val="0"/>
        </w:rPr>
        <w:t>.</w:t>
      </w:r>
    </w:p>
    <w:p w:rsidR="005D0E18" w:rsidRPr="003C44CC" w:rsidP="00267DA9" w14:paraId="4F383784" w14:textId="77777777">
      <w:pPr>
        <w:pStyle w:val="TxBrp20"/>
        <w:spacing w:line="240" w:lineRule="auto"/>
        <w:ind w:left="1440"/>
        <w:jc w:val="left"/>
        <w:rPr>
          <w:rFonts w:ascii="Courier New" w:hAnsi="Courier New" w:cs="Courier New"/>
          <w:sz w:val="22"/>
          <w:szCs w:val="22"/>
        </w:rPr>
      </w:pPr>
    </w:p>
    <w:p w:rsidR="005D0E18" w:rsidRPr="00BC2642" w:rsidP="00BC2642" w14:paraId="3AB69A3F" w14:textId="77777777">
      <w:pPr>
        <w:pStyle w:val="TxBrp3"/>
        <w:tabs>
          <w:tab w:val="left" w:pos="720"/>
          <w:tab w:val="clear" w:pos="856"/>
        </w:tabs>
        <w:spacing w:line="240" w:lineRule="auto"/>
        <w:ind w:left="720" w:hanging="540"/>
        <w:rPr>
          <w:b/>
          <w:bCs/>
        </w:rPr>
      </w:pPr>
      <w:r w:rsidRPr="00BC2642">
        <w:rPr>
          <w:b/>
          <w:bCs/>
        </w:rPr>
        <w:t>B.</w:t>
      </w:r>
      <w:r w:rsidRPr="00BC2642">
        <w:rPr>
          <w:b/>
          <w:bCs/>
        </w:rPr>
        <w:tab/>
      </w:r>
      <w:r w:rsidRPr="00BC2642">
        <w:rPr>
          <w:b/>
          <w:bCs/>
          <w:u w:val="single"/>
        </w:rPr>
        <w:t>Collection of Information Employing Statistical Methods</w:t>
      </w:r>
    </w:p>
    <w:p w:rsidR="005D0E18" w:rsidRPr="00BC2642" w:rsidP="00267DA9" w14:paraId="0A482DD2" w14:textId="77777777">
      <w:pPr>
        <w:tabs>
          <w:tab w:val="left" w:pos="856"/>
          <w:tab w:val="left" w:pos="1440"/>
        </w:tabs>
        <w:rPr>
          <w:b/>
          <w:bCs/>
        </w:rPr>
      </w:pPr>
    </w:p>
    <w:p w:rsidR="003C44CC" w:rsidRPr="003C44CC" w:rsidP="00BC2642" w14:paraId="00638C80" w14:textId="6E48B866">
      <w:pPr>
        <w:pStyle w:val="TxBrp21"/>
        <w:tabs>
          <w:tab w:val="clear" w:pos="748"/>
          <w:tab w:val="left" w:pos="1440"/>
        </w:tabs>
        <w:spacing w:line="240" w:lineRule="auto"/>
        <w:ind w:left="1440"/>
      </w:pPr>
      <w:r>
        <w:t>SSA does not use s</w:t>
      </w:r>
      <w:r w:rsidRPr="003C44CC">
        <w:t>tatisti</w:t>
      </w:r>
      <w:r>
        <w:t>cal methods for these</w:t>
      </w:r>
      <w:r w:rsidRPr="003C44CC">
        <w:t xml:space="preserve"> information collection</w:t>
      </w:r>
      <w:r>
        <w:t>s</w:t>
      </w:r>
      <w:r w:rsidRPr="003C44CC">
        <w:t>.</w:t>
      </w:r>
    </w:p>
    <w:sectPr w:rsidSect="00C478A0">
      <w:footerReference w:type="default" r:id="rId7"/>
      <w:type w:val="continuous"/>
      <w:pgSz w:w="12240" w:h="15840"/>
      <w:pgMar w:top="1440" w:right="1440" w:bottom="1440" w:left="1440" w:header="168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477C" w:rsidRPr="00C17E47" w:rsidP="00C17E47" w14:paraId="676CDBD8" w14:textId="02A84D89">
    <w:pPr>
      <w:pStyle w:val="Footer"/>
      <w:tabs>
        <w:tab w:val="clear" w:pos="8640"/>
        <w:tab w:val="right" w:pos="9360"/>
      </w:tabs>
      <w:rPr>
        <w:b/>
        <w:bCs/>
        <w:i/>
        <w:iCs/>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081750"/>
    <w:multiLevelType w:val="hybridMultilevel"/>
    <w:tmpl w:val="97ECA3EA"/>
    <w:lvl w:ilvl="0">
      <w:start w:val="5"/>
      <w:numFmt w:val="decimal"/>
      <w:lvlText w:val="%1."/>
      <w:lvlJc w:val="left"/>
      <w:pPr>
        <w:tabs>
          <w:tab w:val="num" w:pos="2700"/>
        </w:tabs>
        <w:ind w:left="1440" w:hanging="72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EF1D68"/>
    <w:multiLevelType w:val="hybridMultilevel"/>
    <w:tmpl w:val="31807CB0"/>
    <w:lvl w:ilvl="0">
      <w:start w:val="3"/>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720"/>
      </w:pPr>
      <w:rPr>
        <w:rFonts w:hint="default"/>
        <w:b/>
      </w:rPr>
    </w:lvl>
    <w:lvl w:ilvl="2">
      <w:start w:val="4"/>
      <w:numFmt w:val="decimal"/>
      <w:lvlText w:val="%3."/>
      <w:lvlJc w:val="left"/>
      <w:pPr>
        <w:tabs>
          <w:tab w:val="num" w:pos="2700"/>
        </w:tabs>
        <w:ind w:left="1440" w:hanging="720"/>
      </w:pPr>
      <w:rPr>
        <w:rFonts w:ascii="Times New Roman" w:hAnsi="Times New Roman" w:hint="default"/>
        <w:b/>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D81E81"/>
    <w:multiLevelType w:val="hybridMultilevel"/>
    <w:tmpl w:val="CBC87762"/>
    <w:lvl w:ilvl="0">
      <w:start w:val="1"/>
      <w:numFmt w:val="decimal"/>
      <w:lvlText w:val="%1."/>
      <w:lvlJc w:val="left"/>
      <w:pPr>
        <w:tabs>
          <w:tab w:val="num" w:pos="1440"/>
        </w:tabs>
        <w:ind w:left="1440" w:hanging="720"/>
      </w:pPr>
      <w:rPr>
        <w:rFonts w:hint="default"/>
        <w:b/>
        <w:i w:val="0"/>
        <w:sz w:val="24"/>
        <w:szCs w:val="24"/>
      </w:rPr>
    </w:lvl>
    <w:lvl w:ilvl="1">
      <w:start w:val="1"/>
      <w:numFmt w:val="lowerLetter"/>
      <w:lvlText w:val="%2."/>
      <w:lvlJc w:val="left"/>
      <w:pPr>
        <w:tabs>
          <w:tab w:val="num" w:pos="1831"/>
        </w:tabs>
        <w:ind w:left="1831" w:hanging="360"/>
      </w:pPr>
    </w:lvl>
    <w:lvl w:ilvl="2" w:tentative="1">
      <w:start w:val="1"/>
      <w:numFmt w:val="lowerRoman"/>
      <w:lvlText w:val="%3."/>
      <w:lvlJc w:val="right"/>
      <w:pPr>
        <w:tabs>
          <w:tab w:val="num" w:pos="2551"/>
        </w:tabs>
        <w:ind w:left="2551" w:hanging="180"/>
      </w:pPr>
    </w:lvl>
    <w:lvl w:ilvl="3" w:tentative="1">
      <w:start w:val="1"/>
      <w:numFmt w:val="decimal"/>
      <w:lvlText w:val="%4."/>
      <w:lvlJc w:val="left"/>
      <w:pPr>
        <w:tabs>
          <w:tab w:val="num" w:pos="3271"/>
        </w:tabs>
        <w:ind w:left="3271" w:hanging="360"/>
      </w:pPr>
    </w:lvl>
    <w:lvl w:ilvl="4" w:tentative="1">
      <w:start w:val="1"/>
      <w:numFmt w:val="lowerLetter"/>
      <w:lvlText w:val="%5."/>
      <w:lvlJc w:val="left"/>
      <w:pPr>
        <w:tabs>
          <w:tab w:val="num" w:pos="3991"/>
        </w:tabs>
        <w:ind w:left="3991" w:hanging="360"/>
      </w:pPr>
    </w:lvl>
    <w:lvl w:ilvl="5" w:tentative="1">
      <w:start w:val="1"/>
      <w:numFmt w:val="lowerRoman"/>
      <w:lvlText w:val="%6."/>
      <w:lvlJc w:val="right"/>
      <w:pPr>
        <w:tabs>
          <w:tab w:val="num" w:pos="4711"/>
        </w:tabs>
        <w:ind w:left="4711" w:hanging="180"/>
      </w:pPr>
    </w:lvl>
    <w:lvl w:ilvl="6" w:tentative="1">
      <w:start w:val="1"/>
      <w:numFmt w:val="decimal"/>
      <w:lvlText w:val="%7."/>
      <w:lvlJc w:val="left"/>
      <w:pPr>
        <w:tabs>
          <w:tab w:val="num" w:pos="5431"/>
        </w:tabs>
        <w:ind w:left="5431" w:hanging="360"/>
      </w:pPr>
    </w:lvl>
    <w:lvl w:ilvl="7" w:tentative="1">
      <w:start w:val="1"/>
      <w:numFmt w:val="lowerLetter"/>
      <w:lvlText w:val="%8."/>
      <w:lvlJc w:val="left"/>
      <w:pPr>
        <w:tabs>
          <w:tab w:val="num" w:pos="6151"/>
        </w:tabs>
        <w:ind w:left="6151" w:hanging="360"/>
      </w:pPr>
    </w:lvl>
    <w:lvl w:ilvl="8" w:tentative="1">
      <w:start w:val="1"/>
      <w:numFmt w:val="lowerRoman"/>
      <w:lvlText w:val="%9."/>
      <w:lvlJc w:val="right"/>
      <w:pPr>
        <w:tabs>
          <w:tab w:val="num" w:pos="6871"/>
        </w:tabs>
        <w:ind w:left="6871" w:hanging="180"/>
      </w:pPr>
    </w:lvl>
  </w:abstractNum>
  <w:abstractNum w:abstractNumId="5">
    <w:nsid w:val="1DF9065F"/>
    <w:multiLevelType w:val="hybridMultilevel"/>
    <w:tmpl w:val="83DAD538"/>
    <w:lvl w:ilvl="0">
      <w:start w:val="13"/>
      <w:numFmt w:val="decimal"/>
      <w:lvlText w:val="%1."/>
      <w:lvlJc w:val="left"/>
      <w:pPr>
        <w:tabs>
          <w:tab w:val="num" w:pos="1111"/>
        </w:tabs>
        <w:ind w:left="1440" w:hanging="720"/>
      </w:pPr>
      <w:rPr>
        <w:rFonts w:ascii="Times New Roman" w:hAnsi="Times New Roman" w:hint="default"/>
        <w:b/>
        <w:i w:val="0"/>
        <w:sz w:val="24"/>
        <w:szCs w:val="24"/>
      </w:rPr>
    </w:lvl>
    <w:lvl w:ilvl="1">
      <w:start w:val="14"/>
      <w:numFmt w:val="decimal"/>
      <w:lvlText w:val="%2."/>
      <w:lvlJc w:val="left"/>
      <w:pPr>
        <w:tabs>
          <w:tab w:val="num" w:pos="720"/>
        </w:tabs>
        <w:ind w:left="1440" w:hanging="720"/>
      </w:pPr>
      <w:rPr>
        <w:rFonts w:ascii="Times New Roman" w:hAnsi="Times New Roman" w:hint="default"/>
        <w:b w:val="0"/>
        <w:i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0C00C13"/>
    <w:multiLevelType w:val="hybridMultilevel"/>
    <w:tmpl w:val="9282F6D6"/>
    <w:lvl w:ilvl="0">
      <w:start w:val="16"/>
      <w:numFmt w:val="decimal"/>
      <w:lvlText w:val="%1."/>
      <w:lvlJc w:val="left"/>
      <w:pPr>
        <w:tabs>
          <w:tab w:val="num" w:pos="1440"/>
        </w:tabs>
        <w:ind w:left="1440" w:hanging="720"/>
      </w:pPr>
      <w:rPr>
        <w:rFonts w:hint="default"/>
        <w:b/>
      </w:rPr>
    </w:lvl>
    <w:lvl w:ilvl="1">
      <w:start w:val="17"/>
      <w:numFmt w:val="decimal"/>
      <w:lvlText w:val="%2."/>
      <w:lvlJc w:val="left"/>
      <w:pPr>
        <w:tabs>
          <w:tab w:val="num" w:pos="3451"/>
        </w:tabs>
        <w:ind w:left="1440" w:hanging="720"/>
      </w:pPr>
      <w:rPr>
        <w:rFonts w:ascii="Times New Roman" w:hAnsi="Times New Roman" w:hint="default"/>
        <w:b/>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E86606"/>
    <w:multiLevelType w:val="hybridMultilevel"/>
    <w:tmpl w:val="1EBA1254"/>
    <w:lvl w:ilvl="0">
      <w:start w:val="9"/>
      <w:numFmt w:val="decimal"/>
      <w:lvlText w:val="%1."/>
      <w:lvlJc w:val="left"/>
      <w:pPr>
        <w:tabs>
          <w:tab w:val="num" w:pos="1201"/>
        </w:tabs>
        <w:ind w:left="1530" w:hanging="720"/>
      </w:pPr>
      <w:rPr>
        <w:rFonts w:ascii="Times New Roman" w:hAnsi="Times New Roman"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9A11F5"/>
    <w:multiLevelType w:val="hybridMultilevel"/>
    <w:tmpl w:val="306617D6"/>
    <w:lvl w:ilvl="0">
      <w:start w:val="15"/>
      <w:numFmt w:val="decimal"/>
      <w:lvlText w:val="%1."/>
      <w:lvlJc w:val="left"/>
      <w:pPr>
        <w:tabs>
          <w:tab w:val="num" w:pos="720"/>
        </w:tabs>
        <w:ind w:left="1440" w:hanging="720"/>
      </w:pPr>
      <w:rPr>
        <w:rFonts w:ascii="Times New Roman" w:hAnsi="Times New Roman" w:hint="default"/>
        <w:b/>
        <w:i w:val="0"/>
        <w:sz w:val="24"/>
        <w:szCs w:val="24"/>
      </w:rPr>
    </w:lvl>
    <w:lvl w:ilvl="1">
      <w:start w:val="1"/>
      <w:numFmt w:val="decimal"/>
      <w:lvlText w:val="%2."/>
      <w:lvlJc w:val="left"/>
      <w:pPr>
        <w:tabs>
          <w:tab w:val="num" w:pos="1800"/>
        </w:tabs>
        <w:ind w:left="1800" w:hanging="720"/>
      </w:pPr>
      <w:rPr>
        <w:rFonts w:hint="default"/>
        <w:b w:val="0"/>
        <w:i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C90257"/>
    <w:multiLevelType w:val="hybridMultilevel"/>
    <w:tmpl w:val="BFB03F3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FB373BC"/>
    <w:multiLevelType w:val="hybridMultilevel"/>
    <w:tmpl w:val="A0B267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3"/>
  </w:num>
  <w:num w:numId="6">
    <w:abstractNumId w:val="6"/>
  </w:num>
  <w:num w:numId="7">
    <w:abstractNumId w:val="1"/>
  </w:num>
  <w:num w:numId="8">
    <w:abstractNumId w:val="15"/>
  </w:num>
  <w:num w:numId="9">
    <w:abstractNumId w:val="2"/>
  </w:num>
  <w:num w:numId="10">
    <w:abstractNumId w:val="0"/>
  </w:num>
  <w:num w:numId="11">
    <w:abstractNumId w:val="10"/>
  </w:num>
  <w:num w:numId="12">
    <w:abstractNumId w:val="12"/>
  </w:num>
  <w:num w:numId="13">
    <w:abstractNumId w:val="8"/>
  </w:num>
  <w:num w:numId="14">
    <w:abstractNumId w:val="16"/>
  </w:num>
  <w:num w:numId="15">
    <w:abstractNumId w:val="13"/>
  </w:num>
  <w:num w:numId="16">
    <w:abstractNumId w:val="14"/>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F4"/>
    <w:rsid w:val="00001BE6"/>
    <w:rsid w:val="00003983"/>
    <w:rsid w:val="000047CA"/>
    <w:rsid w:val="000063CE"/>
    <w:rsid w:val="00013516"/>
    <w:rsid w:val="00017515"/>
    <w:rsid w:val="00023C6E"/>
    <w:rsid w:val="00024703"/>
    <w:rsid w:val="00030B1B"/>
    <w:rsid w:val="00030BBA"/>
    <w:rsid w:val="000343E6"/>
    <w:rsid w:val="00037C00"/>
    <w:rsid w:val="000415F0"/>
    <w:rsid w:val="00052642"/>
    <w:rsid w:val="00055FF9"/>
    <w:rsid w:val="0005791D"/>
    <w:rsid w:val="00057B41"/>
    <w:rsid w:val="000616C5"/>
    <w:rsid w:val="000622FC"/>
    <w:rsid w:val="000671D9"/>
    <w:rsid w:val="000702EF"/>
    <w:rsid w:val="00075393"/>
    <w:rsid w:val="00081707"/>
    <w:rsid w:val="00084E15"/>
    <w:rsid w:val="00086BFD"/>
    <w:rsid w:val="00097783"/>
    <w:rsid w:val="000A4C5E"/>
    <w:rsid w:val="000B056C"/>
    <w:rsid w:val="000B148A"/>
    <w:rsid w:val="000B26BE"/>
    <w:rsid w:val="000B309B"/>
    <w:rsid w:val="000C118B"/>
    <w:rsid w:val="000C382B"/>
    <w:rsid w:val="000C3CB1"/>
    <w:rsid w:val="000C3DA0"/>
    <w:rsid w:val="000C3DFF"/>
    <w:rsid w:val="000C4216"/>
    <w:rsid w:val="000C4C86"/>
    <w:rsid w:val="000D1603"/>
    <w:rsid w:val="000D5753"/>
    <w:rsid w:val="000D5A5D"/>
    <w:rsid w:val="000D728E"/>
    <w:rsid w:val="000E24F9"/>
    <w:rsid w:val="000E4485"/>
    <w:rsid w:val="000F1FD7"/>
    <w:rsid w:val="000F3777"/>
    <w:rsid w:val="000F3D80"/>
    <w:rsid w:val="000F594D"/>
    <w:rsid w:val="000F7183"/>
    <w:rsid w:val="000F7497"/>
    <w:rsid w:val="00101C46"/>
    <w:rsid w:val="00103301"/>
    <w:rsid w:val="00104D9A"/>
    <w:rsid w:val="00114E3B"/>
    <w:rsid w:val="00115A6B"/>
    <w:rsid w:val="00117E14"/>
    <w:rsid w:val="00123414"/>
    <w:rsid w:val="00125B9A"/>
    <w:rsid w:val="0013330F"/>
    <w:rsid w:val="00135E9D"/>
    <w:rsid w:val="00136CA0"/>
    <w:rsid w:val="00140196"/>
    <w:rsid w:val="00140F18"/>
    <w:rsid w:val="00144B1D"/>
    <w:rsid w:val="00151B45"/>
    <w:rsid w:val="00152BE8"/>
    <w:rsid w:val="001548B1"/>
    <w:rsid w:val="00163725"/>
    <w:rsid w:val="00167802"/>
    <w:rsid w:val="001714BB"/>
    <w:rsid w:val="00171EF9"/>
    <w:rsid w:val="00180A4D"/>
    <w:rsid w:val="001815F7"/>
    <w:rsid w:val="00181E77"/>
    <w:rsid w:val="001858E7"/>
    <w:rsid w:val="00185FEE"/>
    <w:rsid w:val="00186605"/>
    <w:rsid w:val="001867B0"/>
    <w:rsid w:val="001900C4"/>
    <w:rsid w:val="00190EFA"/>
    <w:rsid w:val="00195CD7"/>
    <w:rsid w:val="001964EF"/>
    <w:rsid w:val="00197391"/>
    <w:rsid w:val="001A2054"/>
    <w:rsid w:val="001A26E3"/>
    <w:rsid w:val="001A3D1E"/>
    <w:rsid w:val="001B3886"/>
    <w:rsid w:val="001B480B"/>
    <w:rsid w:val="001B5C25"/>
    <w:rsid w:val="001C26E1"/>
    <w:rsid w:val="001C290A"/>
    <w:rsid w:val="001C6DA8"/>
    <w:rsid w:val="001C725F"/>
    <w:rsid w:val="001D0787"/>
    <w:rsid w:val="001D194D"/>
    <w:rsid w:val="001D5693"/>
    <w:rsid w:val="001D615D"/>
    <w:rsid w:val="001E396F"/>
    <w:rsid w:val="001F2597"/>
    <w:rsid w:val="001F2C8F"/>
    <w:rsid w:val="001F37A4"/>
    <w:rsid w:val="001F7DAE"/>
    <w:rsid w:val="00202AE9"/>
    <w:rsid w:val="00202B59"/>
    <w:rsid w:val="002031D4"/>
    <w:rsid w:val="0020416D"/>
    <w:rsid w:val="00204303"/>
    <w:rsid w:val="002102A5"/>
    <w:rsid w:val="002126B6"/>
    <w:rsid w:val="00213834"/>
    <w:rsid w:val="00214388"/>
    <w:rsid w:val="0021546C"/>
    <w:rsid w:val="00220A47"/>
    <w:rsid w:val="00226F43"/>
    <w:rsid w:val="00233B28"/>
    <w:rsid w:val="00235644"/>
    <w:rsid w:val="00235E86"/>
    <w:rsid w:val="002409B4"/>
    <w:rsid w:val="00244A56"/>
    <w:rsid w:val="00250303"/>
    <w:rsid w:val="002546E4"/>
    <w:rsid w:val="00256111"/>
    <w:rsid w:val="002563A9"/>
    <w:rsid w:val="0025675C"/>
    <w:rsid w:val="00257973"/>
    <w:rsid w:val="00260F00"/>
    <w:rsid w:val="002619FA"/>
    <w:rsid w:val="00266FAC"/>
    <w:rsid w:val="00267D5D"/>
    <w:rsid w:val="00267DA9"/>
    <w:rsid w:val="00273A08"/>
    <w:rsid w:val="002765E8"/>
    <w:rsid w:val="00276D0E"/>
    <w:rsid w:val="002775AB"/>
    <w:rsid w:val="002832B2"/>
    <w:rsid w:val="00283E11"/>
    <w:rsid w:val="002847BB"/>
    <w:rsid w:val="0028496D"/>
    <w:rsid w:val="00296000"/>
    <w:rsid w:val="002A1B99"/>
    <w:rsid w:val="002A298A"/>
    <w:rsid w:val="002A7279"/>
    <w:rsid w:val="002B0F61"/>
    <w:rsid w:val="002B12E2"/>
    <w:rsid w:val="002B154F"/>
    <w:rsid w:val="002B412F"/>
    <w:rsid w:val="002B5842"/>
    <w:rsid w:val="002C451C"/>
    <w:rsid w:val="002C5D62"/>
    <w:rsid w:val="002C65F1"/>
    <w:rsid w:val="002C7058"/>
    <w:rsid w:val="002D1685"/>
    <w:rsid w:val="002D6C43"/>
    <w:rsid w:val="002D714F"/>
    <w:rsid w:val="002E51B1"/>
    <w:rsid w:val="002E5599"/>
    <w:rsid w:val="002E63C5"/>
    <w:rsid w:val="002E6450"/>
    <w:rsid w:val="002E7F65"/>
    <w:rsid w:val="002F0429"/>
    <w:rsid w:val="002F1F1E"/>
    <w:rsid w:val="002F2C09"/>
    <w:rsid w:val="002F5441"/>
    <w:rsid w:val="00301115"/>
    <w:rsid w:val="0030185E"/>
    <w:rsid w:val="0031118E"/>
    <w:rsid w:val="0031261C"/>
    <w:rsid w:val="00313D54"/>
    <w:rsid w:val="00314CCC"/>
    <w:rsid w:val="00314D56"/>
    <w:rsid w:val="00321A71"/>
    <w:rsid w:val="00322BF9"/>
    <w:rsid w:val="00324020"/>
    <w:rsid w:val="00330907"/>
    <w:rsid w:val="0033167D"/>
    <w:rsid w:val="003329CA"/>
    <w:rsid w:val="00333328"/>
    <w:rsid w:val="003356DB"/>
    <w:rsid w:val="0033619B"/>
    <w:rsid w:val="00336A0E"/>
    <w:rsid w:val="00341EF6"/>
    <w:rsid w:val="0035218D"/>
    <w:rsid w:val="00357C9C"/>
    <w:rsid w:val="00361345"/>
    <w:rsid w:val="00365549"/>
    <w:rsid w:val="0036696D"/>
    <w:rsid w:val="00372BF8"/>
    <w:rsid w:val="003746BE"/>
    <w:rsid w:val="0037518E"/>
    <w:rsid w:val="003763B6"/>
    <w:rsid w:val="00376C7B"/>
    <w:rsid w:val="00383BB3"/>
    <w:rsid w:val="00390B9D"/>
    <w:rsid w:val="003910EC"/>
    <w:rsid w:val="00397CA2"/>
    <w:rsid w:val="003A1DCE"/>
    <w:rsid w:val="003A35DE"/>
    <w:rsid w:val="003A396D"/>
    <w:rsid w:val="003A5630"/>
    <w:rsid w:val="003B083A"/>
    <w:rsid w:val="003B2EFC"/>
    <w:rsid w:val="003B3063"/>
    <w:rsid w:val="003B3549"/>
    <w:rsid w:val="003B42E7"/>
    <w:rsid w:val="003B44FA"/>
    <w:rsid w:val="003C1C37"/>
    <w:rsid w:val="003C44CC"/>
    <w:rsid w:val="003D4367"/>
    <w:rsid w:val="003D7A5A"/>
    <w:rsid w:val="003E2696"/>
    <w:rsid w:val="003E3641"/>
    <w:rsid w:val="003E5159"/>
    <w:rsid w:val="003E558A"/>
    <w:rsid w:val="003E573B"/>
    <w:rsid w:val="003F1C3D"/>
    <w:rsid w:val="00403AEE"/>
    <w:rsid w:val="004068CF"/>
    <w:rsid w:val="00406FF6"/>
    <w:rsid w:val="00407290"/>
    <w:rsid w:val="00410318"/>
    <w:rsid w:val="00410514"/>
    <w:rsid w:val="0041622E"/>
    <w:rsid w:val="0042100C"/>
    <w:rsid w:val="0042100E"/>
    <w:rsid w:val="00426E5B"/>
    <w:rsid w:val="00443D3E"/>
    <w:rsid w:val="00444FF4"/>
    <w:rsid w:val="004451FB"/>
    <w:rsid w:val="00450541"/>
    <w:rsid w:val="00451111"/>
    <w:rsid w:val="00455274"/>
    <w:rsid w:val="00464A69"/>
    <w:rsid w:val="004650B5"/>
    <w:rsid w:val="004660D6"/>
    <w:rsid w:val="004708F2"/>
    <w:rsid w:val="004722FB"/>
    <w:rsid w:val="0047455D"/>
    <w:rsid w:val="0048376A"/>
    <w:rsid w:val="004861F8"/>
    <w:rsid w:val="00491AA6"/>
    <w:rsid w:val="004920D8"/>
    <w:rsid w:val="00495A6D"/>
    <w:rsid w:val="00496F97"/>
    <w:rsid w:val="004B00FD"/>
    <w:rsid w:val="004C150D"/>
    <w:rsid w:val="004C35EC"/>
    <w:rsid w:val="004D1C0B"/>
    <w:rsid w:val="004D2E52"/>
    <w:rsid w:val="004E051B"/>
    <w:rsid w:val="004E64E1"/>
    <w:rsid w:val="004F38BC"/>
    <w:rsid w:val="004F72DF"/>
    <w:rsid w:val="004F7D6F"/>
    <w:rsid w:val="00505172"/>
    <w:rsid w:val="00505457"/>
    <w:rsid w:val="00514410"/>
    <w:rsid w:val="00515C7B"/>
    <w:rsid w:val="005164BC"/>
    <w:rsid w:val="00516B66"/>
    <w:rsid w:val="0052607B"/>
    <w:rsid w:val="005276EB"/>
    <w:rsid w:val="00531289"/>
    <w:rsid w:val="00532EE0"/>
    <w:rsid w:val="00533674"/>
    <w:rsid w:val="00545BA3"/>
    <w:rsid w:val="005471FC"/>
    <w:rsid w:val="00554879"/>
    <w:rsid w:val="00561BFC"/>
    <w:rsid w:val="00564135"/>
    <w:rsid w:val="00567C6E"/>
    <w:rsid w:val="00572F4D"/>
    <w:rsid w:val="0057646A"/>
    <w:rsid w:val="005805F8"/>
    <w:rsid w:val="005848C4"/>
    <w:rsid w:val="005946B9"/>
    <w:rsid w:val="00594A97"/>
    <w:rsid w:val="00596568"/>
    <w:rsid w:val="0059685F"/>
    <w:rsid w:val="005A088B"/>
    <w:rsid w:val="005A100F"/>
    <w:rsid w:val="005A1205"/>
    <w:rsid w:val="005A29F3"/>
    <w:rsid w:val="005C1893"/>
    <w:rsid w:val="005C20B9"/>
    <w:rsid w:val="005C3238"/>
    <w:rsid w:val="005C68EE"/>
    <w:rsid w:val="005C740E"/>
    <w:rsid w:val="005D0E18"/>
    <w:rsid w:val="005D0F36"/>
    <w:rsid w:val="005D223B"/>
    <w:rsid w:val="005D6576"/>
    <w:rsid w:val="005E19EE"/>
    <w:rsid w:val="005E4021"/>
    <w:rsid w:val="005E50BF"/>
    <w:rsid w:val="005E7144"/>
    <w:rsid w:val="005F0095"/>
    <w:rsid w:val="005F648D"/>
    <w:rsid w:val="005F6504"/>
    <w:rsid w:val="00605907"/>
    <w:rsid w:val="00607341"/>
    <w:rsid w:val="00613C2F"/>
    <w:rsid w:val="0062439D"/>
    <w:rsid w:val="00632EEF"/>
    <w:rsid w:val="006334FF"/>
    <w:rsid w:val="00635F9D"/>
    <w:rsid w:val="00646A67"/>
    <w:rsid w:val="006516BE"/>
    <w:rsid w:val="006528C5"/>
    <w:rsid w:val="006532CF"/>
    <w:rsid w:val="006551F0"/>
    <w:rsid w:val="006606E6"/>
    <w:rsid w:val="006633E0"/>
    <w:rsid w:val="00675A41"/>
    <w:rsid w:val="0067634B"/>
    <w:rsid w:val="00677E8F"/>
    <w:rsid w:val="00682ADA"/>
    <w:rsid w:val="00683D30"/>
    <w:rsid w:val="00684AC9"/>
    <w:rsid w:val="00685BA6"/>
    <w:rsid w:val="00686C9A"/>
    <w:rsid w:val="00696E71"/>
    <w:rsid w:val="006975A0"/>
    <w:rsid w:val="006A3973"/>
    <w:rsid w:val="006A4294"/>
    <w:rsid w:val="006B68E1"/>
    <w:rsid w:val="006B7B0C"/>
    <w:rsid w:val="006C0EBF"/>
    <w:rsid w:val="006D0C96"/>
    <w:rsid w:val="006D19A8"/>
    <w:rsid w:val="006D4E13"/>
    <w:rsid w:val="006D5027"/>
    <w:rsid w:val="006D66DB"/>
    <w:rsid w:val="006D723B"/>
    <w:rsid w:val="006D7844"/>
    <w:rsid w:val="006E052B"/>
    <w:rsid w:val="006E50C2"/>
    <w:rsid w:val="006F08B0"/>
    <w:rsid w:val="006F47E2"/>
    <w:rsid w:val="006F4B66"/>
    <w:rsid w:val="006F4F57"/>
    <w:rsid w:val="006F73BA"/>
    <w:rsid w:val="00700A3E"/>
    <w:rsid w:val="00701670"/>
    <w:rsid w:val="00707E29"/>
    <w:rsid w:val="00710748"/>
    <w:rsid w:val="00720819"/>
    <w:rsid w:val="00722A43"/>
    <w:rsid w:val="00722F2B"/>
    <w:rsid w:val="00733192"/>
    <w:rsid w:val="00740073"/>
    <w:rsid w:val="007415CC"/>
    <w:rsid w:val="00742999"/>
    <w:rsid w:val="007443EB"/>
    <w:rsid w:val="00745F59"/>
    <w:rsid w:val="00747E28"/>
    <w:rsid w:val="00750916"/>
    <w:rsid w:val="007520F9"/>
    <w:rsid w:val="00752390"/>
    <w:rsid w:val="00753140"/>
    <w:rsid w:val="00773671"/>
    <w:rsid w:val="0077656C"/>
    <w:rsid w:val="00777D47"/>
    <w:rsid w:val="00780DFE"/>
    <w:rsid w:val="00780F51"/>
    <w:rsid w:val="00783B2C"/>
    <w:rsid w:val="00783E32"/>
    <w:rsid w:val="0078413D"/>
    <w:rsid w:val="007924A1"/>
    <w:rsid w:val="007927FB"/>
    <w:rsid w:val="0079545F"/>
    <w:rsid w:val="00795C27"/>
    <w:rsid w:val="007972EA"/>
    <w:rsid w:val="007A2B3B"/>
    <w:rsid w:val="007B17C7"/>
    <w:rsid w:val="007B3947"/>
    <w:rsid w:val="007B4DBC"/>
    <w:rsid w:val="007B5668"/>
    <w:rsid w:val="007B5F36"/>
    <w:rsid w:val="007C049F"/>
    <w:rsid w:val="007D3AD4"/>
    <w:rsid w:val="007D678F"/>
    <w:rsid w:val="007E1ED8"/>
    <w:rsid w:val="007E2D1B"/>
    <w:rsid w:val="007E348E"/>
    <w:rsid w:val="007E4BBA"/>
    <w:rsid w:val="007E65F0"/>
    <w:rsid w:val="007E7AFC"/>
    <w:rsid w:val="007F09DD"/>
    <w:rsid w:val="007F0C22"/>
    <w:rsid w:val="007F1714"/>
    <w:rsid w:val="007F2014"/>
    <w:rsid w:val="007F3D2B"/>
    <w:rsid w:val="007F53C8"/>
    <w:rsid w:val="00802E64"/>
    <w:rsid w:val="008045F5"/>
    <w:rsid w:val="00804BCC"/>
    <w:rsid w:val="00807AEB"/>
    <w:rsid w:val="008127D7"/>
    <w:rsid w:val="00814099"/>
    <w:rsid w:val="008237C2"/>
    <w:rsid w:val="00823828"/>
    <w:rsid w:val="0082601D"/>
    <w:rsid w:val="00830A92"/>
    <w:rsid w:val="00837244"/>
    <w:rsid w:val="00840FB3"/>
    <w:rsid w:val="00851D99"/>
    <w:rsid w:val="00852056"/>
    <w:rsid w:val="00853D1D"/>
    <w:rsid w:val="008624F8"/>
    <w:rsid w:val="00863A54"/>
    <w:rsid w:val="00863CC5"/>
    <w:rsid w:val="00865797"/>
    <w:rsid w:val="00865E33"/>
    <w:rsid w:val="008662C2"/>
    <w:rsid w:val="00873DFA"/>
    <w:rsid w:val="00874F2E"/>
    <w:rsid w:val="00877D12"/>
    <w:rsid w:val="00881C2D"/>
    <w:rsid w:val="0088202B"/>
    <w:rsid w:val="00887BF3"/>
    <w:rsid w:val="0089169B"/>
    <w:rsid w:val="008923EC"/>
    <w:rsid w:val="00895D78"/>
    <w:rsid w:val="008979F8"/>
    <w:rsid w:val="008A0A0D"/>
    <w:rsid w:val="008A1B7D"/>
    <w:rsid w:val="008A3026"/>
    <w:rsid w:val="008A3DB2"/>
    <w:rsid w:val="008A3F05"/>
    <w:rsid w:val="008A4E75"/>
    <w:rsid w:val="008A4FBB"/>
    <w:rsid w:val="008A596B"/>
    <w:rsid w:val="008B1C79"/>
    <w:rsid w:val="008B53BA"/>
    <w:rsid w:val="008B5FB2"/>
    <w:rsid w:val="008B70F6"/>
    <w:rsid w:val="008B7630"/>
    <w:rsid w:val="008C1775"/>
    <w:rsid w:val="008D0551"/>
    <w:rsid w:val="008D074D"/>
    <w:rsid w:val="008D6C78"/>
    <w:rsid w:val="008D78D2"/>
    <w:rsid w:val="008E03C6"/>
    <w:rsid w:val="008E4023"/>
    <w:rsid w:val="008F3B63"/>
    <w:rsid w:val="008F4FF5"/>
    <w:rsid w:val="008F7A59"/>
    <w:rsid w:val="00900A86"/>
    <w:rsid w:val="00901438"/>
    <w:rsid w:val="00905B65"/>
    <w:rsid w:val="0091297D"/>
    <w:rsid w:val="009149A4"/>
    <w:rsid w:val="009149E5"/>
    <w:rsid w:val="00917B45"/>
    <w:rsid w:val="00920EB2"/>
    <w:rsid w:val="0092419D"/>
    <w:rsid w:val="009253C3"/>
    <w:rsid w:val="00933569"/>
    <w:rsid w:val="00941954"/>
    <w:rsid w:val="0094362A"/>
    <w:rsid w:val="00943CDF"/>
    <w:rsid w:val="00943DA7"/>
    <w:rsid w:val="0094644A"/>
    <w:rsid w:val="00946807"/>
    <w:rsid w:val="00946B6B"/>
    <w:rsid w:val="00947E15"/>
    <w:rsid w:val="00961B73"/>
    <w:rsid w:val="00964D02"/>
    <w:rsid w:val="00964FF1"/>
    <w:rsid w:val="00970CEC"/>
    <w:rsid w:val="00975113"/>
    <w:rsid w:val="00975AD5"/>
    <w:rsid w:val="00980240"/>
    <w:rsid w:val="00982AC2"/>
    <w:rsid w:val="00982F6C"/>
    <w:rsid w:val="00983976"/>
    <w:rsid w:val="00986370"/>
    <w:rsid w:val="00990874"/>
    <w:rsid w:val="00990A8F"/>
    <w:rsid w:val="00992C31"/>
    <w:rsid w:val="00997BD4"/>
    <w:rsid w:val="009A1DD4"/>
    <w:rsid w:val="009A3ADF"/>
    <w:rsid w:val="009A5ADC"/>
    <w:rsid w:val="009A781F"/>
    <w:rsid w:val="009B2BC4"/>
    <w:rsid w:val="009B7736"/>
    <w:rsid w:val="009B77F0"/>
    <w:rsid w:val="009C194A"/>
    <w:rsid w:val="009C1E51"/>
    <w:rsid w:val="009C24AB"/>
    <w:rsid w:val="009C5FC7"/>
    <w:rsid w:val="009D0151"/>
    <w:rsid w:val="009D2756"/>
    <w:rsid w:val="009D4E53"/>
    <w:rsid w:val="009E4839"/>
    <w:rsid w:val="009E65BD"/>
    <w:rsid w:val="009E7CD5"/>
    <w:rsid w:val="009F3602"/>
    <w:rsid w:val="009F3AF3"/>
    <w:rsid w:val="009F3E19"/>
    <w:rsid w:val="009F572B"/>
    <w:rsid w:val="00A0658F"/>
    <w:rsid w:val="00A23B99"/>
    <w:rsid w:val="00A2520D"/>
    <w:rsid w:val="00A26BB8"/>
    <w:rsid w:val="00A34709"/>
    <w:rsid w:val="00A3678C"/>
    <w:rsid w:val="00A406A8"/>
    <w:rsid w:val="00A47F1C"/>
    <w:rsid w:val="00A5287B"/>
    <w:rsid w:val="00A7199F"/>
    <w:rsid w:val="00A7448C"/>
    <w:rsid w:val="00A752B0"/>
    <w:rsid w:val="00A80824"/>
    <w:rsid w:val="00A84FA8"/>
    <w:rsid w:val="00A92E23"/>
    <w:rsid w:val="00A934CD"/>
    <w:rsid w:val="00A9420D"/>
    <w:rsid w:val="00A951CE"/>
    <w:rsid w:val="00A95DE7"/>
    <w:rsid w:val="00AA5F7A"/>
    <w:rsid w:val="00AA721F"/>
    <w:rsid w:val="00AA785D"/>
    <w:rsid w:val="00AB0683"/>
    <w:rsid w:val="00AB0972"/>
    <w:rsid w:val="00AC4E7D"/>
    <w:rsid w:val="00AD0290"/>
    <w:rsid w:val="00AD13A3"/>
    <w:rsid w:val="00AD2083"/>
    <w:rsid w:val="00AD672A"/>
    <w:rsid w:val="00AE1083"/>
    <w:rsid w:val="00AE1D3F"/>
    <w:rsid w:val="00AE3312"/>
    <w:rsid w:val="00AF4212"/>
    <w:rsid w:val="00AF42D2"/>
    <w:rsid w:val="00AF4C33"/>
    <w:rsid w:val="00AF5B97"/>
    <w:rsid w:val="00B003F1"/>
    <w:rsid w:val="00B0355A"/>
    <w:rsid w:val="00B0747D"/>
    <w:rsid w:val="00B1411E"/>
    <w:rsid w:val="00B164CD"/>
    <w:rsid w:val="00B2264C"/>
    <w:rsid w:val="00B24033"/>
    <w:rsid w:val="00B278C5"/>
    <w:rsid w:val="00B3150C"/>
    <w:rsid w:val="00B31FC6"/>
    <w:rsid w:val="00B338F9"/>
    <w:rsid w:val="00B35372"/>
    <w:rsid w:val="00B35761"/>
    <w:rsid w:val="00B4187A"/>
    <w:rsid w:val="00B47B28"/>
    <w:rsid w:val="00B51DB4"/>
    <w:rsid w:val="00B52F2F"/>
    <w:rsid w:val="00B5311D"/>
    <w:rsid w:val="00B53A61"/>
    <w:rsid w:val="00B54E4C"/>
    <w:rsid w:val="00B57C1D"/>
    <w:rsid w:val="00B61FE5"/>
    <w:rsid w:val="00B64829"/>
    <w:rsid w:val="00B7129A"/>
    <w:rsid w:val="00B7153C"/>
    <w:rsid w:val="00B73D32"/>
    <w:rsid w:val="00B80305"/>
    <w:rsid w:val="00B82CCC"/>
    <w:rsid w:val="00B83D4A"/>
    <w:rsid w:val="00B83F08"/>
    <w:rsid w:val="00B83F1A"/>
    <w:rsid w:val="00B86B42"/>
    <w:rsid w:val="00B9302D"/>
    <w:rsid w:val="00B93393"/>
    <w:rsid w:val="00B943A1"/>
    <w:rsid w:val="00B9792C"/>
    <w:rsid w:val="00BA1397"/>
    <w:rsid w:val="00BA27D6"/>
    <w:rsid w:val="00BA652A"/>
    <w:rsid w:val="00BA68AA"/>
    <w:rsid w:val="00BA7E63"/>
    <w:rsid w:val="00BB6D75"/>
    <w:rsid w:val="00BB7F94"/>
    <w:rsid w:val="00BC0347"/>
    <w:rsid w:val="00BC2642"/>
    <w:rsid w:val="00BC534E"/>
    <w:rsid w:val="00BC61B1"/>
    <w:rsid w:val="00BC7F42"/>
    <w:rsid w:val="00BC7F8C"/>
    <w:rsid w:val="00BD202A"/>
    <w:rsid w:val="00BD3010"/>
    <w:rsid w:val="00BE2722"/>
    <w:rsid w:val="00BE2BE8"/>
    <w:rsid w:val="00BE3D9E"/>
    <w:rsid w:val="00BE4BC9"/>
    <w:rsid w:val="00BF3673"/>
    <w:rsid w:val="00BF373B"/>
    <w:rsid w:val="00BF47A9"/>
    <w:rsid w:val="00BF584A"/>
    <w:rsid w:val="00BF79C0"/>
    <w:rsid w:val="00C003E7"/>
    <w:rsid w:val="00C02D06"/>
    <w:rsid w:val="00C0369C"/>
    <w:rsid w:val="00C046CE"/>
    <w:rsid w:val="00C05599"/>
    <w:rsid w:val="00C13D75"/>
    <w:rsid w:val="00C17E47"/>
    <w:rsid w:val="00C20B2B"/>
    <w:rsid w:val="00C214A3"/>
    <w:rsid w:val="00C215A1"/>
    <w:rsid w:val="00C23E0D"/>
    <w:rsid w:val="00C26F08"/>
    <w:rsid w:val="00C32F4D"/>
    <w:rsid w:val="00C40E15"/>
    <w:rsid w:val="00C470BF"/>
    <w:rsid w:val="00C478A0"/>
    <w:rsid w:val="00C52B71"/>
    <w:rsid w:val="00C54BF8"/>
    <w:rsid w:val="00C563CA"/>
    <w:rsid w:val="00C60863"/>
    <w:rsid w:val="00C61967"/>
    <w:rsid w:val="00C65D35"/>
    <w:rsid w:val="00C70240"/>
    <w:rsid w:val="00C72F02"/>
    <w:rsid w:val="00C76012"/>
    <w:rsid w:val="00C8450D"/>
    <w:rsid w:val="00C90CC7"/>
    <w:rsid w:val="00C938F4"/>
    <w:rsid w:val="00C974A3"/>
    <w:rsid w:val="00C97BCE"/>
    <w:rsid w:val="00CA1EB5"/>
    <w:rsid w:val="00CA20A6"/>
    <w:rsid w:val="00CA252D"/>
    <w:rsid w:val="00CB058A"/>
    <w:rsid w:val="00CB0846"/>
    <w:rsid w:val="00CB08D5"/>
    <w:rsid w:val="00CB3324"/>
    <w:rsid w:val="00CB6246"/>
    <w:rsid w:val="00CB65E2"/>
    <w:rsid w:val="00CC54B6"/>
    <w:rsid w:val="00CE03EC"/>
    <w:rsid w:val="00CE2762"/>
    <w:rsid w:val="00CE4109"/>
    <w:rsid w:val="00CE5134"/>
    <w:rsid w:val="00CE71E7"/>
    <w:rsid w:val="00CF5C87"/>
    <w:rsid w:val="00D009FE"/>
    <w:rsid w:val="00D0166D"/>
    <w:rsid w:val="00D03F44"/>
    <w:rsid w:val="00D04626"/>
    <w:rsid w:val="00D10CF2"/>
    <w:rsid w:val="00D1333E"/>
    <w:rsid w:val="00D13891"/>
    <w:rsid w:val="00D14186"/>
    <w:rsid w:val="00D14A0B"/>
    <w:rsid w:val="00D20825"/>
    <w:rsid w:val="00D20F7E"/>
    <w:rsid w:val="00D262D2"/>
    <w:rsid w:val="00D30B97"/>
    <w:rsid w:val="00D31DB2"/>
    <w:rsid w:val="00D35F91"/>
    <w:rsid w:val="00D36E89"/>
    <w:rsid w:val="00D4477C"/>
    <w:rsid w:val="00D52A19"/>
    <w:rsid w:val="00D6238C"/>
    <w:rsid w:val="00D66995"/>
    <w:rsid w:val="00D70AD8"/>
    <w:rsid w:val="00D70DB5"/>
    <w:rsid w:val="00D7297C"/>
    <w:rsid w:val="00D753A1"/>
    <w:rsid w:val="00D75F03"/>
    <w:rsid w:val="00D75F8E"/>
    <w:rsid w:val="00D85B58"/>
    <w:rsid w:val="00D8766E"/>
    <w:rsid w:val="00D915AE"/>
    <w:rsid w:val="00D937F0"/>
    <w:rsid w:val="00D93CE0"/>
    <w:rsid w:val="00D93D4C"/>
    <w:rsid w:val="00DA33B2"/>
    <w:rsid w:val="00DA5447"/>
    <w:rsid w:val="00DB0C45"/>
    <w:rsid w:val="00DB6E12"/>
    <w:rsid w:val="00DC1CF4"/>
    <w:rsid w:val="00DD2372"/>
    <w:rsid w:val="00DD7E52"/>
    <w:rsid w:val="00DE675B"/>
    <w:rsid w:val="00DF17E9"/>
    <w:rsid w:val="00DF78F3"/>
    <w:rsid w:val="00E00948"/>
    <w:rsid w:val="00E036A0"/>
    <w:rsid w:val="00E041F4"/>
    <w:rsid w:val="00E05F49"/>
    <w:rsid w:val="00E06CFF"/>
    <w:rsid w:val="00E07A5E"/>
    <w:rsid w:val="00E105C8"/>
    <w:rsid w:val="00E12897"/>
    <w:rsid w:val="00E14CE6"/>
    <w:rsid w:val="00E217C3"/>
    <w:rsid w:val="00E2229D"/>
    <w:rsid w:val="00E25EF7"/>
    <w:rsid w:val="00E26385"/>
    <w:rsid w:val="00E265B0"/>
    <w:rsid w:val="00E27886"/>
    <w:rsid w:val="00E34CB9"/>
    <w:rsid w:val="00E36A28"/>
    <w:rsid w:val="00E45570"/>
    <w:rsid w:val="00E464C2"/>
    <w:rsid w:val="00E46FF3"/>
    <w:rsid w:val="00E47762"/>
    <w:rsid w:val="00E519C7"/>
    <w:rsid w:val="00E55493"/>
    <w:rsid w:val="00E57250"/>
    <w:rsid w:val="00E57F53"/>
    <w:rsid w:val="00E64D48"/>
    <w:rsid w:val="00E70807"/>
    <w:rsid w:val="00E7574E"/>
    <w:rsid w:val="00E81566"/>
    <w:rsid w:val="00E8529D"/>
    <w:rsid w:val="00E91CEB"/>
    <w:rsid w:val="00E91D46"/>
    <w:rsid w:val="00E934B0"/>
    <w:rsid w:val="00E94754"/>
    <w:rsid w:val="00E954C2"/>
    <w:rsid w:val="00EA0102"/>
    <w:rsid w:val="00EA045F"/>
    <w:rsid w:val="00EA270F"/>
    <w:rsid w:val="00EB0A39"/>
    <w:rsid w:val="00EB231A"/>
    <w:rsid w:val="00EB41A8"/>
    <w:rsid w:val="00EB4ED5"/>
    <w:rsid w:val="00EB74D6"/>
    <w:rsid w:val="00EB7618"/>
    <w:rsid w:val="00EC0A42"/>
    <w:rsid w:val="00EC11FA"/>
    <w:rsid w:val="00EC1517"/>
    <w:rsid w:val="00EC47FF"/>
    <w:rsid w:val="00EC7675"/>
    <w:rsid w:val="00EC7E24"/>
    <w:rsid w:val="00ED0BBF"/>
    <w:rsid w:val="00ED3626"/>
    <w:rsid w:val="00ED672E"/>
    <w:rsid w:val="00ED6910"/>
    <w:rsid w:val="00EE1245"/>
    <w:rsid w:val="00EE1587"/>
    <w:rsid w:val="00EE225A"/>
    <w:rsid w:val="00EE225B"/>
    <w:rsid w:val="00EF5B43"/>
    <w:rsid w:val="00EF6C6E"/>
    <w:rsid w:val="00EF6E39"/>
    <w:rsid w:val="00F00995"/>
    <w:rsid w:val="00F01BA8"/>
    <w:rsid w:val="00F06ED6"/>
    <w:rsid w:val="00F119EB"/>
    <w:rsid w:val="00F13E68"/>
    <w:rsid w:val="00F17BBF"/>
    <w:rsid w:val="00F200AB"/>
    <w:rsid w:val="00F21623"/>
    <w:rsid w:val="00F273A0"/>
    <w:rsid w:val="00F302E8"/>
    <w:rsid w:val="00F31D4B"/>
    <w:rsid w:val="00F32181"/>
    <w:rsid w:val="00F34C41"/>
    <w:rsid w:val="00F352E7"/>
    <w:rsid w:val="00F37E23"/>
    <w:rsid w:val="00F40E73"/>
    <w:rsid w:val="00F40EE7"/>
    <w:rsid w:val="00F436CE"/>
    <w:rsid w:val="00F504F3"/>
    <w:rsid w:val="00F50889"/>
    <w:rsid w:val="00F5421D"/>
    <w:rsid w:val="00F570CB"/>
    <w:rsid w:val="00F57E77"/>
    <w:rsid w:val="00F57FCA"/>
    <w:rsid w:val="00F6460A"/>
    <w:rsid w:val="00F6759B"/>
    <w:rsid w:val="00F67C8D"/>
    <w:rsid w:val="00F7084E"/>
    <w:rsid w:val="00F72C0F"/>
    <w:rsid w:val="00F73B8E"/>
    <w:rsid w:val="00F80807"/>
    <w:rsid w:val="00F83C7B"/>
    <w:rsid w:val="00F84763"/>
    <w:rsid w:val="00F90BDD"/>
    <w:rsid w:val="00F92ABB"/>
    <w:rsid w:val="00F94B8C"/>
    <w:rsid w:val="00FA1B4A"/>
    <w:rsid w:val="00FA549F"/>
    <w:rsid w:val="00FA72D6"/>
    <w:rsid w:val="00FB4449"/>
    <w:rsid w:val="00FB49E9"/>
    <w:rsid w:val="00FC154F"/>
    <w:rsid w:val="00FC5C4D"/>
    <w:rsid w:val="00FC6231"/>
    <w:rsid w:val="00FE4DC3"/>
    <w:rsid w:val="00FE69DF"/>
    <w:rsid w:val="00FF155E"/>
    <w:rsid w:val="00FF2F85"/>
    <w:rsid w:val="00FF5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0B159E9"/>
  <w15:docId w15:val="{33C45581-3219-4EF5-8422-D8D85914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FC6231"/>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204"/>
      </w:tabs>
      <w:spacing w:line="345"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856"/>
      </w:tabs>
      <w:spacing w:line="345" w:lineRule="atLeast"/>
      <w:ind w:left="555" w:hanging="856"/>
    </w:pPr>
  </w:style>
  <w:style w:type="paragraph" w:customStyle="1" w:styleId="TxBrp4">
    <w:name w:val="TxBr_p4"/>
    <w:basedOn w:val="Normal"/>
    <w:pPr>
      <w:spacing w:line="323" w:lineRule="atLeast"/>
    </w:pPr>
  </w:style>
  <w:style w:type="paragraph" w:customStyle="1" w:styleId="TxBrp5">
    <w:name w:val="TxBr_p5"/>
    <w:basedOn w:val="Normal"/>
    <w:pPr>
      <w:spacing w:line="272" w:lineRule="atLeast"/>
      <w:ind w:left="1020"/>
    </w:pPr>
  </w:style>
  <w:style w:type="paragraph" w:customStyle="1" w:styleId="TxBrp6">
    <w:name w:val="TxBr_p6"/>
    <w:basedOn w:val="Normal"/>
    <w:pPr>
      <w:tabs>
        <w:tab w:val="left" w:pos="204"/>
      </w:tabs>
      <w:spacing w:line="272" w:lineRule="atLeast"/>
    </w:pPr>
  </w:style>
  <w:style w:type="paragraph" w:customStyle="1" w:styleId="TxBrp7">
    <w:name w:val="TxBr_p7"/>
    <w:basedOn w:val="Normal"/>
    <w:pPr>
      <w:tabs>
        <w:tab w:val="left" w:pos="204"/>
      </w:tabs>
      <w:spacing w:line="240" w:lineRule="atLeast"/>
    </w:pPr>
  </w:style>
  <w:style w:type="paragraph" w:customStyle="1" w:styleId="TxBrp8">
    <w:name w:val="TxBr_p8"/>
    <w:basedOn w:val="Normal"/>
    <w:pPr>
      <w:tabs>
        <w:tab w:val="left" w:pos="822"/>
      </w:tabs>
      <w:spacing w:line="272" w:lineRule="atLeast"/>
      <w:ind w:left="822" w:hanging="431"/>
    </w:pPr>
  </w:style>
  <w:style w:type="paragraph" w:customStyle="1" w:styleId="TxBrp9">
    <w:name w:val="TxBr_p9"/>
    <w:basedOn w:val="Normal"/>
    <w:pPr>
      <w:tabs>
        <w:tab w:val="left" w:pos="822"/>
        <w:tab w:val="left" w:pos="1683"/>
      </w:tabs>
      <w:spacing w:line="272" w:lineRule="atLeast"/>
      <w:ind w:left="1684" w:hanging="862"/>
    </w:pPr>
  </w:style>
  <w:style w:type="paragraph" w:customStyle="1" w:styleId="TxBrp10">
    <w:name w:val="TxBr_p10"/>
    <w:basedOn w:val="Normal"/>
    <w:pPr>
      <w:tabs>
        <w:tab w:val="left" w:pos="538"/>
      </w:tabs>
      <w:spacing w:line="272" w:lineRule="atLeast"/>
    </w:pPr>
  </w:style>
  <w:style w:type="paragraph" w:customStyle="1" w:styleId="TxBrp11">
    <w:name w:val="TxBr_p11"/>
    <w:basedOn w:val="Normal"/>
    <w:pPr>
      <w:tabs>
        <w:tab w:val="left" w:pos="1043"/>
      </w:tabs>
      <w:spacing w:line="240" w:lineRule="atLeast"/>
      <w:ind w:left="368" w:hanging="1043"/>
    </w:pPr>
  </w:style>
  <w:style w:type="paragraph" w:customStyle="1" w:styleId="TxBrt12">
    <w:name w:val="TxBr_t12"/>
    <w:basedOn w:val="Normal"/>
    <w:pPr>
      <w:spacing w:line="391" w:lineRule="atLeast"/>
    </w:pPr>
  </w:style>
  <w:style w:type="paragraph" w:customStyle="1" w:styleId="TxBrp14">
    <w:name w:val="TxBr_p14"/>
    <w:basedOn w:val="Normal"/>
    <w:pPr>
      <w:spacing w:line="391" w:lineRule="atLeast"/>
      <w:ind w:left="1020"/>
    </w:pPr>
  </w:style>
  <w:style w:type="paragraph" w:customStyle="1" w:styleId="TxBrp15">
    <w:name w:val="TxBr_p15"/>
    <w:basedOn w:val="Normal"/>
    <w:pPr>
      <w:tabs>
        <w:tab w:val="left" w:pos="538"/>
        <w:tab w:val="left" w:pos="1043"/>
      </w:tabs>
      <w:spacing w:line="272" w:lineRule="atLeast"/>
      <w:ind w:left="872"/>
    </w:pPr>
  </w:style>
  <w:style w:type="paragraph" w:customStyle="1" w:styleId="TxBrp16">
    <w:name w:val="TxBr_p16"/>
    <w:basedOn w:val="Normal"/>
    <w:pPr>
      <w:tabs>
        <w:tab w:val="left" w:pos="748"/>
      </w:tabs>
      <w:spacing w:line="240" w:lineRule="atLeast"/>
      <w:ind w:left="662" w:hanging="748"/>
    </w:pPr>
  </w:style>
  <w:style w:type="paragraph" w:customStyle="1" w:styleId="TxBrp17">
    <w:name w:val="TxBr_p17"/>
    <w:basedOn w:val="Normal"/>
    <w:pPr>
      <w:tabs>
        <w:tab w:val="left" w:pos="3651"/>
      </w:tabs>
      <w:spacing w:line="240" w:lineRule="atLeast"/>
      <w:ind w:left="2240" w:hanging="3651"/>
    </w:pPr>
  </w:style>
  <w:style w:type="paragraph" w:customStyle="1" w:styleId="TxBrp18">
    <w:name w:val="TxBr_p18"/>
    <w:basedOn w:val="Normal"/>
    <w:pPr>
      <w:spacing w:line="272" w:lineRule="atLeast"/>
      <w:ind w:left="872" w:hanging="538"/>
      <w:jc w:val="both"/>
    </w:pPr>
  </w:style>
  <w:style w:type="paragraph" w:customStyle="1" w:styleId="TxBrp19">
    <w:name w:val="TxBr_p19"/>
    <w:basedOn w:val="Normal"/>
    <w:pPr>
      <w:spacing w:line="272" w:lineRule="atLeast"/>
      <w:ind w:left="872"/>
      <w:jc w:val="both"/>
    </w:pPr>
  </w:style>
  <w:style w:type="paragraph" w:customStyle="1" w:styleId="TxBrp20">
    <w:name w:val="TxBr_p20"/>
    <w:basedOn w:val="Normal"/>
    <w:pPr>
      <w:tabs>
        <w:tab w:val="left" w:pos="204"/>
      </w:tabs>
      <w:spacing w:line="240" w:lineRule="atLeast"/>
      <w:jc w:val="both"/>
    </w:pPr>
  </w:style>
  <w:style w:type="paragraph" w:customStyle="1" w:styleId="TxBrp21">
    <w:name w:val="TxBr_p21"/>
    <w:basedOn w:val="Normal"/>
    <w:pPr>
      <w:tabs>
        <w:tab w:val="left" w:pos="748"/>
      </w:tabs>
      <w:spacing w:line="272" w:lineRule="atLeast"/>
      <w:ind w:left="662"/>
    </w:pPr>
  </w:style>
  <w:style w:type="paragraph" w:styleId="FootnoteText">
    <w:name w:val="footnote text"/>
    <w:basedOn w:val="Normal"/>
    <w:semiHidden/>
    <w:rsid w:val="00943DA7"/>
    <w:rPr>
      <w:sz w:val="20"/>
      <w:szCs w:val="20"/>
    </w:rPr>
  </w:style>
  <w:style w:type="character" w:styleId="FootnoteReference">
    <w:name w:val="footnote reference"/>
    <w:semiHidden/>
    <w:rsid w:val="00943DA7"/>
    <w:rPr>
      <w:vertAlign w:val="superscript"/>
    </w:rPr>
  </w:style>
  <w:style w:type="paragraph" w:styleId="BodyText2">
    <w:name w:val="Body Text 2"/>
    <w:basedOn w:val="Normal"/>
    <w:rsid w:val="00B930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i/>
      <w:snapToGrid w:val="0"/>
      <w:szCs w:val="20"/>
    </w:rPr>
  </w:style>
  <w:style w:type="paragraph" w:styleId="HTMLPreformatted">
    <w:name w:val="HTML Preformatted"/>
    <w:basedOn w:val="Normal"/>
    <w:rsid w:val="008C17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2102A5"/>
    <w:rPr>
      <w:rFonts w:ascii="Tahoma" w:hAnsi="Tahoma" w:cs="Tahoma"/>
      <w:sz w:val="16"/>
      <w:szCs w:val="16"/>
    </w:rPr>
  </w:style>
  <w:style w:type="paragraph" w:styleId="Header">
    <w:name w:val="header"/>
    <w:basedOn w:val="Normal"/>
    <w:link w:val="HeaderChar"/>
    <w:rsid w:val="00C17E47"/>
    <w:pPr>
      <w:tabs>
        <w:tab w:val="center" w:pos="4320"/>
        <w:tab w:val="right" w:pos="8640"/>
      </w:tabs>
    </w:pPr>
  </w:style>
  <w:style w:type="paragraph" w:styleId="Footer">
    <w:name w:val="footer"/>
    <w:basedOn w:val="Normal"/>
    <w:rsid w:val="00C17E47"/>
    <w:pPr>
      <w:tabs>
        <w:tab w:val="center" w:pos="4320"/>
        <w:tab w:val="right" w:pos="8640"/>
      </w:tabs>
    </w:pPr>
  </w:style>
  <w:style w:type="character" w:styleId="PageNumber">
    <w:name w:val="page number"/>
    <w:basedOn w:val="DefaultParagraphFont"/>
    <w:rsid w:val="00C17E47"/>
  </w:style>
  <w:style w:type="character" w:styleId="CommentReference">
    <w:name w:val="annotation reference"/>
    <w:semiHidden/>
    <w:rsid w:val="005848C4"/>
    <w:rPr>
      <w:sz w:val="16"/>
      <w:szCs w:val="16"/>
    </w:rPr>
  </w:style>
  <w:style w:type="paragraph" w:styleId="CommentText">
    <w:name w:val="annotation text"/>
    <w:basedOn w:val="Normal"/>
    <w:semiHidden/>
    <w:rsid w:val="005848C4"/>
    <w:rPr>
      <w:sz w:val="20"/>
      <w:szCs w:val="20"/>
    </w:rPr>
  </w:style>
  <w:style w:type="paragraph" w:styleId="CommentSubject">
    <w:name w:val="annotation subject"/>
    <w:basedOn w:val="CommentText"/>
    <w:next w:val="CommentText"/>
    <w:semiHidden/>
    <w:rsid w:val="005848C4"/>
    <w:rPr>
      <w:b/>
      <w:bCs/>
    </w:rPr>
  </w:style>
  <w:style w:type="table" w:styleId="TableGrid">
    <w:name w:val="Table Grid"/>
    <w:basedOn w:val="TableNormal"/>
    <w:rsid w:val="006D19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084E15"/>
    <w:rPr>
      <w:sz w:val="20"/>
      <w:szCs w:val="20"/>
    </w:rPr>
  </w:style>
  <w:style w:type="character" w:styleId="EndnoteReference">
    <w:name w:val="endnote reference"/>
    <w:semiHidden/>
    <w:rsid w:val="00084E15"/>
    <w:rPr>
      <w:vertAlign w:val="superscript"/>
    </w:rPr>
  </w:style>
  <w:style w:type="paragraph" w:styleId="ListParagraph">
    <w:name w:val="List Paragraph"/>
    <w:basedOn w:val="Normal"/>
    <w:uiPriority w:val="34"/>
    <w:qFormat/>
    <w:rsid w:val="00997BD4"/>
    <w:pPr>
      <w:ind w:left="720"/>
    </w:pPr>
  </w:style>
  <w:style w:type="paragraph" w:styleId="Revision">
    <w:name w:val="Revision"/>
    <w:hidden/>
    <w:uiPriority w:val="99"/>
    <w:semiHidden/>
    <w:rsid w:val="00A7199F"/>
    <w:rPr>
      <w:sz w:val="24"/>
      <w:szCs w:val="24"/>
    </w:rPr>
  </w:style>
  <w:style w:type="character" w:styleId="Hyperlink">
    <w:name w:val="Hyperlink"/>
    <w:rsid w:val="00197391"/>
    <w:rPr>
      <w:color w:val="0000FF"/>
      <w:u w:val="single"/>
    </w:rPr>
  </w:style>
  <w:style w:type="character" w:customStyle="1" w:styleId="HeaderChar">
    <w:name w:val="Header Char"/>
    <w:link w:val="Header"/>
    <w:rsid w:val="00276D0E"/>
    <w:rPr>
      <w:sz w:val="24"/>
      <w:szCs w:val="24"/>
    </w:rPr>
  </w:style>
  <w:style w:type="character" w:styleId="FollowedHyperlink">
    <w:name w:val="FollowedHyperlink"/>
    <w:rsid w:val="00873DFA"/>
    <w:rPr>
      <w:color w:val="800080"/>
      <w:u w:val="single"/>
    </w:rPr>
  </w:style>
  <w:style w:type="character" w:customStyle="1" w:styleId="Heading1Char">
    <w:name w:val="Heading 1 Char"/>
    <w:basedOn w:val="DefaultParagraphFont"/>
    <w:link w:val="Heading1"/>
    <w:rsid w:val="00FC6231"/>
    <w:rPr>
      <w:rFonts w:ascii="Courier New" w:hAnsi="Courier New" w:cs="Courier New"/>
      <w:b/>
      <w:bCs/>
      <w:snapToGrid w:val="0"/>
      <w:sz w:val="24"/>
      <w:szCs w:val="24"/>
    </w:rPr>
  </w:style>
  <w:style w:type="table" w:customStyle="1" w:styleId="TableGrid3">
    <w:name w:val="Table Grid3"/>
    <w:basedOn w:val="TableNormal"/>
    <w:uiPriority w:val="39"/>
    <w:rsid w:val="0006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2factsheet.pdf" TargetMode="Externa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89EC-E8AD-4B36-B7DE-518F25EE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2649</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Monthly Wage Reporting Pilot</vt:lpstr>
    </vt:vector>
  </TitlesOfParts>
  <Company>Social Security Administration</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Monthly Wage Reporting Pilot</dc:title>
  <dc:creator>Preferred Customer</dc:creator>
  <cp:lastModifiedBy>Naomi Sipple</cp:lastModifiedBy>
  <cp:revision>2</cp:revision>
  <cp:lastPrinted>2016-03-08T12:02:00Z</cp:lastPrinted>
  <dcterms:created xsi:type="dcterms:W3CDTF">2022-10-12T18:39:00Z</dcterms:created>
  <dcterms:modified xsi:type="dcterms:W3CDTF">2022-10-12T18:39:00Z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-1294887151</vt:i4>
  </property>
  <property fmtid="{D5CDD505-2E9C-101B-9397-08002B2CF9AE}" pid="3" name="_AuthorEmail">
    <vt:lpwstr>Marsha.V.Robinson-Vaden@SSA.Gov</vt:lpwstr>
  </property>
  <property fmtid="{D5CDD505-2E9C-101B-9397-08002B2CF9AE}" pid="4" name="_AuthorEmailDisplayName">
    <vt:lpwstr>Robinson-Vaden, Marsha V.</vt:lpwstr>
  </property>
  <property fmtid="{D5CDD505-2E9C-101B-9397-08002B2CF9AE}" pid="5" name="_EmailSubject">
    <vt:lpwstr>RESPONSE RE: OMB Expiration Notice:  0960-0715 Monthly SSI Wage Reporting</vt:lpwstr>
  </property>
  <property fmtid="{D5CDD505-2E9C-101B-9397-08002B2CF9AE}" pid="6" name="_NewReviewCycle">
    <vt:lpwstr/>
  </property>
  <property fmtid="{D5CDD505-2E9C-101B-9397-08002B2CF9AE}" pid="7" name="_ReviewingToolsShownOnce">
    <vt:lpwstr/>
  </property>
</Properties>
</file>