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680D" w:rsidP="0005680D" w:rsidRDefault="0005680D" w14:paraId="7B098020" w14:textId="246C49BE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4A777C">
        <w:t>Jordan Cohen</w:t>
      </w:r>
    </w:p>
    <w:p w:rsidR="0005680D" w:rsidP="0005680D" w:rsidRDefault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:rsidRDefault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Pr="004E0796" w:rsidR="0005680D" w:rsidP="0005680D" w:rsidRDefault="0005680D" w14:paraId="020B5E52" w14:textId="77777777">
      <w:pPr>
        <w:tabs>
          <w:tab w:val="left" w:pos="1080"/>
        </w:tabs>
        <w:ind w:left="1080" w:hanging="1080"/>
      </w:pPr>
    </w:p>
    <w:p w:rsidR="00B62D0F" w:rsidP="0005680D" w:rsidRDefault="0005680D" w14:paraId="3E766A83" w14:textId="5A760D64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425D5A">
        <w:t>Anastasia Brown</w:t>
      </w:r>
      <w:r w:rsidRPr="00B62D0F" w:rsidR="00B62D0F">
        <w:t xml:space="preserve"> </w:t>
      </w:r>
    </w:p>
    <w:p w:rsidR="0005680D" w:rsidP="0005680D" w:rsidRDefault="0005680D" w14:paraId="48DB0716" w14:textId="2F03C3AC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="00236AB2">
        <w:t>Office of Refugee Resettlement (ORR)</w:t>
      </w:r>
    </w:p>
    <w:p w:rsidR="0005680D" w:rsidP="0005680D" w:rsidRDefault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Pr="004E0796" w:rsidR="0005680D" w:rsidP="0005680D" w:rsidRDefault="0005680D" w14:paraId="7685F2B8" w14:textId="77777777">
      <w:pPr>
        <w:tabs>
          <w:tab w:val="left" w:pos="1080"/>
        </w:tabs>
        <w:ind w:left="1080" w:hanging="1080"/>
      </w:pPr>
    </w:p>
    <w:p w:rsidR="0005680D" w:rsidP="0005680D" w:rsidRDefault="0005680D" w14:paraId="0BBD6359" w14:textId="18C15D5F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Pr="00B406EF" w:rsidR="00425D5A">
        <w:t xml:space="preserve">June </w:t>
      </w:r>
      <w:r w:rsidRPr="00572236" w:rsidR="00572236">
        <w:t>9</w:t>
      </w:r>
      <w:r w:rsidRPr="00572236" w:rsidR="00D36A71">
        <w:t>,</w:t>
      </w:r>
      <w:r w:rsidRPr="00572236">
        <w:t xml:space="preserve"> </w:t>
      </w:r>
      <w:r w:rsidRPr="004650E2">
        <w:t>20</w:t>
      </w:r>
      <w:r w:rsidRPr="004650E2" w:rsidR="00236AB2">
        <w:t>2</w:t>
      </w:r>
      <w:r w:rsidRPr="004650E2" w:rsidR="00425D5A">
        <w:t>2</w:t>
      </w:r>
    </w:p>
    <w:p w:rsidRPr="004E0796" w:rsidR="0005680D" w:rsidP="0005680D" w:rsidRDefault="0005680D" w14:paraId="7B991363" w14:textId="77777777">
      <w:pPr>
        <w:tabs>
          <w:tab w:val="left" w:pos="1080"/>
        </w:tabs>
      </w:pPr>
    </w:p>
    <w:p w:rsidR="0005680D" w:rsidP="0005680D" w:rsidRDefault="0005680D" w14:paraId="3A89B6CD" w14:textId="31A4A945">
      <w:pPr>
        <w:pBdr>
          <w:bottom w:val="single" w:color="auto" w:sz="12" w:space="1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proofErr w:type="spellStart"/>
      <w:r>
        <w:t>NonSubstantive</w:t>
      </w:r>
      <w:proofErr w:type="spellEnd"/>
      <w:r>
        <w:t xml:space="preserve"> Change Request –</w:t>
      </w:r>
      <w:r w:rsidR="000E5D51">
        <w:t xml:space="preserve"> </w:t>
      </w:r>
      <w:r w:rsidRPr="000E5D51" w:rsidR="00425D5A">
        <w:t>Ethnic Community Self-Help (ECSH) Program Data Indicators</w:t>
      </w:r>
      <w:r w:rsidR="00425D5A">
        <w:t xml:space="preserve"> (</w:t>
      </w:r>
      <w:r w:rsidR="00F110A6">
        <w:t>OMB #0970-0490</w:t>
      </w:r>
      <w:r w:rsidR="00425D5A">
        <w:t>)</w:t>
      </w:r>
    </w:p>
    <w:p w:rsidRPr="0005680D" w:rsidR="0005680D" w:rsidP="0005680D" w:rsidRDefault="0005680D" w14:paraId="5036976F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Pr="00430033" w:rsidR="0005680D" w:rsidP="0005680D" w:rsidRDefault="0005680D" w14:paraId="595C69AB" w14:textId="77777777">
      <w:pPr>
        <w:tabs>
          <w:tab w:val="left" w:pos="1080"/>
        </w:tabs>
        <w:ind w:left="1080" w:hanging="1080"/>
      </w:pPr>
    </w:p>
    <w:p w:rsidR="00A67E29" w:rsidP="005C71F5" w:rsidRDefault="0005680D" w14:paraId="392D8869" w14:textId="42EC278D">
      <w:r>
        <w:t>This memo requests approval of nonsubstantive changes to the</w:t>
      </w:r>
      <w:r w:rsidR="00F110A6">
        <w:t xml:space="preserve"> </w:t>
      </w:r>
      <w:r>
        <w:t>approved information collection</w:t>
      </w:r>
      <w:r w:rsidR="00A01386">
        <w:t xml:space="preserve"> under the ACF </w:t>
      </w:r>
      <w:r w:rsidRPr="00100018" w:rsidR="00A01386">
        <w:t>Generic for Performance Progress Reports (OMB #0970-0490)</w:t>
      </w:r>
      <w:r w:rsidR="00A01386">
        <w:t>:</w:t>
      </w:r>
      <w:r w:rsidR="00F110A6">
        <w:t xml:space="preserve"> </w:t>
      </w:r>
      <w:r w:rsidRPr="000E5D51" w:rsidR="00B406EF">
        <w:t xml:space="preserve">Ethnic Community Self-Help (ECSH) Program Data </w:t>
      </w:r>
      <w:r w:rsidRPr="004A3EF8" w:rsidR="00B406EF">
        <w:t>Indicators</w:t>
      </w:r>
      <w:r w:rsidR="0043417F">
        <w:t>.</w:t>
      </w:r>
      <w:r w:rsidR="00557BAE">
        <w:t xml:space="preserve"> </w:t>
      </w:r>
    </w:p>
    <w:p w:rsidR="000E5D51" w:rsidP="000E5D51" w:rsidRDefault="000E5D51" w14:paraId="55669EB0" w14:textId="77777777">
      <w:pPr>
        <w:ind w:left="990" w:hanging="270"/>
      </w:pPr>
    </w:p>
    <w:p w:rsidR="0005680D" w:rsidP="0005680D" w:rsidRDefault="0005680D" w14:paraId="37532181" w14:textId="77777777">
      <w:pPr>
        <w:spacing w:after="120"/>
      </w:pPr>
      <w:r>
        <w:rPr>
          <w:b/>
          <w:i/>
        </w:rPr>
        <w:t>Background</w:t>
      </w:r>
    </w:p>
    <w:p w:rsidR="00A01386" w:rsidP="00236AB2" w:rsidRDefault="00A01386" w14:paraId="5614A676" w14:textId="77777777">
      <w:r w:rsidRPr="00BC7BD5">
        <w:t>The ECSH Data Indicators is</w:t>
      </w:r>
      <w:r>
        <w:t xml:space="preserve"> used </w:t>
      </w:r>
      <w:r w:rsidRPr="00BC7BD5">
        <w:t xml:space="preserve">to collect information on grantees’ performance on a semi-annual basis. The data </w:t>
      </w:r>
      <w:r>
        <w:t>is</w:t>
      </w:r>
      <w:r w:rsidRPr="00BC7BD5">
        <w:t xml:space="preserve"> used to help ORR assess the progress of the ECSH Program in terms of three main objectives</w:t>
      </w:r>
      <w:r>
        <w:rPr>
          <w:rStyle w:val="FootnoteReference"/>
        </w:rPr>
        <w:footnoteReference w:id="1"/>
      </w:r>
      <w:r w:rsidRPr="00BC7BD5">
        <w:t>.</w:t>
      </w:r>
      <w:r>
        <w:t xml:space="preserve"> </w:t>
      </w:r>
    </w:p>
    <w:p w:rsidR="00A01386" w:rsidP="00236AB2" w:rsidRDefault="00A01386" w14:paraId="3021C22A" w14:textId="77777777"/>
    <w:p w:rsidR="00236AB2" w:rsidP="00236AB2" w:rsidRDefault="0095246E" w14:paraId="69777FD3" w14:textId="18E13155">
      <w:r>
        <w:t xml:space="preserve">The Additional Ukraine Supplemental Appropriations Act, 2022 (AUSAA) authorizes ORR to provide resettlement assistance and other benefits available for refugees to specific Ukrainian populations and other non-Ukrainian individuals in response to their displacement from Ukraine and entry into the United States. </w:t>
      </w:r>
      <w:r w:rsidR="00A01386">
        <w:t>The c</w:t>
      </w:r>
      <w:r w:rsidR="00D6293F">
        <w:t xml:space="preserve">urrent OMB approved </w:t>
      </w:r>
      <w:r w:rsidR="00F110A6">
        <w:t xml:space="preserve">Performance Progress Report (PPR) </w:t>
      </w:r>
      <w:r w:rsidR="00D6293F">
        <w:t xml:space="preserve">form for </w:t>
      </w:r>
      <w:r>
        <w:t xml:space="preserve">the </w:t>
      </w:r>
      <w:r w:rsidRPr="000E5D51" w:rsidR="00D341A8">
        <w:t>Ethnic Community Self-Help (ECSH) Program</w:t>
      </w:r>
      <w:r w:rsidR="00076B03">
        <w:t xml:space="preserve"> has</w:t>
      </w:r>
      <w:r w:rsidR="00D6293F">
        <w:t xml:space="preserve"> </w:t>
      </w:r>
      <w:r w:rsidR="00AC518F">
        <w:t xml:space="preserve">already </w:t>
      </w:r>
      <w:r w:rsidR="00D6293F">
        <w:t xml:space="preserve">been </w:t>
      </w:r>
      <w:r w:rsidR="00D341A8">
        <w:t>collecting e</w:t>
      </w:r>
      <w:r w:rsidRPr="00653E55" w:rsidR="00D341A8">
        <w:t xml:space="preserve">ligible </w:t>
      </w:r>
      <w:r w:rsidR="00D341A8">
        <w:t xml:space="preserve">immigration </w:t>
      </w:r>
      <w:r w:rsidRPr="00653E55" w:rsidR="00D341A8">
        <w:t>status</w:t>
      </w:r>
      <w:r w:rsidR="00D341A8">
        <w:t xml:space="preserve"> or category</w:t>
      </w:r>
      <w:r w:rsidRPr="00653E55" w:rsidR="00D341A8">
        <w:t xml:space="preserve"> of individual</w:t>
      </w:r>
      <w:r w:rsidR="00A60331">
        <w:t>. There is no existing option</w:t>
      </w:r>
      <w:r w:rsidR="00891048">
        <w:t xml:space="preserve"> available </w:t>
      </w:r>
      <w:r w:rsidR="00A60331">
        <w:t>to accurately capture the</w:t>
      </w:r>
      <w:r w:rsidR="00AC518F">
        <w:t xml:space="preserve"> newly authorized </w:t>
      </w:r>
      <w:r>
        <w:t>Ukrainian Humanitarian Parolees (UHP)</w:t>
      </w:r>
      <w:r w:rsidR="00454FB0">
        <w:t xml:space="preserve"> population</w:t>
      </w:r>
      <w:r w:rsidR="00A60331">
        <w:t xml:space="preserve">. </w:t>
      </w:r>
      <w:r w:rsidR="00891048">
        <w:t xml:space="preserve">ORR is requesting to add the </w:t>
      </w:r>
      <w:r>
        <w:t>U</w:t>
      </w:r>
      <w:r w:rsidR="000D4A81">
        <w:t xml:space="preserve">HP </w:t>
      </w:r>
      <w:r w:rsidR="00891048">
        <w:t xml:space="preserve">option to the existing OMB approved forms. </w:t>
      </w:r>
      <w:r w:rsidR="00084D9D">
        <w:t>ORR also requests to replace the term ‘grantee’ with ‘</w:t>
      </w:r>
      <w:r w:rsidRPr="00084D9D" w:rsidR="00084D9D">
        <w:t>recipient</w:t>
      </w:r>
      <w:r w:rsidR="00084D9D">
        <w:t xml:space="preserve">’ as guided by the Office of Grants Policy. </w:t>
      </w:r>
    </w:p>
    <w:p w:rsidR="00236AB2" w:rsidP="0005680D" w:rsidRDefault="00236AB2" w14:paraId="6C459991" w14:textId="77777777"/>
    <w:p w:rsidR="0005680D" w:rsidP="002852B7" w:rsidRDefault="0005680D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084D9D" w:rsidP="00084D9D" w:rsidRDefault="00084D9D" w14:paraId="0D381C75" w14:textId="10EAC055"/>
    <w:p w:rsidR="00084D9D" w:rsidP="00084D9D" w:rsidRDefault="00084D9D" w14:paraId="7A3B7E82" w14:textId="77777777"/>
    <w:p w:rsidR="00084D9D" w:rsidP="00084D9D" w:rsidRDefault="00084D9D" w14:paraId="15262F2B" w14:textId="77777777">
      <w:r>
        <w:t>ORR requests to add “Ukrainian Humanitarian Parolee” as a new option under the existing section: “6. Number of Clients Served According to Status” for more accurate reporting.</w:t>
      </w:r>
    </w:p>
    <w:p w:rsidR="00084D9D" w:rsidP="00084D9D" w:rsidRDefault="00084D9D" w14:paraId="74EC4F66" w14:textId="3C269092">
      <w:r>
        <w:t>The Instructions has been updated to reflect the inclusion and the definition of UHP to improve clarity of instructions.</w:t>
      </w:r>
    </w:p>
    <w:p w:rsidR="00084D9D" w:rsidP="00084D9D" w:rsidRDefault="00084D9D" w14:paraId="5C0C75B5" w14:textId="28AEE089"/>
    <w:p w:rsidR="00511D14" w:rsidP="00084D9D" w:rsidRDefault="00084D9D" w14:paraId="09017F71" w14:textId="6A2C38C7">
      <w:r>
        <w:lastRenderedPageBreak/>
        <w:t>ORR also requests to replace the term ‘grantee’ with ‘</w:t>
      </w:r>
      <w:r w:rsidRPr="00084D9D">
        <w:t>recipient</w:t>
      </w:r>
      <w:r>
        <w:t xml:space="preserve">’, as guided by the Office of Grants Policy, on both the data collection form and throughout the Instruction for consistency and accuracy. Finally, </w:t>
      </w:r>
      <w:r w:rsidR="0095246E">
        <w:t xml:space="preserve">ORR requests to correct a </w:t>
      </w:r>
      <w:r w:rsidR="00A01386">
        <w:t>misspelling:</w:t>
      </w:r>
      <w:r w:rsidR="0095246E">
        <w:t xml:space="preserve"> “</w:t>
      </w:r>
      <w:r w:rsidRPr="0095246E" w:rsidR="0095246E">
        <w:t>6f. Amerasians</w:t>
      </w:r>
      <w:r w:rsidR="0095246E">
        <w:t>”</w:t>
      </w:r>
      <w:r w:rsidR="00A97B2D">
        <w:t xml:space="preserve"> on the data collection form. </w:t>
      </w:r>
    </w:p>
    <w:p w:rsidR="00184B7B" w:rsidP="000B7B17" w:rsidRDefault="00184B7B" w14:paraId="5A49C15A" w14:textId="0AB82E7A"/>
    <w:p w:rsidR="0005680D" w:rsidP="005C71F5" w:rsidRDefault="0005680D" w14:paraId="7DBC6097" w14:textId="0D403E5A">
      <w:pPr>
        <w:spacing w:after="120"/>
        <w:rPr>
          <w:b/>
          <w:i/>
        </w:rPr>
      </w:pPr>
      <w:r>
        <w:rPr>
          <w:b/>
          <w:i/>
        </w:rPr>
        <w:t xml:space="preserve">Time Sensitivities </w:t>
      </w:r>
    </w:p>
    <w:p w:rsidR="00F34505" w:rsidP="00082CCC" w:rsidRDefault="004E1912" w14:paraId="2FA6298A" w14:textId="5B9F7979">
      <w:r>
        <w:t>Ukrainian</w:t>
      </w:r>
      <w:r w:rsidR="00082CCC">
        <w:t xml:space="preserve"> </w:t>
      </w:r>
      <w:r w:rsidR="00A06046">
        <w:t xml:space="preserve">humanitarian parolees </w:t>
      </w:r>
      <w:r w:rsidR="00082CCC">
        <w:t>bec</w:t>
      </w:r>
      <w:r w:rsidR="00CE137A">
        <w:t>a</w:t>
      </w:r>
      <w:r w:rsidR="00082CCC">
        <w:t xml:space="preserve">me </w:t>
      </w:r>
      <w:r w:rsidR="00F34505">
        <w:t xml:space="preserve">newly </w:t>
      </w:r>
      <w:r w:rsidR="00082CCC">
        <w:t xml:space="preserve">eligible for </w:t>
      </w:r>
      <w:r w:rsidR="00CC38CC">
        <w:t>applicable ORR benefits and services</w:t>
      </w:r>
      <w:r w:rsidR="00D10C1E">
        <w:t xml:space="preserve"> </w:t>
      </w:r>
      <w:r w:rsidR="00CE137A">
        <w:t xml:space="preserve">starting </w:t>
      </w:r>
      <w:r>
        <w:t>May 21, 2022, or the individual’s date of humanitarian parole, whichever is later</w:t>
      </w:r>
      <w:r w:rsidR="00082CCC">
        <w:t>.</w:t>
      </w:r>
      <w:r w:rsidR="00CE137A">
        <w:t xml:space="preserve"> </w:t>
      </w:r>
      <w:r w:rsidR="00A06046">
        <w:t xml:space="preserve"> </w:t>
      </w:r>
      <w:r w:rsidR="00082CCC">
        <w:t xml:space="preserve">Without a timely approval on adding </w:t>
      </w:r>
      <w:r w:rsidR="00F34505">
        <w:t>th</w:t>
      </w:r>
      <w:r w:rsidR="00E95967">
        <w:t xml:space="preserve">is newly authorized </w:t>
      </w:r>
      <w:r w:rsidR="00F34505">
        <w:t xml:space="preserve">eligibility type and </w:t>
      </w:r>
      <w:r w:rsidR="00082CCC">
        <w:t>immigration status</w:t>
      </w:r>
      <w:r w:rsidR="00F34505">
        <w:t>/category for</w:t>
      </w:r>
      <w:r w:rsidR="00082CCC">
        <w:t xml:space="preserve"> </w:t>
      </w:r>
      <w:r w:rsidR="00A06046">
        <w:t xml:space="preserve">the </w:t>
      </w:r>
      <w:r w:rsidR="00B53E65">
        <w:t xml:space="preserve">data collection </w:t>
      </w:r>
      <w:r w:rsidRPr="00B53E65" w:rsidR="00082CCC">
        <w:t>form</w:t>
      </w:r>
      <w:r w:rsidR="00082CCC">
        <w:t>,</w:t>
      </w:r>
      <w:r w:rsidR="00F34505">
        <w:t xml:space="preserve"> ORR </w:t>
      </w:r>
      <w:r w:rsidR="00E95967">
        <w:t>is</w:t>
      </w:r>
      <w:r w:rsidR="00F34505">
        <w:t xml:space="preserve"> unable to ensure accurate data collection and reporting on services provided to the </w:t>
      </w:r>
      <w:r>
        <w:t>Ukrainian</w:t>
      </w:r>
      <w:r w:rsidR="00A06046">
        <w:t xml:space="preserve"> humanitarian parolees</w:t>
      </w:r>
      <w:r w:rsidR="00F34505">
        <w:t xml:space="preserve">.  </w:t>
      </w:r>
    </w:p>
    <w:p w:rsidR="00F34505" w:rsidP="00082CCC" w:rsidRDefault="00F34505" w14:paraId="1C33E8FF" w14:textId="77777777"/>
    <w:p w:rsidRPr="0005680D" w:rsidR="00082CCC" w:rsidP="0005680D" w:rsidRDefault="00082CCC" w14:paraId="6A649327" w14:textId="77777777">
      <w:pPr>
        <w:rPr>
          <w:b/>
          <w:i/>
        </w:rPr>
      </w:pPr>
    </w:p>
    <w:sectPr w:rsidRPr="0005680D" w:rsidR="00082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F1572" w14:textId="77777777" w:rsidR="00133F4A" w:rsidRDefault="00133F4A" w:rsidP="00F110A6">
      <w:r>
        <w:separator/>
      </w:r>
    </w:p>
  </w:endnote>
  <w:endnote w:type="continuationSeparator" w:id="0">
    <w:p w14:paraId="3E0E77C5" w14:textId="77777777" w:rsidR="00133F4A" w:rsidRDefault="00133F4A" w:rsidP="00F1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196" w14:textId="77777777" w:rsidR="00133F4A" w:rsidRDefault="00133F4A" w:rsidP="00F110A6">
      <w:r>
        <w:separator/>
      </w:r>
    </w:p>
  </w:footnote>
  <w:footnote w:type="continuationSeparator" w:id="0">
    <w:p w14:paraId="46C86001" w14:textId="77777777" w:rsidR="00133F4A" w:rsidRDefault="00133F4A" w:rsidP="00F110A6">
      <w:r>
        <w:continuationSeparator/>
      </w:r>
    </w:p>
  </w:footnote>
  <w:footnote w:id="1">
    <w:p w14:paraId="05806E24" w14:textId="77777777" w:rsidR="00A01386" w:rsidRDefault="00A01386" w:rsidP="00A01386">
      <w:pPr>
        <w:pStyle w:val="FootnoteText"/>
      </w:pPr>
      <w:r>
        <w:rPr>
          <w:rStyle w:val="FootnoteReference"/>
        </w:rPr>
        <w:footnoteRef/>
      </w:r>
      <w:r>
        <w:t xml:space="preserve"> Objectives include: 1) to </w:t>
      </w:r>
      <w:r>
        <w:rPr>
          <w:spacing w:val="-1"/>
        </w:rPr>
        <w:t>strengthen</w:t>
      </w:r>
      <w:r>
        <w:rPr>
          <w:spacing w:val="1"/>
        </w:rPr>
        <w:t xml:space="preserve"> </w:t>
      </w:r>
      <w:r>
        <w:rPr>
          <w:spacing w:val="-1"/>
        </w:rPr>
        <w:t>ECBOs’</w:t>
      </w:r>
      <w:r>
        <w:t xml:space="preserve"> provision</w:t>
      </w:r>
      <w:r>
        <w:rPr>
          <w:spacing w:val="7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culturally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linguistically</w:t>
      </w:r>
      <w:r>
        <w:rPr>
          <w:spacing w:val="-3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services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refugees</w:t>
      </w:r>
      <w:r>
        <w:t xml:space="preserve"> within five</w:t>
      </w:r>
      <w:r>
        <w:rPr>
          <w:spacing w:val="3"/>
        </w:rP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initial</w:t>
      </w:r>
      <w:r>
        <w:rPr>
          <w:spacing w:val="69"/>
        </w:rPr>
        <w:t xml:space="preserve"> </w:t>
      </w:r>
      <w:r>
        <w:rPr>
          <w:spacing w:val="-1"/>
        </w:rPr>
        <w:t>resettlement;</w:t>
      </w:r>
      <w:r>
        <w:t xml:space="preserve"> 2) to support </w:t>
      </w:r>
      <w:r>
        <w:rPr>
          <w:spacing w:val="-1"/>
        </w:rPr>
        <w:t>ECBOs'</w:t>
      </w:r>
      <w:r>
        <w:rPr>
          <w:spacing w:val="-3"/>
        </w:rPr>
        <w:t xml:space="preserve"> </w:t>
      </w:r>
      <w:r>
        <w:rPr>
          <w:spacing w:val="-1"/>
        </w:rPr>
        <w:t>organizational</w:t>
      </w:r>
      <w:r>
        <w:rPr>
          <w:spacing w:val="2"/>
        </w:rPr>
        <w:t xml:space="preserve"> </w:t>
      </w:r>
      <w:r>
        <w:rPr>
          <w:spacing w:val="-1"/>
        </w:rPr>
        <w:t>development</w:t>
      </w:r>
      <w:r>
        <w:t xml:space="preserve"> and </w:t>
      </w:r>
      <w:r>
        <w:rPr>
          <w:spacing w:val="-1"/>
        </w:rPr>
        <w:t>engagement</w:t>
      </w:r>
      <w:r>
        <w:t xml:space="preserve"> in capacity</w:t>
      </w:r>
      <w:r>
        <w:rPr>
          <w:spacing w:val="-5"/>
        </w:rPr>
        <w:t xml:space="preserve"> </w:t>
      </w:r>
      <w:r>
        <w:t xml:space="preserve">building </w:t>
      </w:r>
      <w:r>
        <w:rPr>
          <w:spacing w:val="1"/>
        </w:rPr>
        <w:t>by</w:t>
      </w:r>
      <w:r>
        <w:rPr>
          <w:spacing w:val="89"/>
        </w:rPr>
        <w:t xml:space="preserve"> </w:t>
      </w:r>
      <w:r>
        <w:rPr>
          <w:spacing w:val="-1"/>
        </w:rPr>
        <w:t>encouraging</w:t>
      </w:r>
      <w:r>
        <w:rPr>
          <w:spacing w:val="-3"/>
        </w:rPr>
        <w:t xml:space="preserve"> </w:t>
      </w:r>
      <w:r>
        <w:t xml:space="preserve">their </w:t>
      </w:r>
      <w:r>
        <w:rPr>
          <w:spacing w:val="-1"/>
        </w:rPr>
        <w:t>collaboration</w:t>
      </w:r>
      <w:r>
        <w:t xml:space="preserve"> with established </w:t>
      </w:r>
      <w:r>
        <w:rPr>
          <w:spacing w:val="-1"/>
        </w:rPr>
        <w:t xml:space="preserve">refugee service </w:t>
      </w:r>
      <w:r>
        <w:t xml:space="preserve">providers and </w:t>
      </w:r>
      <w:r>
        <w:rPr>
          <w:spacing w:val="-1"/>
        </w:rPr>
        <w:t>mainstream</w:t>
      </w:r>
      <w:r>
        <w:rPr>
          <w:spacing w:val="79"/>
        </w:rPr>
        <w:t xml:space="preserve"> </w:t>
      </w:r>
      <w:r>
        <w:rPr>
          <w:spacing w:val="-1"/>
        </w:rPr>
        <w:t>organizations;</w:t>
      </w:r>
      <w:r>
        <w:t xml:space="preserve"> </w:t>
      </w:r>
      <w:r>
        <w:rPr>
          <w:spacing w:val="-1"/>
        </w:rPr>
        <w:t>and</w:t>
      </w:r>
      <w:r>
        <w:t xml:space="preserve"> 3)</w:t>
      </w:r>
      <w:r>
        <w:rPr>
          <w:spacing w:val="-1"/>
        </w:rPr>
        <w:t xml:space="preserve"> </w:t>
      </w:r>
      <w:r>
        <w:t xml:space="preserve">to support </w:t>
      </w:r>
      <w:r>
        <w:rPr>
          <w:spacing w:val="-1"/>
        </w:rPr>
        <w:t>ECBOs</w:t>
      </w:r>
      <w:r>
        <w:t xml:space="preserve"> in promoting</w:t>
      </w:r>
      <w:r>
        <w:rPr>
          <w:spacing w:val="-3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building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civic participation</w:t>
      </w:r>
      <w:r>
        <w:t xml:space="preserve"> </w:t>
      </w:r>
      <w:r>
        <w:rPr>
          <w:spacing w:val="1"/>
        </w:rPr>
        <w:t>by</w:t>
      </w:r>
      <w:r>
        <w:rPr>
          <w:spacing w:val="78"/>
        </w:rPr>
        <w:t xml:space="preserve"> </w:t>
      </w:r>
      <w:r>
        <w:rPr>
          <w:spacing w:val="-1"/>
        </w:rPr>
        <w:t xml:space="preserve">refugee </w:t>
      </w:r>
      <w:r>
        <w:t xml:space="preserve">individuals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refugee</w:t>
      </w:r>
      <w:r>
        <w:rPr>
          <w:spacing w:val="1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members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166E8"/>
    <w:multiLevelType w:val="hybridMultilevel"/>
    <w:tmpl w:val="99DAC72A"/>
    <w:lvl w:ilvl="0" w:tplc="53B6E9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9751E"/>
    <w:multiLevelType w:val="hybridMultilevel"/>
    <w:tmpl w:val="9EB897D0"/>
    <w:lvl w:ilvl="0" w:tplc="6CDA7D2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85B80"/>
    <w:multiLevelType w:val="hybridMultilevel"/>
    <w:tmpl w:val="E432E6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04298"/>
    <w:rsid w:val="000263EB"/>
    <w:rsid w:val="0005680D"/>
    <w:rsid w:val="00076B03"/>
    <w:rsid w:val="00082CCC"/>
    <w:rsid w:val="00083A11"/>
    <w:rsid w:val="00084D9D"/>
    <w:rsid w:val="000B7B17"/>
    <w:rsid w:val="000D4A81"/>
    <w:rsid w:val="000E5D51"/>
    <w:rsid w:val="000F4186"/>
    <w:rsid w:val="00100018"/>
    <w:rsid w:val="00111460"/>
    <w:rsid w:val="00116024"/>
    <w:rsid w:val="00120963"/>
    <w:rsid w:val="00133F4A"/>
    <w:rsid w:val="001344AC"/>
    <w:rsid w:val="0015163B"/>
    <w:rsid w:val="00151A5F"/>
    <w:rsid w:val="00157B68"/>
    <w:rsid w:val="00184B7B"/>
    <w:rsid w:val="00194426"/>
    <w:rsid w:val="001A2650"/>
    <w:rsid w:val="001B2647"/>
    <w:rsid w:val="00201D4A"/>
    <w:rsid w:val="00236AB2"/>
    <w:rsid w:val="002370DA"/>
    <w:rsid w:val="00244F7E"/>
    <w:rsid w:val="002644BB"/>
    <w:rsid w:val="002852B7"/>
    <w:rsid w:val="002D48D0"/>
    <w:rsid w:val="00310E86"/>
    <w:rsid w:val="0032418A"/>
    <w:rsid w:val="0037147C"/>
    <w:rsid w:val="003A6275"/>
    <w:rsid w:val="003F48BB"/>
    <w:rsid w:val="00416E1B"/>
    <w:rsid w:val="00425D5A"/>
    <w:rsid w:val="0043417F"/>
    <w:rsid w:val="00454FB0"/>
    <w:rsid w:val="004650E2"/>
    <w:rsid w:val="0046797D"/>
    <w:rsid w:val="00487B95"/>
    <w:rsid w:val="004927C2"/>
    <w:rsid w:val="004A3EF8"/>
    <w:rsid w:val="004A777C"/>
    <w:rsid w:val="004E1912"/>
    <w:rsid w:val="00511D14"/>
    <w:rsid w:val="005304C2"/>
    <w:rsid w:val="00557BAE"/>
    <w:rsid w:val="00572236"/>
    <w:rsid w:val="005C71F5"/>
    <w:rsid w:val="005D6CDD"/>
    <w:rsid w:val="00620F74"/>
    <w:rsid w:val="00635294"/>
    <w:rsid w:val="00642AB0"/>
    <w:rsid w:val="006D4629"/>
    <w:rsid w:val="00826B9C"/>
    <w:rsid w:val="00856062"/>
    <w:rsid w:val="00881FA2"/>
    <w:rsid w:val="00891048"/>
    <w:rsid w:val="008D42DC"/>
    <w:rsid w:val="008E06A2"/>
    <w:rsid w:val="00936E15"/>
    <w:rsid w:val="0095246E"/>
    <w:rsid w:val="00995018"/>
    <w:rsid w:val="009A62FE"/>
    <w:rsid w:val="009F5022"/>
    <w:rsid w:val="00A01386"/>
    <w:rsid w:val="00A048E6"/>
    <w:rsid w:val="00A06046"/>
    <w:rsid w:val="00A23C5B"/>
    <w:rsid w:val="00A44387"/>
    <w:rsid w:val="00A45D52"/>
    <w:rsid w:val="00A60331"/>
    <w:rsid w:val="00A67E29"/>
    <w:rsid w:val="00A67ED6"/>
    <w:rsid w:val="00A939FC"/>
    <w:rsid w:val="00A97B2D"/>
    <w:rsid w:val="00AA60C4"/>
    <w:rsid w:val="00AB25C2"/>
    <w:rsid w:val="00AB77A1"/>
    <w:rsid w:val="00AC430F"/>
    <w:rsid w:val="00AC518F"/>
    <w:rsid w:val="00AF4C1D"/>
    <w:rsid w:val="00AF5098"/>
    <w:rsid w:val="00B307C0"/>
    <w:rsid w:val="00B406EF"/>
    <w:rsid w:val="00B5002A"/>
    <w:rsid w:val="00B53E65"/>
    <w:rsid w:val="00B62D0F"/>
    <w:rsid w:val="00B941FA"/>
    <w:rsid w:val="00BC7BD5"/>
    <w:rsid w:val="00BF2CD6"/>
    <w:rsid w:val="00BF72DE"/>
    <w:rsid w:val="00C06C12"/>
    <w:rsid w:val="00C6145E"/>
    <w:rsid w:val="00CB4E72"/>
    <w:rsid w:val="00CC38CC"/>
    <w:rsid w:val="00CD7BCC"/>
    <w:rsid w:val="00CE137A"/>
    <w:rsid w:val="00D10C1E"/>
    <w:rsid w:val="00D341A8"/>
    <w:rsid w:val="00D36A71"/>
    <w:rsid w:val="00D6293F"/>
    <w:rsid w:val="00D6529E"/>
    <w:rsid w:val="00D7382A"/>
    <w:rsid w:val="00DC11A7"/>
    <w:rsid w:val="00E10C2D"/>
    <w:rsid w:val="00E24F1B"/>
    <w:rsid w:val="00E279F7"/>
    <w:rsid w:val="00E525D4"/>
    <w:rsid w:val="00E650D9"/>
    <w:rsid w:val="00E95967"/>
    <w:rsid w:val="00EB583D"/>
    <w:rsid w:val="00EC3B16"/>
    <w:rsid w:val="00F110A6"/>
    <w:rsid w:val="00F24EAB"/>
    <w:rsid w:val="00F34505"/>
    <w:rsid w:val="00F361BC"/>
    <w:rsid w:val="00F41FC3"/>
    <w:rsid w:val="00F5409B"/>
    <w:rsid w:val="00FD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ListParagraph">
    <w:name w:val="List Paragraph"/>
    <w:basedOn w:val="Normal"/>
    <w:uiPriority w:val="34"/>
    <w:qFormat/>
    <w:rsid w:val="00BF7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3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3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7B17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10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10A6"/>
    <w:rPr>
      <w:rFonts w:ascii="Times New Roman" w:eastAsia="Tahoma" w:hAnsi="Times New Roman" w:cs="Times New Roman"/>
      <w:kern w:val="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10A6"/>
    <w:rPr>
      <w:vertAlign w:val="superscript"/>
    </w:rPr>
  </w:style>
  <w:style w:type="paragraph" w:styleId="Revision">
    <w:name w:val="Revision"/>
    <w:hidden/>
    <w:uiPriority w:val="99"/>
    <w:semiHidden/>
    <w:rsid w:val="00856062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E9336E-1380-48F1-BBA3-24CC76CEEE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ACF PRA</cp:lastModifiedBy>
  <cp:revision>2</cp:revision>
  <dcterms:created xsi:type="dcterms:W3CDTF">2022-06-09T18:45:00Z</dcterms:created>
  <dcterms:modified xsi:type="dcterms:W3CDTF">2022-06-09T18:45:00Z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