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5103" w:rsidRPr="0012400D" w:rsidP="00014C8F" w14:paraId="29B61475" w14:textId="6CFFAD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b/>
          <w:bCs/>
          <w:sz w:val="24"/>
          <w:szCs w:val="24"/>
        </w:rPr>
      </w:pPr>
      <w:r w:rsidRPr="0012400D">
        <w:rPr>
          <w:sz w:val="24"/>
          <w:szCs w:val="24"/>
          <w:lang w:val="en-CA"/>
        </w:rPr>
        <w:fldChar w:fldCharType="begin"/>
      </w:r>
      <w:r w:rsidRPr="0012400D">
        <w:rPr>
          <w:sz w:val="24"/>
          <w:szCs w:val="24"/>
          <w:lang w:val="en-CA"/>
        </w:rPr>
        <w:instrText xml:space="preserve"> SEQ CHAPTER \h \r 1</w:instrText>
      </w:r>
      <w:r w:rsidRPr="0012400D">
        <w:rPr>
          <w:sz w:val="24"/>
          <w:szCs w:val="24"/>
          <w:lang w:val="en-CA"/>
        </w:rPr>
        <w:fldChar w:fldCharType="separate"/>
      </w:r>
      <w:r w:rsidRPr="0012400D">
        <w:rPr>
          <w:sz w:val="24"/>
          <w:szCs w:val="24"/>
          <w:lang w:val="en-CA"/>
        </w:rPr>
        <w:fldChar w:fldCharType="end"/>
      </w:r>
      <w:r w:rsidRPr="0012400D">
        <w:rPr>
          <w:b/>
          <w:bCs/>
          <w:sz w:val="24"/>
          <w:szCs w:val="24"/>
        </w:rPr>
        <w:t xml:space="preserve">Supporting </w:t>
      </w:r>
      <w:r w:rsidRPr="0012400D" w:rsidR="005A1AF6">
        <w:rPr>
          <w:b/>
          <w:bCs/>
          <w:sz w:val="24"/>
          <w:szCs w:val="24"/>
        </w:rPr>
        <w:t>Statement,</w:t>
      </w:r>
      <w:r w:rsidRPr="0012400D">
        <w:rPr>
          <w:b/>
          <w:bCs/>
          <w:sz w:val="24"/>
          <w:szCs w:val="24"/>
        </w:rPr>
        <w:t xml:space="preserve"> </w:t>
      </w:r>
      <w:r w:rsidRPr="0012400D" w:rsidR="007851E9">
        <w:rPr>
          <w:b/>
          <w:bCs/>
          <w:sz w:val="24"/>
          <w:szCs w:val="24"/>
        </w:rPr>
        <w:t>A</w:t>
      </w:r>
      <w:r w:rsidRPr="0012400D" w:rsidR="00364837">
        <w:rPr>
          <w:b/>
          <w:bCs/>
          <w:sz w:val="24"/>
          <w:szCs w:val="24"/>
        </w:rPr>
        <w:t xml:space="preserve"> </w:t>
      </w:r>
    </w:p>
    <w:p w:rsidR="009B359F" w:rsidRPr="0012400D" w:rsidP="00014C8F" w14:paraId="493B99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b/>
          <w:bCs/>
          <w:sz w:val="24"/>
          <w:szCs w:val="24"/>
        </w:rPr>
      </w:pPr>
    </w:p>
    <w:p w:rsidR="009B359F" w:rsidRPr="0012400D" w:rsidP="00014C8F" w14:paraId="0E6C8689" w14:textId="1414E9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b/>
          <w:bCs/>
          <w:sz w:val="24"/>
          <w:szCs w:val="24"/>
        </w:rPr>
      </w:pPr>
      <w:r w:rsidRPr="0012400D">
        <w:rPr>
          <w:b/>
          <w:bCs/>
          <w:sz w:val="24"/>
          <w:szCs w:val="24"/>
        </w:rPr>
        <w:t>“</w:t>
      </w:r>
      <w:r w:rsidRPr="0012400D" w:rsidR="00364837">
        <w:rPr>
          <w:b/>
          <w:bCs/>
          <w:sz w:val="24"/>
          <w:szCs w:val="24"/>
        </w:rPr>
        <w:t>Payments in Lieu of Taxes (PILT</w:t>
      </w:r>
      <w:r w:rsidRPr="0012400D" w:rsidR="00BF0708">
        <w:rPr>
          <w:b/>
          <w:bCs/>
          <w:sz w:val="24"/>
          <w:szCs w:val="24"/>
        </w:rPr>
        <w:t>)</w:t>
      </w:r>
      <w:r w:rsidRPr="0012400D" w:rsidR="00364837">
        <w:rPr>
          <w:b/>
          <w:bCs/>
          <w:sz w:val="24"/>
          <w:szCs w:val="24"/>
        </w:rPr>
        <w:t xml:space="preserve"> Act,</w:t>
      </w:r>
    </w:p>
    <w:p w:rsidR="00295103" w:rsidRPr="0012400D" w:rsidP="00014C8F" w14:paraId="7471E951" w14:textId="033353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b/>
          <w:bCs/>
          <w:sz w:val="24"/>
          <w:szCs w:val="24"/>
        </w:rPr>
      </w:pPr>
      <w:r w:rsidRPr="0012400D">
        <w:rPr>
          <w:b/>
          <w:bCs/>
          <w:sz w:val="24"/>
          <w:szCs w:val="24"/>
        </w:rPr>
        <w:t>Statement of Federal Lands Payments, (43 CFR 44)</w:t>
      </w:r>
      <w:r w:rsidRPr="0012400D" w:rsidR="00EB6BA4">
        <w:rPr>
          <w:b/>
          <w:bCs/>
          <w:sz w:val="24"/>
          <w:szCs w:val="24"/>
        </w:rPr>
        <w:t>”</w:t>
      </w:r>
    </w:p>
    <w:p w:rsidR="00295103" w:rsidRPr="0012400D" w:rsidP="00014C8F" w14:paraId="5110C7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sz w:val="24"/>
          <w:szCs w:val="24"/>
        </w:rPr>
      </w:pPr>
      <w:r w:rsidRPr="0012400D">
        <w:rPr>
          <w:b/>
          <w:bCs/>
          <w:sz w:val="24"/>
          <w:szCs w:val="24"/>
        </w:rPr>
        <w:t>OMB Control Number 10</w:t>
      </w:r>
      <w:r w:rsidRPr="0012400D" w:rsidR="00364837">
        <w:rPr>
          <w:b/>
          <w:bCs/>
          <w:sz w:val="24"/>
          <w:szCs w:val="24"/>
        </w:rPr>
        <w:t>93</w:t>
      </w:r>
      <w:r w:rsidRPr="0012400D">
        <w:rPr>
          <w:b/>
          <w:bCs/>
          <w:sz w:val="24"/>
          <w:szCs w:val="24"/>
        </w:rPr>
        <w:t>-</w:t>
      </w:r>
      <w:r w:rsidRPr="0012400D" w:rsidR="00364837">
        <w:rPr>
          <w:b/>
          <w:bCs/>
          <w:sz w:val="24"/>
          <w:szCs w:val="24"/>
        </w:rPr>
        <w:t>0005</w:t>
      </w:r>
    </w:p>
    <w:p w:rsidR="009B359F" w:rsidRPr="00014C8F" w:rsidP="00014C8F" w14:paraId="0BBF9C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sz w:val="24"/>
          <w:szCs w:val="24"/>
        </w:rPr>
      </w:pPr>
    </w:p>
    <w:p w:rsidR="009B359F" w:rsidRPr="0012400D" w:rsidP="00634EA2" w14:paraId="50DC31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r w:rsidRPr="0012400D">
        <w:rPr>
          <w:b/>
          <w:sz w:val="24"/>
          <w:szCs w:val="24"/>
        </w:rPr>
        <w:t>Terms of Clearance:</w:t>
      </w:r>
      <w:r w:rsidRPr="0012400D">
        <w:rPr>
          <w:sz w:val="24"/>
          <w:szCs w:val="24"/>
        </w:rPr>
        <w:t xml:space="preserve"> </w:t>
      </w:r>
      <w:r w:rsidRPr="0012400D" w:rsidR="00364837">
        <w:rPr>
          <w:sz w:val="24"/>
          <w:szCs w:val="24"/>
        </w:rPr>
        <w:t>None</w:t>
      </w:r>
    </w:p>
    <w:p w:rsidR="009B359F" w:rsidRPr="0012400D" w:rsidP="00634EA2" w14:paraId="2A7355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sz w:val="24"/>
          <w:szCs w:val="24"/>
        </w:rPr>
      </w:pPr>
    </w:p>
    <w:p w:rsidR="00295103" w:rsidRPr="0012400D" w:rsidP="00634EA2" w14:paraId="259FBB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r w:rsidRPr="0012400D">
        <w:rPr>
          <w:b/>
          <w:bCs/>
          <w:sz w:val="24"/>
          <w:szCs w:val="24"/>
        </w:rPr>
        <w:t>General Instructions</w:t>
      </w:r>
      <w:r w:rsidRPr="0012400D">
        <w:rPr>
          <w:sz w:val="24"/>
          <w:szCs w:val="24"/>
        </w:rPr>
        <w:t xml:space="preserve"> </w:t>
      </w:r>
    </w:p>
    <w:p w:rsidR="00295103" w:rsidRPr="0012400D" w:rsidP="00634EA2" w14:paraId="7BE696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rsidR="00295103" w:rsidRPr="0012400D" w:rsidP="00634EA2" w14:paraId="5838B067" w14:textId="167FFB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r w:rsidRPr="0012400D">
        <w:rPr>
          <w:sz w:val="24"/>
          <w:szCs w:val="24"/>
        </w:rPr>
        <w:t xml:space="preserve">A completed </w:t>
      </w:r>
      <w:r w:rsidRPr="0012400D">
        <w:rPr>
          <w:sz w:val="24"/>
          <w:szCs w:val="24"/>
        </w:rPr>
        <w:t>Supporting Statement</w:t>
      </w:r>
      <w:r w:rsidRPr="0012400D" w:rsidR="009B359F">
        <w:rPr>
          <w:sz w:val="24"/>
          <w:szCs w:val="24"/>
        </w:rPr>
        <w:t xml:space="preserve"> A </w:t>
      </w:r>
      <w:r w:rsidRPr="0012400D">
        <w:rPr>
          <w:sz w:val="24"/>
          <w:szCs w:val="24"/>
        </w:rPr>
        <w:t>must accompany each request for approval of a collection of information.</w:t>
      </w:r>
      <w:r w:rsidRPr="0012400D" w:rsidR="00EB6BA4">
        <w:rPr>
          <w:sz w:val="24"/>
          <w:szCs w:val="24"/>
        </w:rPr>
        <w:t xml:space="preserve"> </w:t>
      </w:r>
      <w:r w:rsidRPr="0012400D">
        <w:rPr>
          <w:sz w:val="24"/>
          <w:szCs w:val="24"/>
        </w:rPr>
        <w:t xml:space="preserve">The Supporting Statement must be prepared in the format described </w:t>
      </w:r>
      <w:r w:rsidRPr="0012400D" w:rsidR="00A25CE6">
        <w:rPr>
          <w:sz w:val="24"/>
          <w:szCs w:val="24"/>
        </w:rPr>
        <w:t>below and</w:t>
      </w:r>
      <w:r w:rsidRPr="0012400D">
        <w:rPr>
          <w:sz w:val="24"/>
          <w:szCs w:val="24"/>
        </w:rPr>
        <w:t xml:space="preserve"> must contain the information </w:t>
      </w:r>
      <w:r w:rsidRPr="0012400D" w:rsidR="009B359F">
        <w:rPr>
          <w:sz w:val="24"/>
          <w:szCs w:val="24"/>
        </w:rPr>
        <w:t xml:space="preserve">specified </w:t>
      </w:r>
      <w:r w:rsidRPr="0012400D">
        <w:rPr>
          <w:sz w:val="24"/>
          <w:szCs w:val="24"/>
        </w:rPr>
        <w:t>below.</w:t>
      </w:r>
      <w:r w:rsidRPr="0012400D" w:rsidR="00EB6BA4">
        <w:rPr>
          <w:sz w:val="24"/>
          <w:szCs w:val="24"/>
        </w:rPr>
        <w:t xml:space="preserve"> </w:t>
      </w:r>
      <w:r w:rsidRPr="0012400D">
        <w:rPr>
          <w:sz w:val="24"/>
          <w:szCs w:val="24"/>
        </w:rPr>
        <w:t>If an item is not applicable, provide a brief explanation.</w:t>
      </w:r>
      <w:r w:rsidRPr="0012400D" w:rsidR="00EB6BA4">
        <w:rPr>
          <w:sz w:val="24"/>
          <w:szCs w:val="24"/>
        </w:rPr>
        <w:t xml:space="preserve"> </w:t>
      </w:r>
      <w:r w:rsidRPr="0012400D">
        <w:rPr>
          <w:sz w:val="24"/>
          <w:szCs w:val="24"/>
        </w:rPr>
        <w:t xml:space="preserve">When </w:t>
      </w:r>
      <w:r w:rsidRPr="0012400D" w:rsidR="009B359F">
        <w:rPr>
          <w:sz w:val="24"/>
          <w:szCs w:val="24"/>
        </w:rPr>
        <w:t xml:space="preserve">the question </w:t>
      </w:r>
      <w:r w:rsidRPr="0012400D" w:rsidR="00EB6BA4">
        <w:rPr>
          <w:sz w:val="24"/>
          <w:szCs w:val="24"/>
        </w:rPr>
        <w:t>“</w:t>
      </w:r>
      <w:r w:rsidRPr="0012400D" w:rsidR="009B359F">
        <w:rPr>
          <w:sz w:val="24"/>
          <w:szCs w:val="24"/>
        </w:rPr>
        <w:t>Does this I</w:t>
      </w:r>
      <w:r w:rsidRPr="0012400D" w:rsidR="002D2C94">
        <w:rPr>
          <w:sz w:val="24"/>
          <w:szCs w:val="24"/>
        </w:rPr>
        <w:t>nformation Collection R</w:t>
      </w:r>
      <w:r w:rsidRPr="0012400D" w:rsidR="008004A3">
        <w:rPr>
          <w:sz w:val="24"/>
          <w:szCs w:val="24"/>
        </w:rPr>
        <w:t>enewal</w:t>
      </w:r>
      <w:r w:rsidRPr="0012400D" w:rsidR="002D2C94">
        <w:rPr>
          <w:sz w:val="24"/>
          <w:szCs w:val="24"/>
        </w:rPr>
        <w:t xml:space="preserve"> (ICR)</w:t>
      </w:r>
      <w:r w:rsidRPr="0012400D" w:rsidR="009B359F">
        <w:rPr>
          <w:sz w:val="24"/>
          <w:szCs w:val="24"/>
        </w:rPr>
        <w:t xml:space="preserve"> contain surveys, censuses</w:t>
      </w:r>
      <w:r w:rsidRPr="0012400D" w:rsidR="007E21B5">
        <w:rPr>
          <w:sz w:val="24"/>
          <w:szCs w:val="24"/>
        </w:rPr>
        <w:t>,</w:t>
      </w:r>
      <w:r w:rsidRPr="0012400D" w:rsidR="009B359F">
        <w:rPr>
          <w:sz w:val="24"/>
          <w:szCs w:val="24"/>
        </w:rPr>
        <w:t xml:space="preserve"> or employ statistical methods?</w:t>
      </w:r>
      <w:r w:rsidRPr="0012400D" w:rsidR="00EB6BA4">
        <w:rPr>
          <w:sz w:val="24"/>
          <w:szCs w:val="24"/>
        </w:rPr>
        <w:t>”</w:t>
      </w:r>
      <w:r w:rsidRPr="0012400D" w:rsidR="009B359F">
        <w:rPr>
          <w:sz w:val="24"/>
          <w:szCs w:val="24"/>
        </w:rPr>
        <w:t xml:space="preserve"> </w:t>
      </w:r>
      <w:r w:rsidRPr="0012400D">
        <w:rPr>
          <w:sz w:val="24"/>
          <w:szCs w:val="24"/>
        </w:rPr>
        <w:t xml:space="preserve">is checked </w:t>
      </w:r>
      <w:r w:rsidRPr="0012400D" w:rsidR="00EB6BA4">
        <w:rPr>
          <w:sz w:val="24"/>
          <w:szCs w:val="24"/>
        </w:rPr>
        <w:t>“</w:t>
      </w:r>
      <w:r w:rsidRPr="0012400D">
        <w:rPr>
          <w:sz w:val="24"/>
          <w:szCs w:val="24"/>
        </w:rPr>
        <w:t>Yes</w:t>
      </w:r>
      <w:r w:rsidRPr="0012400D" w:rsidR="009B359F">
        <w:rPr>
          <w:sz w:val="24"/>
          <w:szCs w:val="24"/>
        </w:rPr>
        <w:t>,</w:t>
      </w:r>
      <w:r w:rsidRPr="0012400D" w:rsidR="00EB6BA4">
        <w:rPr>
          <w:sz w:val="24"/>
          <w:szCs w:val="24"/>
        </w:rPr>
        <w:t>”</w:t>
      </w:r>
      <w:r w:rsidRPr="0012400D">
        <w:rPr>
          <w:sz w:val="24"/>
          <w:szCs w:val="24"/>
        </w:rPr>
        <w:t xml:space="preserve"> </w:t>
      </w:r>
      <w:r w:rsidRPr="0012400D" w:rsidR="009B359F">
        <w:rPr>
          <w:sz w:val="24"/>
          <w:szCs w:val="24"/>
        </w:rPr>
        <w:t xml:space="preserve">then a </w:t>
      </w:r>
      <w:r w:rsidRPr="0012400D">
        <w:rPr>
          <w:sz w:val="24"/>
          <w:szCs w:val="24"/>
        </w:rPr>
        <w:t xml:space="preserve">Supporting Statement </w:t>
      </w:r>
      <w:r w:rsidRPr="0012400D" w:rsidR="009B359F">
        <w:rPr>
          <w:sz w:val="24"/>
          <w:szCs w:val="24"/>
        </w:rPr>
        <w:t xml:space="preserve">B </w:t>
      </w:r>
      <w:r w:rsidRPr="0012400D">
        <w:rPr>
          <w:sz w:val="24"/>
          <w:szCs w:val="24"/>
        </w:rPr>
        <w:t>must be completed.</w:t>
      </w:r>
      <w:r w:rsidRPr="0012400D" w:rsidR="00EB6BA4">
        <w:rPr>
          <w:sz w:val="24"/>
          <w:szCs w:val="24"/>
        </w:rPr>
        <w:t xml:space="preserve"> </w:t>
      </w:r>
      <w:r w:rsidRPr="0012400D" w:rsidR="007E3C72">
        <w:rPr>
          <w:sz w:val="24"/>
          <w:szCs w:val="24"/>
        </w:rPr>
        <w:t>The Office of Management and Budget (</w:t>
      </w:r>
      <w:r w:rsidRPr="0012400D">
        <w:rPr>
          <w:sz w:val="24"/>
          <w:szCs w:val="24"/>
        </w:rPr>
        <w:t>OMB</w:t>
      </w:r>
      <w:r w:rsidRPr="0012400D" w:rsidR="007E3C72">
        <w:rPr>
          <w:sz w:val="24"/>
          <w:szCs w:val="24"/>
        </w:rPr>
        <w:t>)</w:t>
      </w:r>
      <w:r w:rsidRPr="0012400D">
        <w:rPr>
          <w:sz w:val="24"/>
          <w:szCs w:val="24"/>
        </w:rPr>
        <w:t xml:space="preserve"> reserves the right to require the submission of additional information with respect to any request for approval.</w:t>
      </w:r>
    </w:p>
    <w:p w:rsidR="00295103" w:rsidRPr="0012400D" w:rsidP="00634EA2" w14:paraId="11D443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rsidR="00295103" w:rsidRPr="0012400D" w:rsidP="00634EA2" w14:paraId="1720D9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r w:rsidRPr="0012400D">
        <w:rPr>
          <w:b/>
          <w:bCs/>
          <w:sz w:val="24"/>
          <w:szCs w:val="24"/>
        </w:rPr>
        <w:t>Specific Instructions</w:t>
      </w:r>
    </w:p>
    <w:p w:rsidR="00295103" w:rsidRPr="0012400D" w:rsidP="00634EA2" w14:paraId="6247D5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rsidR="00295103" w:rsidRPr="0012400D" w:rsidP="00634EA2" w14:paraId="78CD44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sz w:val="24"/>
          <w:szCs w:val="24"/>
        </w:rPr>
      </w:pPr>
      <w:r w:rsidRPr="0012400D">
        <w:rPr>
          <w:b/>
          <w:bCs/>
          <w:sz w:val="24"/>
          <w:szCs w:val="24"/>
        </w:rPr>
        <w:t>Justification</w:t>
      </w:r>
    </w:p>
    <w:p w:rsidR="00295103" w:rsidRPr="0012400D" w:rsidP="00634EA2" w14:paraId="75CFA8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rsidR="00295103" w:rsidRPr="001F67EC" w:rsidP="00634EA2" w14:paraId="3A77EED5" w14:textId="317D6C11">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b/>
          <w:bCs/>
          <w:sz w:val="24"/>
          <w:szCs w:val="24"/>
        </w:rPr>
      </w:pPr>
      <w:r w:rsidRPr="001F67EC">
        <w:rPr>
          <w:b/>
          <w:bCs/>
          <w:sz w:val="24"/>
          <w:szCs w:val="24"/>
        </w:rPr>
        <w:t>Explain the circumstances that make the collection of information necessary.</w:t>
      </w:r>
      <w:r w:rsidRPr="001F67EC" w:rsidR="00EB6BA4">
        <w:rPr>
          <w:b/>
          <w:bCs/>
          <w:sz w:val="24"/>
          <w:szCs w:val="24"/>
        </w:rPr>
        <w:t xml:space="preserve"> </w:t>
      </w:r>
      <w:r w:rsidRPr="001F67EC">
        <w:rPr>
          <w:b/>
          <w:bCs/>
          <w:sz w:val="24"/>
          <w:szCs w:val="24"/>
        </w:rPr>
        <w:t>Identify any legal or administrative requirements that necessitate the collection</w:t>
      </w:r>
      <w:r w:rsidRPr="001F67EC" w:rsidR="000F3AF1">
        <w:rPr>
          <w:b/>
          <w:bCs/>
          <w:sz w:val="24"/>
          <w:szCs w:val="24"/>
        </w:rPr>
        <w:t>.</w:t>
      </w:r>
    </w:p>
    <w:p w:rsidR="00BF1BA4" w:rsidRPr="0012400D" w:rsidP="00634EA2" w14:paraId="2612340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rsidR="00BF1BA4" w:rsidRPr="0012400D" w:rsidP="00634EA2" w14:paraId="2362B16F" w14:textId="17D939E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sz w:val="24"/>
          <w:szCs w:val="24"/>
        </w:rPr>
      </w:pPr>
      <w:r w:rsidRPr="0012400D">
        <w:rPr>
          <w:sz w:val="24"/>
          <w:szCs w:val="24"/>
        </w:rPr>
        <w:t>“</w:t>
      </w:r>
      <w:r w:rsidRPr="0012400D">
        <w:rPr>
          <w:sz w:val="24"/>
          <w:szCs w:val="24"/>
        </w:rPr>
        <w:t>Payments in Lieu of Taxes</w:t>
      </w:r>
      <w:r w:rsidRPr="0012400D">
        <w:rPr>
          <w:sz w:val="24"/>
          <w:szCs w:val="24"/>
        </w:rPr>
        <w:t>”</w:t>
      </w:r>
      <w:r w:rsidRPr="0012400D">
        <w:rPr>
          <w:sz w:val="24"/>
          <w:szCs w:val="24"/>
        </w:rPr>
        <w:t xml:space="preserve"> (PILT) are Federal payments </w:t>
      </w:r>
      <w:r w:rsidRPr="0012400D" w:rsidR="00C12D16">
        <w:rPr>
          <w:sz w:val="24"/>
          <w:szCs w:val="24"/>
        </w:rPr>
        <w:t xml:space="preserve">made by the Department of the Interior </w:t>
      </w:r>
      <w:r w:rsidRPr="0012400D">
        <w:rPr>
          <w:sz w:val="24"/>
          <w:szCs w:val="24"/>
        </w:rPr>
        <w:t xml:space="preserve">to local governments </w:t>
      </w:r>
      <w:r w:rsidRPr="0012400D" w:rsidR="00D36296">
        <w:rPr>
          <w:sz w:val="24"/>
          <w:szCs w:val="24"/>
        </w:rPr>
        <w:t xml:space="preserve">to </w:t>
      </w:r>
      <w:r w:rsidRPr="0012400D">
        <w:rPr>
          <w:sz w:val="24"/>
          <w:szCs w:val="24"/>
        </w:rPr>
        <w:t xml:space="preserve">help offset losses in property taxes due to non-taxable Federal lands within their boundaries. The law </w:t>
      </w:r>
      <w:r w:rsidRPr="0012400D" w:rsidR="00C12D16">
        <w:rPr>
          <w:sz w:val="24"/>
          <w:szCs w:val="24"/>
        </w:rPr>
        <w:t xml:space="preserve">that directs the payments, </w:t>
      </w:r>
      <w:r w:rsidRPr="0012400D" w:rsidR="00D36296">
        <w:rPr>
          <w:sz w:val="24"/>
          <w:szCs w:val="24"/>
        </w:rPr>
        <w:t>t</w:t>
      </w:r>
      <w:r w:rsidRPr="0012400D" w:rsidR="00C12D16">
        <w:rPr>
          <w:sz w:val="24"/>
          <w:szCs w:val="24"/>
        </w:rPr>
        <w:t xml:space="preserve">he PILT Act, </w:t>
      </w:r>
      <w:r w:rsidRPr="0012400D">
        <w:rPr>
          <w:sz w:val="24"/>
          <w:szCs w:val="24"/>
        </w:rPr>
        <w:t xml:space="preserve">is Public Law 94-565, </w:t>
      </w:r>
      <w:r w:rsidRPr="0012400D" w:rsidR="00C12D16">
        <w:rPr>
          <w:sz w:val="24"/>
          <w:szCs w:val="24"/>
        </w:rPr>
        <w:t xml:space="preserve">enacted on </w:t>
      </w:r>
      <w:r w:rsidRPr="0012400D">
        <w:rPr>
          <w:sz w:val="24"/>
          <w:szCs w:val="24"/>
        </w:rPr>
        <w:t>October 20, 1976. This law was rewritten and amended by Public Law 97-258</w:t>
      </w:r>
      <w:r w:rsidRPr="0012400D" w:rsidR="00C12D16">
        <w:rPr>
          <w:sz w:val="24"/>
          <w:szCs w:val="24"/>
        </w:rPr>
        <w:t>, which was enacted</w:t>
      </w:r>
      <w:r w:rsidRPr="0012400D">
        <w:rPr>
          <w:sz w:val="24"/>
          <w:szCs w:val="24"/>
        </w:rPr>
        <w:t xml:space="preserve"> on September 13, 1982</w:t>
      </w:r>
      <w:r w:rsidRPr="0012400D" w:rsidR="00297DD6">
        <w:rPr>
          <w:sz w:val="24"/>
          <w:szCs w:val="24"/>
        </w:rPr>
        <w:t>,</w:t>
      </w:r>
      <w:r w:rsidRPr="0012400D">
        <w:rPr>
          <w:sz w:val="24"/>
          <w:szCs w:val="24"/>
        </w:rPr>
        <w:t xml:space="preserve"> and codified </w:t>
      </w:r>
      <w:r w:rsidRPr="0012400D" w:rsidR="00297DD6">
        <w:rPr>
          <w:sz w:val="24"/>
          <w:szCs w:val="24"/>
        </w:rPr>
        <w:t>in</w:t>
      </w:r>
      <w:r w:rsidRPr="0012400D">
        <w:rPr>
          <w:sz w:val="24"/>
          <w:szCs w:val="24"/>
        </w:rPr>
        <w:t xml:space="preserve"> Chapter 69, Title 31 of the United States Code. The </w:t>
      </w:r>
      <w:r w:rsidRPr="0012400D" w:rsidR="00297DD6">
        <w:rPr>
          <w:sz w:val="24"/>
          <w:szCs w:val="24"/>
        </w:rPr>
        <w:t xml:space="preserve">PILT Act </w:t>
      </w:r>
      <w:r w:rsidRPr="0012400D">
        <w:rPr>
          <w:sz w:val="24"/>
          <w:szCs w:val="24"/>
        </w:rPr>
        <w:t xml:space="preserve">recognizes the inability of local governments to collect property taxes on </w:t>
      </w:r>
      <w:r w:rsidRPr="0012400D" w:rsidR="006631DB">
        <w:rPr>
          <w:sz w:val="24"/>
          <w:szCs w:val="24"/>
        </w:rPr>
        <w:t>Federally owned</w:t>
      </w:r>
      <w:r w:rsidRPr="0012400D">
        <w:rPr>
          <w:sz w:val="24"/>
          <w:szCs w:val="24"/>
        </w:rPr>
        <w:t xml:space="preserve"> land</w:t>
      </w:r>
      <w:r w:rsidRPr="0012400D" w:rsidR="00297DD6">
        <w:rPr>
          <w:sz w:val="24"/>
          <w:szCs w:val="24"/>
        </w:rPr>
        <w:t xml:space="preserve"> and the adverse impact on local governments</w:t>
      </w:r>
      <w:r w:rsidRPr="0012400D">
        <w:rPr>
          <w:sz w:val="24"/>
          <w:szCs w:val="24"/>
        </w:rPr>
        <w:t>’</w:t>
      </w:r>
      <w:r w:rsidRPr="0012400D" w:rsidR="00297DD6">
        <w:rPr>
          <w:sz w:val="24"/>
          <w:szCs w:val="24"/>
        </w:rPr>
        <w:t xml:space="preserve"> financial ability to provide </w:t>
      </w:r>
      <w:r w:rsidRPr="0012400D" w:rsidR="00C12D16">
        <w:rPr>
          <w:sz w:val="24"/>
          <w:szCs w:val="24"/>
        </w:rPr>
        <w:t>vital</w:t>
      </w:r>
      <w:r w:rsidRPr="0012400D" w:rsidR="00297DD6">
        <w:rPr>
          <w:sz w:val="24"/>
          <w:szCs w:val="24"/>
        </w:rPr>
        <w:t xml:space="preserve"> services</w:t>
      </w:r>
      <w:r w:rsidRPr="0012400D" w:rsidR="00D36296">
        <w:rPr>
          <w:sz w:val="24"/>
          <w:szCs w:val="24"/>
        </w:rPr>
        <w:t>,</w:t>
      </w:r>
      <w:r w:rsidRPr="0012400D" w:rsidR="00297DD6">
        <w:rPr>
          <w:sz w:val="24"/>
          <w:szCs w:val="24"/>
        </w:rPr>
        <w:t xml:space="preserve"> </w:t>
      </w:r>
      <w:r w:rsidRPr="0012400D" w:rsidR="00C12D16">
        <w:rPr>
          <w:sz w:val="24"/>
          <w:szCs w:val="24"/>
        </w:rPr>
        <w:t xml:space="preserve">such </w:t>
      </w:r>
      <w:r w:rsidRPr="0012400D" w:rsidR="00297DD6">
        <w:rPr>
          <w:sz w:val="24"/>
          <w:szCs w:val="24"/>
        </w:rPr>
        <w:t>as fire and police protection</w:t>
      </w:r>
      <w:r w:rsidRPr="0012400D" w:rsidR="00E01FD9">
        <w:rPr>
          <w:sz w:val="24"/>
          <w:szCs w:val="24"/>
        </w:rPr>
        <w:t>, construction of roads and schools, and other such services that would generally be funded primarily by property taxes.</w:t>
      </w:r>
    </w:p>
    <w:p w:rsidR="00A461A7" w:rsidRPr="0012400D" w:rsidP="00634EA2" w14:paraId="1C3DAE5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sz w:val="24"/>
          <w:szCs w:val="24"/>
        </w:rPr>
      </w:pPr>
    </w:p>
    <w:p w:rsidR="0086546E" w:rsidRPr="0086546E" w:rsidP="00E66D2D" w14:paraId="756ADDDE" w14:textId="61FE2C75">
      <w:pPr>
        <w:widowControl/>
        <w:spacing w:line="276" w:lineRule="auto"/>
        <w:ind w:left="360"/>
        <w:rPr>
          <w:sz w:val="24"/>
          <w:szCs w:val="24"/>
        </w:rPr>
      </w:pPr>
      <w:r w:rsidRPr="0086546E">
        <w:rPr>
          <w:sz w:val="24"/>
          <w:szCs w:val="24"/>
        </w:rPr>
        <w:t xml:space="preserve">PILT payments are made for tax-exempt federal lands administered by the Department’s agencies – including the Bureau of Land Management, Bureau of Reclamation, U.S. Fish and Wildlife Service, and National Park Service. In addition, PILT payments cover federal lands administered by the U.S. Forest Service, the U.S. Army Corps of Engineers, and the Utah </w:t>
      </w:r>
      <w:r w:rsidRPr="0086546E">
        <w:rPr>
          <w:sz w:val="24"/>
          <w:szCs w:val="24"/>
        </w:rPr>
        <w:t>Reclamation Mitigation and Conservation Commission. Payments are calculated based on the number of acres of federal land within each county or jurisdiction and the population of that county or jurisdiction. </w:t>
      </w:r>
      <w:r w:rsidRPr="00E66D2D" w:rsidR="00E66D2D">
        <w:rPr>
          <w:sz w:val="24"/>
          <w:szCs w:val="24"/>
        </w:rPr>
        <w:t>Congress appropriates funds for the</w:t>
      </w:r>
      <w:r w:rsidR="00E66D2D">
        <w:rPr>
          <w:sz w:val="24"/>
          <w:szCs w:val="24"/>
        </w:rPr>
        <w:t xml:space="preserve"> </w:t>
      </w:r>
      <w:r w:rsidRPr="00E66D2D" w:rsidR="00E66D2D">
        <w:rPr>
          <w:sz w:val="24"/>
          <w:szCs w:val="24"/>
        </w:rPr>
        <w:t>Department of the Interior to distribute to these local governments to offset the loss in revenue</w:t>
      </w:r>
      <w:r w:rsidR="00E66D2D">
        <w:rPr>
          <w:sz w:val="24"/>
          <w:szCs w:val="24"/>
        </w:rPr>
        <w:t xml:space="preserve"> </w:t>
      </w:r>
      <w:r w:rsidRPr="00E66D2D" w:rsidR="00E66D2D">
        <w:rPr>
          <w:sz w:val="24"/>
          <w:szCs w:val="24"/>
        </w:rPr>
        <w:t xml:space="preserve">caused by Federal </w:t>
      </w:r>
      <w:r w:rsidR="00D56C5A">
        <w:rPr>
          <w:sz w:val="24"/>
          <w:szCs w:val="24"/>
        </w:rPr>
        <w:t>o</w:t>
      </w:r>
      <w:r w:rsidRPr="00E66D2D" w:rsidR="00E66D2D">
        <w:rPr>
          <w:sz w:val="24"/>
          <w:szCs w:val="24"/>
        </w:rPr>
        <w:t>wnership of lands within their respective jurisdictions.</w:t>
      </w:r>
    </w:p>
    <w:p w:rsidR="00AE57C9" w:rsidRPr="0012400D" w:rsidP="00634EA2" w14:paraId="199C06A6" w14:textId="77777777">
      <w:pPr>
        <w:widowControl/>
        <w:spacing w:line="276" w:lineRule="auto"/>
        <w:ind w:left="360"/>
        <w:rPr>
          <w:sz w:val="24"/>
          <w:szCs w:val="24"/>
        </w:rPr>
      </w:pPr>
    </w:p>
    <w:p w:rsidR="004D6A04" w:rsidRPr="0012400D" w:rsidP="00634EA2" w14:paraId="4E00E731" w14:textId="321F5D83">
      <w:pPr>
        <w:widowControl/>
        <w:spacing w:line="276" w:lineRule="auto"/>
        <w:ind w:left="360"/>
        <w:rPr>
          <w:sz w:val="24"/>
          <w:szCs w:val="24"/>
        </w:rPr>
      </w:pPr>
      <w:r w:rsidRPr="0012400D">
        <w:rPr>
          <w:sz w:val="24"/>
          <w:szCs w:val="24"/>
        </w:rPr>
        <w:t>PILT Act payments are computed according to a formula contained in the law. This formula is</w:t>
      </w:r>
      <w:r w:rsidRPr="0012400D" w:rsidR="001E1C09">
        <w:rPr>
          <w:sz w:val="24"/>
          <w:szCs w:val="24"/>
        </w:rPr>
        <w:t xml:space="preserve"> </w:t>
      </w:r>
      <w:r w:rsidRPr="0012400D">
        <w:rPr>
          <w:sz w:val="24"/>
          <w:szCs w:val="24"/>
        </w:rPr>
        <w:t xml:space="preserve">based on population, </w:t>
      </w:r>
      <w:r w:rsidR="00213BF4">
        <w:rPr>
          <w:sz w:val="24"/>
          <w:szCs w:val="24"/>
        </w:rPr>
        <w:t xml:space="preserve">certain revenue </w:t>
      </w:r>
      <w:r w:rsidRPr="0012400D">
        <w:rPr>
          <w:sz w:val="24"/>
          <w:szCs w:val="24"/>
        </w:rPr>
        <w:t>sharing payments, and the amount of Federal land</w:t>
      </w:r>
      <w:r w:rsidRPr="0012400D" w:rsidR="00D36296">
        <w:rPr>
          <w:sz w:val="24"/>
          <w:szCs w:val="24"/>
        </w:rPr>
        <w:t>—</w:t>
      </w:r>
      <w:r w:rsidRPr="0012400D" w:rsidR="00C4541F">
        <w:rPr>
          <w:sz w:val="24"/>
          <w:szCs w:val="24"/>
        </w:rPr>
        <w:t>by acres</w:t>
      </w:r>
      <w:r w:rsidRPr="0012400D" w:rsidR="00D36296">
        <w:rPr>
          <w:sz w:val="24"/>
          <w:szCs w:val="24"/>
        </w:rPr>
        <w:t>—</w:t>
      </w:r>
      <w:r w:rsidRPr="0012400D">
        <w:rPr>
          <w:sz w:val="24"/>
          <w:szCs w:val="24"/>
        </w:rPr>
        <w:t>within an</w:t>
      </w:r>
      <w:r w:rsidRPr="0012400D" w:rsidR="00BF0708">
        <w:rPr>
          <w:sz w:val="24"/>
          <w:szCs w:val="24"/>
        </w:rPr>
        <w:t xml:space="preserve"> </w:t>
      </w:r>
      <w:r w:rsidRPr="0012400D">
        <w:rPr>
          <w:sz w:val="24"/>
          <w:szCs w:val="24"/>
        </w:rPr>
        <w:t>affected county</w:t>
      </w:r>
      <w:r w:rsidRPr="0012400D" w:rsidR="00460983">
        <w:rPr>
          <w:sz w:val="24"/>
          <w:szCs w:val="24"/>
        </w:rPr>
        <w:t>/local government</w:t>
      </w:r>
      <w:r w:rsidRPr="0012400D">
        <w:rPr>
          <w:sz w:val="24"/>
          <w:szCs w:val="24"/>
        </w:rPr>
        <w:t>.</w:t>
      </w:r>
      <w:r w:rsidRPr="0012400D" w:rsidR="00EB6BA4">
        <w:rPr>
          <w:sz w:val="24"/>
          <w:szCs w:val="24"/>
        </w:rPr>
        <w:t xml:space="preserve"> </w:t>
      </w:r>
    </w:p>
    <w:p w:rsidR="008E2EE3" w:rsidRPr="0012400D" w:rsidP="00634EA2" w14:paraId="257614E6" w14:textId="77777777">
      <w:pPr>
        <w:widowControl/>
        <w:spacing w:line="276" w:lineRule="auto"/>
        <w:ind w:left="360"/>
        <w:rPr>
          <w:sz w:val="24"/>
          <w:szCs w:val="24"/>
        </w:rPr>
      </w:pPr>
    </w:p>
    <w:p w:rsidR="008E2EE3" w:rsidRPr="0012400D" w:rsidP="00634EA2" w14:paraId="68371D90" w14:textId="46E5BA4F">
      <w:pPr>
        <w:spacing w:line="276" w:lineRule="auto"/>
        <w:ind w:left="360"/>
        <w:rPr>
          <w:sz w:val="24"/>
          <w:szCs w:val="24"/>
        </w:rPr>
      </w:pPr>
      <w:r w:rsidRPr="0012400D">
        <w:rPr>
          <w:sz w:val="24"/>
          <w:szCs w:val="24"/>
        </w:rPr>
        <w:t>The PILT Act specifies the Chief Executive Officer of a State shall submit to the Secretary of the Interior a list of the amounts transferred by the State to each unit of local government out of amounts received under a payment law.</w:t>
      </w:r>
      <w:r w:rsidRPr="0012400D" w:rsidR="00EB6BA4">
        <w:rPr>
          <w:sz w:val="24"/>
          <w:szCs w:val="24"/>
        </w:rPr>
        <w:t xml:space="preserve"> </w:t>
      </w:r>
      <w:r w:rsidRPr="0012400D">
        <w:rPr>
          <w:sz w:val="24"/>
          <w:szCs w:val="24"/>
        </w:rPr>
        <w:t>The information furnished to the Department of the Interior provides the basis for calculating the PILT payment for each county within the State.</w:t>
      </w:r>
    </w:p>
    <w:p w:rsidR="00295103" w:rsidRPr="0012400D" w:rsidP="00634EA2" w14:paraId="5349B3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rsidR="00295103" w:rsidRPr="001F67EC" w:rsidP="00634EA2" w14:paraId="4D79A42D" w14:textId="76293A1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b/>
          <w:bCs/>
          <w:sz w:val="24"/>
          <w:szCs w:val="24"/>
        </w:rPr>
      </w:pPr>
      <w:r w:rsidRPr="001F67EC">
        <w:rPr>
          <w:b/>
          <w:bCs/>
          <w:sz w:val="24"/>
          <w:szCs w:val="24"/>
        </w:rPr>
        <w:t>2.</w:t>
      </w:r>
      <w:r w:rsidRPr="001F67EC">
        <w:rPr>
          <w:b/>
          <w:bCs/>
          <w:sz w:val="24"/>
          <w:szCs w:val="24"/>
        </w:rPr>
        <w:tab/>
        <w:t>Indicate how, by whom, and for what purpose the information is to be used.</w:t>
      </w:r>
      <w:r w:rsidRPr="001F67EC" w:rsidR="00EB6BA4">
        <w:rPr>
          <w:b/>
          <w:bCs/>
          <w:sz w:val="24"/>
          <w:szCs w:val="24"/>
        </w:rPr>
        <w:t xml:space="preserve"> </w:t>
      </w:r>
      <w:r w:rsidRPr="001F67EC">
        <w:rPr>
          <w:b/>
          <w:bCs/>
          <w:sz w:val="24"/>
          <w:szCs w:val="24"/>
        </w:rPr>
        <w:t>Except for a new collection, indicate the actual use the agency has made of the information received from the current collection.</w:t>
      </w:r>
      <w:r w:rsidRPr="001F67EC" w:rsidR="00EB6BA4">
        <w:rPr>
          <w:b/>
          <w:bCs/>
          <w:sz w:val="24"/>
          <w:szCs w:val="24"/>
        </w:rPr>
        <w:t xml:space="preserve"> </w:t>
      </w:r>
      <w:r w:rsidRPr="001F67EC">
        <w:rPr>
          <w:b/>
          <w:bCs/>
          <w:sz w:val="24"/>
          <w:szCs w:val="24"/>
        </w:rPr>
        <w:t>Be specific.</w:t>
      </w:r>
      <w:r w:rsidRPr="001F67EC" w:rsidR="00EB6BA4">
        <w:rPr>
          <w:b/>
          <w:bCs/>
          <w:sz w:val="24"/>
          <w:szCs w:val="24"/>
        </w:rPr>
        <w:t xml:space="preserve"> </w:t>
      </w:r>
      <w:r w:rsidRPr="001F67EC">
        <w:rPr>
          <w:b/>
          <w:bCs/>
          <w:sz w:val="24"/>
          <w:szCs w:val="24"/>
        </w:rPr>
        <w:t xml:space="preserve">If this collection is a form or a questionnaire, every </w:t>
      </w:r>
      <w:r w:rsidRPr="001F67EC" w:rsidR="00DE1FFE">
        <w:rPr>
          <w:b/>
          <w:bCs/>
          <w:sz w:val="24"/>
          <w:szCs w:val="24"/>
        </w:rPr>
        <w:t xml:space="preserve">question </w:t>
      </w:r>
      <w:r w:rsidRPr="001F67EC" w:rsidR="00D36296">
        <w:rPr>
          <w:b/>
          <w:bCs/>
          <w:sz w:val="24"/>
          <w:szCs w:val="24"/>
        </w:rPr>
        <w:t>must</w:t>
      </w:r>
      <w:r w:rsidRPr="001F67EC" w:rsidR="00DE1FFE">
        <w:rPr>
          <w:b/>
          <w:bCs/>
          <w:sz w:val="24"/>
          <w:szCs w:val="24"/>
        </w:rPr>
        <w:t xml:space="preserve"> be justified.</w:t>
      </w:r>
    </w:p>
    <w:p w:rsidR="00173A03" w:rsidRPr="0012400D" w:rsidP="00634EA2" w14:paraId="4E9C33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sz w:val="24"/>
          <w:szCs w:val="24"/>
          <w:highlight w:val="yellow"/>
        </w:rPr>
      </w:pPr>
    </w:p>
    <w:p w:rsidR="008E2EE3" w:rsidRPr="0012400D" w:rsidP="00634EA2" w14:paraId="1E4AF58B" w14:textId="219AC681">
      <w:pPr>
        <w:spacing w:line="276" w:lineRule="auto"/>
        <w:ind w:left="360"/>
        <w:rPr>
          <w:sz w:val="24"/>
          <w:szCs w:val="24"/>
        </w:rPr>
      </w:pPr>
      <w:r>
        <w:rPr>
          <w:sz w:val="24"/>
          <w:szCs w:val="24"/>
        </w:rPr>
        <w:t xml:space="preserve">In a revision of this </w:t>
      </w:r>
      <w:r w:rsidR="0002203C">
        <w:rPr>
          <w:sz w:val="24"/>
          <w:szCs w:val="24"/>
        </w:rPr>
        <w:t xml:space="preserve">ICR, </w:t>
      </w:r>
      <w:r w:rsidRPr="0012400D">
        <w:rPr>
          <w:sz w:val="24"/>
          <w:szCs w:val="24"/>
        </w:rPr>
        <w:t xml:space="preserve">States are directed to </w:t>
      </w:r>
      <w:r w:rsidR="00A364FF">
        <w:rPr>
          <w:sz w:val="24"/>
          <w:szCs w:val="24"/>
        </w:rPr>
        <w:t xml:space="preserve">a </w:t>
      </w:r>
      <w:r w:rsidR="00F10D9A">
        <w:rPr>
          <w:sz w:val="24"/>
          <w:szCs w:val="24"/>
        </w:rPr>
        <w:t xml:space="preserve">secure, </w:t>
      </w:r>
      <w:r w:rsidR="00A364FF">
        <w:rPr>
          <w:sz w:val="24"/>
          <w:szCs w:val="24"/>
        </w:rPr>
        <w:t>web-based portal</w:t>
      </w:r>
      <w:r w:rsidR="008613BD">
        <w:rPr>
          <w:sz w:val="24"/>
          <w:szCs w:val="24"/>
        </w:rPr>
        <w:t xml:space="preserve"> (PILT Portal)</w:t>
      </w:r>
      <w:r w:rsidRPr="0012400D">
        <w:rPr>
          <w:sz w:val="24"/>
          <w:szCs w:val="24"/>
        </w:rPr>
        <w:t xml:space="preserve"> to </w:t>
      </w:r>
      <w:r w:rsidR="00F10D9A">
        <w:rPr>
          <w:sz w:val="24"/>
          <w:szCs w:val="24"/>
        </w:rPr>
        <w:t>provide the required</w:t>
      </w:r>
      <w:r w:rsidRPr="0012400D">
        <w:rPr>
          <w:sz w:val="24"/>
          <w:szCs w:val="24"/>
        </w:rPr>
        <w:t xml:space="preserve"> </w:t>
      </w:r>
      <w:r w:rsidRPr="0012400D" w:rsidR="00EB6BA4">
        <w:rPr>
          <w:sz w:val="24"/>
          <w:szCs w:val="24"/>
        </w:rPr>
        <w:t>“</w:t>
      </w:r>
      <w:r w:rsidRPr="0012400D" w:rsidR="001F149E">
        <w:rPr>
          <w:sz w:val="24"/>
          <w:szCs w:val="24"/>
        </w:rPr>
        <w:t>Statement of Federal Land Payments</w:t>
      </w:r>
      <w:r w:rsidRPr="0012400D" w:rsidR="00EB6BA4">
        <w:rPr>
          <w:sz w:val="24"/>
          <w:szCs w:val="24"/>
        </w:rPr>
        <w:t>”</w:t>
      </w:r>
      <w:r w:rsidR="008613BD">
        <w:rPr>
          <w:sz w:val="24"/>
          <w:szCs w:val="24"/>
        </w:rPr>
        <w:t xml:space="preserve"> information</w:t>
      </w:r>
      <w:r w:rsidR="0002203C">
        <w:rPr>
          <w:sz w:val="24"/>
          <w:szCs w:val="24"/>
        </w:rPr>
        <w:t xml:space="preserve"> versus using a spreadsheet</w:t>
      </w:r>
      <w:r w:rsidR="00F10D9A">
        <w:rPr>
          <w:sz w:val="24"/>
          <w:szCs w:val="24"/>
        </w:rPr>
        <w:t xml:space="preserve">.  The data collected </w:t>
      </w:r>
      <w:r w:rsidR="000266A5">
        <w:rPr>
          <w:sz w:val="24"/>
          <w:szCs w:val="24"/>
        </w:rPr>
        <w:t xml:space="preserve">remains the same and </w:t>
      </w:r>
      <w:r w:rsidRPr="0012400D">
        <w:rPr>
          <w:sz w:val="24"/>
          <w:szCs w:val="24"/>
        </w:rPr>
        <w:t>provide</w:t>
      </w:r>
      <w:r w:rsidR="00F10D9A">
        <w:rPr>
          <w:sz w:val="24"/>
          <w:szCs w:val="24"/>
        </w:rPr>
        <w:t>s</w:t>
      </w:r>
      <w:r w:rsidRPr="0012400D">
        <w:rPr>
          <w:sz w:val="24"/>
          <w:szCs w:val="24"/>
        </w:rPr>
        <w:t xml:space="preserve"> details on payment amounts passed through to counties and/or units of local government during the prior </w:t>
      </w:r>
      <w:r w:rsidRPr="0012400D" w:rsidR="00D36296">
        <w:rPr>
          <w:sz w:val="24"/>
          <w:szCs w:val="24"/>
        </w:rPr>
        <w:t>F</w:t>
      </w:r>
      <w:r w:rsidRPr="0012400D">
        <w:rPr>
          <w:sz w:val="24"/>
          <w:szCs w:val="24"/>
        </w:rPr>
        <w:t>ederal fiscal year.</w:t>
      </w:r>
      <w:r w:rsidRPr="0012400D" w:rsidR="00EB6BA4">
        <w:rPr>
          <w:sz w:val="24"/>
          <w:szCs w:val="24"/>
        </w:rPr>
        <w:t xml:space="preserve"> </w:t>
      </w:r>
      <w:r w:rsidR="008613BD">
        <w:rPr>
          <w:sz w:val="24"/>
          <w:szCs w:val="24"/>
        </w:rPr>
        <w:t>The PILT Portal</w:t>
      </w:r>
      <w:r w:rsidRPr="0012400D">
        <w:rPr>
          <w:sz w:val="24"/>
          <w:szCs w:val="24"/>
        </w:rPr>
        <w:t xml:space="preserve"> displays the units of </w:t>
      </w:r>
      <w:r w:rsidRPr="0012400D" w:rsidR="008613BD">
        <w:rPr>
          <w:sz w:val="24"/>
          <w:szCs w:val="24"/>
        </w:rPr>
        <w:t xml:space="preserve">local </w:t>
      </w:r>
      <w:r w:rsidRPr="0012400D">
        <w:rPr>
          <w:sz w:val="24"/>
          <w:szCs w:val="24"/>
        </w:rPr>
        <w:t xml:space="preserve">government (counties) specific to </w:t>
      </w:r>
      <w:r w:rsidR="008613BD">
        <w:rPr>
          <w:sz w:val="24"/>
          <w:szCs w:val="24"/>
        </w:rPr>
        <w:t>each</w:t>
      </w:r>
      <w:r w:rsidRPr="0012400D">
        <w:rPr>
          <w:sz w:val="24"/>
          <w:szCs w:val="24"/>
        </w:rPr>
        <w:t xml:space="preserve"> State.</w:t>
      </w:r>
      <w:r w:rsidRPr="0012400D" w:rsidR="00EB6BA4">
        <w:rPr>
          <w:sz w:val="24"/>
          <w:szCs w:val="24"/>
        </w:rPr>
        <w:t xml:space="preserve"> </w:t>
      </w:r>
      <w:r w:rsidRPr="0012400D">
        <w:rPr>
          <w:sz w:val="24"/>
          <w:szCs w:val="24"/>
        </w:rPr>
        <w:t xml:space="preserve">If a county received funds for the first time and is not listed </w:t>
      </w:r>
      <w:r w:rsidR="008613BD">
        <w:rPr>
          <w:sz w:val="24"/>
          <w:szCs w:val="24"/>
        </w:rPr>
        <w:t>in</w:t>
      </w:r>
      <w:r w:rsidRPr="0012400D">
        <w:rPr>
          <w:sz w:val="24"/>
          <w:szCs w:val="24"/>
        </w:rPr>
        <w:t xml:space="preserve"> the </w:t>
      </w:r>
      <w:r w:rsidR="008613BD">
        <w:rPr>
          <w:sz w:val="24"/>
          <w:szCs w:val="24"/>
        </w:rPr>
        <w:t>Portal</w:t>
      </w:r>
      <w:r w:rsidRPr="0012400D">
        <w:rPr>
          <w:sz w:val="24"/>
          <w:szCs w:val="24"/>
        </w:rPr>
        <w:t xml:space="preserve">, </w:t>
      </w:r>
      <w:r w:rsidR="00D64325">
        <w:rPr>
          <w:sz w:val="24"/>
          <w:szCs w:val="24"/>
        </w:rPr>
        <w:t xml:space="preserve">States </w:t>
      </w:r>
      <w:r w:rsidR="00F233C5">
        <w:rPr>
          <w:sz w:val="24"/>
          <w:szCs w:val="24"/>
        </w:rPr>
        <w:t xml:space="preserve">must request addition of the </w:t>
      </w:r>
      <w:r w:rsidRPr="0012400D">
        <w:rPr>
          <w:sz w:val="24"/>
          <w:szCs w:val="24"/>
        </w:rPr>
        <w:t>new county</w:t>
      </w:r>
      <w:r w:rsidR="00F233C5">
        <w:rPr>
          <w:sz w:val="24"/>
          <w:szCs w:val="24"/>
        </w:rPr>
        <w:t xml:space="preserve"> prior to completing </w:t>
      </w:r>
      <w:r w:rsidR="00703FD0">
        <w:rPr>
          <w:sz w:val="24"/>
          <w:szCs w:val="24"/>
        </w:rPr>
        <w:t>the</w:t>
      </w:r>
      <w:r w:rsidR="00172CA8">
        <w:rPr>
          <w:sz w:val="24"/>
          <w:szCs w:val="24"/>
        </w:rPr>
        <w:t xml:space="preserve"> data</w:t>
      </w:r>
      <w:r w:rsidR="00703FD0">
        <w:rPr>
          <w:sz w:val="24"/>
          <w:szCs w:val="24"/>
        </w:rPr>
        <w:t>.</w:t>
      </w:r>
    </w:p>
    <w:p w:rsidR="008E2EE3" w:rsidRPr="0012400D" w:rsidP="00634EA2" w14:paraId="3CBAA692" w14:textId="77777777">
      <w:pPr>
        <w:spacing w:line="276" w:lineRule="auto"/>
        <w:ind w:left="360"/>
        <w:rPr>
          <w:sz w:val="24"/>
          <w:szCs w:val="24"/>
        </w:rPr>
      </w:pPr>
    </w:p>
    <w:p w:rsidR="008E2EE3" w:rsidRPr="0012400D" w:rsidP="00634EA2" w14:paraId="5F94F70B" w14:textId="70BF790C">
      <w:pPr>
        <w:pStyle w:val="ListParagraph"/>
        <w:spacing w:line="276" w:lineRule="auto"/>
        <w:ind w:left="360"/>
        <w:rPr>
          <w:rFonts w:ascii="Times New Roman" w:hAnsi="Times New Roman"/>
        </w:rPr>
      </w:pPr>
      <w:r w:rsidRPr="0012400D">
        <w:rPr>
          <w:rFonts w:ascii="Times New Roman" w:hAnsi="Times New Roman"/>
        </w:rPr>
        <w:t xml:space="preserve">Prior year payments reported </w:t>
      </w:r>
      <w:r w:rsidR="00AC4F22">
        <w:rPr>
          <w:rFonts w:ascii="Times New Roman" w:hAnsi="Times New Roman"/>
        </w:rPr>
        <w:t xml:space="preserve">in the PILT Portal </w:t>
      </w:r>
      <w:r w:rsidRPr="0012400D">
        <w:rPr>
          <w:rFonts w:ascii="Times New Roman" w:hAnsi="Times New Roman"/>
        </w:rPr>
        <w:t>should be broken out by the Federal agency making the payment and the type of payment made.</w:t>
      </w:r>
      <w:r w:rsidRPr="0012400D" w:rsidR="00EB6BA4">
        <w:rPr>
          <w:rFonts w:ascii="Times New Roman" w:hAnsi="Times New Roman"/>
        </w:rPr>
        <w:t xml:space="preserve"> </w:t>
      </w:r>
      <w:r w:rsidRPr="0012400D">
        <w:rPr>
          <w:rFonts w:ascii="Times New Roman" w:hAnsi="Times New Roman"/>
        </w:rPr>
        <w:t>The prior year payment categories are as follows:</w:t>
      </w:r>
    </w:p>
    <w:p w:rsidR="008E2EE3" w:rsidRPr="0012400D" w:rsidP="00634EA2" w14:paraId="70D65030" w14:textId="7814ADA2">
      <w:pPr>
        <w:pStyle w:val="ListParagraph"/>
        <w:numPr>
          <w:ilvl w:val="0"/>
          <w:numId w:val="4"/>
        </w:numPr>
        <w:spacing w:line="276" w:lineRule="auto"/>
        <w:ind w:left="1080"/>
        <w:rPr>
          <w:rFonts w:ascii="Times New Roman" w:hAnsi="Times New Roman"/>
        </w:rPr>
      </w:pPr>
      <w:r w:rsidRPr="0012400D">
        <w:rPr>
          <w:rFonts w:ascii="Times New Roman" w:hAnsi="Times New Roman"/>
        </w:rPr>
        <w:t>Forest Service (FS)</w:t>
      </w:r>
      <w:r w:rsidRPr="0012400D" w:rsidR="007E3C72">
        <w:rPr>
          <w:rFonts w:ascii="Times New Roman" w:hAnsi="Times New Roman"/>
        </w:rPr>
        <w:t>—</w:t>
      </w:r>
      <w:r w:rsidRPr="0012400D">
        <w:rPr>
          <w:rFonts w:ascii="Times New Roman" w:hAnsi="Times New Roman"/>
        </w:rPr>
        <w:t>Timber (Title I, Title III, and 25% Payment) and Bankhead</w:t>
      </w:r>
      <w:r w:rsidRPr="0012400D" w:rsidR="001C4BB9">
        <w:rPr>
          <w:rFonts w:ascii="Times New Roman" w:hAnsi="Times New Roman"/>
        </w:rPr>
        <w:t>-</w:t>
      </w:r>
      <w:r w:rsidRPr="0012400D">
        <w:rPr>
          <w:rFonts w:ascii="Times New Roman" w:hAnsi="Times New Roman"/>
        </w:rPr>
        <w:t>Jones</w:t>
      </w:r>
    </w:p>
    <w:p w:rsidR="008E2EE3" w:rsidRPr="0012400D" w:rsidP="00634EA2" w14:paraId="68CF308E" w14:textId="4C562752">
      <w:pPr>
        <w:pStyle w:val="ListParagraph"/>
        <w:numPr>
          <w:ilvl w:val="0"/>
          <w:numId w:val="4"/>
        </w:numPr>
        <w:spacing w:line="276" w:lineRule="auto"/>
        <w:ind w:left="1080"/>
        <w:rPr>
          <w:rFonts w:ascii="Times New Roman" w:hAnsi="Times New Roman"/>
        </w:rPr>
      </w:pPr>
      <w:r w:rsidRPr="0012400D">
        <w:rPr>
          <w:rFonts w:ascii="Times New Roman" w:hAnsi="Times New Roman"/>
        </w:rPr>
        <w:t>Office of National Resources Revenue (ONRR)</w:t>
      </w:r>
      <w:r w:rsidRPr="0012400D" w:rsidR="007E3C72">
        <w:rPr>
          <w:rFonts w:ascii="Times New Roman" w:hAnsi="Times New Roman"/>
        </w:rPr>
        <w:t>—</w:t>
      </w:r>
      <w:r w:rsidRPr="0012400D">
        <w:rPr>
          <w:rFonts w:ascii="Times New Roman" w:hAnsi="Times New Roman"/>
        </w:rPr>
        <w:t>Timber and Mineral Leasing</w:t>
      </w:r>
    </w:p>
    <w:p w:rsidR="008E2EE3" w:rsidRPr="0012400D" w:rsidP="00634EA2" w14:paraId="6F869FCF" w14:textId="543E2D42">
      <w:pPr>
        <w:pStyle w:val="ListParagraph"/>
        <w:numPr>
          <w:ilvl w:val="0"/>
          <w:numId w:val="4"/>
        </w:numPr>
        <w:spacing w:line="276" w:lineRule="auto"/>
        <w:ind w:left="1080"/>
        <w:rPr>
          <w:rFonts w:ascii="Times New Roman" w:hAnsi="Times New Roman"/>
        </w:rPr>
      </w:pPr>
      <w:r w:rsidRPr="0012400D">
        <w:rPr>
          <w:rFonts w:ascii="Times New Roman" w:hAnsi="Times New Roman"/>
        </w:rPr>
        <w:t>Bureau of Land Management (BLM)</w:t>
      </w:r>
      <w:r w:rsidRPr="0012400D" w:rsidR="007E3C72">
        <w:rPr>
          <w:rFonts w:ascii="Times New Roman" w:hAnsi="Times New Roman"/>
        </w:rPr>
        <w:t>—</w:t>
      </w:r>
      <w:r w:rsidRPr="0012400D">
        <w:rPr>
          <w:rFonts w:ascii="Times New Roman" w:hAnsi="Times New Roman"/>
        </w:rPr>
        <w:t>Mineral Leasing, Taylor Grazing, Bankhead</w:t>
      </w:r>
      <w:r w:rsidRPr="0012400D" w:rsidR="001C4BB9">
        <w:rPr>
          <w:rFonts w:ascii="Times New Roman" w:hAnsi="Times New Roman"/>
        </w:rPr>
        <w:t>-</w:t>
      </w:r>
      <w:r w:rsidRPr="0012400D">
        <w:rPr>
          <w:rFonts w:ascii="Times New Roman" w:hAnsi="Times New Roman"/>
        </w:rPr>
        <w:t>Jones and Sale of Materials</w:t>
      </w:r>
    </w:p>
    <w:p w:rsidR="008E2EE3" w:rsidRPr="0012400D" w:rsidP="00634EA2" w14:paraId="1AADBB71" w14:textId="705B2F8A">
      <w:pPr>
        <w:pStyle w:val="ListParagraph"/>
        <w:numPr>
          <w:ilvl w:val="0"/>
          <w:numId w:val="4"/>
        </w:numPr>
        <w:spacing w:line="276" w:lineRule="auto"/>
        <w:ind w:left="1080"/>
        <w:rPr>
          <w:rFonts w:ascii="Times New Roman" w:hAnsi="Times New Roman"/>
        </w:rPr>
      </w:pPr>
      <w:r w:rsidRPr="0012400D">
        <w:rPr>
          <w:rFonts w:ascii="Times New Roman" w:hAnsi="Times New Roman"/>
        </w:rPr>
        <w:t>Federal Energy Regulatory Commission (FERC)</w:t>
      </w:r>
      <w:r w:rsidRPr="0012400D" w:rsidR="007E3C72">
        <w:rPr>
          <w:rFonts w:ascii="Times New Roman" w:hAnsi="Times New Roman"/>
        </w:rPr>
        <w:t>—</w:t>
      </w:r>
      <w:r w:rsidRPr="0012400D">
        <w:rPr>
          <w:rFonts w:ascii="Times New Roman" w:hAnsi="Times New Roman"/>
        </w:rPr>
        <w:t>Power Sales</w:t>
      </w:r>
    </w:p>
    <w:p w:rsidR="008E2EE3" w:rsidRPr="0012400D" w:rsidP="00634EA2" w14:paraId="15FC9F9E" w14:textId="753BB6EB">
      <w:pPr>
        <w:pStyle w:val="ListParagraph"/>
        <w:numPr>
          <w:ilvl w:val="0"/>
          <w:numId w:val="4"/>
        </w:numPr>
        <w:spacing w:line="276" w:lineRule="auto"/>
        <w:ind w:left="1080"/>
        <w:rPr>
          <w:rFonts w:ascii="Times New Roman" w:hAnsi="Times New Roman"/>
        </w:rPr>
      </w:pPr>
      <w:r w:rsidRPr="0012400D">
        <w:rPr>
          <w:rFonts w:ascii="Times New Roman" w:hAnsi="Times New Roman"/>
        </w:rPr>
        <w:t>Fish and Wildlife Service (FW</w:t>
      </w:r>
      <w:r w:rsidRPr="0012400D" w:rsidR="001C4BB9">
        <w:rPr>
          <w:rFonts w:ascii="Times New Roman" w:hAnsi="Times New Roman"/>
        </w:rPr>
        <w:t>S</w:t>
      </w:r>
      <w:r w:rsidRPr="0012400D">
        <w:rPr>
          <w:rFonts w:ascii="Times New Roman" w:hAnsi="Times New Roman"/>
        </w:rPr>
        <w:t>)</w:t>
      </w:r>
      <w:r w:rsidRPr="0012400D" w:rsidR="007E3C72">
        <w:rPr>
          <w:rFonts w:ascii="Times New Roman" w:hAnsi="Times New Roman"/>
        </w:rPr>
        <w:t>—</w:t>
      </w:r>
      <w:r w:rsidRPr="0012400D">
        <w:rPr>
          <w:rFonts w:ascii="Times New Roman" w:hAnsi="Times New Roman"/>
        </w:rPr>
        <w:t>Refuge Revenue Sharing</w:t>
      </w:r>
    </w:p>
    <w:p w:rsidR="008E2EE3" w:rsidRPr="0012400D" w:rsidP="00634EA2" w14:paraId="17842168" w14:textId="77777777">
      <w:pPr>
        <w:spacing w:line="276" w:lineRule="auto"/>
        <w:ind w:left="360"/>
        <w:rPr>
          <w:sz w:val="24"/>
          <w:szCs w:val="24"/>
        </w:rPr>
      </w:pPr>
    </w:p>
    <w:p w:rsidR="008E2EE3" w:rsidRPr="0012400D" w:rsidP="00634EA2" w14:paraId="43023E51" w14:textId="4E43989D">
      <w:pPr>
        <w:spacing w:line="276" w:lineRule="auto"/>
        <w:ind w:left="360"/>
        <w:rPr>
          <w:sz w:val="24"/>
          <w:szCs w:val="24"/>
        </w:rPr>
      </w:pPr>
      <w:r w:rsidRPr="0012400D">
        <w:rPr>
          <w:sz w:val="24"/>
          <w:szCs w:val="24"/>
        </w:rPr>
        <w:t>Amounts reported by the State as being passed through to local governments will be used to calculate the county</w:t>
      </w:r>
      <w:r w:rsidRPr="0012400D" w:rsidR="00EB6BA4">
        <w:rPr>
          <w:sz w:val="24"/>
          <w:szCs w:val="24"/>
        </w:rPr>
        <w:t>’</w:t>
      </w:r>
      <w:r w:rsidRPr="0012400D">
        <w:rPr>
          <w:sz w:val="24"/>
          <w:szCs w:val="24"/>
        </w:rPr>
        <w:t>s PILT payment within a State.</w:t>
      </w:r>
      <w:r w:rsidRPr="0012400D" w:rsidR="00EB6BA4">
        <w:rPr>
          <w:sz w:val="24"/>
          <w:szCs w:val="24"/>
        </w:rPr>
        <w:t xml:space="preserve"> </w:t>
      </w:r>
      <w:r w:rsidRPr="0012400D">
        <w:rPr>
          <w:sz w:val="24"/>
          <w:szCs w:val="24"/>
        </w:rPr>
        <w:t xml:space="preserve">The </w:t>
      </w:r>
      <w:r w:rsidRPr="0012400D" w:rsidR="00EB6BA4">
        <w:rPr>
          <w:sz w:val="24"/>
          <w:szCs w:val="24"/>
        </w:rPr>
        <w:t>“</w:t>
      </w:r>
      <w:r w:rsidRPr="0012400D">
        <w:rPr>
          <w:sz w:val="24"/>
          <w:szCs w:val="24"/>
        </w:rPr>
        <w:t>pass through</w:t>
      </w:r>
      <w:r w:rsidRPr="0012400D" w:rsidR="00EB6BA4">
        <w:rPr>
          <w:sz w:val="24"/>
          <w:szCs w:val="24"/>
        </w:rPr>
        <w:t>”</w:t>
      </w:r>
      <w:r w:rsidRPr="0012400D">
        <w:rPr>
          <w:sz w:val="24"/>
          <w:szCs w:val="24"/>
        </w:rPr>
        <w:t xml:space="preserve"> amounts reported by a State should take into consideration the following summarized Comptroller General</w:t>
      </w:r>
      <w:r w:rsidRPr="0012400D" w:rsidR="00EB6BA4">
        <w:rPr>
          <w:sz w:val="24"/>
          <w:szCs w:val="24"/>
        </w:rPr>
        <w:t>’</w:t>
      </w:r>
      <w:r w:rsidRPr="0012400D">
        <w:rPr>
          <w:sz w:val="24"/>
          <w:szCs w:val="24"/>
        </w:rPr>
        <w:t xml:space="preserve">s Decision </w:t>
      </w:r>
      <w:r w:rsidRPr="0012400D" w:rsidR="001F149E">
        <w:rPr>
          <w:sz w:val="24"/>
          <w:szCs w:val="24"/>
        </w:rPr>
        <w:t>Number</w:t>
      </w:r>
      <w:r w:rsidRPr="0012400D">
        <w:rPr>
          <w:sz w:val="24"/>
          <w:szCs w:val="24"/>
        </w:rPr>
        <w:t xml:space="preserve"> B-167553:</w:t>
      </w:r>
    </w:p>
    <w:p w:rsidR="008E2EE3" w:rsidRPr="0012400D" w:rsidP="00634EA2" w14:paraId="481D715B" w14:textId="77777777">
      <w:pPr>
        <w:spacing w:line="276" w:lineRule="auto"/>
        <w:ind w:left="360"/>
        <w:rPr>
          <w:sz w:val="24"/>
          <w:szCs w:val="24"/>
        </w:rPr>
      </w:pPr>
    </w:p>
    <w:p w:rsidR="008E2EE3" w:rsidRPr="0012400D" w:rsidP="00634EA2" w14:paraId="2C929849" w14:textId="120CC152">
      <w:pPr>
        <w:pStyle w:val="ListParagraph"/>
        <w:numPr>
          <w:ilvl w:val="0"/>
          <w:numId w:val="6"/>
        </w:numPr>
        <w:spacing w:line="276" w:lineRule="auto"/>
        <w:ind w:left="1080"/>
        <w:rPr>
          <w:rFonts w:ascii="Times New Roman" w:hAnsi="Times New Roman"/>
        </w:rPr>
      </w:pPr>
      <w:r w:rsidRPr="0012400D">
        <w:rPr>
          <w:rFonts w:ascii="Times New Roman" w:hAnsi="Times New Roman"/>
        </w:rPr>
        <w:t xml:space="preserve">Payments to units of local government under the PILT Act are to be reduced only by the amounts of payments </w:t>
      </w:r>
      <w:r w:rsidRPr="0012400D" w:rsidR="005D7337">
        <w:rPr>
          <w:rFonts w:ascii="Times New Roman" w:hAnsi="Times New Roman"/>
        </w:rPr>
        <w:t>received</w:t>
      </w:r>
      <w:r w:rsidRPr="0012400D">
        <w:rPr>
          <w:rFonts w:ascii="Times New Roman" w:hAnsi="Times New Roman"/>
        </w:rPr>
        <w:t xml:space="preserve"> by the units of local government.</w:t>
      </w:r>
      <w:r w:rsidRPr="0012400D" w:rsidR="00EB6BA4">
        <w:rPr>
          <w:rFonts w:ascii="Times New Roman" w:hAnsi="Times New Roman"/>
        </w:rPr>
        <w:t xml:space="preserve"> </w:t>
      </w:r>
      <w:r w:rsidRPr="0012400D">
        <w:rPr>
          <w:rFonts w:ascii="Times New Roman" w:hAnsi="Times New Roman"/>
        </w:rPr>
        <w:t>Thus, Federal revenues paid to a State and distributed by the State directly to a politically and financially independent school district or other independent districts should not be deducted from payments to that unit of local government.</w:t>
      </w:r>
      <w:r w:rsidRPr="0012400D" w:rsidR="00EB6BA4">
        <w:rPr>
          <w:rFonts w:ascii="Times New Roman" w:hAnsi="Times New Roman"/>
        </w:rPr>
        <w:t xml:space="preserve"> </w:t>
      </w:r>
      <w:r w:rsidRPr="0012400D">
        <w:rPr>
          <w:rFonts w:ascii="Times New Roman" w:hAnsi="Times New Roman"/>
        </w:rPr>
        <w:t>Payments to other single or special purpose districts should be treated in a similar manner.</w:t>
      </w:r>
    </w:p>
    <w:p w:rsidR="008E2EE3" w:rsidRPr="0012400D" w:rsidP="00634EA2" w14:paraId="0EE8F566" w14:textId="38477C1A">
      <w:pPr>
        <w:spacing w:line="276" w:lineRule="auto"/>
        <w:ind w:left="720" w:firstLine="45"/>
        <w:rPr>
          <w:sz w:val="24"/>
          <w:szCs w:val="24"/>
        </w:rPr>
      </w:pPr>
    </w:p>
    <w:p w:rsidR="008E2EE3" w:rsidRPr="0012400D" w:rsidP="00634EA2" w14:paraId="1A1B0B78" w14:textId="61BD3251">
      <w:pPr>
        <w:pStyle w:val="ListParagraph"/>
        <w:numPr>
          <w:ilvl w:val="0"/>
          <w:numId w:val="6"/>
        </w:numPr>
        <w:spacing w:line="276" w:lineRule="auto"/>
        <w:ind w:left="1080"/>
        <w:rPr>
          <w:rFonts w:ascii="Times New Roman" w:hAnsi="Times New Roman"/>
        </w:rPr>
      </w:pPr>
      <w:r w:rsidRPr="0012400D">
        <w:rPr>
          <w:rFonts w:ascii="Times New Roman" w:hAnsi="Times New Roman"/>
        </w:rPr>
        <w:t xml:space="preserve">Federal revenues should not be considered </w:t>
      </w:r>
      <w:r w:rsidRPr="0012400D" w:rsidR="00EB6BA4">
        <w:rPr>
          <w:rFonts w:ascii="Times New Roman" w:hAnsi="Times New Roman"/>
        </w:rPr>
        <w:t>“</w:t>
      </w:r>
      <w:r w:rsidRPr="0012400D">
        <w:rPr>
          <w:rFonts w:ascii="Times New Roman" w:hAnsi="Times New Roman"/>
        </w:rPr>
        <w:t>received</w:t>
      </w:r>
      <w:r w:rsidRPr="0012400D" w:rsidR="00EB6BA4">
        <w:rPr>
          <w:rFonts w:ascii="Times New Roman" w:hAnsi="Times New Roman"/>
        </w:rPr>
        <w:t>”</w:t>
      </w:r>
      <w:r w:rsidRPr="0012400D">
        <w:rPr>
          <w:rFonts w:ascii="Times New Roman" w:hAnsi="Times New Roman"/>
        </w:rPr>
        <w:t xml:space="preserve"> by the unit of local government when paid to a State then distributed by the State to a unit of local government with the requirement by State law to pass these revenues directly to a politically and financially independent school district.</w:t>
      </w:r>
      <w:r w:rsidRPr="0012400D" w:rsidR="00EB6BA4">
        <w:rPr>
          <w:rFonts w:ascii="Times New Roman" w:hAnsi="Times New Roman"/>
        </w:rPr>
        <w:t xml:space="preserve"> </w:t>
      </w:r>
      <w:r w:rsidRPr="0012400D">
        <w:rPr>
          <w:rFonts w:ascii="Times New Roman" w:hAnsi="Times New Roman"/>
        </w:rPr>
        <w:t>These payments should not be deducted from payments to that unit of local government unless that unit is legally responsible for provision of school services and has collected other tax revenues for that purpose.</w:t>
      </w:r>
      <w:r w:rsidRPr="0012400D" w:rsidR="00EB6BA4">
        <w:rPr>
          <w:rFonts w:ascii="Times New Roman" w:hAnsi="Times New Roman"/>
        </w:rPr>
        <w:t xml:space="preserve"> </w:t>
      </w:r>
      <w:r w:rsidRPr="0012400D">
        <w:rPr>
          <w:rFonts w:ascii="Times New Roman" w:hAnsi="Times New Roman"/>
        </w:rPr>
        <w:t>Payments passed through to other special or single purpose districts should be treated in a like manner.</w:t>
      </w:r>
    </w:p>
    <w:p w:rsidR="00183140" w:rsidRPr="0012400D" w:rsidP="00634EA2" w14:paraId="6C68BB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sz w:val="24"/>
          <w:szCs w:val="24"/>
          <w:highlight w:val="yellow"/>
        </w:rPr>
      </w:pPr>
    </w:p>
    <w:p w:rsidR="00295103" w:rsidRPr="001F67EC" w:rsidP="00634EA2" w14:paraId="08FB7037" w14:textId="1B98398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b/>
          <w:bCs/>
          <w:sz w:val="24"/>
          <w:szCs w:val="24"/>
        </w:rPr>
      </w:pPr>
      <w:r w:rsidRPr="001F67EC">
        <w:rPr>
          <w:b/>
          <w:bCs/>
          <w:sz w:val="24"/>
          <w:szCs w:val="24"/>
        </w:rPr>
        <w:t>3.</w:t>
      </w:r>
      <w:r w:rsidRPr="001F67EC">
        <w:rPr>
          <w:b/>
          <w:bCs/>
          <w:sz w:val="24"/>
          <w:szCs w:val="24"/>
        </w:rPr>
        <w:tab/>
        <w:t>Describe whether, and to what extent, the collection of information involves the use of automated, electronic, mechanical, or other technological collection techniques or other forms of information technology</w:t>
      </w:r>
      <w:r w:rsidRPr="001F67EC" w:rsidR="00B529A2">
        <w:rPr>
          <w:b/>
          <w:bCs/>
          <w:sz w:val="24"/>
          <w:szCs w:val="24"/>
        </w:rPr>
        <w:t>—for example</w:t>
      </w:r>
      <w:r w:rsidRPr="001F67EC">
        <w:rPr>
          <w:b/>
          <w:bCs/>
          <w:sz w:val="24"/>
          <w:szCs w:val="24"/>
        </w:rPr>
        <w:t>, permitting electronic submission of responses</w:t>
      </w:r>
      <w:r w:rsidRPr="001F67EC" w:rsidR="00B529A2">
        <w:rPr>
          <w:b/>
          <w:bCs/>
          <w:sz w:val="24"/>
          <w:szCs w:val="24"/>
        </w:rPr>
        <w:t>—</w:t>
      </w:r>
      <w:r w:rsidRPr="001F67EC">
        <w:rPr>
          <w:b/>
          <w:bCs/>
          <w:sz w:val="24"/>
          <w:szCs w:val="24"/>
        </w:rPr>
        <w:t xml:space="preserve">and the basis for the decision </w:t>
      </w:r>
      <w:r w:rsidRPr="001F67EC" w:rsidR="00B529A2">
        <w:rPr>
          <w:b/>
          <w:bCs/>
          <w:sz w:val="24"/>
          <w:szCs w:val="24"/>
        </w:rPr>
        <w:t xml:space="preserve">to </w:t>
      </w:r>
      <w:r w:rsidRPr="001F67EC">
        <w:rPr>
          <w:b/>
          <w:bCs/>
          <w:sz w:val="24"/>
          <w:szCs w:val="24"/>
        </w:rPr>
        <w:t>adopt this means of collection.</w:t>
      </w:r>
      <w:r w:rsidRPr="001F67EC" w:rsidR="00EB6BA4">
        <w:rPr>
          <w:b/>
          <w:bCs/>
          <w:sz w:val="24"/>
          <w:szCs w:val="24"/>
        </w:rPr>
        <w:t xml:space="preserve"> </w:t>
      </w:r>
      <w:r w:rsidRPr="001F67EC">
        <w:rPr>
          <w:b/>
          <w:bCs/>
          <w:sz w:val="24"/>
          <w:szCs w:val="24"/>
        </w:rPr>
        <w:t>Also</w:t>
      </w:r>
      <w:r w:rsidRPr="001F67EC" w:rsidR="00B529A2">
        <w:rPr>
          <w:b/>
          <w:bCs/>
          <w:sz w:val="24"/>
          <w:szCs w:val="24"/>
        </w:rPr>
        <w:t>,</w:t>
      </w:r>
      <w:r w:rsidRPr="001F67EC">
        <w:rPr>
          <w:b/>
          <w:bCs/>
          <w:sz w:val="24"/>
          <w:szCs w:val="24"/>
        </w:rPr>
        <w:t xml:space="preserve"> describe any consideration of using information technology to reduce </w:t>
      </w:r>
      <w:r w:rsidRPr="001F67EC" w:rsidR="00B529A2">
        <w:rPr>
          <w:b/>
          <w:bCs/>
          <w:sz w:val="24"/>
          <w:szCs w:val="24"/>
        </w:rPr>
        <w:t xml:space="preserve">the </w:t>
      </w:r>
      <w:r w:rsidRPr="001F67EC">
        <w:rPr>
          <w:b/>
          <w:bCs/>
          <w:sz w:val="24"/>
          <w:szCs w:val="24"/>
        </w:rPr>
        <w:t xml:space="preserve">burden </w:t>
      </w:r>
      <w:r w:rsidRPr="001F67EC" w:rsidR="00B529A2">
        <w:rPr>
          <w:b/>
          <w:bCs/>
          <w:sz w:val="24"/>
          <w:szCs w:val="24"/>
        </w:rPr>
        <w:t xml:space="preserve">of collecting information </w:t>
      </w:r>
      <w:r w:rsidRPr="001F67EC">
        <w:rPr>
          <w:b/>
          <w:bCs/>
          <w:sz w:val="24"/>
          <w:szCs w:val="24"/>
        </w:rPr>
        <w:t>and</w:t>
      </w:r>
      <w:r w:rsidRPr="001F67EC" w:rsidR="00B529A2">
        <w:rPr>
          <w:b/>
          <w:bCs/>
          <w:sz w:val="24"/>
          <w:szCs w:val="24"/>
        </w:rPr>
        <w:t>,</w:t>
      </w:r>
      <w:r w:rsidRPr="001F67EC">
        <w:rPr>
          <w:b/>
          <w:bCs/>
          <w:sz w:val="24"/>
          <w:szCs w:val="24"/>
        </w:rPr>
        <w:t xml:space="preserve"> specifically</w:t>
      </w:r>
      <w:r w:rsidRPr="001F67EC" w:rsidR="00B529A2">
        <w:rPr>
          <w:b/>
          <w:bCs/>
          <w:sz w:val="24"/>
          <w:szCs w:val="24"/>
        </w:rPr>
        <w:t>,</w:t>
      </w:r>
      <w:r w:rsidRPr="001F67EC">
        <w:rPr>
          <w:b/>
          <w:bCs/>
          <w:sz w:val="24"/>
          <w:szCs w:val="24"/>
        </w:rPr>
        <w:t xml:space="preserve"> how this </w:t>
      </w:r>
      <w:r w:rsidRPr="001F67EC" w:rsidR="00B529A2">
        <w:rPr>
          <w:b/>
          <w:bCs/>
          <w:sz w:val="24"/>
          <w:szCs w:val="24"/>
        </w:rPr>
        <w:t xml:space="preserve">method of </w:t>
      </w:r>
      <w:r w:rsidRPr="001F67EC">
        <w:rPr>
          <w:b/>
          <w:bCs/>
          <w:sz w:val="24"/>
          <w:szCs w:val="24"/>
        </w:rPr>
        <w:t xml:space="preserve">collection meets </w:t>
      </w:r>
      <w:r w:rsidRPr="001F67EC" w:rsidR="00B529A2">
        <w:rPr>
          <w:b/>
          <w:bCs/>
          <w:sz w:val="24"/>
          <w:szCs w:val="24"/>
        </w:rPr>
        <w:t>Government Paperwork Eliminations Act (</w:t>
      </w:r>
      <w:r w:rsidRPr="001F67EC">
        <w:rPr>
          <w:b/>
          <w:bCs/>
          <w:sz w:val="24"/>
          <w:szCs w:val="24"/>
        </w:rPr>
        <w:t>GPEA</w:t>
      </w:r>
      <w:r w:rsidRPr="001F67EC" w:rsidR="00B529A2">
        <w:rPr>
          <w:b/>
          <w:bCs/>
          <w:sz w:val="24"/>
          <w:szCs w:val="24"/>
        </w:rPr>
        <w:t>)</w:t>
      </w:r>
      <w:r w:rsidRPr="001F67EC">
        <w:rPr>
          <w:b/>
          <w:bCs/>
          <w:sz w:val="24"/>
          <w:szCs w:val="24"/>
        </w:rPr>
        <w:t xml:space="preserve"> requirements.</w:t>
      </w:r>
    </w:p>
    <w:p w:rsidR="00014C8F" w:rsidRPr="0012400D" w:rsidP="00634EA2" w14:paraId="049F0ABD" w14:textId="2F8DC4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rsidR="009C1B8E" w:rsidRPr="0012400D" w:rsidP="008B3CEE" w14:paraId="2CE2C13A" w14:textId="562E35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rPr>
          <w:sz w:val="24"/>
          <w:szCs w:val="24"/>
        </w:rPr>
      </w:pPr>
      <w:r w:rsidRPr="0012400D">
        <w:rPr>
          <w:sz w:val="24"/>
          <w:szCs w:val="24"/>
        </w:rPr>
        <w:t xml:space="preserve">The Department collects data </w:t>
      </w:r>
      <w:r w:rsidR="00522DD9">
        <w:rPr>
          <w:sz w:val="24"/>
          <w:szCs w:val="24"/>
        </w:rPr>
        <w:t xml:space="preserve">through a secure web-based </w:t>
      </w:r>
      <w:r w:rsidRPr="008B3CEE" w:rsidR="008B3CEE">
        <w:rPr>
          <w:sz w:val="24"/>
          <w:szCs w:val="24"/>
        </w:rPr>
        <w:t>platform for the submission of State certification package materials.</w:t>
      </w:r>
      <w:r w:rsidR="008B3CEE">
        <w:rPr>
          <w:sz w:val="24"/>
          <w:szCs w:val="24"/>
        </w:rPr>
        <w:t xml:space="preserve"> </w:t>
      </w:r>
      <w:r w:rsidRPr="008B3CEE" w:rsidR="008B3CEE">
        <w:rPr>
          <w:sz w:val="24"/>
          <w:szCs w:val="24"/>
        </w:rPr>
        <w:t>The PILT Portal improves the accuracy of State submissions by enabling the electronic submission of</w:t>
      </w:r>
      <w:r w:rsidR="008B3CEE">
        <w:rPr>
          <w:sz w:val="24"/>
          <w:szCs w:val="24"/>
        </w:rPr>
        <w:t xml:space="preserve"> </w:t>
      </w:r>
      <w:r w:rsidRPr="008B3CEE" w:rsidR="008B3CEE">
        <w:rPr>
          <w:sz w:val="24"/>
          <w:szCs w:val="24"/>
        </w:rPr>
        <w:t>prior-year payment deduction data, eliminating version control issues in file uploads, and facilitating</w:t>
      </w:r>
      <w:r w:rsidR="008B3CEE">
        <w:rPr>
          <w:sz w:val="24"/>
          <w:szCs w:val="24"/>
        </w:rPr>
        <w:t xml:space="preserve"> </w:t>
      </w:r>
      <w:r w:rsidRPr="008B3CEE" w:rsidR="008B3CEE">
        <w:rPr>
          <w:sz w:val="24"/>
          <w:szCs w:val="24"/>
        </w:rPr>
        <w:t>secure, end-to-end State control of certified materials.</w:t>
      </w:r>
      <w:r w:rsidR="00B82398">
        <w:rPr>
          <w:sz w:val="24"/>
          <w:szCs w:val="24"/>
        </w:rPr>
        <w:t xml:space="preserve">  This method of collection meets Government Paperwork Elimination Act (GEPA) standards by providing </w:t>
      </w:r>
      <w:r w:rsidR="001B5799">
        <w:rPr>
          <w:sz w:val="24"/>
          <w:szCs w:val="24"/>
        </w:rPr>
        <w:t xml:space="preserve">States </w:t>
      </w:r>
      <w:r w:rsidR="007D3026">
        <w:rPr>
          <w:sz w:val="24"/>
          <w:szCs w:val="24"/>
        </w:rPr>
        <w:t xml:space="preserve">the ability to submit information electronically and maintain records electronically.  The PILT Portal </w:t>
      </w:r>
      <w:r w:rsidR="00F22C99">
        <w:rPr>
          <w:sz w:val="24"/>
          <w:szCs w:val="24"/>
        </w:rPr>
        <w:t xml:space="preserve">ensures appropriate </w:t>
      </w:r>
      <w:r w:rsidR="004B438F">
        <w:rPr>
          <w:sz w:val="24"/>
          <w:szCs w:val="24"/>
        </w:rPr>
        <w:t>data security</w:t>
      </w:r>
      <w:r w:rsidR="00F22C99">
        <w:rPr>
          <w:sz w:val="24"/>
          <w:szCs w:val="24"/>
        </w:rPr>
        <w:t xml:space="preserve"> through </w:t>
      </w:r>
      <w:r w:rsidR="004B438F">
        <w:rPr>
          <w:sz w:val="24"/>
          <w:szCs w:val="24"/>
        </w:rPr>
        <w:t>the use of specific</w:t>
      </w:r>
      <w:r w:rsidR="00F22C99">
        <w:rPr>
          <w:sz w:val="24"/>
          <w:szCs w:val="24"/>
        </w:rPr>
        <w:t xml:space="preserve"> login IDs and passwords</w:t>
      </w:r>
      <w:r w:rsidR="004B438F">
        <w:rPr>
          <w:sz w:val="24"/>
          <w:szCs w:val="24"/>
        </w:rPr>
        <w:t xml:space="preserve"> for designated State users.</w:t>
      </w:r>
    </w:p>
    <w:p w:rsidR="00014C8F" w:rsidRPr="0012400D" w:rsidP="00634EA2" w14:paraId="642FAB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sz w:val="24"/>
          <w:szCs w:val="24"/>
          <w:highlight w:val="yellow"/>
        </w:rPr>
      </w:pPr>
    </w:p>
    <w:p w:rsidR="00295103" w:rsidRPr="001F67EC" w:rsidP="00634EA2" w14:paraId="121BA91C" w14:textId="17D95E3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b/>
          <w:bCs/>
          <w:sz w:val="24"/>
          <w:szCs w:val="24"/>
        </w:rPr>
      </w:pPr>
      <w:r w:rsidRPr="001F67EC">
        <w:rPr>
          <w:b/>
          <w:bCs/>
          <w:sz w:val="24"/>
          <w:szCs w:val="24"/>
        </w:rPr>
        <w:t>4.</w:t>
      </w:r>
      <w:r w:rsidRPr="001F67EC">
        <w:rPr>
          <w:b/>
          <w:bCs/>
          <w:sz w:val="24"/>
          <w:szCs w:val="24"/>
        </w:rPr>
        <w:tab/>
        <w:t>Describe efforts to identify duplication.</w:t>
      </w:r>
      <w:r w:rsidRPr="001F67EC" w:rsidR="00EB6BA4">
        <w:rPr>
          <w:b/>
          <w:bCs/>
          <w:sz w:val="24"/>
          <w:szCs w:val="24"/>
        </w:rPr>
        <w:t xml:space="preserve"> </w:t>
      </w:r>
      <w:r w:rsidRPr="001F67EC">
        <w:rPr>
          <w:b/>
          <w:bCs/>
          <w:sz w:val="24"/>
          <w:szCs w:val="24"/>
        </w:rPr>
        <w:t xml:space="preserve">Show specifically why any similar </w:t>
      </w:r>
      <w:r w:rsidRPr="001F67EC">
        <w:rPr>
          <w:b/>
          <w:bCs/>
          <w:sz w:val="24"/>
          <w:szCs w:val="24"/>
        </w:rPr>
        <w:t>information already available cannot be used or modified for use for the purposes described in Item 2 above.</w:t>
      </w:r>
    </w:p>
    <w:p w:rsidR="00295103" w:rsidRPr="0012400D" w:rsidP="00634EA2" w14:paraId="4A3365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rsidR="009C1B8E" w:rsidRPr="0012400D" w:rsidP="00634EA2" w14:paraId="30C00611" w14:textId="6063F2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rPr>
          <w:sz w:val="24"/>
          <w:szCs w:val="24"/>
        </w:rPr>
      </w:pPr>
      <w:r w:rsidRPr="0012400D">
        <w:rPr>
          <w:sz w:val="24"/>
          <w:szCs w:val="24"/>
        </w:rPr>
        <w:t>The Department of the Interior holds a unique role in the Federal government with respect to its stewardship of federally owned land, and the PILT Act grants responsibility for PILT payments to the Secretary of the Interior</w:t>
      </w:r>
      <w:r w:rsidRPr="0012400D" w:rsidR="005564E6">
        <w:rPr>
          <w:sz w:val="24"/>
          <w:szCs w:val="24"/>
        </w:rPr>
        <w:t>;</w:t>
      </w:r>
      <w:r w:rsidRPr="0012400D" w:rsidR="00EB6BA4">
        <w:rPr>
          <w:sz w:val="24"/>
          <w:szCs w:val="24"/>
        </w:rPr>
        <w:t xml:space="preserve"> </w:t>
      </w:r>
      <w:r w:rsidRPr="0012400D" w:rsidR="005564E6">
        <w:rPr>
          <w:sz w:val="24"/>
          <w:szCs w:val="24"/>
        </w:rPr>
        <w:t>t</w:t>
      </w:r>
      <w:r w:rsidRPr="0012400D">
        <w:rPr>
          <w:sz w:val="24"/>
          <w:szCs w:val="24"/>
        </w:rPr>
        <w:t>herefore, no other Federal agency collects PILT data.</w:t>
      </w:r>
      <w:r w:rsidRPr="0012400D" w:rsidR="00EB6BA4">
        <w:rPr>
          <w:sz w:val="24"/>
          <w:szCs w:val="24"/>
        </w:rPr>
        <w:t xml:space="preserve"> </w:t>
      </w:r>
      <w:r w:rsidRPr="0012400D">
        <w:rPr>
          <w:sz w:val="24"/>
          <w:szCs w:val="24"/>
        </w:rPr>
        <w:t>Because the information collected is highly specific pursuant to the requirements of the PILT Act, no other Federal agency collects the same or similar information, no other Federal agency collects similar information that can be modified for this collection, and the information is not available from any other source.</w:t>
      </w:r>
    </w:p>
    <w:p w:rsidR="00312BC2" w:rsidRPr="0012400D" w:rsidP="00634EA2" w14:paraId="51B58E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sz w:val="24"/>
          <w:szCs w:val="24"/>
          <w:highlight w:val="yellow"/>
        </w:rPr>
      </w:pPr>
    </w:p>
    <w:p w:rsidR="00295103" w:rsidRPr="001F67EC" w:rsidP="00634EA2" w14:paraId="3D2498D3" w14:textId="7549E5C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b/>
          <w:bCs/>
          <w:sz w:val="24"/>
          <w:szCs w:val="24"/>
        </w:rPr>
      </w:pPr>
      <w:r w:rsidRPr="001F67EC">
        <w:rPr>
          <w:b/>
          <w:bCs/>
          <w:sz w:val="24"/>
          <w:szCs w:val="24"/>
        </w:rPr>
        <w:t>5.</w:t>
      </w:r>
      <w:r w:rsidRPr="001F67EC">
        <w:rPr>
          <w:b/>
          <w:bCs/>
          <w:sz w:val="24"/>
          <w:szCs w:val="24"/>
        </w:rPr>
        <w:tab/>
        <w:t xml:space="preserve">If the collection of information </w:t>
      </w:r>
      <w:r w:rsidRPr="001F67EC" w:rsidR="005564E6">
        <w:rPr>
          <w:b/>
          <w:bCs/>
          <w:sz w:val="24"/>
          <w:szCs w:val="24"/>
        </w:rPr>
        <w:t xml:space="preserve">affects </w:t>
      </w:r>
      <w:r w:rsidRPr="001F67EC">
        <w:rPr>
          <w:b/>
          <w:bCs/>
          <w:sz w:val="24"/>
          <w:szCs w:val="24"/>
        </w:rPr>
        <w:t>small bus</w:t>
      </w:r>
      <w:r w:rsidRPr="001F67EC" w:rsidR="006E339F">
        <w:rPr>
          <w:b/>
          <w:bCs/>
          <w:sz w:val="24"/>
          <w:szCs w:val="24"/>
        </w:rPr>
        <w:t>inesses or other small entities</w:t>
      </w:r>
      <w:r w:rsidRPr="001F67EC">
        <w:rPr>
          <w:b/>
          <w:bCs/>
          <w:sz w:val="24"/>
          <w:szCs w:val="24"/>
        </w:rPr>
        <w:t xml:space="preserve">, describe any methods used to minimize </w:t>
      </w:r>
      <w:r w:rsidRPr="001F67EC" w:rsidR="005564E6">
        <w:rPr>
          <w:b/>
          <w:bCs/>
          <w:sz w:val="24"/>
          <w:szCs w:val="24"/>
        </w:rPr>
        <w:t xml:space="preserve">the </w:t>
      </w:r>
      <w:r w:rsidRPr="001F67EC">
        <w:rPr>
          <w:b/>
          <w:bCs/>
          <w:sz w:val="24"/>
          <w:szCs w:val="24"/>
        </w:rPr>
        <w:t>burden.</w:t>
      </w:r>
    </w:p>
    <w:p w:rsidR="00295103" w:rsidRPr="0012400D" w:rsidP="00634EA2" w14:paraId="4007B2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rsidR="009C1B8E" w:rsidRPr="0012400D" w:rsidP="00634EA2" w14:paraId="024CC07A" w14:textId="77777777">
      <w:pPr>
        <w:widowControl/>
        <w:spacing w:line="276" w:lineRule="auto"/>
        <w:ind w:left="720"/>
        <w:rPr>
          <w:sz w:val="24"/>
          <w:szCs w:val="24"/>
        </w:rPr>
      </w:pPr>
      <w:r w:rsidRPr="0012400D">
        <w:rPr>
          <w:sz w:val="24"/>
          <w:szCs w:val="24"/>
        </w:rPr>
        <w:t xml:space="preserve">This information collection has no significant impact on </w:t>
      </w:r>
      <w:r w:rsidRPr="0012400D" w:rsidR="00504624">
        <w:rPr>
          <w:sz w:val="24"/>
          <w:szCs w:val="24"/>
        </w:rPr>
        <w:t xml:space="preserve">small business or other </w:t>
      </w:r>
      <w:r w:rsidRPr="0012400D">
        <w:rPr>
          <w:sz w:val="24"/>
          <w:szCs w:val="24"/>
        </w:rPr>
        <w:t>small entities. State governments are the only entities required to respond to this collection. The information to be collected is limited to only that information needed to comply with the requirements of the PILT Act and its regulations (43 CFR 44).</w:t>
      </w:r>
    </w:p>
    <w:p w:rsidR="009C1B8E" w:rsidRPr="0012400D" w:rsidP="00634EA2" w14:paraId="5580A9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rsidR="00295103" w:rsidRPr="001F67EC" w:rsidP="00634EA2" w14:paraId="43EB52BA" w14:textId="2BD1ED6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b/>
          <w:bCs/>
          <w:sz w:val="24"/>
          <w:szCs w:val="24"/>
        </w:rPr>
      </w:pPr>
      <w:r w:rsidRPr="001F67EC">
        <w:rPr>
          <w:b/>
          <w:bCs/>
          <w:sz w:val="24"/>
          <w:szCs w:val="24"/>
        </w:rPr>
        <w:t>6.</w:t>
      </w:r>
      <w:r w:rsidRPr="001F67EC">
        <w:rPr>
          <w:b/>
          <w:bCs/>
          <w:sz w:val="24"/>
          <w:szCs w:val="24"/>
        </w:rPr>
        <w:tab/>
        <w:t xml:space="preserve">Describe the consequence to Federal program or policy activities if the collection is not conducted or is conducted less frequently, as well as any technical or legal obstacles to reducing </w:t>
      </w:r>
      <w:r w:rsidRPr="001F67EC" w:rsidR="00B046AF">
        <w:rPr>
          <w:b/>
          <w:bCs/>
          <w:sz w:val="24"/>
          <w:szCs w:val="24"/>
        </w:rPr>
        <w:t xml:space="preserve">the </w:t>
      </w:r>
      <w:r w:rsidRPr="001F67EC">
        <w:rPr>
          <w:b/>
          <w:bCs/>
          <w:sz w:val="24"/>
          <w:szCs w:val="24"/>
        </w:rPr>
        <w:t>burden.</w:t>
      </w:r>
    </w:p>
    <w:p w:rsidR="00295103" w:rsidRPr="0012400D" w:rsidP="00634EA2" w14:paraId="35D188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rsidR="00FA7E7D" w:rsidRPr="0012400D" w:rsidP="00634EA2" w14:paraId="425D5CCC" w14:textId="4A24AB91">
      <w:pPr>
        <w:widowControl/>
        <w:spacing w:line="276" w:lineRule="auto"/>
        <w:ind w:left="720"/>
        <w:rPr>
          <w:sz w:val="24"/>
          <w:szCs w:val="24"/>
        </w:rPr>
      </w:pPr>
      <w:r w:rsidRPr="0012400D">
        <w:rPr>
          <w:sz w:val="24"/>
          <w:szCs w:val="24"/>
        </w:rPr>
        <w:t>If the Office of the Secretary does not collect the information</w:t>
      </w:r>
      <w:r w:rsidRPr="0012400D" w:rsidR="00504624">
        <w:rPr>
          <w:sz w:val="24"/>
          <w:szCs w:val="24"/>
        </w:rPr>
        <w:t xml:space="preserve"> or conducts the collection less frequently</w:t>
      </w:r>
      <w:r w:rsidRPr="0012400D">
        <w:rPr>
          <w:sz w:val="24"/>
          <w:szCs w:val="24"/>
        </w:rPr>
        <w:t>, the</w:t>
      </w:r>
      <w:r w:rsidRPr="0012400D" w:rsidR="00504624">
        <w:rPr>
          <w:sz w:val="24"/>
          <w:szCs w:val="24"/>
        </w:rPr>
        <w:t xml:space="preserve"> requirements of the</w:t>
      </w:r>
      <w:r w:rsidRPr="0012400D">
        <w:rPr>
          <w:sz w:val="24"/>
          <w:szCs w:val="24"/>
        </w:rPr>
        <w:t xml:space="preserve"> PILT Act </w:t>
      </w:r>
      <w:r w:rsidRPr="0012400D" w:rsidR="00504624">
        <w:rPr>
          <w:sz w:val="24"/>
          <w:szCs w:val="24"/>
        </w:rPr>
        <w:t>will not be met</w:t>
      </w:r>
      <w:r w:rsidRPr="0012400D">
        <w:rPr>
          <w:sz w:val="24"/>
          <w:szCs w:val="24"/>
        </w:rPr>
        <w:t>. Reducing the burden</w:t>
      </w:r>
      <w:r w:rsidRPr="0012400D" w:rsidR="00460983">
        <w:rPr>
          <w:sz w:val="24"/>
          <w:szCs w:val="24"/>
        </w:rPr>
        <w:t xml:space="preserve"> by collecting less frequently</w:t>
      </w:r>
      <w:r w:rsidRPr="0012400D">
        <w:rPr>
          <w:sz w:val="24"/>
          <w:szCs w:val="24"/>
        </w:rPr>
        <w:t xml:space="preserve"> would </w:t>
      </w:r>
      <w:r w:rsidRPr="0012400D" w:rsidR="00460983">
        <w:rPr>
          <w:sz w:val="24"/>
          <w:szCs w:val="24"/>
        </w:rPr>
        <w:t>yield in</w:t>
      </w:r>
      <w:r w:rsidRPr="0012400D" w:rsidR="003F4A5E">
        <w:rPr>
          <w:sz w:val="24"/>
          <w:szCs w:val="24"/>
        </w:rPr>
        <w:t>sufficient information required</w:t>
      </w:r>
      <w:r w:rsidRPr="0012400D">
        <w:rPr>
          <w:sz w:val="24"/>
          <w:szCs w:val="24"/>
        </w:rPr>
        <w:t xml:space="preserve"> </w:t>
      </w:r>
      <w:r w:rsidRPr="0012400D" w:rsidR="00FD2CBD">
        <w:rPr>
          <w:sz w:val="24"/>
          <w:szCs w:val="24"/>
        </w:rPr>
        <w:t xml:space="preserve">to </w:t>
      </w:r>
      <w:r w:rsidRPr="0012400D">
        <w:rPr>
          <w:sz w:val="24"/>
          <w:szCs w:val="24"/>
        </w:rPr>
        <w:t xml:space="preserve">compute </w:t>
      </w:r>
      <w:r w:rsidR="00634EA2">
        <w:rPr>
          <w:sz w:val="24"/>
          <w:szCs w:val="24"/>
        </w:rPr>
        <w:t xml:space="preserve">annual </w:t>
      </w:r>
      <w:r w:rsidRPr="0012400D">
        <w:rPr>
          <w:sz w:val="24"/>
          <w:szCs w:val="24"/>
        </w:rPr>
        <w:t>PILT payments to units of general local governments.</w:t>
      </w:r>
    </w:p>
    <w:p w:rsidR="00FA7E7D" w:rsidRPr="0012400D" w:rsidP="00634EA2" w14:paraId="12BDE4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sz w:val="24"/>
          <w:szCs w:val="24"/>
          <w:highlight w:val="yellow"/>
        </w:rPr>
      </w:pPr>
    </w:p>
    <w:p w:rsidR="00295103" w:rsidRPr="001F67EC" w:rsidP="00634EA2" w14:paraId="19F5413A" w14:textId="2F00728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b/>
          <w:bCs/>
          <w:sz w:val="24"/>
          <w:szCs w:val="24"/>
        </w:rPr>
      </w:pPr>
      <w:r w:rsidRPr="001F67EC">
        <w:rPr>
          <w:b/>
          <w:bCs/>
          <w:sz w:val="24"/>
          <w:szCs w:val="24"/>
        </w:rPr>
        <w:t>7.</w:t>
      </w:r>
      <w:r w:rsidRPr="001F67EC">
        <w:rPr>
          <w:b/>
          <w:bCs/>
          <w:sz w:val="24"/>
          <w:szCs w:val="24"/>
        </w:rPr>
        <w:tab/>
        <w:t>Explain any special circumstances that would cause an information collection to be conducted in a manner</w:t>
      </w:r>
      <w:r w:rsidRPr="001F67EC" w:rsidR="00B046AF">
        <w:rPr>
          <w:b/>
          <w:bCs/>
          <w:sz w:val="24"/>
          <w:szCs w:val="24"/>
        </w:rPr>
        <w:t>—</w:t>
      </w:r>
    </w:p>
    <w:p w:rsidR="00B046AF" w:rsidRPr="001F67EC" w:rsidP="00634EA2" w14:paraId="01C96F1A" w14:textId="77777777">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b/>
          <w:bCs/>
        </w:rPr>
      </w:pPr>
      <w:r w:rsidRPr="001F67EC">
        <w:rPr>
          <w:rFonts w:ascii="Times New Roman" w:hAnsi="Times New Roman"/>
          <w:b/>
          <w:bCs/>
        </w:rPr>
        <w:t>requiring respondents to report information to the agency more often than quarterly;</w:t>
      </w:r>
    </w:p>
    <w:p w:rsidR="00B046AF" w:rsidRPr="001F67EC" w:rsidP="00634EA2" w14:paraId="4D30EA0D" w14:textId="3F35CB0E">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b/>
          <w:bCs/>
        </w:rPr>
      </w:pPr>
      <w:r w:rsidRPr="001F67EC">
        <w:rPr>
          <w:rFonts w:ascii="Times New Roman" w:hAnsi="Times New Roman"/>
          <w:b/>
          <w:bCs/>
        </w:rPr>
        <w:t>requiring respondents to prepare a written response to a collection of information in fewer t</w:t>
      </w:r>
      <w:r w:rsidRPr="001F67EC">
        <w:rPr>
          <w:rFonts w:ascii="Times New Roman" w:hAnsi="Times New Roman"/>
          <w:b/>
          <w:bCs/>
        </w:rPr>
        <w:t>han 30 days after receipt of that information;</w:t>
      </w:r>
    </w:p>
    <w:p w:rsidR="00B046AF" w:rsidRPr="001F67EC" w:rsidP="00634EA2" w14:paraId="297258FC" w14:textId="77777777">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b/>
          <w:bCs/>
        </w:rPr>
      </w:pPr>
      <w:r w:rsidRPr="001F67EC">
        <w:rPr>
          <w:rFonts w:ascii="Times New Roman" w:hAnsi="Times New Roman"/>
          <w:b/>
          <w:bCs/>
        </w:rPr>
        <w:t>requiring respondents to submit more than an original and two copies of any document;</w:t>
      </w:r>
    </w:p>
    <w:p w:rsidR="00B046AF" w:rsidRPr="001F67EC" w:rsidP="00634EA2" w14:paraId="13BAF61F" w14:textId="73C84CBA">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b/>
          <w:bCs/>
        </w:rPr>
      </w:pPr>
      <w:r w:rsidRPr="001F67EC">
        <w:rPr>
          <w:rFonts w:ascii="Times New Roman" w:hAnsi="Times New Roman"/>
          <w:b/>
          <w:bCs/>
        </w:rPr>
        <w:t>requiring respondents to retain records other than health, medical, government contract, grant-in-aid, or tax records for more than three years;</w:t>
      </w:r>
    </w:p>
    <w:p w:rsidR="00B046AF" w:rsidRPr="001F67EC" w:rsidP="00634EA2" w14:paraId="21F6442A" w14:textId="77777777">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b/>
          <w:bCs/>
        </w:rPr>
      </w:pPr>
      <w:r w:rsidRPr="001F67EC">
        <w:rPr>
          <w:rFonts w:ascii="Times New Roman" w:hAnsi="Times New Roman"/>
          <w:b/>
          <w:bCs/>
        </w:rPr>
        <w:t>in conne</w:t>
      </w:r>
      <w:r w:rsidRPr="001F67EC" w:rsidR="00352210">
        <w:rPr>
          <w:rFonts w:ascii="Times New Roman" w:hAnsi="Times New Roman"/>
          <w:b/>
          <w:bCs/>
        </w:rPr>
        <w:t>ction with a statistical survey</w:t>
      </w:r>
      <w:r w:rsidRPr="001F67EC">
        <w:rPr>
          <w:rFonts w:ascii="Times New Roman" w:hAnsi="Times New Roman"/>
          <w:b/>
          <w:bCs/>
        </w:rPr>
        <w:t xml:space="preserve"> that is not designed to produce valid and reliable results that can be generalized to the universe of study;</w:t>
      </w:r>
    </w:p>
    <w:p w:rsidR="00B046AF" w:rsidRPr="001F67EC" w:rsidP="00634EA2" w14:paraId="58971C1F" w14:textId="77777777">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b/>
          <w:bCs/>
        </w:rPr>
      </w:pPr>
      <w:r w:rsidRPr="001F67EC">
        <w:rPr>
          <w:rFonts w:ascii="Times New Roman" w:hAnsi="Times New Roman"/>
          <w:b/>
          <w:bCs/>
        </w:rPr>
        <w:t>requiring the use of a statistical data classification that has not been reviewed and approved by OMB;</w:t>
      </w:r>
    </w:p>
    <w:p w:rsidR="00B046AF" w:rsidRPr="001F67EC" w:rsidP="00634EA2" w14:paraId="4306C325" w14:textId="023BBD9F">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b/>
          <w:bCs/>
        </w:rPr>
      </w:pPr>
      <w:r w:rsidRPr="001F67EC">
        <w:rPr>
          <w:rFonts w:ascii="Times New Roman" w:hAnsi="Times New Roman"/>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1F67EC" w:rsidP="00634EA2" w14:paraId="6DF83E32" w14:textId="69202E0D">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b/>
          <w:bCs/>
        </w:rPr>
      </w:pPr>
      <w:r w:rsidRPr="001F67EC">
        <w:rPr>
          <w:rFonts w:ascii="Times New Roman" w:hAnsi="Times New Roman"/>
          <w:b/>
          <w:bCs/>
        </w:rPr>
        <w:t>requiring respondents to submit proprietary trade secrets or other confidential information unless the agency can demonstrate that it has instituted procedures to protect the information</w:t>
      </w:r>
      <w:r w:rsidRPr="001F67EC" w:rsidR="00EB6BA4">
        <w:rPr>
          <w:rFonts w:ascii="Times New Roman" w:hAnsi="Times New Roman"/>
          <w:b/>
          <w:bCs/>
        </w:rPr>
        <w:t>’</w:t>
      </w:r>
      <w:r w:rsidRPr="001F67EC">
        <w:rPr>
          <w:rFonts w:ascii="Times New Roman" w:hAnsi="Times New Roman"/>
          <w:b/>
          <w:bCs/>
        </w:rPr>
        <w:t>s confidentiality to the extent permitted by law.</w:t>
      </w:r>
    </w:p>
    <w:p w:rsidR="00295103" w:rsidRPr="0012400D" w:rsidP="00634EA2" w14:paraId="6776EF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rsidR="00FA7E7D" w:rsidRPr="0012400D" w:rsidP="00634EA2" w14:paraId="58D03FD9" w14:textId="77777777">
      <w:pPr>
        <w:widowControl/>
        <w:spacing w:line="276" w:lineRule="auto"/>
        <w:ind w:left="360"/>
        <w:rPr>
          <w:sz w:val="24"/>
          <w:szCs w:val="24"/>
        </w:rPr>
      </w:pPr>
      <w:r w:rsidRPr="0012400D">
        <w:rPr>
          <w:sz w:val="24"/>
          <w:szCs w:val="24"/>
        </w:rPr>
        <w:t>There are no special circumstances that require collection to be conducted in a manner inconsistent with the guidelines in 5 CFR 1320.5.</w:t>
      </w:r>
    </w:p>
    <w:p w:rsidR="00FA7E7D" w:rsidRPr="0012400D" w:rsidP="00634EA2" w14:paraId="482E42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rsidR="00295103" w:rsidRPr="001F67EC" w:rsidP="00634EA2" w14:paraId="31CB12F5" w14:textId="681A80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b/>
          <w:bCs/>
          <w:sz w:val="24"/>
          <w:szCs w:val="24"/>
        </w:rPr>
      </w:pPr>
      <w:r w:rsidRPr="001F67EC">
        <w:rPr>
          <w:b/>
          <w:bCs/>
          <w:sz w:val="24"/>
          <w:szCs w:val="24"/>
        </w:rPr>
        <w:t>8.</w:t>
      </w:r>
      <w:r w:rsidRPr="001F67EC">
        <w:rPr>
          <w:b/>
          <w:bCs/>
          <w:sz w:val="24"/>
          <w:szCs w:val="24"/>
        </w:rPr>
        <w:tab/>
        <w:t xml:space="preserve">If applicable, provide a copy and identify the date and page number of </w:t>
      </w:r>
      <w:r w:rsidRPr="001F67EC" w:rsidR="00394C1A">
        <w:rPr>
          <w:b/>
          <w:bCs/>
          <w:sz w:val="24"/>
          <w:szCs w:val="24"/>
        </w:rPr>
        <w:t xml:space="preserve">a </w:t>
      </w:r>
      <w:r w:rsidRPr="001F67EC">
        <w:rPr>
          <w:b/>
          <w:bCs/>
          <w:sz w:val="24"/>
          <w:szCs w:val="24"/>
        </w:rPr>
        <w:t>publication in the Federal Register of the agency</w:t>
      </w:r>
      <w:r w:rsidRPr="001F67EC" w:rsidR="00EB6BA4">
        <w:rPr>
          <w:b/>
          <w:bCs/>
          <w:sz w:val="24"/>
          <w:szCs w:val="24"/>
        </w:rPr>
        <w:t>’</w:t>
      </w:r>
      <w:r w:rsidRPr="001F67EC">
        <w:rPr>
          <w:b/>
          <w:bCs/>
          <w:sz w:val="24"/>
          <w:szCs w:val="24"/>
        </w:rPr>
        <w:t>s notice, required by 5 CFR 1320.8(d), soliciting comments on the information collection prior to submission to OMB.</w:t>
      </w:r>
      <w:r w:rsidRPr="001F67EC" w:rsidR="00EB6BA4">
        <w:rPr>
          <w:b/>
          <w:bCs/>
          <w:sz w:val="24"/>
          <w:szCs w:val="24"/>
        </w:rPr>
        <w:t xml:space="preserve"> </w:t>
      </w:r>
      <w:r w:rsidRPr="001F67EC">
        <w:rPr>
          <w:b/>
          <w:bCs/>
          <w:sz w:val="24"/>
          <w:szCs w:val="24"/>
        </w:rPr>
        <w:t>Summarize public comments recei</w:t>
      </w:r>
      <w:r w:rsidRPr="001F67EC" w:rsidR="00DE1FFE">
        <w:rPr>
          <w:b/>
          <w:bCs/>
          <w:sz w:val="24"/>
          <w:szCs w:val="24"/>
        </w:rPr>
        <w:t xml:space="preserve">ved in response to that notice </w:t>
      </w:r>
      <w:r w:rsidRPr="001F67EC">
        <w:rPr>
          <w:b/>
          <w:bCs/>
          <w:sz w:val="24"/>
          <w:szCs w:val="24"/>
        </w:rPr>
        <w:t>and in response to the PRA statement associated with the collec</w:t>
      </w:r>
      <w:r w:rsidRPr="001F67EC" w:rsidR="00DE1FFE">
        <w:rPr>
          <w:b/>
          <w:bCs/>
          <w:sz w:val="24"/>
          <w:szCs w:val="24"/>
        </w:rPr>
        <w:t xml:space="preserve">tion over the past three years, </w:t>
      </w:r>
      <w:r w:rsidRPr="001F67EC">
        <w:rPr>
          <w:b/>
          <w:bCs/>
          <w:sz w:val="24"/>
          <w:szCs w:val="24"/>
        </w:rPr>
        <w:t>and describe actions taken by the agency in response to these comments.</w:t>
      </w:r>
      <w:r w:rsidRPr="001F67EC" w:rsidR="00EB6BA4">
        <w:rPr>
          <w:b/>
          <w:bCs/>
          <w:sz w:val="24"/>
          <w:szCs w:val="24"/>
        </w:rPr>
        <w:t xml:space="preserve"> </w:t>
      </w:r>
      <w:r w:rsidRPr="001F67EC">
        <w:rPr>
          <w:b/>
          <w:bCs/>
          <w:sz w:val="24"/>
          <w:szCs w:val="24"/>
        </w:rPr>
        <w:t>Specifically address comments received on cost and hour burden.</w:t>
      </w:r>
    </w:p>
    <w:p w:rsidR="00295103" w:rsidRPr="001F67EC" w:rsidP="00634EA2" w14:paraId="56A321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b/>
          <w:bCs/>
          <w:sz w:val="24"/>
          <w:szCs w:val="24"/>
        </w:rPr>
      </w:pPr>
    </w:p>
    <w:p w:rsidR="00295103" w:rsidRPr="001F67EC" w:rsidP="00634EA2" w14:paraId="4B383768" w14:textId="129392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b/>
          <w:bCs/>
          <w:sz w:val="24"/>
          <w:szCs w:val="24"/>
        </w:rPr>
      </w:pPr>
      <w:r w:rsidRPr="001F67EC">
        <w:rPr>
          <w:b/>
          <w:bCs/>
          <w:sz w:val="24"/>
          <w:szCs w:val="24"/>
        </w:rPr>
        <w:t>Describe efforts to consult with persons outside the agency to obtain their views on the availability of data, frequency of collection, the clarity of instructions</w:t>
      </w:r>
      <w:r w:rsidRPr="001F67EC" w:rsidR="00D36BFC">
        <w:rPr>
          <w:b/>
          <w:bCs/>
          <w:sz w:val="24"/>
          <w:szCs w:val="24"/>
        </w:rPr>
        <w:t>,</w:t>
      </w:r>
      <w:r w:rsidRPr="001F67EC">
        <w:rPr>
          <w:b/>
          <w:bCs/>
          <w:sz w:val="24"/>
          <w:szCs w:val="24"/>
        </w:rPr>
        <w:t xml:space="preserve"> and recordkeeping, disclosure, or reporting format (if any) and on the data elements to be recorded, disclosed, or reported</w:t>
      </w:r>
      <w:r w:rsidRPr="001F67EC" w:rsidR="00352210">
        <w:rPr>
          <w:b/>
          <w:bCs/>
          <w:sz w:val="24"/>
          <w:szCs w:val="24"/>
        </w:rPr>
        <w:t>.</w:t>
      </w:r>
    </w:p>
    <w:p w:rsidR="00295103" w:rsidRPr="001F67EC" w:rsidP="00634EA2" w14:paraId="46B26D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b/>
          <w:bCs/>
          <w:sz w:val="24"/>
          <w:szCs w:val="24"/>
        </w:rPr>
      </w:pPr>
    </w:p>
    <w:p w:rsidR="00295103" w:rsidRPr="001F67EC" w:rsidP="00634EA2" w14:paraId="461B82A6" w14:textId="5BBF9B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b/>
          <w:bCs/>
          <w:sz w:val="24"/>
          <w:szCs w:val="24"/>
        </w:rPr>
      </w:pPr>
      <w:r w:rsidRPr="001F67EC">
        <w:rPr>
          <w:b/>
          <w:bCs/>
          <w:sz w:val="24"/>
          <w:szCs w:val="24"/>
        </w:rPr>
        <w:t xml:space="preserve">Consultation with representatives of those from whom information is to be obtained or those who must compile records should occur at least once every </w:t>
      </w:r>
      <w:r w:rsidRPr="001F67EC" w:rsidR="00352210">
        <w:rPr>
          <w:b/>
          <w:bCs/>
          <w:sz w:val="24"/>
          <w:szCs w:val="24"/>
        </w:rPr>
        <w:t>three</w:t>
      </w:r>
      <w:r w:rsidRPr="001F67EC">
        <w:rPr>
          <w:b/>
          <w:bCs/>
          <w:sz w:val="24"/>
          <w:szCs w:val="24"/>
        </w:rPr>
        <w:t xml:space="preserve"> years — even if the collection of information activity is the same as in prior periods.</w:t>
      </w:r>
      <w:r w:rsidRPr="001F67EC" w:rsidR="00EB6BA4">
        <w:rPr>
          <w:b/>
          <w:bCs/>
          <w:sz w:val="24"/>
          <w:szCs w:val="24"/>
        </w:rPr>
        <w:t xml:space="preserve"> </w:t>
      </w:r>
      <w:r w:rsidRPr="001F67EC">
        <w:rPr>
          <w:b/>
          <w:bCs/>
          <w:sz w:val="24"/>
          <w:szCs w:val="24"/>
        </w:rPr>
        <w:t>There may be circumstances that may preclude consultation in a specific situation.</w:t>
      </w:r>
      <w:r w:rsidRPr="001F67EC" w:rsidR="00EB6BA4">
        <w:rPr>
          <w:b/>
          <w:bCs/>
          <w:sz w:val="24"/>
          <w:szCs w:val="24"/>
        </w:rPr>
        <w:t xml:space="preserve"> </w:t>
      </w:r>
      <w:r w:rsidRPr="001F67EC">
        <w:rPr>
          <w:b/>
          <w:bCs/>
          <w:sz w:val="24"/>
          <w:szCs w:val="24"/>
        </w:rPr>
        <w:t>These circumstances should be explained.</w:t>
      </w:r>
    </w:p>
    <w:p w:rsidR="0093535B" w:rsidRPr="0012400D" w:rsidP="00634EA2" w14:paraId="794853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rsidR="00FA7E7D" w:rsidRPr="0012400D" w:rsidP="00634EA2" w14:paraId="6A0A2035" w14:textId="67B4F0D7">
      <w:pPr>
        <w:widowControl/>
        <w:spacing w:line="276" w:lineRule="auto"/>
        <w:ind w:left="360"/>
        <w:rPr>
          <w:sz w:val="24"/>
          <w:szCs w:val="24"/>
        </w:rPr>
      </w:pPr>
      <w:r w:rsidRPr="0012400D">
        <w:rPr>
          <w:sz w:val="24"/>
          <w:szCs w:val="24"/>
        </w:rPr>
        <w:t xml:space="preserve">On </w:t>
      </w:r>
      <w:r w:rsidRPr="0012400D" w:rsidR="005879CE">
        <w:rPr>
          <w:sz w:val="24"/>
          <w:szCs w:val="24"/>
        </w:rPr>
        <w:t xml:space="preserve">May </w:t>
      </w:r>
      <w:r w:rsidRPr="0012400D" w:rsidR="005C2859">
        <w:rPr>
          <w:sz w:val="24"/>
          <w:szCs w:val="24"/>
        </w:rPr>
        <w:t>12, 2022</w:t>
      </w:r>
      <w:r w:rsidRPr="0012400D">
        <w:rPr>
          <w:sz w:val="24"/>
          <w:szCs w:val="24"/>
        </w:rPr>
        <w:t xml:space="preserve"> (</w:t>
      </w:r>
      <w:r w:rsidRPr="0012400D" w:rsidR="000209EF">
        <w:rPr>
          <w:sz w:val="24"/>
          <w:szCs w:val="24"/>
        </w:rPr>
        <w:t>8</w:t>
      </w:r>
      <w:r w:rsidRPr="0012400D" w:rsidR="00D175E4">
        <w:rPr>
          <w:sz w:val="24"/>
          <w:szCs w:val="24"/>
        </w:rPr>
        <w:t>7</w:t>
      </w:r>
      <w:r w:rsidRPr="0012400D" w:rsidR="000209EF">
        <w:rPr>
          <w:sz w:val="24"/>
          <w:szCs w:val="24"/>
        </w:rPr>
        <w:t xml:space="preserve"> FR </w:t>
      </w:r>
      <w:r w:rsidRPr="0012400D" w:rsidR="00D175E4">
        <w:rPr>
          <w:sz w:val="24"/>
          <w:szCs w:val="24"/>
        </w:rPr>
        <w:t>29</w:t>
      </w:r>
      <w:r w:rsidRPr="0012400D" w:rsidR="00303D23">
        <w:rPr>
          <w:sz w:val="24"/>
          <w:szCs w:val="24"/>
        </w:rPr>
        <w:t>176</w:t>
      </w:r>
      <w:r w:rsidRPr="0012400D">
        <w:rPr>
          <w:sz w:val="24"/>
          <w:szCs w:val="24"/>
        </w:rPr>
        <w:t>), the Office of the Secretary</w:t>
      </w:r>
      <w:r w:rsidRPr="0012400D" w:rsidR="000209EF">
        <w:rPr>
          <w:sz w:val="24"/>
          <w:szCs w:val="24"/>
        </w:rPr>
        <w:t>, Office of Budget</w:t>
      </w:r>
      <w:r w:rsidRPr="0012400D">
        <w:rPr>
          <w:sz w:val="24"/>
          <w:szCs w:val="24"/>
        </w:rPr>
        <w:t xml:space="preserve"> published a 60-day notice in</w:t>
      </w:r>
      <w:r w:rsidRPr="0012400D" w:rsidR="00F13A63">
        <w:rPr>
          <w:sz w:val="24"/>
          <w:szCs w:val="24"/>
        </w:rPr>
        <w:t xml:space="preserve"> </w:t>
      </w:r>
      <w:r w:rsidRPr="0012400D">
        <w:rPr>
          <w:sz w:val="24"/>
          <w:szCs w:val="24"/>
        </w:rPr>
        <w:t>the Federal Register, soliciting comments from the public and other interested parties. No public comments were received.</w:t>
      </w:r>
    </w:p>
    <w:p w:rsidR="00835A3B" w:rsidRPr="0012400D" w:rsidP="00634EA2" w14:paraId="0426EC75" w14:textId="77777777">
      <w:pPr>
        <w:widowControl/>
        <w:spacing w:line="276" w:lineRule="auto"/>
        <w:ind w:left="360"/>
        <w:rPr>
          <w:sz w:val="24"/>
          <w:szCs w:val="24"/>
        </w:rPr>
      </w:pPr>
    </w:p>
    <w:p w:rsidR="00835A3B" w:rsidRPr="0012400D" w:rsidP="00634EA2" w14:paraId="070E2F17" w14:textId="0DD661EF">
      <w:pPr>
        <w:widowControl/>
        <w:spacing w:line="276" w:lineRule="auto"/>
        <w:ind w:left="360"/>
        <w:rPr>
          <w:sz w:val="24"/>
          <w:szCs w:val="24"/>
          <w:highlight w:val="yellow"/>
        </w:rPr>
      </w:pPr>
      <w:r w:rsidRPr="0012400D">
        <w:rPr>
          <w:sz w:val="24"/>
          <w:szCs w:val="24"/>
        </w:rPr>
        <w:t xml:space="preserve">From </w:t>
      </w:r>
      <w:r w:rsidRPr="0012400D" w:rsidR="00543CB9">
        <w:rPr>
          <w:sz w:val="24"/>
          <w:szCs w:val="24"/>
        </w:rPr>
        <w:t>July 21</w:t>
      </w:r>
      <w:r w:rsidRPr="0012400D">
        <w:rPr>
          <w:sz w:val="24"/>
          <w:szCs w:val="24"/>
        </w:rPr>
        <w:t xml:space="preserve"> through </w:t>
      </w:r>
      <w:r w:rsidRPr="0012400D" w:rsidR="00543CB9">
        <w:rPr>
          <w:sz w:val="24"/>
          <w:szCs w:val="24"/>
        </w:rPr>
        <w:t>July 29</w:t>
      </w:r>
      <w:r w:rsidRPr="0012400D">
        <w:rPr>
          <w:sz w:val="24"/>
          <w:szCs w:val="24"/>
        </w:rPr>
        <w:t>, 20</w:t>
      </w:r>
      <w:r w:rsidRPr="0012400D" w:rsidR="00543CB9">
        <w:rPr>
          <w:sz w:val="24"/>
          <w:szCs w:val="24"/>
        </w:rPr>
        <w:t>22</w:t>
      </w:r>
      <w:r w:rsidRPr="0012400D">
        <w:rPr>
          <w:sz w:val="24"/>
          <w:szCs w:val="24"/>
        </w:rPr>
        <w:t xml:space="preserve">, the Office of the Secretary contacted nine States that </w:t>
      </w:r>
      <w:r w:rsidR="0093535B">
        <w:rPr>
          <w:sz w:val="24"/>
          <w:szCs w:val="24"/>
        </w:rPr>
        <w:t xml:space="preserve">submitted </w:t>
      </w:r>
      <w:r w:rsidRPr="0012400D">
        <w:rPr>
          <w:sz w:val="24"/>
          <w:szCs w:val="24"/>
        </w:rPr>
        <w:t>State of Federal Land Payments and other required information for the PILT Payment computation</w:t>
      </w:r>
      <w:r w:rsidR="0093535B">
        <w:rPr>
          <w:sz w:val="24"/>
          <w:szCs w:val="24"/>
        </w:rPr>
        <w:t xml:space="preserve"> in the PILT Portal.  The nine States were requested to provide th</w:t>
      </w:r>
      <w:r w:rsidRPr="0012400D">
        <w:rPr>
          <w:sz w:val="24"/>
          <w:szCs w:val="24"/>
        </w:rPr>
        <w:t xml:space="preserve">e amount of time required to fully complete </w:t>
      </w:r>
      <w:r w:rsidR="0093535B">
        <w:rPr>
          <w:sz w:val="24"/>
          <w:szCs w:val="24"/>
        </w:rPr>
        <w:t>the data</w:t>
      </w:r>
      <w:r w:rsidRPr="0012400D">
        <w:rPr>
          <w:sz w:val="24"/>
          <w:szCs w:val="24"/>
        </w:rPr>
        <w:t xml:space="preserve">, review the </w:t>
      </w:r>
      <w:r w:rsidR="00DC2924">
        <w:rPr>
          <w:sz w:val="24"/>
          <w:szCs w:val="24"/>
        </w:rPr>
        <w:t>data</w:t>
      </w:r>
      <w:r w:rsidRPr="0012400D">
        <w:rPr>
          <w:sz w:val="24"/>
          <w:szCs w:val="24"/>
        </w:rPr>
        <w:t xml:space="preserve"> with an auditor</w:t>
      </w:r>
      <w:r w:rsidR="001A5115">
        <w:rPr>
          <w:sz w:val="24"/>
          <w:szCs w:val="24"/>
        </w:rPr>
        <w:t xml:space="preserve"> (as </w:t>
      </w:r>
      <w:r w:rsidR="001A5115">
        <w:rPr>
          <w:sz w:val="24"/>
          <w:szCs w:val="24"/>
        </w:rPr>
        <w:t>required)</w:t>
      </w:r>
      <w:r w:rsidR="00DC2924">
        <w:rPr>
          <w:sz w:val="24"/>
          <w:szCs w:val="24"/>
        </w:rPr>
        <w:t>,</w:t>
      </w:r>
      <w:r w:rsidRPr="0012400D">
        <w:rPr>
          <w:sz w:val="24"/>
          <w:szCs w:val="24"/>
        </w:rPr>
        <w:t xml:space="preserve"> and submit </w:t>
      </w:r>
      <w:r w:rsidR="00DC2924">
        <w:rPr>
          <w:sz w:val="24"/>
          <w:szCs w:val="24"/>
        </w:rPr>
        <w:t xml:space="preserve">the data and </w:t>
      </w:r>
      <w:r w:rsidRPr="0012400D">
        <w:rPr>
          <w:sz w:val="24"/>
          <w:szCs w:val="24"/>
        </w:rPr>
        <w:t>supporting documentation</w:t>
      </w:r>
      <w:r w:rsidR="00DC2924">
        <w:rPr>
          <w:sz w:val="24"/>
          <w:szCs w:val="24"/>
        </w:rPr>
        <w:t xml:space="preserve"> through the PILT Portal</w:t>
      </w:r>
      <w:r w:rsidRPr="0012400D">
        <w:rPr>
          <w:sz w:val="24"/>
          <w:szCs w:val="24"/>
        </w:rPr>
        <w:t xml:space="preserve">. Personnel from </w:t>
      </w:r>
      <w:r w:rsidRPr="0012400D" w:rsidR="00DC769D">
        <w:rPr>
          <w:sz w:val="24"/>
          <w:szCs w:val="24"/>
        </w:rPr>
        <w:t>four</w:t>
      </w:r>
      <w:r w:rsidRPr="0012400D">
        <w:rPr>
          <w:sz w:val="24"/>
          <w:szCs w:val="24"/>
        </w:rPr>
        <w:t xml:space="preserve"> States </w:t>
      </w:r>
      <w:r w:rsidRPr="0012400D" w:rsidR="003B70FD">
        <w:rPr>
          <w:sz w:val="24"/>
          <w:szCs w:val="24"/>
        </w:rPr>
        <w:t>responded,</w:t>
      </w:r>
      <w:r w:rsidRPr="0012400D">
        <w:rPr>
          <w:sz w:val="24"/>
          <w:szCs w:val="24"/>
        </w:rPr>
        <w:t xml:space="preserve"> following are responses from those States:</w:t>
      </w:r>
    </w:p>
    <w:p w:rsidR="00835A3B" w:rsidRPr="0012400D" w:rsidP="00634EA2" w14:paraId="46312F51" w14:textId="77777777">
      <w:pPr>
        <w:widowControl/>
        <w:spacing w:line="276" w:lineRule="auto"/>
        <w:rPr>
          <w:sz w:val="24"/>
          <w:szCs w:val="24"/>
          <w:highlight w:val="yellow"/>
        </w:rPr>
      </w:pPr>
    </w:p>
    <w:p w:rsidR="000F524A" w:rsidRPr="0012400D" w:rsidP="00634EA2" w14:paraId="7460F4DF" w14:textId="33784AD6">
      <w:pPr>
        <w:widowControl/>
        <w:numPr>
          <w:ilvl w:val="0"/>
          <w:numId w:val="1"/>
        </w:numPr>
        <w:spacing w:line="276" w:lineRule="auto"/>
        <w:rPr>
          <w:sz w:val="24"/>
          <w:szCs w:val="24"/>
        </w:rPr>
      </w:pPr>
      <w:r w:rsidRPr="0012400D">
        <w:rPr>
          <w:sz w:val="24"/>
          <w:szCs w:val="24"/>
        </w:rPr>
        <w:t>California, Department of Finance</w:t>
      </w:r>
      <w:r w:rsidRPr="0012400D" w:rsidR="003424A5">
        <w:rPr>
          <w:sz w:val="24"/>
          <w:szCs w:val="24"/>
        </w:rPr>
        <w:t xml:space="preserve">, reported the process took 200 hours to complete their entire submission package, including </w:t>
      </w:r>
      <w:r w:rsidR="00AA7128">
        <w:rPr>
          <w:sz w:val="24"/>
          <w:szCs w:val="24"/>
        </w:rPr>
        <w:t>submission through the PILT Portal</w:t>
      </w:r>
      <w:r w:rsidRPr="0012400D" w:rsidR="003424A5">
        <w:rPr>
          <w:sz w:val="24"/>
          <w:szCs w:val="24"/>
        </w:rPr>
        <w:t xml:space="preserve">. </w:t>
      </w:r>
    </w:p>
    <w:p w:rsidR="00835A3B" w:rsidRPr="0012400D" w:rsidP="00634EA2" w14:paraId="246BE500" w14:textId="77777777">
      <w:pPr>
        <w:widowControl/>
        <w:spacing w:line="276" w:lineRule="auto"/>
        <w:ind w:left="720"/>
        <w:rPr>
          <w:sz w:val="24"/>
          <w:szCs w:val="24"/>
          <w:highlight w:val="yellow"/>
        </w:rPr>
      </w:pPr>
    </w:p>
    <w:p w:rsidR="00835A3B" w:rsidRPr="0012400D" w:rsidP="00634EA2" w14:paraId="5A3CF602" w14:textId="35EB537D">
      <w:pPr>
        <w:widowControl/>
        <w:numPr>
          <w:ilvl w:val="0"/>
          <w:numId w:val="1"/>
        </w:numPr>
        <w:spacing w:line="276" w:lineRule="auto"/>
        <w:rPr>
          <w:sz w:val="24"/>
          <w:szCs w:val="24"/>
        </w:rPr>
      </w:pPr>
      <w:r w:rsidRPr="0012400D">
        <w:rPr>
          <w:sz w:val="24"/>
          <w:szCs w:val="24"/>
        </w:rPr>
        <w:t>Commonwealth of Virginia</w:t>
      </w:r>
      <w:r w:rsidRPr="0012400D">
        <w:rPr>
          <w:sz w:val="24"/>
          <w:szCs w:val="24"/>
        </w:rPr>
        <w:t xml:space="preserve">, </w:t>
      </w:r>
      <w:r w:rsidRPr="0012400D" w:rsidR="00E30157">
        <w:rPr>
          <w:sz w:val="24"/>
          <w:szCs w:val="24"/>
        </w:rPr>
        <w:t xml:space="preserve">Department of Accounts, reported the process took </w:t>
      </w:r>
      <w:r w:rsidRPr="0012400D" w:rsidR="00474C9A">
        <w:rPr>
          <w:sz w:val="24"/>
          <w:szCs w:val="24"/>
        </w:rPr>
        <w:t>an hour to complete,</w:t>
      </w:r>
      <w:r w:rsidRPr="0012400D" w:rsidR="00AA7128">
        <w:rPr>
          <w:sz w:val="24"/>
          <w:szCs w:val="24"/>
        </w:rPr>
        <w:t xml:space="preserve"> including </w:t>
      </w:r>
      <w:r w:rsidR="00AA7128">
        <w:rPr>
          <w:sz w:val="24"/>
          <w:szCs w:val="24"/>
        </w:rPr>
        <w:t>submission through the PILT Portal</w:t>
      </w:r>
      <w:r w:rsidRPr="0012400D" w:rsidR="00474C9A">
        <w:rPr>
          <w:sz w:val="24"/>
          <w:szCs w:val="24"/>
        </w:rPr>
        <w:t xml:space="preserve">. </w:t>
      </w:r>
    </w:p>
    <w:p w:rsidR="00835A3B" w:rsidRPr="0012400D" w:rsidP="00634EA2" w14:paraId="6FB68FBA" w14:textId="77777777">
      <w:pPr>
        <w:widowControl/>
        <w:spacing w:line="276" w:lineRule="auto"/>
        <w:ind w:left="720"/>
        <w:rPr>
          <w:sz w:val="24"/>
          <w:szCs w:val="24"/>
          <w:highlight w:val="yellow"/>
        </w:rPr>
      </w:pPr>
    </w:p>
    <w:p w:rsidR="00835A3B" w:rsidRPr="0012400D" w:rsidP="00634EA2" w14:paraId="49B4CD14" w14:textId="224BD0DC">
      <w:pPr>
        <w:widowControl/>
        <w:numPr>
          <w:ilvl w:val="0"/>
          <w:numId w:val="1"/>
        </w:numPr>
        <w:spacing w:line="276" w:lineRule="auto"/>
        <w:rPr>
          <w:sz w:val="24"/>
          <w:szCs w:val="24"/>
        </w:rPr>
      </w:pPr>
      <w:r w:rsidRPr="0012400D">
        <w:rPr>
          <w:sz w:val="24"/>
          <w:szCs w:val="24"/>
        </w:rPr>
        <w:t>Alaska, Department of Commerce, Community, and Economic Development</w:t>
      </w:r>
      <w:r w:rsidRPr="0012400D" w:rsidR="00387365">
        <w:rPr>
          <w:sz w:val="24"/>
          <w:szCs w:val="24"/>
        </w:rPr>
        <w:t>, reported the process took</w:t>
      </w:r>
      <w:r w:rsidRPr="0012400D" w:rsidR="005734CA">
        <w:rPr>
          <w:sz w:val="24"/>
          <w:szCs w:val="24"/>
        </w:rPr>
        <w:t xml:space="preserve"> </w:t>
      </w:r>
      <w:r w:rsidRPr="0012400D" w:rsidR="00774A57">
        <w:rPr>
          <w:sz w:val="24"/>
          <w:szCs w:val="24"/>
        </w:rPr>
        <w:t>16</w:t>
      </w:r>
      <w:r w:rsidRPr="0012400D" w:rsidR="005734CA">
        <w:rPr>
          <w:sz w:val="24"/>
          <w:szCs w:val="24"/>
        </w:rPr>
        <w:t xml:space="preserve"> hours</w:t>
      </w:r>
      <w:r w:rsidRPr="0012400D" w:rsidR="00387365">
        <w:rPr>
          <w:sz w:val="24"/>
          <w:szCs w:val="24"/>
        </w:rPr>
        <w:t xml:space="preserve"> to complete their entire submission package,</w:t>
      </w:r>
      <w:r w:rsidRPr="0012400D" w:rsidR="00AA7128">
        <w:rPr>
          <w:sz w:val="24"/>
          <w:szCs w:val="24"/>
        </w:rPr>
        <w:t xml:space="preserve"> including </w:t>
      </w:r>
      <w:r w:rsidR="00AA7128">
        <w:rPr>
          <w:sz w:val="24"/>
          <w:szCs w:val="24"/>
        </w:rPr>
        <w:t>submission through the PILT Portal</w:t>
      </w:r>
      <w:r w:rsidRPr="0012400D" w:rsidR="00387365">
        <w:rPr>
          <w:sz w:val="24"/>
          <w:szCs w:val="24"/>
        </w:rPr>
        <w:t xml:space="preserve">. </w:t>
      </w:r>
    </w:p>
    <w:p w:rsidR="00860D00" w:rsidRPr="0012400D" w:rsidP="00634EA2" w14:paraId="7CAE6354" w14:textId="77777777">
      <w:pPr>
        <w:pStyle w:val="ListParagraph"/>
        <w:rPr>
          <w:rFonts w:ascii="Times New Roman" w:hAnsi="Times New Roman"/>
        </w:rPr>
      </w:pPr>
    </w:p>
    <w:p w:rsidR="00860D00" w:rsidRPr="0012400D" w:rsidP="00634EA2" w14:paraId="071CF34C" w14:textId="3761B877">
      <w:pPr>
        <w:widowControl/>
        <w:numPr>
          <w:ilvl w:val="0"/>
          <w:numId w:val="1"/>
        </w:numPr>
        <w:spacing w:line="276" w:lineRule="auto"/>
        <w:rPr>
          <w:sz w:val="24"/>
          <w:szCs w:val="24"/>
        </w:rPr>
      </w:pPr>
      <w:r w:rsidRPr="0012400D">
        <w:rPr>
          <w:sz w:val="24"/>
          <w:szCs w:val="24"/>
        </w:rPr>
        <w:t xml:space="preserve">Wisconsin, </w:t>
      </w:r>
      <w:r w:rsidRPr="0012400D" w:rsidR="006C65F5">
        <w:rPr>
          <w:sz w:val="24"/>
          <w:szCs w:val="24"/>
        </w:rPr>
        <w:t xml:space="preserve">Department of Natural Resources, reported the process took an hour to complete </w:t>
      </w:r>
      <w:r w:rsidRPr="0012400D" w:rsidR="003B70FD">
        <w:rPr>
          <w:sz w:val="24"/>
          <w:szCs w:val="24"/>
        </w:rPr>
        <w:t>their entire submission package</w:t>
      </w:r>
      <w:r w:rsidRPr="0012400D" w:rsidR="00AA7128">
        <w:rPr>
          <w:sz w:val="24"/>
          <w:szCs w:val="24"/>
        </w:rPr>
        <w:t xml:space="preserve">, including </w:t>
      </w:r>
      <w:r w:rsidR="00AA7128">
        <w:rPr>
          <w:sz w:val="24"/>
          <w:szCs w:val="24"/>
        </w:rPr>
        <w:t>submission through the PILT Portal</w:t>
      </w:r>
      <w:r w:rsidRPr="0012400D" w:rsidR="003B70FD">
        <w:rPr>
          <w:sz w:val="24"/>
          <w:szCs w:val="24"/>
        </w:rPr>
        <w:t xml:space="preserve">. </w:t>
      </w:r>
    </w:p>
    <w:p w:rsidR="00835A3B" w:rsidRPr="0012400D" w:rsidP="00634EA2" w14:paraId="382C5182" w14:textId="77777777">
      <w:pPr>
        <w:widowControl/>
        <w:spacing w:line="276" w:lineRule="auto"/>
        <w:ind w:left="720"/>
        <w:rPr>
          <w:sz w:val="24"/>
          <w:szCs w:val="24"/>
        </w:rPr>
      </w:pPr>
    </w:p>
    <w:p w:rsidR="003176AC" w:rsidP="00634EA2" w14:paraId="10F12A39" w14:textId="10A55B41">
      <w:pPr>
        <w:widowControl/>
        <w:spacing w:line="276" w:lineRule="auto"/>
        <w:ind w:left="360"/>
        <w:rPr>
          <w:sz w:val="24"/>
          <w:szCs w:val="24"/>
        </w:rPr>
      </w:pPr>
      <w:r>
        <w:rPr>
          <w:sz w:val="24"/>
          <w:szCs w:val="24"/>
        </w:rPr>
        <w:t>The reported</w:t>
      </w:r>
      <w:r w:rsidRPr="0012400D" w:rsidR="00835A3B">
        <w:rPr>
          <w:sz w:val="24"/>
          <w:szCs w:val="24"/>
        </w:rPr>
        <w:t xml:space="preserve"> total</w:t>
      </w:r>
      <w:r>
        <w:rPr>
          <w:sz w:val="24"/>
          <w:szCs w:val="24"/>
        </w:rPr>
        <w:t xml:space="preserve"> time encompasses</w:t>
      </w:r>
      <w:r w:rsidRPr="0012400D" w:rsidR="00835A3B">
        <w:rPr>
          <w:sz w:val="24"/>
          <w:szCs w:val="24"/>
        </w:rPr>
        <w:t xml:space="preserve"> all aspects of the submission, including planning and research, transcription, auditing, and preparation of the final submission package. The amount of time required varie</w:t>
      </w:r>
      <w:r>
        <w:rPr>
          <w:sz w:val="24"/>
          <w:szCs w:val="24"/>
        </w:rPr>
        <w:t>s widely</w:t>
      </w:r>
      <w:r w:rsidRPr="0012400D" w:rsidR="00835A3B">
        <w:rPr>
          <w:sz w:val="24"/>
          <w:szCs w:val="24"/>
        </w:rPr>
        <w:t xml:space="preserve"> from one State to another, which is to be expected </w:t>
      </w:r>
      <w:r w:rsidR="005823EE">
        <w:rPr>
          <w:sz w:val="24"/>
          <w:szCs w:val="24"/>
        </w:rPr>
        <w:t>due to</w:t>
      </w:r>
      <w:r w:rsidRPr="0012400D" w:rsidR="00835A3B">
        <w:rPr>
          <w:sz w:val="24"/>
          <w:szCs w:val="24"/>
        </w:rPr>
        <w:t xml:space="preserve"> differences in the number of units of local government that must be reported; the level of experience of the personnel compiling and reviewing the information; and the degree to which </w:t>
      </w:r>
      <w:r>
        <w:rPr>
          <w:sz w:val="24"/>
          <w:szCs w:val="24"/>
        </w:rPr>
        <w:t>each State’s</w:t>
      </w:r>
      <w:r w:rsidRPr="0012400D" w:rsidR="00835A3B">
        <w:rPr>
          <w:sz w:val="24"/>
          <w:szCs w:val="24"/>
        </w:rPr>
        <w:t xml:space="preserve"> </w:t>
      </w:r>
      <w:r>
        <w:rPr>
          <w:sz w:val="24"/>
          <w:szCs w:val="24"/>
        </w:rPr>
        <w:t>financial</w:t>
      </w:r>
      <w:r w:rsidRPr="0012400D" w:rsidR="00835A3B">
        <w:rPr>
          <w:sz w:val="24"/>
          <w:szCs w:val="24"/>
        </w:rPr>
        <w:t xml:space="preserve"> reporting system readily support</w:t>
      </w:r>
      <w:r>
        <w:rPr>
          <w:sz w:val="24"/>
          <w:szCs w:val="24"/>
        </w:rPr>
        <w:t>s</w:t>
      </w:r>
      <w:r w:rsidRPr="0012400D" w:rsidR="00835A3B">
        <w:rPr>
          <w:sz w:val="24"/>
          <w:szCs w:val="24"/>
        </w:rPr>
        <w:t xml:space="preserve"> the information requested. </w:t>
      </w:r>
      <w:r w:rsidR="00B223F5">
        <w:rPr>
          <w:sz w:val="24"/>
          <w:szCs w:val="24"/>
        </w:rPr>
        <w:t>While t</w:t>
      </w:r>
      <w:r w:rsidRPr="0012400D" w:rsidR="00835A3B">
        <w:rPr>
          <w:sz w:val="24"/>
          <w:szCs w:val="24"/>
        </w:rPr>
        <w:t xml:space="preserve">he average number of hours for </w:t>
      </w:r>
      <w:r w:rsidR="00C63958">
        <w:rPr>
          <w:sz w:val="24"/>
          <w:szCs w:val="24"/>
        </w:rPr>
        <w:t>reporting</w:t>
      </w:r>
      <w:r w:rsidRPr="0012400D" w:rsidR="00835A3B">
        <w:rPr>
          <w:sz w:val="24"/>
          <w:szCs w:val="24"/>
        </w:rPr>
        <w:t xml:space="preserve"> States to complete the annual submission </w:t>
      </w:r>
      <w:r w:rsidR="00B223F5">
        <w:rPr>
          <w:sz w:val="24"/>
          <w:szCs w:val="24"/>
        </w:rPr>
        <w:t xml:space="preserve">increased to </w:t>
      </w:r>
      <w:r w:rsidRPr="0012400D" w:rsidR="00367AE7">
        <w:rPr>
          <w:sz w:val="24"/>
          <w:szCs w:val="24"/>
        </w:rPr>
        <w:t>55</w:t>
      </w:r>
      <w:r w:rsidRPr="0012400D" w:rsidR="00835A3B">
        <w:rPr>
          <w:sz w:val="24"/>
          <w:szCs w:val="24"/>
        </w:rPr>
        <w:t xml:space="preserve"> hours</w:t>
      </w:r>
      <w:r w:rsidR="00C63958">
        <w:rPr>
          <w:sz w:val="24"/>
          <w:szCs w:val="24"/>
        </w:rPr>
        <w:t xml:space="preserve">, </w:t>
      </w:r>
      <w:r w:rsidR="00B223F5">
        <w:rPr>
          <w:sz w:val="24"/>
          <w:szCs w:val="24"/>
        </w:rPr>
        <w:t xml:space="preserve">the data reflects marked improvements </w:t>
      </w:r>
      <w:r w:rsidR="008A5B9E">
        <w:rPr>
          <w:sz w:val="24"/>
          <w:szCs w:val="24"/>
        </w:rPr>
        <w:t xml:space="preserve">on State burden </w:t>
      </w:r>
      <w:r w:rsidR="00B223F5">
        <w:rPr>
          <w:sz w:val="24"/>
          <w:szCs w:val="24"/>
        </w:rPr>
        <w:t>over the previous submission</w:t>
      </w:r>
      <w:r>
        <w:rPr>
          <w:sz w:val="24"/>
          <w:szCs w:val="24"/>
        </w:rPr>
        <w:t>:</w:t>
      </w:r>
    </w:p>
    <w:p w:rsidR="003176AC" w:rsidP="00634EA2" w14:paraId="4A32C789" w14:textId="77777777">
      <w:pPr>
        <w:widowControl/>
        <w:spacing w:line="276" w:lineRule="auto"/>
        <w:ind w:left="360"/>
        <w:rPr>
          <w:sz w:val="24"/>
          <w:szCs w:val="24"/>
        </w:rPr>
      </w:pPr>
    </w:p>
    <w:tbl>
      <w:tblPr>
        <w:tblStyle w:val="TableGrid"/>
        <w:tblW w:w="0" w:type="auto"/>
        <w:jc w:val="center"/>
        <w:tblLook w:val="04A0"/>
      </w:tblPr>
      <w:tblGrid>
        <w:gridCol w:w="2989"/>
        <w:gridCol w:w="1463"/>
        <w:gridCol w:w="1463"/>
      </w:tblGrid>
      <w:tr w14:paraId="3BFEE733" w14:textId="77777777" w:rsidTr="00C608B8">
        <w:tblPrEx>
          <w:tblW w:w="0" w:type="auto"/>
          <w:jc w:val="center"/>
          <w:tblLook w:val="04A0"/>
        </w:tblPrEx>
        <w:trPr>
          <w:jc w:val="center"/>
        </w:trPr>
        <w:tc>
          <w:tcPr>
            <w:tcW w:w="2989" w:type="dxa"/>
          </w:tcPr>
          <w:p w:rsidR="006C47D7" w:rsidRPr="00C608B8" w:rsidP="00C608B8" w14:paraId="382BA546" w14:textId="78992EAA">
            <w:pPr>
              <w:widowControl/>
              <w:spacing w:line="276" w:lineRule="auto"/>
              <w:jc w:val="center"/>
              <w:rPr>
                <w:b/>
                <w:bCs/>
                <w:sz w:val="24"/>
                <w:szCs w:val="24"/>
                <w:u w:val="single"/>
              </w:rPr>
            </w:pPr>
            <w:r w:rsidRPr="00C608B8">
              <w:rPr>
                <w:b/>
                <w:bCs/>
                <w:sz w:val="24"/>
                <w:szCs w:val="24"/>
                <w:u w:val="single"/>
              </w:rPr>
              <w:t>State</w:t>
            </w:r>
          </w:p>
        </w:tc>
        <w:tc>
          <w:tcPr>
            <w:tcW w:w="1463" w:type="dxa"/>
          </w:tcPr>
          <w:p w:rsidR="006C47D7" w:rsidRPr="00C608B8" w:rsidP="00C608B8" w14:paraId="7D70420C" w14:textId="24D2F4E4">
            <w:pPr>
              <w:widowControl/>
              <w:spacing w:line="276" w:lineRule="auto"/>
              <w:jc w:val="center"/>
              <w:rPr>
                <w:b/>
                <w:bCs/>
                <w:sz w:val="24"/>
                <w:szCs w:val="24"/>
                <w:u w:val="single"/>
              </w:rPr>
            </w:pPr>
            <w:r w:rsidRPr="00C608B8">
              <w:rPr>
                <w:b/>
                <w:bCs/>
                <w:sz w:val="24"/>
                <w:szCs w:val="24"/>
                <w:u w:val="single"/>
              </w:rPr>
              <w:t>2019 Hours</w:t>
            </w:r>
          </w:p>
        </w:tc>
        <w:tc>
          <w:tcPr>
            <w:tcW w:w="1463" w:type="dxa"/>
          </w:tcPr>
          <w:p w:rsidR="006C47D7" w:rsidRPr="00C608B8" w:rsidP="00C608B8" w14:paraId="56A2BB79" w14:textId="1BC063EC">
            <w:pPr>
              <w:widowControl/>
              <w:spacing w:line="276" w:lineRule="auto"/>
              <w:jc w:val="center"/>
              <w:rPr>
                <w:b/>
                <w:bCs/>
                <w:sz w:val="24"/>
                <w:szCs w:val="24"/>
                <w:u w:val="single"/>
              </w:rPr>
            </w:pPr>
            <w:r w:rsidRPr="00C608B8">
              <w:rPr>
                <w:b/>
                <w:bCs/>
                <w:sz w:val="24"/>
                <w:szCs w:val="24"/>
                <w:u w:val="single"/>
              </w:rPr>
              <w:t>2022 Hours</w:t>
            </w:r>
          </w:p>
        </w:tc>
      </w:tr>
      <w:tr w14:paraId="4D41B188" w14:textId="77777777" w:rsidTr="00C608B8">
        <w:tblPrEx>
          <w:tblW w:w="0" w:type="auto"/>
          <w:jc w:val="center"/>
          <w:tblLook w:val="04A0"/>
        </w:tblPrEx>
        <w:trPr>
          <w:jc w:val="center"/>
        </w:trPr>
        <w:tc>
          <w:tcPr>
            <w:tcW w:w="2989" w:type="dxa"/>
          </w:tcPr>
          <w:p w:rsidR="006C47D7" w:rsidP="00634EA2" w14:paraId="3CF86BFD" w14:textId="143059E7">
            <w:pPr>
              <w:widowControl/>
              <w:spacing w:line="276" w:lineRule="auto"/>
              <w:rPr>
                <w:sz w:val="24"/>
                <w:szCs w:val="24"/>
              </w:rPr>
            </w:pPr>
            <w:r>
              <w:rPr>
                <w:sz w:val="24"/>
                <w:szCs w:val="24"/>
              </w:rPr>
              <w:t>Washington</w:t>
            </w:r>
          </w:p>
        </w:tc>
        <w:tc>
          <w:tcPr>
            <w:tcW w:w="1463" w:type="dxa"/>
          </w:tcPr>
          <w:p w:rsidR="006C47D7" w:rsidP="00634EA2" w14:paraId="2153A84C" w14:textId="25061DFB">
            <w:pPr>
              <w:widowControl/>
              <w:spacing w:line="276" w:lineRule="auto"/>
              <w:rPr>
                <w:sz w:val="24"/>
                <w:szCs w:val="24"/>
              </w:rPr>
            </w:pPr>
            <w:r>
              <w:rPr>
                <w:sz w:val="24"/>
                <w:szCs w:val="24"/>
              </w:rPr>
              <w:t>60</w:t>
            </w:r>
          </w:p>
        </w:tc>
        <w:tc>
          <w:tcPr>
            <w:tcW w:w="1463" w:type="dxa"/>
          </w:tcPr>
          <w:p w:rsidR="006C47D7" w:rsidP="00634EA2" w14:paraId="216C27DB" w14:textId="77777777">
            <w:pPr>
              <w:widowControl/>
              <w:spacing w:line="276" w:lineRule="auto"/>
              <w:rPr>
                <w:sz w:val="24"/>
                <w:szCs w:val="24"/>
              </w:rPr>
            </w:pPr>
          </w:p>
        </w:tc>
      </w:tr>
      <w:tr w14:paraId="02FC584D" w14:textId="77777777" w:rsidTr="00C608B8">
        <w:tblPrEx>
          <w:tblW w:w="0" w:type="auto"/>
          <w:jc w:val="center"/>
          <w:tblLook w:val="04A0"/>
        </w:tblPrEx>
        <w:trPr>
          <w:jc w:val="center"/>
        </w:trPr>
        <w:tc>
          <w:tcPr>
            <w:tcW w:w="2989" w:type="dxa"/>
          </w:tcPr>
          <w:p w:rsidR="006C47D7" w:rsidP="00634EA2" w14:paraId="6C44985A" w14:textId="576DEE66">
            <w:pPr>
              <w:widowControl/>
              <w:spacing w:line="276" w:lineRule="auto"/>
              <w:rPr>
                <w:sz w:val="24"/>
                <w:szCs w:val="24"/>
              </w:rPr>
            </w:pPr>
            <w:r>
              <w:rPr>
                <w:sz w:val="24"/>
                <w:szCs w:val="24"/>
              </w:rPr>
              <w:t>Arkansas</w:t>
            </w:r>
          </w:p>
        </w:tc>
        <w:tc>
          <w:tcPr>
            <w:tcW w:w="1463" w:type="dxa"/>
          </w:tcPr>
          <w:p w:rsidR="006C47D7" w:rsidP="00634EA2" w14:paraId="1E95AEC2" w14:textId="2DB68C3B">
            <w:pPr>
              <w:widowControl/>
              <w:spacing w:line="276" w:lineRule="auto"/>
              <w:rPr>
                <w:sz w:val="24"/>
                <w:szCs w:val="24"/>
              </w:rPr>
            </w:pPr>
            <w:r>
              <w:rPr>
                <w:sz w:val="24"/>
                <w:szCs w:val="24"/>
              </w:rPr>
              <w:t>20</w:t>
            </w:r>
          </w:p>
        </w:tc>
        <w:tc>
          <w:tcPr>
            <w:tcW w:w="1463" w:type="dxa"/>
          </w:tcPr>
          <w:p w:rsidR="006C47D7" w:rsidP="00634EA2" w14:paraId="6F5DF7E7" w14:textId="77777777">
            <w:pPr>
              <w:widowControl/>
              <w:spacing w:line="276" w:lineRule="auto"/>
              <w:rPr>
                <w:sz w:val="24"/>
                <w:szCs w:val="24"/>
              </w:rPr>
            </w:pPr>
          </w:p>
        </w:tc>
      </w:tr>
      <w:tr w14:paraId="6E1DC13E" w14:textId="77777777" w:rsidTr="00C608B8">
        <w:tblPrEx>
          <w:tblW w:w="0" w:type="auto"/>
          <w:jc w:val="center"/>
          <w:tblLook w:val="04A0"/>
        </w:tblPrEx>
        <w:trPr>
          <w:jc w:val="center"/>
        </w:trPr>
        <w:tc>
          <w:tcPr>
            <w:tcW w:w="2989" w:type="dxa"/>
          </w:tcPr>
          <w:p w:rsidR="006C47D7" w:rsidP="00634EA2" w14:paraId="25D42D5C" w14:textId="60BCAFA5">
            <w:pPr>
              <w:widowControl/>
              <w:spacing w:line="276" w:lineRule="auto"/>
              <w:rPr>
                <w:sz w:val="24"/>
                <w:szCs w:val="24"/>
              </w:rPr>
            </w:pPr>
            <w:r>
              <w:rPr>
                <w:sz w:val="24"/>
                <w:szCs w:val="24"/>
              </w:rPr>
              <w:t>Wisconsin</w:t>
            </w:r>
          </w:p>
        </w:tc>
        <w:tc>
          <w:tcPr>
            <w:tcW w:w="1463" w:type="dxa"/>
          </w:tcPr>
          <w:p w:rsidR="006C47D7" w:rsidP="00634EA2" w14:paraId="57DCDC6B" w14:textId="4508E978">
            <w:pPr>
              <w:widowControl/>
              <w:spacing w:line="276" w:lineRule="auto"/>
              <w:rPr>
                <w:sz w:val="24"/>
                <w:szCs w:val="24"/>
              </w:rPr>
            </w:pPr>
            <w:r>
              <w:rPr>
                <w:sz w:val="24"/>
                <w:szCs w:val="24"/>
              </w:rPr>
              <w:t>40</w:t>
            </w:r>
          </w:p>
        </w:tc>
        <w:tc>
          <w:tcPr>
            <w:tcW w:w="1463" w:type="dxa"/>
          </w:tcPr>
          <w:p w:rsidR="006C47D7" w:rsidP="00634EA2" w14:paraId="4F00D5FA" w14:textId="01F16F0C">
            <w:pPr>
              <w:widowControl/>
              <w:spacing w:line="276" w:lineRule="auto"/>
              <w:rPr>
                <w:sz w:val="24"/>
                <w:szCs w:val="24"/>
              </w:rPr>
            </w:pPr>
            <w:r>
              <w:rPr>
                <w:sz w:val="24"/>
                <w:szCs w:val="24"/>
              </w:rPr>
              <w:t>1</w:t>
            </w:r>
          </w:p>
        </w:tc>
      </w:tr>
      <w:tr w14:paraId="19E92935" w14:textId="77777777" w:rsidTr="00C608B8">
        <w:tblPrEx>
          <w:tblW w:w="0" w:type="auto"/>
          <w:jc w:val="center"/>
          <w:tblLook w:val="04A0"/>
        </w:tblPrEx>
        <w:trPr>
          <w:jc w:val="center"/>
        </w:trPr>
        <w:tc>
          <w:tcPr>
            <w:tcW w:w="2989" w:type="dxa"/>
          </w:tcPr>
          <w:p w:rsidR="006C47D7" w:rsidP="00634EA2" w14:paraId="068B572C" w14:textId="05B3FF22">
            <w:pPr>
              <w:widowControl/>
              <w:spacing w:line="276" w:lineRule="auto"/>
              <w:rPr>
                <w:sz w:val="24"/>
                <w:szCs w:val="24"/>
              </w:rPr>
            </w:pPr>
            <w:r>
              <w:rPr>
                <w:sz w:val="24"/>
                <w:szCs w:val="24"/>
              </w:rPr>
              <w:t>California</w:t>
            </w:r>
          </w:p>
        </w:tc>
        <w:tc>
          <w:tcPr>
            <w:tcW w:w="1463" w:type="dxa"/>
          </w:tcPr>
          <w:p w:rsidR="006C47D7" w:rsidP="00634EA2" w14:paraId="2A9BD8FA" w14:textId="77777777">
            <w:pPr>
              <w:widowControl/>
              <w:spacing w:line="276" w:lineRule="auto"/>
              <w:rPr>
                <w:sz w:val="24"/>
                <w:szCs w:val="24"/>
              </w:rPr>
            </w:pPr>
          </w:p>
        </w:tc>
        <w:tc>
          <w:tcPr>
            <w:tcW w:w="1463" w:type="dxa"/>
          </w:tcPr>
          <w:p w:rsidR="006C47D7" w:rsidP="00634EA2" w14:paraId="37DFA5D2" w14:textId="2FB8CFF4">
            <w:pPr>
              <w:widowControl/>
              <w:spacing w:line="276" w:lineRule="auto"/>
              <w:rPr>
                <w:sz w:val="24"/>
                <w:szCs w:val="24"/>
              </w:rPr>
            </w:pPr>
            <w:r>
              <w:rPr>
                <w:sz w:val="24"/>
                <w:szCs w:val="24"/>
              </w:rPr>
              <w:t>200</w:t>
            </w:r>
          </w:p>
        </w:tc>
      </w:tr>
      <w:tr w14:paraId="569D3A7D" w14:textId="77777777" w:rsidTr="00C608B8">
        <w:tblPrEx>
          <w:tblW w:w="0" w:type="auto"/>
          <w:jc w:val="center"/>
          <w:tblLook w:val="04A0"/>
        </w:tblPrEx>
        <w:trPr>
          <w:jc w:val="center"/>
        </w:trPr>
        <w:tc>
          <w:tcPr>
            <w:tcW w:w="2989" w:type="dxa"/>
          </w:tcPr>
          <w:p w:rsidR="006C47D7" w:rsidP="00634EA2" w14:paraId="4B130828" w14:textId="3735F8AB">
            <w:pPr>
              <w:widowControl/>
              <w:spacing w:line="276" w:lineRule="auto"/>
              <w:rPr>
                <w:sz w:val="24"/>
                <w:szCs w:val="24"/>
              </w:rPr>
            </w:pPr>
            <w:r>
              <w:rPr>
                <w:sz w:val="24"/>
                <w:szCs w:val="24"/>
              </w:rPr>
              <w:t>Commonwealth of Virginia</w:t>
            </w:r>
          </w:p>
        </w:tc>
        <w:tc>
          <w:tcPr>
            <w:tcW w:w="1463" w:type="dxa"/>
          </w:tcPr>
          <w:p w:rsidR="006C47D7" w:rsidP="00634EA2" w14:paraId="342CB821" w14:textId="77777777">
            <w:pPr>
              <w:widowControl/>
              <w:spacing w:line="276" w:lineRule="auto"/>
              <w:rPr>
                <w:sz w:val="24"/>
                <w:szCs w:val="24"/>
              </w:rPr>
            </w:pPr>
          </w:p>
        </w:tc>
        <w:tc>
          <w:tcPr>
            <w:tcW w:w="1463" w:type="dxa"/>
          </w:tcPr>
          <w:p w:rsidR="006C47D7" w:rsidP="00634EA2" w14:paraId="32A09C69" w14:textId="600E8487">
            <w:pPr>
              <w:widowControl/>
              <w:spacing w:line="276" w:lineRule="auto"/>
              <w:rPr>
                <w:sz w:val="24"/>
                <w:szCs w:val="24"/>
              </w:rPr>
            </w:pPr>
            <w:r>
              <w:rPr>
                <w:sz w:val="24"/>
                <w:szCs w:val="24"/>
              </w:rPr>
              <w:t>1</w:t>
            </w:r>
          </w:p>
        </w:tc>
      </w:tr>
      <w:tr w14:paraId="39034DF8" w14:textId="77777777" w:rsidTr="00C608B8">
        <w:tblPrEx>
          <w:tblW w:w="0" w:type="auto"/>
          <w:jc w:val="center"/>
          <w:tblLook w:val="04A0"/>
        </w:tblPrEx>
        <w:trPr>
          <w:jc w:val="center"/>
        </w:trPr>
        <w:tc>
          <w:tcPr>
            <w:tcW w:w="2989" w:type="dxa"/>
          </w:tcPr>
          <w:p w:rsidR="006C47D7" w:rsidP="00634EA2" w14:paraId="20DE8769" w14:textId="6776A111">
            <w:pPr>
              <w:widowControl/>
              <w:spacing w:line="276" w:lineRule="auto"/>
              <w:rPr>
                <w:sz w:val="24"/>
                <w:szCs w:val="24"/>
              </w:rPr>
            </w:pPr>
            <w:r>
              <w:rPr>
                <w:sz w:val="24"/>
                <w:szCs w:val="24"/>
              </w:rPr>
              <w:t>Alaska</w:t>
            </w:r>
          </w:p>
        </w:tc>
        <w:tc>
          <w:tcPr>
            <w:tcW w:w="1463" w:type="dxa"/>
          </w:tcPr>
          <w:p w:rsidR="006C47D7" w:rsidP="00634EA2" w14:paraId="13FD809E" w14:textId="77777777">
            <w:pPr>
              <w:widowControl/>
              <w:spacing w:line="276" w:lineRule="auto"/>
              <w:rPr>
                <w:sz w:val="24"/>
                <w:szCs w:val="24"/>
              </w:rPr>
            </w:pPr>
          </w:p>
        </w:tc>
        <w:tc>
          <w:tcPr>
            <w:tcW w:w="1463" w:type="dxa"/>
          </w:tcPr>
          <w:p w:rsidR="00C608B8" w:rsidP="00634EA2" w14:paraId="7F3BED15" w14:textId="0E246E4F">
            <w:pPr>
              <w:widowControl/>
              <w:spacing w:line="276" w:lineRule="auto"/>
              <w:rPr>
                <w:sz w:val="24"/>
                <w:szCs w:val="24"/>
              </w:rPr>
            </w:pPr>
            <w:r>
              <w:rPr>
                <w:sz w:val="24"/>
                <w:szCs w:val="24"/>
              </w:rPr>
              <w:t>16</w:t>
            </w:r>
          </w:p>
        </w:tc>
      </w:tr>
      <w:tr w14:paraId="755E2395" w14:textId="77777777" w:rsidTr="00C608B8">
        <w:tblPrEx>
          <w:tblW w:w="0" w:type="auto"/>
          <w:jc w:val="center"/>
          <w:tblLook w:val="04A0"/>
        </w:tblPrEx>
        <w:trPr>
          <w:jc w:val="center"/>
        </w:trPr>
        <w:tc>
          <w:tcPr>
            <w:tcW w:w="2989" w:type="dxa"/>
          </w:tcPr>
          <w:p w:rsidR="00C608B8" w:rsidRPr="00C608B8" w:rsidP="00634EA2" w14:paraId="0DCFAD67" w14:textId="2FD7E9EB">
            <w:pPr>
              <w:widowControl/>
              <w:spacing w:line="276" w:lineRule="auto"/>
              <w:rPr>
                <w:b/>
                <w:bCs/>
                <w:sz w:val="24"/>
                <w:szCs w:val="24"/>
              </w:rPr>
            </w:pPr>
            <w:r w:rsidRPr="00C608B8">
              <w:rPr>
                <w:b/>
                <w:bCs/>
                <w:sz w:val="24"/>
                <w:szCs w:val="24"/>
              </w:rPr>
              <w:t>Average Hours</w:t>
            </w:r>
          </w:p>
        </w:tc>
        <w:tc>
          <w:tcPr>
            <w:tcW w:w="1463" w:type="dxa"/>
          </w:tcPr>
          <w:p w:rsidR="00C608B8" w:rsidRPr="00C608B8" w:rsidP="00634EA2" w14:paraId="733C12AB" w14:textId="6AF57A4C">
            <w:pPr>
              <w:widowControl/>
              <w:spacing w:line="276" w:lineRule="auto"/>
              <w:rPr>
                <w:b/>
                <w:bCs/>
                <w:sz w:val="24"/>
                <w:szCs w:val="24"/>
              </w:rPr>
            </w:pPr>
            <w:r w:rsidRPr="00C608B8">
              <w:rPr>
                <w:b/>
                <w:bCs/>
                <w:sz w:val="24"/>
                <w:szCs w:val="24"/>
              </w:rPr>
              <w:t>40</w:t>
            </w:r>
          </w:p>
        </w:tc>
        <w:tc>
          <w:tcPr>
            <w:tcW w:w="1463" w:type="dxa"/>
          </w:tcPr>
          <w:p w:rsidR="00C608B8" w:rsidRPr="00C608B8" w:rsidP="00634EA2" w14:paraId="62A52A8C" w14:textId="4C43ECFF">
            <w:pPr>
              <w:widowControl/>
              <w:spacing w:line="276" w:lineRule="auto"/>
              <w:rPr>
                <w:b/>
                <w:bCs/>
                <w:sz w:val="24"/>
                <w:szCs w:val="24"/>
              </w:rPr>
            </w:pPr>
            <w:r w:rsidRPr="00C608B8">
              <w:rPr>
                <w:b/>
                <w:bCs/>
                <w:sz w:val="24"/>
                <w:szCs w:val="24"/>
              </w:rPr>
              <w:t>55</w:t>
            </w:r>
          </w:p>
        </w:tc>
      </w:tr>
    </w:tbl>
    <w:p w:rsidR="00835A3B" w:rsidRPr="0012400D" w:rsidP="00634EA2" w14:paraId="173FA885" w14:textId="0EED8C79">
      <w:pPr>
        <w:widowControl/>
        <w:spacing w:line="276" w:lineRule="auto"/>
        <w:ind w:left="360"/>
        <w:rPr>
          <w:sz w:val="24"/>
          <w:szCs w:val="24"/>
        </w:rPr>
      </w:pPr>
      <w:r>
        <w:rPr>
          <w:sz w:val="24"/>
          <w:szCs w:val="24"/>
        </w:rPr>
        <w:t xml:space="preserve">  </w:t>
      </w:r>
    </w:p>
    <w:p w:rsidR="00FA7E7D" w:rsidRPr="0012400D" w:rsidP="00634EA2" w14:paraId="21827429" w14:textId="77777777">
      <w:pPr>
        <w:widowControl/>
        <w:spacing w:line="276" w:lineRule="auto"/>
        <w:rPr>
          <w:sz w:val="24"/>
          <w:szCs w:val="24"/>
          <w:highlight w:val="green"/>
        </w:rPr>
      </w:pPr>
    </w:p>
    <w:p w:rsidR="00295103" w:rsidRPr="001F67EC" w:rsidP="00634EA2" w14:paraId="150EF236" w14:textId="020C2CA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b/>
          <w:bCs/>
          <w:sz w:val="24"/>
          <w:szCs w:val="24"/>
        </w:rPr>
      </w:pPr>
      <w:r w:rsidRPr="001F67EC">
        <w:rPr>
          <w:b/>
          <w:bCs/>
          <w:sz w:val="24"/>
          <w:szCs w:val="24"/>
        </w:rPr>
        <w:t>9.</w:t>
      </w:r>
      <w:r w:rsidRPr="001F67EC">
        <w:rPr>
          <w:b/>
          <w:bCs/>
          <w:sz w:val="24"/>
          <w:szCs w:val="24"/>
        </w:rPr>
        <w:tab/>
        <w:t>Explain any decision to provide any payment or gift to respondents other than remuneration of contractors or grantees.</w:t>
      </w:r>
    </w:p>
    <w:p w:rsidR="00295103" w:rsidRPr="0012400D" w:rsidP="00634EA2" w14:paraId="796EB4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rsidR="00FA7E7D" w:rsidRPr="0012400D" w:rsidP="00F00BA7" w14:paraId="2700CD13" w14:textId="5805E1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sz w:val="24"/>
          <w:szCs w:val="24"/>
          <w:highlight w:val="yellow"/>
        </w:rPr>
      </w:pPr>
      <w:r w:rsidRPr="0012400D">
        <w:rPr>
          <w:sz w:val="24"/>
          <w:szCs w:val="24"/>
        </w:rPr>
        <w:t>The Office of the Secretary does not provide payments or gifts to respondents</w:t>
      </w:r>
      <w:r w:rsidRPr="0012400D" w:rsidR="00064483">
        <w:rPr>
          <w:sz w:val="24"/>
          <w:szCs w:val="24"/>
        </w:rPr>
        <w:t xml:space="preserve"> to the </w:t>
      </w:r>
      <w:r w:rsidRPr="0012400D" w:rsidR="00064483">
        <w:rPr>
          <w:sz w:val="24"/>
          <w:szCs w:val="24"/>
        </w:rPr>
        <w:t>State</w:t>
      </w:r>
      <w:r w:rsidRPr="0012400D" w:rsidR="003F4A5E">
        <w:rPr>
          <w:sz w:val="24"/>
          <w:szCs w:val="24"/>
        </w:rPr>
        <w:t>ment</w:t>
      </w:r>
      <w:r w:rsidRPr="0012400D" w:rsidR="00064483">
        <w:rPr>
          <w:sz w:val="24"/>
          <w:szCs w:val="24"/>
        </w:rPr>
        <w:t xml:space="preserve"> of Federal Land Payments form</w:t>
      </w:r>
      <w:r w:rsidRPr="0012400D" w:rsidR="00312BC2">
        <w:rPr>
          <w:sz w:val="24"/>
          <w:szCs w:val="24"/>
        </w:rPr>
        <w:t>.</w:t>
      </w:r>
    </w:p>
    <w:p w:rsidR="00FA7E7D" w:rsidRPr="0012400D" w:rsidP="00634EA2" w14:paraId="64C814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rsidR="004A6DFA" w:rsidRPr="001F67EC" w:rsidP="00634EA2" w14:paraId="6ABC524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b/>
          <w:bCs/>
          <w:sz w:val="24"/>
          <w:szCs w:val="24"/>
        </w:rPr>
      </w:pPr>
      <w:r w:rsidRPr="001F67EC">
        <w:rPr>
          <w:b/>
          <w:bCs/>
          <w:sz w:val="24"/>
          <w:szCs w:val="24"/>
        </w:rPr>
        <w:t>10.</w:t>
      </w:r>
      <w:r w:rsidRPr="001F67EC">
        <w:rPr>
          <w:b/>
          <w:bCs/>
          <w:sz w:val="24"/>
          <w:szCs w:val="24"/>
        </w:rPr>
        <w:tab/>
        <w:t>Describe any assurance of confidentiality provided to respondents and the basis for the assurance in statute, regulation, or agency policy.</w:t>
      </w:r>
    </w:p>
    <w:p w:rsidR="004A6DFA" w:rsidRPr="0012400D" w:rsidP="00634EA2" w14:paraId="55AE49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sz w:val="24"/>
          <w:szCs w:val="24"/>
          <w:highlight w:val="yellow"/>
        </w:rPr>
      </w:pPr>
    </w:p>
    <w:p w:rsidR="00723158" w:rsidRPr="0012400D" w:rsidP="00F00BA7" w14:paraId="1A4226A5" w14:textId="2542EA14">
      <w:pPr>
        <w:widowControl/>
        <w:spacing w:line="276" w:lineRule="auto"/>
        <w:ind w:left="360"/>
        <w:rPr>
          <w:sz w:val="24"/>
          <w:szCs w:val="24"/>
        </w:rPr>
      </w:pPr>
      <w:r w:rsidRPr="0012400D">
        <w:rPr>
          <w:sz w:val="24"/>
          <w:szCs w:val="24"/>
        </w:rPr>
        <w:t>The Office of the Secretary protects respondents</w:t>
      </w:r>
      <w:r w:rsidRPr="0012400D" w:rsidR="00EB6BA4">
        <w:rPr>
          <w:sz w:val="24"/>
          <w:szCs w:val="24"/>
        </w:rPr>
        <w:t>’</w:t>
      </w:r>
      <w:r w:rsidRPr="0012400D">
        <w:rPr>
          <w:sz w:val="24"/>
          <w:szCs w:val="24"/>
        </w:rPr>
        <w:t xml:space="preserve"> confidentiality consistent with the Freedom of Information Act (5 U.S.C. 552).</w:t>
      </w:r>
    </w:p>
    <w:p w:rsidR="00723158" w:rsidRPr="0012400D" w:rsidP="00634EA2" w14:paraId="76D14C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sz w:val="24"/>
          <w:szCs w:val="24"/>
          <w:highlight w:val="yellow"/>
        </w:rPr>
      </w:pPr>
    </w:p>
    <w:p w:rsidR="00295103" w:rsidRPr="001F67EC" w:rsidP="00634EA2" w14:paraId="5681EB48" w14:textId="1F5F2A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b/>
          <w:bCs/>
          <w:sz w:val="24"/>
          <w:szCs w:val="24"/>
        </w:rPr>
      </w:pPr>
      <w:r w:rsidRPr="001F67EC">
        <w:rPr>
          <w:b/>
          <w:bCs/>
          <w:sz w:val="24"/>
          <w:szCs w:val="24"/>
        </w:rPr>
        <w:t>11.</w:t>
      </w:r>
      <w:r w:rsidRPr="001F67EC">
        <w:rPr>
          <w:b/>
          <w:bCs/>
          <w:sz w:val="24"/>
          <w:szCs w:val="24"/>
        </w:rPr>
        <w:tab/>
        <w:t>Provide additional justification for any questions of a sensitive nature, such as sexual behavior and attitudes, religious beliefs, and other matters that are commonly considered private.</w:t>
      </w:r>
      <w:r w:rsidRPr="001F67EC" w:rsidR="00EB6BA4">
        <w:rPr>
          <w:b/>
          <w:bCs/>
          <w:sz w:val="24"/>
          <w:szCs w:val="24"/>
        </w:rPr>
        <w:t xml:space="preserve"> </w:t>
      </w:r>
      <w:r w:rsidRPr="001F67EC">
        <w:rPr>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12400D" w:rsidP="00634EA2" w14:paraId="512BFD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rsidR="00723158" w:rsidRPr="0012400D" w:rsidP="00F00BA7" w14:paraId="1FA14C24" w14:textId="00A03B43">
      <w:pPr>
        <w:widowControl/>
        <w:spacing w:line="276" w:lineRule="auto"/>
        <w:ind w:left="360"/>
        <w:rPr>
          <w:sz w:val="24"/>
          <w:szCs w:val="24"/>
        </w:rPr>
      </w:pPr>
      <w:r w:rsidRPr="0012400D">
        <w:rPr>
          <w:sz w:val="24"/>
          <w:szCs w:val="24"/>
        </w:rPr>
        <w:t>This information collection does not contain questions of a sensitive nature.</w:t>
      </w:r>
      <w:r w:rsidRPr="0012400D" w:rsidR="00EB6BA4">
        <w:rPr>
          <w:sz w:val="24"/>
          <w:szCs w:val="24"/>
        </w:rPr>
        <w:t xml:space="preserve"> </w:t>
      </w:r>
      <w:r w:rsidRPr="0012400D" w:rsidR="00C133F9">
        <w:rPr>
          <w:sz w:val="24"/>
          <w:szCs w:val="24"/>
        </w:rPr>
        <w:t>The data collected is official governmental information that is public record</w:t>
      </w:r>
      <w:r w:rsidRPr="0012400D" w:rsidR="00A6558E">
        <w:rPr>
          <w:sz w:val="24"/>
          <w:szCs w:val="24"/>
        </w:rPr>
        <w:t>,</w:t>
      </w:r>
      <w:r w:rsidRPr="0012400D" w:rsidR="00C133F9">
        <w:rPr>
          <w:sz w:val="24"/>
          <w:szCs w:val="24"/>
        </w:rPr>
        <w:t xml:space="preserve"> and the r</w:t>
      </w:r>
      <w:r w:rsidRPr="0012400D" w:rsidR="00312BC2">
        <w:rPr>
          <w:sz w:val="24"/>
          <w:szCs w:val="24"/>
        </w:rPr>
        <w:t xml:space="preserve">espondents are public officials </w:t>
      </w:r>
      <w:r w:rsidRPr="0012400D" w:rsidR="00C133F9">
        <w:rPr>
          <w:sz w:val="24"/>
          <w:szCs w:val="24"/>
        </w:rPr>
        <w:t>operating within the scope of their duties.</w:t>
      </w:r>
    </w:p>
    <w:p w:rsidR="00312BC2" w:rsidRPr="0012400D" w:rsidP="00F00BA7" w14:paraId="09F2BA67" w14:textId="77777777">
      <w:pPr>
        <w:widowControl/>
        <w:spacing w:line="276" w:lineRule="auto"/>
        <w:ind w:left="360"/>
        <w:rPr>
          <w:sz w:val="24"/>
          <w:szCs w:val="24"/>
        </w:rPr>
      </w:pPr>
    </w:p>
    <w:p w:rsidR="00295103" w:rsidRPr="001F67EC" w:rsidP="00634EA2" w14:paraId="3FE5B32C" w14:textId="281AB5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b/>
          <w:bCs/>
          <w:sz w:val="24"/>
          <w:szCs w:val="24"/>
        </w:rPr>
      </w:pPr>
      <w:r w:rsidRPr="001F67EC">
        <w:rPr>
          <w:b/>
          <w:bCs/>
          <w:sz w:val="24"/>
          <w:szCs w:val="24"/>
        </w:rPr>
        <w:t>12.</w:t>
      </w:r>
      <w:r w:rsidRPr="001F67EC">
        <w:rPr>
          <w:b/>
          <w:bCs/>
          <w:sz w:val="24"/>
          <w:szCs w:val="24"/>
        </w:rPr>
        <w:tab/>
        <w:t>Provide estimates of the hour burden of the collection of information.</w:t>
      </w:r>
      <w:r w:rsidRPr="001F67EC" w:rsidR="00EB6BA4">
        <w:rPr>
          <w:b/>
          <w:bCs/>
          <w:sz w:val="24"/>
          <w:szCs w:val="24"/>
        </w:rPr>
        <w:t xml:space="preserve"> </w:t>
      </w:r>
      <w:r w:rsidRPr="001F67EC">
        <w:rPr>
          <w:b/>
          <w:bCs/>
          <w:sz w:val="24"/>
          <w:szCs w:val="24"/>
        </w:rPr>
        <w:t>The statement should</w:t>
      </w:r>
      <w:r w:rsidRPr="001F67EC" w:rsidR="00AC0E06">
        <w:rPr>
          <w:b/>
          <w:bCs/>
          <w:sz w:val="24"/>
          <w:szCs w:val="24"/>
        </w:rPr>
        <w:t>—</w:t>
      </w:r>
    </w:p>
    <w:p w:rsidR="00494EFC" w:rsidRPr="001F67EC" w:rsidP="00634EA2" w14:paraId="061D6944" w14:textId="77777777">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b/>
          <w:bCs/>
        </w:rPr>
      </w:pPr>
      <w:r w:rsidRPr="001F67EC">
        <w:rPr>
          <w:rFonts w:ascii="Times New Roman" w:hAnsi="Times New Roman"/>
          <w:b/>
          <w:bCs/>
        </w:rPr>
        <w:t>Indicate the number of respondents, frequency of response, annual hour burden, and an explanation of how the burden was estimated.</w:t>
      </w:r>
      <w:r w:rsidRPr="001F67EC" w:rsidR="00EB6BA4">
        <w:rPr>
          <w:rFonts w:ascii="Times New Roman" w:hAnsi="Times New Roman"/>
          <w:b/>
          <w:bCs/>
        </w:rPr>
        <w:t xml:space="preserve"> </w:t>
      </w:r>
      <w:r w:rsidRPr="001F67EC">
        <w:rPr>
          <w:rFonts w:ascii="Times New Roman" w:hAnsi="Times New Roman"/>
          <w:b/>
          <w:bCs/>
        </w:rPr>
        <w:t>Unless directed to do so, agencies should not conduct special surveys to obtain information on which to base hour burden estimates.</w:t>
      </w:r>
      <w:r w:rsidRPr="001F67EC" w:rsidR="00EB6BA4">
        <w:rPr>
          <w:rFonts w:ascii="Times New Roman" w:hAnsi="Times New Roman"/>
          <w:b/>
          <w:bCs/>
        </w:rPr>
        <w:t xml:space="preserve"> </w:t>
      </w:r>
      <w:r w:rsidRPr="001F67EC">
        <w:rPr>
          <w:rFonts w:ascii="Times New Roman" w:hAnsi="Times New Roman"/>
          <w:b/>
          <w:bCs/>
        </w:rPr>
        <w:t>Consultation with a sample (fewer than 10) of potential respondents is desirable.</w:t>
      </w:r>
      <w:r w:rsidRPr="001F67EC" w:rsidR="00EB6BA4">
        <w:rPr>
          <w:rFonts w:ascii="Times New Roman" w:hAnsi="Times New Roman"/>
          <w:b/>
          <w:bCs/>
        </w:rPr>
        <w:t xml:space="preserve"> </w:t>
      </w:r>
      <w:r w:rsidRPr="001F67EC">
        <w:rPr>
          <w:rFonts w:ascii="Times New Roman" w:hAnsi="Times New Roman"/>
          <w:b/>
          <w:bCs/>
        </w:rPr>
        <w:t>If the hour burden on respondents is expected to vary widely because of differences in activity, size, or complexity, show the range of estimated hour burden, and explain the reasons for the variance.</w:t>
      </w:r>
      <w:r w:rsidRPr="001F67EC" w:rsidR="00EB6BA4">
        <w:rPr>
          <w:rFonts w:ascii="Times New Roman" w:hAnsi="Times New Roman"/>
          <w:b/>
          <w:bCs/>
        </w:rPr>
        <w:t xml:space="preserve"> </w:t>
      </w:r>
      <w:r w:rsidRPr="001F67EC">
        <w:rPr>
          <w:rFonts w:ascii="Times New Roman" w:hAnsi="Times New Roman"/>
          <w:b/>
          <w:bCs/>
        </w:rPr>
        <w:t>Generally, estimates should not include burden hours for customary and usual business practices.</w:t>
      </w:r>
    </w:p>
    <w:p w:rsidR="00494EFC" w:rsidRPr="001F67EC" w:rsidP="00634EA2" w14:paraId="343AEBCE" w14:textId="0FE754BC">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b/>
          <w:bCs/>
        </w:rPr>
      </w:pPr>
      <w:r w:rsidRPr="001F67EC">
        <w:rPr>
          <w:rFonts w:ascii="Times New Roman" w:hAnsi="Times New Roman"/>
          <w:b/>
          <w:bCs/>
        </w:rPr>
        <w:t>If this request for approval covers more than one form, provide separate hour burden estimates for each form</w:t>
      </w:r>
      <w:r w:rsidRPr="001F67EC" w:rsidR="006910A7">
        <w:rPr>
          <w:rFonts w:ascii="Times New Roman" w:hAnsi="Times New Roman"/>
          <w:b/>
          <w:bCs/>
        </w:rPr>
        <w:t>,</w:t>
      </w:r>
      <w:r w:rsidRPr="001F67EC">
        <w:rPr>
          <w:rFonts w:ascii="Times New Roman" w:hAnsi="Times New Roman"/>
          <w:b/>
          <w:bCs/>
        </w:rPr>
        <w:t xml:space="preserve"> and aggregate the hour burdens.</w:t>
      </w:r>
    </w:p>
    <w:p w:rsidR="00295103" w:rsidRPr="001F67EC" w:rsidP="00634EA2" w14:paraId="13E0776A" w14:textId="4E45ECFF">
      <w:pPr>
        <w:pStyle w:val="ListParagraph"/>
        <w:numPr>
          <w:ilvl w:val="0"/>
          <w:numId w:val="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b/>
          <w:bCs/>
        </w:rPr>
      </w:pPr>
      <w:r w:rsidRPr="001F67EC">
        <w:rPr>
          <w:rFonts w:ascii="Times New Roman" w:hAnsi="Times New Roman"/>
          <w:b/>
          <w:bCs/>
        </w:rPr>
        <w:t xml:space="preserve">Provide estimates of annualized cost to respondents for the hour burdens </w:t>
      </w:r>
      <w:r w:rsidRPr="001F67EC" w:rsidR="006910A7">
        <w:rPr>
          <w:rFonts w:ascii="Times New Roman" w:hAnsi="Times New Roman"/>
          <w:b/>
          <w:bCs/>
        </w:rPr>
        <w:t xml:space="preserve">associated with </w:t>
      </w:r>
      <w:r w:rsidRPr="001F67EC">
        <w:rPr>
          <w:rFonts w:ascii="Times New Roman" w:hAnsi="Times New Roman"/>
          <w:b/>
          <w:bCs/>
        </w:rPr>
        <w:t>collecti</w:t>
      </w:r>
      <w:r w:rsidRPr="001F67EC" w:rsidR="006910A7">
        <w:rPr>
          <w:rFonts w:ascii="Times New Roman" w:hAnsi="Times New Roman"/>
          <w:b/>
          <w:bCs/>
        </w:rPr>
        <w:t>ng</w:t>
      </w:r>
      <w:r w:rsidRPr="001F67EC">
        <w:rPr>
          <w:rFonts w:ascii="Times New Roman" w:hAnsi="Times New Roman"/>
          <w:b/>
          <w:bCs/>
        </w:rPr>
        <w:t xml:space="preserve"> information, identifying</w:t>
      </w:r>
      <w:r w:rsidRPr="001F67EC" w:rsidR="00EC2747">
        <w:rPr>
          <w:rFonts w:ascii="Times New Roman" w:hAnsi="Times New Roman"/>
          <w:b/>
          <w:bCs/>
        </w:rPr>
        <w:t>,</w:t>
      </w:r>
      <w:r w:rsidRPr="001F67EC">
        <w:rPr>
          <w:rFonts w:ascii="Times New Roman" w:hAnsi="Times New Roman"/>
          <w:b/>
          <w:bCs/>
        </w:rPr>
        <w:t xml:space="preserve"> and using appropriate wage rate categories.</w:t>
      </w:r>
      <w:r w:rsidRPr="001F67EC" w:rsidR="00EB6BA4">
        <w:rPr>
          <w:rFonts w:ascii="Times New Roman" w:hAnsi="Times New Roman"/>
          <w:b/>
          <w:bCs/>
        </w:rPr>
        <w:t xml:space="preserve"> </w:t>
      </w:r>
      <w:r w:rsidRPr="001F67EC">
        <w:rPr>
          <w:rFonts w:ascii="Times New Roman" w:hAnsi="Times New Roman"/>
          <w:b/>
          <w:bCs/>
        </w:rPr>
        <w:t>The cost of contracting out or paying outside parties for information collection activities should not be included here</w:t>
      </w:r>
      <w:r w:rsidRPr="001F67EC" w:rsidR="00DE7630">
        <w:rPr>
          <w:rFonts w:ascii="Times New Roman" w:hAnsi="Times New Roman"/>
          <w:b/>
          <w:bCs/>
        </w:rPr>
        <w:t>.</w:t>
      </w:r>
    </w:p>
    <w:p w:rsidR="00460983" w:rsidRPr="0012400D" w:rsidP="00634EA2" w14:paraId="2D178AD5"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77"/>
        <w:rPr>
          <w:rFonts w:ascii="Times New Roman" w:hAnsi="Times New Roman"/>
        </w:rPr>
      </w:pPr>
    </w:p>
    <w:p w:rsidR="00B162A9" w:rsidRPr="0012400D" w:rsidP="00F00BA7" w14:paraId="4D529629" w14:textId="400393BA">
      <w:pPr>
        <w:widowControl/>
        <w:spacing w:line="276" w:lineRule="auto"/>
        <w:ind w:left="717"/>
        <w:rPr>
          <w:sz w:val="24"/>
          <w:szCs w:val="24"/>
        </w:rPr>
      </w:pPr>
      <w:r w:rsidRPr="0012400D">
        <w:rPr>
          <w:sz w:val="24"/>
          <w:szCs w:val="24"/>
        </w:rPr>
        <w:t>To determine the estimated annualized cost to respondents</w:t>
      </w:r>
      <w:r w:rsidRPr="0012400D" w:rsidR="00A577A1">
        <w:rPr>
          <w:sz w:val="24"/>
          <w:szCs w:val="24"/>
        </w:rPr>
        <w:t>,</w:t>
      </w:r>
      <w:r w:rsidRPr="0012400D">
        <w:rPr>
          <w:sz w:val="24"/>
          <w:szCs w:val="24"/>
        </w:rPr>
        <w:t xml:space="preserve"> we applied U.S. Bureau of Labor Statistics (BLS) hourly wage rates.</w:t>
      </w:r>
      <w:r w:rsidRPr="0012400D" w:rsidR="00EB6BA4">
        <w:rPr>
          <w:sz w:val="24"/>
          <w:szCs w:val="24"/>
        </w:rPr>
        <w:t xml:space="preserve"> </w:t>
      </w:r>
      <w:r w:rsidRPr="0012400D">
        <w:rPr>
          <w:sz w:val="24"/>
          <w:szCs w:val="24"/>
        </w:rPr>
        <w:t xml:space="preserve">The applicable BLS labor category for PILT is </w:t>
      </w:r>
      <w:r w:rsidRPr="0012400D" w:rsidR="00EB6BA4">
        <w:rPr>
          <w:sz w:val="24"/>
          <w:szCs w:val="24"/>
        </w:rPr>
        <w:t>“</w:t>
      </w:r>
      <w:r w:rsidRPr="0012400D">
        <w:rPr>
          <w:sz w:val="24"/>
          <w:szCs w:val="24"/>
        </w:rPr>
        <w:t>Financial Analysts and Advisors</w:t>
      </w:r>
      <w:r w:rsidRPr="0012400D" w:rsidR="00EB6BA4">
        <w:rPr>
          <w:sz w:val="24"/>
          <w:szCs w:val="24"/>
        </w:rPr>
        <w:t>”</w:t>
      </w:r>
      <w:r w:rsidRPr="0012400D">
        <w:rPr>
          <w:sz w:val="24"/>
          <w:szCs w:val="24"/>
        </w:rPr>
        <w:t xml:space="preserve"> for State Governments.</w:t>
      </w:r>
      <w:r w:rsidRPr="0012400D" w:rsidR="00EB6BA4">
        <w:rPr>
          <w:sz w:val="24"/>
          <w:szCs w:val="24"/>
        </w:rPr>
        <w:t xml:space="preserve"> </w:t>
      </w:r>
      <w:r w:rsidRPr="0012400D">
        <w:rPr>
          <w:sz w:val="24"/>
          <w:szCs w:val="24"/>
        </w:rPr>
        <w:t xml:space="preserve">Based upon the BLS </w:t>
      </w:r>
      <w:r w:rsidRPr="0012400D">
        <w:rPr>
          <w:sz w:val="24"/>
          <w:szCs w:val="24"/>
        </w:rPr>
        <w:t>Occupational Employment and Wages</w:t>
      </w:r>
      <w:r w:rsidRPr="0012400D" w:rsidR="009611CC">
        <w:rPr>
          <w:sz w:val="24"/>
          <w:szCs w:val="24"/>
        </w:rPr>
        <w:t>—</w:t>
      </w:r>
      <w:r w:rsidRPr="0012400D">
        <w:rPr>
          <w:sz w:val="24"/>
          <w:szCs w:val="24"/>
        </w:rPr>
        <w:t>May 20</w:t>
      </w:r>
      <w:r w:rsidRPr="0012400D" w:rsidR="00DA400F">
        <w:rPr>
          <w:sz w:val="24"/>
          <w:szCs w:val="24"/>
        </w:rPr>
        <w:t>21</w:t>
      </w:r>
      <w:r w:rsidRPr="0012400D">
        <w:rPr>
          <w:sz w:val="24"/>
          <w:szCs w:val="24"/>
        </w:rPr>
        <w:t xml:space="preserve">, the current mean hourly rate for </w:t>
      </w:r>
      <w:r w:rsidRPr="0012400D" w:rsidR="00EB6BA4">
        <w:rPr>
          <w:sz w:val="24"/>
          <w:szCs w:val="24"/>
        </w:rPr>
        <w:t>“</w:t>
      </w:r>
      <w:r w:rsidRPr="0012400D">
        <w:rPr>
          <w:sz w:val="24"/>
          <w:szCs w:val="24"/>
        </w:rPr>
        <w:t>Financial Analysts and Advisors</w:t>
      </w:r>
      <w:r w:rsidRPr="0012400D" w:rsidR="00EB6BA4">
        <w:rPr>
          <w:sz w:val="24"/>
          <w:szCs w:val="24"/>
        </w:rPr>
        <w:t>”</w:t>
      </w:r>
      <w:r w:rsidRPr="0012400D">
        <w:rPr>
          <w:sz w:val="24"/>
          <w:szCs w:val="24"/>
        </w:rPr>
        <w:t xml:space="preserve"> is $3</w:t>
      </w:r>
      <w:r w:rsidRPr="0012400D" w:rsidR="00DA400F">
        <w:rPr>
          <w:sz w:val="24"/>
          <w:szCs w:val="24"/>
        </w:rPr>
        <w:t>8.28</w:t>
      </w:r>
      <w:r w:rsidRPr="0012400D">
        <w:rPr>
          <w:sz w:val="24"/>
          <w:szCs w:val="24"/>
        </w:rPr>
        <w:t xml:space="preserve"> per hour</w:t>
      </w:r>
      <w:r w:rsidRPr="0012400D" w:rsidR="00A577A1">
        <w:rPr>
          <w:sz w:val="24"/>
          <w:szCs w:val="24"/>
        </w:rPr>
        <w:t>, which can be</w:t>
      </w:r>
      <w:r w:rsidRPr="0012400D">
        <w:rPr>
          <w:sz w:val="24"/>
          <w:szCs w:val="24"/>
        </w:rPr>
        <w:t xml:space="preserve"> found at the following </w:t>
      </w:r>
      <w:r w:rsidRPr="0012400D" w:rsidR="00A577A1">
        <w:rPr>
          <w:sz w:val="24"/>
          <w:szCs w:val="24"/>
        </w:rPr>
        <w:t>W</w:t>
      </w:r>
      <w:r w:rsidRPr="0012400D">
        <w:rPr>
          <w:sz w:val="24"/>
          <w:szCs w:val="24"/>
        </w:rPr>
        <w:t>eb site:</w:t>
      </w:r>
      <w:r w:rsidRPr="0012400D" w:rsidR="00EB6BA4">
        <w:rPr>
          <w:sz w:val="24"/>
          <w:szCs w:val="24"/>
        </w:rPr>
        <w:t xml:space="preserve"> </w:t>
      </w:r>
      <w:hyperlink r:id="rId7" w:anchor="13-0000" w:history="1">
        <w:r w:rsidRPr="0012400D" w:rsidR="00FA7585">
          <w:rPr>
            <w:rStyle w:val="Hyperlink"/>
            <w:sz w:val="24"/>
            <w:szCs w:val="24"/>
          </w:rPr>
          <w:t>https://www.bls.gov/oes/current/naics4_999200.htm#13-0000</w:t>
        </w:r>
      </w:hyperlink>
      <w:r w:rsidRPr="0012400D">
        <w:rPr>
          <w:sz w:val="24"/>
          <w:szCs w:val="24"/>
        </w:rPr>
        <w:t>.</w:t>
      </w:r>
      <w:r w:rsidRPr="0012400D" w:rsidR="00EB6BA4">
        <w:rPr>
          <w:sz w:val="24"/>
          <w:szCs w:val="24"/>
        </w:rPr>
        <w:t xml:space="preserve"> </w:t>
      </w:r>
      <w:r w:rsidRPr="0012400D">
        <w:rPr>
          <w:sz w:val="24"/>
          <w:szCs w:val="24"/>
        </w:rPr>
        <w:t>Using a 1.</w:t>
      </w:r>
      <w:r w:rsidRPr="0012400D" w:rsidR="00A47D64">
        <w:rPr>
          <w:sz w:val="24"/>
          <w:szCs w:val="24"/>
        </w:rPr>
        <w:t>38</w:t>
      </w:r>
      <w:r w:rsidRPr="0012400D">
        <w:rPr>
          <w:sz w:val="24"/>
          <w:szCs w:val="24"/>
        </w:rPr>
        <w:t xml:space="preserve"> benefits multiplier, the hourly rate would be $</w:t>
      </w:r>
      <w:r w:rsidRPr="0012400D" w:rsidR="001A61AA">
        <w:rPr>
          <w:sz w:val="24"/>
          <w:szCs w:val="24"/>
        </w:rPr>
        <w:t>5</w:t>
      </w:r>
      <w:r w:rsidRPr="0012400D" w:rsidR="007C0471">
        <w:rPr>
          <w:sz w:val="24"/>
          <w:szCs w:val="24"/>
        </w:rPr>
        <w:t>2.83</w:t>
      </w:r>
      <w:r w:rsidRPr="0012400D">
        <w:rPr>
          <w:sz w:val="24"/>
          <w:szCs w:val="24"/>
        </w:rPr>
        <w:t>.</w:t>
      </w:r>
      <w:r w:rsidRPr="0012400D" w:rsidR="00EB6BA4">
        <w:rPr>
          <w:sz w:val="24"/>
          <w:szCs w:val="24"/>
        </w:rPr>
        <w:t xml:space="preserve"> </w:t>
      </w:r>
      <w:r w:rsidRPr="0012400D">
        <w:rPr>
          <w:sz w:val="24"/>
          <w:szCs w:val="24"/>
        </w:rPr>
        <w:t>The benefits multiplier</w:t>
      </w:r>
      <w:r w:rsidRPr="0012400D" w:rsidR="00406EEE">
        <w:rPr>
          <w:sz w:val="24"/>
          <w:szCs w:val="24"/>
        </w:rPr>
        <w:t xml:space="preserve"> of 1.</w:t>
      </w:r>
      <w:r w:rsidRPr="0012400D" w:rsidR="007B36AA">
        <w:rPr>
          <w:sz w:val="24"/>
          <w:szCs w:val="24"/>
        </w:rPr>
        <w:t>3</w:t>
      </w:r>
      <w:r w:rsidRPr="0012400D" w:rsidR="00A47D64">
        <w:rPr>
          <w:sz w:val="24"/>
          <w:szCs w:val="24"/>
        </w:rPr>
        <w:t>8</w:t>
      </w:r>
      <w:r w:rsidRPr="0012400D" w:rsidR="00406EEE">
        <w:rPr>
          <w:sz w:val="24"/>
          <w:szCs w:val="24"/>
        </w:rPr>
        <w:t xml:space="preserve"> for this labor category </w:t>
      </w:r>
      <w:r w:rsidRPr="0012400D">
        <w:rPr>
          <w:sz w:val="24"/>
          <w:szCs w:val="24"/>
        </w:rPr>
        <w:t xml:space="preserve">for government, </w:t>
      </w:r>
      <w:r w:rsidRPr="0012400D" w:rsidR="00406EEE">
        <w:rPr>
          <w:sz w:val="24"/>
          <w:szCs w:val="24"/>
        </w:rPr>
        <w:t xml:space="preserve">is </w:t>
      </w:r>
      <w:r w:rsidRPr="0012400D">
        <w:rPr>
          <w:sz w:val="24"/>
          <w:szCs w:val="24"/>
        </w:rPr>
        <w:t xml:space="preserve">based upon information provided in </w:t>
      </w:r>
      <w:r w:rsidRPr="0012400D">
        <w:rPr>
          <w:i/>
          <w:sz w:val="24"/>
          <w:szCs w:val="24"/>
        </w:rPr>
        <w:t xml:space="preserve">BLS </w:t>
      </w:r>
      <w:r w:rsidRPr="0012400D" w:rsidR="00317200">
        <w:rPr>
          <w:i/>
          <w:sz w:val="24"/>
          <w:szCs w:val="24"/>
        </w:rPr>
        <w:t>N</w:t>
      </w:r>
      <w:r w:rsidRPr="0012400D">
        <w:rPr>
          <w:i/>
          <w:sz w:val="24"/>
          <w:szCs w:val="24"/>
        </w:rPr>
        <w:t xml:space="preserve">ews </w:t>
      </w:r>
      <w:r w:rsidRPr="0012400D" w:rsidR="00317200">
        <w:rPr>
          <w:i/>
          <w:sz w:val="24"/>
          <w:szCs w:val="24"/>
        </w:rPr>
        <w:t>R</w:t>
      </w:r>
      <w:r w:rsidRPr="0012400D">
        <w:rPr>
          <w:i/>
          <w:sz w:val="24"/>
          <w:szCs w:val="24"/>
        </w:rPr>
        <w:t xml:space="preserve">elease USDL: </w:t>
      </w:r>
      <w:r w:rsidRPr="0012400D" w:rsidR="00CA6E24">
        <w:rPr>
          <w:i/>
          <w:sz w:val="24"/>
          <w:szCs w:val="24"/>
        </w:rPr>
        <w:t>22</w:t>
      </w:r>
      <w:r w:rsidRPr="0012400D" w:rsidR="00B94C39">
        <w:rPr>
          <w:i/>
          <w:sz w:val="24"/>
          <w:szCs w:val="24"/>
        </w:rPr>
        <w:t>-1176</w:t>
      </w:r>
      <w:r w:rsidRPr="0012400D">
        <w:rPr>
          <w:i/>
          <w:sz w:val="24"/>
          <w:szCs w:val="24"/>
        </w:rPr>
        <w:t xml:space="preserve">, </w:t>
      </w:r>
      <w:r w:rsidRPr="0012400D" w:rsidR="00B94C39">
        <w:rPr>
          <w:i/>
          <w:sz w:val="24"/>
          <w:szCs w:val="24"/>
        </w:rPr>
        <w:t>June 16,2022</w:t>
      </w:r>
      <w:r w:rsidRPr="0012400D" w:rsidR="002A5F82">
        <w:rPr>
          <w:i/>
          <w:sz w:val="24"/>
          <w:szCs w:val="24"/>
        </w:rPr>
        <w:t>,</w:t>
      </w:r>
      <w:r w:rsidRPr="0012400D">
        <w:rPr>
          <w:i/>
          <w:sz w:val="24"/>
          <w:szCs w:val="24"/>
        </w:rPr>
        <w:t xml:space="preserve"> </w:t>
      </w:r>
      <w:r w:rsidRPr="0012400D">
        <w:rPr>
          <w:sz w:val="24"/>
          <w:szCs w:val="24"/>
        </w:rPr>
        <w:t>which can be found at</w:t>
      </w:r>
      <w:r w:rsidRPr="0012400D" w:rsidR="00EB6BA4">
        <w:rPr>
          <w:i/>
          <w:sz w:val="24"/>
          <w:szCs w:val="24"/>
        </w:rPr>
        <w:t xml:space="preserve"> </w:t>
      </w:r>
      <w:hyperlink r:id="rId8" w:history="1">
        <w:r w:rsidRPr="0012400D">
          <w:rPr>
            <w:rStyle w:val="Hyperlink"/>
            <w:sz w:val="24"/>
            <w:szCs w:val="24"/>
          </w:rPr>
          <w:t>http://www.bls.gov/news.release/pdf/ecec.pdf</w:t>
        </w:r>
      </w:hyperlink>
      <w:r w:rsidRPr="0012400D">
        <w:rPr>
          <w:sz w:val="24"/>
          <w:szCs w:val="24"/>
        </w:rPr>
        <w:t>.</w:t>
      </w:r>
      <w:r w:rsidRPr="0012400D" w:rsidR="00EF1834">
        <w:rPr>
          <w:sz w:val="24"/>
          <w:szCs w:val="24"/>
        </w:rPr>
        <w:t xml:space="preserve"> </w:t>
      </w:r>
    </w:p>
    <w:p w:rsidR="002173D5" w:rsidRPr="0012400D" w:rsidP="00F00BA7" w14:paraId="74577F0E" w14:textId="51907659">
      <w:pPr>
        <w:pStyle w:val="BodyTextIndent2"/>
        <w:tabs>
          <w:tab w:val="left" w:pos="2281"/>
        </w:tabs>
        <w:spacing w:after="0" w:line="276" w:lineRule="auto"/>
        <w:ind w:left="717"/>
        <w:rPr>
          <w:sz w:val="24"/>
          <w:szCs w:val="24"/>
        </w:rPr>
      </w:pPr>
      <w:r>
        <w:rPr>
          <w:sz w:val="24"/>
          <w:szCs w:val="24"/>
        </w:rPr>
        <w:tab/>
      </w:r>
    </w:p>
    <w:p w:rsidR="002173D5" w:rsidRPr="0012400D" w:rsidP="00F00BA7" w14:paraId="5BB225F5" w14:textId="272B88CA">
      <w:pPr>
        <w:pStyle w:val="BodyTextIndent2"/>
        <w:spacing w:after="0" w:line="276" w:lineRule="auto"/>
        <w:ind w:left="717"/>
        <w:rPr>
          <w:sz w:val="24"/>
          <w:szCs w:val="24"/>
        </w:rPr>
      </w:pPr>
      <w:r w:rsidRPr="0012400D">
        <w:rPr>
          <w:sz w:val="24"/>
          <w:szCs w:val="24"/>
        </w:rPr>
        <w:t>We</w:t>
      </w:r>
      <w:r w:rsidRPr="0012400D">
        <w:rPr>
          <w:sz w:val="24"/>
          <w:szCs w:val="24"/>
        </w:rPr>
        <w:t xml:space="preserve"> estimate</w:t>
      </w:r>
      <w:r w:rsidRPr="0012400D" w:rsidR="00BF0708">
        <w:rPr>
          <w:sz w:val="24"/>
          <w:szCs w:val="24"/>
        </w:rPr>
        <w:t>d</w:t>
      </w:r>
      <w:r w:rsidRPr="0012400D">
        <w:rPr>
          <w:sz w:val="24"/>
          <w:szCs w:val="24"/>
        </w:rPr>
        <w:t xml:space="preserve"> </w:t>
      </w:r>
      <w:r w:rsidRPr="0012400D" w:rsidR="003C5CC8">
        <w:rPr>
          <w:sz w:val="24"/>
          <w:szCs w:val="24"/>
        </w:rPr>
        <w:t>4</w:t>
      </w:r>
      <w:r w:rsidRPr="0012400D" w:rsidR="00CA4A7D">
        <w:rPr>
          <w:sz w:val="24"/>
          <w:szCs w:val="24"/>
        </w:rPr>
        <w:t>6</w:t>
      </w:r>
      <w:r w:rsidRPr="0012400D">
        <w:rPr>
          <w:sz w:val="24"/>
          <w:szCs w:val="24"/>
        </w:rPr>
        <w:t xml:space="preserve"> responses </w:t>
      </w:r>
      <w:r w:rsidRPr="0012400D">
        <w:rPr>
          <w:sz w:val="24"/>
          <w:szCs w:val="24"/>
        </w:rPr>
        <w:t xml:space="preserve">x </w:t>
      </w:r>
      <w:r w:rsidR="0024652F">
        <w:rPr>
          <w:sz w:val="24"/>
          <w:szCs w:val="24"/>
        </w:rPr>
        <w:t>55</w:t>
      </w:r>
      <w:r w:rsidRPr="0012400D">
        <w:rPr>
          <w:sz w:val="24"/>
          <w:szCs w:val="24"/>
        </w:rPr>
        <w:t xml:space="preserve"> hours per response</w:t>
      </w:r>
      <w:r w:rsidRPr="0012400D">
        <w:rPr>
          <w:sz w:val="24"/>
          <w:szCs w:val="24"/>
        </w:rPr>
        <w:t>,</w:t>
      </w:r>
      <w:r w:rsidRPr="0012400D">
        <w:rPr>
          <w:sz w:val="24"/>
          <w:szCs w:val="24"/>
        </w:rPr>
        <w:t xml:space="preserve"> for a total burden of </w:t>
      </w:r>
      <w:r w:rsidR="006D3B31">
        <w:rPr>
          <w:sz w:val="24"/>
          <w:szCs w:val="24"/>
        </w:rPr>
        <w:t>2,530</w:t>
      </w:r>
      <w:r w:rsidRPr="0012400D" w:rsidR="001943C6">
        <w:rPr>
          <w:sz w:val="24"/>
          <w:szCs w:val="24"/>
        </w:rPr>
        <w:t xml:space="preserve"> burden</w:t>
      </w:r>
      <w:r w:rsidRPr="0012400D">
        <w:rPr>
          <w:sz w:val="24"/>
          <w:szCs w:val="24"/>
        </w:rPr>
        <w:t xml:space="preserve"> hours.</w:t>
      </w:r>
      <w:r w:rsidRPr="0012400D" w:rsidR="00EB6BA4">
        <w:rPr>
          <w:sz w:val="24"/>
          <w:szCs w:val="24"/>
        </w:rPr>
        <w:t xml:space="preserve"> </w:t>
      </w:r>
      <w:r w:rsidRPr="0012400D">
        <w:rPr>
          <w:sz w:val="24"/>
          <w:szCs w:val="24"/>
        </w:rPr>
        <w:t xml:space="preserve">Then multiplying the </w:t>
      </w:r>
      <w:r w:rsidR="0024652F">
        <w:rPr>
          <w:sz w:val="24"/>
          <w:szCs w:val="24"/>
        </w:rPr>
        <w:t>2,530</w:t>
      </w:r>
      <w:r w:rsidRPr="0012400D">
        <w:rPr>
          <w:sz w:val="24"/>
          <w:szCs w:val="24"/>
        </w:rPr>
        <w:t xml:space="preserve"> hours by $</w:t>
      </w:r>
      <w:r w:rsidRPr="0012400D" w:rsidR="00297C55">
        <w:rPr>
          <w:sz w:val="24"/>
          <w:szCs w:val="24"/>
        </w:rPr>
        <w:t>52.83</w:t>
      </w:r>
      <w:r w:rsidRPr="0012400D">
        <w:rPr>
          <w:sz w:val="24"/>
          <w:szCs w:val="24"/>
        </w:rPr>
        <w:t xml:space="preserve"> per hour equals a dollar cost equivalent of $</w:t>
      </w:r>
      <w:r w:rsidR="006C33E0">
        <w:rPr>
          <w:sz w:val="24"/>
          <w:szCs w:val="24"/>
        </w:rPr>
        <w:t>133,</w:t>
      </w:r>
      <w:r w:rsidR="00DB6CC4">
        <w:rPr>
          <w:sz w:val="24"/>
          <w:szCs w:val="24"/>
        </w:rPr>
        <w:t>660.</w:t>
      </w:r>
    </w:p>
    <w:p w:rsidR="00723158" w:rsidRPr="0012400D" w:rsidP="00634EA2" w14:paraId="5C671B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sz w:val="24"/>
          <w:szCs w:val="24"/>
          <w:highlight w:val="yellow"/>
        </w:rPr>
      </w:pPr>
    </w:p>
    <w:p w:rsidR="001F5EB5" w:rsidRPr="00B95B0F" w:rsidP="00634EA2" w14:paraId="20B8D75C" w14:textId="3486AD2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b/>
          <w:bCs/>
          <w:sz w:val="24"/>
          <w:szCs w:val="24"/>
        </w:rPr>
      </w:pPr>
      <w:r w:rsidRPr="00B95B0F">
        <w:rPr>
          <w:b/>
          <w:bCs/>
          <w:sz w:val="24"/>
          <w:szCs w:val="24"/>
        </w:rPr>
        <w:t>13.</w:t>
      </w:r>
      <w:r w:rsidRPr="00B95B0F">
        <w:rPr>
          <w:b/>
          <w:bCs/>
          <w:sz w:val="24"/>
          <w:szCs w:val="24"/>
        </w:rPr>
        <w:tab/>
        <w:t xml:space="preserve">Provide an estimate of the total annual </w:t>
      </w:r>
      <w:r w:rsidRPr="00B95B0F" w:rsidR="00DE1FFE">
        <w:rPr>
          <w:b/>
          <w:bCs/>
          <w:sz w:val="24"/>
          <w:szCs w:val="24"/>
        </w:rPr>
        <w:t>non</w:t>
      </w:r>
      <w:r w:rsidRPr="00B95B0F" w:rsidR="00F96D9E">
        <w:rPr>
          <w:b/>
          <w:bCs/>
          <w:sz w:val="24"/>
          <w:szCs w:val="24"/>
        </w:rPr>
        <w:t xml:space="preserve"> </w:t>
      </w:r>
      <w:r w:rsidRPr="00B95B0F" w:rsidR="00DE1FFE">
        <w:rPr>
          <w:b/>
          <w:bCs/>
          <w:sz w:val="24"/>
          <w:szCs w:val="24"/>
        </w:rPr>
        <w:t>hour</w:t>
      </w:r>
      <w:r w:rsidRPr="00B95B0F">
        <w:rPr>
          <w:b/>
          <w:bCs/>
          <w:sz w:val="24"/>
          <w:szCs w:val="24"/>
        </w:rPr>
        <w:t xml:space="preserve"> cost burden to respondents or record</w:t>
      </w:r>
      <w:r w:rsidRPr="00B95B0F" w:rsidR="00F96D9E">
        <w:rPr>
          <w:b/>
          <w:bCs/>
          <w:sz w:val="24"/>
          <w:szCs w:val="24"/>
        </w:rPr>
        <w:t xml:space="preserve"> </w:t>
      </w:r>
      <w:r w:rsidRPr="00B95B0F">
        <w:rPr>
          <w:b/>
          <w:bCs/>
          <w:sz w:val="24"/>
          <w:szCs w:val="24"/>
        </w:rPr>
        <w:t>keepers resulting from the collection of information</w:t>
      </w:r>
      <w:r w:rsidRPr="00B95B0F" w:rsidR="00EB6BA4">
        <w:rPr>
          <w:b/>
          <w:bCs/>
          <w:sz w:val="24"/>
          <w:szCs w:val="24"/>
        </w:rPr>
        <w:t xml:space="preserve"> </w:t>
      </w:r>
      <w:r w:rsidRPr="00B95B0F">
        <w:rPr>
          <w:b/>
          <w:bCs/>
          <w:sz w:val="24"/>
          <w:szCs w:val="24"/>
        </w:rPr>
        <w:t>(</w:t>
      </w:r>
      <w:r w:rsidRPr="00B95B0F" w:rsidR="00317200">
        <w:rPr>
          <w:b/>
          <w:bCs/>
          <w:sz w:val="24"/>
          <w:szCs w:val="24"/>
        </w:rPr>
        <w:t>d</w:t>
      </w:r>
      <w:r w:rsidRPr="00B95B0F">
        <w:rPr>
          <w:b/>
          <w:bCs/>
          <w:sz w:val="24"/>
          <w:szCs w:val="24"/>
        </w:rPr>
        <w:t xml:space="preserve">o not include the cost of any hour burden </w:t>
      </w:r>
      <w:r w:rsidRPr="00B95B0F" w:rsidR="004A6DFA">
        <w:rPr>
          <w:b/>
          <w:bCs/>
          <w:sz w:val="24"/>
          <w:szCs w:val="24"/>
        </w:rPr>
        <w:t xml:space="preserve">already reflected </w:t>
      </w:r>
      <w:r w:rsidRPr="00B95B0F" w:rsidR="00F73931">
        <w:rPr>
          <w:b/>
          <w:bCs/>
          <w:sz w:val="24"/>
          <w:szCs w:val="24"/>
        </w:rPr>
        <w:t>in item 12</w:t>
      </w:r>
      <w:r w:rsidRPr="00B95B0F" w:rsidR="004A6DFA">
        <w:rPr>
          <w:b/>
          <w:bCs/>
          <w:sz w:val="24"/>
          <w:szCs w:val="24"/>
        </w:rPr>
        <w:t>)</w:t>
      </w:r>
      <w:r w:rsidRPr="00B95B0F" w:rsidR="00317200">
        <w:rPr>
          <w:b/>
          <w:bCs/>
          <w:sz w:val="24"/>
          <w:szCs w:val="24"/>
        </w:rPr>
        <w:t>.</w:t>
      </w:r>
    </w:p>
    <w:p w:rsidR="001F5EB5" w:rsidRPr="00B95B0F" w:rsidP="00634EA2" w14:paraId="5219E4AC" w14:textId="0DE2A130">
      <w:pPr>
        <w:pStyle w:val="ListParagraph"/>
        <w:numPr>
          <w:ilvl w:val="0"/>
          <w:numId w:val="10"/>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b/>
          <w:bCs/>
        </w:rPr>
      </w:pPr>
      <w:r w:rsidRPr="00B95B0F">
        <w:rPr>
          <w:rFonts w:ascii="Times New Roman" w:hAnsi="Times New Roman"/>
          <w:b/>
          <w:bCs/>
        </w:rPr>
        <w:t>The cost estimate should be split into two components: (a) total capital and startup cost (annualized over its expected useful life) and (b) total operation and maintenance and purchase of services.</w:t>
      </w:r>
      <w:r w:rsidRPr="00B95B0F" w:rsidR="00EB6BA4">
        <w:rPr>
          <w:rFonts w:ascii="Times New Roman" w:hAnsi="Times New Roman"/>
          <w:b/>
          <w:bCs/>
        </w:rPr>
        <w:t xml:space="preserve"> </w:t>
      </w:r>
      <w:r w:rsidRPr="00B95B0F">
        <w:rPr>
          <w:rFonts w:ascii="Times New Roman" w:hAnsi="Times New Roman"/>
          <w:b/>
          <w:bCs/>
        </w:rPr>
        <w:t xml:space="preserve">The estimates should take into account costs associated with generating, maintaining, and disclosing or providing the information </w:t>
      </w:r>
      <w:r w:rsidRPr="00B95B0F" w:rsidR="000257C8">
        <w:rPr>
          <w:rFonts w:ascii="Times New Roman" w:hAnsi="Times New Roman"/>
          <w:b/>
          <w:bCs/>
        </w:rPr>
        <w:t>(</w:t>
      </w:r>
      <w:r w:rsidRPr="00B95B0F">
        <w:rPr>
          <w:rFonts w:ascii="Times New Roman" w:hAnsi="Times New Roman"/>
          <w:b/>
          <w:bCs/>
        </w:rPr>
        <w:t>including filing fees paid</w:t>
      </w:r>
      <w:r w:rsidRPr="00B95B0F" w:rsidR="000257C8">
        <w:rPr>
          <w:rFonts w:ascii="Times New Roman" w:hAnsi="Times New Roman"/>
          <w:b/>
          <w:bCs/>
        </w:rPr>
        <w:t xml:space="preserve"> for form processing)</w:t>
      </w:r>
      <w:r w:rsidRPr="00B95B0F">
        <w:rPr>
          <w:rFonts w:ascii="Times New Roman" w:hAnsi="Times New Roman"/>
          <w:b/>
          <w:bCs/>
        </w:rPr>
        <w:t>.</w:t>
      </w:r>
      <w:r w:rsidRPr="00B95B0F" w:rsidR="00EB6BA4">
        <w:rPr>
          <w:rFonts w:ascii="Times New Roman" w:hAnsi="Times New Roman"/>
          <w:b/>
          <w:bCs/>
        </w:rPr>
        <w:t xml:space="preserve"> </w:t>
      </w:r>
      <w:r w:rsidRPr="00B95B0F">
        <w:rPr>
          <w:rFonts w:ascii="Times New Roman" w:hAnsi="Times New Roman"/>
          <w:b/>
          <w:bCs/>
        </w:rPr>
        <w:t>Include descriptions of methods used to estimate major cost factors</w:t>
      </w:r>
      <w:r w:rsidRPr="00B95B0F" w:rsidR="00F536F6">
        <w:rPr>
          <w:rFonts w:ascii="Times New Roman" w:hAnsi="Times New Roman"/>
          <w:b/>
          <w:bCs/>
        </w:rPr>
        <w:t>,</w:t>
      </w:r>
      <w:r w:rsidRPr="00B95B0F">
        <w:rPr>
          <w:rFonts w:ascii="Times New Roman" w:hAnsi="Times New Roman"/>
          <w:b/>
          <w:bCs/>
        </w:rPr>
        <w:t xml:space="preserve"> including system and technology acquisition, expected useful life of capital equipment, the discount rate(s), and the time period over which costs will be incurred.</w:t>
      </w:r>
      <w:r w:rsidRPr="00B95B0F" w:rsidR="00EB6BA4">
        <w:rPr>
          <w:rFonts w:ascii="Times New Roman" w:hAnsi="Times New Roman"/>
          <w:b/>
          <w:bCs/>
        </w:rPr>
        <w:t xml:space="preserve"> </w:t>
      </w:r>
      <w:r w:rsidRPr="00B95B0F">
        <w:rPr>
          <w:rFonts w:ascii="Times New Roman" w:hAnsi="Times New Roman"/>
          <w:b/>
          <w:bCs/>
        </w:rPr>
        <w:t>Capital and startup costs include, among other items, preparations for collecting information</w:t>
      </w:r>
      <w:r w:rsidRPr="00B95B0F" w:rsidR="00F536F6">
        <w:rPr>
          <w:rFonts w:ascii="Times New Roman" w:hAnsi="Times New Roman"/>
          <w:b/>
          <w:bCs/>
        </w:rPr>
        <w:t>,</w:t>
      </w:r>
      <w:r w:rsidRPr="00B95B0F">
        <w:rPr>
          <w:rFonts w:ascii="Times New Roman" w:hAnsi="Times New Roman"/>
          <w:b/>
          <w:bCs/>
        </w:rPr>
        <w:t xml:space="preserve"> such as purchasing computers and software; monitoring, sampling, drilling</w:t>
      </w:r>
      <w:r w:rsidRPr="00B95B0F" w:rsidR="001D78F8">
        <w:rPr>
          <w:rFonts w:ascii="Times New Roman" w:hAnsi="Times New Roman"/>
          <w:b/>
          <w:bCs/>
        </w:rPr>
        <w:t>,</w:t>
      </w:r>
      <w:r w:rsidRPr="00B95B0F">
        <w:rPr>
          <w:rFonts w:ascii="Times New Roman" w:hAnsi="Times New Roman"/>
          <w:b/>
          <w:bCs/>
        </w:rPr>
        <w:t xml:space="preserve"> and testing equipment; and record storage facilities.</w:t>
      </w:r>
    </w:p>
    <w:p w:rsidR="001F5EB5" w:rsidRPr="00B95B0F" w:rsidP="00634EA2" w14:paraId="7789E01E" w14:textId="77777777">
      <w:pPr>
        <w:pStyle w:val="ListParagraph"/>
        <w:numPr>
          <w:ilvl w:val="0"/>
          <w:numId w:val="10"/>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b/>
          <w:bCs/>
        </w:rPr>
      </w:pPr>
      <w:r w:rsidRPr="00B95B0F">
        <w:rPr>
          <w:rFonts w:ascii="Times New Roman" w:hAnsi="Times New Roman"/>
          <w:b/>
          <w:bCs/>
        </w:rPr>
        <w:t>If cost estimates are expected to vary widely, agencies should present ranges of cost burdens and explain the reasons for the variance.</w:t>
      </w:r>
      <w:r w:rsidRPr="00B95B0F" w:rsidR="00EB6BA4">
        <w:rPr>
          <w:rFonts w:ascii="Times New Roman" w:hAnsi="Times New Roman"/>
          <w:b/>
          <w:bCs/>
        </w:rPr>
        <w:t xml:space="preserve"> </w:t>
      </w:r>
      <w:r w:rsidRPr="00B95B0F">
        <w:rPr>
          <w:rFonts w:ascii="Times New Roman" w:hAnsi="Times New Roman"/>
          <w:b/>
          <w:bCs/>
        </w:rPr>
        <w:t>The cost of purchasing or contracting out information collection services should be a part of this cost burden estimate.</w:t>
      </w:r>
      <w:r w:rsidRPr="00B95B0F" w:rsidR="00EB6BA4">
        <w:rPr>
          <w:rFonts w:ascii="Times New Roman" w:hAnsi="Times New Roman"/>
          <w:b/>
          <w:bCs/>
        </w:rPr>
        <w:t xml:space="preserve"> </w:t>
      </w:r>
      <w:r w:rsidRPr="00B95B0F">
        <w:rPr>
          <w:rFonts w:ascii="Times New Roman" w:hAnsi="Times New Roman"/>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B95B0F" w:rsidP="00634EA2" w14:paraId="2989F2A2" w14:textId="17B6E2E2">
      <w:pPr>
        <w:pStyle w:val="ListParagraph"/>
        <w:numPr>
          <w:ilvl w:val="0"/>
          <w:numId w:val="10"/>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imes New Roman" w:hAnsi="Times New Roman"/>
          <w:b/>
          <w:bCs/>
        </w:rPr>
      </w:pPr>
      <w:r w:rsidRPr="00B95B0F">
        <w:rPr>
          <w:rFonts w:ascii="Times New Roman" w:hAnsi="Times New Roman"/>
          <w:b/>
          <w:bCs/>
        </w:rPr>
        <w:t xml:space="preserve">Generally, estimates should not include purchases of equipment or services, or portions thereof, made (1) </w:t>
      </w:r>
      <w:r w:rsidRPr="00B95B0F" w:rsidR="00247BCE">
        <w:rPr>
          <w:rFonts w:ascii="Times New Roman" w:hAnsi="Times New Roman"/>
          <w:b/>
          <w:bCs/>
        </w:rPr>
        <w:t>before</w:t>
      </w:r>
      <w:r w:rsidRPr="00B95B0F">
        <w:rPr>
          <w:rFonts w:ascii="Times New Roman" w:hAnsi="Times New Roman"/>
          <w:b/>
          <w:bCs/>
        </w:rPr>
        <w:t xml:space="preserve"> October 1, 1995, (2) to achieve regulatory compliance with requirements not associated with the information collection, (3) for reasons other than to provide information or keep records for the </w:t>
      </w:r>
      <w:r w:rsidRPr="00B95B0F" w:rsidR="00EA563C">
        <w:rPr>
          <w:rFonts w:ascii="Times New Roman" w:hAnsi="Times New Roman"/>
          <w:b/>
          <w:bCs/>
        </w:rPr>
        <w:t>government</w:t>
      </w:r>
      <w:r w:rsidRPr="00B95B0F">
        <w:rPr>
          <w:rFonts w:ascii="Times New Roman" w:hAnsi="Times New Roman"/>
          <w:b/>
          <w:bCs/>
        </w:rPr>
        <w:t xml:space="preserve"> or (4) as part of customary and usual business or private practices.</w:t>
      </w:r>
    </w:p>
    <w:p w:rsidR="00295103" w:rsidRPr="0012400D" w:rsidP="00634EA2" w14:paraId="2C2E0A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rsidR="004B73AE" w:rsidRPr="0012400D" w:rsidP="006D3B31" w14:paraId="7D4BBABF" w14:textId="6DCF5068">
      <w:pPr>
        <w:widowControl/>
        <w:spacing w:line="276" w:lineRule="auto"/>
        <w:ind w:left="360"/>
        <w:rPr>
          <w:sz w:val="24"/>
          <w:szCs w:val="24"/>
        </w:rPr>
      </w:pPr>
      <w:r w:rsidRPr="0012400D">
        <w:rPr>
          <w:sz w:val="24"/>
          <w:szCs w:val="24"/>
        </w:rPr>
        <w:t xml:space="preserve">Responding to this information request requires </w:t>
      </w:r>
      <w:r w:rsidRPr="0012400D" w:rsidR="008B7F7D">
        <w:rPr>
          <w:sz w:val="24"/>
          <w:szCs w:val="24"/>
        </w:rPr>
        <w:t>S</w:t>
      </w:r>
      <w:r w:rsidRPr="0012400D">
        <w:rPr>
          <w:sz w:val="24"/>
          <w:szCs w:val="24"/>
        </w:rPr>
        <w:t xml:space="preserve">tates to compile existing data and complete the State of Federal Land Payments </w:t>
      </w:r>
      <w:r w:rsidR="002B737E">
        <w:rPr>
          <w:sz w:val="24"/>
          <w:szCs w:val="24"/>
        </w:rPr>
        <w:t>data on the PILT Portal</w:t>
      </w:r>
      <w:r w:rsidRPr="0012400D">
        <w:rPr>
          <w:sz w:val="24"/>
          <w:szCs w:val="24"/>
        </w:rPr>
        <w:t xml:space="preserve">. </w:t>
      </w:r>
      <w:r w:rsidRPr="0012400D">
        <w:rPr>
          <w:sz w:val="24"/>
          <w:szCs w:val="24"/>
        </w:rPr>
        <w:t>Respondents incur no annual capital or startup costs to prepare for or respond to the information collection</w:t>
      </w:r>
      <w:r w:rsidRPr="0012400D">
        <w:rPr>
          <w:sz w:val="24"/>
          <w:szCs w:val="24"/>
        </w:rPr>
        <w:t>, nor are any operations and maintenance costs incurred</w:t>
      </w:r>
      <w:r w:rsidRPr="0012400D">
        <w:rPr>
          <w:sz w:val="24"/>
          <w:szCs w:val="24"/>
        </w:rPr>
        <w:t>. Respondents do no</w:t>
      </w:r>
      <w:r w:rsidRPr="0012400D" w:rsidR="003F4A5E">
        <w:rPr>
          <w:sz w:val="24"/>
          <w:szCs w:val="24"/>
        </w:rPr>
        <w:t>t</w:t>
      </w:r>
      <w:r w:rsidRPr="0012400D">
        <w:rPr>
          <w:sz w:val="24"/>
          <w:szCs w:val="24"/>
        </w:rPr>
        <w:t xml:space="preserve"> need to purchase any </w:t>
      </w:r>
      <w:r w:rsidR="002B737E">
        <w:rPr>
          <w:sz w:val="24"/>
          <w:szCs w:val="24"/>
        </w:rPr>
        <w:t xml:space="preserve">additional </w:t>
      </w:r>
      <w:r w:rsidRPr="0012400D">
        <w:rPr>
          <w:sz w:val="24"/>
          <w:szCs w:val="24"/>
        </w:rPr>
        <w:t xml:space="preserve">computer software </w:t>
      </w:r>
      <w:r w:rsidRPr="0012400D" w:rsidR="008B7F7D">
        <w:rPr>
          <w:sz w:val="24"/>
          <w:szCs w:val="24"/>
        </w:rPr>
        <w:t xml:space="preserve">or </w:t>
      </w:r>
      <w:r w:rsidRPr="0012400D">
        <w:rPr>
          <w:sz w:val="24"/>
          <w:szCs w:val="24"/>
        </w:rPr>
        <w:t>hardware to comply wit</w:t>
      </w:r>
      <w:r w:rsidRPr="0012400D" w:rsidR="007E786E">
        <w:rPr>
          <w:sz w:val="24"/>
          <w:szCs w:val="24"/>
        </w:rPr>
        <w:t>h this information collection.</w:t>
      </w:r>
      <w:r w:rsidRPr="0012400D" w:rsidR="00EB6BA4">
        <w:rPr>
          <w:sz w:val="24"/>
          <w:szCs w:val="24"/>
        </w:rPr>
        <w:t xml:space="preserve"> </w:t>
      </w:r>
      <w:r w:rsidRPr="0012400D" w:rsidR="007E786E">
        <w:rPr>
          <w:sz w:val="24"/>
          <w:szCs w:val="24"/>
        </w:rPr>
        <w:t>T</w:t>
      </w:r>
      <w:r w:rsidRPr="0012400D">
        <w:rPr>
          <w:sz w:val="24"/>
          <w:szCs w:val="24"/>
        </w:rPr>
        <w:t>he Office of the Secretary does not require respondents to pay any filing fees.</w:t>
      </w:r>
    </w:p>
    <w:p w:rsidR="004B73AE" w:rsidRPr="0012400D" w:rsidP="00634EA2" w14:paraId="5D4823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rsidR="0060758B" w:rsidRPr="00B95B0F" w:rsidP="00634EA2" w14:paraId="3386D7EB" w14:textId="0647CA7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b/>
          <w:bCs/>
          <w:sz w:val="24"/>
          <w:szCs w:val="24"/>
        </w:rPr>
      </w:pPr>
      <w:r w:rsidRPr="00B95B0F">
        <w:rPr>
          <w:b/>
          <w:bCs/>
          <w:sz w:val="24"/>
          <w:szCs w:val="24"/>
        </w:rPr>
        <w:t>14.</w:t>
      </w:r>
      <w:r w:rsidRPr="00B95B0F">
        <w:rPr>
          <w:b/>
          <w:bCs/>
          <w:sz w:val="24"/>
          <w:szCs w:val="24"/>
        </w:rPr>
        <w:tab/>
        <w:t>Provide estimates of annualized cost to the Federal government.</w:t>
      </w:r>
      <w:r w:rsidRPr="00B95B0F" w:rsidR="00EB6BA4">
        <w:rPr>
          <w:b/>
          <w:bCs/>
          <w:sz w:val="24"/>
          <w:szCs w:val="24"/>
        </w:rPr>
        <w:t xml:space="preserve"> </w:t>
      </w:r>
      <w:r w:rsidRPr="00B95B0F">
        <w:rPr>
          <w:b/>
          <w:bCs/>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Pr="00B95B0F">
        <w:rPr>
          <w:b/>
          <w:bCs/>
          <w:sz w:val="24"/>
          <w:szCs w:val="24"/>
        </w:rPr>
        <w:t xml:space="preserve">his collection of information. </w:t>
      </w:r>
    </w:p>
    <w:p w:rsidR="004B73AE" w:rsidRPr="0012400D" w:rsidP="008D315E" w14:paraId="571613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sz w:val="24"/>
          <w:szCs w:val="24"/>
        </w:rPr>
      </w:pPr>
    </w:p>
    <w:p w:rsidR="0060758B" w:rsidRPr="0012400D" w:rsidP="008D315E" w14:paraId="0504AF53" w14:textId="2A2FB2CE">
      <w:pPr>
        <w:widowControl/>
        <w:spacing w:line="276" w:lineRule="auto"/>
        <w:ind w:left="360"/>
        <w:rPr>
          <w:sz w:val="24"/>
          <w:szCs w:val="24"/>
        </w:rPr>
      </w:pPr>
      <w:r w:rsidRPr="002664F2">
        <w:rPr>
          <w:sz w:val="24"/>
          <w:szCs w:val="24"/>
        </w:rPr>
        <w:t xml:space="preserve">The Office of the Secretary estimates that it takes approximately </w:t>
      </w:r>
      <w:r w:rsidRPr="002664F2" w:rsidR="00D454F0">
        <w:rPr>
          <w:sz w:val="24"/>
          <w:szCs w:val="24"/>
        </w:rPr>
        <w:t>10</w:t>
      </w:r>
      <w:r w:rsidRPr="002664F2">
        <w:rPr>
          <w:sz w:val="24"/>
          <w:szCs w:val="24"/>
        </w:rPr>
        <w:t xml:space="preserve"> hours per report to </w:t>
      </w:r>
      <w:r w:rsidRPr="002664F2" w:rsidR="007C5EED">
        <w:rPr>
          <w:sz w:val="24"/>
          <w:szCs w:val="24"/>
        </w:rPr>
        <w:t>review/</w:t>
      </w:r>
      <w:r w:rsidRPr="002664F2">
        <w:rPr>
          <w:sz w:val="24"/>
          <w:szCs w:val="24"/>
        </w:rPr>
        <w:t>analyze</w:t>
      </w:r>
      <w:r w:rsidRPr="002664F2" w:rsidR="007C5EED">
        <w:rPr>
          <w:sz w:val="24"/>
          <w:szCs w:val="24"/>
        </w:rPr>
        <w:t>/validate</w:t>
      </w:r>
      <w:r w:rsidRPr="002664F2">
        <w:rPr>
          <w:sz w:val="24"/>
          <w:szCs w:val="24"/>
        </w:rPr>
        <w:t xml:space="preserve"> the </w:t>
      </w:r>
      <w:r w:rsidRPr="002664F2" w:rsidR="007C5EED">
        <w:rPr>
          <w:sz w:val="24"/>
          <w:szCs w:val="24"/>
        </w:rPr>
        <w:t xml:space="preserve">certification packages </w:t>
      </w:r>
      <w:r w:rsidRPr="002664F2">
        <w:rPr>
          <w:sz w:val="24"/>
          <w:szCs w:val="24"/>
        </w:rPr>
        <w:t>received</w:t>
      </w:r>
      <w:r w:rsidRPr="002664F2" w:rsidR="007C5EED">
        <w:rPr>
          <w:sz w:val="24"/>
          <w:szCs w:val="24"/>
        </w:rPr>
        <w:t>, request clarification (as needed)</w:t>
      </w:r>
      <w:r w:rsidRPr="002664F2">
        <w:rPr>
          <w:sz w:val="24"/>
          <w:szCs w:val="24"/>
        </w:rPr>
        <w:t xml:space="preserve"> from the </w:t>
      </w:r>
      <w:r w:rsidRPr="002664F2" w:rsidR="007C5EED">
        <w:rPr>
          <w:sz w:val="24"/>
          <w:szCs w:val="24"/>
        </w:rPr>
        <w:t xml:space="preserve">State, upload the data into the PILT database, and </w:t>
      </w:r>
      <w:r w:rsidRPr="002664F2">
        <w:rPr>
          <w:sz w:val="24"/>
          <w:szCs w:val="24"/>
        </w:rPr>
        <w:t xml:space="preserve">verify </w:t>
      </w:r>
      <w:r w:rsidRPr="002664F2" w:rsidR="007C5EED">
        <w:rPr>
          <w:sz w:val="24"/>
          <w:szCs w:val="24"/>
        </w:rPr>
        <w:t>the data entered</w:t>
      </w:r>
      <w:r w:rsidRPr="002664F2">
        <w:rPr>
          <w:sz w:val="24"/>
          <w:szCs w:val="24"/>
        </w:rPr>
        <w:t xml:space="preserve">. </w:t>
      </w:r>
      <w:r w:rsidRPr="002664F2" w:rsidR="00A033D6">
        <w:rPr>
          <w:sz w:val="24"/>
          <w:szCs w:val="24"/>
        </w:rPr>
        <w:t xml:space="preserve">Because </w:t>
      </w:r>
      <w:r w:rsidRPr="002664F2">
        <w:rPr>
          <w:sz w:val="24"/>
          <w:szCs w:val="24"/>
        </w:rPr>
        <w:t>4</w:t>
      </w:r>
      <w:r w:rsidRPr="002664F2" w:rsidR="00B27272">
        <w:rPr>
          <w:sz w:val="24"/>
          <w:szCs w:val="24"/>
        </w:rPr>
        <w:t>6</w:t>
      </w:r>
      <w:r w:rsidRPr="002664F2">
        <w:rPr>
          <w:sz w:val="24"/>
          <w:szCs w:val="24"/>
        </w:rPr>
        <w:t xml:space="preserve"> annual responses</w:t>
      </w:r>
      <w:r w:rsidRPr="002664F2" w:rsidR="00A033D6">
        <w:rPr>
          <w:sz w:val="24"/>
          <w:szCs w:val="24"/>
        </w:rPr>
        <w:t xml:space="preserve"> are expected</w:t>
      </w:r>
      <w:r w:rsidRPr="002664F2">
        <w:rPr>
          <w:sz w:val="24"/>
          <w:szCs w:val="24"/>
        </w:rPr>
        <w:t xml:space="preserve">, this yields </w:t>
      </w:r>
      <w:r w:rsidRPr="002664F2" w:rsidR="00D454F0">
        <w:rPr>
          <w:sz w:val="24"/>
          <w:szCs w:val="24"/>
        </w:rPr>
        <w:t>4</w:t>
      </w:r>
      <w:r w:rsidRPr="002664F2" w:rsidR="00B27272">
        <w:rPr>
          <w:sz w:val="24"/>
          <w:szCs w:val="24"/>
        </w:rPr>
        <w:t>6</w:t>
      </w:r>
      <w:r w:rsidRPr="002664F2" w:rsidR="00D454F0">
        <w:rPr>
          <w:sz w:val="24"/>
          <w:szCs w:val="24"/>
        </w:rPr>
        <w:t>0</w:t>
      </w:r>
      <w:r w:rsidRPr="002664F2">
        <w:rPr>
          <w:sz w:val="24"/>
          <w:szCs w:val="24"/>
        </w:rPr>
        <w:t xml:space="preserve"> hours.</w:t>
      </w:r>
      <w:r w:rsidRPr="002664F2" w:rsidR="00EB6BA4">
        <w:rPr>
          <w:sz w:val="24"/>
          <w:szCs w:val="24"/>
        </w:rPr>
        <w:t xml:space="preserve"> </w:t>
      </w:r>
      <w:r w:rsidRPr="002664F2">
        <w:rPr>
          <w:sz w:val="24"/>
          <w:szCs w:val="24"/>
        </w:rPr>
        <w:t xml:space="preserve">Currently, the work is being performed by </w:t>
      </w:r>
      <w:r w:rsidRPr="002664F2" w:rsidR="00D104F0">
        <w:rPr>
          <w:sz w:val="24"/>
          <w:szCs w:val="24"/>
        </w:rPr>
        <w:t>t</w:t>
      </w:r>
      <w:r w:rsidRPr="002664F2" w:rsidR="00E3132B">
        <w:rPr>
          <w:sz w:val="24"/>
          <w:szCs w:val="24"/>
        </w:rPr>
        <w:t>wo</w:t>
      </w:r>
      <w:r w:rsidRPr="002664F2" w:rsidR="00D104F0">
        <w:rPr>
          <w:sz w:val="24"/>
          <w:szCs w:val="24"/>
        </w:rPr>
        <w:t xml:space="preserve"> federal employees: one</w:t>
      </w:r>
      <w:r w:rsidRPr="002664F2">
        <w:rPr>
          <w:sz w:val="24"/>
          <w:szCs w:val="24"/>
        </w:rPr>
        <w:t xml:space="preserve"> </w:t>
      </w:r>
      <w:r w:rsidRPr="002664F2" w:rsidR="007062E4">
        <w:rPr>
          <w:sz w:val="24"/>
          <w:szCs w:val="24"/>
        </w:rPr>
        <w:t>GS 1</w:t>
      </w:r>
      <w:r w:rsidRPr="002664F2" w:rsidR="007C5EED">
        <w:rPr>
          <w:sz w:val="24"/>
          <w:szCs w:val="24"/>
        </w:rPr>
        <w:t>4</w:t>
      </w:r>
      <w:r w:rsidRPr="002664F2" w:rsidR="007062E4">
        <w:rPr>
          <w:sz w:val="24"/>
          <w:szCs w:val="24"/>
        </w:rPr>
        <w:t xml:space="preserve"> step </w:t>
      </w:r>
      <w:r w:rsidRPr="002664F2" w:rsidR="001F5EEC">
        <w:rPr>
          <w:sz w:val="24"/>
          <w:szCs w:val="24"/>
        </w:rPr>
        <w:t>8</w:t>
      </w:r>
      <w:r w:rsidRPr="002664F2" w:rsidR="007062E4">
        <w:rPr>
          <w:sz w:val="24"/>
          <w:szCs w:val="24"/>
        </w:rPr>
        <w:t xml:space="preserve"> </w:t>
      </w:r>
      <w:r w:rsidRPr="002664F2" w:rsidR="003421C9">
        <w:rPr>
          <w:sz w:val="24"/>
          <w:szCs w:val="24"/>
        </w:rPr>
        <w:t xml:space="preserve">with an estimated </w:t>
      </w:r>
      <w:r w:rsidRPr="002664F2" w:rsidR="0069529D">
        <w:rPr>
          <w:sz w:val="24"/>
          <w:szCs w:val="24"/>
        </w:rPr>
        <w:t xml:space="preserve">loaded </w:t>
      </w:r>
      <w:r w:rsidRPr="002664F2" w:rsidR="003421C9">
        <w:rPr>
          <w:sz w:val="24"/>
          <w:szCs w:val="24"/>
        </w:rPr>
        <w:t xml:space="preserve">salary cost of </w:t>
      </w:r>
      <w:r w:rsidRPr="002664F2" w:rsidR="00C93AA9">
        <w:rPr>
          <w:sz w:val="24"/>
          <w:szCs w:val="24"/>
        </w:rPr>
        <w:t>$109.</w:t>
      </w:r>
      <w:r w:rsidRPr="002664F2" w:rsidR="00505D8A">
        <w:rPr>
          <w:sz w:val="24"/>
          <w:szCs w:val="24"/>
        </w:rPr>
        <w:t>28</w:t>
      </w:r>
      <w:r w:rsidRPr="002664F2" w:rsidR="003421C9">
        <w:rPr>
          <w:sz w:val="24"/>
          <w:szCs w:val="24"/>
        </w:rPr>
        <w:t xml:space="preserve"> per hour</w:t>
      </w:r>
      <w:r w:rsidRPr="002664F2" w:rsidR="007062E4">
        <w:rPr>
          <w:sz w:val="24"/>
          <w:szCs w:val="24"/>
        </w:rPr>
        <w:t xml:space="preserve"> and one GS 14 step </w:t>
      </w:r>
      <w:r w:rsidRPr="002664F2" w:rsidR="001F5EEC">
        <w:rPr>
          <w:sz w:val="24"/>
          <w:szCs w:val="24"/>
        </w:rPr>
        <w:t>1</w:t>
      </w:r>
      <w:r w:rsidRPr="002664F2" w:rsidR="007C5EED">
        <w:rPr>
          <w:sz w:val="24"/>
          <w:szCs w:val="24"/>
        </w:rPr>
        <w:t xml:space="preserve"> </w:t>
      </w:r>
      <w:r w:rsidRPr="002664F2" w:rsidR="003421C9">
        <w:rPr>
          <w:sz w:val="24"/>
          <w:szCs w:val="24"/>
        </w:rPr>
        <w:t xml:space="preserve">with an estimated </w:t>
      </w:r>
      <w:r w:rsidRPr="002664F2" w:rsidR="0069529D">
        <w:rPr>
          <w:sz w:val="24"/>
          <w:szCs w:val="24"/>
        </w:rPr>
        <w:t xml:space="preserve">loaded </w:t>
      </w:r>
      <w:r w:rsidRPr="002664F2" w:rsidR="003421C9">
        <w:rPr>
          <w:sz w:val="24"/>
          <w:szCs w:val="24"/>
        </w:rPr>
        <w:t xml:space="preserve">salary cost of </w:t>
      </w:r>
      <w:r w:rsidRPr="002664F2" w:rsidR="00641FC2">
        <w:rPr>
          <w:sz w:val="24"/>
          <w:szCs w:val="24"/>
        </w:rPr>
        <w:t>$80.76</w:t>
      </w:r>
      <w:r w:rsidRPr="002664F2" w:rsidR="003421C9">
        <w:rPr>
          <w:sz w:val="24"/>
          <w:szCs w:val="24"/>
        </w:rPr>
        <w:t xml:space="preserve"> per hour</w:t>
      </w:r>
      <w:r w:rsidRPr="002664F2" w:rsidR="0069529D">
        <w:rPr>
          <w:sz w:val="24"/>
          <w:szCs w:val="24"/>
        </w:rPr>
        <w:t>.</w:t>
      </w:r>
      <w:r w:rsidRPr="002664F2" w:rsidR="00EB6BA4">
        <w:rPr>
          <w:sz w:val="24"/>
          <w:szCs w:val="24"/>
        </w:rPr>
        <w:t xml:space="preserve"> </w:t>
      </w:r>
      <w:r w:rsidRPr="002664F2" w:rsidR="004231DC">
        <w:rPr>
          <w:sz w:val="24"/>
          <w:szCs w:val="24"/>
        </w:rPr>
        <w:t>Assuming each does half of the work,</w:t>
      </w:r>
      <w:r w:rsidRPr="002664F2">
        <w:rPr>
          <w:sz w:val="24"/>
          <w:szCs w:val="24"/>
        </w:rPr>
        <w:t xml:space="preserve"> </w:t>
      </w:r>
      <w:r w:rsidRPr="002664F2" w:rsidR="004231DC">
        <w:rPr>
          <w:sz w:val="24"/>
          <w:szCs w:val="24"/>
        </w:rPr>
        <w:t>t</w:t>
      </w:r>
      <w:r w:rsidRPr="002664F2">
        <w:rPr>
          <w:sz w:val="24"/>
          <w:szCs w:val="24"/>
        </w:rPr>
        <w:t>his</w:t>
      </w:r>
      <w:r w:rsidRPr="002664F2" w:rsidR="0069529D">
        <w:rPr>
          <w:sz w:val="24"/>
          <w:szCs w:val="24"/>
        </w:rPr>
        <w:t xml:space="preserve"> cost </w:t>
      </w:r>
      <w:r w:rsidRPr="002664F2" w:rsidR="004231DC">
        <w:rPr>
          <w:sz w:val="24"/>
          <w:szCs w:val="24"/>
        </w:rPr>
        <w:t>average</w:t>
      </w:r>
      <w:r w:rsidRPr="002664F2" w:rsidR="003421C9">
        <w:rPr>
          <w:sz w:val="24"/>
          <w:szCs w:val="24"/>
        </w:rPr>
        <w:t>s</w:t>
      </w:r>
      <w:r w:rsidRPr="002664F2" w:rsidR="0069529D">
        <w:rPr>
          <w:sz w:val="24"/>
          <w:szCs w:val="24"/>
        </w:rPr>
        <w:t xml:space="preserve"> to </w:t>
      </w:r>
      <w:r w:rsidRPr="002664F2" w:rsidR="00EB320A">
        <w:rPr>
          <w:sz w:val="24"/>
          <w:szCs w:val="24"/>
        </w:rPr>
        <w:t xml:space="preserve">$95.02 </w:t>
      </w:r>
      <w:r w:rsidRPr="002664F2" w:rsidR="003421C9">
        <w:rPr>
          <w:sz w:val="24"/>
          <w:szCs w:val="24"/>
        </w:rPr>
        <w:t>per hour</w:t>
      </w:r>
      <w:r w:rsidRPr="002664F2" w:rsidR="0069529D">
        <w:rPr>
          <w:sz w:val="24"/>
          <w:szCs w:val="24"/>
        </w:rPr>
        <w:t>.</w:t>
      </w:r>
      <w:r w:rsidRPr="002664F2" w:rsidR="00EB6BA4">
        <w:rPr>
          <w:sz w:val="24"/>
          <w:szCs w:val="24"/>
        </w:rPr>
        <w:t xml:space="preserve"> </w:t>
      </w:r>
      <w:r w:rsidRPr="002664F2" w:rsidR="0069529D">
        <w:rPr>
          <w:sz w:val="24"/>
          <w:szCs w:val="24"/>
        </w:rPr>
        <w:t>Then m</w:t>
      </w:r>
      <w:r w:rsidRPr="002664F2" w:rsidR="003421C9">
        <w:rPr>
          <w:sz w:val="24"/>
          <w:szCs w:val="24"/>
        </w:rPr>
        <w:t>ultiplying</w:t>
      </w:r>
      <w:r w:rsidRPr="002664F2">
        <w:rPr>
          <w:sz w:val="24"/>
          <w:szCs w:val="24"/>
        </w:rPr>
        <w:t xml:space="preserve"> </w:t>
      </w:r>
      <w:r w:rsidRPr="002664F2" w:rsidR="003421C9">
        <w:rPr>
          <w:sz w:val="24"/>
          <w:szCs w:val="24"/>
        </w:rPr>
        <w:t xml:space="preserve">the </w:t>
      </w:r>
      <w:r w:rsidRPr="002664F2" w:rsidR="00EB320A">
        <w:rPr>
          <w:sz w:val="24"/>
          <w:szCs w:val="24"/>
        </w:rPr>
        <w:t xml:space="preserve">$95.02 </w:t>
      </w:r>
      <w:r w:rsidRPr="002664F2" w:rsidR="009D53B8">
        <w:rPr>
          <w:sz w:val="24"/>
          <w:szCs w:val="24"/>
        </w:rPr>
        <w:t xml:space="preserve">hourly </w:t>
      </w:r>
      <w:r w:rsidRPr="002664F2" w:rsidR="003421C9">
        <w:rPr>
          <w:sz w:val="24"/>
          <w:szCs w:val="24"/>
        </w:rPr>
        <w:t xml:space="preserve">rate </w:t>
      </w:r>
      <w:r w:rsidRPr="002664F2">
        <w:rPr>
          <w:sz w:val="24"/>
          <w:szCs w:val="24"/>
        </w:rPr>
        <w:t>by 4</w:t>
      </w:r>
      <w:r w:rsidRPr="002664F2" w:rsidR="00B27272">
        <w:rPr>
          <w:sz w:val="24"/>
          <w:szCs w:val="24"/>
        </w:rPr>
        <w:t>6</w:t>
      </w:r>
      <w:r w:rsidRPr="002664F2">
        <w:rPr>
          <w:sz w:val="24"/>
          <w:szCs w:val="24"/>
        </w:rPr>
        <w:t xml:space="preserve"> responses and by </w:t>
      </w:r>
      <w:r w:rsidRPr="002664F2" w:rsidR="00D454F0">
        <w:rPr>
          <w:sz w:val="24"/>
          <w:szCs w:val="24"/>
        </w:rPr>
        <w:t>10</w:t>
      </w:r>
      <w:r w:rsidRPr="002664F2">
        <w:rPr>
          <w:sz w:val="24"/>
          <w:szCs w:val="24"/>
        </w:rPr>
        <w:t xml:space="preserve"> hours per response, yields a total cost to the Government of $</w:t>
      </w:r>
      <w:r w:rsidRPr="002664F2" w:rsidR="00E0324C">
        <w:rPr>
          <w:sz w:val="24"/>
          <w:szCs w:val="24"/>
        </w:rPr>
        <w:t>4</w:t>
      </w:r>
      <w:r w:rsidRPr="002664F2" w:rsidR="00E6231B">
        <w:rPr>
          <w:sz w:val="24"/>
          <w:szCs w:val="24"/>
        </w:rPr>
        <w:t>3</w:t>
      </w:r>
      <w:r w:rsidRPr="002664F2" w:rsidR="00E0324C">
        <w:rPr>
          <w:sz w:val="24"/>
          <w:szCs w:val="24"/>
        </w:rPr>
        <w:t>,</w:t>
      </w:r>
      <w:r w:rsidRPr="002664F2" w:rsidR="00E6231B">
        <w:rPr>
          <w:sz w:val="24"/>
          <w:szCs w:val="24"/>
        </w:rPr>
        <w:t>710</w:t>
      </w:r>
      <w:r w:rsidRPr="002664F2" w:rsidR="003421C9">
        <w:rPr>
          <w:sz w:val="24"/>
          <w:szCs w:val="24"/>
        </w:rPr>
        <w:t xml:space="preserve"> (rounded)</w:t>
      </w:r>
      <w:r w:rsidRPr="002664F2">
        <w:rPr>
          <w:sz w:val="24"/>
          <w:szCs w:val="24"/>
        </w:rPr>
        <w:t>.</w:t>
      </w:r>
      <w:r w:rsidRPr="002664F2" w:rsidR="00291A43">
        <w:rPr>
          <w:sz w:val="24"/>
          <w:szCs w:val="24"/>
        </w:rPr>
        <w:t xml:space="preserve">  The</w:t>
      </w:r>
      <w:r w:rsidRPr="002664F2" w:rsidR="00D454F0">
        <w:rPr>
          <w:sz w:val="24"/>
          <w:szCs w:val="24"/>
        </w:rPr>
        <w:t xml:space="preserve"> total cost to the government has </w:t>
      </w:r>
      <w:r w:rsidR="00023BDC">
        <w:rPr>
          <w:sz w:val="24"/>
          <w:szCs w:val="24"/>
        </w:rPr>
        <w:t>changed</w:t>
      </w:r>
      <w:r w:rsidRPr="002664F2" w:rsidR="00D454F0">
        <w:rPr>
          <w:sz w:val="24"/>
          <w:szCs w:val="24"/>
        </w:rPr>
        <w:t xml:space="preserve"> fro</w:t>
      </w:r>
      <w:r w:rsidRPr="002664F2" w:rsidR="00291A43">
        <w:rPr>
          <w:sz w:val="24"/>
          <w:szCs w:val="24"/>
        </w:rPr>
        <w:t xml:space="preserve">m the previous ICR </w:t>
      </w:r>
      <w:r w:rsidR="00775D1D">
        <w:rPr>
          <w:sz w:val="24"/>
          <w:szCs w:val="24"/>
        </w:rPr>
        <w:t>to reflect</w:t>
      </w:r>
      <w:r w:rsidR="00023BDC">
        <w:rPr>
          <w:sz w:val="24"/>
          <w:szCs w:val="24"/>
        </w:rPr>
        <w:t xml:space="preserve"> a decrease in </w:t>
      </w:r>
      <w:r w:rsidR="00C77736">
        <w:rPr>
          <w:sz w:val="24"/>
          <w:szCs w:val="24"/>
        </w:rPr>
        <w:t xml:space="preserve">estimated </w:t>
      </w:r>
      <w:r w:rsidR="00023BDC">
        <w:rPr>
          <w:sz w:val="24"/>
          <w:szCs w:val="24"/>
        </w:rPr>
        <w:t>responses</w:t>
      </w:r>
      <w:r w:rsidR="00C77736">
        <w:rPr>
          <w:sz w:val="24"/>
          <w:szCs w:val="24"/>
        </w:rPr>
        <w:t>,</w:t>
      </w:r>
      <w:r w:rsidR="00775D1D">
        <w:rPr>
          <w:sz w:val="24"/>
          <w:szCs w:val="24"/>
        </w:rPr>
        <w:t xml:space="preserve"> current </w:t>
      </w:r>
      <w:r w:rsidR="00D90CD8">
        <w:rPr>
          <w:sz w:val="24"/>
          <w:szCs w:val="24"/>
        </w:rPr>
        <w:t>staffing</w:t>
      </w:r>
      <w:r w:rsidR="00C77736">
        <w:rPr>
          <w:sz w:val="24"/>
          <w:szCs w:val="24"/>
        </w:rPr>
        <w:t>,</w:t>
      </w:r>
      <w:r w:rsidR="00D90CD8">
        <w:rPr>
          <w:sz w:val="24"/>
          <w:szCs w:val="24"/>
        </w:rPr>
        <w:t xml:space="preserve"> and pay rates</w:t>
      </w:r>
      <w:r w:rsidRPr="002664F2" w:rsidR="00291A43">
        <w:rPr>
          <w:sz w:val="24"/>
          <w:szCs w:val="24"/>
        </w:rPr>
        <w:t xml:space="preserve">. </w:t>
      </w:r>
      <w:r w:rsidRPr="002664F2" w:rsidR="00EB6BA4">
        <w:rPr>
          <w:sz w:val="24"/>
          <w:szCs w:val="24"/>
        </w:rPr>
        <w:t xml:space="preserve"> </w:t>
      </w:r>
      <w:r w:rsidRPr="002664F2" w:rsidR="007062E4">
        <w:rPr>
          <w:sz w:val="24"/>
          <w:szCs w:val="24"/>
        </w:rPr>
        <w:t xml:space="preserve">The latest Federal pay tables were obtained from the OPM </w:t>
      </w:r>
      <w:r w:rsidRPr="002664F2" w:rsidR="00A033D6">
        <w:rPr>
          <w:sz w:val="24"/>
          <w:szCs w:val="24"/>
        </w:rPr>
        <w:t>W</w:t>
      </w:r>
      <w:r w:rsidRPr="002664F2" w:rsidR="007062E4">
        <w:rPr>
          <w:sz w:val="24"/>
          <w:szCs w:val="24"/>
        </w:rPr>
        <w:t>eb site at</w:t>
      </w:r>
      <w:r w:rsidRPr="002664F2" w:rsidR="00EB6BA4">
        <w:rPr>
          <w:sz w:val="24"/>
          <w:szCs w:val="24"/>
        </w:rPr>
        <w:t xml:space="preserve"> </w:t>
      </w:r>
      <w:hyperlink r:id="rId9" w:history="1">
        <w:r w:rsidRPr="002664F2" w:rsidR="005061D8">
          <w:rPr>
            <w:rStyle w:val="Hyperlink"/>
            <w:sz w:val="24"/>
            <w:szCs w:val="24"/>
          </w:rPr>
          <w:t>https://www.opm.gov/policy-data-oversight/pay-leave/salaries-wages/2022/general-schedule/</w:t>
        </w:r>
      </w:hyperlink>
      <w:r w:rsidRPr="0012400D" w:rsidR="005061D8">
        <w:rPr>
          <w:sz w:val="24"/>
          <w:szCs w:val="24"/>
        </w:rPr>
        <w:t>.</w:t>
      </w:r>
    </w:p>
    <w:p w:rsidR="004B73AE" w:rsidRPr="0012400D" w:rsidP="00634EA2" w14:paraId="1FC6B2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highlight w:val="yellow"/>
        </w:rPr>
      </w:pPr>
    </w:p>
    <w:p w:rsidR="00295103" w:rsidRPr="00B95B0F" w:rsidP="00634EA2" w14:paraId="24C676C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b/>
          <w:bCs/>
          <w:sz w:val="24"/>
          <w:szCs w:val="24"/>
        </w:rPr>
      </w:pPr>
      <w:r w:rsidRPr="00B95B0F">
        <w:rPr>
          <w:b/>
          <w:bCs/>
          <w:sz w:val="24"/>
          <w:szCs w:val="24"/>
        </w:rPr>
        <w:t>15.</w:t>
      </w:r>
      <w:r w:rsidRPr="00B95B0F">
        <w:rPr>
          <w:b/>
          <w:bCs/>
          <w:sz w:val="24"/>
          <w:szCs w:val="24"/>
        </w:rPr>
        <w:tab/>
        <w:t xml:space="preserve">Explain the reasons for any program changes or adjustments </w:t>
      </w:r>
      <w:r w:rsidRPr="00B95B0F" w:rsidR="00F73931">
        <w:rPr>
          <w:b/>
          <w:bCs/>
          <w:sz w:val="24"/>
          <w:szCs w:val="24"/>
        </w:rPr>
        <w:t>in hour or cost burden</w:t>
      </w:r>
      <w:r w:rsidRPr="00B95B0F" w:rsidR="0060758B">
        <w:rPr>
          <w:b/>
          <w:bCs/>
          <w:sz w:val="24"/>
          <w:szCs w:val="24"/>
        </w:rPr>
        <w:t>.</w:t>
      </w:r>
    </w:p>
    <w:p w:rsidR="004B73AE" w:rsidRPr="0012400D" w:rsidP="0009659B" w14:paraId="6CC6B5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sz w:val="24"/>
          <w:szCs w:val="24"/>
        </w:rPr>
      </w:pPr>
    </w:p>
    <w:p w:rsidR="004B73AE" w:rsidP="0009659B" w14:paraId="6F9F4765" w14:textId="2019D90A">
      <w:pPr>
        <w:widowControl/>
        <w:spacing w:line="276" w:lineRule="auto"/>
        <w:ind w:left="360"/>
        <w:rPr>
          <w:sz w:val="24"/>
          <w:szCs w:val="24"/>
        </w:rPr>
      </w:pPr>
      <w:r w:rsidRPr="0012400D">
        <w:rPr>
          <w:sz w:val="24"/>
          <w:szCs w:val="24"/>
        </w:rPr>
        <w:t>T</w:t>
      </w:r>
      <w:r w:rsidRPr="0012400D">
        <w:rPr>
          <w:sz w:val="24"/>
          <w:szCs w:val="24"/>
        </w:rPr>
        <w:t>he administration of this information collection</w:t>
      </w:r>
      <w:r w:rsidRPr="0012400D">
        <w:rPr>
          <w:sz w:val="24"/>
          <w:szCs w:val="24"/>
        </w:rPr>
        <w:t xml:space="preserve"> </w:t>
      </w:r>
      <w:r w:rsidR="00395C40">
        <w:rPr>
          <w:sz w:val="24"/>
          <w:szCs w:val="24"/>
        </w:rPr>
        <w:t>changed only in that the information will now be collected electronically. The information requested stays the same.</w:t>
      </w:r>
      <w:r w:rsidRPr="0012400D">
        <w:rPr>
          <w:sz w:val="24"/>
          <w:szCs w:val="24"/>
        </w:rPr>
        <w:t>,</w:t>
      </w:r>
      <w:r w:rsidRPr="0012400D">
        <w:rPr>
          <w:sz w:val="24"/>
          <w:szCs w:val="24"/>
        </w:rPr>
        <w:t xml:space="preserve"> </w:t>
      </w:r>
      <w:r w:rsidR="00395C40">
        <w:rPr>
          <w:sz w:val="24"/>
          <w:szCs w:val="24"/>
        </w:rPr>
        <w:t>T</w:t>
      </w:r>
      <w:r w:rsidRPr="0012400D">
        <w:rPr>
          <w:sz w:val="24"/>
          <w:szCs w:val="24"/>
        </w:rPr>
        <w:t xml:space="preserve">he hour burden increased due to </w:t>
      </w:r>
      <w:r w:rsidRPr="0012400D">
        <w:rPr>
          <w:sz w:val="24"/>
          <w:szCs w:val="24"/>
        </w:rPr>
        <w:t>an adjustment in the current estimate of time pro</w:t>
      </w:r>
      <w:r w:rsidRPr="0012400D" w:rsidR="003F4A5E">
        <w:rPr>
          <w:sz w:val="24"/>
          <w:szCs w:val="24"/>
        </w:rPr>
        <w:t>vided by the S</w:t>
      </w:r>
      <w:r w:rsidRPr="0012400D">
        <w:rPr>
          <w:sz w:val="24"/>
          <w:szCs w:val="24"/>
        </w:rPr>
        <w:t>tates.</w:t>
      </w:r>
      <w:r w:rsidRPr="0012400D" w:rsidR="00EB6BA4">
        <w:rPr>
          <w:sz w:val="24"/>
          <w:szCs w:val="24"/>
        </w:rPr>
        <w:t xml:space="preserve"> </w:t>
      </w:r>
    </w:p>
    <w:p w:rsidR="000E4403" w:rsidRPr="0012400D" w:rsidP="00634EA2" w14:paraId="322D3458" w14:textId="77777777">
      <w:pPr>
        <w:widowControl/>
        <w:spacing w:line="276" w:lineRule="auto"/>
        <w:rPr>
          <w:sz w:val="24"/>
          <w:szCs w:val="24"/>
        </w:rPr>
      </w:pPr>
    </w:p>
    <w:p w:rsidR="00295103" w:rsidRPr="00B95B0F" w:rsidP="00634EA2" w14:paraId="4C82CFB2" w14:textId="472D8A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b/>
          <w:bCs/>
          <w:sz w:val="24"/>
          <w:szCs w:val="24"/>
        </w:rPr>
      </w:pPr>
      <w:r w:rsidRPr="00B95B0F">
        <w:rPr>
          <w:b/>
          <w:bCs/>
          <w:sz w:val="24"/>
          <w:szCs w:val="24"/>
        </w:rPr>
        <w:t>16.</w:t>
      </w:r>
      <w:r w:rsidRPr="00B95B0F">
        <w:rPr>
          <w:b/>
          <w:bCs/>
          <w:sz w:val="24"/>
          <w:szCs w:val="24"/>
        </w:rPr>
        <w:tab/>
        <w:t>For collections of information whose results will be published, outline plans for tabulation and publication.</w:t>
      </w:r>
      <w:r w:rsidRPr="00B95B0F" w:rsidR="00EB6BA4">
        <w:rPr>
          <w:b/>
          <w:bCs/>
          <w:sz w:val="24"/>
          <w:szCs w:val="24"/>
        </w:rPr>
        <w:t xml:space="preserve"> </w:t>
      </w:r>
      <w:r w:rsidRPr="00B95B0F">
        <w:rPr>
          <w:b/>
          <w:bCs/>
          <w:sz w:val="24"/>
          <w:szCs w:val="24"/>
        </w:rPr>
        <w:t>Address any complex analytical techniques that will be used.</w:t>
      </w:r>
      <w:r w:rsidRPr="00B95B0F" w:rsidR="00EB6BA4">
        <w:rPr>
          <w:b/>
          <w:bCs/>
          <w:sz w:val="24"/>
          <w:szCs w:val="24"/>
        </w:rPr>
        <w:t xml:space="preserve"> </w:t>
      </w:r>
      <w:r w:rsidRPr="00B95B0F">
        <w:rPr>
          <w:b/>
          <w:bCs/>
          <w:sz w:val="24"/>
          <w:szCs w:val="24"/>
        </w:rPr>
        <w:t>Provide the time schedule for the entire project, including beginning and ending dates of the collection of information, completion of report, publication dates, and other actions.</w:t>
      </w:r>
    </w:p>
    <w:p w:rsidR="00295103" w:rsidRPr="0012400D" w:rsidP="00634EA2" w14:paraId="5166CF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rsidR="004B73AE" w:rsidRPr="0012400D" w:rsidP="00876016" w14:paraId="7045B4BC" w14:textId="10EDC5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sz w:val="24"/>
          <w:szCs w:val="24"/>
        </w:rPr>
      </w:pPr>
      <w:r w:rsidRPr="0012400D">
        <w:rPr>
          <w:sz w:val="24"/>
          <w:szCs w:val="24"/>
        </w:rPr>
        <w:t xml:space="preserve">The information collected </w:t>
      </w:r>
      <w:r w:rsidRPr="0012400D" w:rsidR="00876016">
        <w:rPr>
          <w:sz w:val="24"/>
          <w:szCs w:val="24"/>
        </w:rPr>
        <w:t>because of</w:t>
      </w:r>
      <w:r w:rsidRPr="0012400D">
        <w:rPr>
          <w:sz w:val="24"/>
          <w:szCs w:val="24"/>
        </w:rPr>
        <w:t xml:space="preserve"> this information collection will not be published</w:t>
      </w:r>
      <w:r w:rsidRPr="0012400D" w:rsidR="002C3BAD">
        <w:rPr>
          <w:sz w:val="24"/>
          <w:szCs w:val="24"/>
        </w:rPr>
        <w:t xml:space="preserve"> in its original format. The Department published a summary of all prior year payment data as part of the PILT annual report. </w:t>
      </w:r>
    </w:p>
    <w:p w:rsidR="004B73AE" w:rsidRPr="0012400D" w:rsidP="00634EA2" w14:paraId="3D3387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rsidR="00295103" w:rsidRPr="00B95B0F" w:rsidP="00634EA2" w14:paraId="7CDCA00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b/>
          <w:bCs/>
          <w:sz w:val="24"/>
          <w:szCs w:val="24"/>
        </w:rPr>
      </w:pPr>
      <w:r w:rsidRPr="00B95B0F">
        <w:rPr>
          <w:b/>
          <w:bCs/>
          <w:sz w:val="24"/>
          <w:szCs w:val="24"/>
        </w:rPr>
        <w:t>17.</w:t>
      </w:r>
      <w:r w:rsidRPr="00B95B0F">
        <w:rPr>
          <w:b/>
          <w:bCs/>
          <w:sz w:val="24"/>
          <w:szCs w:val="24"/>
        </w:rPr>
        <w:tab/>
        <w:t>If seeking approval to not display the expiration date for OMB approval of the information collection, explain the reasons that display would be inappropriate.</w:t>
      </w:r>
    </w:p>
    <w:p w:rsidR="00295103" w:rsidRPr="0012400D" w:rsidP="00634EA2" w14:paraId="36F3EA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rsidR="004B73AE" w:rsidRPr="0012400D" w:rsidP="00876016" w14:paraId="467B3F41" w14:textId="77777777">
      <w:pPr>
        <w:widowControl/>
        <w:spacing w:line="276" w:lineRule="auto"/>
        <w:ind w:left="360"/>
        <w:rPr>
          <w:sz w:val="24"/>
          <w:szCs w:val="24"/>
        </w:rPr>
      </w:pPr>
      <w:r w:rsidRPr="0012400D">
        <w:rPr>
          <w:sz w:val="24"/>
          <w:szCs w:val="24"/>
        </w:rPr>
        <w:t>The Office of the Secretary plans to continue display of the appropriate expiration date for this information collection.</w:t>
      </w:r>
    </w:p>
    <w:p w:rsidR="004B73AE" w:rsidRPr="0012400D" w:rsidP="00634EA2" w14:paraId="013674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sz w:val="24"/>
          <w:szCs w:val="24"/>
        </w:rPr>
      </w:pPr>
    </w:p>
    <w:p w:rsidR="00295103" w:rsidRPr="00B95B0F" w:rsidP="00634EA2" w14:paraId="211BB04A" w14:textId="70BD8AA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hanging="360"/>
        <w:rPr>
          <w:b/>
          <w:bCs/>
          <w:sz w:val="24"/>
          <w:szCs w:val="24"/>
        </w:rPr>
      </w:pPr>
      <w:r w:rsidRPr="00B95B0F">
        <w:rPr>
          <w:b/>
          <w:bCs/>
          <w:sz w:val="24"/>
          <w:szCs w:val="24"/>
        </w:rPr>
        <w:t>18.</w:t>
      </w:r>
      <w:r w:rsidRPr="00B95B0F">
        <w:rPr>
          <w:b/>
          <w:bCs/>
          <w:sz w:val="24"/>
          <w:szCs w:val="24"/>
        </w:rPr>
        <w:tab/>
        <w:t xml:space="preserve">Explain each exception to the </w:t>
      </w:r>
      <w:r w:rsidRPr="00B95B0F" w:rsidR="005D39A7">
        <w:rPr>
          <w:b/>
          <w:bCs/>
          <w:sz w:val="24"/>
          <w:szCs w:val="24"/>
        </w:rPr>
        <w:t xml:space="preserve">topics of the </w:t>
      </w:r>
      <w:r w:rsidRPr="00B95B0F">
        <w:rPr>
          <w:b/>
          <w:bCs/>
          <w:sz w:val="24"/>
          <w:szCs w:val="24"/>
        </w:rPr>
        <w:t xml:space="preserve">certification statement identified in </w:t>
      </w:r>
      <w:r w:rsidRPr="00B95B0F" w:rsidR="00EB6BA4">
        <w:rPr>
          <w:b/>
          <w:bCs/>
          <w:sz w:val="24"/>
          <w:szCs w:val="24"/>
        </w:rPr>
        <w:t>“</w:t>
      </w:r>
      <w:r w:rsidRPr="00B95B0F">
        <w:rPr>
          <w:b/>
          <w:bCs/>
          <w:sz w:val="24"/>
          <w:szCs w:val="24"/>
        </w:rPr>
        <w:t>Certification for Paperwork Reduction Act Submissions</w:t>
      </w:r>
      <w:r w:rsidRPr="00B95B0F" w:rsidR="005D39A7">
        <w:rPr>
          <w:b/>
          <w:bCs/>
          <w:sz w:val="24"/>
          <w:szCs w:val="24"/>
        </w:rPr>
        <w:t>.</w:t>
      </w:r>
      <w:r w:rsidRPr="00B95B0F" w:rsidR="00EB6BA4">
        <w:rPr>
          <w:b/>
          <w:bCs/>
          <w:sz w:val="24"/>
          <w:szCs w:val="24"/>
        </w:rPr>
        <w:t>”</w:t>
      </w:r>
    </w:p>
    <w:p w:rsidR="00295103" w:rsidRPr="0012400D" w:rsidP="00876016" w14:paraId="3E46D4CF" w14:textId="6C10F860">
      <w:pPr>
        <w:widowControl/>
        <w:spacing w:line="276" w:lineRule="auto"/>
        <w:ind w:left="360"/>
        <w:rPr>
          <w:sz w:val="24"/>
          <w:szCs w:val="24"/>
        </w:rPr>
      </w:pPr>
      <w:r w:rsidRPr="0012400D">
        <w:rPr>
          <w:sz w:val="24"/>
          <w:szCs w:val="24"/>
        </w:rPr>
        <w:br/>
      </w:r>
      <w:r w:rsidRPr="0012400D" w:rsidR="000C02E5">
        <w:rPr>
          <w:sz w:val="24"/>
          <w:szCs w:val="24"/>
        </w:rPr>
        <w:t>N</w:t>
      </w:r>
      <w:r w:rsidRPr="0012400D">
        <w:rPr>
          <w:sz w:val="24"/>
          <w:szCs w:val="24"/>
        </w:rPr>
        <w:t xml:space="preserve">o exceptions to </w:t>
      </w:r>
      <w:r w:rsidRPr="0012400D" w:rsidR="00690B48">
        <w:rPr>
          <w:sz w:val="24"/>
          <w:szCs w:val="24"/>
        </w:rPr>
        <w:t>the</w:t>
      </w:r>
      <w:r w:rsidRPr="0012400D">
        <w:rPr>
          <w:sz w:val="24"/>
          <w:szCs w:val="24"/>
        </w:rPr>
        <w:t xml:space="preserve"> Certification for Paperwork Reduction Act submissions</w:t>
      </w:r>
      <w:r w:rsidRPr="0012400D" w:rsidR="000C02E5">
        <w:rPr>
          <w:sz w:val="24"/>
          <w:szCs w:val="24"/>
        </w:rPr>
        <w:t xml:space="preserve"> are requested</w:t>
      </w:r>
      <w:r w:rsidRPr="0012400D">
        <w:rPr>
          <w:sz w:val="24"/>
          <w:szCs w:val="24"/>
        </w:rPr>
        <w:t>.</w:t>
      </w:r>
    </w:p>
    <w:sectPr>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3774C3"/>
    <w:multiLevelType w:val="hybridMultilevel"/>
    <w:tmpl w:val="4EB87EB2"/>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1">
    <w:nsid w:val="14C04FC8"/>
    <w:multiLevelType w:val="hybridMultilevel"/>
    <w:tmpl w:val="E6A60C46"/>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2">
    <w:nsid w:val="1F4B374F"/>
    <w:multiLevelType w:val="hybridMultilevel"/>
    <w:tmpl w:val="872C20F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84C6DC2"/>
    <w:multiLevelType w:val="hybridMultilevel"/>
    <w:tmpl w:val="F5FEA0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4A4C8C"/>
    <w:multiLevelType w:val="hybridMultilevel"/>
    <w:tmpl w:val="CA9A261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8453894"/>
    <w:multiLevelType w:val="hybridMultilevel"/>
    <w:tmpl w:val="57CA62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E2972E3"/>
    <w:multiLevelType w:val="hybridMultilevel"/>
    <w:tmpl w:val="6B3A13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5DA7613"/>
    <w:multiLevelType w:val="hybridMultilevel"/>
    <w:tmpl w:val="33AA6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8E65935"/>
    <w:multiLevelType w:val="hybridMultilevel"/>
    <w:tmpl w:val="0D78F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FFC41EC"/>
    <w:multiLevelType w:val="hybridMultilevel"/>
    <w:tmpl w:val="A364A1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7"/>
  </w:num>
  <w:num w:numId="5">
    <w:abstractNumId w:val="9"/>
  </w:num>
  <w:num w:numId="6">
    <w:abstractNumId w:val="4"/>
  </w:num>
  <w:num w:numId="7">
    <w:abstractNumId w:val="3"/>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10F02"/>
    <w:rsid w:val="00014C8F"/>
    <w:rsid w:val="000209EF"/>
    <w:rsid w:val="0002203C"/>
    <w:rsid w:val="00023BDC"/>
    <w:rsid w:val="000257C8"/>
    <w:rsid w:val="00026233"/>
    <w:rsid w:val="000266A5"/>
    <w:rsid w:val="00033E43"/>
    <w:rsid w:val="00042243"/>
    <w:rsid w:val="00046CAC"/>
    <w:rsid w:val="00063887"/>
    <w:rsid w:val="00064483"/>
    <w:rsid w:val="00077C5D"/>
    <w:rsid w:val="00090749"/>
    <w:rsid w:val="00091379"/>
    <w:rsid w:val="0009659B"/>
    <w:rsid w:val="000B3B95"/>
    <w:rsid w:val="000B54A9"/>
    <w:rsid w:val="000C02E5"/>
    <w:rsid w:val="000D77ED"/>
    <w:rsid w:val="000E4403"/>
    <w:rsid w:val="000F1C17"/>
    <w:rsid w:val="000F3AF1"/>
    <w:rsid w:val="000F401D"/>
    <w:rsid w:val="000F524A"/>
    <w:rsid w:val="00112B46"/>
    <w:rsid w:val="00116ED9"/>
    <w:rsid w:val="00122210"/>
    <w:rsid w:val="0012400D"/>
    <w:rsid w:val="001324FF"/>
    <w:rsid w:val="00152A73"/>
    <w:rsid w:val="00162B02"/>
    <w:rsid w:val="00166C90"/>
    <w:rsid w:val="00172CA8"/>
    <w:rsid w:val="00173A03"/>
    <w:rsid w:val="0018091F"/>
    <w:rsid w:val="00183140"/>
    <w:rsid w:val="00183E12"/>
    <w:rsid w:val="001943C6"/>
    <w:rsid w:val="001A5115"/>
    <w:rsid w:val="001A61AA"/>
    <w:rsid w:val="001B5799"/>
    <w:rsid w:val="001C4BB9"/>
    <w:rsid w:val="001D78F8"/>
    <w:rsid w:val="001E1C09"/>
    <w:rsid w:val="001E70AB"/>
    <w:rsid w:val="001F149E"/>
    <w:rsid w:val="001F4113"/>
    <w:rsid w:val="001F5EB5"/>
    <w:rsid w:val="001F5EEC"/>
    <w:rsid w:val="001F67EC"/>
    <w:rsid w:val="00203A90"/>
    <w:rsid w:val="00213674"/>
    <w:rsid w:val="00213BF4"/>
    <w:rsid w:val="002173D5"/>
    <w:rsid w:val="00225AB4"/>
    <w:rsid w:val="00230828"/>
    <w:rsid w:val="0024652F"/>
    <w:rsid w:val="00247BCE"/>
    <w:rsid w:val="002664F2"/>
    <w:rsid w:val="00273C23"/>
    <w:rsid w:val="00276E0A"/>
    <w:rsid w:val="002844B9"/>
    <w:rsid w:val="00291A43"/>
    <w:rsid w:val="00295103"/>
    <w:rsid w:val="00296B70"/>
    <w:rsid w:val="00297C55"/>
    <w:rsid w:val="00297DD6"/>
    <w:rsid w:val="002A49A7"/>
    <w:rsid w:val="002A5F82"/>
    <w:rsid w:val="002B737E"/>
    <w:rsid w:val="002C3BAD"/>
    <w:rsid w:val="002C40E4"/>
    <w:rsid w:val="002D2C94"/>
    <w:rsid w:val="002D388F"/>
    <w:rsid w:val="002D5724"/>
    <w:rsid w:val="003001E3"/>
    <w:rsid w:val="0030336B"/>
    <w:rsid w:val="00303D23"/>
    <w:rsid w:val="00312BC2"/>
    <w:rsid w:val="00317200"/>
    <w:rsid w:val="003176AC"/>
    <w:rsid w:val="003242F9"/>
    <w:rsid w:val="003254CD"/>
    <w:rsid w:val="00340DDA"/>
    <w:rsid w:val="003421C9"/>
    <w:rsid w:val="003424A5"/>
    <w:rsid w:val="00344C57"/>
    <w:rsid w:val="00352210"/>
    <w:rsid w:val="00364837"/>
    <w:rsid w:val="00366FA3"/>
    <w:rsid w:val="00367AE7"/>
    <w:rsid w:val="003718D2"/>
    <w:rsid w:val="00374049"/>
    <w:rsid w:val="003850D3"/>
    <w:rsid w:val="00387365"/>
    <w:rsid w:val="00394C1A"/>
    <w:rsid w:val="00395C40"/>
    <w:rsid w:val="0039774A"/>
    <w:rsid w:val="003B683D"/>
    <w:rsid w:val="003B70FD"/>
    <w:rsid w:val="003C3292"/>
    <w:rsid w:val="003C5CC8"/>
    <w:rsid w:val="003D4D0B"/>
    <w:rsid w:val="003D6201"/>
    <w:rsid w:val="003F1299"/>
    <w:rsid w:val="003F4A5E"/>
    <w:rsid w:val="003F7C50"/>
    <w:rsid w:val="00401306"/>
    <w:rsid w:val="00403E3D"/>
    <w:rsid w:val="00406EEE"/>
    <w:rsid w:val="00406F3E"/>
    <w:rsid w:val="00417401"/>
    <w:rsid w:val="004231DC"/>
    <w:rsid w:val="0042620C"/>
    <w:rsid w:val="00457146"/>
    <w:rsid w:val="00460983"/>
    <w:rsid w:val="00474C9A"/>
    <w:rsid w:val="00494EFC"/>
    <w:rsid w:val="004A017C"/>
    <w:rsid w:val="004A07A4"/>
    <w:rsid w:val="004A6DFA"/>
    <w:rsid w:val="004B438F"/>
    <w:rsid w:val="004B73AE"/>
    <w:rsid w:val="004C7B00"/>
    <w:rsid w:val="004D6A04"/>
    <w:rsid w:val="004E1E5D"/>
    <w:rsid w:val="004E2048"/>
    <w:rsid w:val="004E2323"/>
    <w:rsid w:val="004F36A0"/>
    <w:rsid w:val="00504624"/>
    <w:rsid w:val="00505D8A"/>
    <w:rsid w:val="005061D8"/>
    <w:rsid w:val="005102CE"/>
    <w:rsid w:val="005119B8"/>
    <w:rsid w:val="005211A9"/>
    <w:rsid w:val="00522AB1"/>
    <w:rsid w:val="00522DD9"/>
    <w:rsid w:val="00525467"/>
    <w:rsid w:val="00526E8C"/>
    <w:rsid w:val="00527908"/>
    <w:rsid w:val="00536EF0"/>
    <w:rsid w:val="00543884"/>
    <w:rsid w:val="00543CB9"/>
    <w:rsid w:val="00546329"/>
    <w:rsid w:val="005471A4"/>
    <w:rsid w:val="0054769C"/>
    <w:rsid w:val="005564E6"/>
    <w:rsid w:val="005734CA"/>
    <w:rsid w:val="0057373F"/>
    <w:rsid w:val="00577B27"/>
    <w:rsid w:val="005823EE"/>
    <w:rsid w:val="00582B74"/>
    <w:rsid w:val="005879CE"/>
    <w:rsid w:val="005A1AF6"/>
    <w:rsid w:val="005C2859"/>
    <w:rsid w:val="005C3048"/>
    <w:rsid w:val="005C329A"/>
    <w:rsid w:val="005D39A7"/>
    <w:rsid w:val="005D7337"/>
    <w:rsid w:val="005E0031"/>
    <w:rsid w:val="005F2ACF"/>
    <w:rsid w:val="005F7DB1"/>
    <w:rsid w:val="00602D43"/>
    <w:rsid w:val="0060758B"/>
    <w:rsid w:val="00611620"/>
    <w:rsid w:val="006124CB"/>
    <w:rsid w:val="006169FC"/>
    <w:rsid w:val="00626AC2"/>
    <w:rsid w:val="00634EA2"/>
    <w:rsid w:val="00641FC2"/>
    <w:rsid w:val="006631DB"/>
    <w:rsid w:val="006718D0"/>
    <w:rsid w:val="00690B48"/>
    <w:rsid w:val="006910A7"/>
    <w:rsid w:val="0069529D"/>
    <w:rsid w:val="006B0544"/>
    <w:rsid w:val="006B76CB"/>
    <w:rsid w:val="006C33E0"/>
    <w:rsid w:val="006C3426"/>
    <w:rsid w:val="006C47D7"/>
    <w:rsid w:val="006C65F5"/>
    <w:rsid w:val="006D3B31"/>
    <w:rsid w:val="006E339F"/>
    <w:rsid w:val="00701C0C"/>
    <w:rsid w:val="00703FD0"/>
    <w:rsid w:val="007062E4"/>
    <w:rsid w:val="0071077D"/>
    <w:rsid w:val="007161C1"/>
    <w:rsid w:val="00723158"/>
    <w:rsid w:val="007261CD"/>
    <w:rsid w:val="007279E9"/>
    <w:rsid w:val="00730494"/>
    <w:rsid w:val="00755BD8"/>
    <w:rsid w:val="00762394"/>
    <w:rsid w:val="00774A57"/>
    <w:rsid w:val="00775D1D"/>
    <w:rsid w:val="007851E9"/>
    <w:rsid w:val="00787E75"/>
    <w:rsid w:val="007901F4"/>
    <w:rsid w:val="007A04F0"/>
    <w:rsid w:val="007B36AA"/>
    <w:rsid w:val="007B42EC"/>
    <w:rsid w:val="007B5BED"/>
    <w:rsid w:val="007C0471"/>
    <w:rsid w:val="007C1DF2"/>
    <w:rsid w:val="007C527D"/>
    <w:rsid w:val="007C5EED"/>
    <w:rsid w:val="007D3026"/>
    <w:rsid w:val="007E21B5"/>
    <w:rsid w:val="007E3C72"/>
    <w:rsid w:val="007E786E"/>
    <w:rsid w:val="008004A3"/>
    <w:rsid w:val="00801452"/>
    <w:rsid w:val="0080268C"/>
    <w:rsid w:val="0081259F"/>
    <w:rsid w:val="00835A3B"/>
    <w:rsid w:val="0085733C"/>
    <w:rsid w:val="00857BA0"/>
    <w:rsid w:val="00860D00"/>
    <w:rsid w:val="00860D89"/>
    <w:rsid w:val="008613BD"/>
    <w:rsid w:val="00862C6E"/>
    <w:rsid w:val="0086546E"/>
    <w:rsid w:val="00876016"/>
    <w:rsid w:val="008A5B9E"/>
    <w:rsid w:val="008A746F"/>
    <w:rsid w:val="008B3CEE"/>
    <w:rsid w:val="008B696B"/>
    <w:rsid w:val="008B7F7D"/>
    <w:rsid w:val="008C1F4D"/>
    <w:rsid w:val="008C40AB"/>
    <w:rsid w:val="008D315E"/>
    <w:rsid w:val="008E2EE3"/>
    <w:rsid w:val="008F5485"/>
    <w:rsid w:val="009118A5"/>
    <w:rsid w:val="00925301"/>
    <w:rsid w:val="00932614"/>
    <w:rsid w:val="00934035"/>
    <w:rsid w:val="0093535B"/>
    <w:rsid w:val="00936ACD"/>
    <w:rsid w:val="00944C21"/>
    <w:rsid w:val="00951F0F"/>
    <w:rsid w:val="00952A34"/>
    <w:rsid w:val="009557A0"/>
    <w:rsid w:val="0095665C"/>
    <w:rsid w:val="00957AAC"/>
    <w:rsid w:val="009611CC"/>
    <w:rsid w:val="00970E3D"/>
    <w:rsid w:val="0097491B"/>
    <w:rsid w:val="00985664"/>
    <w:rsid w:val="00990EE0"/>
    <w:rsid w:val="009A0A44"/>
    <w:rsid w:val="009B359F"/>
    <w:rsid w:val="009C1B8E"/>
    <w:rsid w:val="009D53B8"/>
    <w:rsid w:val="009E34C9"/>
    <w:rsid w:val="00A033D6"/>
    <w:rsid w:val="00A15DF8"/>
    <w:rsid w:val="00A208AE"/>
    <w:rsid w:val="00A25CE6"/>
    <w:rsid w:val="00A30A61"/>
    <w:rsid w:val="00A364FF"/>
    <w:rsid w:val="00A461A7"/>
    <w:rsid w:val="00A47D64"/>
    <w:rsid w:val="00A577A1"/>
    <w:rsid w:val="00A6558E"/>
    <w:rsid w:val="00A669B0"/>
    <w:rsid w:val="00A80508"/>
    <w:rsid w:val="00A95F8F"/>
    <w:rsid w:val="00AA4DEB"/>
    <w:rsid w:val="00AA7128"/>
    <w:rsid w:val="00AC0E06"/>
    <w:rsid w:val="00AC4F22"/>
    <w:rsid w:val="00AD4AFB"/>
    <w:rsid w:val="00AE57C9"/>
    <w:rsid w:val="00AE5811"/>
    <w:rsid w:val="00AF18E4"/>
    <w:rsid w:val="00AF6DF3"/>
    <w:rsid w:val="00B03FD3"/>
    <w:rsid w:val="00B046AF"/>
    <w:rsid w:val="00B162A9"/>
    <w:rsid w:val="00B223F5"/>
    <w:rsid w:val="00B27272"/>
    <w:rsid w:val="00B46BCF"/>
    <w:rsid w:val="00B523B2"/>
    <w:rsid w:val="00B529A2"/>
    <w:rsid w:val="00B61BCA"/>
    <w:rsid w:val="00B70385"/>
    <w:rsid w:val="00B743DA"/>
    <w:rsid w:val="00B81AFA"/>
    <w:rsid w:val="00B82398"/>
    <w:rsid w:val="00B83CB0"/>
    <w:rsid w:val="00B841D3"/>
    <w:rsid w:val="00B94C39"/>
    <w:rsid w:val="00B94CF0"/>
    <w:rsid w:val="00B95A6D"/>
    <w:rsid w:val="00B95B0F"/>
    <w:rsid w:val="00BC04EC"/>
    <w:rsid w:val="00BC1658"/>
    <w:rsid w:val="00BD5FFA"/>
    <w:rsid w:val="00BE0C2A"/>
    <w:rsid w:val="00BE1477"/>
    <w:rsid w:val="00BF0708"/>
    <w:rsid w:val="00BF1BA4"/>
    <w:rsid w:val="00BF7ACE"/>
    <w:rsid w:val="00C02BF9"/>
    <w:rsid w:val="00C0397D"/>
    <w:rsid w:val="00C12D16"/>
    <w:rsid w:val="00C133F9"/>
    <w:rsid w:val="00C26552"/>
    <w:rsid w:val="00C318A6"/>
    <w:rsid w:val="00C4541F"/>
    <w:rsid w:val="00C50DA3"/>
    <w:rsid w:val="00C54224"/>
    <w:rsid w:val="00C55224"/>
    <w:rsid w:val="00C608B8"/>
    <w:rsid w:val="00C60C70"/>
    <w:rsid w:val="00C63958"/>
    <w:rsid w:val="00C7365C"/>
    <w:rsid w:val="00C77736"/>
    <w:rsid w:val="00C93AA9"/>
    <w:rsid w:val="00C93FA0"/>
    <w:rsid w:val="00C9760A"/>
    <w:rsid w:val="00CA4A7D"/>
    <w:rsid w:val="00CA4C20"/>
    <w:rsid w:val="00CA6E24"/>
    <w:rsid w:val="00CB4C37"/>
    <w:rsid w:val="00CC6E8E"/>
    <w:rsid w:val="00CE4EFC"/>
    <w:rsid w:val="00CE641F"/>
    <w:rsid w:val="00D104F0"/>
    <w:rsid w:val="00D16A83"/>
    <w:rsid w:val="00D175E4"/>
    <w:rsid w:val="00D36296"/>
    <w:rsid w:val="00D36BFC"/>
    <w:rsid w:val="00D454F0"/>
    <w:rsid w:val="00D52A34"/>
    <w:rsid w:val="00D56C5A"/>
    <w:rsid w:val="00D64325"/>
    <w:rsid w:val="00D65C89"/>
    <w:rsid w:val="00D855A8"/>
    <w:rsid w:val="00D87EF8"/>
    <w:rsid w:val="00D90501"/>
    <w:rsid w:val="00D90CD8"/>
    <w:rsid w:val="00DA400F"/>
    <w:rsid w:val="00DB2899"/>
    <w:rsid w:val="00DB6CC4"/>
    <w:rsid w:val="00DB7DAF"/>
    <w:rsid w:val="00DC16E4"/>
    <w:rsid w:val="00DC2924"/>
    <w:rsid w:val="00DC384C"/>
    <w:rsid w:val="00DC44EE"/>
    <w:rsid w:val="00DC769D"/>
    <w:rsid w:val="00DE102E"/>
    <w:rsid w:val="00DE1FFE"/>
    <w:rsid w:val="00DE7630"/>
    <w:rsid w:val="00DE78BB"/>
    <w:rsid w:val="00E01FD9"/>
    <w:rsid w:val="00E0324C"/>
    <w:rsid w:val="00E12973"/>
    <w:rsid w:val="00E1691E"/>
    <w:rsid w:val="00E276ED"/>
    <w:rsid w:val="00E30157"/>
    <w:rsid w:val="00E3132B"/>
    <w:rsid w:val="00E35E03"/>
    <w:rsid w:val="00E35EFF"/>
    <w:rsid w:val="00E3660F"/>
    <w:rsid w:val="00E4317D"/>
    <w:rsid w:val="00E45609"/>
    <w:rsid w:val="00E6013B"/>
    <w:rsid w:val="00E60D82"/>
    <w:rsid w:val="00E622EB"/>
    <w:rsid w:val="00E6231B"/>
    <w:rsid w:val="00E66D2D"/>
    <w:rsid w:val="00E9077F"/>
    <w:rsid w:val="00E979CF"/>
    <w:rsid w:val="00EA2B51"/>
    <w:rsid w:val="00EA2DBB"/>
    <w:rsid w:val="00EA563C"/>
    <w:rsid w:val="00EB320A"/>
    <w:rsid w:val="00EB6BA4"/>
    <w:rsid w:val="00EC2747"/>
    <w:rsid w:val="00EC5B7A"/>
    <w:rsid w:val="00EC74B4"/>
    <w:rsid w:val="00ED0E23"/>
    <w:rsid w:val="00ED2F95"/>
    <w:rsid w:val="00EE1C2D"/>
    <w:rsid w:val="00EF1834"/>
    <w:rsid w:val="00F00BA7"/>
    <w:rsid w:val="00F0277F"/>
    <w:rsid w:val="00F057B5"/>
    <w:rsid w:val="00F10D9A"/>
    <w:rsid w:val="00F13A63"/>
    <w:rsid w:val="00F13B7D"/>
    <w:rsid w:val="00F22C99"/>
    <w:rsid w:val="00F233C5"/>
    <w:rsid w:val="00F24B98"/>
    <w:rsid w:val="00F359B1"/>
    <w:rsid w:val="00F5205F"/>
    <w:rsid w:val="00F536F6"/>
    <w:rsid w:val="00F57A8E"/>
    <w:rsid w:val="00F73931"/>
    <w:rsid w:val="00F96D9E"/>
    <w:rsid w:val="00FA7585"/>
    <w:rsid w:val="00FA7E7D"/>
    <w:rsid w:val="00FB7F28"/>
    <w:rsid w:val="00FC0E88"/>
    <w:rsid w:val="00FC6304"/>
    <w:rsid w:val="00FD226A"/>
    <w:rsid w:val="00FD2B60"/>
    <w:rsid w:val="00FD2CBD"/>
    <w:rsid w:val="00FE7149"/>
    <w:rsid w:val="00FE71F9"/>
    <w:rsid w:val="00FF07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FD76162"/>
  <w15:chartTrackingRefBased/>
  <w15:docId w15:val="{5D6A3509-BBC8-4B22-B340-33B29E23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CommentReference">
    <w:name w:val="annotation reference"/>
    <w:uiPriority w:val="99"/>
    <w:semiHidden/>
    <w:unhideWhenUsed/>
    <w:rsid w:val="00A208AE"/>
    <w:rPr>
      <w:sz w:val="16"/>
      <w:szCs w:val="16"/>
    </w:rPr>
  </w:style>
  <w:style w:type="paragraph" w:styleId="CommentText">
    <w:name w:val="annotation text"/>
    <w:basedOn w:val="Normal"/>
    <w:link w:val="CommentTextChar"/>
    <w:uiPriority w:val="99"/>
    <w:semiHidden/>
    <w:unhideWhenUsed/>
    <w:rsid w:val="00A208AE"/>
  </w:style>
  <w:style w:type="character" w:customStyle="1" w:styleId="CommentTextChar">
    <w:name w:val="Comment Text Char"/>
    <w:link w:val="CommentText"/>
    <w:uiPriority w:val="99"/>
    <w:semiHidden/>
    <w:rsid w:val="00A208A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08AE"/>
    <w:rPr>
      <w:b/>
      <w:bCs/>
    </w:rPr>
  </w:style>
  <w:style w:type="character" w:customStyle="1" w:styleId="CommentSubjectChar">
    <w:name w:val="Comment Subject Char"/>
    <w:link w:val="CommentSubject"/>
    <w:uiPriority w:val="99"/>
    <w:semiHidden/>
    <w:rsid w:val="00A208AE"/>
    <w:rPr>
      <w:rFonts w:ascii="Times New Roman" w:hAnsi="Times New Roman"/>
      <w:b/>
      <w:bCs/>
    </w:rPr>
  </w:style>
  <w:style w:type="character" w:styleId="Hyperlink">
    <w:name w:val="Hyperlink"/>
    <w:uiPriority w:val="99"/>
    <w:unhideWhenUsed/>
    <w:rsid w:val="00B162A9"/>
    <w:rPr>
      <w:color w:val="0563C1"/>
      <w:u w:val="single"/>
    </w:rPr>
  </w:style>
  <w:style w:type="paragraph" w:styleId="Header">
    <w:name w:val="header"/>
    <w:basedOn w:val="Normal"/>
    <w:link w:val="HeaderChar"/>
    <w:uiPriority w:val="99"/>
    <w:unhideWhenUsed/>
    <w:rsid w:val="00B162A9"/>
    <w:pPr>
      <w:tabs>
        <w:tab w:val="center" w:pos="4680"/>
        <w:tab w:val="right" w:pos="9360"/>
      </w:tabs>
    </w:pPr>
  </w:style>
  <w:style w:type="character" w:customStyle="1" w:styleId="HeaderChar">
    <w:name w:val="Header Char"/>
    <w:link w:val="Header"/>
    <w:uiPriority w:val="99"/>
    <w:rsid w:val="00B162A9"/>
    <w:rPr>
      <w:rFonts w:ascii="Times New Roman" w:hAnsi="Times New Roman"/>
    </w:rPr>
  </w:style>
  <w:style w:type="paragraph" w:styleId="Footer">
    <w:name w:val="footer"/>
    <w:basedOn w:val="Normal"/>
    <w:link w:val="FooterChar"/>
    <w:uiPriority w:val="99"/>
    <w:unhideWhenUsed/>
    <w:rsid w:val="00B162A9"/>
    <w:pPr>
      <w:tabs>
        <w:tab w:val="center" w:pos="4680"/>
        <w:tab w:val="right" w:pos="9360"/>
      </w:tabs>
    </w:pPr>
  </w:style>
  <w:style w:type="character" w:customStyle="1" w:styleId="FooterChar">
    <w:name w:val="Footer Char"/>
    <w:link w:val="Footer"/>
    <w:uiPriority w:val="99"/>
    <w:rsid w:val="00B162A9"/>
    <w:rPr>
      <w:rFonts w:ascii="Times New Roman" w:hAnsi="Times New Roman"/>
    </w:rPr>
  </w:style>
  <w:style w:type="paragraph" w:styleId="BodyTextIndent2">
    <w:name w:val="Body Text Indent 2"/>
    <w:basedOn w:val="Normal"/>
    <w:link w:val="BodyTextIndent2Char"/>
    <w:uiPriority w:val="99"/>
    <w:unhideWhenUsed/>
    <w:rsid w:val="00B162A9"/>
    <w:pPr>
      <w:spacing w:after="120" w:line="480" w:lineRule="auto"/>
      <w:ind w:left="360"/>
    </w:pPr>
  </w:style>
  <w:style w:type="character" w:customStyle="1" w:styleId="BodyTextIndent2Char">
    <w:name w:val="Body Text Indent 2 Char"/>
    <w:link w:val="BodyTextIndent2"/>
    <w:uiPriority w:val="99"/>
    <w:rsid w:val="00B162A9"/>
    <w:rPr>
      <w:rFonts w:ascii="Times New Roman" w:hAnsi="Times New Roman"/>
    </w:rPr>
  </w:style>
  <w:style w:type="character" w:styleId="FollowedHyperlink">
    <w:name w:val="FollowedHyperlink"/>
    <w:uiPriority w:val="99"/>
    <w:semiHidden/>
    <w:unhideWhenUsed/>
    <w:rsid w:val="007062E4"/>
    <w:rPr>
      <w:color w:val="954F72"/>
      <w:u w:val="single"/>
    </w:rPr>
  </w:style>
  <w:style w:type="paragraph" w:styleId="ListParagraph">
    <w:name w:val="List Paragraph"/>
    <w:basedOn w:val="Normal"/>
    <w:uiPriority w:val="34"/>
    <w:qFormat/>
    <w:rsid w:val="008E2EE3"/>
    <w:pPr>
      <w:ind w:left="720"/>
      <w:contextualSpacing/>
    </w:pPr>
    <w:rPr>
      <w:rFonts w:ascii="Courier" w:hAnsi="Courier"/>
      <w:sz w:val="24"/>
      <w:szCs w:val="24"/>
    </w:rPr>
  </w:style>
  <w:style w:type="character" w:styleId="UnresolvedMention">
    <w:name w:val="Unresolved Mention"/>
    <w:basedOn w:val="DefaultParagraphFont"/>
    <w:uiPriority w:val="99"/>
    <w:semiHidden/>
    <w:unhideWhenUsed/>
    <w:rsid w:val="005061D8"/>
    <w:rPr>
      <w:color w:val="605E5C"/>
      <w:shd w:val="clear" w:color="auto" w:fill="E1DFDD"/>
    </w:rPr>
  </w:style>
  <w:style w:type="table" w:styleId="TableGrid">
    <w:name w:val="Table Grid"/>
    <w:basedOn w:val="TableNormal"/>
    <w:uiPriority w:val="59"/>
    <w:rsid w:val="006C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naics4_999200.htm" TargetMode="External" /><Relationship Id="rId8" Type="http://schemas.openxmlformats.org/officeDocument/2006/relationships/hyperlink" Target="http://www.bls.gov/news.release/pdf/ecec.pdf" TargetMode="External" /><Relationship Id="rId9" Type="http://schemas.openxmlformats.org/officeDocument/2006/relationships/hyperlink" Target="https://www.opm.gov/policy-data-oversight/pay-leave/salaries-wages/2022/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D857E12D7716438746EACFC3738D0C" ma:contentTypeVersion="16" ma:contentTypeDescription="Create a new document." ma:contentTypeScope="" ma:versionID="e85806beffefeed626b0df42737c5b4a">
  <xsd:schema xmlns:xsd="http://www.w3.org/2001/XMLSchema" xmlns:xs="http://www.w3.org/2001/XMLSchema" xmlns:p="http://schemas.microsoft.com/office/2006/metadata/properties" xmlns:ns1="http://schemas.microsoft.com/sharepoint/v3" xmlns:ns2="137cd24b-4df0-48b0-ab1a-e38ec943e6f4" xmlns:ns3="2e1501d5-e187-4e22-99a2-2adcbc463d38" xmlns:ns4="31062a0d-ede8-4112-b4bb-00a9c1bc8e16" targetNamespace="http://schemas.microsoft.com/office/2006/metadata/properties" ma:root="true" ma:fieldsID="3751fa96f99f11664f56d6c8ae5ff1c1" ns1:_="" ns2:_="" ns3:_="" ns4:_="">
    <xsd:import namespace="http://schemas.microsoft.com/sharepoint/v3"/>
    <xsd:import namespace="137cd24b-4df0-48b0-ab1a-e38ec943e6f4"/>
    <xsd:import namespace="2e1501d5-e187-4e22-99a2-2adcbc463d38"/>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7cd24b-4df0-48b0-ab1a-e38ec943e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501d5-e187-4e22-99a2-2adcbc463d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c41cdf1-8788-4be4-ad49-4bd2617d4108}" ma:internalName="TaxCatchAll" ma:showField="CatchAllData" ma:web="2e1501d5-e187-4e22-99a2-2adcbc463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37cd24b-4df0-48b0-ab1a-e38ec943e6f4">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43A4DD79-1975-435F-B8DE-7A48D21C7AD1}">
  <ds:schemaRefs>
    <ds:schemaRef ds:uri="http://schemas.microsoft.com/sharepoint/v3/contenttype/forms"/>
  </ds:schemaRefs>
</ds:datastoreItem>
</file>

<file path=customXml/itemProps2.xml><?xml version="1.0" encoding="utf-8"?>
<ds:datastoreItem xmlns:ds="http://schemas.openxmlformats.org/officeDocument/2006/customXml" ds:itemID="{C2C0CB72-F695-48FF-8FF4-FCE0A2AC3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7cd24b-4df0-48b0-ab1a-e38ec943e6f4"/>
    <ds:schemaRef ds:uri="2e1501d5-e187-4e22-99a2-2adcbc463d3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FF1CFF-829F-46C6-96DC-1CE1D0F0ACE3}">
  <ds:schemaRefs>
    <ds:schemaRef ds:uri="http://schemas.microsoft.com/office/2006/metadata/properties"/>
    <ds:schemaRef ds:uri="http://schemas.microsoft.com/office/infopath/2007/PartnerControls"/>
    <ds:schemaRef ds:uri="http://schemas.microsoft.com/sharepoint/v3"/>
    <ds:schemaRef ds:uri="137cd24b-4df0-48b0-ab1a-e38ec943e6f4"/>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3475</Words>
  <Characters>19812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NBC</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Parrillo, Jeffrey M</cp:lastModifiedBy>
  <cp:revision>5</cp:revision>
  <cp:lastPrinted>2019-06-12T16:11:00Z</cp:lastPrinted>
  <dcterms:created xsi:type="dcterms:W3CDTF">2022-09-12T16:36:00Z</dcterms:created>
  <dcterms:modified xsi:type="dcterms:W3CDTF">2022-09-21T18:11:00Z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0x01010028D857E12D7716438746EACFC3738D0C</vt:lpwstr>
  </property>
  <property fmtid="{D5CDD505-2E9C-101B-9397-08002B2CF9AE}" pid="3" name="lqminfo">
    <vt:i4>1</vt:i4>
  </property>
  <property fmtid="{D5CDD505-2E9C-101B-9397-08002B2CF9AE}" pid="4" name="lqmsess">
    <vt:lpwstr>fd64349f-1ea7-4553-ad17-9f8593ebec27</vt:lpwstr>
  </property>
  <property fmtid="{D5CDD505-2E9C-101B-9397-08002B2CF9AE}" pid="5" name="MediaServiceImageTags">
    <vt:lpwstr/>
  </property>
</Properties>
</file>