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4DED" w:rsidRPr="005A761C" w:rsidP="001105B9" w14:paraId="7D7A25F1" w14:textId="77777777">
      <w:pPr>
        <w:tabs>
          <w:tab w:val="center" w:pos="4680"/>
        </w:tabs>
        <w:jc w:val="center"/>
        <w:rPr>
          <w:sz w:val="22"/>
        </w:rPr>
      </w:pPr>
      <w:r w:rsidRPr="005A761C">
        <w:rPr>
          <w:b/>
          <w:bCs/>
          <w:sz w:val="22"/>
        </w:rPr>
        <w:t>Justification for No Material or Nonsubstantive Change to Currently-Approved Collection</w:t>
      </w:r>
    </w:p>
    <w:p w:rsidR="00F34DED" w:rsidRPr="005A761C" w:rsidP="00F34DED" w14:paraId="520E8DDA" w14:textId="77777777">
      <w:pPr>
        <w:rPr>
          <w:sz w:val="22"/>
        </w:rPr>
      </w:pPr>
    </w:p>
    <w:p w:rsidR="00F34DED" w:rsidRPr="005A761C" w:rsidP="00F34DED" w14:paraId="1364D56A" w14:textId="77777777">
      <w:pPr>
        <w:rPr>
          <w:sz w:val="22"/>
        </w:rPr>
      </w:pPr>
      <w:r w:rsidRPr="005A761C">
        <w:rPr>
          <w:b/>
          <w:bCs/>
          <w:sz w:val="22"/>
        </w:rPr>
        <w:t>AGENCY:</w:t>
      </w:r>
      <w:r w:rsidRPr="005A761C">
        <w:rPr>
          <w:sz w:val="22"/>
        </w:rPr>
        <w:tab/>
        <w:t>Pension Benefit Guaranty Corporation (PBGC)</w:t>
      </w:r>
    </w:p>
    <w:p w:rsidR="00F34DED" w:rsidRPr="005A761C" w:rsidP="00F34DED" w14:paraId="1E5C0898" w14:textId="77777777">
      <w:pPr>
        <w:rPr>
          <w:sz w:val="22"/>
        </w:rPr>
      </w:pPr>
    </w:p>
    <w:p w:rsidR="00F34DED" w:rsidRPr="005A761C" w:rsidP="00F34DED" w14:paraId="4BC274D4" w14:textId="4ED227E8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TITLE:</w:t>
      </w:r>
      <w:r w:rsidRPr="005A761C">
        <w:rPr>
          <w:sz w:val="22"/>
        </w:rPr>
        <w:tab/>
      </w:r>
      <w:r w:rsidR="00F5125C">
        <w:rPr>
          <w:sz w:val="22"/>
        </w:rPr>
        <w:t xml:space="preserve">Termination of </w:t>
      </w:r>
      <w:r w:rsidR="00FD1B21">
        <w:rPr>
          <w:sz w:val="22"/>
        </w:rPr>
        <w:t>Single-Employer Plans</w:t>
      </w:r>
      <w:r w:rsidRPr="007907C4" w:rsidR="007907C4">
        <w:rPr>
          <w:sz w:val="22"/>
        </w:rPr>
        <w:t xml:space="preserve"> </w:t>
      </w:r>
      <w:r w:rsidR="006925E4">
        <w:rPr>
          <w:sz w:val="22"/>
        </w:rPr>
        <w:t>(2</w:t>
      </w:r>
      <w:r w:rsidRPr="006925E4" w:rsidR="006925E4">
        <w:rPr>
          <w:sz w:val="22"/>
        </w:rPr>
        <w:t xml:space="preserve">9 CFR part </w:t>
      </w:r>
      <w:r w:rsidR="00FD1B21">
        <w:rPr>
          <w:sz w:val="22"/>
        </w:rPr>
        <w:t>4041</w:t>
      </w:r>
      <w:r w:rsidR="006925E4">
        <w:rPr>
          <w:sz w:val="22"/>
        </w:rPr>
        <w:t>)</w:t>
      </w:r>
    </w:p>
    <w:p w:rsidR="00F34DED" w:rsidRPr="005A761C" w:rsidP="00F34DED" w14:paraId="7E08B909" w14:textId="77777777">
      <w:pPr>
        <w:rPr>
          <w:sz w:val="22"/>
        </w:rPr>
      </w:pPr>
    </w:p>
    <w:p w:rsidR="00F34DED" w:rsidRPr="005A761C" w:rsidP="00F34DED" w14:paraId="2FAF8E2C" w14:textId="0A29BA81">
      <w:pPr>
        <w:rPr>
          <w:sz w:val="22"/>
        </w:rPr>
      </w:pPr>
      <w:r w:rsidRPr="005A761C">
        <w:rPr>
          <w:b/>
          <w:bCs/>
          <w:sz w:val="22"/>
        </w:rPr>
        <w:t>STATUS:</w:t>
      </w:r>
      <w:r w:rsidRPr="005A761C">
        <w:rPr>
          <w:sz w:val="22"/>
        </w:rPr>
        <w:tab/>
        <w:t>OMB control number 1212</w:t>
      </w:r>
      <w:r w:rsidRPr="005A761C">
        <w:rPr>
          <w:sz w:val="22"/>
        </w:rPr>
        <w:noBreakHyphen/>
        <w:t>00</w:t>
      </w:r>
      <w:r w:rsidR="00FD1B21">
        <w:rPr>
          <w:sz w:val="22"/>
        </w:rPr>
        <w:t>36</w:t>
      </w:r>
      <w:r w:rsidRPr="005A761C">
        <w:rPr>
          <w:sz w:val="22"/>
        </w:rPr>
        <w:t xml:space="preserve">; expires </w:t>
      </w:r>
      <w:r w:rsidR="003D0522">
        <w:rPr>
          <w:sz w:val="22"/>
        </w:rPr>
        <w:t>03/31</w:t>
      </w:r>
      <w:r w:rsidR="00F02A4D">
        <w:rPr>
          <w:sz w:val="22"/>
        </w:rPr>
        <w:t>/2023</w:t>
      </w:r>
    </w:p>
    <w:p w:rsidR="00F34DED" w:rsidRPr="005A761C" w:rsidP="00F34DED" w14:paraId="7CEE0A38" w14:textId="77777777">
      <w:pPr>
        <w:rPr>
          <w:sz w:val="22"/>
        </w:rPr>
      </w:pPr>
    </w:p>
    <w:p w:rsidR="00F34DED" w:rsidRPr="005A761C" w:rsidP="00F34DED" w14:paraId="530AF72F" w14:textId="0087D506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CONTACT:</w:t>
      </w:r>
      <w:r w:rsidRPr="005A761C">
        <w:rPr>
          <w:sz w:val="22"/>
        </w:rPr>
        <w:tab/>
      </w:r>
      <w:r w:rsidR="008625F6">
        <w:rPr>
          <w:sz w:val="22"/>
        </w:rPr>
        <w:t>Stephanie Cibinic</w:t>
      </w:r>
      <w:r w:rsidR="002D2129">
        <w:rPr>
          <w:sz w:val="22"/>
        </w:rPr>
        <w:t xml:space="preserve"> </w:t>
      </w:r>
      <w:r w:rsidRPr="005A761C">
        <w:rPr>
          <w:sz w:val="22"/>
        </w:rPr>
        <w:t>(202-</w:t>
      </w:r>
      <w:r w:rsidR="002856E3">
        <w:rPr>
          <w:sz w:val="22"/>
        </w:rPr>
        <w:t>229-6</w:t>
      </w:r>
      <w:r w:rsidR="00B40DED">
        <w:rPr>
          <w:sz w:val="22"/>
        </w:rPr>
        <w:t>352</w:t>
      </w:r>
      <w:r w:rsidRPr="005A761C">
        <w:rPr>
          <w:sz w:val="22"/>
        </w:rPr>
        <w:t>)</w:t>
      </w:r>
    </w:p>
    <w:p w:rsidR="00F34DED" w:rsidP="00F34DED" w14:paraId="66B9B531" w14:textId="77777777">
      <w:pPr>
        <w:rPr>
          <w:sz w:val="22"/>
        </w:rPr>
      </w:pPr>
    </w:p>
    <w:p w:rsidR="006621D8" w:rsidP="0042017A" w14:paraId="52AA481A" w14:textId="4FD186BD">
      <w:pPr>
        <w:pStyle w:val="NormalWeb"/>
        <w:spacing w:before="0" w:beforeAutospacing="0" w:after="0" w:afterAutospacing="0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BF7E2C">
        <w:rPr>
          <w:rStyle w:val="bumpedfont15"/>
          <w:rFonts w:ascii="Times New Roman" w:hAnsi="Times New Roman" w:cs="Times New Roman"/>
          <w:sz w:val="24"/>
          <w:szCs w:val="24"/>
        </w:rPr>
        <w:t>The</w:t>
      </w:r>
      <w:r w:rsidRPr="00BF7E2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F7E2C">
        <w:rPr>
          <w:rStyle w:val="bumpedfont15"/>
          <w:rFonts w:ascii="Times New Roman" w:hAnsi="Times New Roman" w:cs="Times New Roman"/>
          <w:sz w:val="24"/>
          <w:szCs w:val="24"/>
        </w:rPr>
        <w:t>Pension Benefit Guaranty Corporation (PBGC)</w:t>
      </w:r>
      <w:r w:rsidRPr="00BF7E2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F7E2C">
        <w:rPr>
          <w:rStyle w:val="bumpedfont15"/>
          <w:rFonts w:ascii="Times New Roman" w:hAnsi="Times New Roman" w:cs="Times New Roman"/>
          <w:sz w:val="24"/>
          <w:szCs w:val="24"/>
        </w:rPr>
        <w:t>is making</w:t>
      </w:r>
      <w:r w:rsidRPr="00BF7E2C">
        <w:rPr>
          <w:rStyle w:val="apple-converted-space"/>
          <w:rFonts w:ascii="Times New Roman" w:hAnsi="Times New Roman" w:cs="Times New Roman"/>
          <w:sz w:val="24"/>
          <w:szCs w:val="24"/>
        </w:rPr>
        <w:t> changes </w:t>
      </w:r>
      <w:r w:rsidRPr="00BF7E2C">
        <w:rPr>
          <w:rStyle w:val="bumpedfont15"/>
          <w:rFonts w:ascii="Times New Roman" w:hAnsi="Times New Roman" w:cs="Times New Roman"/>
          <w:sz w:val="24"/>
          <w:szCs w:val="24"/>
        </w:rPr>
        <w:t>that are not material</w:t>
      </w:r>
      <w:r w:rsidRPr="00BF7E2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F7E2C">
        <w:rPr>
          <w:rStyle w:val="bumpedfont15"/>
          <w:rFonts w:ascii="Times New Roman" w:hAnsi="Times New Roman" w:cs="Times New Roman"/>
          <w:sz w:val="24"/>
          <w:szCs w:val="24"/>
        </w:rPr>
        <w:t xml:space="preserve">to </w:t>
      </w:r>
      <w:r w:rsidR="00B40DED">
        <w:rPr>
          <w:rStyle w:val="bumpedfont15"/>
          <w:rFonts w:ascii="Times New Roman" w:hAnsi="Times New Roman" w:cs="Times New Roman"/>
          <w:sz w:val="24"/>
          <w:szCs w:val="24"/>
        </w:rPr>
        <w:t xml:space="preserve">the </w:t>
      </w:r>
      <w:r w:rsidR="00D12C66">
        <w:rPr>
          <w:rStyle w:val="bumpedfont15"/>
          <w:rFonts w:ascii="Times New Roman" w:hAnsi="Times New Roman" w:cs="Times New Roman"/>
          <w:sz w:val="24"/>
          <w:szCs w:val="24"/>
        </w:rPr>
        <w:t>Standard Termination Filing Instructions</w:t>
      </w:r>
      <w:r w:rsidR="00B40DED">
        <w:rPr>
          <w:rStyle w:val="bumpedfont15"/>
          <w:rFonts w:ascii="Times New Roman" w:hAnsi="Times New Roman" w:cs="Times New Roman"/>
          <w:sz w:val="24"/>
          <w:szCs w:val="24"/>
        </w:rPr>
        <w:t>, which are</w:t>
      </w:r>
      <w:r w:rsidRPr="00BF7E2C">
        <w:rPr>
          <w:rStyle w:val="bumpedfont15"/>
          <w:rFonts w:ascii="Times New Roman" w:hAnsi="Times New Roman" w:cs="Times New Roman"/>
          <w:sz w:val="24"/>
          <w:szCs w:val="24"/>
        </w:rPr>
        <w:t xml:space="preserve"> used by </w:t>
      </w:r>
      <w:r w:rsidR="00B40DED">
        <w:rPr>
          <w:rStyle w:val="bumpedfont15"/>
          <w:rFonts w:ascii="Times New Roman" w:hAnsi="Times New Roman" w:cs="Times New Roman"/>
          <w:sz w:val="24"/>
          <w:szCs w:val="24"/>
        </w:rPr>
        <w:t>single-employer</w:t>
      </w:r>
      <w:r w:rsidRPr="00BF7E2C">
        <w:rPr>
          <w:rStyle w:val="bumpedfont15"/>
          <w:rFonts w:ascii="Times New Roman" w:hAnsi="Times New Roman" w:cs="Times New Roman"/>
          <w:sz w:val="24"/>
          <w:szCs w:val="24"/>
        </w:rPr>
        <w:t xml:space="preserve"> plans </w:t>
      </w:r>
      <w:r w:rsidR="00B40DED">
        <w:rPr>
          <w:rStyle w:val="bumpedfont15"/>
          <w:rFonts w:ascii="Times New Roman" w:hAnsi="Times New Roman" w:cs="Times New Roman"/>
          <w:sz w:val="24"/>
          <w:szCs w:val="24"/>
        </w:rPr>
        <w:t xml:space="preserve">that are terminating </w:t>
      </w:r>
      <w:r w:rsidR="006F40F8">
        <w:rPr>
          <w:rStyle w:val="bumpedfont15"/>
          <w:rFonts w:ascii="Times New Roman" w:hAnsi="Times New Roman" w:cs="Times New Roman"/>
          <w:sz w:val="24"/>
          <w:szCs w:val="24"/>
        </w:rPr>
        <w:t xml:space="preserve">voluntarily </w:t>
      </w:r>
      <w:r w:rsidR="00B40DED">
        <w:rPr>
          <w:rStyle w:val="bumpedfont15"/>
          <w:rFonts w:ascii="Times New Roman" w:hAnsi="Times New Roman" w:cs="Times New Roman"/>
          <w:sz w:val="24"/>
          <w:szCs w:val="24"/>
        </w:rPr>
        <w:t>in a standard termination</w:t>
      </w:r>
      <w:r w:rsidR="00CB311A">
        <w:rPr>
          <w:rStyle w:val="bumpedfont15"/>
          <w:rFonts w:ascii="Times New Roman" w:hAnsi="Times New Roman" w:cs="Times New Roman"/>
          <w:sz w:val="24"/>
          <w:szCs w:val="24"/>
        </w:rPr>
        <w:t>.  The specific rules for</w:t>
      </w:r>
      <w:r w:rsidR="007D446C">
        <w:rPr>
          <w:rStyle w:val="bumpedfont15"/>
          <w:rFonts w:ascii="Times New Roman" w:hAnsi="Times New Roman" w:cs="Times New Roman"/>
          <w:sz w:val="24"/>
          <w:szCs w:val="24"/>
        </w:rPr>
        <w:t xml:space="preserve"> </w:t>
      </w:r>
      <w:r w:rsidR="00CB311A">
        <w:rPr>
          <w:rStyle w:val="bumpedfont15"/>
          <w:rFonts w:ascii="Times New Roman" w:hAnsi="Times New Roman" w:cs="Times New Roman"/>
          <w:sz w:val="24"/>
          <w:szCs w:val="24"/>
        </w:rPr>
        <w:t>termin</w:t>
      </w:r>
      <w:r w:rsidR="007D446C">
        <w:rPr>
          <w:rStyle w:val="bumpedfont15"/>
          <w:rFonts w:ascii="Times New Roman" w:hAnsi="Times New Roman" w:cs="Times New Roman"/>
          <w:sz w:val="24"/>
          <w:szCs w:val="24"/>
        </w:rPr>
        <w:t>ati</w:t>
      </w:r>
      <w:r w:rsidR="00CB311A">
        <w:rPr>
          <w:rStyle w:val="bumpedfont15"/>
          <w:rFonts w:ascii="Times New Roman" w:hAnsi="Times New Roman" w:cs="Times New Roman"/>
          <w:sz w:val="24"/>
          <w:szCs w:val="24"/>
        </w:rPr>
        <w:t>ng a single-employer plan in a standard termination and for distribut</w:t>
      </w:r>
      <w:r w:rsidR="007D446C">
        <w:rPr>
          <w:rStyle w:val="bumpedfont15"/>
          <w:rFonts w:ascii="Times New Roman" w:hAnsi="Times New Roman" w:cs="Times New Roman"/>
          <w:sz w:val="24"/>
          <w:szCs w:val="24"/>
        </w:rPr>
        <w:t>ing benefits are</w:t>
      </w:r>
      <w:r w:rsidR="00B40DED">
        <w:rPr>
          <w:rStyle w:val="bumpedfont15"/>
          <w:rFonts w:ascii="Times New Roman" w:hAnsi="Times New Roman" w:cs="Times New Roman"/>
          <w:sz w:val="24"/>
          <w:szCs w:val="24"/>
        </w:rPr>
        <w:t xml:space="preserve"> u</w:t>
      </w:r>
      <w:r w:rsidRPr="00BF7E2C">
        <w:rPr>
          <w:rStyle w:val="bumpedfont15"/>
          <w:rFonts w:ascii="Times New Roman" w:hAnsi="Times New Roman" w:cs="Times New Roman"/>
          <w:sz w:val="24"/>
          <w:szCs w:val="24"/>
        </w:rPr>
        <w:t>nder</w:t>
      </w:r>
      <w:r w:rsidRPr="00BF7E2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F7E2C">
        <w:rPr>
          <w:rStyle w:val="bumpedfont15"/>
          <w:rFonts w:ascii="Times New Roman" w:hAnsi="Times New Roman" w:cs="Times New Roman"/>
          <w:sz w:val="24"/>
          <w:szCs w:val="24"/>
        </w:rPr>
        <w:t xml:space="preserve">section </w:t>
      </w:r>
      <w:r w:rsidR="00B40DED">
        <w:rPr>
          <w:rStyle w:val="bumpedfont15"/>
          <w:rFonts w:ascii="Times New Roman" w:hAnsi="Times New Roman" w:cs="Times New Roman"/>
          <w:sz w:val="24"/>
          <w:szCs w:val="24"/>
        </w:rPr>
        <w:t>4041</w:t>
      </w:r>
      <w:r w:rsidRPr="00BF7E2C">
        <w:rPr>
          <w:rStyle w:val="bumpedfont15"/>
          <w:rFonts w:ascii="Times New Roman" w:hAnsi="Times New Roman" w:cs="Times New Roman"/>
          <w:sz w:val="24"/>
          <w:szCs w:val="24"/>
        </w:rPr>
        <w:t xml:space="preserve"> of the Employee Retirement Income Security Act of 1974 (ERISA)</w:t>
      </w:r>
      <w:r w:rsidRPr="00BF7E2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F7E2C">
        <w:rPr>
          <w:rStyle w:val="bumpedfont15"/>
          <w:rFonts w:ascii="Times New Roman" w:hAnsi="Times New Roman" w:cs="Times New Roman"/>
          <w:sz w:val="24"/>
          <w:szCs w:val="24"/>
        </w:rPr>
        <w:t>and</w:t>
      </w:r>
      <w:r w:rsidR="009E191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subparts A</w:t>
      </w:r>
      <w:r w:rsidR="00CB311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and B of </w:t>
      </w:r>
      <w:r w:rsidR="009E191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29 CFR </w:t>
      </w:r>
      <w:r w:rsidRPr="00BF7E2C">
        <w:rPr>
          <w:rStyle w:val="bumpedfont15"/>
          <w:rFonts w:ascii="Times New Roman" w:hAnsi="Times New Roman" w:cs="Times New Roman"/>
          <w:sz w:val="24"/>
          <w:szCs w:val="24"/>
        </w:rPr>
        <w:t xml:space="preserve">part </w:t>
      </w:r>
      <w:r w:rsidR="00B40DED">
        <w:rPr>
          <w:rStyle w:val="bumpedfont15"/>
          <w:rFonts w:ascii="Times New Roman" w:hAnsi="Times New Roman" w:cs="Times New Roman"/>
          <w:sz w:val="24"/>
          <w:szCs w:val="24"/>
        </w:rPr>
        <w:t>4041</w:t>
      </w:r>
      <w:r w:rsidRPr="00BF7E2C">
        <w:rPr>
          <w:rStyle w:val="bumpedfont15"/>
          <w:rFonts w:ascii="Times New Roman" w:hAnsi="Times New Roman" w:cs="Times New Roman"/>
          <w:sz w:val="24"/>
          <w:szCs w:val="24"/>
        </w:rPr>
        <w:t xml:space="preserve"> of PBGC’s regulations.</w:t>
      </w:r>
      <w:r w:rsidRPr="00BF7E2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E66F0E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4257C1">
        <w:rPr>
          <w:rStyle w:val="apple-converted-space"/>
          <w:rFonts w:ascii="Times New Roman" w:hAnsi="Times New Roman" w:cs="Times New Roman"/>
          <w:sz w:val="24"/>
          <w:szCs w:val="24"/>
        </w:rPr>
        <w:t>A</w:t>
      </w:r>
      <w:r w:rsidRPr="004257C1" w:rsidR="004257C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plan administrator wishing to terminate a plan is required to submit specified information to PBGC in support of the proposed termination.</w:t>
      </w:r>
    </w:p>
    <w:p w:rsidR="006621D8" w:rsidP="0042017A" w14:paraId="42423A20" w14:textId="77777777">
      <w:pPr>
        <w:pStyle w:val="NormalWeb"/>
        <w:spacing w:before="0" w:beforeAutospacing="0" w:after="0" w:afterAutospacing="0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002925" w:rsidP="00923290" w14:paraId="6A095EAA" w14:textId="58A21274">
      <w:pPr>
        <w:rPr>
          <w:rFonts w:cs="Times New Roman"/>
          <w:szCs w:val="24"/>
        </w:rPr>
      </w:pPr>
      <w:r>
        <w:rPr>
          <w:rFonts w:cs="Times New Roman"/>
          <w:szCs w:val="24"/>
        </w:rPr>
        <w:t>PBGC is correcting an error</w:t>
      </w:r>
      <w:r w:rsidR="007D446C">
        <w:rPr>
          <w:rFonts w:cs="Times New Roman"/>
          <w:szCs w:val="24"/>
        </w:rPr>
        <w:t xml:space="preserve"> in the Standard Termination Filing Instructions</w:t>
      </w:r>
      <w:r>
        <w:rPr>
          <w:rFonts w:cs="Times New Roman"/>
          <w:szCs w:val="24"/>
        </w:rPr>
        <w:t xml:space="preserve"> by removing a note </w:t>
      </w:r>
      <w:r w:rsidR="00882255">
        <w:rPr>
          <w:rFonts w:cs="Times New Roman"/>
          <w:szCs w:val="24"/>
        </w:rPr>
        <w:t xml:space="preserve">currently </w:t>
      </w:r>
      <w:r>
        <w:rPr>
          <w:rFonts w:cs="Times New Roman"/>
          <w:szCs w:val="24"/>
        </w:rPr>
        <w:t xml:space="preserve">on page </w:t>
      </w:r>
      <w:r w:rsidR="005432A5">
        <w:rPr>
          <w:rFonts w:cs="Times New Roman"/>
          <w:szCs w:val="24"/>
        </w:rPr>
        <w:t xml:space="preserve">28 of the </w:t>
      </w:r>
      <w:r>
        <w:rPr>
          <w:rFonts w:cs="Times New Roman"/>
          <w:szCs w:val="24"/>
        </w:rPr>
        <w:t>instructions</w:t>
      </w:r>
      <w:r w:rsidR="00882255">
        <w:rPr>
          <w:rFonts w:cs="Times New Roman"/>
          <w:szCs w:val="24"/>
        </w:rPr>
        <w:t xml:space="preserve"> regarding the “annuity starting date.”</w:t>
      </w:r>
      <w:r w:rsidR="00085B39">
        <w:rPr>
          <w:rFonts w:cs="Times New Roman"/>
          <w:szCs w:val="24"/>
        </w:rPr>
        <w:t xml:space="preserve">  The note reads:</w:t>
      </w:r>
    </w:p>
    <w:p w:rsidR="00085B39" w:rsidP="00923290" w14:paraId="081948D9" w14:textId="4D0C5358">
      <w:pPr>
        <w:rPr>
          <w:rFonts w:cs="Times New Roman"/>
          <w:szCs w:val="24"/>
        </w:rPr>
      </w:pPr>
    </w:p>
    <w:p w:rsidR="00085B39" w:rsidRPr="00524F0E" w:rsidP="00524F0E" w14:paraId="6CE63EBE" w14:textId="0D2236EF">
      <w:pPr>
        <w:ind w:left="720"/>
        <w:rPr>
          <w:rFonts w:cs="Times New Roman"/>
          <w:i/>
          <w:iCs/>
          <w:szCs w:val="24"/>
        </w:rPr>
      </w:pPr>
      <w:r w:rsidRPr="00524F0E">
        <w:rPr>
          <w:rFonts w:cs="Times New Roman"/>
          <w:b/>
          <w:bCs/>
          <w:i/>
          <w:iCs/>
          <w:szCs w:val="24"/>
        </w:rPr>
        <w:t>Note:</w:t>
      </w:r>
      <w:r w:rsidRPr="00524F0E">
        <w:rPr>
          <w:rFonts w:cs="Times New Roman"/>
          <w:i/>
          <w:iCs/>
          <w:szCs w:val="24"/>
        </w:rPr>
        <w:t xml:space="preserve"> For example, if the lump sum election form given to a participant does not specify the annuity starting date of a qualified joint-and-survivor annuity commencing immediately and there is no other evidence establishing an annuity starting date, the distribution date is the “annuity starting date” for the purposes described above</w:t>
      </w:r>
      <w:r>
        <w:rPr>
          <w:rFonts w:cs="Times New Roman"/>
          <w:i/>
          <w:iCs/>
          <w:szCs w:val="24"/>
        </w:rPr>
        <w:t>.</w:t>
      </w:r>
    </w:p>
    <w:p w:rsidR="00DC3175" w:rsidP="00923290" w14:paraId="1CA3B900" w14:textId="77777777">
      <w:pPr>
        <w:rPr>
          <w:rFonts w:cs="Times New Roman"/>
          <w:szCs w:val="24"/>
        </w:rPr>
      </w:pPr>
    </w:p>
    <w:p w:rsidR="008765A7" w:rsidP="00923290" w14:paraId="7C65699C" w14:textId="60CFBD72">
      <w:pPr>
        <w:rPr>
          <w:rFonts w:cs="Times New Roman"/>
          <w:szCs w:val="24"/>
        </w:rPr>
      </w:pPr>
      <w:r w:rsidRPr="002936EA">
        <w:rPr>
          <w:rFonts w:cs="Times New Roman"/>
          <w:szCs w:val="24"/>
        </w:rPr>
        <w:t>Lump</w:t>
      </w:r>
      <w:r w:rsidR="00FF7663">
        <w:rPr>
          <w:rFonts w:cs="Times New Roman"/>
          <w:szCs w:val="24"/>
        </w:rPr>
        <w:t xml:space="preserve"> sum payments</w:t>
      </w:r>
      <w:r w:rsidRPr="002936EA">
        <w:rPr>
          <w:rFonts w:cs="Times New Roman"/>
          <w:szCs w:val="24"/>
        </w:rPr>
        <w:t xml:space="preserve"> are valued under </w:t>
      </w:r>
      <w:r w:rsidR="00FF7663">
        <w:rPr>
          <w:rFonts w:cs="Times New Roman"/>
          <w:szCs w:val="24"/>
        </w:rPr>
        <w:t>the Internal Revenue Code (</w:t>
      </w:r>
      <w:r w:rsidR="00876347">
        <w:rPr>
          <w:rFonts w:cs="Times New Roman"/>
          <w:szCs w:val="24"/>
        </w:rPr>
        <w:t>the Code</w:t>
      </w:r>
      <w:r w:rsidR="00FF7663">
        <w:rPr>
          <w:rFonts w:cs="Times New Roman"/>
          <w:szCs w:val="24"/>
        </w:rPr>
        <w:t>)</w:t>
      </w:r>
      <w:r w:rsidRPr="002936EA">
        <w:rPr>
          <w:rFonts w:cs="Times New Roman"/>
          <w:szCs w:val="24"/>
        </w:rPr>
        <w:t xml:space="preserve"> and </w:t>
      </w:r>
      <w:r w:rsidR="00FF7663">
        <w:rPr>
          <w:rFonts w:cs="Times New Roman"/>
          <w:szCs w:val="24"/>
        </w:rPr>
        <w:t>PBGC’s</w:t>
      </w:r>
      <w:r w:rsidRPr="002936EA">
        <w:rPr>
          <w:rFonts w:cs="Times New Roman"/>
          <w:szCs w:val="24"/>
        </w:rPr>
        <w:t xml:space="preserve"> regulations as of the date of distribution, which is the annuity start</w:t>
      </w:r>
      <w:r w:rsidR="00D53D67">
        <w:rPr>
          <w:rFonts w:cs="Times New Roman"/>
          <w:szCs w:val="24"/>
        </w:rPr>
        <w:t>ing</w:t>
      </w:r>
      <w:r w:rsidRPr="002936EA">
        <w:rPr>
          <w:rFonts w:cs="Times New Roman"/>
          <w:szCs w:val="24"/>
        </w:rPr>
        <w:t xml:space="preserve"> date.  </w:t>
      </w:r>
      <w:r w:rsidR="00D53D67">
        <w:rPr>
          <w:rFonts w:cs="Times New Roman"/>
          <w:szCs w:val="24"/>
        </w:rPr>
        <w:t>PBGC’s</w:t>
      </w:r>
      <w:r w:rsidRPr="002936EA">
        <w:rPr>
          <w:rFonts w:cs="Times New Roman"/>
          <w:szCs w:val="24"/>
        </w:rPr>
        <w:t xml:space="preserve"> regulations allow for a different </w:t>
      </w:r>
      <w:r w:rsidR="00645748">
        <w:rPr>
          <w:rFonts w:cs="Times New Roman"/>
          <w:szCs w:val="24"/>
        </w:rPr>
        <w:t>annuity start</w:t>
      </w:r>
      <w:r w:rsidR="00A1251E">
        <w:rPr>
          <w:rFonts w:cs="Times New Roman"/>
          <w:szCs w:val="24"/>
        </w:rPr>
        <w:t>ing</w:t>
      </w:r>
      <w:r w:rsidR="00645748">
        <w:rPr>
          <w:rFonts w:cs="Times New Roman"/>
          <w:szCs w:val="24"/>
        </w:rPr>
        <w:t xml:space="preserve"> </w:t>
      </w:r>
      <w:r w:rsidRPr="002936EA">
        <w:rPr>
          <w:rFonts w:cs="Times New Roman"/>
          <w:szCs w:val="24"/>
        </w:rPr>
        <w:t xml:space="preserve">date </w:t>
      </w:r>
      <w:r w:rsidR="00692828">
        <w:rPr>
          <w:rFonts w:cs="Times New Roman"/>
          <w:szCs w:val="24"/>
        </w:rPr>
        <w:t xml:space="preserve">only </w:t>
      </w:r>
      <w:r w:rsidR="00A1251E">
        <w:rPr>
          <w:rFonts w:cs="Times New Roman"/>
          <w:szCs w:val="24"/>
        </w:rPr>
        <w:t xml:space="preserve">where </w:t>
      </w:r>
      <w:r w:rsidRPr="002936EA">
        <w:rPr>
          <w:rFonts w:cs="Times New Roman"/>
          <w:szCs w:val="24"/>
        </w:rPr>
        <w:t xml:space="preserve">there is evidence that </w:t>
      </w:r>
      <w:r w:rsidR="00645748">
        <w:rPr>
          <w:rFonts w:cs="Times New Roman"/>
          <w:szCs w:val="24"/>
        </w:rPr>
        <w:t>supports a different</w:t>
      </w:r>
      <w:r w:rsidR="00692828">
        <w:rPr>
          <w:rFonts w:cs="Times New Roman"/>
          <w:szCs w:val="24"/>
        </w:rPr>
        <w:t xml:space="preserve"> </w:t>
      </w:r>
      <w:r w:rsidRPr="002936EA">
        <w:rPr>
          <w:rFonts w:cs="Times New Roman"/>
          <w:szCs w:val="24"/>
        </w:rPr>
        <w:t>date allow</w:t>
      </w:r>
      <w:r w:rsidR="00692828">
        <w:rPr>
          <w:rFonts w:cs="Times New Roman"/>
          <w:szCs w:val="24"/>
        </w:rPr>
        <w:t>able</w:t>
      </w:r>
      <w:r w:rsidRPr="002936EA">
        <w:rPr>
          <w:rFonts w:cs="Times New Roman"/>
          <w:szCs w:val="24"/>
        </w:rPr>
        <w:t xml:space="preserve"> </w:t>
      </w:r>
      <w:r w:rsidR="00876347">
        <w:rPr>
          <w:rFonts w:cs="Times New Roman"/>
          <w:szCs w:val="24"/>
        </w:rPr>
        <w:t>under the Code</w:t>
      </w:r>
      <w:r w:rsidRPr="002936EA">
        <w:rPr>
          <w:rFonts w:cs="Times New Roman"/>
          <w:szCs w:val="24"/>
        </w:rPr>
        <w:t xml:space="preserve">.  The </w:t>
      </w:r>
      <w:r w:rsidR="00876347">
        <w:rPr>
          <w:rFonts w:cs="Times New Roman"/>
          <w:szCs w:val="24"/>
        </w:rPr>
        <w:t>Code</w:t>
      </w:r>
      <w:r w:rsidRPr="002936EA">
        <w:rPr>
          <w:rFonts w:cs="Times New Roman"/>
          <w:szCs w:val="24"/>
        </w:rPr>
        <w:t xml:space="preserve"> </w:t>
      </w:r>
      <w:r w:rsidR="00645748">
        <w:rPr>
          <w:rFonts w:cs="Times New Roman"/>
          <w:szCs w:val="24"/>
        </w:rPr>
        <w:t xml:space="preserve">only permits </w:t>
      </w:r>
      <w:r w:rsidRPr="002936EA">
        <w:rPr>
          <w:rFonts w:cs="Times New Roman"/>
          <w:szCs w:val="24"/>
        </w:rPr>
        <w:t>a different annuity start</w:t>
      </w:r>
      <w:r w:rsidR="00645748">
        <w:rPr>
          <w:rFonts w:cs="Times New Roman"/>
          <w:szCs w:val="24"/>
        </w:rPr>
        <w:t>ing</w:t>
      </w:r>
      <w:r w:rsidRPr="002936EA">
        <w:rPr>
          <w:rFonts w:cs="Times New Roman"/>
          <w:szCs w:val="24"/>
        </w:rPr>
        <w:t xml:space="preserve"> date for lump sums in cases of reasonable administrative delay.</w:t>
      </w:r>
    </w:p>
    <w:p w:rsidR="008765A7" w:rsidP="00923290" w14:paraId="3D8D8259" w14:textId="77777777">
      <w:pPr>
        <w:rPr>
          <w:rFonts w:cs="Times New Roman"/>
          <w:szCs w:val="24"/>
        </w:rPr>
      </w:pPr>
    </w:p>
    <w:p w:rsidR="00882255" w:rsidP="00923290" w14:paraId="07698642" w14:textId="2F6F7A1C">
      <w:pPr>
        <w:rPr>
          <w:rFonts w:cs="Times New Roman"/>
          <w:szCs w:val="24"/>
        </w:rPr>
      </w:pPr>
      <w:r>
        <w:rPr>
          <w:rFonts w:cs="Times New Roman"/>
          <w:szCs w:val="24"/>
        </w:rPr>
        <w:t>However, t</w:t>
      </w:r>
      <w:r w:rsidR="00C52EEB">
        <w:rPr>
          <w:rFonts w:cs="Times New Roman"/>
          <w:szCs w:val="24"/>
        </w:rPr>
        <w:t xml:space="preserve">he example </w:t>
      </w:r>
      <w:r w:rsidR="00DD0EF9">
        <w:rPr>
          <w:rFonts w:cs="Times New Roman"/>
          <w:szCs w:val="24"/>
        </w:rPr>
        <w:t>implies</w:t>
      </w:r>
      <w:r w:rsidRPr="002936EA" w:rsidR="002936EA">
        <w:rPr>
          <w:rFonts w:cs="Times New Roman"/>
          <w:szCs w:val="24"/>
        </w:rPr>
        <w:t xml:space="preserve"> that if </w:t>
      </w:r>
      <w:r w:rsidR="005D51C0">
        <w:rPr>
          <w:rFonts w:cs="Times New Roman"/>
          <w:szCs w:val="24"/>
        </w:rPr>
        <w:t>a participant’s</w:t>
      </w:r>
      <w:r w:rsidRPr="002936EA" w:rsidR="002936EA">
        <w:rPr>
          <w:rFonts w:cs="Times New Roman"/>
          <w:szCs w:val="24"/>
        </w:rPr>
        <w:t xml:space="preserve"> election form </w:t>
      </w:r>
      <w:r w:rsidR="00AD274A">
        <w:rPr>
          <w:rFonts w:cs="Times New Roman"/>
          <w:szCs w:val="24"/>
        </w:rPr>
        <w:t xml:space="preserve">provides for an </w:t>
      </w:r>
      <w:r w:rsidRPr="002936EA" w:rsidR="002936EA">
        <w:rPr>
          <w:rFonts w:cs="Times New Roman"/>
          <w:szCs w:val="24"/>
        </w:rPr>
        <w:t>immediate annuity start</w:t>
      </w:r>
      <w:r w:rsidR="00AD274A">
        <w:rPr>
          <w:rFonts w:cs="Times New Roman"/>
          <w:szCs w:val="24"/>
        </w:rPr>
        <w:t>ing</w:t>
      </w:r>
      <w:r w:rsidRPr="002936EA" w:rsidR="002936EA">
        <w:rPr>
          <w:rFonts w:cs="Times New Roman"/>
          <w:szCs w:val="24"/>
        </w:rPr>
        <w:t xml:space="preserve"> date or evidence that a different date might appl</w:t>
      </w:r>
      <w:r w:rsidR="00A73D70">
        <w:rPr>
          <w:rFonts w:cs="Times New Roman"/>
          <w:szCs w:val="24"/>
        </w:rPr>
        <w:t xml:space="preserve">y – </w:t>
      </w:r>
      <w:r w:rsidRPr="002936EA" w:rsidR="002936EA">
        <w:rPr>
          <w:rFonts w:cs="Times New Roman"/>
          <w:szCs w:val="24"/>
        </w:rPr>
        <w:t xml:space="preserve">with no </w:t>
      </w:r>
      <w:r w:rsidR="00CE68F4">
        <w:rPr>
          <w:rFonts w:cs="Times New Roman"/>
          <w:szCs w:val="24"/>
        </w:rPr>
        <w:t>qualifier</w:t>
      </w:r>
      <w:r w:rsidRPr="002936EA" w:rsidR="002936EA">
        <w:rPr>
          <w:rFonts w:cs="Times New Roman"/>
          <w:szCs w:val="24"/>
        </w:rPr>
        <w:t xml:space="preserve"> </w:t>
      </w:r>
      <w:r w:rsidR="00CE68F4">
        <w:rPr>
          <w:rFonts w:cs="Times New Roman"/>
          <w:szCs w:val="24"/>
        </w:rPr>
        <w:t xml:space="preserve">that </w:t>
      </w:r>
      <w:r w:rsidR="00A1251E">
        <w:rPr>
          <w:rFonts w:cs="Times New Roman"/>
          <w:szCs w:val="24"/>
        </w:rPr>
        <w:t xml:space="preserve">such </w:t>
      </w:r>
      <w:r w:rsidR="00CE68F4">
        <w:rPr>
          <w:rFonts w:cs="Times New Roman"/>
          <w:szCs w:val="24"/>
        </w:rPr>
        <w:t>date must be allow</w:t>
      </w:r>
      <w:r w:rsidR="00305B1E">
        <w:rPr>
          <w:rFonts w:cs="Times New Roman"/>
          <w:szCs w:val="24"/>
        </w:rPr>
        <w:t>ed</w:t>
      </w:r>
      <w:r w:rsidR="00CE68F4">
        <w:rPr>
          <w:rFonts w:cs="Times New Roman"/>
          <w:szCs w:val="24"/>
        </w:rPr>
        <w:t xml:space="preserve"> under the Code</w:t>
      </w:r>
      <w:r w:rsidR="00A73D70">
        <w:rPr>
          <w:rFonts w:cs="Times New Roman"/>
          <w:szCs w:val="24"/>
        </w:rPr>
        <w:t xml:space="preserve"> – </w:t>
      </w:r>
      <w:r w:rsidRPr="002936EA" w:rsidR="002936EA">
        <w:rPr>
          <w:rFonts w:cs="Times New Roman"/>
          <w:szCs w:val="24"/>
        </w:rPr>
        <w:t xml:space="preserve">that would be the date used to value lump sums.  This implication is contrary to the requirements </w:t>
      </w:r>
      <w:r w:rsidR="00653BB9">
        <w:rPr>
          <w:rFonts w:cs="Times New Roman"/>
          <w:szCs w:val="24"/>
        </w:rPr>
        <w:t xml:space="preserve">under PBGC’s regulations and the Code </w:t>
      </w:r>
      <w:r w:rsidR="007A3103">
        <w:rPr>
          <w:rFonts w:cs="Times New Roman"/>
          <w:szCs w:val="24"/>
        </w:rPr>
        <w:t xml:space="preserve">and </w:t>
      </w:r>
      <w:r>
        <w:rPr>
          <w:rFonts w:cs="Times New Roman"/>
          <w:szCs w:val="24"/>
        </w:rPr>
        <w:t>contradicts</w:t>
      </w:r>
      <w:r w:rsidR="007A3103">
        <w:rPr>
          <w:rFonts w:cs="Times New Roman"/>
          <w:szCs w:val="24"/>
        </w:rPr>
        <w:t xml:space="preserve"> the </w:t>
      </w:r>
      <w:r>
        <w:rPr>
          <w:rFonts w:cs="Times New Roman"/>
          <w:szCs w:val="24"/>
        </w:rPr>
        <w:t xml:space="preserve">description of the </w:t>
      </w:r>
      <w:r w:rsidR="00064F9F">
        <w:rPr>
          <w:rFonts w:cs="Times New Roman"/>
          <w:szCs w:val="24"/>
        </w:rPr>
        <w:t xml:space="preserve">annuity starting date </w:t>
      </w:r>
      <w:r>
        <w:rPr>
          <w:rFonts w:cs="Times New Roman"/>
          <w:szCs w:val="24"/>
        </w:rPr>
        <w:t>provided directly</w:t>
      </w:r>
      <w:r w:rsidR="00064F9F">
        <w:rPr>
          <w:rFonts w:cs="Times New Roman"/>
          <w:szCs w:val="24"/>
        </w:rPr>
        <w:t xml:space="preserve"> above the example</w:t>
      </w:r>
      <w:r w:rsidRPr="002936EA" w:rsidR="002936EA">
        <w:rPr>
          <w:rFonts w:cs="Times New Roman"/>
          <w:szCs w:val="24"/>
        </w:rPr>
        <w:t>.</w:t>
      </w:r>
    </w:p>
    <w:p w:rsidR="00002925" w:rsidP="00923290" w14:paraId="79E5A8ED" w14:textId="16A89143">
      <w:pPr>
        <w:rPr>
          <w:rFonts w:cs="Times New Roman"/>
          <w:szCs w:val="24"/>
        </w:rPr>
      </w:pPr>
    </w:p>
    <w:p w:rsidR="00540017" w:rsidP="00923290" w14:paraId="5BD96F76" w14:textId="0371189B">
      <w:pPr>
        <w:rPr>
          <w:rFonts w:cs="Times New Roman"/>
          <w:szCs w:val="24"/>
        </w:rPr>
      </w:pPr>
      <w:r>
        <w:rPr>
          <w:rFonts w:cs="Times New Roman"/>
          <w:szCs w:val="24"/>
        </w:rPr>
        <w:t>Th</w:t>
      </w:r>
      <w:r w:rsidR="00B761D9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 “note” on page 28 has been deleted in the copy of the instructions submitted with</w:t>
      </w:r>
      <w:r w:rsidR="001F168B">
        <w:rPr>
          <w:rFonts w:cs="Times New Roman"/>
          <w:szCs w:val="24"/>
        </w:rPr>
        <w:t xml:space="preserve"> this request.</w:t>
      </w:r>
    </w:p>
    <w:sectPr w:rsidSect="00DF611B">
      <w:footerReference w:type="default" r:id="rId8"/>
      <w:footerReference w:type="first" r:id="rId9"/>
      <w:pgSz w:w="12240" w:h="15840" w:code="1"/>
      <w:pgMar w:top="1440" w:right="1440" w:bottom="99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31824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65D5" w14:paraId="7C5ACF75" w14:textId="1D2A19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65D5" w14:paraId="19197DB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746B" w14:paraId="75362B0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7D87D78"/>
    <w:multiLevelType w:val="hybridMultilevel"/>
    <w:tmpl w:val="8132B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B160B"/>
    <w:multiLevelType w:val="hybridMultilevel"/>
    <w:tmpl w:val="B8AE96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A0A21"/>
    <w:multiLevelType w:val="multilevel"/>
    <w:tmpl w:val="64DEF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7428AB"/>
    <w:multiLevelType w:val="hybridMultilevel"/>
    <w:tmpl w:val="D0DAE6E6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4737179">
    <w:abstractNumId w:val="1"/>
  </w:num>
  <w:num w:numId="2" w16cid:durableId="448664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6462708">
    <w:abstractNumId w:val="0"/>
  </w:num>
  <w:num w:numId="4" w16cid:durableId="886184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FE"/>
    <w:rsid w:val="0000209F"/>
    <w:rsid w:val="00002925"/>
    <w:rsid w:val="0000644C"/>
    <w:rsid w:val="00014968"/>
    <w:rsid w:val="00025120"/>
    <w:rsid w:val="00033CA5"/>
    <w:rsid w:val="000422DE"/>
    <w:rsid w:val="00062B89"/>
    <w:rsid w:val="00064F9F"/>
    <w:rsid w:val="00070EB7"/>
    <w:rsid w:val="0007287C"/>
    <w:rsid w:val="00074D7F"/>
    <w:rsid w:val="0008093D"/>
    <w:rsid w:val="00085B39"/>
    <w:rsid w:val="00086CA2"/>
    <w:rsid w:val="000B19F5"/>
    <w:rsid w:val="000C2C31"/>
    <w:rsid w:val="000C5398"/>
    <w:rsid w:val="000D761D"/>
    <w:rsid w:val="000F6C37"/>
    <w:rsid w:val="00105984"/>
    <w:rsid w:val="00105C0B"/>
    <w:rsid w:val="001105B9"/>
    <w:rsid w:val="00110F2B"/>
    <w:rsid w:val="00116CF6"/>
    <w:rsid w:val="00132391"/>
    <w:rsid w:val="00134B79"/>
    <w:rsid w:val="001444FB"/>
    <w:rsid w:val="00170F36"/>
    <w:rsid w:val="00172104"/>
    <w:rsid w:val="00172543"/>
    <w:rsid w:val="001760E9"/>
    <w:rsid w:val="00186539"/>
    <w:rsid w:val="001925E6"/>
    <w:rsid w:val="001A5C8A"/>
    <w:rsid w:val="001B15C8"/>
    <w:rsid w:val="001B196B"/>
    <w:rsid w:val="001B3AEB"/>
    <w:rsid w:val="001B5802"/>
    <w:rsid w:val="001B5E32"/>
    <w:rsid w:val="001C4744"/>
    <w:rsid w:val="001C5847"/>
    <w:rsid w:val="001C746B"/>
    <w:rsid w:val="001E5CD0"/>
    <w:rsid w:val="001F168B"/>
    <w:rsid w:val="001F2DBC"/>
    <w:rsid w:val="001F3BB9"/>
    <w:rsid w:val="002008D1"/>
    <w:rsid w:val="002139B3"/>
    <w:rsid w:val="00217516"/>
    <w:rsid w:val="00221F1D"/>
    <w:rsid w:val="0022452C"/>
    <w:rsid w:val="0024229E"/>
    <w:rsid w:val="002465D5"/>
    <w:rsid w:val="0025762B"/>
    <w:rsid w:val="00267F42"/>
    <w:rsid w:val="002856E3"/>
    <w:rsid w:val="002936EA"/>
    <w:rsid w:val="002A33DB"/>
    <w:rsid w:val="002A4F4B"/>
    <w:rsid w:val="002B25D0"/>
    <w:rsid w:val="002B324E"/>
    <w:rsid w:val="002C1D2C"/>
    <w:rsid w:val="002C239E"/>
    <w:rsid w:val="002C419F"/>
    <w:rsid w:val="002D2129"/>
    <w:rsid w:val="002F1F45"/>
    <w:rsid w:val="00300CA5"/>
    <w:rsid w:val="00305A40"/>
    <w:rsid w:val="00305B1E"/>
    <w:rsid w:val="00305E7E"/>
    <w:rsid w:val="00311DE7"/>
    <w:rsid w:val="003121FA"/>
    <w:rsid w:val="00314353"/>
    <w:rsid w:val="00321DEA"/>
    <w:rsid w:val="0032311D"/>
    <w:rsid w:val="00323315"/>
    <w:rsid w:val="0033116A"/>
    <w:rsid w:val="00347152"/>
    <w:rsid w:val="003527F5"/>
    <w:rsid w:val="00365209"/>
    <w:rsid w:val="003653BE"/>
    <w:rsid w:val="00365858"/>
    <w:rsid w:val="003740F3"/>
    <w:rsid w:val="003823FB"/>
    <w:rsid w:val="00396569"/>
    <w:rsid w:val="0039700D"/>
    <w:rsid w:val="003A2B3D"/>
    <w:rsid w:val="003A3E42"/>
    <w:rsid w:val="003A56F3"/>
    <w:rsid w:val="003D0522"/>
    <w:rsid w:val="003D259E"/>
    <w:rsid w:val="003D25CE"/>
    <w:rsid w:val="003D3F59"/>
    <w:rsid w:val="003D5206"/>
    <w:rsid w:val="003D7AC1"/>
    <w:rsid w:val="003E5366"/>
    <w:rsid w:val="00407FC6"/>
    <w:rsid w:val="00412E43"/>
    <w:rsid w:val="0042017A"/>
    <w:rsid w:val="00422D40"/>
    <w:rsid w:val="004257C1"/>
    <w:rsid w:val="00427C04"/>
    <w:rsid w:val="004324B3"/>
    <w:rsid w:val="004327E7"/>
    <w:rsid w:val="004542B8"/>
    <w:rsid w:val="00472A7B"/>
    <w:rsid w:val="004807EC"/>
    <w:rsid w:val="004826A3"/>
    <w:rsid w:val="00482D85"/>
    <w:rsid w:val="00482EB0"/>
    <w:rsid w:val="004A0E0F"/>
    <w:rsid w:val="004C0E87"/>
    <w:rsid w:val="004D0A23"/>
    <w:rsid w:val="004D6E85"/>
    <w:rsid w:val="004D6F94"/>
    <w:rsid w:val="004E0277"/>
    <w:rsid w:val="004E08A5"/>
    <w:rsid w:val="004F5774"/>
    <w:rsid w:val="0050556A"/>
    <w:rsid w:val="00514166"/>
    <w:rsid w:val="00524F0E"/>
    <w:rsid w:val="0052791C"/>
    <w:rsid w:val="00540017"/>
    <w:rsid w:val="005432A5"/>
    <w:rsid w:val="00546765"/>
    <w:rsid w:val="0055164B"/>
    <w:rsid w:val="005527CB"/>
    <w:rsid w:val="005562EB"/>
    <w:rsid w:val="0057401E"/>
    <w:rsid w:val="005847FB"/>
    <w:rsid w:val="005A079F"/>
    <w:rsid w:val="005A0CAE"/>
    <w:rsid w:val="005A3D17"/>
    <w:rsid w:val="005A761C"/>
    <w:rsid w:val="005B11DC"/>
    <w:rsid w:val="005B5696"/>
    <w:rsid w:val="005C76A8"/>
    <w:rsid w:val="005D4F2F"/>
    <w:rsid w:val="005D51C0"/>
    <w:rsid w:val="005D53C3"/>
    <w:rsid w:val="005E1EBB"/>
    <w:rsid w:val="005E2E26"/>
    <w:rsid w:val="00605348"/>
    <w:rsid w:val="00605E6D"/>
    <w:rsid w:val="00622E1A"/>
    <w:rsid w:val="00631D5B"/>
    <w:rsid w:val="0063366A"/>
    <w:rsid w:val="00645748"/>
    <w:rsid w:val="006517D0"/>
    <w:rsid w:val="00653BB9"/>
    <w:rsid w:val="0065442B"/>
    <w:rsid w:val="0065764A"/>
    <w:rsid w:val="006607AD"/>
    <w:rsid w:val="006621D8"/>
    <w:rsid w:val="00665987"/>
    <w:rsid w:val="006804DF"/>
    <w:rsid w:val="00690641"/>
    <w:rsid w:val="00691A71"/>
    <w:rsid w:val="006925E4"/>
    <w:rsid w:val="00692828"/>
    <w:rsid w:val="006A236E"/>
    <w:rsid w:val="006B7B5B"/>
    <w:rsid w:val="006C2763"/>
    <w:rsid w:val="006E0DE0"/>
    <w:rsid w:val="006E2AAF"/>
    <w:rsid w:val="006E537F"/>
    <w:rsid w:val="006F1183"/>
    <w:rsid w:val="006F3815"/>
    <w:rsid w:val="006F40F8"/>
    <w:rsid w:val="006F5DF4"/>
    <w:rsid w:val="00704205"/>
    <w:rsid w:val="00710FDD"/>
    <w:rsid w:val="0071398C"/>
    <w:rsid w:val="00714A67"/>
    <w:rsid w:val="00716E37"/>
    <w:rsid w:val="007209FC"/>
    <w:rsid w:val="00722427"/>
    <w:rsid w:val="00725AA5"/>
    <w:rsid w:val="007358F1"/>
    <w:rsid w:val="0073715E"/>
    <w:rsid w:val="00744C5D"/>
    <w:rsid w:val="007478D6"/>
    <w:rsid w:val="00764966"/>
    <w:rsid w:val="007811C8"/>
    <w:rsid w:val="007812E9"/>
    <w:rsid w:val="00784D2A"/>
    <w:rsid w:val="007907C4"/>
    <w:rsid w:val="00791687"/>
    <w:rsid w:val="00794F29"/>
    <w:rsid w:val="00796027"/>
    <w:rsid w:val="00796C28"/>
    <w:rsid w:val="007A3103"/>
    <w:rsid w:val="007A4CF6"/>
    <w:rsid w:val="007A69AC"/>
    <w:rsid w:val="007A6DA1"/>
    <w:rsid w:val="007B2F1C"/>
    <w:rsid w:val="007B783E"/>
    <w:rsid w:val="007C653B"/>
    <w:rsid w:val="007D446C"/>
    <w:rsid w:val="007E1873"/>
    <w:rsid w:val="007E2D43"/>
    <w:rsid w:val="007E312C"/>
    <w:rsid w:val="007E5D28"/>
    <w:rsid w:val="00806AF9"/>
    <w:rsid w:val="0081673F"/>
    <w:rsid w:val="008170FA"/>
    <w:rsid w:val="00824481"/>
    <w:rsid w:val="00830513"/>
    <w:rsid w:val="00843242"/>
    <w:rsid w:val="00851246"/>
    <w:rsid w:val="008622EC"/>
    <w:rsid w:val="008625F6"/>
    <w:rsid w:val="00863606"/>
    <w:rsid w:val="00865269"/>
    <w:rsid w:val="00874622"/>
    <w:rsid w:val="00876347"/>
    <w:rsid w:val="008765A7"/>
    <w:rsid w:val="00882255"/>
    <w:rsid w:val="00883A9F"/>
    <w:rsid w:val="00885730"/>
    <w:rsid w:val="008C2137"/>
    <w:rsid w:val="008D0AC7"/>
    <w:rsid w:val="008D0CC3"/>
    <w:rsid w:val="008D50E8"/>
    <w:rsid w:val="008E3D12"/>
    <w:rsid w:val="008E5CD3"/>
    <w:rsid w:val="00905F3E"/>
    <w:rsid w:val="009065E0"/>
    <w:rsid w:val="009144C1"/>
    <w:rsid w:val="00922E62"/>
    <w:rsid w:val="00923290"/>
    <w:rsid w:val="00926887"/>
    <w:rsid w:val="009313C2"/>
    <w:rsid w:val="00961934"/>
    <w:rsid w:val="0096265C"/>
    <w:rsid w:val="00963601"/>
    <w:rsid w:val="009637D1"/>
    <w:rsid w:val="00971C2F"/>
    <w:rsid w:val="00974129"/>
    <w:rsid w:val="00984202"/>
    <w:rsid w:val="00984710"/>
    <w:rsid w:val="00985B45"/>
    <w:rsid w:val="009A35E2"/>
    <w:rsid w:val="009A4C1B"/>
    <w:rsid w:val="009B1C08"/>
    <w:rsid w:val="009C52C0"/>
    <w:rsid w:val="009D056F"/>
    <w:rsid w:val="009D5532"/>
    <w:rsid w:val="009E1912"/>
    <w:rsid w:val="009E1BE6"/>
    <w:rsid w:val="009E42FA"/>
    <w:rsid w:val="009E768E"/>
    <w:rsid w:val="009E7D50"/>
    <w:rsid w:val="009F3710"/>
    <w:rsid w:val="00A061EE"/>
    <w:rsid w:val="00A11B93"/>
    <w:rsid w:val="00A11D00"/>
    <w:rsid w:val="00A1251E"/>
    <w:rsid w:val="00A1785C"/>
    <w:rsid w:val="00A21448"/>
    <w:rsid w:val="00A235DE"/>
    <w:rsid w:val="00A27F2E"/>
    <w:rsid w:val="00A32A56"/>
    <w:rsid w:val="00A34878"/>
    <w:rsid w:val="00A512C9"/>
    <w:rsid w:val="00A52AC4"/>
    <w:rsid w:val="00A53BF9"/>
    <w:rsid w:val="00A62A49"/>
    <w:rsid w:val="00A64B90"/>
    <w:rsid w:val="00A73D70"/>
    <w:rsid w:val="00A755FC"/>
    <w:rsid w:val="00A844DD"/>
    <w:rsid w:val="00A85B09"/>
    <w:rsid w:val="00A91F78"/>
    <w:rsid w:val="00A9655A"/>
    <w:rsid w:val="00AB0814"/>
    <w:rsid w:val="00AB1D3E"/>
    <w:rsid w:val="00AB1E5C"/>
    <w:rsid w:val="00AB75D8"/>
    <w:rsid w:val="00AD274A"/>
    <w:rsid w:val="00AE6EC4"/>
    <w:rsid w:val="00AF6795"/>
    <w:rsid w:val="00B002FE"/>
    <w:rsid w:val="00B00DE1"/>
    <w:rsid w:val="00B02601"/>
    <w:rsid w:val="00B04998"/>
    <w:rsid w:val="00B05E50"/>
    <w:rsid w:val="00B40719"/>
    <w:rsid w:val="00B40DED"/>
    <w:rsid w:val="00B53497"/>
    <w:rsid w:val="00B537DC"/>
    <w:rsid w:val="00B5551D"/>
    <w:rsid w:val="00B761D9"/>
    <w:rsid w:val="00B823D5"/>
    <w:rsid w:val="00B918FE"/>
    <w:rsid w:val="00B920D2"/>
    <w:rsid w:val="00B95808"/>
    <w:rsid w:val="00B96A39"/>
    <w:rsid w:val="00BA1BC8"/>
    <w:rsid w:val="00BA7F07"/>
    <w:rsid w:val="00BB4D88"/>
    <w:rsid w:val="00BC36F0"/>
    <w:rsid w:val="00BD1603"/>
    <w:rsid w:val="00BD4E25"/>
    <w:rsid w:val="00BD556E"/>
    <w:rsid w:val="00BE277F"/>
    <w:rsid w:val="00BE451A"/>
    <w:rsid w:val="00BF1EFD"/>
    <w:rsid w:val="00BF7E2C"/>
    <w:rsid w:val="00C068BA"/>
    <w:rsid w:val="00C122D0"/>
    <w:rsid w:val="00C345CD"/>
    <w:rsid w:val="00C36D5B"/>
    <w:rsid w:val="00C4796E"/>
    <w:rsid w:val="00C50770"/>
    <w:rsid w:val="00C52EEB"/>
    <w:rsid w:val="00C566B6"/>
    <w:rsid w:val="00C57358"/>
    <w:rsid w:val="00C73616"/>
    <w:rsid w:val="00C77DFC"/>
    <w:rsid w:val="00C92A82"/>
    <w:rsid w:val="00C95FFB"/>
    <w:rsid w:val="00CA71D7"/>
    <w:rsid w:val="00CA7E53"/>
    <w:rsid w:val="00CB301B"/>
    <w:rsid w:val="00CB306A"/>
    <w:rsid w:val="00CB311A"/>
    <w:rsid w:val="00CD27C1"/>
    <w:rsid w:val="00CD7372"/>
    <w:rsid w:val="00CE68F4"/>
    <w:rsid w:val="00CF147B"/>
    <w:rsid w:val="00D00EB0"/>
    <w:rsid w:val="00D0308B"/>
    <w:rsid w:val="00D10E0D"/>
    <w:rsid w:val="00D12C66"/>
    <w:rsid w:val="00D1439E"/>
    <w:rsid w:val="00D31452"/>
    <w:rsid w:val="00D43080"/>
    <w:rsid w:val="00D45C8F"/>
    <w:rsid w:val="00D50605"/>
    <w:rsid w:val="00D51200"/>
    <w:rsid w:val="00D53368"/>
    <w:rsid w:val="00D53D67"/>
    <w:rsid w:val="00D57850"/>
    <w:rsid w:val="00D62B10"/>
    <w:rsid w:val="00D64749"/>
    <w:rsid w:val="00D71646"/>
    <w:rsid w:val="00D71F37"/>
    <w:rsid w:val="00D731EE"/>
    <w:rsid w:val="00D87F02"/>
    <w:rsid w:val="00D96A05"/>
    <w:rsid w:val="00D97846"/>
    <w:rsid w:val="00DA47C5"/>
    <w:rsid w:val="00DA4CAC"/>
    <w:rsid w:val="00DB369B"/>
    <w:rsid w:val="00DB4949"/>
    <w:rsid w:val="00DB672F"/>
    <w:rsid w:val="00DB7057"/>
    <w:rsid w:val="00DB71C9"/>
    <w:rsid w:val="00DC3175"/>
    <w:rsid w:val="00DD0EF9"/>
    <w:rsid w:val="00DE5DEB"/>
    <w:rsid w:val="00DE76FE"/>
    <w:rsid w:val="00DF4026"/>
    <w:rsid w:val="00DF611B"/>
    <w:rsid w:val="00DF7031"/>
    <w:rsid w:val="00E016E1"/>
    <w:rsid w:val="00E04FAB"/>
    <w:rsid w:val="00E12324"/>
    <w:rsid w:val="00E254F2"/>
    <w:rsid w:val="00E27396"/>
    <w:rsid w:val="00E35839"/>
    <w:rsid w:val="00E469BE"/>
    <w:rsid w:val="00E61DBE"/>
    <w:rsid w:val="00E66F0E"/>
    <w:rsid w:val="00E70ACF"/>
    <w:rsid w:val="00EA37DD"/>
    <w:rsid w:val="00EA5AB8"/>
    <w:rsid w:val="00EB1C5A"/>
    <w:rsid w:val="00EC3288"/>
    <w:rsid w:val="00ED4633"/>
    <w:rsid w:val="00EE2829"/>
    <w:rsid w:val="00EE574C"/>
    <w:rsid w:val="00EF34AD"/>
    <w:rsid w:val="00EF6DA4"/>
    <w:rsid w:val="00F00CCA"/>
    <w:rsid w:val="00F02A4D"/>
    <w:rsid w:val="00F02F8A"/>
    <w:rsid w:val="00F25413"/>
    <w:rsid w:val="00F25AC5"/>
    <w:rsid w:val="00F320F8"/>
    <w:rsid w:val="00F32C57"/>
    <w:rsid w:val="00F34DED"/>
    <w:rsid w:val="00F47011"/>
    <w:rsid w:val="00F5125C"/>
    <w:rsid w:val="00F51987"/>
    <w:rsid w:val="00F52A9F"/>
    <w:rsid w:val="00F543B6"/>
    <w:rsid w:val="00F8266A"/>
    <w:rsid w:val="00F8283C"/>
    <w:rsid w:val="00F842ED"/>
    <w:rsid w:val="00F844F0"/>
    <w:rsid w:val="00FB31C0"/>
    <w:rsid w:val="00FC5960"/>
    <w:rsid w:val="00FD1B21"/>
    <w:rsid w:val="00FD35CD"/>
    <w:rsid w:val="00FD4D7F"/>
    <w:rsid w:val="00FE5F79"/>
    <w:rsid w:val="00FF4D97"/>
    <w:rsid w:val="00FF6516"/>
    <w:rsid w:val="00FF65A4"/>
    <w:rsid w:val="00FF76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6A11DD"/>
  <w15:chartTrackingRefBased/>
  <w15:docId w15:val="{30B7F4F1-C9C7-4664-BCC6-32744D2D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6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5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0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A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5E50"/>
  </w:style>
  <w:style w:type="character" w:styleId="Hyperlink">
    <w:name w:val="Hyperlink"/>
    <w:basedOn w:val="DefaultParagraphFont"/>
    <w:uiPriority w:val="99"/>
    <w:unhideWhenUsed/>
    <w:rsid w:val="003823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3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7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46B"/>
  </w:style>
  <w:style w:type="paragraph" w:styleId="Footer">
    <w:name w:val="footer"/>
    <w:basedOn w:val="Normal"/>
    <w:link w:val="FooterChar"/>
    <w:uiPriority w:val="99"/>
    <w:unhideWhenUsed/>
    <w:rsid w:val="001C7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46B"/>
  </w:style>
  <w:style w:type="paragraph" w:styleId="NormalWeb">
    <w:name w:val="Normal (Web)"/>
    <w:basedOn w:val="Normal"/>
    <w:uiPriority w:val="99"/>
    <w:semiHidden/>
    <w:unhideWhenUsed/>
    <w:rsid w:val="00BF7E2C"/>
    <w:pPr>
      <w:spacing w:before="100" w:beforeAutospacing="1" w:after="100" w:afterAutospacing="1"/>
    </w:pPr>
    <w:rPr>
      <w:rFonts w:ascii="Calibri" w:hAnsi="Calibri" w:cs="Calibri"/>
      <w:sz w:val="22"/>
    </w:rPr>
  </w:style>
  <w:style w:type="character" w:customStyle="1" w:styleId="bumpedfont15">
    <w:name w:val="bumpedfont15"/>
    <w:basedOn w:val="DefaultParagraphFont"/>
    <w:rsid w:val="00BF7E2C"/>
  </w:style>
  <w:style w:type="character" w:customStyle="1" w:styleId="apple-converted-space">
    <w:name w:val="apple-converted-space"/>
    <w:basedOn w:val="DefaultParagraphFont"/>
    <w:rsid w:val="00BF7E2C"/>
  </w:style>
  <w:style w:type="character" w:customStyle="1" w:styleId="Heading1Char">
    <w:name w:val="Heading 1 Char"/>
    <w:basedOn w:val="DefaultParagraphFont"/>
    <w:link w:val="Heading1"/>
    <w:uiPriority w:val="9"/>
    <w:rsid w:val="00C736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CUIReviewer xmlns="42a8a83a-5e27-410c-a1fc-7c5ac4e503f4">
      <UserInfo>
        <DisplayName/>
        <AccountId xsi:nil="true"/>
        <AccountType/>
      </UserInfo>
    </CUIReviewer>
    <CUIFalsePositive xmlns="42a8a83a-5e27-410c-a1fc-7c5ac4e503f4" xsi:nil="true"/>
    <PBGCCUI xmlns="42a8a83a-5e27-410c-a1fc-7c5ac4e503f4" xsi:nil="true"/>
    <Marking xmlns="42a8a83a-5e27-410c-a1fc-7c5ac4e503f4" xsi:nil="true"/>
    <CUIReviewTimestamp xmlns="42a8a83a-5e27-410c-a1fc-7c5ac4e503f4" xsi:nil="true"/>
    <CUIReviewedBy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TaxCatchAll xmlns="42a8a83a-5e27-410c-a1fc-7c5ac4e503f4">
      <Value>6</Value>
    </TaxCatchAll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E31C7-8C24-47F0-82B0-87EBC2548BB9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2.xml><?xml version="1.0" encoding="utf-8"?>
<ds:datastoreItem xmlns:ds="http://schemas.openxmlformats.org/officeDocument/2006/customXml" ds:itemID="{9C890B16-A781-4190-9642-88BA393C4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60D84-73E3-4E34-A182-F5F0B9D16AB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1C86EEC-869D-42AA-A20E-BF8433CF0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 Deborah</dc:creator>
  <cp:lastModifiedBy>Cibinic Stephanie</cp:lastModifiedBy>
  <cp:revision>53</cp:revision>
  <dcterms:created xsi:type="dcterms:W3CDTF">2022-09-08T20:34:00Z</dcterms:created>
  <dcterms:modified xsi:type="dcterms:W3CDTF">2022-09-08T21:25:00Z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OGC Document Status">
    <vt:lpwstr>6;#Draft|4e9a4bc7-9032-4d66-87ab-b16dbcbcd63b</vt:lpwstr>
  </property>
  <property fmtid="{D5CDD505-2E9C-101B-9397-08002B2CF9AE}" pid="4" name="Order">
    <vt:r8>100</vt:r8>
  </property>
  <property fmtid="{D5CDD505-2E9C-101B-9397-08002B2CF9AE}" pid="5" name="Source Library">
    <vt:lpwstr/>
  </property>
  <property fmtid="{D5CDD505-2E9C-101B-9397-08002B2CF9AE}" pid="6" name="Source Type">
    <vt:lpwstr>File share</vt:lpwstr>
  </property>
</Properties>
</file>