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7886" w:rsidP="00077886" w14:paraId="038DFBB0" w14:textId="77777777">
      <w:pPr>
        <w:pStyle w:val="Heading1"/>
      </w:pPr>
      <w:r>
        <w:tab/>
      </w:r>
      <w:r>
        <w:t>Supporting Statement</w:t>
      </w:r>
    </w:p>
    <w:p w:rsidR="00077886" w:rsidP="00077886" w14:paraId="78FD4D0D" w14:textId="77777777">
      <w:pPr>
        <w:tabs>
          <w:tab w:val="center" w:pos="4824"/>
        </w:tabs>
        <w:jc w:val="both"/>
        <w:rPr>
          <w:rFonts w:ascii="Arial" w:hAnsi="Arial"/>
          <w:b/>
          <w:sz w:val="28"/>
        </w:rPr>
      </w:pPr>
      <w:r>
        <w:rPr>
          <w:rFonts w:ascii="Arial" w:hAnsi="Arial"/>
          <w:b/>
          <w:sz w:val="28"/>
        </w:rPr>
        <w:tab/>
        <w:t>Ship's Stores Declaration</w:t>
      </w:r>
    </w:p>
    <w:p w:rsidR="00077886" w:rsidP="00077886" w14:paraId="2881DBD1" w14:textId="77777777">
      <w:pPr>
        <w:tabs>
          <w:tab w:val="center" w:pos="4824"/>
        </w:tabs>
        <w:jc w:val="both"/>
        <w:rPr>
          <w:rFonts w:ascii="Arial" w:hAnsi="Arial"/>
          <w:b/>
          <w:sz w:val="28"/>
        </w:rPr>
      </w:pPr>
      <w:r>
        <w:rPr>
          <w:rFonts w:ascii="Arial" w:hAnsi="Arial"/>
          <w:b/>
          <w:sz w:val="28"/>
        </w:rPr>
        <w:tab/>
        <w:t>1651-0018</w:t>
      </w:r>
    </w:p>
    <w:p w:rsidR="00077886" w:rsidRPr="00077886" w:rsidP="00B67929" w14:paraId="18DAB094" w14:textId="77777777">
      <w:pPr>
        <w:tabs>
          <w:tab w:val="center" w:pos="4824"/>
        </w:tabs>
        <w:rPr>
          <w:rFonts w:ascii="Arial" w:hAnsi="Arial"/>
          <w:b/>
          <w:szCs w:val="24"/>
        </w:rPr>
      </w:pPr>
      <w:r w:rsidRPr="00077886">
        <w:rPr>
          <w:rFonts w:ascii="Arial" w:hAnsi="Arial"/>
          <w:b/>
          <w:szCs w:val="24"/>
        </w:rPr>
        <w:t>A.      Justification</w:t>
      </w:r>
    </w:p>
    <w:p w:rsidR="00077886" w:rsidP="00077886" w14:paraId="18B4D477" w14:textId="77777777">
      <w:pPr>
        <w:pStyle w:val="Heading1"/>
      </w:pPr>
    </w:p>
    <w:p w:rsidR="00077886" w:rsidRPr="004F3D9C" w:rsidP="00077886" w14:paraId="6C47A3A2" w14:textId="77777777">
      <w:pPr>
        <w:numPr>
          <w:ilvl w:val="0"/>
          <w:numId w:val="3"/>
        </w:numPr>
        <w:jc w:val="both"/>
        <w:rPr>
          <w:rFonts w:ascii="Arial" w:hAnsi="Arial" w:cs="Arial"/>
          <w:b/>
          <w:bCs/>
          <w:szCs w:val="24"/>
        </w:rPr>
      </w:pPr>
      <w:r w:rsidRPr="004F3D9C">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4F3D9C" w:rsidR="00DB04A4">
        <w:rPr>
          <w:rFonts w:ascii="Arial" w:hAnsi="Arial" w:cs="Arial"/>
          <w:b/>
          <w:bCs/>
          <w:szCs w:val="24"/>
        </w:rPr>
        <w:t>t</w:t>
      </w:r>
      <w:r w:rsidRPr="004F3D9C">
        <w:rPr>
          <w:rFonts w:ascii="Arial" w:hAnsi="Arial" w:cs="Arial"/>
          <w:b/>
          <w:bCs/>
          <w:szCs w:val="24"/>
        </w:rPr>
        <w:t>e and regulation mandating or authorizing the collection of information.</w:t>
      </w:r>
    </w:p>
    <w:p w:rsidR="00077886" w:rsidP="00077886" w14:paraId="135D65DB" w14:textId="77777777">
      <w:pPr>
        <w:tabs>
          <w:tab w:val="left" w:pos="-1440"/>
        </w:tabs>
        <w:ind w:left="720"/>
        <w:jc w:val="both"/>
        <w:rPr>
          <w:rFonts w:ascii="Arial" w:hAnsi="Arial"/>
          <w:szCs w:val="24"/>
        </w:rPr>
      </w:pPr>
    </w:p>
    <w:p w:rsidR="0007515A" w:rsidRPr="00DA3163" w:rsidP="0007515A" w14:paraId="34DA496A" w14:textId="353F325D">
      <w:pPr>
        <w:tabs>
          <w:tab w:val="left" w:pos="-1440"/>
        </w:tabs>
        <w:ind w:left="720"/>
        <w:rPr>
          <w:rFonts w:ascii="Arial" w:hAnsi="Arial"/>
        </w:rPr>
      </w:pPr>
      <w:r w:rsidRPr="00A6582B">
        <w:rPr>
          <w:rFonts w:ascii="Arial" w:hAnsi="Arial"/>
        </w:rPr>
        <w:t>CBP Form 1303</w:t>
      </w:r>
      <w:r w:rsidRPr="00A6582B" w:rsidR="00480D2C">
        <w:rPr>
          <w:rFonts w:ascii="Arial" w:hAnsi="Arial"/>
        </w:rPr>
        <w:t>, Ship’s Stores Declaration</w:t>
      </w:r>
      <w:r w:rsidRPr="00A6582B" w:rsidR="004757B0">
        <w:rPr>
          <w:rFonts w:ascii="Arial" w:hAnsi="Arial"/>
        </w:rPr>
        <w:t>,</w:t>
      </w:r>
      <w:r w:rsidRPr="00A6582B">
        <w:rPr>
          <w:rFonts w:ascii="Arial" w:hAnsi="Arial"/>
        </w:rPr>
        <w:t xml:space="preserve"> is used by the carriers to declare </w:t>
      </w:r>
      <w:r w:rsidRPr="00A6582B" w:rsidR="00453CCE">
        <w:rPr>
          <w:rFonts w:ascii="Arial" w:hAnsi="Arial"/>
        </w:rPr>
        <w:t>articles</w:t>
      </w:r>
      <w:r w:rsidRPr="00A6582B">
        <w:rPr>
          <w:rFonts w:ascii="Arial" w:hAnsi="Arial"/>
        </w:rPr>
        <w:t xml:space="preserve"> to be retained on board the vessel, such as sea stores, ship's stores</w:t>
      </w:r>
      <w:r w:rsidRPr="00A6582B" w:rsidR="00002059">
        <w:rPr>
          <w:rFonts w:ascii="Arial" w:hAnsi="Arial"/>
        </w:rPr>
        <w:t xml:space="preserve"> (</w:t>
      </w:r>
      <w:r w:rsidRPr="00A6582B" w:rsidR="00002059">
        <w:rPr>
          <w:rFonts w:ascii="Arial" w:hAnsi="Arial"/>
        </w:rPr>
        <w:t>e.g.</w:t>
      </w:r>
      <w:r w:rsidRPr="00A6582B" w:rsidR="00002059">
        <w:rPr>
          <w:rFonts w:ascii="Arial" w:hAnsi="Arial"/>
        </w:rPr>
        <w:t xml:space="preserve"> alcohol and tobacco products)</w:t>
      </w:r>
      <w:r w:rsidRPr="00A6582B">
        <w:rPr>
          <w:rFonts w:ascii="Arial" w:hAnsi="Arial"/>
        </w:rPr>
        <w:t xml:space="preserve">, </w:t>
      </w:r>
      <w:r w:rsidRPr="00A6582B" w:rsidR="00480D2C">
        <w:rPr>
          <w:rFonts w:ascii="Arial" w:hAnsi="Arial"/>
        </w:rPr>
        <w:t>controlled narcotic drugs</w:t>
      </w:r>
      <w:r w:rsidRPr="00A6582B" w:rsidR="00F825F3">
        <w:rPr>
          <w:rFonts w:ascii="Arial" w:hAnsi="Arial"/>
        </w:rPr>
        <w:t xml:space="preserve"> or</w:t>
      </w:r>
      <w:r w:rsidRPr="00A6582B">
        <w:rPr>
          <w:rFonts w:ascii="Arial" w:hAnsi="Arial"/>
        </w:rPr>
        <w:t xml:space="preserve"> bunker </w:t>
      </w:r>
      <w:r w:rsidRPr="00A6582B" w:rsidR="00002059">
        <w:rPr>
          <w:rFonts w:ascii="Arial" w:hAnsi="Arial"/>
        </w:rPr>
        <w:t>fuel</w:t>
      </w:r>
      <w:r w:rsidRPr="00A6582B">
        <w:rPr>
          <w:rFonts w:ascii="Arial" w:hAnsi="Arial"/>
        </w:rPr>
        <w:t xml:space="preserve"> in a format that can be readily audited and checked by CBP.</w:t>
      </w:r>
      <w:r w:rsidRPr="00A6582B" w:rsidR="00F65FE3">
        <w:rPr>
          <w:rFonts w:ascii="Arial" w:hAnsi="Arial"/>
        </w:rPr>
        <w:t xml:space="preserve"> </w:t>
      </w:r>
      <w:r w:rsidRPr="00A6582B">
        <w:rPr>
          <w:rFonts w:ascii="Arial" w:hAnsi="Arial"/>
        </w:rPr>
        <w:t>The form was developed as a single international standard ship's stores declaration form to replace the different forms used by various countries for the entrance and clearance of vessels</w:t>
      </w:r>
      <w:r w:rsidRPr="00A6582B" w:rsidR="000D3099">
        <w:rPr>
          <w:rFonts w:ascii="Arial" w:hAnsi="Arial"/>
        </w:rPr>
        <w:t>.  CBP Form 1303 collects information</w:t>
      </w:r>
      <w:r w:rsidRPr="00A6582B" w:rsidR="009F44EE">
        <w:rPr>
          <w:rFonts w:ascii="Arial" w:hAnsi="Arial"/>
        </w:rPr>
        <w:t xml:space="preserve"> </w:t>
      </w:r>
      <w:r w:rsidRPr="00A6582B" w:rsidR="007F55C7">
        <w:rPr>
          <w:rFonts w:ascii="Arial" w:hAnsi="Arial"/>
        </w:rPr>
        <w:t>about</w:t>
      </w:r>
      <w:r w:rsidRPr="00A6582B" w:rsidR="000D3099">
        <w:rPr>
          <w:rFonts w:ascii="Arial" w:hAnsi="Arial"/>
        </w:rPr>
        <w:t xml:space="preserve"> the ship, the ports of arrival</w:t>
      </w:r>
      <w:r w:rsidRPr="00A6582B" w:rsidR="009F44EE">
        <w:rPr>
          <w:rFonts w:ascii="Arial" w:hAnsi="Arial"/>
        </w:rPr>
        <w:t xml:space="preserve"> and departure</w:t>
      </w:r>
      <w:r w:rsidRPr="00A6582B" w:rsidR="000D3099">
        <w:rPr>
          <w:rFonts w:ascii="Arial" w:hAnsi="Arial"/>
        </w:rPr>
        <w:t xml:space="preserve">, and the articles on the ship.  </w:t>
      </w:r>
      <w:r w:rsidRPr="00A6582B" w:rsidR="00B51F87">
        <w:rPr>
          <w:rFonts w:ascii="Arial" w:hAnsi="Arial"/>
        </w:rPr>
        <w:t xml:space="preserve">This form is provided for by </w:t>
      </w:r>
      <w:r w:rsidRPr="00A6582B">
        <w:rPr>
          <w:rFonts w:ascii="Arial" w:hAnsi="Arial"/>
        </w:rPr>
        <w:t>19 CFR 4.7</w:t>
      </w:r>
      <w:r w:rsidRPr="00A6582B" w:rsidR="00453CCE">
        <w:rPr>
          <w:rFonts w:ascii="Arial" w:hAnsi="Arial"/>
        </w:rPr>
        <w:t xml:space="preserve">, 4.7a, 4.81, 4.85 </w:t>
      </w:r>
      <w:r w:rsidRPr="00A6582B" w:rsidR="003C2FAE">
        <w:rPr>
          <w:rFonts w:ascii="Arial" w:hAnsi="Arial"/>
        </w:rPr>
        <w:t>and</w:t>
      </w:r>
      <w:r w:rsidRPr="00A6582B" w:rsidR="00453CCE">
        <w:rPr>
          <w:rFonts w:ascii="Arial" w:hAnsi="Arial"/>
        </w:rPr>
        <w:t xml:space="preserve"> 4.87</w:t>
      </w:r>
      <w:r w:rsidRPr="00A6582B" w:rsidR="00B51F87">
        <w:rPr>
          <w:rFonts w:ascii="Arial" w:hAnsi="Arial"/>
        </w:rPr>
        <w:t xml:space="preserve"> and is accessible at:</w:t>
      </w:r>
      <w:r w:rsidRPr="00A6582B" w:rsidR="00176437">
        <w:rPr>
          <w:rFonts w:ascii="Arial" w:hAnsi="Arial"/>
        </w:rPr>
        <w:t xml:space="preserve"> </w:t>
      </w:r>
      <w:hyperlink r:id="rId5" w:history="1">
        <w:r w:rsidRPr="0007515A" w:rsidR="00A63CBC">
          <w:rPr>
            <w:rStyle w:val="Hyperlink"/>
            <w:rFonts w:ascii="Arial" w:hAnsi="Arial" w:cs="Arial"/>
            <w:color w:val="0000FF"/>
            <w:u w:val="single"/>
            <w:shd w:val="clear" w:color="auto" w:fill="auto"/>
          </w:rPr>
          <w:t>https://www.cbp.gov/newsroom/publications/forms?title=1303&amp;=Apply</w:t>
        </w:r>
      </w:hyperlink>
    </w:p>
    <w:p w:rsidR="0007515A" w:rsidP="0007515A" w14:paraId="4C0F7CD8" w14:textId="77777777">
      <w:pPr>
        <w:ind w:left="720" w:hanging="720"/>
        <w:rPr>
          <w:rFonts w:ascii="Arial" w:hAnsi="Arial" w:cs="Arial"/>
        </w:rPr>
      </w:pPr>
    </w:p>
    <w:p w:rsidR="00AF3D42" w:rsidP="002C3626" w14:paraId="12BC3014" w14:textId="77777777">
      <w:pPr>
        <w:tabs>
          <w:tab w:val="left" w:pos="-1440"/>
        </w:tabs>
        <w:ind w:left="720" w:hanging="720"/>
        <w:rPr>
          <w:rFonts w:ascii="Arial" w:hAnsi="Arial"/>
        </w:rPr>
      </w:pPr>
      <w:bookmarkStart w:id="0" w:name="_Hlk84923364"/>
      <w:r>
        <w:rPr>
          <w:rFonts w:ascii="Arial" w:hAnsi="Arial"/>
        </w:rPr>
        <w:tab/>
      </w:r>
      <w:bookmarkEnd w:id="0"/>
      <w:r w:rsidRPr="00AF3D42">
        <w:rPr>
          <w:rFonts w:ascii="Arial" w:hAnsi="Arial"/>
          <w:b/>
          <w:bCs/>
        </w:rPr>
        <w:t>New Change</w:t>
      </w:r>
      <w:r>
        <w:rPr>
          <w:rFonts w:ascii="Arial" w:hAnsi="Arial"/>
        </w:rPr>
        <w:t>:</w:t>
      </w:r>
    </w:p>
    <w:p w:rsidR="002C3626" w:rsidRPr="002C3626" w:rsidP="00AF3D42" w14:paraId="00BF4362" w14:textId="2B3B085A">
      <w:pPr>
        <w:tabs>
          <w:tab w:val="left" w:pos="-1440"/>
        </w:tabs>
        <w:ind w:left="720"/>
        <w:rPr>
          <w:rFonts w:ascii="Arial" w:hAnsi="Arial"/>
          <w:bCs/>
        </w:rPr>
      </w:pPr>
      <w:r w:rsidRPr="002C3626">
        <w:rPr>
          <w:rFonts w:ascii="Arial" w:hAnsi="Arial"/>
          <w:bCs/>
        </w:rPr>
        <w:t>This form is anticipated to be submitted electronically as part of the maritime forms automation project through the Vessel Entrance and Clearance System (VECS</w:t>
      </w:r>
      <w:r w:rsidRPr="002C3626">
        <w:rPr>
          <w:rFonts w:ascii="Arial" w:hAnsi="Arial"/>
          <w:bCs/>
        </w:rPr>
        <w:t>),  which</w:t>
      </w:r>
      <w:r w:rsidRPr="002C3626">
        <w:rPr>
          <w:rFonts w:ascii="Arial" w:hAnsi="Arial"/>
          <w:bCs/>
        </w:rPr>
        <w:t xml:space="preserve"> will eliminate the need for any paper submission of any vessel entrance or clearance requirements under the above referenced statutes and regulations. VECS will still collect and maintain the same </w:t>
      </w:r>
      <w:r w:rsidRPr="002C3626">
        <w:rPr>
          <w:rFonts w:ascii="Arial" w:hAnsi="Arial"/>
          <w:bCs/>
        </w:rPr>
        <w:t>data, but</w:t>
      </w:r>
      <w:r w:rsidRPr="002C3626">
        <w:rPr>
          <w:rFonts w:ascii="Arial" w:hAnsi="Arial"/>
          <w:bCs/>
        </w:rPr>
        <w:t xml:space="preserve"> will automate the capture of data to reduce or eliminate redundancy with other data collected by CBP.</w:t>
      </w:r>
    </w:p>
    <w:p w:rsidR="0007515A" w:rsidP="0007515A" w14:paraId="0935424A" w14:textId="4488BFFF">
      <w:pPr>
        <w:tabs>
          <w:tab w:val="left" w:pos="-1440"/>
        </w:tabs>
        <w:ind w:left="720" w:hanging="720"/>
        <w:rPr>
          <w:rFonts w:ascii="Arial" w:hAnsi="Arial"/>
          <w:snapToGrid/>
        </w:rPr>
      </w:pPr>
    </w:p>
    <w:p w:rsidR="001A4854" w:rsidP="00356680" w14:paraId="3FE7412F" w14:textId="77777777">
      <w:pPr>
        <w:tabs>
          <w:tab w:val="left" w:pos="-1440"/>
        </w:tabs>
        <w:ind w:left="720"/>
        <w:rPr>
          <w:rFonts w:ascii="Arial" w:hAnsi="Arial"/>
        </w:rPr>
      </w:pPr>
    </w:p>
    <w:p w:rsidR="00077886" w:rsidRPr="00C47181" w:rsidP="00077886" w14:paraId="25BC7062" w14:textId="77777777">
      <w:pPr>
        <w:ind w:left="720" w:hanging="570"/>
        <w:jc w:val="both"/>
        <w:rPr>
          <w:szCs w:val="24"/>
        </w:rPr>
      </w:pPr>
      <w:r w:rsidRPr="004F3D9C">
        <w:rPr>
          <w:rFonts w:ascii="Arial" w:hAnsi="Arial" w:cs="Arial"/>
          <w:b/>
          <w:bCs/>
          <w:szCs w:val="24"/>
        </w:rPr>
        <w:t>2.</w:t>
      </w:r>
      <w:r w:rsidRPr="004F3D9C">
        <w:rPr>
          <w:szCs w:val="24"/>
        </w:rPr>
        <w:tab/>
      </w:r>
      <w:r w:rsidRPr="004F3D9C">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4F3D9C">
        <w:rPr>
          <w:szCs w:val="24"/>
        </w:rPr>
        <w:t>.</w:t>
      </w:r>
    </w:p>
    <w:p w:rsidR="00077886" w:rsidP="00573743" w14:paraId="49302968" w14:textId="77777777">
      <w:pPr>
        <w:jc w:val="both"/>
        <w:rPr>
          <w:rFonts w:ascii="Arial" w:hAnsi="Arial"/>
        </w:rPr>
      </w:pPr>
      <w:r>
        <w:rPr>
          <w:rFonts w:ascii="Arial" w:hAnsi="Arial"/>
          <w:szCs w:val="24"/>
        </w:rPr>
        <w:tab/>
      </w:r>
      <w:r>
        <w:tab/>
      </w:r>
    </w:p>
    <w:p w:rsidR="00077886" w:rsidP="00077886" w14:paraId="57B15166" w14:textId="77777777">
      <w:pPr>
        <w:tabs>
          <w:tab w:val="left" w:pos="-1440"/>
        </w:tabs>
        <w:ind w:left="720" w:hanging="720"/>
        <w:jc w:val="both"/>
        <w:rPr>
          <w:rFonts w:ascii="Arial" w:hAnsi="Arial"/>
        </w:rPr>
      </w:pPr>
      <w:r>
        <w:rPr>
          <w:rFonts w:ascii="Arial" w:hAnsi="Arial"/>
        </w:rPr>
        <w:tab/>
      </w:r>
      <w:r w:rsidR="00BF05F4">
        <w:rPr>
          <w:rFonts w:ascii="Arial" w:hAnsi="Arial"/>
        </w:rPr>
        <w:t>CBP uses this i</w:t>
      </w:r>
      <w:r>
        <w:rPr>
          <w:rFonts w:ascii="Arial" w:hAnsi="Arial"/>
        </w:rPr>
        <w:t xml:space="preserve">nformation </w:t>
      </w:r>
      <w:r w:rsidR="00BF05F4">
        <w:rPr>
          <w:rFonts w:ascii="Arial" w:hAnsi="Arial"/>
        </w:rPr>
        <w:t xml:space="preserve">to keep control over </w:t>
      </w:r>
      <w:r>
        <w:rPr>
          <w:rFonts w:ascii="Arial" w:hAnsi="Arial"/>
        </w:rPr>
        <w:t>articles in the ship's stores</w:t>
      </w:r>
      <w:r w:rsidR="00590B13">
        <w:rPr>
          <w:rFonts w:ascii="Arial" w:hAnsi="Arial"/>
        </w:rPr>
        <w:t xml:space="preserve"> and </w:t>
      </w:r>
      <w:r w:rsidR="00E35597">
        <w:rPr>
          <w:rFonts w:ascii="Arial" w:hAnsi="Arial"/>
        </w:rPr>
        <w:t xml:space="preserve">make </w:t>
      </w:r>
      <w:r w:rsidR="00A3443B">
        <w:rPr>
          <w:rFonts w:ascii="Arial" w:hAnsi="Arial"/>
        </w:rPr>
        <w:t xml:space="preserve">sure the proper amount of revenue is collected.  This form also </w:t>
      </w:r>
      <w:r w:rsidR="00590B13">
        <w:rPr>
          <w:rFonts w:ascii="Arial" w:hAnsi="Arial"/>
        </w:rPr>
        <w:t>give</w:t>
      </w:r>
      <w:r w:rsidR="00A3443B">
        <w:rPr>
          <w:rFonts w:ascii="Arial" w:hAnsi="Arial"/>
        </w:rPr>
        <w:t>s</w:t>
      </w:r>
      <w:r w:rsidR="00590B13">
        <w:rPr>
          <w:rFonts w:ascii="Arial" w:hAnsi="Arial"/>
        </w:rPr>
        <w:t xml:space="preserve"> carriers a method of declaring articles to be retained on board a vessel.</w:t>
      </w:r>
    </w:p>
    <w:p w:rsidR="0007515A" w:rsidP="0007515A" w14:paraId="4F619FDD" w14:textId="77777777">
      <w:pPr>
        <w:ind w:left="720" w:hanging="720"/>
        <w:rPr>
          <w:rFonts w:ascii="Arial" w:hAnsi="Arial" w:cs="Arial"/>
        </w:rPr>
      </w:pPr>
      <w:r>
        <w:rPr>
          <w:rFonts w:ascii="Arial" w:hAnsi="Arial"/>
          <w:b/>
          <w:bCs/>
          <w:szCs w:val="24"/>
        </w:rPr>
        <w:tab/>
      </w:r>
    </w:p>
    <w:p w:rsidR="001A58FF" w:rsidRPr="001A58FF" w:rsidP="001A58FF" w14:paraId="6B9482CF" w14:textId="77777777">
      <w:pPr>
        <w:tabs>
          <w:tab w:val="left" w:pos="-1440"/>
        </w:tabs>
        <w:ind w:left="720" w:hanging="720"/>
        <w:rPr>
          <w:rFonts w:ascii="Arial" w:hAnsi="Arial"/>
          <w:bCs/>
        </w:rPr>
      </w:pPr>
      <w:r>
        <w:rPr>
          <w:rFonts w:ascii="Arial" w:hAnsi="Arial"/>
        </w:rPr>
        <w:tab/>
      </w:r>
      <w:r w:rsidRPr="001A58FF">
        <w:rPr>
          <w:rFonts w:ascii="Arial" w:hAnsi="Arial"/>
          <w:bCs/>
        </w:rPr>
        <w:t>This form is anticipated to be submitted electronically as part of the maritime forms automation project through the Vessel Entrance and Clearance System (VECS</w:t>
      </w:r>
      <w:r w:rsidRPr="001A58FF">
        <w:rPr>
          <w:rFonts w:ascii="Arial" w:hAnsi="Arial"/>
          <w:bCs/>
        </w:rPr>
        <w:t>),  which</w:t>
      </w:r>
      <w:r w:rsidRPr="001A58FF">
        <w:rPr>
          <w:rFonts w:ascii="Arial" w:hAnsi="Arial"/>
          <w:bCs/>
        </w:rPr>
        <w:t xml:space="preserve"> will eliminate the need for any paper submission of any vessel entrance or clearance requirements under the above referenced statutes and regulations. VECS will still collect and maintain the same </w:t>
      </w:r>
      <w:r w:rsidRPr="001A58FF">
        <w:rPr>
          <w:rFonts w:ascii="Arial" w:hAnsi="Arial"/>
          <w:bCs/>
        </w:rPr>
        <w:t>data, but</w:t>
      </w:r>
      <w:r w:rsidRPr="001A58FF">
        <w:rPr>
          <w:rFonts w:ascii="Arial" w:hAnsi="Arial"/>
          <w:bCs/>
        </w:rPr>
        <w:t xml:space="preserve"> will automate the capture of data to reduce or eliminate redundancy with other data collected </w:t>
      </w:r>
      <w:r w:rsidRPr="001A58FF">
        <w:rPr>
          <w:rFonts w:ascii="Arial" w:hAnsi="Arial"/>
          <w:bCs/>
        </w:rPr>
        <w:t>by CBP.</w:t>
      </w:r>
    </w:p>
    <w:p w:rsidR="0007515A" w:rsidP="0007515A" w14:paraId="6F3ECBD5" w14:textId="3B6B1FEF">
      <w:pPr>
        <w:tabs>
          <w:tab w:val="left" w:pos="-1440"/>
        </w:tabs>
        <w:ind w:left="720" w:hanging="720"/>
        <w:rPr>
          <w:rFonts w:ascii="Arial" w:hAnsi="Arial"/>
          <w:snapToGrid/>
        </w:rPr>
      </w:pPr>
    </w:p>
    <w:p w:rsidR="0007515A" w:rsidP="00077886" w14:paraId="30E24BCA" w14:textId="77777777">
      <w:pPr>
        <w:tabs>
          <w:tab w:val="left" w:pos="-1440"/>
        </w:tabs>
        <w:jc w:val="both"/>
        <w:rPr>
          <w:rFonts w:ascii="Arial" w:hAnsi="Arial"/>
          <w:bCs/>
          <w:szCs w:val="24"/>
        </w:rPr>
      </w:pPr>
    </w:p>
    <w:p w:rsidR="0007515A" w:rsidP="00077886" w14:paraId="48C17E3E" w14:textId="77777777">
      <w:pPr>
        <w:tabs>
          <w:tab w:val="left" w:pos="-1440"/>
        </w:tabs>
        <w:jc w:val="both"/>
        <w:rPr>
          <w:rFonts w:ascii="Arial" w:hAnsi="Arial"/>
          <w:bCs/>
          <w:szCs w:val="24"/>
        </w:rPr>
      </w:pPr>
    </w:p>
    <w:p w:rsidR="0007515A" w:rsidP="00077886" w14:paraId="34E060F2" w14:textId="77777777">
      <w:pPr>
        <w:tabs>
          <w:tab w:val="left" w:pos="-1440"/>
        </w:tabs>
        <w:jc w:val="both"/>
        <w:rPr>
          <w:rFonts w:ascii="Arial" w:hAnsi="Arial"/>
          <w:bCs/>
          <w:szCs w:val="24"/>
        </w:rPr>
      </w:pPr>
    </w:p>
    <w:p w:rsidR="00077886" w:rsidRPr="00077886" w:rsidP="00077886" w14:paraId="488C8EFF" w14:textId="4214D947">
      <w:pPr>
        <w:tabs>
          <w:tab w:val="left" w:pos="-1440"/>
        </w:tabs>
        <w:jc w:val="both"/>
        <w:rPr>
          <w:rFonts w:ascii="Arial" w:hAnsi="Arial"/>
          <w:bCs/>
          <w:color w:val="C0C0C0"/>
          <w:szCs w:val="24"/>
        </w:rPr>
      </w:pPr>
      <w:r>
        <w:rPr>
          <w:rFonts w:ascii="Arial" w:hAnsi="Arial"/>
          <w:bCs/>
          <w:szCs w:val="24"/>
        </w:rPr>
        <w:tab/>
      </w:r>
      <w:r w:rsidRPr="00AB1E45">
        <w:rPr>
          <w:rFonts w:ascii="Arial" w:hAnsi="Arial"/>
          <w:bCs/>
          <w:color w:val="C0C0C0"/>
          <w:szCs w:val="24"/>
        </w:rPr>
        <w:t xml:space="preserve"> </w:t>
      </w:r>
    </w:p>
    <w:p w:rsidR="00077886" w:rsidRPr="00C47181" w:rsidP="00077886" w14:paraId="5356976A" w14:textId="77777777">
      <w:pPr>
        <w:tabs>
          <w:tab w:val="left" w:pos="-1440"/>
        </w:tabs>
        <w:ind w:left="720" w:hanging="720"/>
        <w:jc w:val="both"/>
        <w:rPr>
          <w:szCs w:val="24"/>
        </w:rPr>
      </w:pPr>
      <w:r>
        <w:rPr>
          <w:rFonts w:ascii="Arial" w:hAnsi="Arial"/>
          <w:b/>
          <w:bCs/>
          <w:szCs w:val="24"/>
        </w:rPr>
        <w:t xml:space="preserve"> </w:t>
      </w:r>
      <w:r w:rsidRPr="004F3D9C">
        <w:rPr>
          <w:rFonts w:ascii="Arial" w:hAnsi="Arial"/>
          <w:b/>
          <w:bCs/>
          <w:szCs w:val="24"/>
        </w:rPr>
        <w:t>3.</w:t>
      </w:r>
      <w:r w:rsidRPr="004F3D9C">
        <w:rPr>
          <w:rFonts w:ascii="Arial" w:hAnsi="Arial"/>
          <w:szCs w:val="24"/>
        </w:rPr>
        <w:tab/>
      </w:r>
      <w:r w:rsidRPr="004F3D9C">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r w:rsidRPr="004F3D9C">
        <w:rPr>
          <w:rFonts w:ascii="Arial" w:hAnsi="Arial" w:cs="Arial"/>
          <w:b/>
          <w:bCs/>
          <w:szCs w:val="24"/>
        </w:rPr>
        <w:t>e.g.</w:t>
      </w:r>
      <w:r w:rsidRPr="004F3D9C">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4F3D9C">
        <w:rPr>
          <w:szCs w:val="24"/>
        </w:rPr>
        <w:t>.</w:t>
      </w:r>
      <w:r w:rsidRPr="00C47181">
        <w:rPr>
          <w:szCs w:val="24"/>
        </w:rPr>
        <w:t xml:space="preserve">  </w:t>
      </w:r>
    </w:p>
    <w:p w:rsidR="0033258B" w:rsidP="00077886" w14:paraId="3BFBA1FD" w14:textId="77777777">
      <w:pPr>
        <w:jc w:val="both"/>
        <w:rPr>
          <w:rFonts w:ascii="Arial" w:hAnsi="Arial"/>
          <w:szCs w:val="24"/>
        </w:rPr>
      </w:pPr>
      <w:r>
        <w:rPr>
          <w:rFonts w:ascii="Arial" w:hAnsi="Arial"/>
          <w:szCs w:val="24"/>
        </w:rPr>
        <w:tab/>
      </w:r>
    </w:p>
    <w:p w:rsidR="004A1A3F" w:rsidP="00173766" w14:paraId="4D05D63E" w14:textId="73E78DE8">
      <w:pPr>
        <w:ind w:left="720"/>
        <w:jc w:val="both"/>
        <w:rPr>
          <w:rFonts w:ascii="Arial" w:hAnsi="Arial" w:cs="Arial"/>
          <w:szCs w:val="24"/>
        </w:rPr>
      </w:pPr>
      <w:r>
        <w:rPr>
          <w:rFonts w:ascii="Arial" w:hAnsi="Arial"/>
        </w:rPr>
        <w:t>The</w:t>
      </w:r>
      <w:r w:rsidRPr="00A6582B">
        <w:rPr>
          <w:rFonts w:ascii="Arial" w:hAnsi="Arial"/>
        </w:rPr>
        <w:t xml:space="preserve"> Form 1303 </w:t>
      </w:r>
      <w:r>
        <w:rPr>
          <w:rFonts w:ascii="Arial" w:hAnsi="Arial"/>
        </w:rPr>
        <w:t>is a declaration of s</w:t>
      </w:r>
      <w:r w:rsidRPr="00A6582B">
        <w:rPr>
          <w:rFonts w:ascii="Arial" w:hAnsi="Arial"/>
        </w:rPr>
        <w:t xml:space="preserve">hip’s </w:t>
      </w:r>
      <w:r>
        <w:rPr>
          <w:rFonts w:ascii="Arial" w:hAnsi="Arial"/>
        </w:rPr>
        <w:t>s</w:t>
      </w:r>
      <w:r w:rsidRPr="00A6582B">
        <w:rPr>
          <w:rFonts w:ascii="Arial" w:hAnsi="Arial"/>
        </w:rPr>
        <w:t xml:space="preserve">tores </w:t>
      </w:r>
      <w:r w:rsidR="009E3386">
        <w:rPr>
          <w:rFonts w:ascii="Arial" w:hAnsi="Arial"/>
        </w:rPr>
        <w:t>that</w:t>
      </w:r>
      <w:r>
        <w:rPr>
          <w:rFonts w:ascii="Arial" w:hAnsi="Arial"/>
        </w:rPr>
        <w:t xml:space="preserve"> is reviewed </w:t>
      </w:r>
      <w:r w:rsidR="009E3386">
        <w:rPr>
          <w:rFonts w:ascii="Arial" w:hAnsi="Arial"/>
        </w:rPr>
        <w:t>by a CBP Officer during vessel boarding or vessel Entry and Clearance processing.</w:t>
      </w:r>
    </w:p>
    <w:p w:rsidR="004A1A3F" w:rsidP="00173766" w14:paraId="2FC0080F" w14:textId="77777777">
      <w:pPr>
        <w:ind w:left="720"/>
        <w:jc w:val="both"/>
        <w:rPr>
          <w:rFonts w:ascii="Arial" w:hAnsi="Arial" w:cs="Arial"/>
          <w:szCs w:val="24"/>
        </w:rPr>
      </w:pPr>
    </w:p>
    <w:p w:rsidR="009E3386" w:rsidRPr="00B31C93" w:rsidP="009E3386" w14:paraId="363DD05C" w14:textId="41720B60">
      <w:pPr>
        <w:ind w:left="720"/>
        <w:jc w:val="both"/>
        <w:rPr>
          <w:rFonts w:ascii="Arial" w:hAnsi="Arial" w:cs="Arial"/>
          <w:bCs/>
          <w:szCs w:val="24"/>
        </w:rPr>
      </w:pPr>
      <w:r w:rsidRPr="00C82FFA">
        <w:rPr>
          <w:rFonts w:ascii="Arial" w:hAnsi="Arial"/>
        </w:rPr>
        <w:t>CBP-OFO</w:t>
      </w:r>
      <w:r>
        <w:rPr>
          <w:rFonts w:ascii="Arial" w:hAnsi="Arial"/>
        </w:rPr>
        <w:t xml:space="preserve"> </w:t>
      </w:r>
      <w:r w:rsidRPr="002D6A52">
        <w:rPr>
          <w:rFonts w:ascii="Arial" w:hAnsi="Arial"/>
        </w:rPr>
        <w:t xml:space="preserve">has built and is </w:t>
      </w:r>
      <w:r>
        <w:rPr>
          <w:rFonts w:ascii="Arial" w:hAnsi="Arial"/>
        </w:rPr>
        <w:t xml:space="preserve">internally </w:t>
      </w:r>
      <w:r w:rsidRPr="002D6A52">
        <w:rPr>
          <w:rFonts w:ascii="Arial" w:hAnsi="Arial"/>
        </w:rPr>
        <w:t>testing a system, known as the Vessel Entrance and Clearance System (VECS), for the electronic submission, review, and processing of this CBP form</w:t>
      </w:r>
      <w:r>
        <w:rPr>
          <w:rFonts w:ascii="Arial" w:hAnsi="Arial"/>
        </w:rPr>
        <w:t>.</w:t>
      </w:r>
      <w:r w:rsidRPr="002D6A52">
        <w:rPr>
          <w:rFonts w:ascii="Arial" w:hAnsi="Arial"/>
        </w:rPr>
        <w:t xml:space="preserve"> </w:t>
      </w:r>
      <w:r>
        <w:rPr>
          <w:rFonts w:ascii="Arial" w:hAnsi="Arial"/>
        </w:rPr>
        <w:t xml:space="preserve">Currently, CBP is </w:t>
      </w:r>
      <w:r w:rsidRPr="002D6A52">
        <w:rPr>
          <w:rFonts w:ascii="Arial" w:hAnsi="Arial"/>
        </w:rPr>
        <w:t>develo</w:t>
      </w:r>
      <w:r>
        <w:rPr>
          <w:rFonts w:ascii="Arial" w:hAnsi="Arial"/>
        </w:rPr>
        <w:t>ping</w:t>
      </w:r>
      <w:r w:rsidRPr="002D6A52">
        <w:rPr>
          <w:rFonts w:ascii="Arial" w:hAnsi="Arial"/>
        </w:rPr>
        <w:t xml:space="preserve"> a public facing portal</w:t>
      </w:r>
      <w:r>
        <w:rPr>
          <w:rFonts w:ascii="Arial" w:hAnsi="Arial"/>
        </w:rPr>
        <w:t>,</w:t>
      </w:r>
      <w:r w:rsidRPr="002D6A52">
        <w:rPr>
          <w:rFonts w:ascii="Arial" w:hAnsi="Arial"/>
        </w:rPr>
        <w:t xml:space="preserve"> </w:t>
      </w:r>
      <w:r>
        <w:rPr>
          <w:rFonts w:ascii="Arial" w:hAnsi="Arial"/>
        </w:rPr>
        <w:t>with</w:t>
      </w:r>
      <w:r w:rsidRPr="002D6A52">
        <w:rPr>
          <w:rFonts w:ascii="Arial" w:hAnsi="Arial"/>
        </w:rPr>
        <w:t xml:space="preserve"> recent DHS and CBP prioritization of VECS</w:t>
      </w:r>
      <w:r>
        <w:rPr>
          <w:rFonts w:ascii="Arial" w:hAnsi="Arial"/>
        </w:rPr>
        <w:t>,</w:t>
      </w:r>
      <w:r w:rsidRPr="002D6A52">
        <w:rPr>
          <w:rFonts w:ascii="Arial" w:hAnsi="Arial"/>
        </w:rPr>
        <w:t xml:space="preserve"> the plan is to have an initial public portal by 202</w:t>
      </w:r>
      <w:r w:rsidR="00926B7B">
        <w:rPr>
          <w:rFonts w:ascii="Arial" w:hAnsi="Arial"/>
        </w:rPr>
        <w:t>2</w:t>
      </w:r>
      <w:r>
        <w:rPr>
          <w:rFonts w:ascii="Arial" w:hAnsi="Arial"/>
        </w:rPr>
        <w:t>.</w:t>
      </w:r>
      <w:r w:rsidRPr="006E0A56">
        <w:rPr>
          <w:rFonts w:ascii="Arial" w:hAnsi="Arial" w:cs="Arial"/>
          <w:color w:val="000000"/>
        </w:rPr>
        <w:t xml:space="preserve"> </w:t>
      </w:r>
      <w:r>
        <w:rPr>
          <w:rFonts w:ascii="Arial" w:hAnsi="Arial" w:cs="Arial"/>
          <w:color w:val="000000"/>
        </w:rPr>
        <w:t>A</w:t>
      </w:r>
      <w:r w:rsidRPr="006E0A56">
        <w:rPr>
          <w:rFonts w:ascii="Arial" w:hAnsi="Arial"/>
        </w:rPr>
        <w:t xml:space="preserve"> new Account type within ACE</w:t>
      </w:r>
      <w:r>
        <w:rPr>
          <w:rFonts w:ascii="Arial" w:hAnsi="Arial"/>
        </w:rPr>
        <w:t xml:space="preserve"> for Vessel Agencies </w:t>
      </w:r>
      <w:r w:rsidRPr="00311097">
        <w:rPr>
          <w:rFonts w:ascii="Arial" w:hAnsi="Arial"/>
        </w:rPr>
        <w:t xml:space="preserve">will </w:t>
      </w:r>
      <w:r>
        <w:rPr>
          <w:rFonts w:ascii="Arial" w:hAnsi="Arial"/>
        </w:rPr>
        <w:t>act</w:t>
      </w:r>
      <w:r w:rsidRPr="00311097">
        <w:rPr>
          <w:rFonts w:ascii="Arial" w:hAnsi="Arial"/>
        </w:rPr>
        <w:t xml:space="preserve"> as </w:t>
      </w:r>
      <w:r>
        <w:rPr>
          <w:rFonts w:ascii="Arial" w:hAnsi="Arial"/>
        </w:rPr>
        <w:t>the</w:t>
      </w:r>
      <w:r w:rsidRPr="00311097">
        <w:rPr>
          <w:rFonts w:ascii="Arial" w:hAnsi="Arial"/>
        </w:rPr>
        <w:t xml:space="preserve"> </w:t>
      </w:r>
      <w:r>
        <w:rPr>
          <w:rFonts w:ascii="Arial" w:hAnsi="Arial"/>
        </w:rPr>
        <w:t xml:space="preserve">public </w:t>
      </w:r>
      <w:r w:rsidRPr="00311097">
        <w:rPr>
          <w:rFonts w:ascii="Arial" w:hAnsi="Arial"/>
        </w:rPr>
        <w:t>portal to VECS</w:t>
      </w:r>
      <w:r>
        <w:rPr>
          <w:rFonts w:ascii="Arial" w:hAnsi="Arial"/>
        </w:rPr>
        <w:t>, operating as the pass-through from ACE to VECS. However, e</w:t>
      </w:r>
      <w:r w:rsidRPr="002D6A52">
        <w:rPr>
          <w:rFonts w:ascii="Arial" w:hAnsi="Arial"/>
        </w:rPr>
        <w:t xml:space="preserve">ven with an initial portal, CBP will still need to perform testing and </w:t>
      </w:r>
      <w:r>
        <w:rPr>
          <w:rFonts w:ascii="Arial" w:hAnsi="Arial"/>
        </w:rPr>
        <w:t xml:space="preserve">run </w:t>
      </w:r>
      <w:r w:rsidRPr="002D6A52">
        <w:rPr>
          <w:rFonts w:ascii="Arial" w:hAnsi="Arial"/>
        </w:rPr>
        <w:t xml:space="preserve">a </w:t>
      </w:r>
      <w:r>
        <w:rPr>
          <w:rFonts w:ascii="Arial" w:hAnsi="Arial"/>
        </w:rPr>
        <w:t xml:space="preserve">public </w:t>
      </w:r>
      <w:r w:rsidRPr="002D6A52">
        <w:rPr>
          <w:rFonts w:ascii="Arial" w:hAnsi="Arial"/>
        </w:rPr>
        <w:t>pilot with a small universe of stakeholder</w:t>
      </w:r>
      <w:r>
        <w:rPr>
          <w:rFonts w:ascii="Arial" w:hAnsi="Arial"/>
        </w:rPr>
        <w:t>s,</w:t>
      </w:r>
      <w:r w:rsidRPr="002D6A52">
        <w:rPr>
          <w:rFonts w:ascii="Arial" w:hAnsi="Arial"/>
        </w:rPr>
        <w:t xml:space="preserve"> before nationwide roll out.</w:t>
      </w:r>
    </w:p>
    <w:p w:rsidR="009E3386" w:rsidP="00173766" w14:paraId="60303124" w14:textId="77777777">
      <w:pPr>
        <w:ind w:left="720"/>
        <w:jc w:val="both"/>
        <w:rPr>
          <w:rFonts w:ascii="Arial" w:hAnsi="Arial" w:cs="Arial"/>
          <w:szCs w:val="24"/>
        </w:rPr>
      </w:pPr>
    </w:p>
    <w:p w:rsidR="003A0630" w:rsidRPr="000B1415" w:rsidP="00173766" w14:paraId="3F8230A4" w14:textId="32AB82CD">
      <w:pPr>
        <w:ind w:left="720"/>
        <w:jc w:val="both"/>
        <w:rPr>
          <w:rFonts w:ascii="Arial" w:hAnsi="Arial" w:cs="Arial"/>
          <w:snapToGrid/>
          <w:sz w:val="22"/>
        </w:rPr>
      </w:pPr>
      <w:r w:rsidRPr="00173766">
        <w:rPr>
          <w:rFonts w:ascii="Arial" w:hAnsi="Arial" w:cs="Arial"/>
        </w:rPr>
        <w:t xml:space="preserve">Currently, this form cannot be automated using </w:t>
      </w:r>
      <w:r w:rsidRPr="00173766">
        <w:rPr>
          <w:rFonts w:ascii="Arial" w:hAnsi="Arial" w:cs="Arial"/>
        </w:rPr>
        <w:t>eNOAD</w:t>
      </w:r>
      <w:r w:rsidRPr="00173766">
        <w:rPr>
          <w:rFonts w:ascii="Arial" w:hAnsi="Arial" w:cs="Arial"/>
        </w:rPr>
        <w:t xml:space="preserve">. </w:t>
      </w:r>
      <w:r w:rsidR="009E3386">
        <w:rPr>
          <w:rFonts w:ascii="Arial" w:hAnsi="Arial" w:cs="Arial"/>
        </w:rPr>
        <w:t xml:space="preserve">As </w:t>
      </w:r>
      <w:r w:rsidRPr="00173766">
        <w:rPr>
          <w:rFonts w:ascii="Arial" w:hAnsi="Arial" w:cs="Arial"/>
        </w:rPr>
        <w:t>eNOAD</w:t>
      </w:r>
      <w:r w:rsidRPr="00173766">
        <w:rPr>
          <w:rFonts w:ascii="Arial" w:hAnsi="Arial" w:cs="Arial"/>
        </w:rPr>
        <w:t xml:space="preserve"> does not collect all required data elements of CBP Form 1303.  CBP does not plan on eliminating the paper Form 1303 until an adequate automated system is in place.</w:t>
      </w:r>
    </w:p>
    <w:p w:rsidR="00171621" w:rsidP="00171621" w14:paraId="0090D33B" w14:textId="77777777">
      <w:pPr>
        <w:tabs>
          <w:tab w:val="left" w:pos="-1440"/>
        </w:tabs>
        <w:ind w:left="720" w:hanging="720"/>
        <w:jc w:val="both"/>
        <w:rPr>
          <w:rFonts w:ascii="Arial" w:hAnsi="Arial"/>
        </w:rPr>
      </w:pPr>
    </w:p>
    <w:p w:rsidR="00077886" w:rsidP="00171621" w14:paraId="4F043521" w14:textId="77777777">
      <w:pPr>
        <w:tabs>
          <w:tab w:val="left" w:pos="-1440"/>
        </w:tabs>
        <w:ind w:left="720" w:hanging="720"/>
        <w:jc w:val="both"/>
        <w:rPr>
          <w:rFonts w:ascii="Arial" w:hAnsi="Arial" w:cs="Arial"/>
          <w:b/>
          <w:bCs/>
          <w:szCs w:val="24"/>
        </w:rPr>
      </w:pPr>
      <w:r w:rsidRPr="004F3D9C">
        <w:rPr>
          <w:rFonts w:ascii="Arial" w:hAnsi="Arial"/>
          <w:b/>
          <w:bCs/>
          <w:szCs w:val="24"/>
        </w:rPr>
        <w:t>4</w:t>
      </w:r>
      <w:r w:rsidRPr="004F3D9C">
        <w:rPr>
          <w:rFonts w:ascii="Arial" w:hAnsi="Arial"/>
        </w:rPr>
        <w:t>.</w:t>
      </w:r>
      <w:r w:rsidRPr="004F3D9C" w:rsidR="00171621">
        <w:rPr>
          <w:rFonts w:ascii="Arial" w:hAnsi="Arial"/>
        </w:rPr>
        <w:tab/>
      </w:r>
      <w:r w:rsidRPr="004F3D9C">
        <w:rPr>
          <w:rFonts w:ascii="Arial" w:hAnsi="Arial" w:cs="Arial"/>
          <w:b/>
          <w:bCs/>
          <w:szCs w:val="24"/>
        </w:rPr>
        <w:t xml:space="preserve">Describe efforts to identify duplication.  Show specifically why any similar </w:t>
      </w:r>
      <w:r w:rsidRPr="004F3D9C" w:rsidR="00112C3E">
        <w:rPr>
          <w:rFonts w:ascii="Arial" w:hAnsi="Arial" w:cs="Arial"/>
          <w:b/>
          <w:bCs/>
          <w:szCs w:val="24"/>
        </w:rPr>
        <w:t xml:space="preserve">   </w:t>
      </w:r>
      <w:r w:rsidRPr="004F3D9C">
        <w:rPr>
          <w:rFonts w:ascii="Arial" w:hAnsi="Arial" w:cs="Arial"/>
          <w:b/>
          <w:bCs/>
          <w:szCs w:val="24"/>
        </w:rPr>
        <w:t>information already available cannot be used or modified for use for the purposes described in Item 2 above.</w:t>
      </w:r>
      <w:r w:rsidRPr="00C47181">
        <w:rPr>
          <w:rFonts w:ascii="Arial" w:hAnsi="Arial" w:cs="Arial"/>
          <w:b/>
          <w:bCs/>
          <w:szCs w:val="24"/>
        </w:rPr>
        <w:t xml:space="preserve">  </w:t>
      </w:r>
    </w:p>
    <w:p w:rsidR="005271E0" w:rsidP="005271E0" w14:paraId="6F7723C1" w14:textId="77777777">
      <w:pPr>
        <w:tabs>
          <w:tab w:val="left" w:pos="-1440"/>
        </w:tabs>
        <w:ind w:left="60"/>
        <w:jc w:val="both"/>
        <w:rPr>
          <w:rFonts w:ascii="Arial" w:hAnsi="Arial" w:cs="Arial"/>
          <w:b/>
          <w:bCs/>
          <w:szCs w:val="24"/>
        </w:rPr>
      </w:pPr>
      <w:r>
        <w:rPr>
          <w:rFonts w:ascii="Arial" w:hAnsi="Arial" w:cs="Arial"/>
          <w:b/>
          <w:bCs/>
          <w:szCs w:val="24"/>
        </w:rPr>
        <w:tab/>
      </w:r>
    </w:p>
    <w:p w:rsidR="00077886" w:rsidP="005271E0" w14:paraId="48A39694" w14:textId="77777777">
      <w:pPr>
        <w:tabs>
          <w:tab w:val="left" w:pos="-1440"/>
        </w:tabs>
        <w:ind w:left="720"/>
        <w:jc w:val="both"/>
        <w:rPr>
          <w:rFonts w:ascii="Arial" w:hAnsi="Arial"/>
          <w:szCs w:val="24"/>
        </w:rPr>
      </w:pPr>
      <w:r w:rsidRPr="003A0630">
        <w:rPr>
          <w:rFonts w:ascii="Arial" w:hAnsi="Arial"/>
          <w:szCs w:val="24"/>
        </w:rPr>
        <w:t xml:space="preserve">Fields 1 – 5 may be derived from </w:t>
      </w:r>
      <w:r w:rsidRPr="003A0630">
        <w:rPr>
          <w:rFonts w:ascii="Arial" w:hAnsi="Arial"/>
          <w:szCs w:val="24"/>
        </w:rPr>
        <w:t>eNOAD</w:t>
      </w:r>
      <w:r w:rsidRPr="003A0630">
        <w:rPr>
          <w:rFonts w:ascii="Arial" w:hAnsi="Arial"/>
          <w:szCs w:val="24"/>
        </w:rPr>
        <w:t>, however, the data elements required for the Form 1303 are unique to each vessel arrival and most fields are not mandatory submission requirements for other government agencies outside of CBP.</w:t>
      </w:r>
      <w:r>
        <w:rPr>
          <w:rFonts w:ascii="Arial" w:hAnsi="Arial"/>
          <w:szCs w:val="24"/>
        </w:rPr>
        <w:t xml:space="preserve">  </w:t>
      </w:r>
    </w:p>
    <w:p w:rsidR="003A0630" w:rsidP="003A0630" w14:paraId="46D48228" w14:textId="77777777">
      <w:pPr>
        <w:tabs>
          <w:tab w:val="left" w:pos="-1440"/>
        </w:tabs>
        <w:ind w:left="720" w:hanging="720"/>
        <w:jc w:val="both"/>
        <w:rPr>
          <w:rFonts w:ascii="Arial" w:hAnsi="Arial"/>
          <w:szCs w:val="24"/>
        </w:rPr>
      </w:pPr>
      <w:r>
        <w:rPr>
          <w:rFonts w:ascii="Arial" w:hAnsi="Arial"/>
          <w:szCs w:val="24"/>
        </w:rPr>
        <w:tab/>
      </w:r>
    </w:p>
    <w:p w:rsidR="003A0630" w:rsidP="003A0630" w14:paraId="619222ED" w14:textId="77777777">
      <w:pPr>
        <w:tabs>
          <w:tab w:val="left" w:pos="-1440"/>
        </w:tabs>
        <w:ind w:left="720" w:hanging="720"/>
        <w:jc w:val="both"/>
        <w:rPr>
          <w:rFonts w:ascii="Arial" w:hAnsi="Arial"/>
          <w:szCs w:val="24"/>
        </w:rPr>
      </w:pPr>
      <w:r>
        <w:rPr>
          <w:rFonts w:ascii="Arial" w:hAnsi="Arial"/>
          <w:szCs w:val="24"/>
        </w:rPr>
        <w:tab/>
        <w:t xml:space="preserve">The automation of maritime forms, including the 1303, will allow CBP to utilize data transmitted to CBP via </w:t>
      </w:r>
      <w:r>
        <w:rPr>
          <w:rFonts w:ascii="Arial" w:hAnsi="Arial"/>
          <w:szCs w:val="24"/>
        </w:rPr>
        <w:t>eNOAD</w:t>
      </w:r>
      <w:r>
        <w:rPr>
          <w:rFonts w:ascii="Arial" w:hAnsi="Arial"/>
          <w:szCs w:val="24"/>
        </w:rPr>
        <w:t xml:space="preserve">.  The submitted data will be used to pre-populate all forms with shared data elements.  However, a new filing would have to be created by </w:t>
      </w:r>
      <w:r>
        <w:rPr>
          <w:rFonts w:ascii="Arial" w:hAnsi="Arial"/>
          <w:szCs w:val="24"/>
        </w:rPr>
        <w:t>eNOAD</w:t>
      </w:r>
      <w:r>
        <w:rPr>
          <w:rFonts w:ascii="Arial" w:hAnsi="Arial"/>
          <w:szCs w:val="24"/>
        </w:rPr>
        <w:t xml:space="preserve"> for the collection of </w:t>
      </w:r>
      <w:r>
        <w:rPr>
          <w:rFonts w:ascii="Arial" w:hAnsi="Arial"/>
          <w:i/>
          <w:szCs w:val="24"/>
        </w:rPr>
        <w:t>Place of Storage, Name of Article, and Quantity</w:t>
      </w:r>
      <w:r>
        <w:rPr>
          <w:rFonts w:ascii="Arial" w:hAnsi="Arial"/>
          <w:szCs w:val="24"/>
        </w:rPr>
        <w:t xml:space="preserve">; all of which are vital data elements of the CBP Form 1303.  </w:t>
      </w:r>
    </w:p>
    <w:p w:rsidR="005271E0" w:rsidP="005271E0" w14:paraId="3E52DB9A" w14:textId="77777777">
      <w:pPr>
        <w:tabs>
          <w:tab w:val="left" w:pos="-1440"/>
        </w:tabs>
        <w:ind w:left="720"/>
        <w:jc w:val="both"/>
        <w:rPr>
          <w:rFonts w:ascii="Arial" w:hAnsi="Arial"/>
          <w:b/>
          <w:bCs/>
          <w:szCs w:val="24"/>
        </w:rPr>
      </w:pPr>
    </w:p>
    <w:p w:rsidR="00077886" w:rsidRPr="00C47181" w:rsidP="00077886" w14:paraId="0BBF864E" w14:textId="77777777">
      <w:pPr>
        <w:ind w:left="720" w:hanging="720"/>
        <w:jc w:val="both"/>
        <w:rPr>
          <w:rFonts w:ascii="Arial" w:hAnsi="Arial" w:cs="Arial"/>
          <w:b/>
          <w:bCs/>
          <w:szCs w:val="24"/>
        </w:rPr>
      </w:pPr>
      <w:r w:rsidRPr="004F3D9C">
        <w:rPr>
          <w:rFonts w:ascii="Arial" w:hAnsi="Arial"/>
          <w:b/>
          <w:bCs/>
          <w:szCs w:val="24"/>
        </w:rPr>
        <w:t>5.</w:t>
      </w:r>
      <w:r w:rsidRPr="004F3D9C">
        <w:rPr>
          <w:rFonts w:ascii="Arial" w:hAnsi="Arial"/>
          <w:szCs w:val="24"/>
        </w:rPr>
        <w:tab/>
      </w:r>
      <w:r w:rsidRPr="004F3D9C">
        <w:rPr>
          <w:rFonts w:ascii="Arial" w:hAnsi="Arial" w:cs="Arial"/>
          <w:b/>
          <w:bCs/>
          <w:szCs w:val="24"/>
        </w:rPr>
        <w:t xml:space="preserve">If the collection of information impacts small businesses or other small </w:t>
      </w:r>
      <w:r w:rsidRPr="004F3D9C">
        <w:rPr>
          <w:rFonts w:ascii="Arial" w:hAnsi="Arial" w:cs="Arial"/>
          <w:b/>
          <w:bCs/>
          <w:szCs w:val="24"/>
        </w:rPr>
        <w:t>entities, describe any methods used to minimize burden.</w:t>
      </w:r>
      <w:r w:rsidRPr="00C47181">
        <w:rPr>
          <w:rFonts w:ascii="Arial" w:hAnsi="Arial" w:cs="Arial"/>
          <w:b/>
          <w:bCs/>
          <w:szCs w:val="24"/>
        </w:rPr>
        <w:t xml:space="preserve">  </w:t>
      </w:r>
    </w:p>
    <w:p w:rsidR="00077886" w:rsidRPr="00C47181" w:rsidP="00077886" w14:paraId="4D900C44" w14:textId="77777777">
      <w:pPr>
        <w:tabs>
          <w:tab w:val="left" w:pos="-1440"/>
        </w:tabs>
        <w:ind w:left="720" w:hanging="720"/>
        <w:jc w:val="both"/>
        <w:rPr>
          <w:rFonts w:ascii="Arial" w:hAnsi="Arial"/>
          <w:szCs w:val="24"/>
        </w:rPr>
      </w:pPr>
    </w:p>
    <w:p w:rsidR="00077886" w:rsidP="00077886" w14:paraId="2A3373CE" w14:textId="77777777">
      <w:pPr>
        <w:pStyle w:val="BodyTextInden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002F4771" w:rsidP="001A58FF" w14:paraId="08BBDCC9" w14:textId="30ADB112">
      <w:pPr>
        <w:pStyle w:val="BodyTextIndent"/>
      </w:pPr>
      <w:r>
        <w:tab/>
      </w:r>
      <w:r>
        <w:tab/>
      </w:r>
      <w:r>
        <w:tab/>
      </w:r>
    </w:p>
    <w:p w:rsidR="00077886" w:rsidRPr="00C47181" w:rsidP="00077886" w14:paraId="12EE7D48" w14:textId="3E4218BD">
      <w:pPr>
        <w:pStyle w:val="BodyTextIndent"/>
      </w:pPr>
      <w:r>
        <w:tab/>
      </w:r>
      <w:r>
        <w:tab/>
      </w:r>
      <w:r>
        <w:tab/>
      </w:r>
    </w:p>
    <w:p w:rsidR="00077886" w:rsidRPr="004F3D9C" w:rsidP="00093EC1" w14:paraId="6248E5A8" w14:textId="77777777">
      <w:pPr>
        <w:widowControl/>
        <w:numPr>
          <w:ilvl w:val="0"/>
          <w:numId w:val="4"/>
        </w:numPr>
        <w:ind w:hanging="450"/>
        <w:jc w:val="both"/>
        <w:rPr>
          <w:rFonts w:ascii="Arial" w:hAnsi="Arial"/>
          <w:szCs w:val="24"/>
        </w:rPr>
      </w:pPr>
      <w:r>
        <w:rPr>
          <w:rFonts w:ascii="Arial" w:hAnsi="Arial" w:cs="Arial"/>
          <w:b/>
          <w:bCs/>
          <w:szCs w:val="24"/>
        </w:rPr>
        <w:t xml:space="preserve">    </w:t>
      </w:r>
      <w:r w:rsidRPr="004F3D9C">
        <w:rPr>
          <w:rFonts w:ascii="Arial" w:hAnsi="Arial" w:cs="Arial"/>
          <w:b/>
          <w:bCs/>
          <w:szCs w:val="24"/>
        </w:rPr>
        <w:t>Describe consequences to Federal program or policy activities if the                     collection is not conducted or is conducted less frequently.</w:t>
      </w:r>
    </w:p>
    <w:p w:rsidR="00077886" w:rsidP="00077886" w14:paraId="219F4835" w14:textId="77777777">
      <w:pPr>
        <w:tabs>
          <w:tab w:val="left" w:pos="-1440"/>
        </w:tabs>
        <w:ind w:left="720" w:hanging="720"/>
        <w:jc w:val="both"/>
        <w:rPr>
          <w:rFonts w:ascii="Arial" w:hAnsi="Arial"/>
        </w:rPr>
      </w:pPr>
      <w:r>
        <w:rPr>
          <w:rFonts w:ascii="Arial" w:hAnsi="Arial"/>
        </w:rPr>
        <w:tab/>
      </w:r>
    </w:p>
    <w:p w:rsidR="00077886" w:rsidP="00077886" w14:paraId="76A1DB7D" w14:textId="3B7B70C5">
      <w:pPr>
        <w:tabs>
          <w:tab w:val="left" w:pos="-1440"/>
        </w:tabs>
        <w:ind w:left="720" w:hanging="720"/>
        <w:jc w:val="both"/>
        <w:rPr>
          <w:rFonts w:ascii="Arial" w:hAnsi="Arial"/>
        </w:rPr>
      </w:pPr>
      <w:r>
        <w:rPr>
          <w:rFonts w:ascii="Arial" w:hAnsi="Arial"/>
        </w:rPr>
        <w:tab/>
      </w:r>
      <w:r w:rsidRPr="003A0630">
        <w:rPr>
          <w:rFonts w:ascii="Arial" w:hAnsi="Arial"/>
        </w:rPr>
        <w:t>If the collection w</w:t>
      </w:r>
      <w:r w:rsidRPr="003A0630" w:rsidR="00BC3B8F">
        <w:rPr>
          <w:rFonts w:ascii="Arial" w:hAnsi="Arial"/>
        </w:rPr>
        <w:t>ere</w:t>
      </w:r>
      <w:r w:rsidRPr="003A0630">
        <w:rPr>
          <w:rFonts w:ascii="Arial" w:hAnsi="Arial"/>
        </w:rPr>
        <w:t xml:space="preserve"> collected less frequently</w:t>
      </w:r>
      <w:r w:rsidR="00731124">
        <w:rPr>
          <w:rFonts w:ascii="Arial" w:hAnsi="Arial"/>
        </w:rPr>
        <w:t>,</w:t>
      </w:r>
      <w:r w:rsidRPr="003A0630">
        <w:rPr>
          <w:rFonts w:ascii="Arial" w:hAnsi="Arial"/>
        </w:rPr>
        <w:t xml:space="preserve"> CBP would lose control of inventory for ship's stores, sea stores, bunker coal, etc.  Also, failure to collect the information </w:t>
      </w:r>
      <w:r w:rsidRPr="003A0630" w:rsidR="00BC3B8F">
        <w:rPr>
          <w:rFonts w:ascii="Arial" w:hAnsi="Arial"/>
        </w:rPr>
        <w:t xml:space="preserve">would </w:t>
      </w:r>
      <w:r w:rsidRPr="003A0630">
        <w:rPr>
          <w:rFonts w:ascii="Arial" w:hAnsi="Arial"/>
        </w:rPr>
        <w:t>compromise revenue collection.</w:t>
      </w:r>
    </w:p>
    <w:p w:rsidR="00077886" w:rsidP="00077886" w14:paraId="3A6E3A21" w14:textId="77777777">
      <w:pPr>
        <w:tabs>
          <w:tab w:val="left" w:pos="-1440"/>
        </w:tabs>
        <w:ind w:left="720" w:hanging="720"/>
        <w:jc w:val="both"/>
        <w:rPr>
          <w:rFonts w:ascii="Arial" w:hAnsi="Arial"/>
        </w:rPr>
      </w:pPr>
      <w:r>
        <w:rPr>
          <w:rFonts w:ascii="Arial" w:hAnsi="Arial"/>
        </w:rPr>
        <w:tab/>
      </w:r>
    </w:p>
    <w:p w:rsidR="00077886" w:rsidRPr="00C47181" w:rsidP="00A73F2D" w14:paraId="31B8D73C" w14:textId="77777777">
      <w:pPr>
        <w:ind w:left="540" w:hanging="54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AD7E4C">
        <w:rPr>
          <w:rFonts w:ascii="Arial" w:hAnsi="Arial" w:cs="Arial"/>
          <w:b/>
          <w:bCs/>
          <w:szCs w:val="24"/>
        </w:rPr>
        <w:t>.</w:t>
      </w:r>
    </w:p>
    <w:p w:rsidR="00077886" w:rsidRPr="00C47181" w:rsidP="00077886" w14:paraId="1B25EB12" w14:textId="77777777">
      <w:pPr>
        <w:tabs>
          <w:tab w:val="left" w:pos="-1440"/>
        </w:tabs>
        <w:ind w:left="720" w:hanging="720"/>
        <w:jc w:val="both"/>
        <w:rPr>
          <w:rFonts w:ascii="Arial" w:hAnsi="Arial"/>
          <w:szCs w:val="24"/>
        </w:rPr>
      </w:pPr>
    </w:p>
    <w:p w:rsidR="00077886" w:rsidRPr="00077886" w:rsidP="00077886" w14:paraId="18B7D5F4"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077886" w:rsidP="00077886" w14:paraId="5F979EE5" w14:textId="77777777">
      <w:pPr>
        <w:ind w:left="720" w:hanging="720"/>
        <w:jc w:val="both"/>
        <w:rPr>
          <w:rFonts w:ascii="Arial" w:hAnsi="Arial" w:cs="Arial"/>
          <w:b/>
          <w:bCs/>
          <w:szCs w:val="24"/>
        </w:rPr>
      </w:pPr>
      <w:r>
        <w:rPr>
          <w:rFonts w:ascii="Arial" w:hAnsi="Arial" w:cs="Arial"/>
          <w:b/>
          <w:bCs/>
          <w:szCs w:val="24"/>
        </w:rPr>
        <w:t xml:space="preserve"> </w:t>
      </w:r>
    </w:p>
    <w:p w:rsidR="00077886" w:rsidP="00077886" w14:paraId="56B7AC4E"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C47181">
        <w:rPr>
          <w:rFonts w:ascii="Arial" w:hAnsi="Arial" w:cs="Arial"/>
          <w:b/>
          <w:bCs/>
          <w:szCs w:val="24"/>
        </w:rPr>
        <w:t xml:space="preserve">If applicable, provide a copy and identify the date and page number of </w:t>
      </w:r>
      <w:r w:rsidRPr="00C47181">
        <w:rPr>
          <w:rFonts w:ascii="Arial" w:hAnsi="Arial" w:cs="Arial"/>
          <w:b/>
          <w:bCs/>
          <w:szCs w:val="24"/>
        </w:rPr>
        <w:t>publication</w:t>
      </w:r>
      <w:r w:rsidRPr="00C47181">
        <w:rPr>
          <w:rFonts w:ascii="Arial" w:hAnsi="Arial" w:cs="Arial"/>
          <w:b/>
          <w:bCs/>
          <w:szCs w:val="24"/>
        </w:rPr>
        <w:t xml:space="preserve"> </w:t>
      </w:r>
      <w:r>
        <w:rPr>
          <w:rFonts w:ascii="Arial" w:hAnsi="Arial" w:cs="Arial"/>
          <w:b/>
          <w:bCs/>
          <w:szCs w:val="24"/>
        </w:rPr>
        <w:t xml:space="preserve">  </w:t>
      </w:r>
      <w:r w:rsidRPr="00C47181">
        <w:rPr>
          <w:rFonts w:ascii="Arial" w:hAnsi="Arial" w:cs="Arial"/>
          <w:b/>
          <w:bCs/>
          <w:szCs w:val="24"/>
        </w:rPr>
        <w:t>in the Federal Register of the agency's notice, required by 5 CFR 1320.8(d),</w:t>
      </w:r>
      <w:r>
        <w:rPr>
          <w:rFonts w:ascii="Arial" w:hAnsi="Arial" w:cs="Arial"/>
          <w:b/>
          <w:bCs/>
          <w:szCs w:val="24"/>
        </w:rPr>
        <w:t xml:space="preserve"> </w:t>
      </w:r>
      <w:r w:rsidRPr="00C47181">
        <w:rPr>
          <w:rFonts w:ascii="Arial" w:hAnsi="Arial" w:cs="Arial"/>
          <w:b/>
          <w:bCs/>
          <w:szCs w:val="24"/>
        </w:rPr>
        <w:t xml:space="preserve">soliciting comments on the information collection prior to submission to OMB.  </w:t>
      </w:r>
      <w:r>
        <w:rPr>
          <w:rFonts w:ascii="Arial" w:hAnsi="Arial" w:cs="Arial"/>
          <w:b/>
          <w:bCs/>
          <w:szCs w:val="24"/>
        </w:rPr>
        <w:t xml:space="preserve">   </w:t>
      </w:r>
      <w:r w:rsidRPr="00C47181">
        <w:rPr>
          <w:rFonts w:ascii="Arial" w:hAnsi="Arial" w:cs="Arial"/>
          <w:b/>
          <w:bCs/>
          <w:szCs w:val="24"/>
        </w:rPr>
        <w:t xml:space="preserve">Summarize public comments received in response to that notice and describe actions taken by the agency </w:t>
      </w:r>
      <w:r>
        <w:rPr>
          <w:rFonts w:ascii="Arial" w:hAnsi="Arial" w:cs="Arial"/>
          <w:b/>
          <w:bCs/>
          <w:szCs w:val="24"/>
        </w:rPr>
        <w:t xml:space="preserve">in response to these comments. </w:t>
      </w:r>
      <w:r w:rsidRPr="00C47181">
        <w:rPr>
          <w:rFonts w:ascii="Arial" w:hAnsi="Arial" w:cs="Arial"/>
          <w:b/>
          <w:bCs/>
          <w:szCs w:val="24"/>
        </w:rPr>
        <w:t>Specifically address comments received on cost and hour burden.</w:t>
      </w:r>
    </w:p>
    <w:p w:rsidR="00077886" w:rsidP="00077886" w14:paraId="5F5A0280" w14:textId="77777777">
      <w:pPr>
        <w:tabs>
          <w:tab w:val="left" w:pos="-1440"/>
        </w:tabs>
        <w:ind w:left="720" w:hanging="360"/>
        <w:jc w:val="both"/>
        <w:rPr>
          <w:rFonts w:ascii="Arial" w:hAnsi="Arial"/>
        </w:rPr>
      </w:pPr>
      <w:r>
        <w:rPr>
          <w:rFonts w:ascii="Arial" w:hAnsi="Arial"/>
        </w:rPr>
        <w:tab/>
      </w:r>
    </w:p>
    <w:p w:rsidR="000C702E" w:rsidP="003A0630" w14:paraId="1B1EE45C" w14:textId="71F5D9F2">
      <w:pPr>
        <w:tabs>
          <w:tab w:val="left" w:pos="-1440"/>
        </w:tabs>
        <w:ind w:left="720" w:hanging="360"/>
        <w:jc w:val="both"/>
        <w:rPr>
          <w:rFonts w:ascii="Arial" w:hAnsi="Arial"/>
        </w:rPr>
      </w:pPr>
      <w:r>
        <w:rPr>
          <w:rFonts w:ascii="Arial" w:hAnsi="Arial"/>
        </w:rPr>
        <w:tab/>
      </w:r>
      <w:r w:rsidRPr="00B4559A">
        <w:rPr>
          <w:rFonts w:ascii="Arial" w:hAnsi="Arial"/>
        </w:rPr>
        <w:t>Public comments were solicited through two Federal Register notices</w:t>
      </w:r>
      <w:r w:rsidRPr="00B4559A" w:rsidR="0033258B">
        <w:rPr>
          <w:rFonts w:ascii="Arial" w:hAnsi="Arial"/>
        </w:rPr>
        <w:t>. A</w:t>
      </w:r>
      <w:r w:rsidRPr="00B4559A" w:rsidR="00EF340D">
        <w:rPr>
          <w:rFonts w:ascii="Arial" w:hAnsi="Arial"/>
        </w:rPr>
        <w:t xml:space="preserve"> 60-day notice</w:t>
      </w:r>
      <w:r w:rsidRPr="00B4559A">
        <w:rPr>
          <w:rFonts w:ascii="Arial" w:hAnsi="Arial"/>
        </w:rPr>
        <w:t xml:space="preserve"> published on </w:t>
      </w:r>
      <w:r w:rsidR="00AE0342">
        <w:rPr>
          <w:rFonts w:ascii="Arial" w:hAnsi="Arial"/>
        </w:rPr>
        <w:t>June</w:t>
      </w:r>
      <w:r w:rsidR="00B4559A">
        <w:rPr>
          <w:rFonts w:ascii="Arial" w:hAnsi="Arial"/>
        </w:rPr>
        <w:t xml:space="preserve"> 1</w:t>
      </w:r>
      <w:r w:rsidRPr="00B4559A" w:rsidR="00346580">
        <w:rPr>
          <w:rFonts w:ascii="Arial" w:hAnsi="Arial"/>
        </w:rPr>
        <w:t>,</w:t>
      </w:r>
      <w:r w:rsidRPr="00B4559A">
        <w:rPr>
          <w:rFonts w:ascii="Arial" w:hAnsi="Arial"/>
        </w:rPr>
        <w:t xml:space="preserve"> 20</w:t>
      </w:r>
      <w:r w:rsidR="00AE0342">
        <w:rPr>
          <w:rFonts w:ascii="Arial" w:hAnsi="Arial"/>
        </w:rPr>
        <w:t>22</w:t>
      </w:r>
      <w:r w:rsidRPr="00B4559A">
        <w:rPr>
          <w:rFonts w:ascii="Arial" w:hAnsi="Arial"/>
        </w:rPr>
        <w:t xml:space="preserve"> (</w:t>
      </w:r>
      <w:r w:rsidR="00B4559A">
        <w:rPr>
          <w:rFonts w:ascii="Arial" w:hAnsi="Arial"/>
        </w:rPr>
        <w:t>8</w:t>
      </w:r>
      <w:r w:rsidR="00AE0342">
        <w:rPr>
          <w:rFonts w:ascii="Arial" w:hAnsi="Arial"/>
        </w:rPr>
        <w:t>7</w:t>
      </w:r>
      <w:r w:rsidRPr="00B4559A" w:rsidR="0033258B">
        <w:rPr>
          <w:rFonts w:ascii="Arial" w:hAnsi="Arial"/>
        </w:rPr>
        <w:t xml:space="preserve"> FR </w:t>
      </w:r>
      <w:r w:rsidR="00AE0342">
        <w:rPr>
          <w:rFonts w:ascii="Arial" w:hAnsi="Arial"/>
        </w:rPr>
        <w:t>33179</w:t>
      </w:r>
      <w:r w:rsidRPr="00B4559A">
        <w:rPr>
          <w:rFonts w:ascii="Arial" w:hAnsi="Arial"/>
        </w:rPr>
        <w:t>)</w:t>
      </w:r>
      <w:r w:rsidRPr="00B4559A" w:rsidR="00EF340D">
        <w:rPr>
          <w:rFonts w:ascii="Arial" w:hAnsi="Arial"/>
        </w:rPr>
        <w:t xml:space="preserve"> </w:t>
      </w:r>
      <w:r w:rsidRPr="006C5970" w:rsidR="00EF340D">
        <w:rPr>
          <w:rFonts w:ascii="Arial" w:hAnsi="Arial"/>
        </w:rPr>
        <w:t xml:space="preserve">on which </w:t>
      </w:r>
      <w:r w:rsidRPr="006C5970" w:rsidR="006C5970">
        <w:rPr>
          <w:rFonts w:ascii="Arial" w:hAnsi="Arial"/>
        </w:rPr>
        <w:t>no</w:t>
      </w:r>
      <w:r w:rsidRPr="006C5970" w:rsidR="008F1B06">
        <w:rPr>
          <w:rFonts w:ascii="Arial" w:hAnsi="Arial"/>
        </w:rPr>
        <w:t xml:space="preserve"> comment</w:t>
      </w:r>
      <w:r w:rsidRPr="006C5970" w:rsidR="006C5970">
        <w:rPr>
          <w:rFonts w:ascii="Arial" w:hAnsi="Arial"/>
        </w:rPr>
        <w:t>s</w:t>
      </w:r>
      <w:r w:rsidRPr="006C5970" w:rsidR="008F1B06">
        <w:rPr>
          <w:rFonts w:ascii="Arial" w:hAnsi="Arial"/>
        </w:rPr>
        <w:t xml:space="preserve"> </w:t>
      </w:r>
      <w:r w:rsidR="006C5970">
        <w:rPr>
          <w:rFonts w:ascii="Arial" w:hAnsi="Arial"/>
        </w:rPr>
        <w:t>have been</w:t>
      </w:r>
      <w:r w:rsidRPr="00B4559A" w:rsidR="00EF340D">
        <w:rPr>
          <w:rFonts w:ascii="Arial" w:hAnsi="Arial"/>
        </w:rPr>
        <w:t xml:space="preserve"> received, </w:t>
      </w:r>
      <w:r w:rsidRPr="00B4559A">
        <w:rPr>
          <w:rFonts w:ascii="Arial" w:hAnsi="Arial"/>
        </w:rPr>
        <w:t>and</w:t>
      </w:r>
      <w:r w:rsidRPr="00B4559A" w:rsidR="00EF340D">
        <w:rPr>
          <w:rFonts w:ascii="Arial" w:hAnsi="Arial"/>
        </w:rPr>
        <w:t xml:space="preserve"> a 30-day notice published</w:t>
      </w:r>
      <w:r w:rsidRPr="00B4559A">
        <w:rPr>
          <w:rFonts w:ascii="Arial" w:hAnsi="Arial"/>
        </w:rPr>
        <w:t xml:space="preserve"> on</w:t>
      </w:r>
      <w:r w:rsidRPr="00B4559A" w:rsidR="00F50CE0">
        <w:rPr>
          <w:rFonts w:ascii="Arial" w:hAnsi="Arial"/>
        </w:rPr>
        <w:t xml:space="preserve"> </w:t>
      </w:r>
      <w:r w:rsidR="00AE0342">
        <w:rPr>
          <w:rFonts w:ascii="Arial" w:hAnsi="Arial"/>
        </w:rPr>
        <w:t>September</w:t>
      </w:r>
      <w:r w:rsidR="00B4559A">
        <w:rPr>
          <w:rFonts w:ascii="Arial" w:hAnsi="Arial"/>
        </w:rPr>
        <w:t xml:space="preserve"> </w:t>
      </w:r>
      <w:r w:rsidR="00AF3D42">
        <w:rPr>
          <w:rFonts w:ascii="Arial" w:hAnsi="Arial"/>
        </w:rPr>
        <w:t>30</w:t>
      </w:r>
      <w:r w:rsidRPr="00B4559A" w:rsidR="00E42E9F">
        <w:rPr>
          <w:rFonts w:ascii="Arial" w:hAnsi="Arial"/>
        </w:rPr>
        <w:t>,</w:t>
      </w:r>
      <w:r w:rsidRPr="00B4559A">
        <w:rPr>
          <w:rFonts w:ascii="Arial" w:hAnsi="Arial"/>
        </w:rPr>
        <w:t xml:space="preserve"> 20</w:t>
      </w:r>
      <w:r w:rsidR="00B4559A">
        <w:rPr>
          <w:rFonts w:ascii="Arial" w:hAnsi="Arial"/>
        </w:rPr>
        <w:t>2</w:t>
      </w:r>
      <w:r w:rsidR="00AE0342">
        <w:rPr>
          <w:rFonts w:ascii="Arial" w:hAnsi="Arial"/>
        </w:rPr>
        <w:t>2</w:t>
      </w:r>
      <w:r w:rsidRPr="00B4559A">
        <w:rPr>
          <w:rFonts w:ascii="Arial" w:hAnsi="Arial"/>
        </w:rPr>
        <w:t xml:space="preserve"> (</w:t>
      </w:r>
      <w:r w:rsidR="00B4559A">
        <w:rPr>
          <w:rFonts w:ascii="Arial" w:hAnsi="Arial"/>
        </w:rPr>
        <w:t>8</w:t>
      </w:r>
      <w:r w:rsidR="00AE0342">
        <w:rPr>
          <w:rFonts w:ascii="Arial" w:hAnsi="Arial"/>
        </w:rPr>
        <w:t>7</w:t>
      </w:r>
      <w:r w:rsidRPr="00B4559A" w:rsidR="0033258B">
        <w:rPr>
          <w:rFonts w:ascii="Arial" w:hAnsi="Arial"/>
        </w:rPr>
        <w:t xml:space="preserve"> FR </w:t>
      </w:r>
      <w:r w:rsidR="00AF3D42">
        <w:rPr>
          <w:rFonts w:ascii="Arial" w:hAnsi="Arial"/>
        </w:rPr>
        <w:t>59447</w:t>
      </w:r>
      <w:r w:rsidRPr="00B4559A" w:rsidR="00E42E9F">
        <w:rPr>
          <w:rFonts w:ascii="Arial" w:hAnsi="Arial"/>
        </w:rPr>
        <w:t>)</w:t>
      </w:r>
      <w:r w:rsidRPr="00B4559A" w:rsidR="00EF340D">
        <w:rPr>
          <w:rFonts w:ascii="Arial" w:hAnsi="Arial"/>
        </w:rPr>
        <w:t xml:space="preserve"> on which </w:t>
      </w:r>
      <w:r w:rsidRPr="00B4559A" w:rsidR="000C67C1">
        <w:rPr>
          <w:rFonts w:ascii="Arial" w:hAnsi="Arial"/>
        </w:rPr>
        <w:t>no</w:t>
      </w:r>
      <w:r w:rsidRPr="00B4559A">
        <w:rPr>
          <w:rFonts w:ascii="Arial" w:hAnsi="Arial"/>
        </w:rPr>
        <w:t xml:space="preserve"> comments </w:t>
      </w:r>
      <w:r w:rsidRPr="00B4559A" w:rsidR="00EF340D">
        <w:rPr>
          <w:rFonts w:ascii="Arial" w:hAnsi="Arial"/>
        </w:rPr>
        <w:t>have been</w:t>
      </w:r>
      <w:r w:rsidRPr="00B4559A">
        <w:rPr>
          <w:rFonts w:ascii="Arial" w:hAnsi="Arial"/>
        </w:rPr>
        <w:t xml:space="preserve"> received.</w:t>
      </w:r>
    </w:p>
    <w:p w:rsidR="00077886" w:rsidP="00171621" w14:paraId="193E288C" w14:textId="129DFDF5">
      <w:pPr>
        <w:tabs>
          <w:tab w:val="left" w:pos="-1440"/>
        </w:tabs>
        <w:ind w:left="720" w:hanging="360"/>
        <w:jc w:val="both"/>
        <w:rPr>
          <w:rFonts w:ascii="Arial" w:hAnsi="Arial"/>
          <w:b/>
          <w:bCs/>
          <w:szCs w:val="24"/>
        </w:rPr>
      </w:pPr>
      <w:r>
        <w:rPr>
          <w:rFonts w:ascii="Arial" w:hAnsi="Arial"/>
          <w:color w:val="FF0000"/>
        </w:rPr>
        <w:tab/>
      </w:r>
      <w:r>
        <w:rPr>
          <w:rFonts w:ascii="Arial" w:hAnsi="Arial"/>
        </w:rPr>
        <w:t xml:space="preserve"> </w:t>
      </w:r>
    </w:p>
    <w:p w:rsidR="00077886" w:rsidRPr="00C47181" w:rsidP="00077886" w14:paraId="00A63B5C"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077886" w:rsidRPr="00C47181" w:rsidP="00077886" w14:paraId="043FEA41" w14:textId="77777777">
      <w:pPr>
        <w:tabs>
          <w:tab w:val="left" w:pos="-1440"/>
        </w:tabs>
        <w:ind w:left="720" w:hanging="720"/>
        <w:jc w:val="both"/>
        <w:rPr>
          <w:rFonts w:ascii="Arial" w:hAnsi="Arial"/>
          <w:szCs w:val="24"/>
        </w:rPr>
      </w:pPr>
    </w:p>
    <w:p w:rsidR="00077886" w:rsidRPr="00C47181" w:rsidP="00077886" w14:paraId="230A6B13" w14:textId="7777777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077886" w:rsidP="00077886" w14:paraId="61BA845C" w14:textId="77777777">
      <w:pPr>
        <w:ind w:left="720" w:hanging="720"/>
        <w:jc w:val="both"/>
        <w:rPr>
          <w:rFonts w:ascii="Arial" w:hAnsi="Arial"/>
          <w:b/>
          <w:bCs/>
          <w:szCs w:val="24"/>
        </w:rPr>
      </w:pPr>
    </w:p>
    <w:p w:rsidR="00077886" w:rsidRPr="00C47181" w:rsidP="00077886" w14:paraId="4B74B0C6" w14:textId="77777777">
      <w:pPr>
        <w:ind w:left="720" w:hanging="720"/>
        <w:jc w:val="both"/>
        <w:rPr>
          <w:rFonts w:ascii="Arial" w:hAnsi="Arial" w:cs="Arial"/>
          <w:b/>
          <w:bCs/>
          <w:szCs w:val="24"/>
        </w:rPr>
      </w:pPr>
      <w:r w:rsidRPr="004F3D9C">
        <w:rPr>
          <w:rFonts w:ascii="Arial" w:hAnsi="Arial"/>
          <w:b/>
          <w:bCs/>
          <w:szCs w:val="24"/>
        </w:rPr>
        <w:t>10.</w:t>
      </w:r>
      <w:r w:rsidRPr="004F3D9C">
        <w:rPr>
          <w:rFonts w:ascii="Arial" w:hAnsi="Arial"/>
          <w:szCs w:val="24"/>
        </w:rPr>
        <w:tab/>
      </w:r>
      <w:r w:rsidRPr="004F3D9C">
        <w:rPr>
          <w:rFonts w:ascii="Arial" w:hAnsi="Arial" w:cs="Arial"/>
          <w:b/>
          <w:bCs/>
          <w:szCs w:val="24"/>
        </w:rPr>
        <w:t>Describe any assurance of confidentiality provided to respondents and the basis for the assurance in statute, regulation, or agency policy.</w:t>
      </w:r>
    </w:p>
    <w:p w:rsidR="00077886" w:rsidRPr="00C47181" w:rsidP="00077886" w14:paraId="56AE7AF0" w14:textId="77777777">
      <w:pPr>
        <w:tabs>
          <w:tab w:val="left" w:pos="-1440"/>
        </w:tabs>
        <w:ind w:left="720" w:hanging="720"/>
        <w:jc w:val="both"/>
        <w:rPr>
          <w:rFonts w:ascii="Arial" w:hAnsi="Arial"/>
          <w:szCs w:val="24"/>
        </w:rPr>
      </w:pPr>
      <w:r w:rsidRPr="00C47181">
        <w:rPr>
          <w:rFonts w:ascii="Arial" w:hAnsi="Arial"/>
          <w:szCs w:val="24"/>
        </w:rPr>
        <w:tab/>
      </w:r>
    </w:p>
    <w:p w:rsidR="00077886" w:rsidRPr="00C47181" w:rsidP="00077886" w14:paraId="7EAF2F50" w14:textId="77777777">
      <w:pPr>
        <w:tabs>
          <w:tab w:val="left" w:pos="-1440"/>
        </w:tabs>
        <w:ind w:left="720" w:hanging="720"/>
        <w:jc w:val="both"/>
        <w:rPr>
          <w:rFonts w:ascii="Arial" w:hAnsi="Arial"/>
          <w:szCs w:val="24"/>
        </w:rPr>
      </w:pPr>
      <w:r>
        <w:rPr>
          <w:rFonts w:ascii="Arial" w:hAnsi="Arial"/>
          <w:szCs w:val="24"/>
        </w:rPr>
        <w:tab/>
      </w:r>
      <w:r w:rsidRPr="003A0630">
        <w:rPr>
          <w:rFonts w:ascii="Arial" w:hAnsi="Arial"/>
          <w:szCs w:val="24"/>
        </w:rPr>
        <w:t>This collection is not affected by the Privacy Act and is not impacted by a PIA or SORN</w:t>
      </w:r>
      <w:r w:rsidRPr="003A0630">
        <w:rPr>
          <w:rFonts w:ascii="Arial" w:hAnsi="Arial"/>
          <w:szCs w:val="24"/>
        </w:rPr>
        <w:t xml:space="preserve">.  </w:t>
      </w:r>
      <w:r w:rsidRPr="003A0630" w:rsidR="00935C8A">
        <w:rPr>
          <w:rFonts w:ascii="Arial" w:hAnsi="Arial"/>
          <w:szCs w:val="24"/>
        </w:rPr>
        <w:t>No assurances of confidentiality are provided to respondents.</w:t>
      </w:r>
    </w:p>
    <w:p w:rsidR="00077886" w:rsidP="00077886" w14:paraId="21B70002"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077886" w:rsidRPr="008E66C8" w:rsidP="00077886" w14:paraId="04880E98" w14:textId="77777777">
      <w:pPr>
        <w:ind w:left="720" w:hanging="720"/>
        <w:jc w:val="both"/>
        <w:rPr>
          <w:rFonts w:ascii="Arial" w:hAnsi="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w:t>
      </w:r>
      <w:r w:rsidRPr="00C47181">
        <w:rPr>
          <w:rFonts w:ascii="Arial" w:hAnsi="Arial" w:cs="Arial"/>
          <w:b/>
          <w:bCs/>
          <w:szCs w:val="24"/>
        </w:rPr>
        <w:t>the information is requested, and any steps to be taken to obtain their consent.</w:t>
      </w:r>
    </w:p>
    <w:p w:rsidR="00077886" w:rsidRPr="00C47181" w:rsidP="00077886" w14:paraId="72A483BB" w14:textId="77777777">
      <w:pPr>
        <w:tabs>
          <w:tab w:val="left" w:pos="-1440"/>
        </w:tabs>
        <w:ind w:left="720" w:hanging="720"/>
        <w:jc w:val="both"/>
        <w:rPr>
          <w:rFonts w:ascii="Arial" w:hAnsi="Arial"/>
          <w:szCs w:val="24"/>
        </w:rPr>
      </w:pPr>
      <w:r w:rsidRPr="00C47181">
        <w:rPr>
          <w:rFonts w:ascii="Arial" w:hAnsi="Arial"/>
          <w:szCs w:val="24"/>
        </w:rPr>
        <w:tab/>
      </w:r>
    </w:p>
    <w:p w:rsidR="003519E6" w:rsidP="001A58FF" w14:paraId="4116039F" w14:textId="05E723BA">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2F4771" w:rsidP="00077886" w14:paraId="78852D27" w14:textId="28222289">
      <w:pPr>
        <w:tabs>
          <w:tab w:val="left" w:pos="-1440"/>
        </w:tabs>
        <w:ind w:left="720" w:hanging="720"/>
        <w:jc w:val="both"/>
        <w:rPr>
          <w:rFonts w:ascii="Arial" w:hAnsi="Arial"/>
          <w:szCs w:val="24"/>
        </w:rPr>
      </w:pPr>
    </w:p>
    <w:p w:rsidR="002F4771" w:rsidP="00077886" w14:paraId="4093B4DE" w14:textId="7D8E6CFB">
      <w:pPr>
        <w:tabs>
          <w:tab w:val="left" w:pos="-1440"/>
        </w:tabs>
        <w:ind w:left="720" w:hanging="720"/>
        <w:jc w:val="both"/>
        <w:rPr>
          <w:rFonts w:ascii="Arial" w:hAnsi="Arial"/>
          <w:szCs w:val="24"/>
        </w:rPr>
      </w:pPr>
    </w:p>
    <w:p w:rsidR="00077886" w:rsidRPr="00C47181" w:rsidP="00077886" w14:paraId="01BAED14" w14:textId="77777777">
      <w:pPr>
        <w:tabs>
          <w:tab w:val="left" w:pos="-1440"/>
        </w:tabs>
        <w:jc w:val="both"/>
        <w:rPr>
          <w:rFonts w:ascii="Arial" w:hAnsi="Arial"/>
          <w:szCs w:val="24"/>
        </w:rPr>
      </w:pPr>
      <w:r w:rsidRPr="004F3D9C">
        <w:rPr>
          <w:rFonts w:ascii="Arial" w:hAnsi="Arial" w:cs="Arial"/>
          <w:b/>
          <w:bCs/>
          <w:szCs w:val="24"/>
        </w:rPr>
        <w:t xml:space="preserve">12. </w:t>
      </w:r>
      <w:r w:rsidRPr="004F3D9C">
        <w:rPr>
          <w:rFonts w:ascii="Arial" w:hAnsi="Arial" w:cs="Arial"/>
          <w:b/>
          <w:bCs/>
          <w:szCs w:val="24"/>
        </w:rPr>
        <w:tab/>
        <w:t>Provide estimates of the hour burden of the collection of information.</w:t>
      </w:r>
      <w:r w:rsidRPr="00C47181">
        <w:rPr>
          <w:rFonts w:ascii="Arial" w:hAnsi="Arial"/>
          <w:szCs w:val="24"/>
        </w:rPr>
        <w:tab/>
      </w:r>
    </w:p>
    <w:p w:rsidR="003519E6" w:rsidRPr="0033258B" w:rsidP="00077886" w14:paraId="7B25BB2E" w14:textId="77777777">
      <w:pPr>
        <w:jc w:val="both"/>
        <w:rPr>
          <w:rFonts w:ascii="Arial" w:hAnsi="Arial"/>
          <w:color w:val="FF0000"/>
        </w:rPr>
      </w:pP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170"/>
        <w:gridCol w:w="1890"/>
        <w:gridCol w:w="1710"/>
        <w:gridCol w:w="1530"/>
        <w:gridCol w:w="1476"/>
      </w:tblGrid>
      <w:tr w14:paraId="07345C03" w14:textId="77777777" w:rsidTr="00F272B2">
        <w:tblPrEx>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80" w:type="dxa"/>
            <w:shd w:val="clear" w:color="auto" w:fill="auto"/>
          </w:tcPr>
          <w:p w:rsidR="00077886" w:rsidRPr="003A0630" w:rsidP="00F272B2" w14:paraId="718AC647" w14:textId="77777777">
            <w:pPr>
              <w:pStyle w:val="Style"/>
              <w:tabs>
                <w:tab w:val="left" w:pos="-1440"/>
              </w:tabs>
              <w:ind w:left="0" w:firstLine="0"/>
              <w:jc w:val="both"/>
              <w:rPr>
                <w:rFonts w:ascii="Arial" w:hAnsi="Arial"/>
              </w:rPr>
            </w:pPr>
          </w:p>
          <w:p w:rsidR="00077886" w:rsidRPr="00015A69" w:rsidP="00F272B2" w14:paraId="73E57838" w14:textId="77777777">
            <w:pPr>
              <w:pStyle w:val="Style"/>
              <w:tabs>
                <w:tab w:val="left" w:pos="-1440"/>
              </w:tabs>
              <w:ind w:left="0" w:firstLine="0"/>
              <w:jc w:val="both"/>
              <w:rPr>
                <w:rFonts w:ascii="Arial" w:hAnsi="Arial"/>
                <w:sz w:val="22"/>
                <w:szCs w:val="22"/>
              </w:rPr>
            </w:pPr>
            <w:r w:rsidRPr="00015A69">
              <w:rPr>
                <w:rFonts w:ascii="Arial" w:hAnsi="Arial"/>
                <w:b/>
                <w:sz w:val="22"/>
                <w:szCs w:val="22"/>
              </w:rPr>
              <w:t xml:space="preserve">INFORMATION COLLECTION </w:t>
            </w:r>
          </w:p>
        </w:tc>
        <w:tc>
          <w:tcPr>
            <w:tcW w:w="1170" w:type="dxa"/>
            <w:shd w:val="clear" w:color="auto" w:fill="auto"/>
          </w:tcPr>
          <w:p w:rsidR="00077886" w:rsidRPr="00015A69" w:rsidP="00F272B2" w14:paraId="4541E1DF" w14:textId="77777777">
            <w:pPr>
              <w:pStyle w:val="Style"/>
              <w:tabs>
                <w:tab w:val="left" w:pos="-1440"/>
              </w:tabs>
              <w:ind w:left="0" w:firstLine="0"/>
              <w:jc w:val="both"/>
              <w:rPr>
                <w:rFonts w:ascii="Arial" w:hAnsi="Arial"/>
                <w:b/>
                <w:sz w:val="22"/>
                <w:szCs w:val="22"/>
              </w:rPr>
            </w:pPr>
            <w:r w:rsidRPr="00015A69">
              <w:rPr>
                <w:rFonts w:ascii="Arial" w:hAnsi="Arial"/>
                <w:b/>
                <w:sz w:val="22"/>
                <w:szCs w:val="22"/>
              </w:rPr>
              <w:t>TOTAL ANNUAL BURDEN HOURS</w:t>
            </w:r>
          </w:p>
        </w:tc>
        <w:tc>
          <w:tcPr>
            <w:tcW w:w="1890" w:type="dxa"/>
            <w:shd w:val="clear" w:color="auto" w:fill="auto"/>
          </w:tcPr>
          <w:p w:rsidR="00077886" w:rsidRPr="00015A69" w:rsidP="00F272B2" w14:paraId="0B8306A6" w14:textId="77777777">
            <w:pPr>
              <w:pStyle w:val="Style"/>
              <w:tabs>
                <w:tab w:val="left" w:pos="-1440"/>
              </w:tabs>
              <w:ind w:left="0" w:firstLine="0"/>
              <w:jc w:val="both"/>
              <w:rPr>
                <w:rFonts w:ascii="Arial" w:hAnsi="Arial"/>
                <w:b/>
                <w:sz w:val="22"/>
                <w:szCs w:val="22"/>
              </w:rPr>
            </w:pPr>
            <w:r w:rsidRPr="00015A69">
              <w:rPr>
                <w:rFonts w:ascii="Arial" w:hAnsi="Arial"/>
                <w:b/>
                <w:sz w:val="22"/>
                <w:szCs w:val="22"/>
              </w:rPr>
              <w:t>NO. OF</w:t>
            </w:r>
          </w:p>
          <w:p w:rsidR="00077886" w:rsidRPr="00015A69" w:rsidP="00F272B2" w14:paraId="3CA2D197" w14:textId="77777777">
            <w:pPr>
              <w:pStyle w:val="Style"/>
              <w:tabs>
                <w:tab w:val="left" w:pos="-1440"/>
              </w:tabs>
              <w:ind w:left="0" w:firstLine="0"/>
              <w:jc w:val="both"/>
              <w:rPr>
                <w:rFonts w:ascii="Arial" w:hAnsi="Arial"/>
                <w:b/>
                <w:sz w:val="22"/>
                <w:szCs w:val="22"/>
              </w:rPr>
            </w:pPr>
            <w:r w:rsidRPr="00015A69">
              <w:rPr>
                <w:rFonts w:ascii="Arial" w:hAnsi="Arial"/>
                <w:b/>
                <w:sz w:val="22"/>
                <w:szCs w:val="22"/>
              </w:rPr>
              <w:t>RESPONDENTS</w:t>
            </w:r>
          </w:p>
        </w:tc>
        <w:tc>
          <w:tcPr>
            <w:tcW w:w="1710" w:type="dxa"/>
            <w:shd w:val="clear" w:color="auto" w:fill="auto"/>
          </w:tcPr>
          <w:p w:rsidR="00077886" w:rsidRPr="00015A69" w:rsidP="00F272B2" w14:paraId="4D4F6C0A" w14:textId="77777777">
            <w:pPr>
              <w:pStyle w:val="Style"/>
              <w:tabs>
                <w:tab w:val="left" w:pos="-1440"/>
              </w:tabs>
              <w:ind w:left="0" w:firstLine="0"/>
              <w:rPr>
                <w:rFonts w:ascii="Arial" w:hAnsi="Arial"/>
                <w:b/>
                <w:sz w:val="20"/>
              </w:rPr>
            </w:pPr>
            <w:r w:rsidRPr="00015A69">
              <w:rPr>
                <w:rFonts w:ascii="Arial" w:hAnsi="Arial"/>
                <w:b/>
                <w:sz w:val="20"/>
              </w:rPr>
              <w:t>NO. OF RESPONSES PER RESPONDENT</w:t>
            </w:r>
          </w:p>
        </w:tc>
        <w:tc>
          <w:tcPr>
            <w:tcW w:w="1530" w:type="dxa"/>
            <w:shd w:val="clear" w:color="auto" w:fill="auto"/>
          </w:tcPr>
          <w:p w:rsidR="00077886" w:rsidRPr="00015A69" w:rsidP="00F272B2" w14:paraId="7AF0A1D5" w14:textId="77777777">
            <w:pPr>
              <w:pStyle w:val="Style"/>
              <w:tabs>
                <w:tab w:val="left" w:pos="-1440"/>
              </w:tabs>
              <w:ind w:left="0" w:firstLine="0"/>
              <w:jc w:val="both"/>
              <w:rPr>
                <w:rFonts w:ascii="Arial" w:hAnsi="Arial"/>
              </w:rPr>
            </w:pPr>
          </w:p>
          <w:p w:rsidR="00077886" w:rsidRPr="00015A69" w:rsidP="00F272B2" w14:paraId="7C7D5F49" w14:textId="77777777">
            <w:pPr>
              <w:pStyle w:val="Style"/>
              <w:tabs>
                <w:tab w:val="left" w:pos="-1440"/>
              </w:tabs>
              <w:ind w:left="0" w:firstLine="0"/>
              <w:jc w:val="both"/>
              <w:rPr>
                <w:rFonts w:ascii="Arial" w:hAnsi="Arial"/>
                <w:b/>
                <w:sz w:val="20"/>
              </w:rPr>
            </w:pPr>
            <w:r w:rsidRPr="00015A69">
              <w:rPr>
                <w:rFonts w:ascii="Arial" w:hAnsi="Arial"/>
                <w:b/>
                <w:sz w:val="20"/>
              </w:rPr>
              <w:t>TOTAL</w:t>
            </w:r>
          </w:p>
          <w:p w:rsidR="00077886" w:rsidRPr="00015A69" w:rsidP="00F272B2" w14:paraId="70BD7DE9" w14:textId="77777777">
            <w:pPr>
              <w:pStyle w:val="Style"/>
              <w:tabs>
                <w:tab w:val="left" w:pos="-1440"/>
              </w:tabs>
              <w:ind w:left="0" w:firstLine="0"/>
              <w:jc w:val="both"/>
              <w:rPr>
                <w:rFonts w:ascii="Arial" w:hAnsi="Arial"/>
              </w:rPr>
            </w:pPr>
            <w:r w:rsidRPr="00015A69">
              <w:rPr>
                <w:rFonts w:ascii="Arial" w:hAnsi="Arial"/>
                <w:b/>
                <w:sz w:val="20"/>
              </w:rPr>
              <w:t>RESPONSES</w:t>
            </w:r>
          </w:p>
        </w:tc>
        <w:tc>
          <w:tcPr>
            <w:tcW w:w="1476" w:type="dxa"/>
            <w:shd w:val="clear" w:color="auto" w:fill="auto"/>
          </w:tcPr>
          <w:p w:rsidR="00077886" w:rsidRPr="00015A69" w:rsidP="00F272B2" w14:paraId="3094405E" w14:textId="77777777">
            <w:pPr>
              <w:pStyle w:val="Style"/>
              <w:tabs>
                <w:tab w:val="left" w:pos="-1440"/>
              </w:tabs>
              <w:ind w:left="0" w:firstLine="0"/>
              <w:jc w:val="both"/>
              <w:rPr>
                <w:rFonts w:ascii="Arial" w:hAnsi="Arial"/>
              </w:rPr>
            </w:pPr>
          </w:p>
          <w:p w:rsidR="00077886" w:rsidRPr="00015A69" w:rsidP="00F272B2" w14:paraId="42761F34" w14:textId="77777777">
            <w:pPr>
              <w:pStyle w:val="Style"/>
              <w:tabs>
                <w:tab w:val="left" w:pos="-1440"/>
              </w:tabs>
              <w:ind w:left="0" w:firstLine="0"/>
              <w:jc w:val="both"/>
              <w:rPr>
                <w:rFonts w:ascii="Arial" w:hAnsi="Arial"/>
                <w:b/>
                <w:sz w:val="22"/>
                <w:szCs w:val="22"/>
              </w:rPr>
            </w:pPr>
            <w:r w:rsidRPr="00015A69">
              <w:rPr>
                <w:rFonts w:ascii="Arial" w:hAnsi="Arial"/>
                <w:b/>
                <w:sz w:val="22"/>
                <w:szCs w:val="22"/>
              </w:rPr>
              <w:t>TIME PER</w:t>
            </w:r>
          </w:p>
          <w:p w:rsidR="00077886" w:rsidRPr="00015A69" w:rsidP="00F272B2" w14:paraId="4897EB8D" w14:textId="77777777">
            <w:pPr>
              <w:pStyle w:val="Style"/>
              <w:tabs>
                <w:tab w:val="left" w:pos="-1440"/>
              </w:tabs>
              <w:ind w:left="0" w:firstLine="0"/>
              <w:jc w:val="both"/>
              <w:rPr>
                <w:rFonts w:ascii="Arial" w:hAnsi="Arial"/>
              </w:rPr>
            </w:pPr>
            <w:r w:rsidRPr="00015A69">
              <w:rPr>
                <w:rFonts w:ascii="Arial" w:hAnsi="Arial"/>
                <w:b/>
                <w:sz w:val="22"/>
                <w:szCs w:val="22"/>
              </w:rPr>
              <w:t>RESPONSE</w:t>
            </w:r>
          </w:p>
        </w:tc>
      </w:tr>
      <w:tr w14:paraId="7067A5F6" w14:textId="77777777" w:rsidTr="00F272B2">
        <w:tblPrEx>
          <w:tblW w:w="9756" w:type="dxa"/>
          <w:tblInd w:w="108" w:type="dxa"/>
          <w:tblLayout w:type="fixed"/>
          <w:tblLook w:val="01E0"/>
        </w:tblPrEx>
        <w:tc>
          <w:tcPr>
            <w:tcW w:w="1980" w:type="dxa"/>
            <w:shd w:val="clear" w:color="auto" w:fill="auto"/>
          </w:tcPr>
          <w:p w:rsidR="00077886" w:rsidRPr="00015A69" w:rsidP="00F272B2" w14:paraId="7EBAA61E" w14:textId="77777777">
            <w:pPr>
              <w:pStyle w:val="Style"/>
              <w:tabs>
                <w:tab w:val="left" w:pos="-1440"/>
              </w:tabs>
              <w:ind w:left="0" w:firstLine="0"/>
              <w:jc w:val="both"/>
              <w:rPr>
                <w:rFonts w:ascii="Arial" w:hAnsi="Arial"/>
                <w:b/>
                <w:sz w:val="20"/>
              </w:rPr>
            </w:pPr>
          </w:p>
          <w:p w:rsidR="00077886" w:rsidRPr="00015A69" w:rsidP="00F272B2" w14:paraId="5983D498" w14:textId="77777777">
            <w:pPr>
              <w:pStyle w:val="Style"/>
              <w:tabs>
                <w:tab w:val="left" w:pos="-1440"/>
              </w:tabs>
              <w:ind w:left="0" w:firstLine="0"/>
              <w:jc w:val="both"/>
              <w:rPr>
                <w:rFonts w:ascii="Arial" w:hAnsi="Arial"/>
                <w:szCs w:val="24"/>
              </w:rPr>
            </w:pPr>
            <w:r w:rsidRPr="00015A69">
              <w:rPr>
                <w:rFonts w:ascii="Arial" w:hAnsi="Arial"/>
                <w:szCs w:val="24"/>
              </w:rPr>
              <w:t xml:space="preserve">CBP </w:t>
            </w:r>
            <w:r w:rsidRPr="00015A69">
              <w:rPr>
                <w:rFonts w:ascii="Arial" w:hAnsi="Arial"/>
                <w:szCs w:val="24"/>
              </w:rPr>
              <w:t xml:space="preserve">Form 1303 </w:t>
            </w:r>
          </w:p>
          <w:p w:rsidR="00077886" w:rsidRPr="00015A69" w:rsidP="00F272B2" w14:paraId="317FA343" w14:textId="77777777">
            <w:pPr>
              <w:pStyle w:val="Style"/>
              <w:tabs>
                <w:tab w:val="left" w:pos="-1440"/>
              </w:tabs>
              <w:ind w:left="0" w:firstLine="0"/>
              <w:jc w:val="both"/>
              <w:rPr>
                <w:rFonts w:ascii="Arial" w:hAnsi="Arial"/>
                <w:b/>
                <w:sz w:val="22"/>
                <w:szCs w:val="22"/>
              </w:rPr>
            </w:pPr>
          </w:p>
        </w:tc>
        <w:tc>
          <w:tcPr>
            <w:tcW w:w="1170" w:type="dxa"/>
            <w:shd w:val="clear" w:color="auto" w:fill="auto"/>
          </w:tcPr>
          <w:p w:rsidR="00077886" w:rsidRPr="00015A69" w:rsidP="00F272B2" w14:paraId="08A7053B" w14:textId="77777777">
            <w:pPr>
              <w:pStyle w:val="Style"/>
              <w:tabs>
                <w:tab w:val="left" w:pos="-1440"/>
              </w:tabs>
              <w:ind w:left="0" w:firstLine="0"/>
              <w:jc w:val="both"/>
              <w:rPr>
                <w:rFonts w:ascii="Arial" w:hAnsi="Arial"/>
              </w:rPr>
            </w:pPr>
          </w:p>
          <w:p w:rsidR="00077886" w:rsidRPr="00015A69" w:rsidP="00F272B2" w14:paraId="0A804B47" w14:textId="6CAF7D5E">
            <w:pPr>
              <w:pStyle w:val="Style"/>
              <w:tabs>
                <w:tab w:val="left" w:pos="-1440"/>
              </w:tabs>
              <w:ind w:left="0" w:firstLine="0"/>
              <w:jc w:val="both"/>
              <w:rPr>
                <w:rFonts w:ascii="Arial" w:hAnsi="Arial"/>
              </w:rPr>
            </w:pPr>
            <w:r w:rsidRPr="00015A69">
              <w:rPr>
                <w:rFonts w:ascii="Arial" w:hAnsi="Arial"/>
              </w:rPr>
              <w:t xml:space="preserve"> </w:t>
            </w:r>
            <w:r w:rsidRPr="003C208A" w:rsidR="003C208A">
              <w:rPr>
                <w:rFonts w:ascii="Arial" w:hAnsi="Arial"/>
              </w:rPr>
              <w:t>47</w:t>
            </w:r>
            <w:r w:rsidR="003C208A">
              <w:rPr>
                <w:rFonts w:ascii="Arial" w:hAnsi="Arial"/>
              </w:rPr>
              <w:t>,</w:t>
            </w:r>
            <w:r w:rsidRPr="003C208A" w:rsidR="003C208A">
              <w:rPr>
                <w:rFonts w:ascii="Arial" w:hAnsi="Arial"/>
              </w:rPr>
              <w:t>232</w:t>
            </w:r>
          </w:p>
        </w:tc>
        <w:tc>
          <w:tcPr>
            <w:tcW w:w="1890" w:type="dxa"/>
            <w:shd w:val="clear" w:color="auto" w:fill="auto"/>
          </w:tcPr>
          <w:p w:rsidR="00077886" w:rsidRPr="00015A69" w:rsidP="00F272B2" w14:paraId="76D4A806" w14:textId="77777777">
            <w:pPr>
              <w:pStyle w:val="Style"/>
              <w:tabs>
                <w:tab w:val="left" w:pos="-1440"/>
              </w:tabs>
              <w:ind w:left="0" w:firstLine="0"/>
              <w:jc w:val="both"/>
              <w:rPr>
                <w:rFonts w:ascii="Arial" w:hAnsi="Arial"/>
              </w:rPr>
            </w:pPr>
          </w:p>
          <w:p w:rsidR="00077886" w:rsidRPr="00015A69" w:rsidP="00F272B2" w14:paraId="573EE816" w14:textId="50D4A9BE">
            <w:pPr>
              <w:pStyle w:val="Style"/>
              <w:tabs>
                <w:tab w:val="left" w:pos="-1440"/>
              </w:tabs>
              <w:ind w:left="0" w:firstLine="0"/>
              <w:jc w:val="both"/>
              <w:rPr>
                <w:rFonts w:ascii="Arial" w:hAnsi="Arial"/>
              </w:rPr>
            </w:pPr>
            <w:r w:rsidRPr="00015A69">
              <w:rPr>
                <w:rFonts w:ascii="Arial" w:hAnsi="Arial"/>
              </w:rPr>
              <w:t xml:space="preserve">       </w:t>
            </w:r>
            <w:r w:rsidR="00731124">
              <w:rPr>
                <w:rFonts w:ascii="Arial" w:hAnsi="Arial"/>
              </w:rPr>
              <w:t>2,624</w:t>
            </w:r>
          </w:p>
        </w:tc>
        <w:tc>
          <w:tcPr>
            <w:tcW w:w="1710" w:type="dxa"/>
            <w:shd w:val="clear" w:color="auto" w:fill="auto"/>
          </w:tcPr>
          <w:p w:rsidR="00077886" w:rsidRPr="00015A69" w:rsidP="00F272B2" w14:paraId="235A8237" w14:textId="77777777">
            <w:pPr>
              <w:pStyle w:val="Style"/>
              <w:tabs>
                <w:tab w:val="left" w:pos="-1440"/>
              </w:tabs>
              <w:ind w:left="0" w:firstLine="0"/>
              <w:jc w:val="both"/>
              <w:rPr>
                <w:rFonts w:ascii="Arial" w:hAnsi="Arial"/>
              </w:rPr>
            </w:pPr>
          </w:p>
          <w:p w:rsidR="00077886" w:rsidRPr="00015A69" w:rsidP="00F272B2" w14:paraId="624232DF" w14:textId="09F7101C">
            <w:pPr>
              <w:pStyle w:val="Style"/>
              <w:tabs>
                <w:tab w:val="left" w:pos="-1440"/>
              </w:tabs>
              <w:ind w:left="0" w:firstLine="0"/>
              <w:jc w:val="both"/>
              <w:rPr>
                <w:rFonts w:ascii="Arial" w:hAnsi="Arial"/>
              </w:rPr>
            </w:pPr>
            <w:r w:rsidRPr="00015A69">
              <w:rPr>
                <w:rFonts w:ascii="Arial" w:hAnsi="Arial"/>
              </w:rPr>
              <w:t xml:space="preserve">        </w:t>
            </w:r>
            <w:r w:rsidR="00731124">
              <w:rPr>
                <w:rFonts w:ascii="Arial" w:hAnsi="Arial"/>
              </w:rPr>
              <w:t>72</w:t>
            </w:r>
          </w:p>
        </w:tc>
        <w:tc>
          <w:tcPr>
            <w:tcW w:w="1530" w:type="dxa"/>
            <w:shd w:val="clear" w:color="auto" w:fill="auto"/>
          </w:tcPr>
          <w:p w:rsidR="00077886" w:rsidRPr="00015A69" w:rsidP="00F272B2" w14:paraId="20A68C60" w14:textId="77777777">
            <w:pPr>
              <w:pStyle w:val="Style"/>
              <w:tabs>
                <w:tab w:val="left" w:pos="-1440"/>
              </w:tabs>
              <w:ind w:left="0" w:firstLine="0"/>
              <w:jc w:val="both"/>
              <w:rPr>
                <w:rFonts w:ascii="Arial" w:hAnsi="Arial"/>
              </w:rPr>
            </w:pPr>
          </w:p>
          <w:p w:rsidR="00077886" w:rsidRPr="00015A69" w:rsidP="00F272B2" w14:paraId="3063FFEA" w14:textId="3A41E295">
            <w:pPr>
              <w:pStyle w:val="Style"/>
              <w:tabs>
                <w:tab w:val="left" w:pos="-1440"/>
              </w:tabs>
              <w:ind w:left="0" w:firstLine="0"/>
              <w:jc w:val="both"/>
              <w:rPr>
                <w:rFonts w:ascii="Arial" w:hAnsi="Arial"/>
              </w:rPr>
            </w:pPr>
            <w:r w:rsidRPr="00015A69">
              <w:rPr>
                <w:rFonts w:ascii="Arial" w:hAnsi="Arial"/>
              </w:rPr>
              <w:t xml:space="preserve">   </w:t>
            </w:r>
            <w:r w:rsidR="00731124">
              <w:rPr>
                <w:rFonts w:ascii="Arial" w:hAnsi="Arial"/>
              </w:rPr>
              <w:t>188,928</w:t>
            </w:r>
          </w:p>
        </w:tc>
        <w:tc>
          <w:tcPr>
            <w:tcW w:w="1476" w:type="dxa"/>
            <w:shd w:val="clear" w:color="auto" w:fill="auto"/>
          </w:tcPr>
          <w:p w:rsidR="00077886" w:rsidRPr="00015A69" w:rsidP="00F272B2" w14:paraId="075D80F7" w14:textId="77777777">
            <w:pPr>
              <w:pStyle w:val="Style"/>
              <w:tabs>
                <w:tab w:val="left" w:pos="-1440"/>
              </w:tabs>
              <w:ind w:left="0" w:firstLine="0"/>
              <w:jc w:val="both"/>
              <w:rPr>
                <w:rFonts w:ascii="Arial" w:hAnsi="Arial"/>
                <w:sz w:val="22"/>
                <w:szCs w:val="22"/>
              </w:rPr>
            </w:pPr>
          </w:p>
          <w:p w:rsidR="00077886" w:rsidRPr="00015A69" w:rsidP="00F272B2" w14:paraId="292925C0" w14:textId="77777777">
            <w:pPr>
              <w:pStyle w:val="Style"/>
              <w:tabs>
                <w:tab w:val="left" w:pos="-1440"/>
              </w:tabs>
              <w:ind w:left="0" w:firstLine="0"/>
              <w:jc w:val="both"/>
              <w:rPr>
                <w:rFonts w:ascii="Arial" w:hAnsi="Arial"/>
                <w:sz w:val="22"/>
                <w:szCs w:val="22"/>
              </w:rPr>
            </w:pPr>
            <w:r w:rsidRPr="00015A69">
              <w:rPr>
                <w:rFonts w:ascii="Arial" w:hAnsi="Arial"/>
                <w:sz w:val="22"/>
                <w:szCs w:val="22"/>
              </w:rPr>
              <w:t>15 minutes</w:t>
            </w:r>
          </w:p>
          <w:p w:rsidR="00077886" w:rsidRPr="003A0630" w:rsidP="00F272B2" w14:paraId="2A99FC0F" w14:textId="77777777">
            <w:pPr>
              <w:pStyle w:val="Style"/>
              <w:tabs>
                <w:tab w:val="left" w:pos="-1440"/>
              </w:tabs>
              <w:ind w:left="0" w:firstLine="0"/>
              <w:jc w:val="both"/>
              <w:rPr>
                <w:rFonts w:ascii="Arial" w:hAnsi="Arial"/>
                <w:sz w:val="22"/>
                <w:szCs w:val="22"/>
              </w:rPr>
            </w:pPr>
            <w:r w:rsidRPr="00015A69">
              <w:rPr>
                <w:rFonts w:ascii="Arial" w:hAnsi="Arial"/>
                <w:sz w:val="22"/>
                <w:szCs w:val="22"/>
              </w:rPr>
              <w:t>(.25 hours)</w:t>
            </w:r>
          </w:p>
        </w:tc>
      </w:tr>
    </w:tbl>
    <w:p w:rsidR="00077886" w:rsidP="00077886" w14:paraId="5356B864" w14:textId="77777777">
      <w:pPr>
        <w:tabs>
          <w:tab w:val="left" w:pos="-1440"/>
        </w:tabs>
        <w:ind w:left="720" w:hanging="720"/>
        <w:jc w:val="both"/>
        <w:rPr>
          <w:rFonts w:ascii="Arial" w:hAnsi="Arial"/>
          <w:szCs w:val="24"/>
        </w:rPr>
      </w:pPr>
      <w:r>
        <w:rPr>
          <w:rFonts w:ascii="Arial" w:hAnsi="Arial" w:cs="Arial"/>
        </w:rPr>
        <w:tab/>
      </w:r>
    </w:p>
    <w:p w:rsidR="00077886" w:rsidRPr="00077886" w:rsidP="00077886" w14:paraId="40ECAF11" w14:textId="77777777">
      <w:pPr>
        <w:tabs>
          <w:tab w:val="left" w:pos="-1440"/>
        </w:tabs>
        <w:ind w:left="720" w:hanging="720"/>
        <w:jc w:val="both"/>
        <w:rPr>
          <w:rFonts w:ascii="Arial" w:hAnsi="Arial"/>
          <w:bCs/>
          <w:szCs w:val="24"/>
        </w:rPr>
      </w:pPr>
      <w:r>
        <w:rPr>
          <w:rFonts w:ascii="Arial" w:hAnsi="Arial"/>
          <w:b/>
          <w:bCs/>
          <w:szCs w:val="24"/>
        </w:rPr>
        <w:tab/>
        <w:t>Public Cost</w:t>
      </w:r>
    </w:p>
    <w:p w:rsidR="00102ED7" w:rsidRPr="003A0630" w:rsidP="00102ED7" w14:paraId="5304F7BD" w14:textId="77777777">
      <w:pPr>
        <w:tabs>
          <w:tab w:val="left" w:pos="-1440"/>
        </w:tabs>
        <w:ind w:left="720" w:hanging="720"/>
        <w:jc w:val="both"/>
        <w:rPr>
          <w:rFonts w:ascii="Arial" w:hAnsi="Arial"/>
          <w:b/>
          <w:bCs/>
          <w:color w:val="FF0000"/>
        </w:rPr>
      </w:pPr>
      <w:r>
        <w:rPr>
          <w:rFonts w:ascii="Arial" w:hAnsi="Arial"/>
          <w:b/>
          <w:bCs/>
          <w:szCs w:val="24"/>
        </w:rPr>
        <w:tab/>
      </w:r>
      <w:r w:rsidR="003A0630">
        <w:rPr>
          <w:rFonts w:ascii="Arial" w:hAnsi="Arial"/>
          <w:b/>
          <w:bCs/>
          <w:color w:val="FF0000"/>
          <w:szCs w:val="24"/>
        </w:rPr>
        <w:t xml:space="preserve"> </w:t>
      </w:r>
    </w:p>
    <w:p w:rsidR="00AE0342" w:rsidRPr="00AE0342" w:rsidP="00AE0342" w14:paraId="5578E82D" w14:textId="3B413E35">
      <w:pPr>
        <w:tabs>
          <w:tab w:val="left" w:pos="-1080"/>
          <w:tab w:val="left" w:pos="-720"/>
          <w:tab w:val="left" w:pos="0"/>
          <w:tab w:val="left" w:pos="720"/>
          <w:tab w:val="left" w:pos="1080"/>
        </w:tabs>
        <w:ind w:left="720"/>
        <w:jc w:val="both"/>
        <w:rPr>
          <w:rFonts w:ascii="Arial" w:hAnsi="Arial"/>
          <w:bCs/>
        </w:rPr>
      </w:pPr>
      <w:r w:rsidRPr="00AE0342">
        <w:rPr>
          <w:rFonts w:ascii="Arial" w:hAnsi="Arial"/>
          <w:bCs/>
        </w:rPr>
        <w:t>The estimated cost to the respondents is $</w:t>
      </w:r>
      <w:r w:rsidR="003C208A">
        <w:rPr>
          <w:rFonts w:ascii="Arial" w:hAnsi="Arial"/>
          <w:bCs/>
        </w:rPr>
        <w:t>2,829,669</w:t>
      </w:r>
      <w:r w:rsidRPr="00AE0342">
        <w:rPr>
          <w:rFonts w:ascii="Arial" w:hAnsi="Arial"/>
          <w:bCs/>
        </w:rPr>
        <w:t>.  This is based on the estimated burden hours (</w:t>
      </w:r>
      <w:r w:rsidR="003C208A">
        <w:rPr>
          <w:rFonts w:ascii="Arial" w:hAnsi="Arial"/>
          <w:bCs/>
        </w:rPr>
        <w:t>47,232</w:t>
      </w:r>
      <w:r w:rsidRPr="00AE0342">
        <w:rPr>
          <w:rFonts w:ascii="Arial" w:hAnsi="Arial"/>
          <w:bCs/>
        </w:rPr>
        <w:t>) multiplied by the average loaded hourly wage rate for ship and boat captains and operators ($59.91).  CBP calculated this loaded wage rate by first multiplying the Bureau of Labor Statistics’ (BLS) 2021 median hourly wage rate for Ship and Boat Captains and Operators ($38.47), which CBP assumes best represents the wage for ship and boat captains and operators, by the ratio of BLS’ average 2021 total compensation to wages and salaries for Transportation and Material Moving occupations (1.4953), the assumed occupational group for brokers, to account for non-salary employee benefits.</w:t>
      </w:r>
      <w:r>
        <w:rPr>
          <w:rFonts w:ascii="Arial" w:hAnsi="Arial"/>
          <w:bCs/>
          <w:vertAlign w:val="superscript"/>
        </w:rPr>
        <w:footnoteReference w:id="2"/>
      </w:r>
      <w:r w:rsidRPr="00AE0342">
        <w:rPr>
          <w:rFonts w:ascii="Arial" w:hAnsi="Arial"/>
          <w:bCs/>
        </w:rPr>
        <w:t xml:space="preserve">  CBP assumes an annual growth rate of 4.15% based on the prior year’s change in the implicit price deflator, published by the Bureau of Economic Analysis.</w:t>
      </w:r>
    </w:p>
    <w:p w:rsidR="00077886" w:rsidP="00077886" w14:paraId="3BE2FCE0" w14:textId="77777777">
      <w:pPr>
        <w:tabs>
          <w:tab w:val="left" w:pos="-1080"/>
          <w:tab w:val="left" w:pos="-720"/>
          <w:tab w:val="left" w:pos="0"/>
          <w:tab w:val="left" w:pos="720"/>
          <w:tab w:val="left" w:pos="1080"/>
        </w:tabs>
        <w:ind w:left="720"/>
        <w:jc w:val="both"/>
        <w:rPr>
          <w:rFonts w:ascii="Arial" w:hAnsi="Arial"/>
        </w:rPr>
      </w:pPr>
    </w:p>
    <w:p w:rsidR="00077886" w:rsidRPr="00077886" w:rsidP="00A57A96" w14:paraId="0E0BE53C" w14:textId="77777777">
      <w:pPr>
        <w:tabs>
          <w:tab w:val="left" w:pos="-1440"/>
        </w:tabs>
        <w:ind w:left="720" w:hanging="720"/>
        <w:jc w:val="both"/>
        <w:rPr>
          <w:rFonts w:ascii="Arial" w:hAnsi="Arial" w:cs="Arial"/>
          <w:color w:val="C0C0C0"/>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p>
    <w:p w:rsidR="00077886" w:rsidP="00077886" w14:paraId="7965F527" w14:textId="77777777">
      <w:pPr>
        <w:ind w:left="660"/>
        <w:jc w:val="both"/>
        <w:rPr>
          <w:rFonts w:ascii="Arial" w:hAnsi="Arial" w:cs="Arial"/>
        </w:rPr>
      </w:pPr>
    </w:p>
    <w:p w:rsidR="00077886" w:rsidP="00077886" w14:paraId="577AC883" w14:textId="77777777">
      <w:pPr>
        <w:ind w:left="660"/>
        <w:jc w:val="both"/>
        <w:rPr>
          <w:rFonts w:ascii="Arial" w:hAnsi="Arial" w:cs="Arial"/>
        </w:rPr>
      </w:pPr>
      <w:r>
        <w:rPr>
          <w:rFonts w:ascii="Arial" w:hAnsi="Arial" w:cs="Arial"/>
        </w:rPr>
        <w:t xml:space="preserve">There are no record keeping, capital, start-up or maintenance costs associated with this information collection.  </w:t>
      </w:r>
    </w:p>
    <w:p w:rsidR="00077886" w:rsidP="00077886" w14:paraId="1C6B206F" w14:textId="77777777">
      <w:pPr>
        <w:ind w:left="660"/>
        <w:jc w:val="both"/>
        <w:rPr>
          <w:rFonts w:ascii="Arial" w:hAnsi="Arial" w:cs="Arial"/>
        </w:rPr>
      </w:pPr>
      <w:r>
        <w:rPr>
          <w:rFonts w:ascii="Arial" w:hAnsi="Arial" w:cs="Arial"/>
        </w:rPr>
        <w:t xml:space="preserve">    </w:t>
      </w:r>
    </w:p>
    <w:p w:rsidR="00077886" w:rsidRPr="008E66C8" w:rsidP="00077886" w14:paraId="54C809CE" w14:textId="77777777">
      <w:pPr>
        <w:ind w:left="660" w:hanging="660"/>
        <w:jc w:val="both"/>
        <w:rPr>
          <w:rFonts w:ascii="Arial" w:hAnsi="Arial" w:cs="Arial"/>
        </w:rPr>
      </w:pPr>
      <w:r>
        <w:rPr>
          <w:rFonts w:ascii="Arial" w:hAnsi="Arial" w:cs="Arial"/>
          <w:b/>
          <w:bCs/>
          <w:szCs w:val="24"/>
        </w:rPr>
        <w:t xml:space="preserve">14. </w:t>
      </w:r>
      <w:r>
        <w:rPr>
          <w:rFonts w:ascii="Arial" w:hAnsi="Arial" w:cs="Arial"/>
          <w:b/>
          <w:bCs/>
          <w:szCs w:val="24"/>
        </w:rPr>
        <w:tab/>
        <w:t>P</w:t>
      </w:r>
      <w:r w:rsidRPr="00C47181">
        <w:rPr>
          <w:rFonts w:ascii="Arial" w:hAnsi="Arial" w:cs="Arial"/>
          <w:b/>
          <w:bCs/>
          <w:szCs w:val="24"/>
        </w:rPr>
        <w:t xml:space="preserve">rovide estimates of annualized cost to the Federal Government.  Also provide a description of the method used to estimate cost, which should </w:t>
      </w:r>
      <w:r w:rsidRPr="00C47181">
        <w:rPr>
          <w:rFonts w:ascii="Arial" w:hAnsi="Arial" w:cs="Arial"/>
          <w:b/>
          <w:bCs/>
          <w:szCs w:val="24"/>
        </w:rPr>
        <w:t>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077886" w:rsidP="00077886" w14:paraId="192D089E" w14:textId="77777777">
      <w:pPr>
        <w:tabs>
          <w:tab w:val="left" w:pos="-1080"/>
          <w:tab w:val="left" w:pos="-720"/>
          <w:tab w:val="left" w:pos="0"/>
          <w:tab w:val="left" w:pos="720"/>
          <w:tab w:val="left" w:pos="1080"/>
        </w:tabs>
        <w:ind w:left="720"/>
        <w:jc w:val="both"/>
        <w:rPr>
          <w:rFonts w:ascii="Arial" w:hAnsi="Arial"/>
        </w:rPr>
      </w:pPr>
    </w:p>
    <w:p w:rsidR="00AE0342" w:rsidRPr="00AE0342" w:rsidP="00AE0342" w14:paraId="274A534F" w14:textId="25F32AB6">
      <w:pPr>
        <w:tabs>
          <w:tab w:val="left" w:pos="-1440"/>
        </w:tabs>
        <w:ind w:left="660"/>
        <w:jc w:val="both"/>
        <w:rPr>
          <w:rFonts w:ascii="Arial" w:hAnsi="Arial"/>
        </w:rPr>
      </w:pPr>
      <w:r w:rsidRPr="00AE0342">
        <w:rPr>
          <w:rFonts w:ascii="Arial" w:hAnsi="Arial"/>
        </w:rPr>
        <w:t xml:space="preserve">The estimated annual cost to the Federal Government associated with the review of these </w:t>
      </w:r>
      <w:r>
        <w:rPr>
          <w:rFonts w:ascii="Arial" w:hAnsi="Arial"/>
        </w:rPr>
        <w:t>documents</w:t>
      </w:r>
      <w:r w:rsidRPr="00AE0342">
        <w:rPr>
          <w:rFonts w:ascii="Arial" w:hAnsi="Arial"/>
        </w:rPr>
        <w:t xml:space="preserve"> is $</w:t>
      </w:r>
      <w:r w:rsidRPr="003C208A" w:rsidR="003C208A">
        <w:rPr>
          <w:rFonts w:ascii="Arial" w:hAnsi="Arial"/>
        </w:rPr>
        <w:t>2,130,107</w:t>
      </w:r>
      <w:r w:rsidRPr="00AE0342">
        <w:rPr>
          <w:rFonts w:ascii="Arial" w:hAnsi="Arial"/>
        </w:rPr>
        <w:t>. This is based on the number of responses that must be reviewed (</w:t>
      </w:r>
      <w:r w:rsidRPr="003C208A" w:rsidR="003C208A">
        <w:rPr>
          <w:rFonts w:ascii="Arial" w:hAnsi="Arial"/>
        </w:rPr>
        <w:t>188,928</w:t>
      </w:r>
      <w:r w:rsidRPr="00AE0342">
        <w:rPr>
          <w:rFonts w:ascii="Arial" w:hAnsi="Arial"/>
        </w:rPr>
        <w:t>) multiplied by the time burden to review and process each response (</w:t>
      </w:r>
      <w:r>
        <w:rPr>
          <w:rFonts w:ascii="Arial" w:hAnsi="Arial"/>
        </w:rPr>
        <w:t xml:space="preserve">10 minutes or 0.166 </w:t>
      </w:r>
      <w:r w:rsidRPr="00AE0342">
        <w:rPr>
          <w:rFonts w:ascii="Arial" w:hAnsi="Arial"/>
        </w:rPr>
        <w:t xml:space="preserve">hours) = </w:t>
      </w:r>
      <w:r w:rsidR="003C208A">
        <w:rPr>
          <w:rFonts w:ascii="Arial" w:hAnsi="Arial"/>
        </w:rPr>
        <w:t>31,362</w:t>
      </w:r>
      <w:r w:rsidRPr="00AE0342">
        <w:rPr>
          <w:rFonts w:ascii="Arial" w:hAnsi="Arial"/>
        </w:rPr>
        <w:t xml:space="preserve"> hours multiplied by the average hourly loaded rate for a CBP Officer ($67.92)</w:t>
      </w:r>
      <w:r>
        <w:rPr>
          <w:rFonts w:ascii="Arial" w:hAnsi="Arial"/>
          <w:vertAlign w:val="superscript"/>
        </w:rPr>
        <w:footnoteReference w:id="3"/>
      </w:r>
      <w:r w:rsidRPr="00AE0342">
        <w:rPr>
          <w:rFonts w:ascii="Arial" w:hAnsi="Arial"/>
        </w:rPr>
        <w:t xml:space="preserve"> = $</w:t>
      </w:r>
      <w:r w:rsidR="003C208A">
        <w:rPr>
          <w:rFonts w:ascii="Arial" w:hAnsi="Arial"/>
        </w:rPr>
        <w:t>2,130,107</w:t>
      </w:r>
      <w:r w:rsidRPr="00AE0342">
        <w:rPr>
          <w:rFonts w:ascii="Arial" w:hAnsi="Arial"/>
        </w:rPr>
        <w:t>.</w:t>
      </w:r>
    </w:p>
    <w:p w:rsidR="00AE0342" w:rsidP="008D0E42" w14:paraId="0115CBAF" w14:textId="77777777">
      <w:pPr>
        <w:tabs>
          <w:tab w:val="left" w:pos="-1440"/>
        </w:tabs>
        <w:ind w:left="720" w:hanging="720"/>
        <w:jc w:val="both"/>
        <w:rPr>
          <w:rFonts w:ascii="Arial" w:hAnsi="Arial"/>
        </w:rPr>
      </w:pPr>
      <w:r>
        <w:rPr>
          <w:rFonts w:ascii="Arial" w:hAnsi="Arial"/>
        </w:rPr>
        <w:tab/>
      </w:r>
    </w:p>
    <w:p w:rsidR="00077886" w:rsidP="00AE0342" w14:paraId="5AABD6BE" w14:textId="77777777">
      <w:pPr>
        <w:tabs>
          <w:tab w:val="left" w:pos="-1440"/>
        </w:tabs>
        <w:jc w:val="both"/>
        <w:rPr>
          <w:rFonts w:ascii="Arial" w:hAnsi="Arial"/>
        </w:rPr>
      </w:pPr>
    </w:p>
    <w:p w:rsidR="00077886" w:rsidP="00077886" w14:paraId="0D5A15A9" w14:textId="77777777">
      <w:pPr>
        <w:ind w:left="720" w:hanging="720"/>
        <w:jc w:val="both"/>
        <w:rPr>
          <w:rFonts w:ascii="Arial" w:hAnsi="Arial" w:cs="Arial"/>
          <w:b/>
          <w:bCs/>
          <w:szCs w:val="24"/>
        </w:rPr>
      </w:pPr>
      <w:r w:rsidRPr="004F3D9C">
        <w:rPr>
          <w:rFonts w:ascii="Arial" w:hAnsi="Arial"/>
          <w:b/>
        </w:rPr>
        <w:t>15.</w:t>
      </w:r>
      <w:r w:rsidRPr="004F3D9C">
        <w:rPr>
          <w:rFonts w:ascii="Arial" w:hAnsi="Arial"/>
          <w:b/>
        </w:rPr>
        <w:tab/>
      </w:r>
      <w:r w:rsidRPr="004F3D9C">
        <w:rPr>
          <w:rFonts w:ascii="Arial" w:hAnsi="Arial" w:cs="Arial"/>
          <w:b/>
          <w:bCs/>
          <w:szCs w:val="24"/>
        </w:rPr>
        <w:t>Explain the reasons for any program changes or adjustments reported in Items 12 or 13.</w:t>
      </w:r>
      <w:r w:rsidRPr="00C47181">
        <w:rPr>
          <w:rFonts w:ascii="Arial" w:hAnsi="Arial" w:cs="Arial"/>
          <w:b/>
          <w:bCs/>
          <w:szCs w:val="24"/>
        </w:rPr>
        <w:t xml:space="preserve">  </w:t>
      </w:r>
    </w:p>
    <w:p w:rsidR="00F76E1C" w:rsidP="00077886" w14:paraId="53FDB7AE" w14:textId="77777777">
      <w:pPr>
        <w:ind w:left="720"/>
        <w:jc w:val="both"/>
        <w:rPr>
          <w:rFonts w:ascii="Arial" w:hAnsi="Arial" w:cs="Arial"/>
        </w:rPr>
      </w:pPr>
    </w:p>
    <w:p w:rsidR="00992E39" w:rsidP="00077886" w14:paraId="477C6C65" w14:textId="42C5C543">
      <w:pPr>
        <w:ind w:left="720"/>
        <w:jc w:val="both"/>
        <w:rPr>
          <w:rFonts w:ascii="Arial" w:hAnsi="Arial" w:cs="Arial"/>
        </w:rPr>
      </w:pPr>
      <w:r w:rsidRPr="007615B7">
        <w:rPr>
          <w:rFonts w:ascii="Arial" w:hAnsi="Arial" w:cs="Arial"/>
        </w:rPr>
        <w:t xml:space="preserve">There has been </w:t>
      </w:r>
      <w:r w:rsidR="002811B2">
        <w:rPr>
          <w:rFonts w:ascii="Arial" w:hAnsi="Arial" w:cs="Arial"/>
        </w:rPr>
        <w:t xml:space="preserve">an increase in </w:t>
      </w:r>
      <w:r w:rsidRPr="007615B7">
        <w:rPr>
          <w:rFonts w:ascii="Arial" w:hAnsi="Arial" w:cs="Arial"/>
        </w:rPr>
        <w:t>the estimated annual burden hours previously reported for this information collection</w:t>
      </w:r>
      <w:r w:rsidR="002811B2">
        <w:rPr>
          <w:rFonts w:ascii="Arial" w:hAnsi="Arial" w:cs="Arial"/>
        </w:rPr>
        <w:t xml:space="preserve"> due to a change in program estimates. The numbers reported reflect current usage of CBP Form 1303</w:t>
      </w:r>
      <w:r w:rsidR="007615B7">
        <w:rPr>
          <w:rFonts w:ascii="Arial" w:hAnsi="Arial" w:cs="Arial"/>
        </w:rPr>
        <w:t>.</w:t>
      </w:r>
      <w:r w:rsidR="00A6400E">
        <w:rPr>
          <w:rFonts w:ascii="Arial" w:hAnsi="Arial" w:cs="Arial"/>
        </w:rPr>
        <w:t xml:space="preserve"> The information being collected will not change; the </w:t>
      </w:r>
      <w:r w:rsidR="00AF3D42">
        <w:rPr>
          <w:rFonts w:ascii="Arial" w:hAnsi="Arial" w:cs="Arial"/>
        </w:rPr>
        <w:t xml:space="preserve">paper </w:t>
      </w:r>
      <w:r w:rsidR="00A6400E">
        <w:rPr>
          <w:rFonts w:ascii="Arial" w:hAnsi="Arial" w:cs="Arial"/>
        </w:rPr>
        <w:t>form</w:t>
      </w:r>
      <w:r w:rsidR="00AF3D42">
        <w:rPr>
          <w:rFonts w:ascii="Arial" w:hAnsi="Arial" w:cs="Arial"/>
        </w:rPr>
        <w:t xml:space="preserve"> 1303</w:t>
      </w:r>
      <w:r w:rsidR="00A6400E">
        <w:rPr>
          <w:rFonts w:ascii="Arial" w:hAnsi="Arial" w:cs="Arial"/>
        </w:rPr>
        <w:t xml:space="preserve"> is being automated into </w:t>
      </w:r>
      <w:r w:rsidR="00AF3D42">
        <w:rPr>
          <w:rFonts w:ascii="Arial" w:hAnsi="Arial" w:cs="Arial"/>
        </w:rPr>
        <w:t>the Vessel Entrance Clearance System (</w:t>
      </w:r>
      <w:r w:rsidR="00A6400E">
        <w:rPr>
          <w:rFonts w:ascii="Arial" w:hAnsi="Arial" w:cs="Arial"/>
        </w:rPr>
        <w:t>VECS</w:t>
      </w:r>
      <w:r w:rsidR="00AF3D42">
        <w:rPr>
          <w:rFonts w:ascii="Arial" w:hAnsi="Arial" w:cs="Arial"/>
        </w:rPr>
        <w:t>)</w:t>
      </w:r>
      <w:r w:rsidR="00A6400E">
        <w:rPr>
          <w:rFonts w:ascii="Arial" w:hAnsi="Arial" w:cs="Arial"/>
        </w:rPr>
        <w:t xml:space="preserve">. The burden will be updated </w:t>
      </w:r>
      <w:r w:rsidR="002811B2">
        <w:rPr>
          <w:rFonts w:ascii="Arial" w:hAnsi="Arial" w:cs="Arial"/>
        </w:rPr>
        <w:t xml:space="preserve">again </w:t>
      </w:r>
      <w:r w:rsidR="00A6400E">
        <w:rPr>
          <w:rFonts w:ascii="Arial" w:hAnsi="Arial" w:cs="Arial"/>
        </w:rPr>
        <w:t>after</w:t>
      </w:r>
      <w:r w:rsidR="00AF3D42">
        <w:rPr>
          <w:rFonts w:ascii="Arial" w:hAnsi="Arial" w:cs="Arial"/>
        </w:rPr>
        <w:t xml:space="preserve"> </w:t>
      </w:r>
      <w:r w:rsidR="00A6400E">
        <w:rPr>
          <w:rFonts w:ascii="Arial" w:hAnsi="Arial" w:cs="Arial"/>
        </w:rPr>
        <w:t>VECS implementation</w:t>
      </w:r>
      <w:r w:rsidR="00AF3D42">
        <w:rPr>
          <w:rFonts w:ascii="Arial" w:hAnsi="Arial" w:cs="Arial"/>
        </w:rPr>
        <w:t>, to reflect the burden impact.</w:t>
      </w:r>
      <w:r w:rsidR="00A6400E">
        <w:rPr>
          <w:rFonts w:ascii="Arial" w:hAnsi="Arial" w:cs="Arial"/>
        </w:rPr>
        <w:t xml:space="preserve"> </w:t>
      </w:r>
      <w:r w:rsidR="00A8240A">
        <w:rPr>
          <w:rFonts w:ascii="Arial" w:hAnsi="Arial" w:cs="Arial"/>
        </w:rPr>
        <w:t xml:space="preserve">  </w:t>
      </w:r>
    </w:p>
    <w:p w:rsidR="007E7903" w:rsidP="00077886" w14:paraId="0B5744E6" w14:textId="77777777">
      <w:pPr>
        <w:ind w:left="720"/>
        <w:jc w:val="both"/>
        <w:rPr>
          <w:rFonts w:ascii="Arial" w:hAnsi="Arial" w:cs="Arial"/>
        </w:rPr>
      </w:pPr>
    </w:p>
    <w:p w:rsidR="00077886" w:rsidRPr="00077886" w:rsidP="00077886" w14:paraId="2DFAD5BE"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077886" w:rsidP="00077886" w14:paraId="0AE6979E" w14:textId="77777777">
      <w:pPr>
        <w:ind w:firstLine="720"/>
        <w:jc w:val="both"/>
        <w:rPr>
          <w:rFonts w:ascii="Arial" w:hAnsi="Arial"/>
          <w:szCs w:val="24"/>
        </w:rPr>
      </w:pPr>
    </w:p>
    <w:p w:rsidR="00077886" w:rsidRPr="00C47181" w:rsidP="00077886" w14:paraId="4B5347B6" w14:textId="7777777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077886" w:rsidRPr="00C47181" w:rsidP="00077886" w14:paraId="54F2FD9D" w14:textId="77777777">
      <w:pPr>
        <w:jc w:val="both"/>
        <w:rPr>
          <w:rFonts w:ascii="Arial" w:hAnsi="Arial"/>
          <w:szCs w:val="24"/>
        </w:rPr>
      </w:pPr>
    </w:p>
    <w:p w:rsidR="00077886" w:rsidRPr="001207D8" w:rsidP="00077886" w14:paraId="08F84A7A" w14:textId="77777777">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rsidR="00077886" w:rsidP="00077886" w14:paraId="384DE703" w14:textId="77777777">
      <w:pPr>
        <w:jc w:val="both"/>
        <w:rPr>
          <w:rFonts w:ascii="Arial" w:hAnsi="Arial" w:cs="Arial"/>
          <w:b/>
          <w:bCs/>
        </w:rPr>
      </w:pPr>
      <w:r>
        <w:rPr>
          <w:rFonts w:ascii="Arial" w:hAnsi="Arial" w:cs="Arial"/>
          <w:b/>
          <w:bCs/>
        </w:rPr>
        <w:tab/>
      </w:r>
    </w:p>
    <w:p w:rsidR="00077886" w:rsidP="00077886" w14:paraId="1FA43CE0" w14:textId="77777777">
      <w:pPr>
        <w:jc w:val="both"/>
        <w:rPr>
          <w:rFonts w:ascii="Arial" w:hAnsi="Arial" w:cs="Arial"/>
          <w:b/>
          <w:bCs/>
          <w:szCs w:val="24"/>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r>
        <w:rPr>
          <w:rFonts w:ascii="Arial" w:hAnsi="Arial" w:cs="Arial"/>
        </w:rPr>
        <w:t xml:space="preserve"> </w:t>
      </w:r>
    </w:p>
    <w:p w:rsidR="00077886" w:rsidP="00077886" w14:paraId="7AC02E98" w14:textId="77777777">
      <w:pPr>
        <w:widowControl/>
        <w:jc w:val="both"/>
        <w:rPr>
          <w:rFonts w:ascii="Arial" w:hAnsi="Arial" w:cs="Arial"/>
          <w:b/>
          <w:bCs/>
          <w:szCs w:val="24"/>
        </w:rPr>
      </w:pPr>
      <w:r>
        <w:rPr>
          <w:rFonts w:ascii="Arial" w:hAnsi="Arial" w:cs="Arial"/>
          <w:b/>
          <w:bCs/>
          <w:szCs w:val="24"/>
        </w:rPr>
        <w:t xml:space="preserve"> </w:t>
      </w:r>
    </w:p>
    <w:p w:rsidR="00077886" w:rsidP="00077886" w14:paraId="39C87987" w14:textId="77777777">
      <w:pPr>
        <w:widowControl/>
        <w:jc w:val="both"/>
        <w:rPr>
          <w:rFonts w:ascii="Arial" w:hAnsi="Arial" w:cs="Arial"/>
          <w:b/>
          <w:bCs/>
          <w:szCs w:val="24"/>
        </w:rPr>
      </w:pPr>
      <w:r>
        <w:rPr>
          <w:rFonts w:ascii="Arial" w:hAnsi="Arial" w:cs="Arial"/>
          <w:b/>
          <w:bCs/>
          <w:szCs w:val="24"/>
        </w:rPr>
        <w:t xml:space="preserve"> 18.</w:t>
      </w:r>
      <w:r>
        <w:rPr>
          <w:rFonts w:ascii="Arial" w:hAnsi="Arial" w:cs="Arial"/>
          <w:b/>
          <w:bCs/>
          <w:szCs w:val="24"/>
        </w:rPr>
        <w:t xml:space="preserve">   </w:t>
      </w:r>
      <w:r w:rsidRPr="001207D8">
        <w:rPr>
          <w:rFonts w:ascii="Arial" w:hAnsi="Arial" w:cs="Arial"/>
          <w:b/>
          <w:bCs/>
          <w:szCs w:val="24"/>
        </w:rPr>
        <w:t>“</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077886" w:rsidRPr="001207D8" w:rsidP="00077886" w14:paraId="5AEAF0B4"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077886" w:rsidRPr="001207D8" w:rsidP="00F76E1C" w14:paraId="0221203B"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p>
    <w:p w:rsidR="00077886" w:rsidP="00077886" w14:paraId="4BDE2E0E" w14:textId="77777777">
      <w:pPr>
        <w:jc w:val="both"/>
        <w:rPr>
          <w:rFonts w:ascii="Arial" w:hAnsi="Arial" w:cs="Arial"/>
          <w:szCs w:val="24"/>
        </w:rPr>
      </w:pPr>
    </w:p>
    <w:p w:rsidR="00077886" w:rsidRPr="00677099" w:rsidP="00077886" w14:paraId="2599B8E4" w14:textId="77777777">
      <w:pPr>
        <w:pStyle w:val="Heading1"/>
        <w:numPr>
          <w:ilvl w:val="0"/>
          <w:numId w:val="5"/>
        </w:numPr>
        <w:tabs>
          <w:tab w:val="clear" w:pos="4824"/>
        </w:tabs>
        <w:rPr>
          <w:rFonts w:cs="Arial"/>
          <w:sz w:val="24"/>
          <w:szCs w:val="24"/>
        </w:rPr>
      </w:pPr>
      <w:r w:rsidRPr="00677099">
        <w:rPr>
          <w:rFonts w:cs="Arial"/>
          <w:sz w:val="24"/>
          <w:szCs w:val="24"/>
        </w:rPr>
        <w:t>Collection of Information Employing Statistical Methods</w:t>
      </w:r>
    </w:p>
    <w:p w:rsidR="00077886" w:rsidRPr="001207D8" w:rsidP="00077886" w14:paraId="1556B93B" w14:textId="77777777">
      <w:pPr>
        <w:jc w:val="both"/>
        <w:rPr>
          <w:rFonts w:ascii="Arial" w:hAnsi="Arial" w:cs="Arial"/>
          <w:szCs w:val="24"/>
        </w:rPr>
      </w:pPr>
    </w:p>
    <w:p w:rsidR="00077886" w:rsidP="00077886" w14:paraId="3B0CBAF7"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077886" w:rsidP="00077886" w14:paraId="726D67D9" w14:textId="77777777">
      <w:pPr>
        <w:tabs>
          <w:tab w:val="left" w:pos="-1440"/>
        </w:tabs>
        <w:ind w:left="720" w:hanging="720"/>
        <w:jc w:val="both"/>
        <w:rPr>
          <w:rFonts w:ascii="Arial" w:hAnsi="Arial"/>
        </w:rPr>
      </w:pPr>
      <w:r>
        <w:rPr>
          <w:rFonts w:ascii="Arial" w:hAnsi="Arial"/>
        </w:rPr>
        <w:t xml:space="preserve">                                                                                         </w:t>
      </w:r>
    </w:p>
    <w:p w:rsidR="008B781F" w:rsidP="00D87229" w14:paraId="6A35F307" w14:textId="77777777">
      <w:pPr>
        <w:tabs>
          <w:tab w:val="left" w:pos="-1440"/>
        </w:tabs>
        <w:ind w:left="720" w:hanging="720"/>
        <w:jc w:val="both"/>
        <w:rPr>
          <w:rFonts w:cs="Arial"/>
        </w:rPr>
      </w:pPr>
      <w:r>
        <w:t xml:space="preserve">                  </w:t>
      </w:r>
      <w:r>
        <w:tab/>
      </w:r>
      <w:r>
        <w:tab/>
      </w:r>
      <w:r>
        <w:tab/>
      </w:r>
    </w:p>
    <w:p w:rsidR="008B781F" w14:paraId="32B955D8" w14:textId="77777777">
      <w:pPr>
        <w:jc w:val="both"/>
        <w:rPr>
          <w:rFonts w:ascii="Arial" w:hAnsi="Arial" w:cs="Arial"/>
        </w:rPr>
      </w:pPr>
    </w:p>
    <w:sectPr w:rsidSect="00D87229">
      <w:footerReference w:type="even" r:id="rId6"/>
      <w:footerReference w:type="default" r:id="rId7"/>
      <w:endnotePr>
        <w:numFmt w:val="decimal"/>
      </w:endnotePr>
      <w:pgSz w:w="12240" w:h="15840"/>
      <w:pgMar w:top="1440" w:right="1440"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40A" w:rsidP="00A15F55" w14:paraId="5E75D59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8240A" w14:paraId="6990F0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40A" w:rsidP="00A15F55" w14:paraId="420130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7A80">
      <w:rPr>
        <w:rStyle w:val="PageNumber"/>
        <w:noProof/>
      </w:rPr>
      <w:t>1</w:t>
    </w:r>
    <w:r>
      <w:rPr>
        <w:rStyle w:val="PageNumber"/>
      </w:rPr>
      <w:fldChar w:fldCharType="end"/>
    </w:r>
  </w:p>
  <w:p w:rsidR="00A8240A" w14:paraId="429DF2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0A26" w14:paraId="0B1F1471" w14:textId="77777777">
      <w:r>
        <w:separator/>
      </w:r>
    </w:p>
  </w:footnote>
  <w:footnote w:type="continuationSeparator" w:id="1">
    <w:p w:rsidR="00260A26" w14:paraId="73FEDC01" w14:textId="77777777">
      <w:r>
        <w:continuationSeparator/>
      </w:r>
    </w:p>
  </w:footnote>
  <w:footnote w:id="2">
    <w:p w:rsidR="00AE0342" w:rsidRPr="00CB6C46" w:rsidP="00AE0342" w14:paraId="1A6FF58B" w14:textId="77777777">
      <w:pPr>
        <w:rPr>
          <w:rFonts w:ascii="Times New Roman" w:hAnsi="Times New Roman"/>
          <w:color w:val="000000"/>
        </w:rPr>
      </w:pPr>
      <w:r>
        <w:rPr>
          <w:rStyle w:val="FootnoteReference"/>
        </w:rPr>
        <w:footnoteRef/>
      </w:r>
      <w:r>
        <w:t xml:space="preserve"> </w:t>
      </w:r>
      <w:r w:rsidRPr="00747A5F">
        <w:rPr>
          <w:rFonts w:ascii="Times New Roman" w:hAnsi="Times New Roman"/>
          <w:color w:val="000000"/>
          <w:sz w:val="20"/>
        </w:rPr>
        <w:t>Source of median wage rate: U.S. Bureau of Labor 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Transportation and Material Moving occupations ($32.7725) divided by the calculated average of the 2021 quarterly estimates (shown under Q01, Q02, Q03, Q04) of wages and salaries cost per hour worked for the same occupation category ($21.9175).  Source of total compensation to wages and salaries ratio data: U.S. Bureau of Labor Statistics.  Employer Costs for Employee Compensation.  “ECEC Civilian Workers - 2004 to Present.”  March 2022.  Available at https://www.bls.gov/web/ecec.supp.toc.htm.  Accessed May 25, 2022.</w:t>
      </w:r>
    </w:p>
  </w:footnote>
  <w:footnote w:id="3">
    <w:p w:rsidR="00AE0342" w:rsidRPr="00D41379" w:rsidP="00AE0342" w14:paraId="696AB43F"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2022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GS-11, Step 10</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June 27, 2022</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
    <w:nsid w:val="14E668E0"/>
    <w:multiLevelType w:val="hybridMultilevel"/>
    <w:tmpl w:val="D7F69A7C"/>
    <w:lvl w:ilvl="0">
      <w:start w:val="2"/>
      <w:numFmt w:val="upperLetter"/>
      <w:lvlText w:val="%1."/>
      <w:lvlJc w:val="left"/>
      <w:pPr>
        <w:tabs>
          <w:tab w:val="num" w:pos="720"/>
        </w:tabs>
        <w:ind w:left="720" w:hanging="6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19883CA1"/>
    <w:multiLevelType w:val="hybridMultilevel"/>
    <w:tmpl w:val="259E63C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0120CB"/>
    <w:multiLevelType w:val="hybridMultilevel"/>
    <w:tmpl w:val="137030A2"/>
    <w:lvl w:ilvl="0">
      <w:start w:val="4"/>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6EFA44F1"/>
    <w:multiLevelType w:val="hybridMultilevel"/>
    <w:tmpl w:val="C7F0DE56"/>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53042599">
    <w:abstractNumId w:val="5"/>
  </w:num>
  <w:num w:numId="2" w16cid:durableId="328799146">
    <w:abstractNumId w:val="1"/>
  </w:num>
  <w:num w:numId="3" w16cid:durableId="2097704720">
    <w:abstractNumId w:val="6"/>
  </w:num>
  <w:num w:numId="4" w16cid:durableId="144007382">
    <w:abstractNumId w:val="0"/>
  </w:num>
  <w:num w:numId="5" w16cid:durableId="494345659">
    <w:abstractNumId w:val="4"/>
  </w:num>
  <w:num w:numId="6" w16cid:durableId="1208445852">
    <w:abstractNumId w:val="3"/>
  </w:num>
  <w:num w:numId="7" w16cid:durableId="665598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55"/>
    <w:rsid w:val="00002059"/>
    <w:rsid w:val="00007CC4"/>
    <w:rsid w:val="00015A69"/>
    <w:rsid w:val="00032364"/>
    <w:rsid w:val="000431D2"/>
    <w:rsid w:val="00052E55"/>
    <w:rsid w:val="00054643"/>
    <w:rsid w:val="0007515A"/>
    <w:rsid w:val="00077886"/>
    <w:rsid w:val="0008489A"/>
    <w:rsid w:val="00093EC1"/>
    <w:rsid w:val="000B1415"/>
    <w:rsid w:val="000B286B"/>
    <w:rsid w:val="000B4604"/>
    <w:rsid w:val="000C67C1"/>
    <w:rsid w:val="000C702E"/>
    <w:rsid w:val="000D3099"/>
    <w:rsid w:val="000F04F2"/>
    <w:rsid w:val="00102ED7"/>
    <w:rsid w:val="0010654D"/>
    <w:rsid w:val="00112C3E"/>
    <w:rsid w:val="001207D8"/>
    <w:rsid w:val="00150749"/>
    <w:rsid w:val="0017102C"/>
    <w:rsid w:val="00171621"/>
    <w:rsid w:val="00173766"/>
    <w:rsid w:val="00176437"/>
    <w:rsid w:val="0017735F"/>
    <w:rsid w:val="00184152"/>
    <w:rsid w:val="00195B4F"/>
    <w:rsid w:val="001A4854"/>
    <w:rsid w:val="001A58FF"/>
    <w:rsid w:val="001B1922"/>
    <w:rsid w:val="001C4842"/>
    <w:rsid w:val="001C50C3"/>
    <w:rsid w:val="001D06CF"/>
    <w:rsid w:val="001E2D37"/>
    <w:rsid w:val="00247C47"/>
    <w:rsid w:val="00260A26"/>
    <w:rsid w:val="002738F7"/>
    <w:rsid w:val="002811B2"/>
    <w:rsid w:val="002A2E69"/>
    <w:rsid w:val="002A7A80"/>
    <w:rsid w:val="002B1C33"/>
    <w:rsid w:val="002C3626"/>
    <w:rsid w:val="002D6A52"/>
    <w:rsid w:val="002F4771"/>
    <w:rsid w:val="002F4E7D"/>
    <w:rsid w:val="00311097"/>
    <w:rsid w:val="00312E70"/>
    <w:rsid w:val="00326680"/>
    <w:rsid w:val="00327B0B"/>
    <w:rsid w:val="0033258B"/>
    <w:rsid w:val="00346580"/>
    <w:rsid w:val="0035103E"/>
    <w:rsid w:val="003519E6"/>
    <w:rsid w:val="00356680"/>
    <w:rsid w:val="00366625"/>
    <w:rsid w:val="00395EAB"/>
    <w:rsid w:val="00396011"/>
    <w:rsid w:val="003A0630"/>
    <w:rsid w:val="003C208A"/>
    <w:rsid w:val="003C2FAE"/>
    <w:rsid w:val="003F37F1"/>
    <w:rsid w:val="003F4269"/>
    <w:rsid w:val="003F7D4D"/>
    <w:rsid w:val="0041172E"/>
    <w:rsid w:val="00430E6A"/>
    <w:rsid w:val="00453632"/>
    <w:rsid w:val="00453CCE"/>
    <w:rsid w:val="00467B55"/>
    <w:rsid w:val="004757B0"/>
    <w:rsid w:val="00480D2C"/>
    <w:rsid w:val="004969A2"/>
    <w:rsid w:val="004A1A3F"/>
    <w:rsid w:val="004C3832"/>
    <w:rsid w:val="004C7049"/>
    <w:rsid w:val="004C7ED5"/>
    <w:rsid w:val="004E1E0D"/>
    <w:rsid w:val="004F2A04"/>
    <w:rsid w:val="004F3D9C"/>
    <w:rsid w:val="00504F5A"/>
    <w:rsid w:val="005271E0"/>
    <w:rsid w:val="00565423"/>
    <w:rsid w:val="00573743"/>
    <w:rsid w:val="005860CA"/>
    <w:rsid w:val="00590B13"/>
    <w:rsid w:val="005B4B1B"/>
    <w:rsid w:val="005E07F0"/>
    <w:rsid w:val="00621FFB"/>
    <w:rsid w:val="00656EFC"/>
    <w:rsid w:val="00677099"/>
    <w:rsid w:val="00685C0E"/>
    <w:rsid w:val="00690AA9"/>
    <w:rsid w:val="00691499"/>
    <w:rsid w:val="00695016"/>
    <w:rsid w:val="006C5970"/>
    <w:rsid w:val="006E0A56"/>
    <w:rsid w:val="0070203F"/>
    <w:rsid w:val="00705FF4"/>
    <w:rsid w:val="00731124"/>
    <w:rsid w:val="00744EF4"/>
    <w:rsid w:val="00747A5F"/>
    <w:rsid w:val="007542EB"/>
    <w:rsid w:val="00757746"/>
    <w:rsid w:val="007615B7"/>
    <w:rsid w:val="007701AD"/>
    <w:rsid w:val="007D5346"/>
    <w:rsid w:val="007E7903"/>
    <w:rsid w:val="007F20CA"/>
    <w:rsid w:val="007F55C7"/>
    <w:rsid w:val="00806924"/>
    <w:rsid w:val="00813863"/>
    <w:rsid w:val="00832826"/>
    <w:rsid w:val="00835348"/>
    <w:rsid w:val="008472C7"/>
    <w:rsid w:val="0087452B"/>
    <w:rsid w:val="008759F5"/>
    <w:rsid w:val="00883E32"/>
    <w:rsid w:val="008A00E9"/>
    <w:rsid w:val="008B3AB8"/>
    <w:rsid w:val="008B781F"/>
    <w:rsid w:val="008D0E42"/>
    <w:rsid w:val="008D2159"/>
    <w:rsid w:val="008E66C8"/>
    <w:rsid w:val="008F1B06"/>
    <w:rsid w:val="00901628"/>
    <w:rsid w:val="0092553C"/>
    <w:rsid w:val="00926B7B"/>
    <w:rsid w:val="00935C8A"/>
    <w:rsid w:val="009417DF"/>
    <w:rsid w:val="009570F3"/>
    <w:rsid w:val="009753AC"/>
    <w:rsid w:val="00992E39"/>
    <w:rsid w:val="00997BB7"/>
    <w:rsid w:val="009A4C2C"/>
    <w:rsid w:val="009A5C42"/>
    <w:rsid w:val="009C195D"/>
    <w:rsid w:val="009D531E"/>
    <w:rsid w:val="009D5EFB"/>
    <w:rsid w:val="009E3386"/>
    <w:rsid w:val="009F44EE"/>
    <w:rsid w:val="00A00DFB"/>
    <w:rsid w:val="00A15F55"/>
    <w:rsid w:val="00A227C6"/>
    <w:rsid w:val="00A3443B"/>
    <w:rsid w:val="00A57A96"/>
    <w:rsid w:val="00A63CBC"/>
    <w:rsid w:val="00A6400E"/>
    <w:rsid w:val="00A6582B"/>
    <w:rsid w:val="00A73F2D"/>
    <w:rsid w:val="00A74319"/>
    <w:rsid w:val="00A77006"/>
    <w:rsid w:val="00A8240A"/>
    <w:rsid w:val="00A8323A"/>
    <w:rsid w:val="00A902ED"/>
    <w:rsid w:val="00A90938"/>
    <w:rsid w:val="00AB10C0"/>
    <w:rsid w:val="00AB1E45"/>
    <w:rsid w:val="00AC5788"/>
    <w:rsid w:val="00AD5ED7"/>
    <w:rsid w:val="00AD7E4C"/>
    <w:rsid w:val="00AE0342"/>
    <w:rsid w:val="00AE460C"/>
    <w:rsid w:val="00AF3D42"/>
    <w:rsid w:val="00B01C71"/>
    <w:rsid w:val="00B20718"/>
    <w:rsid w:val="00B26D6A"/>
    <w:rsid w:val="00B2778E"/>
    <w:rsid w:val="00B31C93"/>
    <w:rsid w:val="00B324B7"/>
    <w:rsid w:val="00B34366"/>
    <w:rsid w:val="00B4559A"/>
    <w:rsid w:val="00B51F87"/>
    <w:rsid w:val="00B523BF"/>
    <w:rsid w:val="00B67929"/>
    <w:rsid w:val="00B71F11"/>
    <w:rsid w:val="00B836FA"/>
    <w:rsid w:val="00BA41D5"/>
    <w:rsid w:val="00BC3B8F"/>
    <w:rsid w:val="00BD2AFA"/>
    <w:rsid w:val="00BE3734"/>
    <w:rsid w:val="00BE6715"/>
    <w:rsid w:val="00BE6A82"/>
    <w:rsid w:val="00BE70B4"/>
    <w:rsid w:val="00BF05F4"/>
    <w:rsid w:val="00BF7F8A"/>
    <w:rsid w:val="00C06621"/>
    <w:rsid w:val="00C47136"/>
    <w:rsid w:val="00C47181"/>
    <w:rsid w:val="00C60BE7"/>
    <w:rsid w:val="00C74E67"/>
    <w:rsid w:val="00C82FFA"/>
    <w:rsid w:val="00C9756A"/>
    <w:rsid w:val="00CA643E"/>
    <w:rsid w:val="00CB6C46"/>
    <w:rsid w:val="00CC25F5"/>
    <w:rsid w:val="00CD293C"/>
    <w:rsid w:val="00D258AD"/>
    <w:rsid w:val="00D41379"/>
    <w:rsid w:val="00D71A0C"/>
    <w:rsid w:val="00D86301"/>
    <w:rsid w:val="00D87229"/>
    <w:rsid w:val="00DA3163"/>
    <w:rsid w:val="00DB04A4"/>
    <w:rsid w:val="00DB6B50"/>
    <w:rsid w:val="00DC4764"/>
    <w:rsid w:val="00DD6F2E"/>
    <w:rsid w:val="00E0149C"/>
    <w:rsid w:val="00E12964"/>
    <w:rsid w:val="00E35597"/>
    <w:rsid w:val="00E42E9F"/>
    <w:rsid w:val="00E879BE"/>
    <w:rsid w:val="00E94036"/>
    <w:rsid w:val="00EC1277"/>
    <w:rsid w:val="00EC454F"/>
    <w:rsid w:val="00EE31E0"/>
    <w:rsid w:val="00EF340D"/>
    <w:rsid w:val="00EF6EC2"/>
    <w:rsid w:val="00F06A34"/>
    <w:rsid w:val="00F272B2"/>
    <w:rsid w:val="00F41073"/>
    <w:rsid w:val="00F50CE0"/>
    <w:rsid w:val="00F65FE3"/>
    <w:rsid w:val="00F76E1C"/>
    <w:rsid w:val="00F810AA"/>
    <w:rsid w:val="00F825F3"/>
    <w:rsid w:val="00FD2F7D"/>
    <w:rsid w:val="00FE10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BD925B"/>
  <w15:chartTrackingRefBased/>
  <w15:docId w15:val="{BD7A0973-F655-4FDD-97FE-C411A08B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824"/>
      </w:tabs>
      <w:jc w:val="both"/>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styleId="Hyperlink">
    <w:name w:val="Hyperlink"/>
    <w:rPr>
      <w:strike w:val="0"/>
      <w:dstrike w:val="0"/>
      <w:color w:val="000080"/>
      <w:u w:val="none"/>
      <w:effect w:val="none"/>
      <w:shd w:val="clear" w:color="auto" w:fill="FFFFFF"/>
    </w:rPr>
  </w:style>
  <w:style w:type="paragraph" w:customStyle="1" w:styleId="catchline">
    <w:name w:val="catchline"/>
    <w:basedOn w:val="Normal"/>
    <w:pPr>
      <w:widowControl/>
      <w:spacing w:before="100" w:beforeAutospacing="1" w:after="100" w:afterAutospacing="1"/>
    </w:pPr>
    <w:rPr>
      <w:rFonts w:ascii="Arial Unicode MS" w:eastAsia="Arial Unicode MS" w:hAnsi="Arial Unicode MS" w:cs="Arial Unicode MS"/>
      <w:b/>
      <w:bCs/>
      <w:snapToGrid/>
      <w:szCs w:val="24"/>
    </w:rPr>
  </w:style>
  <w:style w:type="character" w:customStyle="1" w:styleId="enumbell">
    <w:name w:val="enumbell"/>
    <w:rPr>
      <w:b/>
      <w:bCs/>
      <w:sz w:val="20"/>
      <w:szCs w:val="20"/>
    </w:rPr>
  </w:style>
  <w:style w:type="character" w:customStyle="1" w:styleId="ptext-2">
    <w:name w:val="ptext-2"/>
    <w:rPr>
      <w:b w:val="0"/>
      <w:bCs w:val="0"/>
      <w:sz w:val="20"/>
      <w:szCs w:val="20"/>
    </w:rPr>
  </w:style>
  <w:style w:type="character" w:customStyle="1" w:styleId="ptext-3">
    <w:name w:val="ptext-3"/>
    <w:rPr>
      <w:b w:val="0"/>
      <w:bCs w:val="0"/>
      <w:sz w:val="20"/>
      <w:szCs w:val="20"/>
    </w:rPr>
  </w:style>
  <w:style w:type="character" w:customStyle="1" w:styleId="srchlead">
    <w:name w:val="srchlead"/>
    <w:rPr>
      <w:b w:val="0"/>
      <w:bCs w:val="0"/>
      <w:i/>
      <w:iCs/>
      <w:sz w:val="20"/>
      <w:szCs w:val="20"/>
    </w:rPr>
  </w:style>
  <w:style w:type="paragraph" w:styleId="BalloonText">
    <w:name w:val="Balloon Text"/>
    <w:basedOn w:val="Normal"/>
    <w:semiHidden/>
    <w:rsid w:val="00395EAB"/>
    <w:rPr>
      <w:rFonts w:ascii="Tahoma" w:hAnsi="Tahoma" w:cs="Tahoma"/>
      <w:sz w:val="16"/>
      <w:szCs w:val="16"/>
    </w:rPr>
  </w:style>
  <w:style w:type="paragraph" w:styleId="BodyTextIndent">
    <w:name w:val="Body Text Indent"/>
    <w:basedOn w:val="Normal"/>
    <w:rsid w:val="00077886"/>
    <w:pPr>
      <w:tabs>
        <w:tab w:val="left" w:pos="-1440"/>
      </w:tabs>
      <w:ind w:left="720" w:hanging="720"/>
      <w:jc w:val="both"/>
    </w:pPr>
    <w:rPr>
      <w:rFonts w:ascii="Arial" w:hAnsi="Arial"/>
    </w:rPr>
  </w:style>
  <w:style w:type="paragraph" w:styleId="BodyTextIndent2">
    <w:name w:val="Body Text Indent 2"/>
    <w:basedOn w:val="Normal"/>
    <w:rsid w:val="00077886"/>
    <w:pPr>
      <w:spacing w:after="120" w:line="480" w:lineRule="auto"/>
      <w:ind w:left="360"/>
    </w:pPr>
  </w:style>
  <w:style w:type="paragraph" w:customStyle="1" w:styleId="Style">
    <w:name w:val="Style"/>
    <w:basedOn w:val="Normal"/>
    <w:rsid w:val="00077886"/>
    <w:pPr>
      <w:ind w:left="1440" w:hanging="720"/>
    </w:pPr>
    <w:rPr>
      <w:rFonts w:ascii="Times New Roman" w:hAnsi="Times New Roman"/>
    </w:rPr>
  </w:style>
  <w:style w:type="table" w:styleId="TableGrid">
    <w:name w:val="Table Grid"/>
    <w:basedOn w:val="TableNormal"/>
    <w:rsid w:val="000778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44EF4"/>
    <w:pPr>
      <w:tabs>
        <w:tab w:val="center" w:pos="4320"/>
        <w:tab w:val="right" w:pos="8640"/>
      </w:tabs>
    </w:pPr>
  </w:style>
  <w:style w:type="character" w:styleId="PageNumber">
    <w:name w:val="page number"/>
    <w:basedOn w:val="DefaultParagraphFont"/>
    <w:rsid w:val="00744EF4"/>
  </w:style>
  <w:style w:type="paragraph" w:styleId="FootnoteText">
    <w:name w:val="footnote text"/>
    <w:basedOn w:val="Normal"/>
    <w:link w:val="FootnoteTextChar"/>
    <w:unhideWhenUsed/>
    <w:rsid w:val="00102ED7"/>
    <w:pPr>
      <w:widowControl/>
    </w:pPr>
    <w:rPr>
      <w:rFonts w:ascii="Calibri" w:eastAsia="Calibri" w:hAnsi="Calibri" w:cs="Calibri"/>
      <w:snapToGrid/>
      <w:sz w:val="20"/>
    </w:rPr>
  </w:style>
  <w:style w:type="character" w:customStyle="1" w:styleId="FootnoteTextChar">
    <w:name w:val="Footnote Text Char"/>
    <w:link w:val="FootnoteText"/>
    <w:rsid w:val="00102ED7"/>
    <w:rPr>
      <w:rFonts w:ascii="Calibri" w:eastAsia="Calibri" w:hAnsi="Calibri" w:cs="Calibri"/>
    </w:rPr>
  </w:style>
  <w:style w:type="character" w:styleId="FollowedHyperlink">
    <w:name w:val="FollowedHyperlink"/>
    <w:rsid w:val="002B1C33"/>
    <w:rPr>
      <w:color w:val="954F72"/>
      <w:u w:val="single"/>
    </w:rPr>
  </w:style>
  <w:style w:type="character" w:styleId="CommentReference">
    <w:name w:val="annotation reference"/>
    <w:basedOn w:val="DefaultParagraphFont"/>
    <w:rsid w:val="00AE0342"/>
    <w:rPr>
      <w:sz w:val="16"/>
      <w:szCs w:val="16"/>
    </w:rPr>
  </w:style>
  <w:style w:type="paragraph" w:styleId="CommentText">
    <w:name w:val="annotation text"/>
    <w:basedOn w:val="Normal"/>
    <w:link w:val="CommentTextChar"/>
    <w:rsid w:val="00AE0342"/>
    <w:rPr>
      <w:sz w:val="20"/>
    </w:rPr>
  </w:style>
  <w:style w:type="character" w:customStyle="1" w:styleId="CommentTextChar">
    <w:name w:val="Comment Text Char"/>
    <w:basedOn w:val="DefaultParagraphFont"/>
    <w:link w:val="CommentText"/>
    <w:rsid w:val="00AE0342"/>
    <w:rPr>
      <w:rFonts w:ascii="Courier" w:hAnsi="Courier"/>
      <w:snapToGrid w:val="0"/>
    </w:rPr>
  </w:style>
  <w:style w:type="paragraph" w:styleId="CommentSubject">
    <w:name w:val="annotation subject"/>
    <w:basedOn w:val="CommentText"/>
    <w:next w:val="CommentText"/>
    <w:link w:val="CommentSubjectChar"/>
    <w:semiHidden/>
    <w:unhideWhenUsed/>
    <w:rsid w:val="00AE0342"/>
    <w:rPr>
      <w:b/>
      <w:bCs/>
    </w:rPr>
  </w:style>
  <w:style w:type="character" w:customStyle="1" w:styleId="CommentSubjectChar">
    <w:name w:val="Comment Subject Char"/>
    <w:basedOn w:val="CommentTextChar"/>
    <w:link w:val="CommentSubject"/>
    <w:semiHidden/>
    <w:rsid w:val="00AE0342"/>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cbp.gov/newsroom/publications/forms?title=1303&amp;=Apply"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1644</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2</cp:revision>
  <cp:lastPrinted>2015-04-20T18:27:00Z</cp:lastPrinted>
  <dcterms:created xsi:type="dcterms:W3CDTF">2022-09-30T12:48:00Z</dcterms:created>
  <dcterms:modified xsi:type="dcterms:W3CDTF">2022-09-30T12:48:00Z</dcterms:modified>
</cp:coreProperties>
</file>