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1767" w:rsidRPr="00AD381B" w:rsidP="002313E2" w14:paraId="56DDEF02" w14:textId="758869E4">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F8478B">
        <w:rPr>
          <w:rFonts w:ascii="Times New Roman" w:hAnsi="Times New Roman"/>
          <w:szCs w:val="24"/>
        </w:rPr>
        <w:t>1840-0017</w:t>
      </w:r>
    </w:p>
    <w:p w:rsidR="00EA1767" w:rsidP="002313E2" w14:paraId="56DDEF03" w14:textId="59042FC1">
      <w:pPr>
        <w:pStyle w:val="Header"/>
        <w:rPr>
          <w:rFonts w:ascii="Times New Roman" w:hAnsi="Times New Roman"/>
          <w:szCs w:val="24"/>
        </w:rPr>
      </w:pPr>
      <w:r w:rsidRPr="00C875E8">
        <w:rPr>
          <w:rFonts w:ascii="Times New Roman" w:hAnsi="Times New Roman"/>
          <w:szCs w:val="24"/>
        </w:rPr>
        <w:t xml:space="preserve">Revised: </w:t>
      </w:r>
      <w:r w:rsidR="00EB2CAF">
        <w:rPr>
          <w:rFonts w:ascii="Times New Roman" w:hAnsi="Times New Roman"/>
          <w:szCs w:val="24"/>
        </w:rPr>
        <w:t>8/2</w:t>
      </w:r>
      <w:r w:rsidR="00A11571">
        <w:rPr>
          <w:rFonts w:ascii="Times New Roman" w:hAnsi="Times New Roman"/>
          <w:szCs w:val="24"/>
        </w:rPr>
        <w:t>4</w:t>
      </w:r>
      <w:r w:rsidR="00EB2CAF">
        <w:rPr>
          <w:rFonts w:ascii="Times New Roman" w:hAnsi="Times New Roman"/>
          <w:szCs w:val="24"/>
        </w:rPr>
        <w:t>/2022</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RPr="00AD381B" w:rsidP="002313E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14:paraId="56DDEF08" w14:textId="63D3ECC1">
      <w:pPr>
        <w:pStyle w:val="ListParagraph"/>
        <w:suppressAutoHyphens/>
        <w:rPr>
          <w:rFonts w:ascii="Times New Roman" w:hAnsi="Times New Roman"/>
          <w:szCs w:val="24"/>
        </w:rPr>
      </w:pPr>
    </w:p>
    <w:p w:rsidR="00F42C75" w:rsidRPr="003E0AD7" w:rsidP="00F42C75" w14:paraId="3E58BC45" w14:textId="1EFCA9BE">
      <w:pPr>
        <w:ind w:left="720"/>
        <w:rPr>
          <w:rFonts w:ascii="Times New Roman" w:hAnsi="Times New Roman"/>
          <w:szCs w:val="24"/>
        </w:rPr>
      </w:pPr>
      <w:r w:rsidRPr="003E0AD7">
        <w:rPr>
          <w:rFonts w:ascii="Times New Roman" w:hAnsi="Times New Roman"/>
          <w:szCs w:val="24"/>
        </w:rPr>
        <w:t>The U.S. Department of Education</w:t>
      </w:r>
      <w:r>
        <w:rPr>
          <w:rFonts w:ascii="Times New Roman" w:hAnsi="Times New Roman"/>
          <w:szCs w:val="24"/>
        </w:rPr>
        <w:t xml:space="preserve"> (Department)</w:t>
      </w:r>
      <w:r w:rsidRPr="003E0AD7">
        <w:rPr>
          <w:rFonts w:ascii="Times New Roman" w:hAnsi="Times New Roman"/>
          <w:szCs w:val="24"/>
        </w:rPr>
        <w:t xml:space="preserve"> is requesting </w:t>
      </w:r>
      <w:r w:rsidR="00DC6CD3">
        <w:rPr>
          <w:rFonts w:ascii="Times New Roman" w:hAnsi="Times New Roman"/>
          <w:szCs w:val="24"/>
        </w:rPr>
        <w:t>an extension</w:t>
      </w:r>
      <w:r w:rsidRPr="003E0AD7">
        <w:rPr>
          <w:rFonts w:ascii="Times New Roman" w:hAnsi="Times New Roman"/>
          <w:szCs w:val="24"/>
        </w:rPr>
        <w:t xml:space="preserve"> of a </w:t>
      </w:r>
      <w:r w:rsidR="00DC6CD3">
        <w:rPr>
          <w:rFonts w:ascii="Times New Roman" w:hAnsi="Times New Roman"/>
          <w:szCs w:val="24"/>
        </w:rPr>
        <w:t>currently</w:t>
      </w:r>
      <w:r w:rsidRPr="003E0AD7" w:rsidR="00DC6CD3">
        <w:rPr>
          <w:rFonts w:ascii="Times New Roman" w:hAnsi="Times New Roman"/>
          <w:szCs w:val="24"/>
        </w:rPr>
        <w:t xml:space="preserve"> </w:t>
      </w:r>
      <w:r w:rsidRPr="003E0AD7">
        <w:rPr>
          <w:rFonts w:ascii="Times New Roman" w:hAnsi="Times New Roman"/>
          <w:szCs w:val="24"/>
        </w:rPr>
        <w:t xml:space="preserve">approved collection under the Student Support Services (SSS) Program.  The </w:t>
      </w:r>
      <w:r w:rsidR="00195FB9">
        <w:rPr>
          <w:rFonts w:ascii="Times New Roman" w:hAnsi="Times New Roman"/>
          <w:szCs w:val="24"/>
        </w:rPr>
        <w:t>current</w:t>
      </w:r>
      <w:r w:rsidRPr="003E0AD7" w:rsidR="00195FB9">
        <w:rPr>
          <w:rFonts w:ascii="Times New Roman" w:hAnsi="Times New Roman"/>
          <w:szCs w:val="24"/>
        </w:rPr>
        <w:t xml:space="preserve"> </w:t>
      </w:r>
      <w:r w:rsidRPr="003E0AD7">
        <w:rPr>
          <w:rFonts w:ascii="Times New Roman" w:hAnsi="Times New Roman"/>
          <w:szCs w:val="24"/>
        </w:rPr>
        <w:t xml:space="preserve">collection </w:t>
      </w:r>
      <w:r w:rsidR="00195FB9">
        <w:rPr>
          <w:rFonts w:ascii="Times New Roman" w:hAnsi="Times New Roman"/>
          <w:szCs w:val="24"/>
        </w:rPr>
        <w:t xml:space="preserve">expires on October 31, </w:t>
      </w:r>
      <w:r w:rsidR="00195FB9">
        <w:rPr>
          <w:rFonts w:ascii="Times New Roman" w:hAnsi="Times New Roman"/>
          <w:szCs w:val="24"/>
        </w:rPr>
        <w:t>2022</w:t>
      </w:r>
      <w:r w:rsidRPr="003E0AD7">
        <w:rPr>
          <w:rFonts w:ascii="Times New Roman" w:hAnsi="Times New Roman"/>
          <w:szCs w:val="24"/>
        </w:rPr>
        <w:t xml:space="preserve"> and approval will allow the </w:t>
      </w:r>
      <w:r>
        <w:rPr>
          <w:rFonts w:ascii="Times New Roman" w:hAnsi="Times New Roman"/>
          <w:szCs w:val="24"/>
        </w:rPr>
        <w:t>D</w:t>
      </w:r>
      <w:r w:rsidRPr="003E0AD7">
        <w:rPr>
          <w:rFonts w:ascii="Times New Roman" w:hAnsi="Times New Roman"/>
          <w:szCs w:val="24"/>
        </w:rPr>
        <w:t xml:space="preserve">epartment to use the application to award new grants and collect data under the SSS Program.  </w:t>
      </w:r>
    </w:p>
    <w:p w:rsidR="00F42C75" w:rsidRPr="003E0AD7" w:rsidP="00F42C75" w14:paraId="6D3B8572" w14:textId="77777777">
      <w:pPr>
        <w:ind w:left="360"/>
        <w:rPr>
          <w:rFonts w:ascii="Times New Roman" w:hAnsi="Times New Roman"/>
          <w:szCs w:val="24"/>
        </w:rPr>
      </w:pPr>
    </w:p>
    <w:p w:rsidR="00F42C75" w:rsidRPr="003E0AD7" w:rsidP="00F42C75" w14:paraId="1F7B5336" w14:textId="77777777">
      <w:pPr>
        <w:ind w:left="720"/>
        <w:rPr>
          <w:rFonts w:ascii="Times New Roman" w:hAnsi="Times New Roman"/>
          <w:szCs w:val="24"/>
        </w:rPr>
      </w:pPr>
      <w:r w:rsidRPr="003E0AD7">
        <w:rPr>
          <w:rFonts w:ascii="Times New Roman" w:hAnsi="Times New Roman"/>
          <w:szCs w:val="24"/>
        </w:rPr>
        <w:t>SSS supports projects that assist low-income, first-generation, and/or disabled students who are already enrolled in postsecondary education in transferring from 2-year to 4-year institutions of higher education (IHEs) or in persisting in and graduating from 4-year institutions.  Grants are awarded to 2-year and 4-year IHEs for a length of five years.  Grantees provide a broad range of support services to project participants, including tutoring, advice on course selection, financial aid counseling, services to improve financial and economic literacy, assistance in applying for graduate school, and activities designed to assist students in transferring from 2-year IHEs to 4-year IHEs.  Projects may also provide personal and career counseling</w:t>
      </w:r>
      <w:r>
        <w:rPr>
          <w:rFonts w:ascii="Times New Roman" w:hAnsi="Times New Roman"/>
          <w:szCs w:val="24"/>
        </w:rPr>
        <w:t>,</w:t>
      </w:r>
      <w:r w:rsidRPr="003E0AD7">
        <w:rPr>
          <w:rFonts w:ascii="Times New Roman" w:hAnsi="Times New Roman"/>
          <w:szCs w:val="24"/>
        </w:rPr>
        <w:t xml:space="preserve"> exposure to cultural events, mentoring, </w:t>
      </w:r>
      <w:r>
        <w:rPr>
          <w:rFonts w:ascii="Times New Roman" w:hAnsi="Times New Roman"/>
          <w:szCs w:val="24"/>
        </w:rPr>
        <w:t xml:space="preserve">and </w:t>
      </w:r>
      <w:r w:rsidRPr="003E0AD7">
        <w:rPr>
          <w:rFonts w:ascii="Times New Roman" w:hAnsi="Times New Roman"/>
          <w:szCs w:val="24"/>
        </w:rPr>
        <w:t>activities tailored to the needs of homeless students, students in foster care, Limited English Proficiency students, and students with disabilities.  Additionally, projects may provide grant aid.</w:t>
      </w:r>
    </w:p>
    <w:p w:rsidR="00F42C75" w:rsidRPr="003E0AD7" w:rsidP="00F42C75" w14:paraId="59340E91" w14:textId="77777777">
      <w:pPr>
        <w:ind w:left="360"/>
        <w:rPr>
          <w:rFonts w:ascii="Times New Roman" w:hAnsi="Times New Roman"/>
          <w:szCs w:val="24"/>
        </w:rPr>
      </w:pPr>
    </w:p>
    <w:p w:rsidR="00F42C75" w:rsidRPr="00AE45B6" w:rsidP="00F42C75" w14:paraId="3D1FA33F" w14:textId="77777777">
      <w:pPr>
        <w:pStyle w:val="PlainText"/>
        <w:ind w:left="720"/>
        <w:rPr>
          <w:rFonts w:ascii="Times New Roman" w:hAnsi="Times New Roman"/>
          <w:b/>
          <w:sz w:val="24"/>
          <w:szCs w:val="24"/>
          <w:lang w:val="en-US"/>
        </w:rPr>
      </w:pPr>
      <w:r w:rsidRPr="003E0AD7">
        <w:rPr>
          <w:rFonts w:ascii="Times New Roman" w:hAnsi="Times New Roman"/>
          <w:sz w:val="24"/>
          <w:szCs w:val="24"/>
        </w:rPr>
        <w:t xml:space="preserve">This application would include required and permissible services or activities; outcome criteria used in assessing prior experience; selection criteria; and a description of the processes and procedures for the second review of unsuccessful applications.  The </w:t>
      </w:r>
      <w:r w:rsidRPr="003E0AD7">
        <w:rPr>
          <w:rFonts w:ascii="Times New Roman" w:hAnsi="Times New Roman"/>
          <w:sz w:val="24"/>
          <w:szCs w:val="24"/>
          <w:lang w:val="en-US"/>
        </w:rPr>
        <w:t xml:space="preserve">SSS </w:t>
      </w:r>
      <w:r w:rsidRPr="003E0AD7">
        <w:rPr>
          <w:rFonts w:ascii="Times New Roman" w:hAnsi="Times New Roman"/>
          <w:sz w:val="24"/>
          <w:szCs w:val="24"/>
        </w:rPr>
        <w:t xml:space="preserve">Program </w:t>
      </w:r>
      <w:r w:rsidRPr="003E0AD7">
        <w:rPr>
          <w:rFonts w:ascii="Times New Roman" w:hAnsi="Times New Roman"/>
          <w:sz w:val="24"/>
          <w:szCs w:val="24"/>
          <w:lang w:val="en-US"/>
        </w:rPr>
        <w:t xml:space="preserve">grant competition </w:t>
      </w:r>
      <w:r w:rsidRPr="003E0AD7">
        <w:rPr>
          <w:rFonts w:ascii="Times New Roman" w:hAnsi="Times New Roman"/>
          <w:sz w:val="24"/>
          <w:szCs w:val="24"/>
        </w:rPr>
        <w:t xml:space="preserve">is authorized by the Higher Education Act (HEA) of 1965, as amended by the Higher Education Opportunity Act (HEOA) of 2008.  An electronic version of the HEOA’s amendments to the HEA may be found at the Department’s website at the following address: </w:t>
      </w:r>
      <w:hyperlink r:id="rId9" w:history="1">
        <w:r w:rsidRPr="003E0AD7">
          <w:rPr>
            <w:rStyle w:val="Hyperlink"/>
            <w:rFonts w:ascii="Times New Roman" w:hAnsi="Times New Roman"/>
            <w:b/>
            <w:sz w:val="24"/>
            <w:szCs w:val="24"/>
          </w:rPr>
          <w:t>http://www2.ed.gov/about/offices/list/ope/trio/statute-trio-gu.pdf</w:t>
        </w:r>
      </w:hyperlink>
      <w:r>
        <w:rPr>
          <w:rStyle w:val="Hyperlink"/>
          <w:rFonts w:ascii="Times New Roman" w:hAnsi="Times New Roman"/>
          <w:b/>
          <w:sz w:val="24"/>
          <w:szCs w:val="24"/>
          <w:lang w:val="en-US"/>
        </w:rPr>
        <w:t>.</w:t>
      </w:r>
    </w:p>
    <w:p w:rsidR="00F42C75" w:rsidP="002313E2" w14:paraId="542E89E5" w14:textId="186CF19B">
      <w:pPr>
        <w:pStyle w:val="ListParagraph"/>
        <w:suppressAutoHyphens/>
        <w:rPr>
          <w:rFonts w:ascii="Times New Roman" w:hAnsi="Times New Roman"/>
          <w:szCs w:val="24"/>
        </w:rPr>
      </w:pPr>
    </w:p>
    <w:p w:rsidR="00F42C75" w:rsidP="002313E2" w14:paraId="267D91DD" w14:textId="3A519ADC">
      <w:pPr>
        <w:pStyle w:val="ListParagraph"/>
        <w:suppressAutoHyphens/>
        <w:rPr>
          <w:rFonts w:ascii="Times New Roman" w:hAnsi="Times New Roman"/>
          <w:szCs w:val="24"/>
        </w:rPr>
      </w:pPr>
    </w:p>
    <w:p w:rsidR="00F42C75" w:rsidP="002313E2" w14:paraId="67AEC003" w14:textId="360927FB">
      <w:pPr>
        <w:pStyle w:val="ListParagraph"/>
        <w:suppressAutoHyphens/>
        <w:rPr>
          <w:rFonts w:ascii="Times New Roman" w:hAnsi="Times New Roman"/>
          <w:szCs w:val="24"/>
        </w:rPr>
      </w:pPr>
    </w:p>
    <w:p w:rsidR="00F42C75" w:rsidP="002313E2" w14:paraId="184F8973" w14:textId="77777777">
      <w:pPr>
        <w:pStyle w:val="ListParagraph"/>
        <w:suppressAutoHyphens/>
        <w:rPr>
          <w:rFonts w:ascii="Times New Roman" w:hAnsi="Times New Roman"/>
          <w:szCs w:val="24"/>
        </w:rPr>
      </w:pPr>
    </w:p>
    <w:p w:rsidR="00AD381B" w:rsidRPr="00AD381B" w:rsidP="002313E2" w14:paraId="56DDEF09" w14:textId="77777777">
      <w:pPr>
        <w:pStyle w:val="ListParagraph"/>
        <w:suppressAutoHyphens/>
        <w:contextualSpacing w:val="0"/>
        <w:rPr>
          <w:rFonts w:ascii="Times New Roman" w:hAnsi="Times New Roman"/>
          <w:szCs w:val="24"/>
        </w:rPr>
      </w:pPr>
    </w:p>
    <w:p w:rsidR="00AD381B" w:rsidRPr="00F42C75" w:rsidP="002313E2" w14:paraId="56DDEF0A" w14:textId="5A479D44">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F42C75" w:rsidP="00F42C75" w14:paraId="57B8EAF7" w14:textId="6C1AE855">
      <w:pPr>
        <w:suppressAutoHyphens/>
        <w:rPr>
          <w:rFonts w:ascii="Times New Roman" w:hAnsi="Times New Roman"/>
          <w:szCs w:val="24"/>
        </w:rPr>
      </w:pPr>
    </w:p>
    <w:p w:rsidR="00F42C75" w:rsidRPr="003E0AD7" w:rsidP="00F42C75" w14:paraId="1C1945CB" w14:textId="77777777">
      <w:pPr>
        <w:ind w:left="720"/>
        <w:rPr>
          <w:rFonts w:ascii="Times New Roman" w:hAnsi="Times New Roman"/>
          <w:szCs w:val="24"/>
        </w:rPr>
      </w:pPr>
      <w:r w:rsidRPr="003E0AD7">
        <w:rPr>
          <w:rFonts w:ascii="Times New Roman" w:hAnsi="Times New Roman"/>
          <w:szCs w:val="24"/>
        </w:rPr>
        <w:t>The application package requests programmatic and budgetary information needed to evaluate new applications and make funding decisions based on the authorizing statute, program regulations, and EDGAR.  Failure to collect this information would prevent the awarding of appropriated funds; essential information would not be available for evaluating the applications in accordance with the statute and regulations.</w:t>
      </w:r>
    </w:p>
    <w:p w:rsidR="00F42C75" w:rsidRPr="00F42C75" w:rsidP="00F42C75" w14:paraId="5F500694" w14:textId="77777777">
      <w:pPr>
        <w:suppressAutoHyphens/>
        <w:rPr>
          <w:rFonts w:ascii="Times New Roman" w:hAnsi="Times New Roman"/>
          <w:szCs w:val="24"/>
        </w:rPr>
      </w:pPr>
    </w:p>
    <w:p w:rsidR="00043C32" w:rsidP="002313E2" w14:paraId="56DDEF0D" w14:textId="23CB09B1">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C52723" w:rsidP="00C52723" w14:paraId="3F3F9EEC" w14:textId="23311BF1">
      <w:pPr>
        <w:tabs>
          <w:tab w:val="left" w:pos="-720"/>
        </w:tabs>
        <w:suppressAutoHyphens/>
        <w:rPr>
          <w:rFonts w:ascii="Times New Roman" w:hAnsi="Times New Roman"/>
          <w:b/>
          <w:szCs w:val="24"/>
        </w:rPr>
      </w:pPr>
    </w:p>
    <w:p w:rsidR="00C52723" w:rsidRPr="003E0AD7" w:rsidP="00C52723" w14:paraId="47CD7ED8" w14:textId="4593F1F0">
      <w:pPr>
        <w:ind w:left="720"/>
        <w:rPr>
          <w:rFonts w:ascii="Times New Roman" w:hAnsi="Times New Roman"/>
          <w:szCs w:val="24"/>
        </w:rPr>
      </w:pPr>
      <w:r>
        <w:rPr>
          <w:rFonts w:ascii="Times New Roman" w:hAnsi="Times New Roman"/>
          <w:szCs w:val="24"/>
        </w:rPr>
        <w:t>A</w:t>
      </w:r>
      <w:r w:rsidRPr="003E0AD7">
        <w:rPr>
          <w:rFonts w:ascii="Times New Roman" w:hAnsi="Times New Roman"/>
          <w:szCs w:val="24"/>
        </w:rPr>
        <w:t>s a part of the Department’s goal to increase the electronic submission of applications, applications for grants under the SSS program will be submitted electronically via the Grants.gov portal.  We estimate that the Department will receive 100 percent of the applications electronically.</w:t>
      </w:r>
    </w:p>
    <w:p w:rsidR="00C52723" w:rsidRPr="003E0AD7" w:rsidP="00C52723" w14:paraId="31880BCC" w14:textId="77777777">
      <w:pPr>
        <w:ind w:left="720"/>
        <w:rPr>
          <w:rFonts w:ascii="Times New Roman" w:hAnsi="Times New Roman"/>
          <w:szCs w:val="24"/>
        </w:rPr>
      </w:pPr>
    </w:p>
    <w:p w:rsidR="00C52723" w:rsidRPr="003E0AD7" w:rsidP="00C52723" w14:paraId="4B395718" w14:textId="77777777">
      <w:pPr>
        <w:ind w:left="720"/>
        <w:rPr>
          <w:rFonts w:ascii="Times New Roman" w:hAnsi="Times New Roman"/>
          <w:szCs w:val="24"/>
        </w:rPr>
      </w:pPr>
      <w:r w:rsidRPr="003E0AD7">
        <w:rPr>
          <w:rFonts w:ascii="Times New Roman" w:hAnsi="Times New Roman"/>
          <w:szCs w:val="24"/>
        </w:rPr>
        <w:t xml:space="preserve">The application package has been prepared in a format for easier and faster posting of information on the Web.  Prospective applicants will be able to view and download the application through the FIND function on Grants.gov at </w:t>
      </w:r>
      <w:hyperlink r:id="rId10" w:history="1">
        <w:r w:rsidRPr="003E0AD7">
          <w:rPr>
            <w:rFonts w:ascii="Times New Roman" w:hAnsi="Times New Roman"/>
            <w:color w:val="0000FF"/>
            <w:szCs w:val="24"/>
            <w:u w:val="single"/>
          </w:rPr>
          <w:t>http://www.Grants.Gov</w:t>
        </w:r>
      </w:hyperlink>
      <w:r w:rsidRPr="003E0AD7">
        <w:rPr>
          <w:rFonts w:ascii="Times New Roman" w:hAnsi="Times New Roman"/>
          <w:szCs w:val="24"/>
        </w:rPr>
        <w:t>.</w:t>
      </w:r>
    </w:p>
    <w:p w:rsidR="00AD381B" w:rsidP="002313E2" w14:paraId="56DDEF0F" w14:textId="77777777">
      <w:pPr>
        <w:pStyle w:val="ListParagraph"/>
        <w:tabs>
          <w:tab w:val="left" w:pos="-720"/>
        </w:tabs>
        <w:suppressAutoHyphens/>
        <w:contextualSpacing w:val="0"/>
        <w:rPr>
          <w:rFonts w:ascii="Times New Roman" w:hAnsi="Times New Roman"/>
          <w:szCs w:val="24"/>
        </w:rPr>
      </w:pPr>
    </w:p>
    <w:p w:rsidR="00AD381B" w:rsidP="002313E2" w14:paraId="56DDEF10" w14:textId="50C8D8D6">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C52723" w:rsidP="00C52723" w14:paraId="44335AF7" w14:textId="08799D17">
      <w:pPr>
        <w:tabs>
          <w:tab w:val="left" w:pos="-720"/>
        </w:tabs>
        <w:suppressAutoHyphens/>
        <w:rPr>
          <w:rFonts w:ascii="Times New Roman" w:hAnsi="Times New Roman"/>
          <w:b/>
          <w:szCs w:val="24"/>
        </w:rPr>
      </w:pPr>
    </w:p>
    <w:p w:rsidR="00C52723" w:rsidRPr="003E0AD7" w:rsidP="00C52723" w14:paraId="69D64893" w14:textId="77777777">
      <w:pPr>
        <w:ind w:left="720"/>
        <w:rPr>
          <w:rFonts w:ascii="Times New Roman" w:hAnsi="Times New Roman"/>
          <w:szCs w:val="24"/>
        </w:rPr>
      </w:pPr>
      <w:r w:rsidRPr="003E0AD7">
        <w:rPr>
          <w:rFonts w:ascii="Times New Roman" w:hAnsi="Times New Roman"/>
          <w:szCs w:val="24"/>
        </w:rPr>
        <w:t>Since the information submitted in the application is unique to each respondent, no duplication exists as far as can be determined.  There is no other collection instrument available to collect the information that is being requested.</w:t>
      </w:r>
    </w:p>
    <w:p w:rsidR="00043C32" w:rsidP="002313E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14:paraId="56DDEF14" w14:textId="02443CCC">
      <w:pPr>
        <w:pStyle w:val="ListParagraph"/>
        <w:contextualSpacing w:val="0"/>
        <w:rPr>
          <w:rFonts w:ascii="Times New Roman" w:hAnsi="Times New Roman"/>
          <w:szCs w:val="24"/>
        </w:rPr>
      </w:pPr>
    </w:p>
    <w:p w:rsidR="00C52723" w:rsidRPr="003E0AD7" w:rsidP="00C52723" w14:paraId="6EE8BBC1" w14:textId="77777777">
      <w:pPr>
        <w:ind w:firstLine="720"/>
        <w:rPr>
          <w:rFonts w:ascii="Times New Roman" w:hAnsi="Times New Roman"/>
          <w:szCs w:val="24"/>
        </w:rPr>
      </w:pPr>
      <w:r w:rsidRPr="003E0AD7">
        <w:rPr>
          <w:rFonts w:ascii="Times New Roman" w:hAnsi="Times New Roman"/>
          <w:szCs w:val="24"/>
        </w:rPr>
        <w:t>This information collection does not involve small businesses or other small entities.</w:t>
      </w:r>
    </w:p>
    <w:p w:rsidR="00C52723" w:rsidP="002313E2" w14:paraId="0EDD13C3" w14:textId="524BD56A">
      <w:pPr>
        <w:pStyle w:val="ListParagraph"/>
        <w:contextualSpacing w:val="0"/>
        <w:rPr>
          <w:rFonts w:ascii="Times New Roman" w:hAnsi="Times New Roman"/>
          <w:szCs w:val="24"/>
        </w:rPr>
      </w:pPr>
    </w:p>
    <w:p w:rsidR="00043C32" w:rsidP="002313E2" w14:paraId="56DDEF15" w14:textId="269BEAB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803CAA" w:rsidP="00803CAA" w14:paraId="46887115" w14:textId="43E35C7B">
      <w:pPr>
        <w:tabs>
          <w:tab w:val="left" w:pos="-720"/>
        </w:tabs>
        <w:suppressAutoHyphens/>
        <w:rPr>
          <w:rFonts w:ascii="Times New Roman" w:hAnsi="Times New Roman"/>
          <w:b/>
          <w:szCs w:val="24"/>
        </w:rPr>
      </w:pPr>
    </w:p>
    <w:p w:rsidR="00803CAA" w:rsidRPr="003E0AD7" w:rsidP="00803CAA" w14:paraId="671BC4A9" w14:textId="3850CCCB">
      <w:pPr>
        <w:tabs>
          <w:tab w:val="left" w:pos="-720"/>
        </w:tabs>
        <w:suppressAutoHyphens/>
        <w:ind w:left="720"/>
        <w:rPr>
          <w:rFonts w:ascii="Times New Roman" w:hAnsi="Times New Roman"/>
          <w:szCs w:val="24"/>
        </w:rPr>
      </w:pPr>
      <w:r w:rsidRPr="003E0AD7">
        <w:rPr>
          <w:rFonts w:ascii="Times New Roman" w:hAnsi="Times New Roman"/>
          <w:szCs w:val="24"/>
        </w:rPr>
        <w:t xml:space="preserve">If the collection is not conducted or is collected less frequently, the Department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00803CAA" w:rsidRPr="003E0AD7" w:rsidP="00803CAA" w14:paraId="2F546B46" w14:textId="77777777">
      <w:pPr>
        <w:tabs>
          <w:tab w:val="left" w:pos="-720"/>
        </w:tabs>
        <w:suppressAutoHyphens/>
        <w:rPr>
          <w:rFonts w:ascii="Times New Roman" w:hAnsi="Times New Roman"/>
          <w:szCs w:val="24"/>
        </w:rPr>
      </w:pPr>
    </w:p>
    <w:p w:rsidR="00803CAA" w:rsidRPr="003E0AD7" w:rsidP="00803CAA" w14:paraId="54A43B23" w14:textId="77777777">
      <w:pPr>
        <w:ind w:left="720"/>
        <w:rPr>
          <w:rFonts w:ascii="Times New Roman" w:hAnsi="Times New Roman"/>
          <w:szCs w:val="24"/>
        </w:rPr>
      </w:pPr>
      <w:r w:rsidRPr="003E0AD7">
        <w:rPr>
          <w:rFonts w:ascii="Times New Roman" w:hAnsi="Times New Roman"/>
          <w:szCs w:val="24"/>
        </w:rPr>
        <w:t xml:space="preserve">The Department needs to make grant applications available to its constituencies to give eligible applicants time to develop and submit applications, and to make new fiscal year grant awards in a timely manner.    </w:t>
      </w:r>
    </w:p>
    <w:p w:rsidR="00063A39" w:rsidRPr="00AD381B" w:rsidP="002313E2" w14:paraId="37776BE0" w14:textId="77777777">
      <w:pPr>
        <w:pStyle w:val="ListParagraph"/>
        <w:tabs>
          <w:tab w:val="left" w:pos="-720"/>
        </w:tabs>
        <w:suppressAutoHyphens/>
        <w:contextualSpacing w:val="0"/>
        <w:rPr>
          <w:rFonts w:ascii="Times New Roman" w:hAnsi="Times New Roman"/>
          <w:b/>
          <w:szCs w:val="24"/>
        </w:rPr>
      </w:pPr>
    </w:p>
    <w:p w:rsidR="00043C32" w:rsidRPr="00AD381B" w:rsidP="002313E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043C32" w:rsidP="002313E2" w14:paraId="56DDEF26" w14:textId="3E502ABB">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803CAA" w:rsidP="00803CAA" w14:paraId="7BF0DC05" w14:textId="77777777">
      <w:pPr>
        <w:pStyle w:val="ListParagraph"/>
        <w:rPr>
          <w:rFonts w:ascii="Times New Roman" w:hAnsi="Times New Roman"/>
          <w:b/>
          <w:szCs w:val="24"/>
        </w:rPr>
      </w:pPr>
    </w:p>
    <w:p w:rsidR="00803CAA" w:rsidRPr="003E0AD7" w:rsidP="00803CAA" w14:paraId="6235B289" w14:textId="58018918">
      <w:pPr>
        <w:tabs>
          <w:tab w:val="left" w:pos="-720"/>
          <w:tab w:val="left" w:pos="360"/>
        </w:tabs>
        <w:suppressAutoHyphen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sidRPr="003E0AD7">
        <w:rPr>
          <w:rFonts w:ascii="Times New Roman" w:hAnsi="Times New Roman"/>
          <w:szCs w:val="24"/>
        </w:rPr>
        <w:t>No information will be collected in a manner covered under any of the special</w:t>
      </w:r>
    </w:p>
    <w:p w:rsidR="00803CAA" w:rsidRPr="003E0AD7" w:rsidP="00803CAA" w14:paraId="410F2263" w14:textId="57A2A99B">
      <w:pPr>
        <w:tabs>
          <w:tab w:val="left" w:pos="-720"/>
          <w:tab w:val="left" w:pos="360"/>
        </w:tabs>
        <w:suppressAutoHyphen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sidRPr="003E0AD7">
        <w:rPr>
          <w:rFonts w:ascii="Times New Roman" w:hAnsi="Times New Roman"/>
          <w:szCs w:val="24"/>
        </w:rPr>
        <w:t>circumstances outlined.</w:t>
      </w:r>
    </w:p>
    <w:p w:rsidR="00803CAA" w:rsidP="00803CAA" w14:paraId="248420F3" w14:textId="77777777">
      <w:pPr>
        <w:tabs>
          <w:tab w:val="left" w:pos="-720"/>
        </w:tabs>
        <w:suppressAutoHyphens/>
        <w:rPr>
          <w:rFonts w:ascii="Times New Roman" w:hAnsi="Times New Roman"/>
          <w:b/>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5036C63E">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03CAA" w:rsidP="002313E2" w14:paraId="60600C4B" w14:textId="5FC475EE">
      <w:pPr>
        <w:tabs>
          <w:tab w:val="left" w:pos="-720"/>
        </w:tabs>
        <w:suppressAutoHyphens/>
        <w:ind w:left="720"/>
        <w:rPr>
          <w:rStyle w:val="a"/>
          <w:rFonts w:ascii="Times New Roman" w:hAnsi="Times New Roman"/>
          <w:b/>
          <w:szCs w:val="24"/>
        </w:rPr>
      </w:pPr>
    </w:p>
    <w:p w:rsidR="005C224C" w:rsidRPr="003E0AD7" w:rsidP="005C224C" w14:paraId="751D9A7C" w14:textId="4F94F791">
      <w:pPr>
        <w:tabs>
          <w:tab w:val="left" w:pos="0"/>
        </w:tabs>
        <w:ind w:left="720"/>
        <w:rPr>
          <w:rFonts w:ascii="Times New Roman" w:hAnsi="Times New Roman"/>
          <w:szCs w:val="24"/>
        </w:rPr>
      </w:pPr>
      <w:r w:rsidRPr="003E0AD7">
        <w:rPr>
          <w:rFonts w:ascii="Times New Roman" w:hAnsi="Times New Roman"/>
          <w:szCs w:val="24"/>
        </w:rPr>
        <w:t>The Department will solicit informal views and comments from persons outside the Department during ten pre-application workshop</w:t>
      </w:r>
      <w:r>
        <w:rPr>
          <w:rFonts w:ascii="Times New Roman" w:hAnsi="Times New Roman"/>
          <w:szCs w:val="24"/>
        </w:rPr>
        <w:t>s</w:t>
      </w:r>
      <w:r w:rsidRPr="003E0AD7">
        <w:rPr>
          <w:rFonts w:ascii="Times New Roman" w:hAnsi="Times New Roman"/>
          <w:szCs w:val="24"/>
        </w:rPr>
        <w:t xml:space="preserve"> for the SSS Program as mandated by statute.  The Department will publish a 30-day </w:t>
      </w:r>
      <w:r w:rsidRPr="003E0AD7">
        <w:rPr>
          <w:rFonts w:ascii="Times New Roman" w:hAnsi="Times New Roman"/>
          <w:szCs w:val="24"/>
          <w:u w:val="single"/>
        </w:rPr>
        <w:t>Federal</w:t>
      </w:r>
      <w:r w:rsidRPr="001D2B41">
        <w:rPr>
          <w:rFonts w:ascii="Times New Roman" w:hAnsi="Times New Roman"/>
          <w:szCs w:val="24"/>
          <w:u w:val="single"/>
        </w:rPr>
        <w:t xml:space="preserve"> </w:t>
      </w:r>
      <w:r w:rsidRPr="003E0AD7">
        <w:rPr>
          <w:rFonts w:ascii="Times New Roman" w:hAnsi="Times New Roman"/>
          <w:szCs w:val="24"/>
          <w:u w:val="single"/>
        </w:rPr>
        <w:t>Register</w:t>
      </w:r>
      <w:r w:rsidRPr="003E0AD7">
        <w:rPr>
          <w:rFonts w:ascii="Times New Roman" w:hAnsi="Times New Roman"/>
          <w:szCs w:val="24"/>
        </w:rPr>
        <w:t xml:space="preserve"> notice allowing public comment on this collection. </w:t>
      </w:r>
    </w:p>
    <w:p w:rsidR="00803CAA" w:rsidP="002313E2" w14:paraId="0EED1FC1" w14:textId="77777777">
      <w:pPr>
        <w:tabs>
          <w:tab w:val="left" w:pos="-720"/>
        </w:tabs>
        <w:suppressAutoHyphens/>
        <w:ind w:left="720"/>
        <w:rPr>
          <w:rStyle w:val="a"/>
          <w:rFonts w:ascii="Times New Roman" w:hAnsi="Times New Roman"/>
          <w:b/>
          <w:szCs w:val="24"/>
        </w:rPr>
      </w:pPr>
    </w:p>
    <w:p w:rsidR="00043C32" w:rsidP="002313E2" w14:paraId="56DDEF33" w14:textId="574434C5">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5C224C" w:rsidP="005C224C" w14:paraId="6EA96066" w14:textId="0072C0C1">
      <w:pPr>
        <w:tabs>
          <w:tab w:val="left" w:pos="-720"/>
        </w:tabs>
        <w:suppressAutoHyphens/>
        <w:rPr>
          <w:rStyle w:val="a"/>
          <w:rFonts w:ascii="Times New Roman" w:hAnsi="Times New Roman"/>
          <w:b/>
          <w:szCs w:val="24"/>
        </w:rPr>
      </w:pPr>
    </w:p>
    <w:p w:rsidR="005C224C" w:rsidP="005C224C" w14:paraId="76704FA6" w14:textId="6AD78081">
      <w:pPr>
        <w:ind w:firstLine="720"/>
        <w:rPr>
          <w:rFonts w:ascii="Times New Roman" w:hAnsi="Times New Roman"/>
          <w:szCs w:val="24"/>
        </w:rPr>
      </w:pPr>
      <w:r w:rsidRPr="003E0AD7">
        <w:rPr>
          <w:rFonts w:ascii="Times New Roman" w:hAnsi="Times New Roman"/>
          <w:szCs w:val="24"/>
        </w:rPr>
        <w:t>The Department will not provide any payments or gifts to respondents.</w:t>
      </w:r>
    </w:p>
    <w:p w:rsidR="00FA0CF8" w:rsidP="005C224C" w14:paraId="4AF1376E" w14:textId="22E85CA4">
      <w:pPr>
        <w:ind w:firstLine="720"/>
        <w:rPr>
          <w:rFonts w:ascii="Times New Roman" w:hAnsi="Times New Roman"/>
          <w:szCs w:val="24"/>
        </w:rPr>
      </w:pPr>
    </w:p>
    <w:p w:rsidR="00043C32" w:rsidRPr="00D75313" w:rsidP="002313E2" w14:paraId="56DDEF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w:t>
      </w:r>
      <w:r w:rsidRPr="00920F63">
        <w:rPr>
          <w:rFonts w:ascii="Times New Roman" w:hAnsi="Times New Roman"/>
          <w:b/>
          <w:szCs w:val="24"/>
        </w:rPr>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2313E2" w14:paraId="56DDEF37" w14:textId="7491C857">
      <w:pPr>
        <w:tabs>
          <w:tab w:val="left" w:pos="-720"/>
        </w:tabs>
        <w:suppressAutoHyphens/>
        <w:rPr>
          <w:rFonts w:ascii="Times New Roman" w:hAnsi="Times New Roman"/>
          <w:b/>
          <w:szCs w:val="24"/>
        </w:rPr>
      </w:pPr>
    </w:p>
    <w:p w:rsidR="005C224C" w:rsidRPr="003E0AD7" w:rsidP="005C224C" w14:paraId="2C385070" w14:textId="77777777">
      <w:pPr>
        <w:ind w:firstLine="720"/>
        <w:rPr>
          <w:rFonts w:ascii="Times New Roman" w:hAnsi="Times New Roman"/>
          <w:szCs w:val="24"/>
        </w:rPr>
      </w:pPr>
      <w:r w:rsidRPr="003E0AD7">
        <w:rPr>
          <w:rFonts w:ascii="Times New Roman" w:hAnsi="Times New Roman"/>
          <w:szCs w:val="24"/>
        </w:rPr>
        <w:t xml:space="preserve">There is no assurance of confidentiality.  </w:t>
      </w:r>
    </w:p>
    <w:p w:rsidR="00920F63" w:rsidRPr="00920F63" w:rsidP="002313E2" w14:paraId="56DDEF38" w14:textId="77777777">
      <w:pPr>
        <w:tabs>
          <w:tab w:val="left" w:pos="-720"/>
        </w:tabs>
        <w:suppressAutoHyphens/>
        <w:rPr>
          <w:rFonts w:ascii="Times New Roman" w:hAnsi="Times New Roman"/>
          <w:szCs w:val="24"/>
        </w:rPr>
      </w:pPr>
    </w:p>
    <w:p w:rsidR="00043C32" w:rsidP="002313E2" w14:paraId="56DDEF39" w14:textId="47DB7888">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C224C" w:rsidP="005C224C" w14:paraId="49ABE1DB" w14:textId="2DC73785">
      <w:pPr>
        <w:tabs>
          <w:tab w:val="left" w:pos="-720"/>
        </w:tabs>
        <w:suppressAutoHyphens/>
        <w:rPr>
          <w:rFonts w:ascii="Times New Roman" w:hAnsi="Times New Roman"/>
          <w:b/>
          <w:szCs w:val="24"/>
        </w:rPr>
      </w:pPr>
    </w:p>
    <w:p w:rsidR="005C224C" w:rsidRPr="005C224C" w:rsidP="005C224C" w14:paraId="4EA9AA94" w14:textId="35F6B3EC">
      <w:pPr>
        <w:tabs>
          <w:tab w:val="left" w:pos="-720"/>
        </w:tabs>
        <w:suppressAutoHyphens/>
        <w:ind w:left="720"/>
        <w:rPr>
          <w:rFonts w:ascii="Times New Roman" w:hAnsi="Times New Roman"/>
          <w:b/>
          <w:szCs w:val="24"/>
        </w:rPr>
      </w:pPr>
      <w:r w:rsidRPr="003E0AD7">
        <w:rPr>
          <w:rFonts w:ascii="Times New Roman" w:hAnsi="Times New Roman"/>
          <w:szCs w:val="24"/>
        </w:rPr>
        <w:t>This application does not include questions about sexual behavior and attitudes, religious beliefs, or other items that are commonly considered sensitive and private.</w:t>
      </w:r>
    </w:p>
    <w:p w:rsidR="00920F63" w:rsidP="002313E2" w14:paraId="56DDEF3A" w14:textId="77777777">
      <w:pPr>
        <w:tabs>
          <w:tab w:val="left" w:pos="-720"/>
        </w:tabs>
        <w:suppressAutoHyphens/>
        <w:rPr>
          <w:rFonts w:ascii="Times New Roman" w:hAnsi="Times New Roman"/>
          <w:b/>
          <w:szCs w:val="24"/>
        </w:rPr>
      </w:pP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w:t>
      </w:r>
      <w:r w:rsidR="00D75313">
        <w:rPr>
          <w:rStyle w:val="a"/>
          <w:rFonts w:ascii="Times New Roman" w:hAnsi="Times New Roman"/>
          <w:b/>
          <w:szCs w:val="24"/>
        </w:rPr>
        <w:t>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P="002313E2" w14:paraId="56DDEF44" w14:textId="54612A1E">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 xml:space="preserve">Provide a descriptive narrative here in addition to completing the table </w:t>
      </w:r>
      <w:r w:rsidRPr="00641ED8" w:rsidR="00952DF9">
        <w:rPr>
          <w:rFonts w:ascii="Times New Roman" w:hAnsi="Times New Roman"/>
          <w:b/>
          <w:szCs w:val="24"/>
        </w:rPr>
        <w:t xml:space="preserve">below </w:t>
      </w:r>
      <w:r w:rsidRPr="00641ED8">
        <w:rPr>
          <w:rFonts w:ascii="Times New Roman" w:hAnsi="Times New Roman"/>
          <w:b/>
          <w:szCs w:val="24"/>
        </w:rPr>
        <w:t xml:space="preserve">with burden hour </w:t>
      </w:r>
      <w:r w:rsidRPr="00641ED8" w:rsidR="00952DF9">
        <w:rPr>
          <w:rFonts w:ascii="Times New Roman" w:hAnsi="Times New Roman"/>
          <w:b/>
          <w:szCs w:val="24"/>
        </w:rPr>
        <w:t>estimates.</w:t>
      </w:r>
    </w:p>
    <w:p w:rsidR="005C224C" w:rsidP="002313E2" w14:paraId="67BDC51D" w14:textId="763FDDF9">
      <w:pPr>
        <w:pStyle w:val="ListParagraph"/>
        <w:tabs>
          <w:tab w:val="left" w:pos="-720"/>
        </w:tabs>
        <w:suppressAutoHyphens/>
        <w:contextualSpacing w:val="0"/>
        <w:rPr>
          <w:rFonts w:ascii="Times New Roman" w:hAnsi="Times New Roman"/>
          <w:b/>
          <w:szCs w:val="24"/>
        </w:rPr>
      </w:pPr>
    </w:p>
    <w:p w:rsidR="00B81A77" w:rsidRPr="003E0AD7" w:rsidP="001D2B41" w14:paraId="65D35361" w14:textId="12A43F38">
      <w:pPr>
        <w:ind w:left="720"/>
        <w:rPr>
          <w:rFonts w:ascii="Times New Roman" w:hAnsi="Times New Roman"/>
          <w:szCs w:val="24"/>
        </w:rPr>
      </w:pPr>
      <w:r w:rsidRPr="003E0AD7">
        <w:rPr>
          <w:rFonts w:ascii="Times New Roman" w:hAnsi="Times New Roman"/>
          <w:szCs w:val="24"/>
        </w:rPr>
        <w:t xml:space="preserve">The estimated burden hours for this collection of information are </w:t>
      </w:r>
      <w:r w:rsidRPr="001D2B41">
        <w:rPr>
          <w:rFonts w:ascii="Times New Roman" w:hAnsi="Times New Roman"/>
          <w:szCs w:val="24"/>
        </w:rPr>
        <w:t>6</w:t>
      </w:r>
      <w:r w:rsidRPr="001D2B41" w:rsidR="005F1D82">
        <w:rPr>
          <w:rFonts w:ascii="Times New Roman" w:hAnsi="Times New Roman"/>
          <w:szCs w:val="24"/>
        </w:rPr>
        <w:t>7</w:t>
      </w:r>
      <w:r w:rsidRPr="001D2B41">
        <w:rPr>
          <w:rFonts w:ascii="Times New Roman" w:hAnsi="Times New Roman"/>
          <w:szCs w:val="24"/>
        </w:rPr>
        <w:t>,</w:t>
      </w:r>
      <w:r w:rsidRPr="001D2B41" w:rsidR="00553584">
        <w:rPr>
          <w:rFonts w:ascii="Times New Roman" w:hAnsi="Times New Roman"/>
          <w:szCs w:val="24"/>
        </w:rPr>
        <w:t>104</w:t>
      </w:r>
      <w:r w:rsidRPr="003E0AD7">
        <w:rPr>
          <w:rFonts w:ascii="Times New Roman" w:hAnsi="Times New Roman"/>
          <w:szCs w:val="24"/>
        </w:rPr>
        <w:t xml:space="preserve"> hours.  We estimate approximately </w:t>
      </w:r>
      <w:r w:rsidRPr="001D2B41">
        <w:rPr>
          <w:rFonts w:ascii="Times New Roman" w:hAnsi="Times New Roman"/>
          <w:szCs w:val="24"/>
        </w:rPr>
        <w:t>2,000</w:t>
      </w:r>
      <w:r w:rsidRPr="003E0AD7">
        <w:rPr>
          <w:rFonts w:ascii="Times New Roman" w:hAnsi="Times New Roman"/>
          <w:szCs w:val="24"/>
        </w:rPr>
        <w:t xml:space="preserve"> respondents, including those who respond under the second review process.  </w:t>
      </w:r>
    </w:p>
    <w:p w:rsidR="00B81A77" w:rsidRPr="003E0AD7" w:rsidP="001D2B41" w14:paraId="7732B070" w14:textId="77777777">
      <w:pPr>
        <w:ind w:left="720"/>
        <w:rPr>
          <w:rFonts w:ascii="Times New Roman" w:hAnsi="Times New Roman"/>
          <w:szCs w:val="24"/>
        </w:rPr>
      </w:pPr>
    </w:p>
    <w:p w:rsidR="00B81A77" w:rsidRPr="003E0AD7" w:rsidP="001D2B41" w14:paraId="6EA7B0B8" w14:textId="4FF5703D">
      <w:pPr>
        <w:ind w:left="720"/>
        <w:rPr>
          <w:rFonts w:ascii="Times New Roman" w:hAnsi="Times New Roman"/>
          <w:szCs w:val="24"/>
        </w:rPr>
      </w:pPr>
      <w:r w:rsidRPr="003E0AD7">
        <w:rPr>
          <w:rFonts w:ascii="Times New Roman" w:hAnsi="Times New Roman"/>
          <w:szCs w:val="24"/>
        </w:rPr>
        <w:t xml:space="preserve">In order to reach this current </w:t>
      </w:r>
      <w:r w:rsidRPr="001D2B41" w:rsidR="00553584">
        <w:rPr>
          <w:rFonts w:ascii="Times New Roman" w:hAnsi="Times New Roman"/>
          <w:szCs w:val="24"/>
        </w:rPr>
        <w:t>67,104</w:t>
      </w:r>
      <w:r w:rsidRPr="003E0AD7">
        <w:rPr>
          <w:rFonts w:ascii="Times New Roman" w:hAnsi="Times New Roman"/>
          <w:szCs w:val="24"/>
        </w:rPr>
        <w:t xml:space="preserve"> total burden estimate, we reviewed the previous estimate when this application was last </w:t>
      </w:r>
      <w:r w:rsidR="00C277A8">
        <w:rPr>
          <w:rFonts w:ascii="Times New Roman" w:hAnsi="Times New Roman"/>
          <w:szCs w:val="24"/>
        </w:rPr>
        <w:t>cleared</w:t>
      </w:r>
      <w:r w:rsidRPr="003E0AD7" w:rsidR="00C277A8">
        <w:rPr>
          <w:rFonts w:ascii="Times New Roman" w:hAnsi="Times New Roman"/>
          <w:szCs w:val="24"/>
        </w:rPr>
        <w:t xml:space="preserve"> and</w:t>
      </w:r>
      <w:r w:rsidRPr="003E0AD7">
        <w:rPr>
          <w:rFonts w:ascii="Times New Roman" w:hAnsi="Times New Roman"/>
          <w:szCs w:val="24"/>
        </w:rPr>
        <w:t xml:space="preserve"> factored in the regulations including a formal second review process for unsuccessful applicants that fall within an established “funding band.”  We estimate that approximately </w:t>
      </w:r>
      <w:r w:rsidRPr="001D2B41" w:rsidR="005345E4">
        <w:rPr>
          <w:rFonts w:ascii="Times New Roman" w:hAnsi="Times New Roman"/>
          <w:szCs w:val="24"/>
        </w:rPr>
        <w:t>28</w:t>
      </w:r>
      <w:r w:rsidRPr="003E0AD7">
        <w:rPr>
          <w:rFonts w:ascii="Times New Roman" w:hAnsi="Times New Roman"/>
          <w:szCs w:val="24"/>
        </w:rPr>
        <w:t xml:space="preserve"> applications will score within the funding band, resulting in </w:t>
      </w:r>
      <w:r w:rsidRPr="001D2B41" w:rsidR="001B3330">
        <w:rPr>
          <w:rFonts w:ascii="Times New Roman" w:hAnsi="Times New Roman"/>
          <w:szCs w:val="24"/>
        </w:rPr>
        <w:t>56</w:t>
      </w:r>
      <w:r w:rsidRPr="003E0AD7">
        <w:rPr>
          <w:rFonts w:ascii="Times New Roman" w:hAnsi="Times New Roman"/>
          <w:szCs w:val="24"/>
        </w:rPr>
        <w:t xml:space="preserve"> additional burden hours </w:t>
      </w:r>
      <w:r w:rsidR="00E33BB7">
        <w:rPr>
          <w:rFonts w:ascii="Times New Roman" w:hAnsi="Times New Roman"/>
          <w:szCs w:val="24"/>
        </w:rPr>
        <w:t>on top of</w:t>
      </w:r>
      <w:r w:rsidRPr="003E0AD7" w:rsidR="00E33BB7">
        <w:rPr>
          <w:rFonts w:ascii="Times New Roman" w:hAnsi="Times New Roman"/>
          <w:szCs w:val="24"/>
        </w:rPr>
        <w:t xml:space="preserve"> </w:t>
      </w:r>
      <w:r w:rsidRPr="003E0AD7">
        <w:rPr>
          <w:rFonts w:ascii="Times New Roman" w:hAnsi="Times New Roman"/>
          <w:szCs w:val="24"/>
        </w:rPr>
        <w:t xml:space="preserve">the </w:t>
      </w:r>
      <w:r w:rsidR="00E33BB7">
        <w:rPr>
          <w:rFonts w:ascii="Times New Roman" w:hAnsi="Times New Roman"/>
          <w:szCs w:val="24"/>
        </w:rPr>
        <w:t>original</w:t>
      </w:r>
      <w:r w:rsidRPr="003E0AD7" w:rsidR="00E33BB7">
        <w:rPr>
          <w:rFonts w:ascii="Times New Roman" w:hAnsi="Times New Roman"/>
          <w:szCs w:val="24"/>
        </w:rPr>
        <w:t xml:space="preserve"> </w:t>
      </w:r>
      <w:r w:rsidRPr="003E0AD7">
        <w:rPr>
          <w:rFonts w:ascii="Times New Roman" w:hAnsi="Times New Roman"/>
          <w:szCs w:val="24"/>
        </w:rPr>
        <w:t>applications (</w:t>
      </w:r>
      <w:r w:rsidRPr="001D2B41" w:rsidR="005345E4">
        <w:rPr>
          <w:rFonts w:ascii="Times New Roman" w:hAnsi="Times New Roman"/>
          <w:szCs w:val="24"/>
        </w:rPr>
        <w:t>28</w:t>
      </w:r>
      <w:r w:rsidRPr="003E0AD7">
        <w:rPr>
          <w:rFonts w:ascii="Times New Roman" w:hAnsi="Times New Roman"/>
          <w:szCs w:val="24"/>
        </w:rPr>
        <w:t xml:space="preserve"> applications received x 2 hours = </w:t>
      </w:r>
      <w:r w:rsidRPr="001D2B41" w:rsidR="005345E4">
        <w:rPr>
          <w:rFonts w:ascii="Times New Roman" w:hAnsi="Times New Roman"/>
          <w:szCs w:val="24"/>
        </w:rPr>
        <w:t>56</w:t>
      </w:r>
      <w:r w:rsidRPr="003E0AD7">
        <w:rPr>
          <w:rFonts w:ascii="Times New Roman" w:hAnsi="Times New Roman"/>
          <w:szCs w:val="24"/>
        </w:rPr>
        <w:t xml:space="preserve"> hours</w:t>
      </w:r>
      <w:r w:rsidR="00E33BB7">
        <w:rPr>
          <w:rFonts w:ascii="Times New Roman" w:hAnsi="Times New Roman"/>
          <w:szCs w:val="24"/>
        </w:rPr>
        <w:t>)</w:t>
      </w:r>
      <w:r w:rsidRPr="003E0AD7">
        <w:rPr>
          <w:rFonts w:ascii="Times New Roman" w:hAnsi="Times New Roman"/>
          <w:szCs w:val="24"/>
        </w:rPr>
        <w:t xml:space="preserve">. </w:t>
      </w:r>
    </w:p>
    <w:p w:rsidR="00920F63" w:rsidP="002313E2" w14:paraId="56DDEF45" w14:textId="77777777">
      <w:pPr>
        <w:pStyle w:val="ListParagraph"/>
        <w:tabs>
          <w:tab w:val="left" w:pos="-720"/>
        </w:tabs>
        <w:suppressAutoHyphens/>
        <w:rPr>
          <w:rStyle w:val="a"/>
          <w:rFonts w:ascii="Times New Roman" w:hAnsi="Times New Roman"/>
          <w:szCs w:val="24"/>
        </w:rPr>
      </w:pPr>
    </w:p>
    <w:p w:rsidR="00ED7195" w:rsidRPr="00920F63" w:rsidP="002313E2"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170"/>
        <w:gridCol w:w="1170"/>
        <w:gridCol w:w="1260"/>
        <w:gridCol w:w="1275"/>
        <w:gridCol w:w="1155"/>
        <w:gridCol w:w="1260"/>
        <w:gridCol w:w="1350"/>
        <w:gridCol w:w="1350"/>
      </w:tblGrid>
      <w:tr w14:paraId="56DDEF5E" w14:textId="77777777" w:rsidTr="001D2B41">
        <w:tblPrEx>
          <w:tblW w:w="11335" w:type="dxa"/>
          <w:tblLayout w:type="fixed"/>
          <w:tblLook w:val="0020"/>
        </w:tblPrEx>
        <w:trPr>
          <w:tblHeader/>
        </w:trPr>
        <w:tc>
          <w:tcPr>
            <w:tcW w:w="1345" w:type="dxa"/>
            <w:vAlign w:val="center"/>
          </w:tcPr>
          <w:p w:rsidR="00C86713" w:rsidRPr="007F6104" w:rsidP="00860E11"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0" w:type="dxa"/>
            <w:vAlign w:val="center"/>
          </w:tcPr>
          <w:p w:rsidR="00C86713" w:rsidRPr="007F6104" w:rsidP="00860E11"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170" w:type="dxa"/>
            <w:vAlign w:val="center"/>
          </w:tcPr>
          <w:p w:rsidR="00C86713" w:rsidRPr="007F6104" w:rsidP="00860E11"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60" w:type="dxa"/>
            <w:vAlign w:val="center"/>
          </w:tcPr>
          <w:p w:rsidR="00C86713" w:rsidRPr="007F6104" w:rsidP="00860E11"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75" w:type="dxa"/>
            <w:vAlign w:val="center"/>
          </w:tcPr>
          <w:p w:rsidR="00C86713" w:rsidRPr="007F6104" w:rsidP="00860E11"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155" w:type="dxa"/>
            <w:vAlign w:val="center"/>
          </w:tcPr>
          <w:p w:rsidR="00C86713" w:rsidRPr="007F6104" w:rsidP="00860E11"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vAlign w:val="center"/>
          </w:tcPr>
          <w:p w:rsidR="00C86713" w:rsidRPr="007F6104" w:rsidP="00860E11"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350" w:type="dxa"/>
            <w:vAlign w:val="center"/>
          </w:tcPr>
          <w:p w:rsidR="00C86713" w:rsidRPr="007F6104" w:rsidP="00860E11"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RPr="007F6104" w:rsidP="00860E11"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DDEF68" w14:textId="77777777" w:rsidTr="001D2B41">
        <w:tblPrEx>
          <w:tblW w:w="11335" w:type="dxa"/>
          <w:tblLayout w:type="fixed"/>
          <w:tblLook w:val="0020"/>
        </w:tblPrEx>
        <w:tc>
          <w:tcPr>
            <w:tcW w:w="1345" w:type="dxa"/>
          </w:tcPr>
          <w:p w:rsidR="00B626D2" w:rsidRPr="001D2B41" w:rsidP="00B626D2" w14:paraId="56DDEF5F" w14:textId="0380D296">
            <w:pPr>
              <w:rPr>
                <w:rFonts w:ascii="Times New Roman" w:hAnsi="Times New Roman"/>
                <w:sz w:val="22"/>
                <w:szCs w:val="22"/>
              </w:rPr>
            </w:pPr>
            <w:r w:rsidRPr="001D2B41">
              <w:rPr>
                <w:rFonts w:ascii="Times New Roman" w:hAnsi="Times New Roman"/>
                <w:sz w:val="22"/>
                <w:szCs w:val="22"/>
              </w:rPr>
              <w:t>Application (public)</w:t>
            </w:r>
          </w:p>
        </w:tc>
        <w:tc>
          <w:tcPr>
            <w:tcW w:w="1170" w:type="dxa"/>
          </w:tcPr>
          <w:p w:rsidR="00B626D2" w:rsidRPr="001D2B41" w:rsidP="00B626D2" w14:paraId="56DDEF60" w14:textId="5CCAEECC">
            <w:pPr>
              <w:rPr>
                <w:rFonts w:ascii="Times New Roman" w:hAnsi="Times New Roman"/>
                <w:sz w:val="22"/>
                <w:szCs w:val="22"/>
              </w:rPr>
            </w:pPr>
            <w:r>
              <w:rPr>
                <w:rFonts w:ascii="Times New Roman" w:hAnsi="Times New Roman"/>
                <w:sz w:val="22"/>
                <w:szCs w:val="22"/>
              </w:rPr>
              <w:t>N/A</w:t>
            </w:r>
          </w:p>
        </w:tc>
        <w:tc>
          <w:tcPr>
            <w:tcW w:w="1170" w:type="dxa"/>
          </w:tcPr>
          <w:p w:rsidR="00B626D2" w:rsidRPr="001D2B41" w:rsidP="00B626D2" w14:paraId="56DDEF61" w14:textId="24DF5F84">
            <w:pPr>
              <w:rPr>
                <w:rFonts w:ascii="Times New Roman" w:hAnsi="Times New Roman"/>
                <w:sz w:val="22"/>
                <w:szCs w:val="22"/>
              </w:rPr>
            </w:pPr>
            <w:r>
              <w:rPr>
                <w:rFonts w:ascii="Times New Roman" w:hAnsi="Times New Roman"/>
                <w:sz w:val="22"/>
                <w:szCs w:val="22"/>
              </w:rPr>
              <w:t>N/A</w:t>
            </w:r>
          </w:p>
        </w:tc>
        <w:tc>
          <w:tcPr>
            <w:tcW w:w="1260" w:type="dxa"/>
          </w:tcPr>
          <w:p w:rsidR="00B626D2" w:rsidRPr="001D2B41" w:rsidP="00B626D2" w14:paraId="56DDEF62" w14:textId="608EA8AE">
            <w:pPr>
              <w:rPr>
                <w:rFonts w:ascii="Times New Roman" w:hAnsi="Times New Roman"/>
                <w:sz w:val="22"/>
                <w:szCs w:val="22"/>
              </w:rPr>
            </w:pPr>
            <w:r>
              <w:rPr>
                <w:rFonts w:ascii="Times New Roman" w:hAnsi="Times New Roman"/>
                <w:sz w:val="22"/>
                <w:szCs w:val="22"/>
              </w:rPr>
              <w:t>1,779</w:t>
            </w:r>
          </w:p>
        </w:tc>
        <w:tc>
          <w:tcPr>
            <w:tcW w:w="1275" w:type="dxa"/>
          </w:tcPr>
          <w:p w:rsidR="00B626D2" w:rsidRPr="001D2B41" w:rsidP="00B626D2" w14:paraId="56DDEF63" w14:textId="453874DA">
            <w:pPr>
              <w:rPr>
                <w:rFonts w:ascii="Times New Roman" w:hAnsi="Times New Roman"/>
                <w:sz w:val="22"/>
                <w:szCs w:val="22"/>
              </w:rPr>
            </w:pPr>
            <w:r>
              <w:rPr>
                <w:rFonts w:ascii="Times New Roman" w:hAnsi="Times New Roman"/>
                <w:sz w:val="22"/>
                <w:szCs w:val="22"/>
              </w:rPr>
              <w:t>1,779</w:t>
            </w:r>
          </w:p>
        </w:tc>
        <w:tc>
          <w:tcPr>
            <w:tcW w:w="1155" w:type="dxa"/>
          </w:tcPr>
          <w:p w:rsidR="00B626D2" w:rsidRPr="001D2B41" w:rsidP="00B626D2" w14:paraId="56DDEF64" w14:textId="7F97BD76">
            <w:pPr>
              <w:rPr>
                <w:rFonts w:ascii="Times New Roman" w:hAnsi="Times New Roman"/>
                <w:sz w:val="22"/>
                <w:szCs w:val="22"/>
              </w:rPr>
            </w:pPr>
            <w:r>
              <w:rPr>
                <w:rFonts w:ascii="Times New Roman" w:hAnsi="Times New Roman"/>
                <w:sz w:val="22"/>
                <w:szCs w:val="22"/>
              </w:rPr>
              <w:t>34</w:t>
            </w:r>
          </w:p>
        </w:tc>
        <w:tc>
          <w:tcPr>
            <w:tcW w:w="1260" w:type="dxa"/>
          </w:tcPr>
          <w:p w:rsidR="00B626D2" w:rsidRPr="001D2B41" w:rsidP="00B626D2" w14:paraId="56DDEF65" w14:textId="282AE929">
            <w:pPr>
              <w:rPr>
                <w:rFonts w:ascii="Times New Roman" w:hAnsi="Times New Roman"/>
                <w:sz w:val="22"/>
                <w:szCs w:val="22"/>
              </w:rPr>
            </w:pPr>
            <w:r>
              <w:rPr>
                <w:rFonts w:ascii="Times New Roman" w:hAnsi="Times New Roman"/>
                <w:sz w:val="22"/>
                <w:szCs w:val="22"/>
              </w:rPr>
              <w:t>60,486</w:t>
            </w:r>
          </w:p>
        </w:tc>
        <w:tc>
          <w:tcPr>
            <w:tcW w:w="1350" w:type="dxa"/>
            <w:vMerge w:val="restart"/>
            <w:vAlign w:val="center"/>
          </w:tcPr>
          <w:p w:rsidR="00B626D2" w:rsidRPr="001D2B41" w:rsidP="001D2B41" w14:paraId="56DDEF66" w14:textId="6E5EEF88">
            <w:pPr>
              <w:jc w:val="center"/>
              <w:rPr>
                <w:rFonts w:ascii="Times New Roman" w:hAnsi="Times New Roman"/>
                <w:sz w:val="22"/>
                <w:szCs w:val="22"/>
              </w:rPr>
            </w:pPr>
            <w:r w:rsidRPr="002B4D03">
              <w:rPr>
                <w:rFonts w:ascii="Times New Roman" w:hAnsi="Times New Roman"/>
                <w:sz w:val="22"/>
                <w:szCs w:val="22"/>
              </w:rPr>
              <w:t>$35</w:t>
            </w:r>
            <w:r>
              <w:rPr>
                <w:rFonts w:ascii="Times New Roman" w:hAnsi="Times New Roman"/>
                <w:sz w:val="22"/>
                <w:szCs w:val="22"/>
              </w:rPr>
              <w:t>/hour</w:t>
            </w:r>
          </w:p>
        </w:tc>
        <w:tc>
          <w:tcPr>
            <w:tcW w:w="1350" w:type="dxa"/>
          </w:tcPr>
          <w:p w:rsidR="00B626D2" w:rsidRPr="001D2B41" w:rsidP="00B626D2" w14:paraId="56DDEF67" w14:textId="5A02B202">
            <w:pPr>
              <w:rPr>
                <w:rFonts w:ascii="Times New Roman" w:hAnsi="Times New Roman"/>
                <w:sz w:val="22"/>
                <w:szCs w:val="22"/>
              </w:rPr>
            </w:pPr>
            <w:r>
              <w:rPr>
                <w:rFonts w:ascii="Times New Roman" w:hAnsi="Times New Roman"/>
                <w:sz w:val="22"/>
                <w:szCs w:val="22"/>
              </w:rPr>
              <w:t>$2,117,010</w:t>
            </w:r>
          </w:p>
        </w:tc>
      </w:tr>
      <w:tr w14:paraId="56DDEF72" w14:textId="77777777" w:rsidTr="001D2B41">
        <w:tblPrEx>
          <w:tblW w:w="11335" w:type="dxa"/>
          <w:tblLayout w:type="fixed"/>
          <w:tblLook w:val="0020"/>
        </w:tblPrEx>
        <w:tc>
          <w:tcPr>
            <w:tcW w:w="1345" w:type="dxa"/>
          </w:tcPr>
          <w:p w:rsidR="00B626D2" w:rsidRPr="001D2B41" w:rsidP="00B626D2" w14:paraId="56DDEF69" w14:textId="001B80A0">
            <w:pPr>
              <w:rPr>
                <w:rFonts w:ascii="Times New Roman" w:hAnsi="Times New Roman"/>
                <w:sz w:val="22"/>
                <w:szCs w:val="22"/>
              </w:rPr>
            </w:pPr>
            <w:r w:rsidRPr="001D2B41">
              <w:rPr>
                <w:rFonts w:ascii="Times New Roman" w:hAnsi="Times New Roman"/>
                <w:sz w:val="22"/>
                <w:szCs w:val="22"/>
              </w:rPr>
              <w:t>Application (private)</w:t>
            </w:r>
          </w:p>
        </w:tc>
        <w:tc>
          <w:tcPr>
            <w:tcW w:w="1170" w:type="dxa"/>
          </w:tcPr>
          <w:p w:rsidR="00B626D2" w:rsidRPr="001D2B41" w:rsidP="00B626D2" w14:paraId="56DDEF6A" w14:textId="2749042A">
            <w:pPr>
              <w:rPr>
                <w:rFonts w:ascii="Times New Roman" w:hAnsi="Times New Roman"/>
                <w:sz w:val="22"/>
                <w:szCs w:val="22"/>
              </w:rPr>
            </w:pPr>
            <w:r>
              <w:rPr>
                <w:rFonts w:ascii="Times New Roman" w:hAnsi="Times New Roman"/>
                <w:sz w:val="22"/>
                <w:szCs w:val="22"/>
              </w:rPr>
              <w:t>N/A</w:t>
            </w:r>
          </w:p>
        </w:tc>
        <w:tc>
          <w:tcPr>
            <w:tcW w:w="1170" w:type="dxa"/>
          </w:tcPr>
          <w:p w:rsidR="00B626D2" w:rsidRPr="001D2B41" w:rsidP="00B626D2" w14:paraId="56DDEF6B" w14:textId="28600AA5">
            <w:pPr>
              <w:rPr>
                <w:rFonts w:ascii="Times New Roman" w:hAnsi="Times New Roman"/>
                <w:sz w:val="22"/>
                <w:szCs w:val="22"/>
              </w:rPr>
            </w:pPr>
            <w:r>
              <w:rPr>
                <w:rFonts w:ascii="Times New Roman" w:hAnsi="Times New Roman"/>
                <w:sz w:val="22"/>
                <w:szCs w:val="22"/>
              </w:rPr>
              <w:t>N/A</w:t>
            </w:r>
          </w:p>
        </w:tc>
        <w:tc>
          <w:tcPr>
            <w:tcW w:w="1260" w:type="dxa"/>
          </w:tcPr>
          <w:p w:rsidR="00B626D2" w:rsidRPr="001D2B41" w:rsidP="00B626D2" w14:paraId="56DDEF6C" w14:textId="21422517">
            <w:pPr>
              <w:rPr>
                <w:rFonts w:ascii="Times New Roman" w:hAnsi="Times New Roman"/>
                <w:sz w:val="22"/>
                <w:szCs w:val="22"/>
              </w:rPr>
            </w:pPr>
            <w:r>
              <w:rPr>
                <w:rFonts w:ascii="Times New Roman" w:hAnsi="Times New Roman"/>
                <w:sz w:val="22"/>
                <w:szCs w:val="22"/>
              </w:rPr>
              <w:t>193</w:t>
            </w:r>
          </w:p>
        </w:tc>
        <w:tc>
          <w:tcPr>
            <w:tcW w:w="1275" w:type="dxa"/>
          </w:tcPr>
          <w:p w:rsidR="00B626D2" w:rsidRPr="001D2B41" w:rsidP="00B626D2" w14:paraId="56DDEF6D" w14:textId="21E7A12B">
            <w:pPr>
              <w:rPr>
                <w:rFonts w:ascii="Times New Roman" w:hAnsi="Times New Roman"/>
                <w:sz w:val="22"/>
                <w:szCs w:val="22"/>
              </w:rPr>
            </w:pPr>
            <w:r>
              <w:rPr>
                <w:rFonts w:ascii="Times New Roman" w:hAnsi="Times New Roman"/>
                <w:sz w:val="22"/>
                <w:szCs w:val="22"/>
              </w:rPr>
              <w:t>193</w:t>
            </w:r>
          </w:p>
        </w:tc>
        <w:tc>
          <w:tcPr>
            <w:tcW w:w="1155" w:type="dxa"/>
          </w:tcPr>
          <w:p w:rsidR="00B626D2" w:rsidRPr="001D2B41" w:rsidP="00B626D2" w14:paraId="56DDEF6E" w14:textId="2D3B1622">
            <w:pPr>
              <w:rPr>
                <w:rFonts w:ascii="Times New Roman" w:hAnsi="Times New Roman"/>
                <w:sz w:val="22"/>
                <w:szCs w:val="22"/>
              </w:rPr>
            </w:pPr>
            <w:r>
              <w:rPr>
                <w:rFonts w:ascii="Times New Roman" w:hAnsi="Times New Roman"/>
                <w:sz w:val="22"/>
                <w:szCs w:val="22"/>
              </w:rPr>
              <w:t>34</w:t>
            </w:r>
          </w:p>
        </w:tc>
        <w:tc>
          <w:tcPr>
            <w:tcW w:w="1260" w:type="dxa"/>
          </w:tcPr>
          <w:p w:rsidR="00B626D2" w:rsidRPr="001D2B41" w:rsidP="00B626D2" w14:paraId="56DDEF6F" w14:textId="4A46A09F">
            <w:pPr>
              <w:pStyle w:val="EndnoteText"/>
              <w:tabs>
                <w:tab w:val="clear" w:pos="-720"/>
              </w:tabs>
              <w:suppressAutoHyphens w:val="0"/>
              <w:rPr>
                <w:rFonts w:ascii="Times New Roman" w:hAnsi="Times New Roman"/>
                <w:sz w:val="22"/>
                <w:szCs w:val="22"/>
              </w:rPr>
            </w:pPr>
            <w:r>
              <w:rPr>
                <w:rFonts w:ascii="Times New Roman" w:hAnsi="Times New Roman"/>
                <w:sz w:val="22"/>
                <w:szCs w:val="22"/>
              </w:rPr>
              <w:t>6,562</w:t>
            </w:r>
          </w:p>
        </w:tc>
        <w:tc>
          <w:tcPr>
            <w:tcW w:w="1350" w:type="dxa"/>
            <w:vMerge/>
          </w:tcPr>
          <w:p w:rsidR="00B626D2" w:rsidRPr="001D2B41" w:rsidP="00B626D2" w14:paraId="56DDEF70" w14:textId="77777777">
            <w:pPr>
              <w:rPr>
                <w:rFonts w:ascii="Times New Roman" w:hAnsi="Times New Roman"/>
                <w:sz w:val="22"/>
                <w:szCs w:val="22"/>
              </w:rPr>
            </w:pPr>
          </w:p>
        </w:tc>
        <w:tc>
          <w:tcPr>
            <w:tcW w:w="1350" w:type="dxa"/>
          </w:tcPr>
          <w:p w:rsidR="00B626D2" w:rsidRPr="001D2B41" w:rsidP="00B626D2" w14:paraId="56DDEF71" w14:textId="59223736">
            <w:pPr>
              <w:rPr>
                <w:rFonts w:ascii="Times New Roman" w:hAnsi="Times New Roman"/>
                <w:sz w:val="22"/>
                <w:szCs w:val="22"/>
              </w:rPr>
            </w:pPr>
            <w:r>
              <w:rPr>
                <w:rFonts w:ascii="Times New Roman" w:hAnsi="Times New Roman"/>
                <w:sz w:val="22"/>
                <w:szCs w:val="22"/>
              </w:rPr>
              <w:t>$229,670</w:t>
            </w:r>
          </w:p>
        </w:tc>
      </w:tr>
      <w:tr w14:paraId="2CEF80A7" w14:textId="77777777" w:rsidTr="001D2B41">
        <w:tblPrEx>
          <w:tblW w:w="11335" w:type="dxa"/>
          <w:tblLayout w:type="fixed"/>
          <w:tblLook w:val="0020"/>
        </w:tblPrEx>
        <w:tc>
          <w:tcPr>
            <w:tcW w:w="1345" w:type="dxa"/>
          </w:tcPr>
          <w:p w:rsidR="00B626D2" w:rsidRPr="001D2B41" w:rsidP="00B626D2" w14:paraId="7E9066A4" w14:textId="3A2237D4">
            <w:pPr>
              <w:rPr>
                <w:rFonts w:ascii="Times New Roman" w:hAnsi="Times New Roman"/>
                <w:sz w:val="22"/>
                <w:szCs w:val="22"/>
              </w:rPr>
            </w:pPr>
            <w:r w:rsidRPr="001D2B41">
              <w:rPr>
                <w:rFonts w:ascii="Times New Roman" w:hAnsi="Times New Roman"/>
                <w:sz w:val="22"/>
                <w:szCs w:val="22"/>
              </w:rPr>
              <w:t>Second review (public)</w:t>
            </w:r>
          </w:p>
        </w:tc>
        <w:tc>
          <w:tcPr>
            <w:tcW w:w="1170" w:type="dxa"/>
          </w:tcPr>
          <w:p w:rsidR="00B626D2" w:rsidRPr="001D2B41" w:rsidP="00B626D2" w14:paraId="04BE8FCD" w14:textId="37319055">
            <w:pPr>
              <w:rPr>
                <w:rFonts w:ascii="Times New Roman" w:hAnsi="Times New Roman"/>
                <w:sz w:val="22"/>
                <w:szCs w:val="22"/>
              </w:rPr>
            </w:pPr>
            <w:r>
              <w:rPr>
                <w:rFonts w:ascii="Times New Roman" w:hAnsi="Times New Roman"/>
                <w:sz w:val="22"/>
                <w:szCs w:val="22"/>
              </w:rPr>
              <w:t>N/A</w:t>
            </w:r>
          </w:p>
        </w:tc>
        <w:tc>
          <w:tcPr>
            <w:tcW w:w="1170" w:type="dxa"/>
          </w:tcPr>
          <w:p w:rsidR="00B626D2" w:rsidRPr="001D2B41" w:rsidP="00B626D2" w14:paraId="1D9F6672" w14:textId="07851E8E">
            <w:pPr>
              <w:rPr>
                <w:rFonts w:ascii="Times New Roman" w:hAnsi="Times New Roman"/>
                <w:sz w:val="22"/>
                <w:szCs w:val="22"/>
              </w:rPr>
            </w:pPr>
            <w:r>
              <w:rPr>
                <w:rFonts w:ascii="Times New Roman" w:hAnsi="Times New Roman"/>
                <w:sz w:val="22"/>
                <w:szCs w:val="22"/>
              </w:rPr>
              <w:t>N/A</w:t>
            </w:r>
          </w:p>
        </w:tc>
        <w:tc>
          <w:tcPr>
            <w:tcW w:w="1260" w:type="dxa"/>
          </w:tcPr>
          <w:p w:rsidR="00B626D2" w:rsidRPr="001D2B41" w:rsidP="00B626D2" w14:paraId="0729D505" w14:textId="5109C3C9">
            <w:pPr>
              <w:rPr>
                <w:rFonts w:ascii="Times New Roman" w:hAnsi="Times New Roman"/>
                <w:sz w:val="22"/>
                <w:szCs w:val="22"/>
              </w:rPr>
            </w:pPr>
            <w:r>
              <w:rPr>
                <w:rFonts w:ascii="Times New Roman" w:hAnsi="Times New Roman"/>
                <w:sz w:val="22"/>
                <w:szCs w:val="22"/>
              </w:rPr>
              <w:t>21</w:t>
            </w:r>
          </w:p>
        </w:tc>
        <w:tc>
          <w:tcPr>
            <w:tcW w:w="1275" w:type="dxa"/>
          </w:tcPr>
          <w:p w:rsidR="00B626D2" w:rsidRPr="001D2B41" w:rsidP="00B626D2" w14:paraId="6ADDDDBB" w14:textId="4E1EBD85">
            <w:pPr>
              <w:rPr>
                <w:rFonts w:ascii="Times New Roman" w:hAnsi="Times New Roman"/>
                <w:sz w:val="22"/>
                <w:szCs w:val="22"/>
              </w:rPr>
            </w:pPr>
            <w:r>
              <w:rPr>
                <w:rFonts w:ascii="Times New Roman" w:hAnsi="Times New Roman"/>
                <w:sz w:val="22"/>
                <w:szCs w:val="22"/>
              </w:rPr>
              <w:t>21</w:t>
            </w:r>
          </w:p>
        </w:tc>
        <w:tc>
          <w:tcPr>
            <w:tcW w:w="1155" w:type="dxa"/>
          </w:tcPr>
          <w:p w:rsidR="00B626D2" w:rsidRPr="001D2B41" w:rsidP="00B626D2" w14:paraId="5C90429F" w14:textId="75BCAD0F">
            <w:pPr>
              <w:rPr>
                <w:rFonts w:ascii="Times New Roman" w:hAnsi="Times New Roman"/>
                <w:sz w:val="22"/>
                <w:szCs w:val="22"/>
              </w:rPr>
            </w:pPr>
            <w:r>
              <w:rPr>
                <w:rFonts w:ascii="Times New Roman" w:hAnsi="Times New Roman"/>
                <w:sz w:val="22"/>
                <w:szCs w:val="22"/>
              </w:rPr>
              <w:t>2</w:t>
            </w:r>
          </w:p>
        </w:tc>
        <w:tc>
          <w:tcPr>
            <w:tcW w:w="1260" w:type="dxa"/>
          </w:tcPr>
          <w:p w:rsidR="00B626D2" w:rsidRPr="001D2B41" w:rsidP="00B626D2" w14:paraId="2558B8FC" w14:textId="195716BC">
            <w:pPr>
              <w:pStyle w:val="EndnoteText"/>
              <w:tabs>
                <w:tab w:val="clear" w:pos="-720"/>
              </w:tabs>
              <w:suppressAutoHyphens w:val="0"/>
              <w:rPr>
                <w:rFonts w:ascii="Times New Roman" w:hAnsi="Times New Roman"/>
                <w:sz w:val="22"/>
                <w:szCs w:val="22"/>
              </w:rPr>
            </w:pPr>
            <w:r>
              <w:rPr>
                <w:rFonts w:ascii="Times New Roman" w:hAnsi="Times New Roman"/>
                <w:sz w:val="22"/>
                <w:szCs w:val="22"/>
              </w:rPr>
              <w:t>42</w:t>
            </w:r>
          </w:p>
        </w:tc>
        <w:tc>
          <w:tcPr>
            <w:tcW w:w="1350" w:type="dxa"/>
            <w:vMerge/>
          </w:tcPr>
          <w:p w:rsidR="00B626D2" w:rsidRPr="001D2B41" w:rsidP="00B626D2" w14:paraId="57BD729D" w14:textId="77777777">
            <w:pPr>
              <w:rPr>
                <w:rFonts w:ascii="Times New Roman" w:hAnsi="Times New Roman"/>
                <w:sz w:val="22"/>
                <w:szCs w:val="22"/>
              </w:rPr>
            </w:pPr>
          </w:p>
        </w:tc>
        <w:tc>
          <w:tcPr>
            <w:tcW w:w="1350" w:type="dxa"/>
          </w:tcPr>
          <w:p w:rsidR="00B626D2" w:rsidRPr="001D2B41" w:rsidP="00B626D2" w14:paraId="19E2CD6D" w14:textId="421899F8">
            <w:pPr>
              <w:rPr>
                <w:rFonts w:ascii="Times New Roman" w:hAnsi="Times New Roman"/>
                <w:sz w:val="22"/>
                <w:szCs w:val="22"/>
              </w:rPr>
            </w:pPr>
            <w:r>
              <w:rPr>
                <w:rFonts w:ascii="Times New Roman" w:hAnsi="Times New Roman"/>
                <w:sz w:val="22"/>
                <w:szCs w:val="22"/>
              </w:rPr>
              <w:t>$1,470</w:t>
            </w:r>
          </w:p>
        </w:tc>
      </w:tr>
      <w:tr w14:paraId="18843281" w14:textId="77777777" w:rsidTr="001D2B41">
        <w:tblPrEx>
          <w:tblW w:w="11335" w:type="dxa"/>
          <w:tblLayout w:type="fixed"/>
          <w:tblLook w:val="0020"/>
        </w:tblPrEx>
        <w:tc>
          <w:tcPr>
            <w:tcW w:w="1345" w:type="dxa"/>
          </w:tcPr>
          <w:p w:rsidR="00B626D2" w:rsidRPr="001D2B41" w:rsidP="00B626D2" w14:paraId="050A07E8" w14:textId="4DC49CF7">
            <w:pPr>
              <w:rPr>
                <w:rFonts w:ascii="Times New Roman" w:hAnsi="Times New Roman"/>
                <w:sz w:val="22"/>
                <w:szCs w:val="22"/>
              </w:rPr>
            </w:pPr>
            <w:r w:rsidRPr="001D2B41">
              <w:rPr>
                <w:rFonts w:ascii="Times New Roman" w:hAnsi="Times New Roman"/>
                <w:sz w:val="22"/>
                <w:szCs w:val="22"/>
              </w:rPr>
              <w:t>Second review (private)</w:t>
            </w:r>
          </w:p>
        </w:tc>
        <w:tc>
          <w:tcPr>
            <w:tcW w:w="1170" w:type="dxa"/>
          </w:tcPr>
          <w:p w:rsidR="00B626D2" w:rsidRPr="001D2B41" w:rsidP="00B626D2" w14:paraId="6CDDF0FF" w14:textId="037AD4E4">
            <w:pPr>
              <w:rPr>
                <w:rFonts w:ascii="Times New Roman" w:hAnsi="Times New Roman"/>
                <w:sz w:val="22"/>
                <w:szCs w:val="22"/>
              </w:rPr>
            </w:pPr>
            <w:r>
              <w:rPr>
                <w:rFonts w:ascii="Times New Roman" w:hAnsi="Times New Roman"/>
                <w:sz w:val="22"/>
                <w:szCs w:val="22"/>
              </w:rPr>
              <w:t>N/A</w:t>
            </w:r>
          </w:p>
        </w:tc>
        <w:tc>
          <w:tcPr>
            <w:tcW w:w="1170" w:type="dxa"/>
          </w:tcPr>
          <w:p w:rsidR="00B626D2" w:rsidRPr="001D2B41" w:rsidP="00B626D2" w14:paraId="19735CCD" w14:textId="18F1F36C">
            <w:pPr>
              <w:rPr>
                <w:rFonts w:ascii="Times New Roman" w:hAnsi="Times New Roman"/>
                <w:sz w:val="22"/>
                <w:szCs w:val="22"/>
              </w:rPr>
            </w:pPr>
            <w:r>
              <w:rPr>
                <w:rFonts w:ascii="Times New Roman" w:hAnsi="Times New Roman"/>
                <w:sz w:val="22"/>
                <w:szCs w:val="22"/>
              </w:rPr>
              <w:t>N/A</w:t>
            </w:r>
          </w:p>
        </w:tc>
        <w:tc>
          <w:tcPr>
            <w:tcW w:w="1260" w:type="dxa"/>
          </w:tcPr>
          <w:p w:rsidR="00B626D2" w:rsidRPr="001D2B41" w:rsidP="00B626D2" w14:paraId="79BBE92E" w14:textId="000CFE4B">
            <w:pPr>
              <w:rPr>
                <w:rFonts w:ascii="Times New Roman" w:hAnsi="Times New Roman"/>
                <w:sz w:val="22"/>
                <w:szCs w:val="22"/>
              </w:rPr>
            </w:pPr>
            <w:r>
              <w:rPr>
                <w:rFonts w:ascii="Times New Roman" w:hAnsi="Times New Roman"/>
                <w:sz w:val="22"/>
                <w:szCs w:val="22"/>
              </w:rPr>
              <w:t>7</w:t>
            </w:r>
          </w:p>
        </w:tc>
        <w:tc>
          <w:tcPr>
            <w:tcW w:w="1275" w:type="dxa"/>
          </w:tcPr>
          <w:p w:rsidR="00B626D2" w:rsidRPr="001D2B41" w:rsidP="00B626D2" w14:paraId="38ED7934" w14:textId="0C597B6D">
            <w:pPr>
              <w:rPr>
                <w:rFonts w:ascii="Times New Roman" w:hAnsi="Times New Roman"/>
                <w:sz w:val="22"/>
                <w:szCs w:val="22"/>
              </w:rPr>
            </w:pPr>
            <w:r>
              <w:rPr>
                <w:rFonts w:ascii="Times New Roman" w:hAnsi="Times New Roman"/>
                <w:sz w:val="22"/>
                <w:szCs w:val="22"/>
              </w:rPr>
              <w:t>7</w:t>
            </w:r>
          </w:p>
        </w:tc>
        <w:tc>
          <w:tcPr>
            <w:tcW w:w="1155" w:type="dxa"/>
          </w:tcPr>
          <w:p w:rsidR="00B626D2" w:rsidRPr="001D2B41" w:rsidP="00B626D2" w14:paraId="094FA486" w14:textId="591B6174">
            <w:pPr>
              <w:rPr>
                <w:rFonts w:ascii="Times New Roman" w:hAnsi="Times New Roman"/>
                <w:sz w:val="22"/>
                <w:szCs w:val="22"/>
              </w:rPr>
            </w:pPr>
            <w:r>
              <w:rPr>
                <w:rFonts w:ascii="Times New Roman" w:hAnsi="Times New Roman"/>
                <w:sz w:val="22"/>
                <w:szCs w:val="22"/>
              </w:rPr>
              <w:t>2</w:t>
            </w:r>
          </w:p>
        </w:tc>
        <w:tc>
          <w:tcPr>
            <w:tcW w:w="1260" w:type="dxa"/>
          </w:tcPr>
          <w:p w:rsidR="00B626D2" w:rsidRPr="001D2B41" w:rsidP="00B626D2" w14:paraId="4F6759FB" w14:textId="5ADFD541">
            <w:pPr>
              <w:pStyle w:val="EndnoteText"/>
              <w:tabs>
                <w:tab w:val="clear" w:pos="-720"/>
              </w:tabs>
              <w:suppressAutoHyphens w:val="0"/>
              <w:rPr>
                <w:rFonts w:ascii="Times New Roman" w:hAnsi="Times New Roman"/>
                <w:sz w:val="22"/>
                <w:szCs w:val="22"/>
              </w:rPr>
            </w:pPr>
            <w:r>
              <w:rPr>
                <w:rFonts w:ascii="Times New Roman" w:hAnsi="Times New Roman"/>
                <w:sz w:val="22"/>
                <w:szCs w:val="22"/>
              </w:rPr>
              <w:t>14</w:t>
            </w:r>
          </w:p>
        </w:tc>
        <w:tc>
          <w:tcPr>
            <w:tcW w:w="1350" w:type="dxa"/>
            <w:vMerge/>
          </w:tcPr>
          <w:p w:rsidR="00B626D2" w:rsidRPr="001D2B41" w:rsidP="00B626D2" w14:paraId="4AF3DFF4" w14:textId="77777777">
            <w:pPr>
              <w:rPr>
                <w:rFonts w:ascii="Times New Roman" w:hAnsi="Times New Roman"/>
                <w:sz w:val="22"/>
                <w:szCs w:val="22"/>
              </w:rPr>
            </w:pPr>
          </w:p>
        </w:tc>
        <w:tc>
          <w:tcPr>
            <w:tcW w:w="1350" w:type="dxa"/>
          </w:tcPr>
          <w:p w:rsidR="00B626D2" w:rsidRPr="001D2B41" w:rsidP="00B626D2" w14:paraId="08E37174" w14:textId="7C8461C6">
            <w:pPr>
              <w:rPr>
                <w:rFonts w:ascii="Times New Roman" w:hAnsi="Times New Roman"/>
                <w:sz w:val="22"/>
                <w:szCs w:val="22"/>
              </w:rPr>
            </w:pPr>
            <w:r>
              <w:rPr>
                <w:rFonts w:ascii="Times New Roman" w:hAnsi="Times New Roman"/>
                <w:sz w:val="22"/>
                <w:szCs w:val="22"/>
              </w:rPr>
              <w:t>$490</w:t>
            </w:r>
          </w:p>
        </w:tc>
      </w:tr>
      <w:tr w14:paraId="56DDEF90" w14:textId="77777777" w:rsidTr="001D2B41">
        <w:tblPrEx>
          <w:tblW w:w="11335" w:type="dxa"/>
          <w:tblLayout w:type="fixed"/>
          <w:tblLook w:val="0020"/>
        </w:tblPrEx>
        <w:tc>
          <w:tcPr>
            <w:tcW w:w="1345" w:type="dxa"/>
          </w:tcPr>
          <w:p w:rsidR="00B626D2" w:rsidRPr="001D2B41" w:rsidP="00B626D2" w14:paraId="56DDEF87" w14:textId="77777777">
            <w:pPr>
              <w:rPr>
                <w:rFonts w:ascii="Times New Roman" w:hAnsi="Times New Roman"/>
                <w:sz w:val="22"/>
                <w:szCs w:val="22"/>
              </w:rPr>
            </w:pPr>
            <w:r w:rsidRPr="001D2B41">
              <w:rPr>
                <w:rFonts w:ascii="Times New Roman" w:hAnsi="Times New Roman"/>
                <w:sz w:val="22"/>
                <w:szCs w:val="22"/>
              </w:rPr>
              <w:t>Annualized Totals</w:t>
            </w:r>
          </w:p>
        </w:tc>
        <w:tc>
          <w:tcPr>
            <w:tcW w:w="1170" w:type="dxa"/>
          </w:tcPr>
          <w:p w:rsidR="00B626D2" w:rsidRPr="001D2B41" w:rsidP="00B626D2" w14:paraId="56DDEF88" w14:textId="1C77BDB3">
            <w:pPr>
              <w:rPr>
                <w:rFonts w:ascii="Times New Roman" w:hAnsi="Times New Roman"/>
                <w:sz w:val="22"/>
                <w:szCs w:val="22"/>
              </w:rPr>
            </w:pPr>
            <w:r w:rsidRPr="001D2B41">
              <w:rPr>
                <w:rFonts w:ascii="Times New Roman" w:hAnsi="Times New Roman"/>
                <w:sz w:val="22"/>
                <w:szCs w:val="22"/>
              </w:rPr>
              <w:t>x</w:t>
            </w:r>
          </w:p>
        </w:tc>
        <w:tc>
          <w:tcPr>
            <w:tcW w:w="1170" w:type="dxa"/>
          </w:tcPr>
          <w:p w:rsidR="00B626D2" w:rsidRPr="001D2B41" w:rsidP="00B626D2" w14:paraId="56DDEF89" w14:textId="38B53FD7">
            <w:pPr>
              <w:rPr>
                <w:rFonts w:ascii="Times New Roman" w:hAnsi="Times New Roman"/>
                <w:sz w:val="22"/>
                <w:szCs w:val="22"/>
              </w:rPr>
            </w:pPr>
            <w:r w:rsidRPr="001D2B41">
              <w:rPr>
                <w:rFonts w:ascii="Times New Roman" w:hAnsi="Times New Roman"/>
                <w:sz w:val="22"/>
                <w:szCs w:val="22"/>
              </w:rPr>
              <w:t>x</w:t>
            </w:r>
          </w:p>
        </w:tc>
        <w:tc>
          <w:tcPr>
            <w:tcW w:w="1260" w:type="dxa"/>
          </w:tcPr>
          <w:p w:rsidR="00B626D2" w:rsidRPr="001D2B41" w:rsidP="00B626D2" w14:paraId="56DDEF8A" w14:textId="1AC666DC">
            <w:pPr>
              <w:rPr>
                <w:rFonts w:ascii="Times New Roman" w:hAnsi="Times New Roman"/>
                <w:sz w:val="22"/>
                <w:szCs w:val="22"/>
              </w:rPr>
            </w:pPr>
            <w:r w:rsidRPr="001D2B41">
              <w:rPr>
                <w:rFonts w:ascii="Times New Roman" w:hAnsi="Times New Roman"/>
                <w:sz w:val="22"/>
                <w:szCs w:val="22"/>
              </w:rPr>
              <w:t>2,000</w:t>
            </w:r>
          </w:p>
        </w:tc>
        <w:tc>
          <w:tcPr>
            <w:tcW w:w="1275" w:type="dxa"/>
          </w:tcPr>
          <w:p w:rsidR="00B626D2" w:rsidRPr="001D2B41" w:rsidP="00B626D2" w14:paraId="56DDEF8B" w14:textId="5FE0AB7C">
            <w:pPr>
              <w:rPr>
                <w:rFonts w:ascii="Times New Roman" w:hAnsi="Times New Roman"/>
                <w:sz w:val="22"/>
                <w:szCs w:val="22"/>
              </w:rPr>
            </w:pPr>
            <w:r w:rsidRPr="002B4D03">
              <w:rPr>
                <w:rFonts w:ascii="Times New Roman" w:hAnsi="Times New Roman"/>
                <w:sz w:val="22"/>
                <w:szCs w:val="22"/>
              </w:rPr>
              <w:t>2,000</w:t>
            </w:r>
          </w:p>
        </w:tc>
        <w:tc>
          <w:tcPr>
            <w:tcW w:w="1155" w:type="dxa"/>
          </w:tcPr>
          <w:p w:rsidR="00B626D2" w:rsidRPr="001D2B41" w:rsidP="00B626D2" w14:paraId="56DDEF8C" w14:textId="1586EF22">
            <w:pPr>
              <w:rPr>
                <w:rFonts w:ascii="Times New Roman" w:hAnsi="Times New Roman"/>
                <w:sz w:val="22"/>
                <w:szCs w:val="22"/>
              </w:rPr>
            </w:pPr>
            <w:r>
              <w:rPr>
                <w:rFonts w:ascii="Times New Roman" w:hAnsi="Times New Roman"/>
                <w:sz w:val="22"/>
                <w:szCs w:val="22"/>
              </w:rPr>
              <w:t>x</w:t>
            </w:r>
          </w:p>
        </w:tc>
        <w:tc>
          <w:tcPr>
            <w:tcW w:w="1260" w:type="dxa"/>
          </w:tcPr>
          <w:p w:rsidR="00B626D2" w:rsidRPr="001D2B41" w:rsidP="00B626D2" w14:paraId="56DDEF8D" w14:textId="0E9DD8BD">
            <w:pPr>
              <w:rPr>
                <w:rFonts w:ascii="Times New Roman" w:hAnsi="Times New Roman"/>
                <w:sz w:val="22"/>
                <w:szCs w:val="22"/>
              </w:rPr>
            </w:pPr>
            <w:r>
              <w:rPr>
                <w:rFonts w:ascii="Times New Roman" w:hAnsi="Times New Roman"/>
                <w:sz w:val="22"/>
                <w:szCs w:val="22"/>
              </w:rPr>
              <w:t>67,104</w:t>
            </w:r>
          </w:p>
        </w:tc>
        <w:tc>
          <w:tcPr>
            <w:tcW w:w="1350" w:type="dxa"/>
          </w:tcPr>
          <w:p w:rsidR="00B626D2" w:rsidRPr="001D2B41" w:rsidP="00B626D2" w14:paraId="56DDEF8E" w14:textId="6D7A220B">
            <w:pPr>
              <w:rPr>
                <w:rFonts w:ascii="Times New Roman" w:hAnsi="Times New Roman"/>
                <w:sz w:val="22"/>
                <w:szCs w:val="22"/>
              </w:rPr>
            </w:pPr>
            <w:r>
              <w:rPr>
                <w:rFonts w:ascii="Times New Roman" w:hAnsi="Times New Roman"/>
                <w:sz w:val="22"/>
                <w:szCs w:val="22"/>
              </w:rPr>
              <w:t>x</w:t>
            </w:r>
          </w:p>
        </w:tc>
        <w:tc>
          <w:tcPr>
            <w:tcW w:w="1350" w:type="dxa"/>
          </w:tcPr>
          <w:p w:rsidR="00B626D2" w:rsidRPr="001D2B41" w:rsidP="00B626D2" w14:paraId="56DDEF8F" w14:textId="0178FACF">
            <w:pPr>
              <w:rPr>
                <w:rFonts w:ascii="Times New Roman" w:hAnsi="Times New Roman"/>
                <w:sz w:val="22"/>
                <w:szCs w:val="22"/>
              </w:rPr>
            </w:pPr>
            <w:r w:rsidRPr="001D2B41">
              <w:rPr>
                <w:rFonts w:ascii="Times New Roman" w:hAnsi="Times New Roman"/>
                <w:sz w:val="22"/>
                <w:szCs w:val="22"/>
              </w:rPr>
              <w:t>$2,</w:t>
            </w:r>
            <w:r w:rsidR="00CB043A">
              <w:rPr>
                <w:rFonts w:ascii="Times New Roman" w:hAnsi="Times New Roman"/>
                <w:sz w:val="22"/>
                <w:szCs w:val="22"/>
              </w:rPr>
              <w:t>348,640</w:t>
            </w:r>
          </w:p>
        </w:tc>
      </w:tr>
    </w:tbl>
    <w:p w:rsidR="00F31BEC" w:rsidRPr="00AF5D1A" w:rsidP="002313E2"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0A66F2" w:rsidP="002313E2" w14:paraId="23E6A40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w:t>
      </w:r>
      <w:r w:rsidRPr="00ED7195">
        <w:rPr>
          <w:rFonts w:ascii="Times New Roman" w:hAnsi="Times New Roman"/>
          <w:b/>
          <w:szCs w:val="24"/>
        </w:rPr>
        <w:t>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56DDEF9D" w14:textId="5E5AEA51">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w:t>
      </w:r>
      <w:r w:rsidRPr="000A66F2">
        <w:rPr>
          <w:rFonts w:ascii="Times New Roman" w:hAnsi="Times New Roman"/>
          <w:b/>
          <w:szCs w:val="24"/>
          <w:u w:val="single"/>
        </w:rPr>
        <w:t>_</w:t>
      </w:r>
      <w:r w:rsidRPr="000A66F2" w:rsidR="000A66F2">
        <w:rPr>
          <w:rFonts w:ascii="Times New Roman" w:hAnsi="Times New Roman"/>
          <w:b/>
          <w:szCs w:val="24"/>
          <w:u w:val="single"/>
        </w:rPr>
        <w:t>0</w:t>
      </w:r>
      <w:r w:rsidRPr="000A66F2">
        <w:rPr>
          <w:rFonts w:ascii="Times New Roman" w:hAnsi="Times New Roman"/>
          <w:b/>
          <w:szCs w:val="24"/>
          <w:u w:val="single"/>
        </w:rPr>
        <w:t>___________</w:t>
      </w:r>
    </w:p>
    <w:p w:rsidR="00043C32" w:rsidRPr="00ED7195" w:rsidP="002313E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14:paraId="56DDEF9F" w14:textId="60DC0808">
      <w:pPr>
        <w:tabs>
          <w:tab w:val="left" w:pos="-720"/>
        </w:tabs>
        <w:suppressAutoHyphens/>
        <w:rPr>
          <w:rFonts w:ascii="Times New Roman" w:hAnsi="Times New Roman"/>
          <w:szCs w:val="24"/>
        </w:rPr>
      </w:pPr>
    </w:p>
    <w:p w:rsidR="000A66F2" w:rsidRPr="003E0AD7" w:rsidP="000A66F2" w14:paraId="29AC3F34" w14:textId="754B6C6B">
      <w:pPr>
        <w:tabs>
          <w:tab w:val="left" w:pos="-720"/>
        </w:tabs>
        <w:suppressAutoHyphens/>
        <w:ind w:left="720"/>
        <w:rPr>
          <w:rFonts w:ascii="Times New Roman" w:hAnsi="Times New Roman"/>
          <w:szCs w:val="24"/>
        </w:rPr>
      </w:pPr>
      <w:r w:rsidRPr="003E0AD7">
        <w:rPr>
          <w:rFonts w:ascii="Times New Roman" w:hAnsi="Times New Roman"/>
          <w:szCs w:val="24"/>
        </w:rPr>
        <w:t xml:space="preserve">Annual Costs to Respondents (capital/start-up, and operation and maintenance):  The total for the capital and start-up cost components for this information collection is zero. This information collection will not require the purchase of any capital equipment nor create any </w:t>
      </w:r>
      <w:r w:rsidRPr="003E0AD7" w:rsidR="00C277A8">
        <w:rPr>
          <w:rFonts w:ascii="Times New Roman" w:hAnsi="Times New Roman"/>
          <w:szCs w:val="24"/>
        </w:rPr>
        <w:t>startup</w:t>
      </w:r>
      <w:r w:rsidRPr="003E0AD7">
        <w:rPr>
          <w:rFonts w:ascii="Times New Roman" w:hAnsi="Times New Roman"/>
          <w:szCs w:val="24"/>
        </w:rPr>
        <w:t xml:space="preserve"> costs.</w:t>
      </w:r>
    </w:p>
    <w:p w:rsidR="00B623A1" w:rsidP="002313E2" w14:paraId="50677C0A" w14:textId="77777777">
      <w:pPr>
        <w:tabs>
          <w:tab w:val="left" w:pos="-720"/>
        </w:tabs>
        <w:suppressAutoHyphens/>
        <w:rPr>
          <w:rFonts w:ascii="Times New Roman" w:hAnsi="Times New Roman"/>
          <w:szCs w:val="24"/>
        </w:rPr>
      </w:pPr>
    </w:p>
    <w:p w:rsidR="00043C32" w:rsidP="002313E2" w14:paraId="56DDEFA0" w14:textId="3C219A9C">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F5AED" w:rsidP="00BF5AED" w14:paraId="70352FCE" w14:textId="445C1EBE">
      <w:pPr>
        <w:pStyle w:val="ListParagraph"/>
        <w:tabs>
          <w:tab w:val="left" w:pos="-720"/>
        </w:tabs>
        <w:suppressAutoHyphens/>
        <w:ind w:left="900"/>
        <w:contextualSpacing w:val="0"/>
        <w:rPr>
          <w:rStyle w:val="a"/>
          <w:rFonts w:ascii="Times New Roman" w:hAnsi="Times New Roman"/>
          <w:b/>
          <w:szCs w:val="24"/>
        </w:rPr>
      </w:pPr>
    </w:p>
    <w:p w:rsidR="007931C5" w:rsidP="00BF5AED" w14:paraId="1D143F02" w14:textId="0FDAA190">
      <w:pPr>
        <w:pStyle w:val="ListParagraph"/>
        <w:tabs>
          <w:tab w:val="left" w:pos="-720"/>
        </w:tabs>
        <w:suppressAutoHyphens/>
        <w:ind w:left="900"/>
        <w:contextualSpacing w:val="0"/>
        <w:rPr>
          <w:rStyle w:val="a"/>
          <w:rFonts w:ascii="Times New Roman" w:hAnsi="Times New Roman"/>
          <w:b/>
          <w:szCs w:val="24"/>
        </w:rPr>
      </w:pPr>
    </w:p>
    <w:p w:rsidR="00532A5E" w:rsidP="00BF5AED" w14:paraId="5174B919" w14:textId="6A02C5BE">
      <w:pPr>
        <w:pStyle w:val="ListParagraph"/>
        <w:tabs>
          <w:tab w:val="left" w:pos="-720"/>
        </w:tabs>
        <w:suppressAutoHyphens/>
        <w:ind w:left="900"/>
        <w:contextualSpacing w:val="0"/>
        <w:rPr>
          <w:rStyle w:val="a"/>
          <w:rFonts w:ascii="Times New Roman" w:hAnsi="Times New Roman"/>
          <w:b/>
          <w:szCs w:val="24"/>
        </w:rPr>
      </w:pPr>
    </w:p>
    <w:p w:rsidR="00532A5E" w:rsidP="00BF5AED" w14:paraId="07690223" w14:textId="78880EDB">
      <w:pPr>
        <w:pStyle w:val="ListParagraph"/>
        <w:tabs>
          <w:tab w:val="left" w:pos="-720"/>
        </w:tabs>
        <w:suppressAutoHyphens/>
        <w:ind w:left="900"/>
        <w:contextualSpacing w:val="0"/>
        <w:rPr>
          <w:rStyle w:val="a"/>
          <w:rFonts w:ascii="Times New Roman" w:hAnsi="Times New Roman"/>
          <w:b/>
          <w:szCs w:val="24"/>
        </w:rPr>
      </w:pPr>
    </w:p>
    <w:p w:rsidR="00076CCF" w:rsidP="00BF5AED" w14:paraId="16AED28F" w14:textId="52B73263">
      <w:pPr>
        <w:pStyle w:val="ListParagraph"/>
        <w:tabs>
          <w:tab w:val="left" w:pos="-720"/>
        </w:tabs>
        <w:suppressAutoHyphens/>
        <w:ind w:left="900"/>
        <w:contextualSpacing w:val="0"/>
        <w:rPr>
          <w:rStyle w:val="a"/>
          <w:rFonts w:ascii="Times New Roman" w:hAnsi="Times New Roman"/>
          <w:b/>
          <w:szCs w:val="24"/>
        </w:rPr>
      </w:pPr>
    </w:p>
    <w:p w:rsidR="00473308" w:rsidP="00BF5AED" w14:paraId="5914DB3A" w14:textId="77777777">
      <w:pPr>
        <w:pStyle w:val="ListParagraph"/>
        <w:tabs>
          <w:tab w:val="left" w:pos="-720"/>
        </w:tabs>
        <w:suppressAutoHyphens/>
        <w:ind w:left="900"/>
        <w:contextualSpacing w:val="0"/>
        <w:rPr>
          <w:rStyle w:val="a"/>
          <w:rFonts w:ascii="Times New Roman" w:hAnsi="Times New Roman"/>
          <w:b/>
          <w:szCs w:val="24"/>
        </w:rPr>
      </w:pPr>
    </w:p>
    <w:p w:rsidR="00532A5E" w:rsidP="00BF5AED" w14:paraId="65E4DDEF" w14:textId="77777777">
      <w:pPr>
        <w:pStyle w:val="ListParagraph"/>
        <w:tabs>
          <w:tab w:val="left" w:pos="-720"/>
        </w:tabs>
        <w:suppressAutoHyphens/>
        <w:ind w:left="900"/>
        <w:contextualSpacing w:val="0"/>
        <w:rPr>
          <w:rStyle w:val="a"/>
          <w:rFonts w:ascii="Times New Roman" w:hAnsi="Times New Roman"/>
          <w:b/>
          <w:szCs w:val="24"/>
        </w:rPr>
      </w:pPr>
    </w:p>
    <w:p w:rsidR="007931C5" w:rsidP="00BF5AED" w14:paraId="2921466E" w14:textId="77777777">
      <w:pPr>
        <w:pStyle w:val="ListParagraph"/>
        <w:tabs>
          <w:tab w:val="left" w:pos="-720"/>
        </w:tabs>
        <w:suppressAutoHyphens/>
        <w:ind w:left="900"/>
        <w:contextualSpacing w:val="0"/>
        <w:rPr>
          <w:rStyle w:val="a"/>
          <w:rFonts w:ascii="Times New Roman" w:hAnsi="Times New Roman"/>
          <w:b/>
          <w:szCs w:val="24"/>
        </w:rPr>
      </w:pPr>
    </w:p>
    <w:tbl>
      <w:tblPr>
        <w:tblW w:w="0" w:type="auto"/>
        <w:tblInd w:w="-178" w:type="dxa"/>
        <w:tblLayout w:type="fixed"/>
        <w:tblCellMar>
          <w:left w:w="180" w:type="dxa"/>
          <w:right w:w="180" w:type="dxa"/>
        </w:tblCellMar>
        <w:tblLook w:val="0000"/>
      </w:tblPr>
      <w:tblGrid>
        <w:gridCol w:w="7380"/>
        <w:gridCol w:w="2087"/>
      </w:tblGrid>
      <w:tr w14:paraId="597FD48C" w14:textId="77777777" w:rsidTr="00FA4FD9">
        <w:tblPrEx>
          <w:tblW w:w="0" w:type="auto"/>
          <w:tblInd w:w="-178" w:type="dxa"/>
          <w:tblLayout w:type="fixed"/>
          <w:tblCellMar>
            <w:left w:w="180" w:type="dxa"/>
            <w:right w:w="180" w:type="dxa"/>
          </w:tblCellMar>
          <w:tblLook w:val="0000"/>
        </w:tblPrEx>
        <w:trPr>
          <w:trHeight w:val="20"/>
        </w:trPr>
        <w:tc>
          <w:tcPr>
            <w:tcW w:w="9467" w:type="dxa"/>
            <w:gridSpan w:val="2"/>
            <w:tcBorders>
              <w:top w:val="single" w:sz="8" w:space="0" w:color="000000"/>
              <w:left w:val="single" w:sz="8" w:space="0" w:color="000000"/>
              <w:bottom w:val="single" w:sz="8" w:space="0" w:color="000000"/>
              <w:right w:val="single" w:sz="8" w:space="0" w:color="000000"/>
            </w:tcBorders>
          </w:tcPr>
          <w:p w:rsidR="00473308" w:rsidRPr="00076CCF" w:rsidP="00084521" w14:paraId="0311B600" w14:textId="468190AA">
            <w:pPr>
              <w:tabs>
                <w:tab w:val="left" w:pos="-720"/>
              </w:tabs>
              <w:suppressAutoHyphens/>
              <w:rPr>
                <w:rFonts w:ascii="Times New Roman" w:hAnsi="Times New Roman"/>
                <w:szCs w:val="24"/>
              </w:rPr>
            </w:pPr>
            <w:r w:rsidRPr="001D2B41">
              <w:rPr>
                <w:rFonts w:ascii="Times New Roman" w:hAnsi="Times New Roman"/>
                <w:b/>
                <w:szCs w:val="24"/>
              </w:rPr>
              <w:t>Cost for development and clearance of application package</w:t>
            </w:r>
          </w:p>
        </w:tc>
      </w:tr>
      <w:tr w14:paraId="0E136672" w14:textId="77777777" w:rsidTr="001D2B41">
        <w:tblPrEx>
          <w:tblW w:w="0" w:type="auto"/>
          <w:tblInd w:w="-178" w:type="dxa"/>
          <w:tblLayout w:type="fixed"/>
          <w:tblCellMar>
            <w:left w:w="180" w:type="dxa"/>
            <w:right w:w="180" w:type="dxa"/>
          </w:tblCellMar>
          <w:tblLook w:val="0000"/>
        </w:tblPrEx>
        <w:trPr>
          <w:trHeight w:val="20"/>
        </w:trPr>
        <w:tc>
          <w:tcPr>
            <w:tcW w:w="7380" w:type="dxa"/>
            <w:tcBorders>
              <w:top w:val="single" w:sz="8" w:space="0" w:color="000000"/>
              <w:left w:val="single" w:sz="8" w:space="0" w:color="000000"/>
              <w:bottom w:val="single" w:sz="8" w:space="0" w:color="000000"/>
              <w:right w:val="nil"/>
            </w:tcBorders>
          </w:tcPr>
          <w:p w:rsidR="00C277A8" w:rsidP="00084521" w14:paraId="563BA6DD" w14:textId="77777777">
            <w:pPr>
              <w:tabs>
                <w:tab w:val="left" w:pos="-720"/>
              </w:tabs>
              <w:suppressAutoHyphens/>
              <w:rPr>
                <w:rFonts w:ascii="Times New Roman" w:hAnsi="Times New Roman"/>
                <w:szCs w:val="24"/>
              </w:rPr>
            </w:pPr>
            <w:r w:rsidRPr="00076CCF">
              <w:rPr>
                <w:rFonts w:ascii="Times New Roman" w:hAnsi="Times New Roman"/>
                <w:szCs w:val="24"/>
              </w:rPr>
              <w:t xml:space="preserve">Professional staff to develop clearance package (GS-14 employee) </w:t>
            </w:r>
          </w:p>
          <w:p w:rsidR="00BF5AED" w:rsidRPr="00076CCF" w:rsidP="00084521" w14:paraId="7719FAD2" w14:textId="7AFCFB25">
            <w:pPr>
              <w:tabs>
                <w:tab w:val="left" w:pos="-720"/>
              </w:tabs>
              <w:suppressAutoHyphens/>
              <w:rPr>
                <w:rFonts w:ascii="Times New Roman" w:hAnsi="Times New Roman"/>
                <w:szCs w:val="24"/>
              </w:rPr>
            </w:pPr>
            <w:r w:rsidRPr="00076CCF">
              <w:rPr>
                <w:rFonts w:ascii="Times New Roman" w:hAnsi="Times New Roman"/>
                <w:szCs w:val="24"/>
              </w:rPr>
              <w:t>160 h</w:t>
            </w:r>
            <w:r w:rsidR="00C277A8">
              <w:rPr>
                <w:rFonts w:ascii="Times New Roman" w:hAnsi="Times New Roman"/>
                <w:szCs w:val="24"/>
              </w:rPr>
              <w:t>ou</w:t>
            </w:r>
            <w:r w:rsidRPr="00076CCF">
              <w:rPr>
                <w:rFonts w:ascii="Times New Roman" w:hAnsi="Times New Roman"/>
                <w:szCs w:val="24"/>
              </w:rPr>
              <w:t>rs @ $55 per hour</w:t>
            </w:r>
          </w:p>
        </w:tc>
        <w:tc>
          <w:tcPr>
            <w:tcW w:w="2087" w:type="dxa"/>
            <w:tcBorders>
              <w:top w:val="single" w:sz="8" w:space="0" w:color="000000"/>
              <w:left w:val="single" w:sz="8" w:space="0" w:color="000000"/>
              <w:bottom w:val="single" w:sz="8" w:space="0" w:color="000000"/>
              <w:right w:val="single" w:sz="8" w:space="0" w:color="000000"/>
            </w:tcBorders>
          </w:tcPr>
          <w:p w:rsidR="00BF5AED" w:rsidRPr="00076CCF" w:rsidP="00084521" w14:paraId="477C7EA5" w14:textId="77777777">
            <w:pPr>
              <w:tabs>
                <w:tab w:val="left" w:pos="-720"/>
              </w:tabs>
              <w:suppressAutoHyphens/>
              <w:rPr>
                <w:rFonts w:ascii="Times New Roman" w:hAnsi="Times New Roman"/>
                <w:szCs w:val="24"/>
              </w:rPr>
            </w:pPr>
            <w:r w:rsidRPr="00076CCF">
              <w:rPr>
                <w:rFonts w:ascii="Times New Roman" w:hAnsi="Times New Roman"/>
                <w:szCs w:val="24"/>
              </w:rPr>
              <w:t>$8,800</w:t>
            </w:r>
          </w:p>
        </w:tc>
      </w:tr>
      <w:tr w14:paraId="246E4057" w14:textId="77777777" w:rsidTr="001D2B41">
        <w:tblPrEx>
          <w:tblW w:w="0" w:type="auto"/>
          <w:tblInd w:w="-178" w:type="dxa"/>
          <w:tblLayout w:type="fixed"/>
          <w:tblCellMar>
            <w:left w:w="180" w:type="dxa"/>
            <w:right w:w="180" w:type="dxa"/>
          </w:tblCellMar>
          <w:tblLook w:val="0000"/>
        </w:tblPrEx>
        <w:trPr>
          <w:trHeight w:val="20"/>
        </w:trPr>
        <w:tc>
          <w:tcPr>
            <w:tcW w:w="7380" w:type="dxa"/>
            <w:tcBorders>
              <w:top w:val="single" w:sz="8" w:space="0" w:color="000000"/>
              <w:left w:val="single" w:sz="8" w:space="0" w:color="000000"/>
              <w:bottom w:val="single" w:sz="8" w:space="0" w:color="000000"/>
              <w:right w:val="nil"/>
            </w:tcBorders>
          </w:tcPr>
          <w:p w:rsidR="00BF5AED" w:rsidRPr="00076CCF" w:rsidP="00084521" w14:paraId="194DE97A" w14:textId="46131F9F">
            <w:pPr>
              <w:rPr>
                <w:rFonts w:ascii="Times New Roman" w:hAnsi="Times New Roman"/>
                <w:szCs w:val="24"/>
              </w:rPr>
            </w:pPr>
            <w:r w:rsidRPr="00076CCF">
              <w:rPr>
                <w:rFonts w:ascii="Times New Roman" w:hAnsi="Times New Roman"/>
                <w:szCs w:val="24"/>
              </w:rPr>
              <w:t>Overhead cost related to facilities, administration, and other indirect cost</w:t>
            </w:r>
            <w:r w:rsidRPr="00076CCF" w:rsidR="00C06055">
              <w:rPr>
                <w:rFonts w:ascii="Times New Roman" w:hAnsi="Times New Roman"/>
                <w:szCs w:val="24"/>
              </w:rPr>
              <w:t>s</w:t>
            </w:r>
            <w:r w:rsidRPr="00076CCF">
              <w:rPr>
                <w:rFonts w:ascii="Times New Roman" w:hAnsi="Times New Roman"/>
                <w:szCs w:val="24"/>
              </w:rPr>
              <w:t xml:space="preserve"> plus accrual of leave and fringe benefits @ 50 percent salary</w:t>
            </w:r>
          </w:p>
        </w:tc>
        <w:tc>
          <w:tcPr>
            <w:tcW w:w="2087" w:type="dxa"/>
            <w:tcBorders>
              <w:top w:val="single" w:sz="8" w:space="0" w:color="000000"/>
              <w:left w:val="single" w:sz="8" w:space="0" w:color="000000"/>
              <w:bottom w:val="single" w:sz="8" w:space="0" w:color="000000"/>
              <w:right w:val="single" w:sz="8" w:space="0" w:color="000000"/>
            </w:tcBorders>
          </w:tcPr>
          <w:p w:rsidR="00BF5AED" w:rsidRPr="00076CCF" w:rsidP="00084521" w14:paraId="47EB2EC6" w14:textId="77777777">
            <w:pPr>
              <w:rPr>
                <w:rFonts w:ascii="Times New Roman" w:hAnsi="Times New Roman"/>
                <w:szCs w:val="24"/>
              </w:rPr>
            </w:pPr>
            <w:r w:rsidRPr="00076CCF">
              <w:rPr>
                <w:rFonts w:ascii="Times New Roman" w:hAnsi="Times New Roman"/>
                <w:szCs w:val="24"/>
              </w:rPr>
              <w:t>$4,400</w:t>
            </w:r>
          </w:p>
        </w:tc>
      </w:tr>
      <w:tr w14:paraId="73946AD0" w14:textId="77777777" w:rsidTr="001D2B41">
        <w:tblPrEx>
          <w:tblW w:w="0" w:type="auto"/>
          <w:tblInd w:w="-178" w:type="dxa"/>
          <w:tblLayout w:type="fixed"/>
          <w:tblCellMar>
            <w:left w:w="180" w:type="dxa"/>
            <w:right w:w="180" w:type="dxa"/>
          </w:tblCellMar>
          <w:tblLook w:val="0000"/>
        </w:tblPrEx>
        <w:trPr>
          <w:trHeight w:val="20"/>
        </w:trPr>
        <w:tc>
          <w:tcPr>
            <w:tcW w:w="7380" w:type="dxa"/>
            <w:tcBorders>
              <w:top w:val="single" w:sz="8" w:space="0" w:color="000000"/>
              <w:left w:val="single" w:sz="8" w:space="0" w:color="000000"/>
              <w:bottom w:val="single" w:sz="8" w:space="0" w:color="000000"/>
              <w:right w:val="nil"/>
            </w:tcBorders>
          </w:tcPr>
          <w:p w:rsidR="00BF5AED" w:rsidRPr="00076CCF" w:rsidP="00084521" w14:paraId="34A71E5A" w14:textId="77777777">
            <w:pPr>
              <w:tabs>
                <w:tab w:val="left" w:pos="-720"/>
              </w:tabs>
              <w:suppressAutoHyphens/>
              <w:rPr>
                <w:rFonts w:ascii="Times New Roman" w:hAnsi="Times New Roman"/>
                <w:szCs w:val="24"/>
              </w:rPr>
            </w:pPr>
            <w:r w:rsidRPr="00076CCF">
              <w:rPr>
                <w:rFonts w:ascii="Times New Roman" w:hAnsi="Times New Roman"/>
                <w:szCs w:val="24"/>
              </w:rPr>
              <w:t>Other Department staff to review and approve the request</w:t>
            </w:r>
          </w:p>
        </w:tc>
        <w:tc>
          <w:tcPr>
            <w:tcW w:w="2087" w:type="dxa"/>
            <w:tcBorders>
              <w:top w:val="single" w:sz="8" w:space="0" w:color="000000"/>
              <w:left w:val="single" w:sz="8" w:space="0" w:color="000000"/>
              <w:bottom w:val="single" w:sz="8" w:space="0" w:color="000000"/>
              <w:right w:val="single" w:sz="8" w:space="0" w:color="000000"/>
            </w:tcBorders>
          </w:tcPr>
          <w:p w:rsidR="00BF5AED" w:rsidRPr="00076CCF" w:rsidP="00084521" w14:paraId="0A4426E2" w14:textId="77777777">
            <w:pPr>
              <w:autoSpaceDE w:val="0"/>
              <w:autoSpaceDN w:val="0"/>
              <w:rPr>
                <w:rFonts w:ascii="Times New Roman" w:hAnsi="Times New Roman"/>
                <w:szCs w:val="24"/>
              </w:rPr>
            </w:pPr>
          </w:p>
        </w:tc>
      </w:tr>
      <w:tr w14:paraId="2871B7E8" w14:textId="77777777" w:rsidTr="001D2B41">
        <w:tblPrEx>
          <w:tblW w:w="0" w:type="auto"/>
          <w:tblInd w:w="-178" w:type="dxa"/>
          <w:tblLayout w:type="fixed"/>
          <w:tblCellMar>
            <w:left w:w="180" w:type="dxa"/>
            <w:right w:w="180" w:type="dxa"/>
          </w:tblCellMar>
          <w:tblLook w:val="0000"/>
        </w:tblPrEx>
        <w:trPr>
          <w:trHeight w:val="20"/>
        </w:trPr>
        <w:tc>
          <w:tcPr>
            <w:tcW w:w="7380" w:type="dxa"/>
            <w:tcBorders>
              <w:top w:val="single" w:sz="8" w:space="0" w:color="000000"/>
              <w:left w:val="single" w:sz="8" w:space="0" w:color="000000"/>
              <w:bottom w:val="single" w:sz="8" w:space="0" w:color="000000"/>
              <w:right w:val="nil"/>
            </w:tcBorders>
          </w:tcPr>
          <w:p w:rsidR="00BF5AED" w:rsidRPr="00076CCF" w:rsidP="00084521" w14:paraId="1FD2AF0A" w14:textId="77777777">
            <w:pPr>
              <w:tabs>
                <w:tab w:val="left" w:pos="-720"/>
              </w:tabs>
              <w:suppressAutoHyphens/>
              <w:rPr>
                <w:rFonts w:ascii="Times New Roman" w:hAnsi="Times New Roman"/>
                <w:szCs w:val="24"/>
              </w:rPr>
            </w:pPr>
            <w:r w:rsidRPr="00076CCF">
              <w:rPr>
                <w:rFonts w:ascii="Times New Roman" w:hAnsi="Times New Roman"/>
                <w:szCs w:val="24"/>
              </w:rPr>
              <w:t>GS-15 Employee</w:t>
            </w:r>
          </w:p>
        </w:tc>
        <w:tc>
          <w:tcPr>
            <w:tcW w:w="2087" w:type="dxa"/>
            <w:tcBorders>
              <w:top w:val="single" w:sz="8" w:space="0" w:color="000000"/>
              <w:left w:val="single" w:sz="8" w:space="0" w:color="000000"/>
              <w:bottom w:val="single" w:sz="8" w:space="0" w:color="000000"/>
              <w:right w:val="single" w:sz="8" w:space="0" w:color="000000"/>
            </w:tcBorders>
          </w:tcPr>
          <w:p w:rsidR="00BF5AED" w:rsidRPr="00076CCF" w:rsidP="00084521" w14:paraId="7091E7AC" w14:textId="77777777">
            <w:pPr>
              <w:tabs>
                <w:tab w:val="left" w:pos="-720"/>
              </w:tabs>
              <w:suppressAutoHyphens/>
              <w:rPr>
                <w:rFonts w:ascii="Times New Roman" w:hAnsi="Times New Roman"/>
                <w:szCs w:val="24"/>
              </w:rPr>
            </w:pPr>
            <w:r w:rsidRPr="00076CCF">
              <w:rPr>
                <w:rFonts w:ascii="Times New Roman" w:hAnsi="Times New Roman"/>
                <w:szCs w:val="24"/>
              </w:rPr>
              <w:t>$630</w:t>
            </w:r>
          </w:p>
        </w:tc>
      </w:tr>
      <w:tr w14:paraId="159208A7" w14:textId="77777777" w:rsidTr="001D2B41">
        <w:tblPrEx>
          <w:tblW w:w="0" w:type="auto"/>
          <w:tblInd w:w="-178" w:type="dxa"/>
          <w:tblLayout w:type="fixed"/>
          <w:tblCellMar>
            <w:left w:w="180" w:type="dxa"/>
            <w:right w:w="180" w:type="dxa"/>
          </w:tblCellMar>
          <w:tblLook w:val="0000"/>
        </w:tblPrEx>
        <w:trPr>
          <w:trHeight w:val="20"/>
        </w:trPr>
        <w:tc>
          <w:tcPr>
            <w:tcW w:w="7380" w:type="dxa"/>
            <w:tcBorders>
              <w:top w:val="single" w:sz="8" w:space="0" w:color="000000"/>
              <w:left w:val="single" w:sz="8" w:space="0" w:color="000000"/>
              <w:bottom w:val="single" w:sz="8" w:space="0" w:color="000000"/>
              <w:right w:val="nil"/>
            </w:tcBorders>
          </w:tcPr>
          <w:p w:rsidR="00D156E9" w:rsidRPr="00076CCF" w:rsidP="00084521" w14:paraId="51BA4184" w14:textId="77777777">
            <w:pPr>
              <w:rPr>
                <w:rFonts w:ascii="Times New Roman" w:hAnsi="Times New Roman"/>
                <w:szCs w:val="24"/>
              </w:rPr>
            </w:pPr>
            <w:r w:rsidRPr="00076CCF">
              <w:rPr>
                <w:rFonts w:ascii="Times New Roman" w:hAnsi="Times New Roman"/>
                <w:szCs w:val="24"/>
              </w:rPr>
              <w:t xml:space="preserve">OMB Review 8 hours X $45 per hour = $360 </w:t>
            </w:r>
          </w:p>
          <w:p w:rsidR="00BF5AED" w:rsidRPr="00076CCF" w:rsidP="00084521" w14:paraId="2DA91407" w14:textId="3C0D6E2E">
            <w:pPr>
              <w:rPr>
                <w:rFonts w:ascii="Times New Roman" w:hAnsi="Times New Roman"/>
                <w:szCs w:val="24"/>
              </w:rPr>
            </w:pPr>
            <w:r w:rsidRPr="00076CCF">
              <w:rPr>
                <w:rFonts w:ascii="Times New Roman" w:hAnsi="Times New Roman"/>
                <w:szCs w:val="24"/>
              </w:rPr>
              <w:t xml:space="preserve">(Overhead cost: $360 x </w:t>
            </w:r>
            <w:r w:rsidRPr="00076CCF">
              <w:rPr>
                <w:rFonts w:ascii="Times New Roman" w:hAnsi="Times New Roman"/>
                <w:szCs w:val="24"/>
              </w:rPr>
              <w:t>50 percent = $180</w:t>
            </w:r>
            <w:r w:rsidRPr="00076CCF">
              <w:rPr>
                <w:rFonts w:ascii="Times New Roman" w:hAnsi="Times New Roman"/>
                <w:szCs w:val="24"/>
              </w:rPr>
              <w:t>)</w:t>
            </w:r>
          </w:p>
        </w:tc>
        <w:tc>
          <w:tcPr>
            <w:tcW w:w="2087" w:type="dxa"/>
            <w:tcBorders>
              <w:top w:val="single" w:sz="8" w:space="0" w:color="000000"/>
              <w:left w:val="single" w:sz="8" w:space="0" w:color="000000"/>
              <w:bottom w:val="single" w:sz="8" w:space="0" w:color="000000"/>
              <w:right w:val="single" w:sz="8" w:space="0" w:color="000000"/>
            </w:tcBorders>
          </w:tcPr>
          <w:p w:rsidR="00BF5AED" w:rsidRPr="00076CCF" w:rsidP="00084521" w14:paraId="4A7214BA" w14:textId="77777777">
            <w:pPr>
              <w:rPr>
                <w:rFonts w:ascii="Times New Roman" w:hAnsi="Times New Roman"/>
                <w:szCs w:val="24"/>
              </w:rPr>
            </w:pPr>
            <w:r w:rsidRPr="00076CCF">
              <w:rPr>
                <w:rFonts w:ascii="Times New Roman" w:hAnsi="Times New Roman"/>
                <w:szCs w:val="24"/>
              </w:rPr>
              <w:t>$540</w:t>
            </w:r>
          </w:p>
        </w:tc>
      </w:tr>
      <w:tr w14:paraId="08433512" w14:textId="77777777" w:rsidTr="001D2B41">
        <w:tblPrEx>
          <w:tblW w:w="0" w:type="auto"/>
          <w:tblInd w:w="-178" w:type="dxa"/>
          <w:tblLayout w:type="fixed"/>
          <w:tblCellMar>
            <w:left w:w="180" w:type="dxa"/>
            <w:right w:w="180" w:type="dxa"/>
          </w:tblCellMar>
          <w:tblLook w:val="0000"/>
        </w:tblPrEx>
        <w:trPr>
          <w:trHeight w:val="20"/>
        </w:trPr>
        <w:tc>
          <w:tcPr>
            <w:tcW w:w="7380" w:type="dxa"/>
            <w:tcBorders>
              <w:top w:val="single" w:sz="8" w:space="0" w:color="000000"/>
              <w:left w:val="single" w:sz="8" w:space="0" w:color="000000"/>
              <w:bottom w:val="single" w:sz="8" w:space="0" w:color="000000"/>
              <w:right w:val="nil"/>
            </w:tcBorders>
          </w:tcPr>
          <w:p w:rsidR="00BF5AED" w:rsidRPr="00076CCF" w:rsidP="00084521" w14:paraId="1E62A36B" w14:textId="6A489D65">
            <w:pPr>
              <w:tabs>
                <w:tab w:val="left" w:pos="-720"/>
              </w:tabs>
              <w:suppressAutoHyphens/>
              <w:rPr>
                <w:rFonts w:ascii="Times New Roman" w:hAnsi="Times New Roman"/>
                <w:b/>
                <w:szCs w:val="24"/>
              </w:rPr>
            </w:pPr>
            <w:r w:rsidRPr="00076CCF">
              <w:rPr>
                <w:rFonts w:ascii="Times New Roman" w:hAnsi="Times New Roman"/>
                <w:b/>
                <w:i/>
                <w:iCs/>
                <w:szCs w:val="24"/>
              </w:rPr>
              <w:t xml:space="preserve">Estimated </w:t>
            </w:r>
            <w:r w:rsidR="00C86EDF">
              <w:rPr>
                <w:rFonts w:ascii="Times New Roman" w:hAnsi="Times New Roman"/>
                <w:b/>
                <w:i/>
                <w:iCs/>
                <w:szCs w:val="24"/>
              </w:rPr>
              <w:t>s</w:t>
            </w:r>
            <w:r w:rsidRPr="00076CCF" w:rsidR="00C86EDF">
              <w:rPr>
                <w:rFonts w:ascii="Times New Roman" w:hAnsi="Times New Roman"/>
                <w:b/>
                <w:i/>
                <w:iCs/>
                <w:szCs w:val="24"/>
              </w:rPr>
              <w:t>ub</w:t>
            </w:r>
            <w:r w:rsidRPr="00076CCF">
              <w:rPr>
                <w:rFonts w:ascii="Times New Roman" w:hAnsi="Times New Roman"/>
                <w:b/>
                <w:i/>
                <w:iCs/>
                <w:szCs w:val="24"/>
              </w:rPr>
              <w:t>-total</w:t>
            </w:r>
          </w:p>
        </w:tc>
        <w:tc>
          <w:tcPr>
            <w:tcW w:w="2087" w:type="dxa"/>
            <w:tcBorders>
              <w:top w:val="single" w:sz="8" w:space="0" w:color="000000"/>
              <w:left w:val="single" w:sz="8" w:space="0" w:color="000000"/>
              <w:bottom w:val="single" w:sz="8" w:space="0" w:color="000000"/>
              <w:right w:val="single" w:sz="8" w:space="0" w:color="000000"/>
            </w:tcBorders>
          </w:tcPr>
          <w:p w:rsidR="00BF5AED" w:rsidRPr="00076CCF" w:rsidP="00084521" w14:paraId="492414EA" w14:textId="77777777">
            <w:pPr>
              <w:tabs>
                <w:tab w:val="left" w:pos="-720"/>
              </w:tabs>
              <w:suppressAutoHyphens/>
              <w:rPr>
                <w:rFonts w:ascii="Times New Roman" w:hAnsi="Times New Roman"/>
                <w:b/>
                <w:szCs w:val="24"/>
              </w:rPr>
            </w:pPr>
            <w:r w:rsidRPr="00076CCF">
              <w:rPr>
                <w:rFonts w:ascii="Times New Roman" w:hAnsi="Times New Roman"/>
                <w:b/>
                <w:szCs w:val="24"/>
              </w:rPr>
              <w:t>$14,370</w:t>
            </w:r>
          </w:p>
        </w:tc>
      </w:tr>
      <w:tr w14:paraId="54B67944" w14:textId="77777777" w:rsidTr="001D2B41">
        <w:tblPrEx>
          <w:tblW w:w="0" w:type="auto"/>
          <w:tblInd w:w="-178" w:type="dxa"/>
          <w:tblLayout w:type="fixed"/>
          <w:tblCellMar>
            <w:left w:w="180" w:type="dxa"/>
            <w:right w:w="180" w:type="dxa"/>
          </w:tblCellMar>
          <w:tblLook w:val="0000"/>
        </w:tblPrEx>
        <w:trPr>
          <w:trHeight w:val="20"/>
        </w:trPr>
        <w:tc>
          <w:tcPr>
            <w:tcW w:w="9467"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084521" w:rsidRPr="00076CCF" w:rsidP="00084521" w14:paraId="7E6DC89F" w14:textId="77777777">
            <w:pPr>
              <w:autoSpaceDE w:val="0"/>
              <w:autoSpaceDN w:val="0"/>
              <w:rPr>
                <w:rFonts w:ascii="Times New Roman" w:hAnsi="Times New Roman"/>
                <w:szCs w:val="24"/>
              </w:rPr>
            </w:pPr>
          </w:p>
        </w:tc>
      </w:tr>
      <w:tr w14:paraId="56AFAEAB" w14:textId="77777777" w:rsidTr="00D87383">
        <w:tblPrEx>
          <w:tblW w:w="0" w:type="auto"/>
          <w:tblInd w:w="-178" w:type="dxa"/>
          <w:tblLayout w:type="fixed"/>
          <w:tblCellMar>
            <w:left w:w="180" w:type="dxa"/>
            <w:right w:w="180" w:type="dxa"/>
          </w:tblCellMar>
          <w:tblLook w:val="0000"/>
        </w:tblPrEx>
        <w:trPr>
          <w:trHeight w:val="20"/>
        </w:trPr>
        <w:tc>
          <w:tcPr>
            <w:tcW w:w="9467" w:type="dxa"/>
            <w:gridSpan w:val="2"/>
            <w:tcBorders>
              <w:top w:val="single" w:sz="8" w:space="0" w:color="000000"/>
              <w:left w:val="single" w:sz="8" w:space="0" w:color="000000"/>
              <w:bottom w:val="single" w:sz="8" w:space="0" w:color="000000"/>
              <w:right w:val="single" w:sz="8" w:space="0" w:color="000000"/>
            </w:tcBorders>
          </w:tcPr>
          <w:p w:rsidR="00473308" w:rsidRPr="00076CCF" w:rsidP="00084521" w14:paraId="5DE5DF2D" w14:textId="760AD2F4">
            <w:pPr>
              <w:autoSpaceDE w:val="0"/>
              <w:autoSpaceDN w:val="0"/>
              <w:rPr>
                <w:rFonts w:ascii="Times New Roman" w:hAnsi="Times New Roman"/>
                <w:szCs w:val="24"/>
              </w:rPr>
            </w:pPr>
            <w:r w:rsidRPr="00076CCF">
              <w:rPr>
                <w:rFonts w:ascii="Times New Roman" w:hAnsi="Times New Roman"/>
                <w:b/>
                <w:bCs/>
                <w:szCs w:val="24"/>
              </w:rPr>
              <w:t>Cost for Federally-supervised review of applications</w:t>
            </w:r>
          </w:p>
        </w:tc>
      </w:tr>
      <w:tr w14:paraId="3AEA3842" w14:textId="77777777" w:rsidTr="001D2B41">
        <w:tblPrEx>
          <w:tblW w:w="0" w:type="auto"/>
          <w:tblInd w:w="-178" w:type="dxa"/>
          <w:tblLayout w:type="fixed"/>
          <w:tblCellMar>
            <w:left w:w="180" w:type="dxa"/>
            <w:right w:w="180" w:type="dxa"/>
          </w:tblCellMar>
          <w:tblLook w:val="0000"/>
        </w:tblPrEx>
        <w:trPr>
          <w:trHeight w:val="20"/>
        </w:trPr>
        <w:tc>
          <w:tcPr>
            <w:tcW w:w="7380" w:type="dxa"/>
            <w:tcBorders>
              <w:top w:val="single" w:sz="8" w:space="0" w:color="000000"/>
              <w:left w:val="single" w:sz="8" w:space="0" w:color="000000"/>
              <w:bottom w:val="single" w:sz="8" w:space="0" w:color="000000"/>
              <w:right w:val="nil"/>
            </w:tcBorders>
          </w:tcPr>
          <w:p w:rsidR="00BF5AED" w:rsidRPr="00076CCF" w:rsidP="00084521" w14:paraId="2CCCB07C" w14:textId="77777777">
            <w:pPr>
              <w:tabs>
                <w:tab w:val="left" w:pos="-720"/>
              </w:tabs>
              <w:suppressAutoHyphens/>
              <w:rPr>
                <w:rFonts w:ascii="Times New Roman" w:hAnsi="Times New Roman"/>
                <w:szCs w:val="24"/>
              </w:rPr>
            </w:pPr>
            <w:r w:rsidRPr="00076CCF">
              <w:rPr>
                <w:rFonts w:ascii="Times New Roman" w:hAnsi="Times New Roman"/>
                <w:szCs w:val="24"/>
              </w:rPr>
              <w:t>Outside field reviewers – 480 readers @ $1,100 each</w:t>
            </w:r>
          </w:p>
        </w:tc>
        <w:tc>
          <w:tcPr>
            <w:tcW w:w="2087" w:type="dxa"/>
            <w:tcBorders>
              <w:top w:val="single" w:sz="8" w:space="0" w:color="000000"/>
              <w:left w:val="single" w:sz="8" w:space="0" w:color="000000"/>
              <w:bottom w:val="single" w:sz="8" w:space="0" w:color="000000"/>
              <w:right w:val="single" w:sz="8" w:space="0" w:color="000000"/>
            </w:tcBorders>
          </w:tcPr>
          <w:p w:rsidR="00BF5AED" w:rsidRPr="00076CCF" w:rsidP="00084521" w14:paraId="439B6122" w14:textId="77777777">
            <w:pPr>
              <w:tabs>
                <w:tab w:val="left" w:pos="-720"/>
              </w:tabs>
              <w:suppressAutoHyphens/>
              <w:rPr>
                <w:rFonts w:ascii="Times New Roman" w:hAnsi="Times New Roman"/>
                <w:szCs w:val="24"/>
              </w:rPr>
            </w:pPr>
            <w:r w:rsidRPr="00076CCF">
              <w:rPr>
                <w:rFonts w:ascii="Times New Roman" w:hAnsi="Times New Roman"/>
                <w:szCs w:val="24"/>
              </w:rPr>
              <w:t>$528,000</w:t>
            </w:r>
          </w:p>
        </w:tc>
      </w:tr>
      <w:tr w14:paraId="5F9EE71F" w14:textId="77777777" w:rsidTr="001D2B41">
        <w:tblPrEx>
          <w:tblW w:w="0" w:type="auto"/>
          <w:tblInd w:w="-178" w:type="dxa"/>
          <w:tblLayout w:type="fixed"/>
          <w:tblCellMar>
            <w:left w:w="180" w:type="dxa"/>
            <w:right w:w="180" w:type="dxa"/>
          </w:tblCellMar>
          <w:tblLook w:val="0000"/>
        </w:tblPrEx>
        <w:trPr>
          <w:trHeight w:val="20"/>
        </w:trPr>
        <w:tc>
          <w:tcPr>
            <w:tcW w:w="7380" w:type="dxa"/>
            <w:tcBorders>
              <w:top w:val="single" w:sz="8" w:space="0" w:color="000000"/>
              <w:left w:val="single" w:sz="8" w:space="0" w:color="000000"/>
              <w:bottom w:val="single" w:sz="8" w:space="0" w:color="000000"/>
              <w:right w:val="nil"/>
            </w:tcBorders>
          </w:tcPr>
          <w:p w:rsidR="00BF5AED" w:rsidRPr="00076CCF" w:rsidP="00084521" w14:paraId="467D0CD3" w14:textId="77777777">
            <w:pPr>
              <w:rPr>
                <w:rFonts w:ascii="Times New Roman" w:hAnsi="Times New Roman"/>
                <w:szCs w:val="24"/>
              </w:rPr>
            </w:pPr>
            <w:r w:rsidRPr="00076CCF">
              <w:rPr>
                <w:rFonts w:ascii="Times New Roman" w:hAnsi="Times New Roman"/>
                <w:szCs w:val="24"/>
              </w:rPr>
              <w:t>Processing applications – staff</w:t>
            </w:r>
          </w:p>
          <w:p w:rsidR="00BF5AED" w:rsidRPr="00076CCF" w:rsidP="00084521" w14:paraId="4661D41E" w14:textId="77777777">
            <w:pPr>
              <w:rPr>
                <w:rFonts w:ascii="Times New Roman" w:hAnsi="Times New Roman"/>
                <w:szCs w:val="24"/>
              </w:rPr>
            </w:pPr>
            <w:r w:rsidRPr="00076CCF">
              <w:rPr>
                <w:rFonts w:ascii="Times New Roman" w:hAnsi="Times New Roman"/>
                <w:szCs w:val="24"/>
              </w:rPr>
              <w:t>(2 staff x 40 hours x $48 per hour = $3,840)</w:t>
            </w:r>
          </w:p>
          <w:p w:rsidR="00BF5AED" w:rsidRPr="00076CCF" w:rsidP="00084521" w14:paraId="32135818" w14:textId="77777777">
            <w:pPr>
              <w:rPr>
                <w:rFonts w:ascii="Times New Roman" w:hAnsi="Times New Roman"/>
                <w:szCs w:val="24"/>
              </w:rPr>
            </w:pPr>
            <w:r w:rsidRPr="00076CCF">
              <w:rPr>
                <w:rFonts w:ascii="Times New Roman" w:hAnsi="Times New Roman"/>
                <w:szCs w:val="24"/>
              </w:rPr>
              <w:t>(Overhead cost: $3,840 x 50 percent = $1,920)</w:t>
            </w:r>
          </w:p>
        </w:tc>
        <w:tc>
          <w:tcPr>
            <w:tcW w:w="2087" w:type="dxa"/>
            <w:tcBorders>
              <w:top w:val="single" w:sz="8" w:space="0" w:color="000000"/>
              <w:left w:val="single" w:sz="8" w:space="0" w:color="000000"/>
              <w:bottom w:val="single" w:sz="8" w:space="0" w:color="000000"/>
              <w:right w:val="single" w:sz="8" w:space="0" w:color="000000"/>
            </w:tcBorders>
          </w:tcPr>
          <w:p w:rsidR="00BF5AED" w:rsidRPr="00076CCF" w:rsidP="00084521" w14:paraId="704D46B8" w14:textId="77777777">
            <w:pPr>
              <w:tabs>
                <w:tab w:val="left" w:pos="-720"/>
              </w:tabs>
              <w:suppressAutoHyphens/>
              <w:rPr>
                <w:rFonts w:ascii="Times New Roman" w:hAnsi="Times New Roman"/>
                <w:szCs w:val="24"/>
              </w:rPr>
            </w:pPr>
            <w:r w:rsidRPr="00076CCF">
              <w:rPr>
                <w:rFonts w:ascii="Times New Roman" w:hAnsi="Times New Roman"/>
                <w:szCs w:val="24"/>
              </w:rPr>
              <w:t>$5,760</w:t>
            </w:r>
          </w:p>
        </w:tc>
      </w:tr>
      <w:tr w14:paraId="16E726DB" w14:textId="77777777" w:rsidTr="001D2B41">
        <w:tblPrEx>
          <w:tblW w:w="0" w:type="auto"/>
          <w:tblInd w:w="-178" w:type="dxa"/>
          <w:tblLayout w:type="fixed"/>
          <w:tblCellMar>
            <w:left w:w="180" w:type="dxa"/>
            <w:right w:w="180" w:type="dxa"/>
          </w:tblCellMar>
          <w:tblLook w:val="0000"/>
        </w:tblPrEx>
        <w:trPr>
          <w:trHeight w:val="20"/>
        </w:trPr>
        <w:tc>
          <w:tcPr>
            <w:tcW w:w="7380" w:type="dxa"/>
            <w:tcBorders>
              <w:top w:val="single" w:sz="8" w:space="0" w:color="000000"/>
              <w:left w:val="single" w:sz="8" w:space="0" w:color="000000"/>
              <w:bottom w:val="single" w:sz="8" w:space="0" w:color="000000"/>
              <w:right w:val="nil"/>
            </w:tcBorders>
          </w:tcPr>
          <w:p w:rsidR="00BF5AED" w:rsidRPr="00076CCF" w:rsidP="00084521" w14:paraId="6E1567DA" w14:textId="5815FE4D">
            <w:pPr>
              <w:tabs>
                <w:tab w:val="left" w:pos="-720"/>
              </w:tabs>
              <w:suppressAutoHyphens/>
              <w:rPr>
                <w:rFonts w:ascii="Times New Roman" w:hAnsi="Times New Roman"/>
                <w:szCs w:val="24"/>
              </w:rPr>
            </w:pPr>
            <w:r w:rsidRPr="00076CCF">
              <w:rPr>
                <w:rFonts w:ascii="Times New Roman" w:hAnsi="Times New Roman"/>
                <w:szCs w:val="24"/>
              </w:rPr>
              <w:t>Contractor logistical support for workshop</w:t>
            </w:r>
            <w:r w:rsidRPr="00076CCF" w:rsidR="001D4A08">
              <w:rPr>
                <w:rFonts w:ascii="Times New Roman" w:hAnsi="Times New Roman"/>
                <w:szCs w:val="24"/>
              </w:rPr>
              <w:t>s</w:t>
            </w:r>
            <w:r w:rsidRPr="00076CCF">
              <w:rPr>
                <w:rFonts w:ascii="Times New Roman" w:hAnsi="Times New Roman"/>
                <w:szCs w:val="24"/>
              </w:rPr>
              <w:t>, archiving prior unfunded applications, application processing, field reading and slate preparation (14 weeks-reading)</w:t>
            </w:r>
          </w:p>
        </w:tc>
        <w:tc>
          <w:tcPr>
            <w:tcW w:w="2087" w:type="dxa"/>
            <w:tcBorders>
              <w:top w:val="single" w:sz="8" w:space="0" w:color="000000"/>
              <w:left w:val="single" w:sz="8" w:space="0" w:color="000000"/>
              <w:bottom w:val="single" w:sz="8" w:space="0" w:color="000000"/>
              <w:right w:val="single" w:sz="8" w:space="0" w:color="000000"/>
            </w:tcBorders>
          </w:tcPr>
          <w:p w:rsidR="00BF5AED" w:rsidRPr="00076CCF" w:rsidP="00084521" w14:paraId="7FF93805" w14:textId="77777777">
            <w:pPr>
              <w:tabs>
                <w:tab w:val="left" w:pos="-720"/>
              </w:tabs>
              <w:suppressAutoHyphens/>
              <w:rPr>
                <w:rFonts w:ascii="Times New Roman" w:hAnsi="Times New Roman"/>
                <w:szCs w:val="24"/>
              </w:rPr>
            </w:pPr>
            <w:r w:rsidRPr="00076CCF">
              <w:rPr>
                <w:rFonts w:ascii="Times New Roman" w:hAnsi="Times New Roman"/>
                <w:szCs w:val="24"/>
              </w:rPr>
              <w:t>$2,682,658.81</w:t>
            </w:r>
          </w:p>
        </w:tc>
      </w:tr>
      <w:tr w14:paraId="6F645EF2" w14:textId="77777777" w:rsidTr="001D2B41">
        <w:tblPrEx>
          <w:tblW w:w="0" w:type="auto"/>
          <w:tblInd w:w="-178" w:type="dxa"/>
          <w:tblLayout w:type="fixed"/>
          <w:tblCellMar>
            <w:left w:w="180" w:type="dxa"/>
            <w:right w:w="180" w:type="dxa"/>
          </w:tblCellMar>
          <w:tblLook w:val="0000"/>
        </w:tblPrEx>
        <w:trPr>
          <w:trHeight w:val="20"/>
        </w:trPr>
        <w:tc>
          <w:tcPr>
            <w:tcW w:w="7380" w:type="dxa"/>
            <w:tcBorders>
              <w:top w:val="single" w:sz="8" w:space="0" w:color="000000"/>
              <w:left w:val="single" w:sz="8" w:space="0" w:color="000000"/>
              <w:bottom w:val="single" w:sz="8" w:space="0" w:color="000000"/>
              <w:right w:val="nil"/>
            </w:tcBorders>
          </w:tcPr>
          <w:p w:rsidR="00BF5AED" w:rsidRPr="00076CCF" w:rsidP="00084521" w14:paraId="3CCA6FF5" w14:textId="075366A0">
            <w:pPr>
              <w:rPr>
                <w:rFonts w:ascii="Times New Roman" w:hAnsi="Times New Roman"/>
                <w:szCs w:val="24"/>
              </w:rPr>
            </w:pPr>
            <w:r w:rsidRPr="00076CCF">
              <w:rPr>
                <w:rFonts w:ascii="Times New Roman" w:hAnsi="Times New Roman"/>
                <w:szCs w:val="24"/>
              </w:rPr>
              <w:t>Staff time for conducting supervised review</w:t>
            </w:r>
          </w:p>
          <w:p w:rsidR="00BF5AED" w:rsidRPr="00076CCF" w:rsidP="00084521" w14:paraId="3D35E006" w14:textId="017E4AD8">
            <w:pPr>
              <w:rPr>
                <w:rFonts w:ascii="Times New Roman" w:hAnsi="Times New Roman"/>
                <w:szCs w:val="24"/>
              </w:rPr>
            </w:pPr>
            <w:r w:rsidRPr="00076CCF">
              <w:rPr>
                <w:rFonts w:ascii="Times New Roman" w:hAnsi="Times New Roman"/>
                <w:szCs w:val="24"/>
              </w:rPr>
              <w:t>(6 week</w:t>
            </w:r>
            <w:r w:rsidRPr="00076CCF" w:rsidR="00814502">
              <w:rPr>
                <w:rFonts w:ascii="Times New Roman" w:hAnsi="Times New Roman"/>
                <w:szCs w:val="24"/>
              </w:rPr>
              <w:t>s</w:t>
            </w:r>
            <w:r w:rsidRPr="00076CCF">
              <w:rPr>
                <w:rFonts w:ascii="Times New Roman" w:hAnsi="Times New Roman"/>
                <w:szCs w:val="24"/>
              </w:rPr>
              <w:t xml:space="preserve"> x 3 control reviews and 3 panel chairpersons)</w:t>
            </w:r>
          </w:p>
          <w:p w:rsidR="00BF5AED" w:rsidRPr="00076CCF" w:rsidP="00084521" w14:paraId="56E00DBC" w14:textId="77777777">
            <w:pPr>
              <w:rPr>
                <w:rFonts w:ascii="Times New Roman" w:hAnsi="Times New Roman"/>
                <w:szCs w:val="24"/>
              </w:rPr>
            </w:pPr>
            <w:r w:rsidRPr="00076CCF">
              <w:rPr>
                <w:rFonts w:ascii="Times New Roman" w:hAnsi="Times New Roman"/>
                <w:szCs w:val="24"/>
              </w:rPr>
              <w:t>(30 staff x 240 hours x $48 per hour = $345,600)</w:t>
            </w:r>
          </w:p>
          <w:p w:rsidR="00BF5AED" w:rsidRPr="00076CCF" w:rsidP="00084521" w14:paraId="650F747A" w14:textId="58FD153E">
            <w:pPr>
              <w:rPr>
                <w:rFonts w:ascii="Times New Roman" w:hAnsi="Times New Roman"/>
                <w:szCs w:val="24"/>
              </w:rPr>
            </w:pPr>
            <w:r w:rsidRPr="00076CCF">
              <w:rPr>
                <w:rFonts w:ascii="Times New Roman" w:hAnsi="Times New Roman"/>
                <w:szCs w:val="24"/>
              </w:rPr>
              <w:t>(Overhead cost: $345,600 x 50 percent = $172,800)</w:t>
            </w:r>
          </w:p>
        </w:tc>
        <w:tc>
          <w:tcPr>
            <w:tcW w:w="2087" w:type="dxa"/>
            <w:tcBorders>
              <w:top w:val="single" w:sz="8" w:space="0" w:color="000000"/>
              <w:left w:val="single" w:sz="8" w:space="0" w:color="000000"/>
              <w:bottom w:val="single" w:sz="8" w:space="0" w:color="000000"/>
              <w:right w:val="single" w:sz="8" w:space="0" w:color="000000"/>
            </w:tcBorders>
          </w:tcPr>
          <w:p w:rsidR="00BF5AED" w:rsidRPr="00076CCF" w:rsidP="00084521" w14:paraId="13D86341" w14:textId="77777777">
            <w:pPr>
              <w:tabs>
                <w:tab w:val="left" w:pos="-720"/>
              </w:tabs>
              <w:suppressAutoHyphens/>
              <w:rPr>
                <w:rFonts w:ascii="Times New Roman" w:hAnsi="Times New Roman"/>
                <w:szCs w:val="24"/>
              </w:rPr>
            </w:pPr>
            <w:r w:rsidRPr="00076CCF">
              <w:rPr>
                <w:rFonts w:ascii="Times New Roman" w:hAnsi="Times New Roman"/>
                <w:szCs w:val="24"/>
              </w:rPr>
              <w:t>$518,400</w:t>
            </w:r>
          </w:p>
        </w:tc>
      </w:tr>
      <w:tr w14:paraId="78408F3E" w14:textId="77777777" w:rsidTr="001D2B41">
        <w:tblPrEx>
          <w:tblW w:w="0" w:type="auto"/>
          <w:tblInd w:w="-178" w:type="dxa"/>
          <w:tblLayout w:type="fixed"/>
          <w:tblCellMar>
            <w:left w:w="180" w:type="dxa"/>
            <w:right w:w="180" w:type="dxa"/>
          </w:tblCellMar>
          <w:tblLook w:val="0000"/>
        </w:tblPrEx>
        <w:trPr>
          <w:trHeight w:val="20"/>
        </w:trPr>
        <w:tc>
          <w:tcPr>
            <w:tcW w:w="7380" w:type="dxa"/>
            <w:tcBorders>
              <w:top w:val="single" w:sz="8" w:space="0" w:color="000000"/>
              <w:left w:val="single" w:sz="8" w:space="0" w:color="000000"/>
              <w:bottom w:val="single" w:sz="8" w:space="0" w:color="000000"/>
              <w:right w:val="nil"/>
            </w:tcBorders>
          </w:tcPr>
          <w:p w:rsidR="00BF5AED" w:rsidRPr="00076CCF" w:rsidP="00084521" w14:paraId="789B5BCD" w14:textId="77777777">
            <w:pPr>
              <w:rPr>
                <w:rFonts w:ascii="Times New Roman" w:hAnsi="Times New Roman"/>
                <w:szCs w:val="24"/>
              </w:rPr>
            </w:pPr>
            <w:r w:rsidRPr="00076CCF">
              <w:rPr>
                <w:rFonts w:ascii="Times New Roman" w:hAnsi="Times New Roman"/>
                <w:szCs w:val="24"/>
              </w:rPr>
              <w:t>Staff time for generating slate</w:t>
            </w:r>
          </w:p>
          <w:p w:rsidR="00BF5AED" w:rsidRPr="00076CCF" w:rsidP="00084521" w14:paraId="7B1DCB45" w14:textId="77777777">
            <w:pPr>
              <w:rPr>
                <w:rFonts w:ascii="Times New Roman" w:hAnsi="Times New Roman"/>
                <w:szCs w:val="24"/>
              </w:rPr>
            </w:pPr>
            <w:r w:rsidRPr="00076CCF">
              <w:rPr>
                <w:rFonts w:ascii="Times New Roman" w:hAnsi="Times New Roman"/>
                <w:szCs w:val="24"/>
              </w:rPr>
              <w:t>(3 staff x $48 per hour x 40 hours = $5,760)</w:t>
            </w:r>
          </w:p>
          <w:p w:rsidR="00BF5AED" w:rsidRPr="00076CCF" w:rsidP="00084521" w14:paraId="410C0363" w14:textId="77777777">
            <w:pPr>
              <w:rPr>
                <w:rFonts w:ascii="Times New Roman" w:hAnsi="Times New Roman"/>
                <w:szCs w:val="24"/>
              </w:rPr>
            </w:pPr>
            <w:r w:rsidRPr="00076CCF">
              <w:rPr>
                <w:rFonts w:ascii="Times New Roman" w:hAnsi="Times New Roman"/>
                <w:szCs w:val="24"/>
              </w:rPr>
              <w:t>(Overhead cost: $5,760 x 50 percent = $2,880)</w:t>
            </w:r>
          </w:p>
        </w:tc>
        <w:tc>
          <w:tcPr>
            <w:tcW w:w="2087" w:type="dxa"/>
            <w:tcBorders>
              <w:top w:val="single" w:sz="8" w:space="0" w:color="000000"/>
              <w:left w:val="single" w:sz="8" w:space="0" w:color="000000"/>
              <w:bottom w:val="single" w:sz="8" w:space="0" w:color="000000"/>
              <w:right w:val="single" w:sz="8" w:space="0" w:color="000000"/>
            </w:tcBorders>
          </w:tcPr>
          <w:p w:rsidR="00BF5AED" w:rsidRPr="00076CCF" w:rsidP="00084521" w14:paraId="52D609BE" w14:textId="77777777">
            <w:pPr>
              <w:rPr>
                <w:rFonts w:ascii="Times New Roman" w:hAnsi="Times New Roman"/>
                <w:szCs w:val="24"/>
              </w:rPr>
            </w:pPr>
            <w:r w:rsidRPr="00076CCF">
              <w:rPr>
                <w:rFonts w:ascii="Times New Roman" w:hAnsi="Times New Roman"/>
                <w:szCs w:val="24"/>
              </w:rPr>
              <w:t>$8,640</w:t>
            </w:r>
          </w:p>
        </w:tc>
      </w:tr>
      <w:tr w14:paraId="26FE23B0" w14:textId="77777777" w:rsidTr="001D2B41">
        <w:tblPrEx>
          <w:tblW w:w="0" w:type="auto"/>
          <w:tblInd w:w="-178" w:type="dxa"/>
          <w:tblLayout w:type="fixed"/>
          <w:tblCellMar>
            <w:left w:w="180" w:type="dxa"/>
            <w:right w:w="180" w:type="dxa"/>
          </w:tblCellMar>
          <w:tblLook w:val="0000"/>
        </w:tblPrEx>
        <w:trPr>
          <w:trHeight w:val="20"/>
        </w:trPr>
        <w:tc>
          <w:tcPr>
            <w:tcW w:w="7380" w:type="dxa"/>
            <w:tcBorders>
              <w:top w:val="single" w:sz="8" w:space="0" w:color="000000"/>
              <w:left w:val="single" w:sz="8" w:space="0" w:color="000000"/>
              <w:bottom w:val="single" w:sz="8" w:space="0" w:color="000000"/>
              <w:right w:val="nil"/>
            </w:tcBorders>
          </w:tcPr>
          <w:p w:rsidR="00BF5AED" w:rsidRPr="00076CCF" w:rsidP="00084521" w14:paraId="5FC439D4" w14:textId="77777777">
            <w:pPr>
              <w:rPr>
                <w:rFonts w:ascii="Times New Roman" w:hAnsi="Times New Roman"/>
                <w:szCs w:val="24"/>
              </w:rPr>
            </w:pPr>
            <w:r w:rsidRPr="00076CCF">
              <w:rPr>
                <w:rFonts w:ascii="Times New Roman" w:hAnsi="Times New Roman"/>
                <w:szCs w:val="24"/>
              </w:rPr>
              <w:t>Staff time to review and approve funding recommendations</w:t>
            </w:r>
          </w:p>
          <w:p w:rsidR="00BF5AED" w:rsidRPr="00076CCF" w:rsidP="00084521" w14:paraId="05EB610C" w14:textId="103FEC2C">
            <w:pPr>
              <w:rPr>
                <w:rFonts w:ascii="Times New Roman" w:hAnsi="Times New Roman"/>
                <w:szCs w:val="24"/>
              </w:rPr>
            </w:pPr>
            <w:r w:rsidRPr="00076CCF">
              <w:rPr>
                <w:rFonts w:ascii="Times New Roman" w:hAnsi="Times New Roman"/>
                <w:szCs w:val="24"/>
              </w:rPr>
              <w:t>(955 awards x 4 hours per award x $48 per hour = $183,360</w:t>
            </w:r>
          </w:p>
          <w:p w:rsidR="00BF5AED" w:rsidRPr="00076CCF" w:rsidP="00084521" w14:paraId="31F6B378" w14:textId="77777777">
            <w:pPr>
              <w:rPr>
                <w:rFonts w:ascii="Times New Roman" w:hAnsi="Times New Roman"/>
                <w:szCs w:val="24"/>
              </w:rPr>
            </w:pPr>
            <w:r w:rsidRPr="00076CCF">
              <w:rPr>
                <w:rFonts w:ascii="Times New Roman" w:hAnsi="Times New Roman"/>
                <w:szCs w:val="24"/>
              </w:rPr>
              <w:t>(Overhead cost: $183,360 x 50 percent = $91,680)</w:t>
            </w:r>
          </w:p>
        </w:tc>
        <w:tc>
          <w:tcPr>
            <w:tcW w:w="2087" w:type="dxa"/>
            <w:tcBorders>
              <w:top w:val="single" w:sz="8" w:space="0" w:color="000000"/>
              <w:left w:val="single" w:sz="8" w:space="0" w:color="000000"/>
              <w:bottom w:val="single" w:sz="8" w:space="0" w:color="000000"/>
              <w:right w:val="single" w:sz="8" w:space="0" w:color="000000"/>
            </w:tcBorders>
          </w:tcPr>
          <w:p w:rsidR="00BF5AED" w:rsidRPr="00076CCF" w:rsidP="00084521" w14:paraId="09F56A5D" w14:textId="77777777">
            <w:pPr>
              <w:tabs>
                <w:tab w:val="left" w:pos="-720"/>
              </w:tabs>
              <w:suppressAutoHyphens/>
              <w:rPr>
                <w:rFonts w:ascii="Times New Roman" w:hAnsi="Times New Roman"/>
                <w:szCs w:val="24"/>
              </w:rPr>
            </w:pPr>
            <w:r w:rsidRPr="00076CCF">
              <w:rPr>
                <w:rFonts w:ascii="Times New Roman" w:hAnsi="Times New Roman"/>
                <w:szCs w:val="24"/>
              </w:rPr>
              <w:t>$275,040</w:t>
            </w:r>
          </w:p>
        </w:tc>
      </w:tr>
      <w:tr w14:paraId="26976F94" w14:textId="77777777" w:rsidTr="001D2B41">
        <w:tblPrEx>
          <w:tblW w:w="0" w:type="auto"/>
          <w:tblInd w:w="-178" w:type="dxa"/>
          <w:tblLayout w:type="fixed"/>
          <w:tblCellMar>
            <w:left w:w="180" w:type="dxa"/>
            <w:right w:w="180" w:type="dxa"/>
          </w:tblCellMar>
          <w:tblLook w:val="0000"/>
        </w:tblPrEx>
        <w:trPr>
          <w:trHeight w:val="20"/>
        </w:trPr>
        <w:tc>
          <w:tcPr>
            <w:tcW w:w="7380" w:type="dxa"/>
            <w:tcBorders>
              <w:top w:val="single" w:sz="8" w:space="0" w:color="000000"/>
              <w:left w:val="single" w:sz="8" w:space="0" w:color="000000"/>
              <w:bottom w:val="single" w:sz="8" w:space="0" w:color="000000"/>
              <w:right w:val="nil"/>
            </w:tcBorders>
          </w:tcPr>
          <w:p w:rsidR="00BF5AED" w:rsidRPr="00076CCF" w:rsidP="00084521" w14:paraId="7EABEFB9" w14:textId="77777777">
            <w:pPr>
              <w:rPr>
                <w:rFonts w:ascii="Times New Roman" w:hAnsi="Times New Roman"/>
                <w:szCs w:val="24"/>
              </w:rPr>
            </w:pPr>
            <w:r w:rsidRPr="00076CCF">
              <w:rPr>
                <w:rFonts w:ascii="Times New Roman" w:hAnsi="Times New Roman"/>
                <w:szCs w:val="24"/>
              </w:rPr>
              <w:t>Staff time to generate, approve, and issue grant awards</w:t>
            </w:r>
          </w:p>
          <w:p w:rsidR="00BF5AED" w:rsidRPr="00076CCF" w:rsidP="00084521" w14:paraId="251895C7" w14:textId="77777777">
            <w:pPr>
              <w:rPr>
                <w:rFonts w:ascii="Times New Roman" w:hAnsi="Times New Roman"/>
                <w:szCs w:val="24"/>
              </w:rPr>
            </w:pPr>
            <w:r w:rsidRPr="00076CCF">
              <w:rPr>
                <w:rFonts w:ascii="Times New Roman" w:hAnsi="Times New Roman"/>
                <w:szCs w:val="24"/>
              </w:rPr>
              <w:t>(6 hours per award x 955 awards = 5,730 hours)</w:t>
            </w:r>
          </w:p>
          <w:p w:rsidR="00BF5AED" w:rsidRPr="00076CCF" w:rsidP="00084521" w14:paraId="3B36B9A7" w14:textId="77777777">
            <w:pPr>
              <w:rPr>
                <w:rFonts w:ascii="Times New Roman" w:hAnsi="Times New Roman"/>
                <w:szCs w:val="24"/>
              </w:rPr>
            </w:pPr>
            <w:r w:rsidRPr="00076CCF">
              <w:rPr>
                <w:rFonts w:ascii="Times New Roman" w:hAnsi="Times New Roman"/>
                <w:szCs w:val="24"/>
              </w:rPr>
              <w:t>($48 per hour x 5,730 hours = $275,040)</w:t>
            </w:r>
          </w:p>
          <w:p w:rsidR="00BF5AED" w:rsidRPr="00076CCF" w:rsidP="00084521" w14:paraId="3D7D04A6" w14:textId="2E214F4D">
            <w:pPr>
              <w:rPr>
                <w:rFonts w:ascii="Times New Roman" w:hAnsi="Times New Roman"/>
                <w:szCs w:val="24"/>
              </w:rPr>
            </w:pPr>
            <w:r w:rsidRPr="00076CCF">
              <w:rPr>
                <w:rFonts w:ascii="Times New Roman" w:hAnsi="Times New Roman"/>
                <w:szCs w:val="24"/>
              </w:rPr>
              <w:t>(Overhead cost: $275,040 x 50 percent = $137,520)</w:t>
            </w:r>
          </w:p>
        </w:tc>
        <w:tc>
          <w:tcPr>
            <w:tcW w:w="2087" w:type="dxa"/>
            <w:tcBorders>
              <w:top w:val="single" w:sz="8" w:space="0" w:color="000000"/>
              <w:left w:val="single" w:sz="8" w:space="0" w:color="000000"/>
              <w:bottom w:val="single" w:sz="8" w:space="0" w:color="000000"/>
              <w:right w:val="single" w:sz="8" w:space="0" w:color="000000"/>
            </w:tcBorders>
          </w:tcPr>
          <w:p w:rsidR="00BF5AED" w:rsidRPr="00076CCF" w:rsidP="00084521" w14:paraId="74FCF031" w14:textId="77777777">
            <w:pPr>
              <w:tabs>
                <w:tab w:val="left" w:pos="-720"/>
              </w:tabs>
              <w:suppressAutoHyphens/>
              <w:rPr>
                <w:rFonts w:ascii="Times New Roman" w:hAnsi="Times New Roman"/>
                <w:szCs w:val="24"/>
              </w:rPr>
            </w:pPr>
            <w:r w:rsidRPr="00076CCF">
              <w:rPr>
                <w:rFonts w:ascii="Times New Roman" w:hAnsi="Times New Roman"/>
                <w:szCs w:val="24"/>
              </w:rPr>
              <w:t>$412,560</w:t>
            </w:r>
          </w:p>
        </w:tc>
      </w:tr>
      <w:tr w14:paraId="579D889C" w14:textId="77777777" w:rsidTr="001D2B41">
        <w:tblPrEx>
          <w:tblW w:w="0" w:type="auto"/>
          <w:tblInd w:w="-178" w:type="dxa"/>
          <w:tblLayout w:type="fixed"/>
          <w:tblCellMar>
            <w:left w:w="180" w:type="dxa"/>
            <w:right w:w="180" w:type="dxa"/>
          </w:tblCellMar>
          <w:tblLook w:val="0000"/>
        </w:tblPrEx>
        <w:trPr>
          <w:trHeight w:val="20"/>
        </w:trPr>
        <w:tc>
          <w:tcPr>
            <w:tcW w:w="7380" w:type="dxa"/>
            <w:tcBorders>
              <w:top w:val="single" w:sz="8" w:space="0" w:color="000000"/>
              <w:left w:val="single" w:sz="8" w:space="0" w:color="000000"/>
              <w:bottom w:val="single" w:sz="8" w:space="0" w:color="000000"/>
              <w:right w:val="nil"/>
            </w:tcBorders>
          </w:tcPr>
          <w:p w:rsidR="00490497" w:rsidRPr="00076CCF" w:rsidP="00084521" w14:paraId="081941E0" w14:textId="45A91313">
            <w:pPr>
              <w:rPr>
                <w:rFonts w:ascii="Times New Roman" w:hAnsi="Times New Roman"/>
                <w:szCs w:val="24"/>
              </w:rPr>
            </w:pPr>
            <w:r w:rsidRPr="00076CCF">
              <w:rPr>
                <w:rFonts w:ascii="Times New Roman" w:hAnsi="Times New Roman"/>
                <w:b/>
                <w:i/>
                <w:iCs/>
                <w:szCs w:val="24"/>
              </w:rPr>
              <w:t xml:space="preserve">Estimated </w:t>
            </w:r>
            <w:r w:rsidR="00C86EDF">
              <w:rPr>
                <w:rFonts w:ascii="Times New Roman" w:hAnsi="Times New Roman"/>
                <w:b/>
                <w:i/>
                <w:iCs/>
                <w:szCs w:val="24"/>
              </w:rPr>
              <w:t>s</w:t>
            </w:r>
            <w:r w:rsidRPr="00076CCF">
              <w:rPr>
                <w:rFonts w:ascii="Times New Roman" w:hAnsi="Times New Roman"/>
                <w:b/>
                <w:i/>
                <w:iCs/>
                <w:szCs w:val="24"/>
              </w:rPr>
              <w:t>ub-total</w:t>
            </w:r>
          </w:p>
        </w:tc>
        <w:tc>
          <w:tcPr>
            <w:tcW w:w="2087" w:type="dxa"/>
            <w:tcBorders>
              <w:top w:val="single" w:sz="8" w:space="0" w:color="000000"/>
              <w:left w:val="single" w:sz="8" w:space="0" w:color="000000"/>
              <w:bottom w:val="single" w:sz="8" w:space="0" w:color="000000"/>
              <w:right w:val="single" w:sz="8" w:space="0" w:color="000000"/>
            </w:tcBorders>
          </w:tcPr>
          <w:p w:rsidR="00490497" w:rsidRPr="001D2B41" w:rsidP="001D2B41" w14:paraId="4C00D94F" w14:textId="11C71D10">
            <w:pPr>
              <w:rPr>
                <w:rFonts w:ascii="Times New Roman" w:hAnsi="Times New Roman"/>
                <w:b/>
                <w:bCs/>
                <w:color w:val="000000"/>
                <w:szCs w:val="24"/>
              </w:rPr>
            </w:pPr>
            <w:r w:rsidRPr="001D2B41">
              <w:rPr>
                <w:rFonts w:ascii="Times New Roman" w:hAnsi="Times New Roman"/>
                <w:b/>
                <w:bCs/>
                <w:color w:val="000000"/>
                <w:szCs w:val="24"/>
              </w:rPr>
              <w:t>$4,431,05</w:t>
            </w:r>
            <w:r w:rsidR="00242717">
              <w:rPr>
                <w:rFonts w:ascii="Times New Roman" w:hAnsi="Times New Roman"/>
                <w:b/>
                <w:bCs/>
                <w:color w:val="000000"/>
                <w:szCs w:val="24"/>
              </w:rPr>
              <w:t>8.81</w:t>
            </w:r>
          </w:p>
        </w:tc>
      </w:tr>
      <w:tr w14:paraId="75D59EBD" w14:textId="77777777" w:rsidTr="001D2B41">
        <w:tblPrEx>
          <w:tblW w:w="0" w:type="auto"/>
          <w:tblInd w:w="-178" w:type="dxa"/>
          <w:tblLayout w:type="fixed"/>
          <w:tblCellMar>
            <w:left w:w="180" w:type="dxa"/>
            <w:right w:w="180" w:type="dxa"/>
          </w:tblCellMar>
          <w:tblLook w:val="0000"/>
        </w:tblPrEx>
        <w:trPr>
          <w:trHeight w:val="20"/>
        </w:trPr>
        <w:tc>
          <w:tcPr>
            <w:tcW w:w="9467"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084521" w:rsidRPr="00076CCF" w:rsidP="00084521" w14:paraId="3218A097" w14:textId="77777777">
            <w:pPr>
              <w:rPr>
                <w:rFonts w:ascii="Times New Roman" w:hAnsi="Times New Roman"/>
                <w:szCs w:val="24"/>
              </w:rPr>
            </w:pPr>
          </w:p>
        </w:tc>
      </w:tr>
      <w:tr w14:paraId="44DCCC6D" w14:textId="77777777" w:rsidTr="001D2B41">
        <w:tblPrEx>
          <w:tblW w:w="0" w:type="auto"/>
          <w:tblInd w:w="-178" w:type="dxa"/>
          <w:tblLayout w:type="fixed"/>
          <w:tblCellMar>
            <w:left w:w="180" w:type="dxa"/>
            <w:right w:w="180" w:type="dxa"/>
          </w:tblCellMar>
          <w:tblLook w:val="0000"/>
        </w:tblPrEx>
        <w:trPr>
          <w:trHeight w:val="20"/>
        </w:trPr>
        <w:tc>
          <w:tcPr>
            <w:tcW w:w="7380" w:type="dxa"/>
            <w:tcBorders>
              <w:top w:val="single" w:sz="8" w:space="0" w:color="000000"/>
              <w:left w:val="single" w:sz="8" w:space="0" w:color="000000"/>
              <w:bottom w:val="single" w:sz="8" w:space="0" w:color="000000"/>
              <w:right w:val="nil"/>
            </w:tcBorders>
          </w:tcPr>
          <w:p w:rsidR="00BF5AED" w:rsidRPr="001D2B41" w:rsidP="00084521" w14:paraId="1AA04A46" w14:textId="6E5D6F4E">
            <w:pPr>
              <w:tabs>
                <w:tab w:val="left" w:pos="-720"/>
              </w:tabs>
              <w:suppressAutoHyphens/>
              <w:rPr>
                <w:rFonts w:ascii="Times New Roman" w:hAnsi="Times New Roman"/>
                <w:b/>
                <w:bCs/>
                <w:szCs w:val="24"/>
              </w:rPr>
            </w:pPr>
            <w:r w:rsidRPr="001D2B41">
              <w:rPr>
                <w:rFonts w:ascii="Times New Roman" w:hAnsi="Times New Roman"/>
                <w:b/>
                <w:bCs/>
                <w:i/>
                <w:iCs/>
                <w:szCs w:val="24"/>
              </w:rPr>
              <w:t>Total estimate</w:t>
            </w:r>
            <w:r w:rsidRPr="001D2B41" w:rsidR="00E277C7">
              <w:rPr>
                <w:rFonts w:ascii="Times New Roman" w:hAnsi="Times New Roman"/>
                <w:b/>
                <w:bCs/>
                <w:i/>
                <w:iCs/>
                <w:szCs w:val="24"/>
              </w:rPr>
              <w:t>d</w:t>
            </w:r>
            <w:r w:rsidRPr="001D2B41">
              <w:rPr>
                <w:rFonts w:ascii="Times New Roman" w:hAnsi="Times New Roman"/>
                <w:b/>
                <w:bCs/>
                <w:i/>
                <w:iCs/>
                <w:szCs w:val="24"/>
              </w:rPr>
              <w:t xml:space="preserve"> cost to government (competitive year)</w:t>
            </w:r>
          </w:p>
        </w:tc>
        <w:tc>
          <w:tcPr>
            <w:tcW w:w="2087" w:type="dxa"/>
            <w:tcBorders>
              <w:top w:val="single" w:sz="8" w:space="0" w:color="000000"/>
              <w:left w:val="single" w:sz="8" w:space="0" w:color="000000"/>
              <w:bottom w:val="single" w:sz="8" w:space="0" w:color="000000"/>
              <w:right w:val="single" w:sz="8" w:space="0" w:color="000000"/>
            </w:tcBorders>
          </w:tcPr>
          <w:p w:rsidR="00BF5AED" w:rsidRPr="00076CCF" w:rsidP="001D2B41" w14:paraId="594EF368" w14:textId="087B5E6A">
            <w:pPr>
              <w:rPr>
                <w:rFonts w:ascii="Times New Roman" w:hAnsi="Times New Roman"/>
                <w:szCs w:val="24"/>
              </w:rPr>
            </w:pPr>
            <w:r w:rsidRPr="001D2B41">
              <w:rPr>
                <w:rFonts w:ascii="Times New Roman" w:hAnsi="Times New Roman"/>
                <w:b/>
                <w:bCs/>
                <w:szCs w:val="24"/>
              </w:rPr>
              <w:t>$4,445,428.81</w:t>
            </w:r>
          </w:p>
        </w:tc>
      </w:tr>
    </w:tbl>
    <w:p w:rsidR="00BF5AED" w:rsidRPr="00534B4A" w:rsidP="00BF5AED" w14:paraId="6A486A11" w14:textId="77777777">
      <w:pPr>
        <w:pStyle w:val="ListParagraph"/>
        <w:tabs>
          <w:tab w:val="left" w:pos="-720"/>
        </w:tabs>
        <w:suppressAutoHyphens/>
        <w:ind w:left="900"/>
        <w:contextualSpacing w:val="0"/>
        <w:rPr>
          <w:rStyle w:val="a"/>
          <w:rFonts w:ascii="Times New Roman" w:hAnsi="Times New Roman"/>
          <w:b/>
          <w:szCs w:val="24"/>
        </w:rPr>
      </w:pPr>
    </w:p>
    <w:p w:rsidR="00534B4A" w:rsidP="002313E2" w14:paraId="56DDEFA1" w14:textId="66F8B6D3">
      <w:pPr>
        <w:tabs>
          <w:tab w:val="left" w:pos="-720"/>
        </w:tabs>
        <w:suppressAutoHyphens/>
        <w:rPr>
          <w:rFonts w:ascii="Times New Roman" w:hAnsi="Times New Roman"/>
          <w:szCs w:val="24"/>
        </w:rPr>
      </w:pPr>
    </w:p>
    <w:p w:rsidR="00A03B7A" w:rsidP="002313E2" w14:paraId="6E8A9B6F" w14:textId="5679E8E9">
      <w:pPr>
        <w:tabs>
          <w:tab w:val="left" w:pos="-720"/>
        </w:tabs>
        <w:suppressAutoHyphens/>
        <w:rPr>
          <w:rFonts w:ascii="Times New Roman" w:hAnsi="Times New Roman"/>
          <w:szCs w:val="24"/>
        </w:rPr>
      </w:pPr>
    </w:p>
    <w:p w:rsidR="00A03B7A" w:rsidP="002313E2" w14:paraId="1DE90897" w14:textId="36C10686">
      <w:pPr>
        <w:tabs>
          <w:tab w:val="left" w:pos="-720"/>
        </w:tabs>
        <w:suppressAutoHyphens/>
        <w:rPr>
          <w:rFonts w:ascii="Times New Roman" w:hAnsi="Times New Roman"/>
          <w:szCs w:val="24"/>
        </w:rPr>
      </w:pPr>
    </w:p>
    <w:p w:rsidR="005D2023" w:rsidP="002313E2" w14:paraId="26242058" w14:textId="52F98564">
      <w:pPr>
        <w:tabs>
          <w:tab w:val="left" w:pos="-720"/>
        </w:tabs>
        <w:suppressAutoHyphens/>
        <w:rPr>
          <w:rFonts w:ascii="Times New Roman" w:hAnsi="Times New Roman"/>
          <w:szCs w:val="24"/>
        </w:rPr>
      </w:pPr>
    </w:p>
    <w:p w:rsidR="005D2023" w:rsidP="002313E2" w14:paraId="497F3AB9" w14:textId="30FCAC8A">
      <w:pPr>
        <w:tabs>
          <w:tab w:val="left" w:pos="-720"/>
        </w:tabs>
        <w:suppressAutoHyphens/>
        <w:rPr>
          <w:rFonts w:ascii="Times New Roman" w:hAnsi="Times New Roman"/>
          <w:szCs w:val="24"/>
        </w:rPr>
      </w:pPr>
    </w:p>
    <w:p w:rsidR="005D2023" w:rsidP="002313E2" w14:paraId="68740219" w14:textId="45815C5D">
      <w:pPr>
        <w:tabs>
          <w:tab w:val="left" w:pos="-720"/>
        </w:tabs>
        <w:suppressAutoHyphens/>
        <w:rPr>
          <w:rFonts w:ascii="Times New Roman" w:hAnsi="Times New Roman"/>
          <w:szCs w:val="24"/>
        </w:rPr>
      </w:pPr>
    </w:p>
    <w:p w:rsidR="005D2023" w:rsidP="002313E2" w14:paraId="0EC1291D" w14:textId="23530265">
      <w:pPr>
        <w:tabs>
          <w:tab w:val="left" w:pos="-720"/>
        </w:tabs>
        <w:suppressAutoHyphens/>
        <w:rPr>
          <w:rFonts w:ascii="Times New Roman" w:hAnsi="Times New Roman"/>
          <w:szCs w:val="24"/>
        </w:rPr>
      </w:pPr>
    </w:p>
    <w:p w:rsidR="005D2023" w:rsidP="002313E2" w14:paraId="428FB3C2" w14:textId="1DEFF5DE">
      <w:pPr>
        <w:tabs>
          <w:tab w:val="left" w:pos="-720"/>
        </w:tabs>
        <w:suppressAutoHyphens/>
        <w:rPr>
          <w:rFonts w:ascii="Times New Roman" w:hAnsi="Times New Roman"/>
          <w:szCs w:val="24"/>
        </w:rPr>
      </w:pPr>
    </w:p>
    <w:p w:rsidR="005D2023" w:rsidP="002313E2" w14:paraId="19B7F7B4" w14:textId="41A674C1">
      <w:pPr>
        <w:tabs>
          <w:tab w:val="left" w:pos="-720"/>
        </w:tabs>
        <w:suppressAutoHyphens/>
        <w:rPr>
          <w:rFonts w:ascii="Times New Roman" w:hAnsi="Times New Roman"/>
          <w:szCs w:val="24"/>
        </w:rPr>
      </w:pPr>
    </w:p>
    <w:p w:rsidR="00534B4A" w:rsidP="002313E2" w14:paraId="56DDEFA2" w14:textId="77777777">
      <w:pPr>
        <w:pStyle w:val="ListParagraph"/>
        <w:tabs>
          <w:tab w:val="left" w:pos="-720"/>
        </w:tabs>
        <w:suppressAutoHyphens/>
        <w:ind w:left="907"/>
        <w:contextualSpacing w:val="0"/>
        <w:rPr>
          <w:rFonts w:ascii="Times New Roman" w:hAnsi="Times New Roman"/>
          <w:szCs w:val="24"/>
        </w:rPr>
      </w:pPr>
    </w:p>
    <w:p w:rsidR="00800D30" w:rsidP="002313E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2313E2" w14:paraId="56DDEFA4" w14:textId="77777777">
      <w:pPr>
        <w:pStyle w:val="ListParagraph"/>
        <w:tabs>
          <w:tab w:val="left" w:pos="-720"/>
        </w:tabs>
        <w:suppressAutoHyphens/>
        <w:contextualSpacing w:val="0"/>
        <w:rPr>
          <w:rFonts w:ascii="Times New Roman" w:hAnsi="Times New Roman"/>
          <w:b/>
          <w:szCs w:val="24"/>
        </w:rPr>
      </w:pPr>
    </w:p>
    <w:p w:rsidR="00800D30" w:rsidRPr="003F0326" w:rsidP="002313E2" w14:paraId="56DDEFA5" w14:textId="77777777">
      <w:pPr>
        <w:pStyle w:val="ListParagraph"/>
        <w:tabs>
          <w:tab w:val="left" w:pos="-720"/>
        </w:tabs>
        <w:suppressAutoHyphens/>
        <w:contextualSpacing w:val="0"/>
        <w:rPr>
          <w:rFonts w:ascii="Times New Roman" w:hAnsi="Times New Roman"/>
          <w:b/>
          <w:szCs w:val="24"/>
        </w:rPr>
      </w:pPr>
      <w:r w:rsidRPr="003F0326">
        <w:rPr>
          <w:rFonts w:ascii="Times New Roman" w:hAnsi="Times New Roman"/>
          <w:b/>
          <w:szCs w:val="24"/>
        </w:rPr>
        <w:t>Provide a descriptive narrative for the reasons of any change in addition to completing the table with the burden hour change(s)</w:t>
      </w:r>
      <w:r w:rsidRPr="003F0326" w:rsidR="002A3221">
        <w:rPr>
          <w:rFonts w:ascii="Times New Roman" w:hAnsi="Times New Roman"/>
          <w:b/>
          <w:szCs w:val="24"/>
        </w:rPr>
        <w:t xml:space="preserve"> here</w:t>
      </w:r>
      <w:r w:rsidRPr="003F0326" w:rsidR="00946126">
        <w:rPr>
          <w:rFonts w:ascii="Times New Roman" w:hAnsi="Times New Roman"/>
          <w:b/>
          <w:szCs w:val="24"/>
        </w:rPr>
        <w:t>.</w:t>
      </w:r>
    </w:p>
    <w:p w:rsidR="00534B4A" w:rsidP="002313E2" w14:paraId="56DDEFA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6DDEFAB" w14:textId="77777777" w:rsidTr="0052073E">
        <w:tblPrEx>
          <w:tblW w:w="9445" w:type="dxa"/>
          <w:tblLook w:val="04A0"/>
        </w:tblPrEx>
        <w:tc>
          <w:tcPr>
            <w:tcW w:w="2048" w:type="dxa"/>
            <w:shd w:val="clear" w:color="auto" w:fill="D9D9D9" w:themeFill="background1" w:themeFillShade="D9"/>
          </w:tcPr>
          <w:p w:rsidR="0052073E" w:rsidP="002313E2" w14:paraId="56DDEFA7" w14:textId="77777777">
            <w:pPr>
              <w:tabs>
                <w:tab w:val="left" w:pos="-720"/>
              </w:tabs>
              <w:suppressAutoHyphens/>
              <w:rPr>
                <w:rFonts w:ascii="Times New Roman" w:hAnsi="Times New Roman"/>
                <w:b/>
                <w:szCs w:val="24"/>
              </w:rPr>
            </w:pPr>
          </w:p>
        </w:tc>
        <w:tc>
          <w:tcPr>
            <w:tcW w:w="2048" w:type="dxa"/>
          </w:tcPr>
          <w:p w:rsidR="0052073E" w:rsidP="002313E2"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DDEFB0" w14:textId="77777777" w:rsidTr="0052073E">
        <w:tblPrEx>
          <w:tblW w:w="9445" w:type="dxa"/>
          <w:tblLook w:val="04A0"/>
        </w:tblPrEx>
        <w:tc>
          <w:tcPr>
            <w:tcW w:w="2048" w:type="dxa"/>
          </w:tcPr>
          <w:p w:rsidR="0052073E" w:rsidP="002313E2"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14:paraId="56DDEFAD" w14:textId="77777777">
            <w:pPr>
              <w:tabs>
                <w:tab w:val="left" w:pos="-720"/>
              </w:tabs>
              <w:suppressAutoHyphens/>
              <w:rPr>
                <w:rFonts w:ascii="Times New Roman" w:hAnsi="Times New Roman"/>
                <w:b/>
                <w:szCs w:val="24"/>
              </w:rPr>
            </w:pPr>
          </w:p>
        </w:tc>
        <w:tc>
          <w:tcPr>
            <w:tcW w:w="2829" w:type="dxa"/>
          </w:tcPr>
          <w:p w:rsidR="0052073E" w:rsidP="002313E2" w14:paraId="56DDEFAE" w14:textId="77777777">
            <w:pPr>
              <w:tabs>
                <w:tab w:val="left" w:pos="-720"/>
              </w:tabs>
              <w:suppressAutoHyphens/>
              <w:rPr>
                <w:rFonts w:ascii="Times New Roman" w:hAnsi="Times New Roman"/>
                <w:b/>
                <w:szCs w:val="24"/>
              </w:rPr>
            </w:pPr>
          </w:p>
        </w:tc>
        <w:tc>
          <w:tcPr>
            <w:tcW w:w="2520" w:type="dxa"/>
          </w:tcPr>
          <w:p w:rsidR="0052073E" w:rsidRPr="001D2B41" w:rsidP="002313E2" w14:paraId="56DDEFAF" w14:textId="3CC3B4A7">
            <w:pPr>
              <w:tabs>
                <w:tab w:val="left" w:pos="-720"/>
              </w:tabs>
              <w:suppressAutoHyphens/>
              <w:rPr>
                <w:rFonts w:ascii="Times New Roman" w:hAnsi="Times New Roman"/>
                <w:bCs/>
                <w:szCs w:val="24"/>
              </w:rPr>
            </w:pPr>
            <w:r>
              <w:rPr>
                <w:rFonts w:ascii="Times New Roman" w:hAnsi="Times New Roman"/>
                <w:bCs/>
                <w:szCs w:val="24"/>
              </w:rPr>
              <w:t>12,638</w:t>
            </w:r>
          </w:p>
        </w:tc>
      </w:tr>
      <w:tr w14:paraId="56DDEFB5" w14:textId="77777777" w:rsidTr="0052073E">
        <w:tblPrEx>
          <w:tblW w:w="9445" w:type="dxa"/>
          <w:tblLook w:val="04A0"/>
        </w:tblPrEx>
        <w:tc>
          <w:tcPr>
            <w:tcW w:w="2048" w:type="dxa"/>
          </w:tcPr>
          <w:p w:rsidR="0052073E" w:rsidP="002313E2"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14:paraId="56DDEFB2" w14:textId="5574F1EE">
            <w:pPr>
              <w:tabs>
                <w:tab w:val="left" w:pos="-720"/>
              </w:tabs>
              <w:suppressAutoHyphens/>
              <w:rPr>
                <w:rFonts w:ascii="Times New Roman" w:hAnsi="Times New Roman"/>
                <w:b/>
                <w:szCs w:val="24"/>
              </w:rPr>
            </w:pPr>
          </w:p>
        </w:tc>
        <w:tc>
          <w:tcPr>
            <w:tcW w:w="2829" w:type="dxa"/>
          </w:tcPr>
          <w:p w:rsidR="0052073E" w:rsidP="002313E2" w14:paraId="56DDEFB3" w14:textId="77777777">
            <w:pPr>
              <w:tabs>
                <w:tab w:val="left" w:pos="-720"/>
              </w:tabs>
              <w:suppressAutoHyphens/>
              <w:rPr>
                <w:rFonts w:ascii="Times New Roman" w:hAnsi="Times New Roman"/>
                <w:b/>
                <w:szCs w:val="24"/>
              </w:rPr>
            </w:pPr>
          </w:p>
        </w:tc>
        <w:tc>
          <w:tcPr>
            <w:tcW w:w="2520" w:type="dxa"/>
          </w:tcPr>
          <w:p w:rsidR="0052073E" w:rsidP="002313E2" w14:paraId="56DDEFB4" w14:textId="1BDA4ED5">
            <w:pPr>
              <w:tabs>
                <w:tab w:val="left" w:pos="-720"/>
              </w:tabs>
              <w:suppressAutoHyphens/>
              <w:rPr>
                <w:rFonts w:ascii="Times New Roman" w:hAnsi="Times New Roman"/>
                <w:b/>
                <w:szCs w:val="24"/>
              </w:rPr>
            </w:pPr>
            <w:r w:rsidRPr="002B4D03">
              <w:rPr>
                <w:rFonts w:ascii="Times New Roman" w:hAnsi="Times New Roman"/>
                <w:bCs/>
                <w:szCs w:val="24"/>
              </w:rPr>
              <w:t>367</w:t>
            </w:r>
          </w:p>
        </w:tc>
      </w:tr>
      <w:tr w14:paraId="56DDEFBA" w14:textId="77777777" w:rsidTr="0052073E">
        <w:tblPrEx>
          <w:tblW w:w="9445" w:type="dxa"/>
          <w:tblLook w:val="04A0"/>
        </w:tblPrEx>
        <w:tc>
          <w:tcPr>
            <w:tcW w:w="2048" w:type="dxa"/>
          </w:tcPr>
          <w:p w:rsidR="0052073E" w:rsidP="002313E2"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14:paraId="56DDEFB7" w14:textId="77777777">
            <w:pPr>
              <w:tabs>
                <w:tab w:val="left" w:pos="-720"/>
              </w:tabs>
              <w:suppressAutoHyphens/>
              <w:rPr>
                <w:rFonts w:ascii="Times New Roman" w:hAnsi="Times New Roman"/>
                <w:b/>
                <w:szCs w:val="24"/>
              </w:rPr>
            </w:pPr>
          </w:p>
        </w:tc>
        <w:tc>
          <w:tcPr>
            <w:tcW w:w="2829" w:type="dxa"/>
          </w:tcPr>
          <w:p w:rsidR="0052073E" w:rsidP="002313E2" w14:paraId="56DDEFB8" w14:textId="77777777">
            <w:pPr>
              <w:tabs>
                <w:tab w:val="left" w:pos="-720"/>
              </w:tabs>
              <w:suppressAutoHyphens/>
              <w:rPr>
                <w:rFonts w:ascii="Times New Roman" w:hAnsi="Times New Roman"/>
                <w:b/>
                <w:szCs w:val="24"/>
              </w:rPr>
            </w:pPr>
          </w:p>
        </w:tc>
        <w:tc>
          <w:tcPr>
            <w:tcW w:w="2520" w:type="dxa"/>
          </w:tcPr>
          <w:p w:rsidR="0052073E" w:rsidP="002313E2" w14:paraId="56DDEFB9" w14:textId="77777777">
            <w:pPr>
              <w:tabs>
                <w:tab w:val="left" w:pos="-720"/>
              </w:tabs>
              <w:suppressAutoHyphens/>
              <w:rPr>
                <w:rFonts w:ascii="Times New Roman" w:hAnsi="Times New Roman"/>
                <w:b/>
                <w:szCs w:val="24"/>
              </w:rPr>
            </w:pPr>
          </w:p>
        </w:tc>
      </w:tr>
    </w:tbl>
    <w:p w:rsidR="00F27AAF" w:rsidP="002313E2" w14:paraId="56DDEFBB" w14:textId="77777777">
      <w:pPr>
        <w:tabs>
          <w:tab w:val="left" w:pos="-720"/>
        </w:tabs>
        <w:suppressAutoHyphens/>
        <w:rPr>
          <w:rFonts w:ascii="Times New Roman" w:hAnsi="Times New Roman"/>
          <w:b/>
          <w:szCs w:val="24"/>
        </w:rPr>
      </w:pPr>
    </w:p>
    <w:p w:rsidR="00534B4A" w:rsidP="001D2B41" w14:paraId="56DDEFBC" w14:textId="17E60258">
      <w:pPr>
        <w:tabs>
          <w:tab w:val="left" w:pos="-720"/>
        </w:tabs>
        <w:suppressAutoHyphens/>
        <w:ind w:left="720"/>
        <w:rPr>
          <w:rFonts w:ascii="Times New Roman" w:hAnsi="Times New Roman"/>
          <w:szCs w:val="24"/>
        </w:rPr>
      </w:pPr>
      <w:r w:rsidRPr="003E0AD7">
        <w:rPr>
          <w:rFonts w:ascii="Times New Roman" w:hAnsi="Times New Roman"/>
          <w:szCs w:val="24"/>
        </w:rPr>
        <w:t>The current burden hour estimate is based on</w:t>
      </w:r>
      <w:r>
        <w:rPr>
          <w:rFonts w:ascii="Times New Roman" w:hAnsi="Times New Roman"/>
          <w:szCs w:val="24"/>
        </w:rPr>
        <w:t xml:space="preserve"> </w:t>
      </w:r>
      <w:r w:rsidR="009A1A4F">
        <w:rPr>
          <w:rFonts w:ascii="Times New Roman" w:hAnsi="Times New Roman"/>
          <w:szCs w:val="24"/>
        </w:rPr>
        <w:t xml:space="preserve">an increase in the anticipated number of respondents </w:t>
      </w:r>
      <w:r w:rsidR="003D0592">
        <w:rPr>
          <w:rFonts w:ascii="Times New Roman" w:hAnsi="Times New Roman"/>
          <w:szCs w:val="24"/>
        </w:rPr>
        <w:t xml:space="preserve">to </w:t>
      </w:r>
      <w:r w:rsidRPr="0049572E" w:rsidR="008D4249">
        <w:rPr>
          <w:rFonts w:ascii="Times New Roman" w:hAnsi="Times New Roman"/>
          <w:szCs w:val="24"/>
        </w:rPr>
        <w:t>2,000</w:t>
      </w:r>
      <w:r w:rsidRPr="003E0AD7">
        <w:rPr>
          <w:rFonts w:ascii="Times New Roman" w:hAnsi="Times New Roman"/>
          <w:szCs w:val="24"/>
        </w:rPr>
        <w:t>, including those who respond under the second review process</w:t>
      </w:r>
      <w:r w:rsidR="00652004">
        <w:rPr>
          <w:rFonts w:ascii="Times New Roman" w:hAnsi="Times New Roman"/>
          <w:szCs w:val="24"/>
        </w:rPr>
        <w:t>.</w:t>
      </w:r>
    </w:p>
    <w:p w:rsidR="00F67FD9" w:rsidRPr="00534B4A" w:rsidP="002313E2" w14:paraId="567697D2" w14:textId="77777777">
      <w:pPr>
        <w:tabs>
          <w:tab w:val="left" w:pos="-720"/>
        </w:tabs>
        <w:suppressAutoHyphens/>
        <w:rPr>
          <w:rFonts w:ascii="Times New Roman" w:hAnsi="Times New Roman"/>
          <w:szCs w:val="24"/>
        </w:rPr>
      </w:pPr>
    </w:p>
    <w:p w:rsidR="00043C32" w:rsidP="002313E2" w14:paraId="56DDEFBD" w14:textId="7AA66C95">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3E03" w:rsidP="00FC3E03" w14:paraId="5DA07C06" w14:textId="12D10ADE">
      <w:pPr>
        <w:tabs>
          <w:tab w:val="left" w:pos="-720"/>
        </w:tabs>
        <w:suppressAutoHyphens/>
        <w:rPr>
          <w:rStyle w:val="a"/>
          <w:rFonts w:ascii="Times New Roman" w:hAnsi="Times New Roman"/>
          <w:b/>
          <w:szCs w:val="24"/>
        </w:rPr>
      </w:pPr>
    </w:p>
    <w:p w:rsidR="00FC3E03" w:rsidRPr="003E0AD7" w:rsidP="000A66F2" w14:paraId="60DAAF7B" w14:textId="77777777">
      <w:pPr>
        <w:ind w:left="86" w:firstLine="720"/>
        <w:rPr>
          <w:rFonts w:ascii="Times New Roman" w:hAnsi="Times New Roman"/>
          <w:szCs w:val="24"/>
        </w:rPr>
      </w:pPr>
      <w:r w:rsidRPr="003E0AD7">
        <w:rPr>
          <w:rFonts w:ascii="Times New Roman" w:hAnsi="Times New Roman"/>
          <w:szCs w:val="24"/>
        </w:rPr>
        <w:t>Results of collected information will not be published.</w:t>
      </w:r>
    </w:p>
    <w:p w:rsidR="00FC3E03" w:rsidRPr="00FC3E03" w:rsidP="00FC3E03" w14:paraId="789AAC8E" w14:textId="77777777">
      <w:pPr>
        <w:tabs>
          <w:tab w:val="left" w:pos="-720"/>
        </w:tabs>
        <w:suppressAutoHyphens/>
        <w:rPr>
          <w:rStyle w:val="a"/>
          <w:rFonts w:ascii="Times New Roman" w:hAnsi="Times New Roman"/>
          <w:b/>
          <w:szCs w:val="24"/>
        </w:rPr>
      </w:pPr>
    </w:p>
    <w:p w:rsidR="00043C32" w:rsidP="002313E2" w14:paraId="56DDEFC0" w14:textId="2DC35862">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FC3E03" w:rsidP="00FC3E03" w14:paraId="3A2263FF" w14:textId="5462F08C">
      <w:pPr>
        <w:pStyle w:val="ListParagraph"/>
        <w:tabs>
          <w:tab w:val="left" w:pos="-720"/>
        </w:tabs>
        <w:suppressAutoHyphens/>
        <w:ind w:left="907"/>
        <w:contextualSpacing w:val="0"/>
        <w:rPr>
          <w:rStyle w:val="a"/>
          <w:rFonts w:ascii="Times New Roman" w:hAnsi="Times New Roman"/>
          <w:b/>
          <w:szCs w:val="24"/>
        </w:rPr>
      </w:pPr>
    </w:p>
    <w:p w:rsidR="00FC3E03" w:rsidRPr="003E0AD7" w:rsidP="00FC3E03" w14:paraId="59F5EB1E" w14:textId="77777777">
      <w:pPr>
        <w:ind w:left="900" w:firstLine="7"/>
        <w:rPr>
          <w:rFonts w:ascii="Times New Roman" w:hAnsi="Times New Roman"/>
          <w:szCs w:val="24"/>
        </w:rPr>
      </w:pPr>
      <w:r w:rsidRPr="003E0AD7">
        <w:rPr>
          <w:rFonts w:ascii="Times New Roman" w:hAnsi="Times New Roman"/>
          <w:szCs w:val="24"/>
        </w:rPr>
        <w:t>The Department will display on the form the expiration date for the OMB approval as required.</w:t>
      </w:r>
    </w:p>
    <w:p w:rsidR="00FC3E03" w:rsidRPr="00534B4A" w:rsidP="00FC3E03" w14:paraId="72B30C90" w14:textId="77777777">
      <w:pPr>
        <w:pStyle w:val="ListParagraph"/>
        <w:tabs>
          <w:tab w:val="left" w:pos="-720"/>
        </w:tabs>
        <w:suppressAutoHyphens/>
        <w:ind w:left="907"/>
        <w:contextualSpacing w:val="0"/>
        <w:rPr>
          <w:rStyle w:val="a"/>
          <w:rFonts w:ascii="Times New Roman" w:hAnsi="Times New Roman"/>
          <w:b/>
          <w:szCs w:val="24"/>
        </w:rPr>
      </w:pPr>
    </w:p>
    <w:p w:rsidR="001C73C0" w:rsidP="002313E2" w14:paraId="56DDEFC3" w14:textId="19712C7C">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C3E03" w:rsidP="00FC3E03" w14:paraId="5E479AAB" w14:textId="7C056EF4">
      <w:pPr>
        <w:pStyle w:val="ListParagraph"/>
        <w:tabs>
          <w:tab w:val="left" w:pos="-720"/>
        </w:tabs>
        <w:suppressAutoHyphens/>
        <w:ind w:left="900"/>
        <w:rPr>
          <w:rStyle w:val="a"/>
          <w:rFonts w:ascii="Times New Roman" w:hAnsi="Times New Roman"/>
          <w:b/>
          <w:szCs w:val="24"/>
        </w:rPr>
      </w:pPr>
    </w:p>
    <w:p w:rsidR="00FC3E03" w:rsidRPr="003E0AD7" w:rsidP="00FC3E03" w14:paraId="4C557ACC" w14:textId="77777777">
      <w:pPr>
        <w:ind w:firstLine="720"/>
        <w:rPr>
          <w:rFonts w:ascii="Times New Roman" w:hAnsi="Times New Roman"/>
          <w:szCs w:val="24"/>
        </w:rPr>
      </w:pPr>
      <w:r w:rsidRPr="003E0AD7">
        <w:rPr>
          <w:rFonts w:ascii="Times New Roman" w:hAnsi="Times New Roman"/>
          <w:szCs w:val="24"/>
        </w:rPr>
        <w:t>There are no exceptions to the certification statement.</w:t>
      </w:r>
    </w:p>
    <w:sectPr w:rsidSect="00A03B7A">
      <w:footerReference w:type="default" r:id="rId12"/>
      <w:endnotePr>
        <w:numFmt w:val="decimal"/>
      </w:endnotePr>
      <w:pgSz w:w="12240" w:h="15840" w:code="1"/>
      <w:pgMar w:top="117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56DDEFC8" w14:textId="77777777">
    <w:pPr>
      <w:spacing w:before="140" w:line="100" w:lineRule="exact"/>
      <w:rPr>
        <w:sz w:val="10"/>
      </w:rPr>
    </w:pPr>
  </w:p>
  <w:p w:rsidR="00386054" w14:paraId="56DDEFC9" w14:textId="77777777">
    <w:pPr>
      <w:tabs>
        <w:tab w:val="left" w:pos="0"/>
      </w:tabs>
      <w:suppressAutoHyphens/>
    </w:pPr>
  </w:p>
  <w:p w:rsidR="00386054"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10E96" w:rsidP="00043C32" w14:paraId="560B7CC0" w14:textId="77777777">
      <w:r>
        <w:separator/>
      </w:r>
    </w:p>
  </w:footnote>
  <w:footnote w:type="continuationSeparator" w:id="1">
    <w:p w:rsidR="00110E96" w:rsidP="00043C32" w14:paraId="3549E792" w14:textId="77777777">
      <w:r>
        <w:continuationSeparator/>
      </w:r>
    </w:p>
  </w:footnote>
  <w:footnote w:id="2">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37E16"/>
    <w:rsid w:val="00043C32"/>
    <w:rsid w:val="000446F5"/>
    <w:rsid w:val="00063A39"/>
    <w:rsid w:val="00072A38"/>
    <w:rsid w:val="00076CCF"/>
    <w:rsid w:val="00084521"/>
    <w:rsid w:val="00093017"/>
    <w:rsid w:val="000A66F2"/>
    <w:rsid w:val="000D2550"/>
    <w:rsid w:val="000F045E"/>
    <w:rsid w:val="00110E96"/>
    <w:rsid w:val="0014202A"/>
    <w:rsid w:val="0014536B"/>
    <w:rsid w:val="00174505"/>
    <w:rsid w:val="0018038C"/>
    <w:rsid w:val="001824F3"/>
    <w:rsid w:val="00195FB9"/>
    <w:rsid w:val="001A6AE0"/>
    <w:rsid w:val="001B3330"/>
    <w:rsid w:val="001B4FCB"/>
    <w:rsid w:val="001C73C0"/>
    <w:rsid w:val="001D2B41"/>
    <w:rsid w:val="001D4A08"/>
    <w:rsid w:val="001E4255"/>
    <w:rsid w:val="001E79BD"/>
    <w:rsid w:val="002049C3"/>
    <w:rsid w:val="00221318"/>
    <w:rsid w:val="002225CC"/>
    <w:rsid w:val="00224A3B"/>
    <w:rsid w:val="002313E2"/>
    <w:rsid w:val="00240A39"/>
    <w:rsid w:val="00242717"/>
    <w:rsid w:val="00246FE9"/>
    <w:rsid w:val="00250100"/>
    <w:rsid w:val="00261C5E"/>
    <w:rsid w:val="00262A69"/>
    <w:rsid w:val="00270AF7"/>
    <w:rsid w:val="002758AD"/>
    <w:rsid w:val="002A3221"/>
    <w:rsid w:val="002B4D03"/>
    <w:rsid w:val="002C3520"/>
    <w:rsid w:val="002C62E0"/>
    <w:rsid w:val="002E14E0"/>
    <w:rsid w:val="002F0981"/>
    <w:rsid w:val="002F55E5"/>
    <w:rsid w:val="002F6A7A"/>
    <w:rsid w:val="0032078A"/>
    <w:rsid w:val="0032539E"/>
    <w:rsid w:val="00386054"/>
    <w:rsid w:val="003860E4"/>
    <w:rsid w:val="003B1545"/>
    <w:rsid w:val="003D0592"/>
    <w:rsid w:val="003E0AD7"/>
    <w:rsid w:val="003F0326"/>
    <w:rsid w:val="003F6D85"/>
    <w:rsid w:val="00412915"/>
    <w:rsid w:val="00442E07"/>
    <w:rsid w:val="00443471"/>
    <w:rsid w:val="00473308"/>
    <w:rsid w:val="00481333"/>
    <w:rsid w:val="00485217"/>
    <w:rsid w:val="00490497"/>
    <w:rsid w:val="0049572E"/>
    <w:rsid w:val="004965FD"/>
    <w:rsid w:val="004A065B"/>
    <w:rsid w:val="004D54D7"/>
    <w:rsid w:val="004F4827"/>
    <w:rsid w:val="0052073E"/>
    <w:rsid w:val="00532A5E"/>
    <w:rsid w:val="005345E4"/>
    <w:rsid w:val="00534B4A"/>
    <w:rsid w:val="00536A96"/>
    <w:rsid w:val="00553584"/>
    <w:rsid w:val="00575DDA"/>
    <w:rsid w:val="00581C11"/>
    <w:rsid w:val="005A41AA"/>
    <w:rsid w:val="005B7A96"/>
    <w:rsid w:val="005C224C"/>
    <w:rsid w:val="005D2023"/>
    <w:rsid w:val="005F1D82"/>
    <w:rsid w:val="006173DC"/>
    <w:rsid w:val="00641ED8"/>
    <w:rsid w:val="0064762B"/>
    <w:rsid w:val="00652004"/>
    <w:rsid w:val="00676195"/>
    <w:rsid w:val="0068567A"/>
    <w:rsid w:val="006975CE"/>
    <w:rsid w:val="006A292A"/>
    <w:rsid w:val="006A2E90"/>
    <w:rsid w:val="006A38F7"/>
    <w:rsid w:val="006A4D14"/>
    <w:rsid w:val="006A4EBB"/>
    <w:rsid w:val="006B4172"/>
    <w:rsid w:val="006F7986"/>
    <w:rsid w:val="007113E0"/>
    <w:rsid w:val="00713B69"/>
    <w:rsid w:val="0072411D"/>
    <w:rsid w:val="00755D99"/>
    <w:rsid w:val="00756FD3"/>
    <w:rsid w:val="00765392"/>
    <w:rsid w:val="00787C36"/>
    <w:rsid w:val="00790E3E"/>
    <w:rsid w:val="007931C5"/>
    <w:rsid w:val="007A33DB"/>
    <w:rsid w:val="007C0A4C"/>
    <w:rsid w:val="007F6104"/>
    <w:rsid w:val="00800D30"/>
    <w:rsid w:val="00803B5C"/>
    <w:rsid w:val="00803CAA"/>
    <w:rsid w:val="00807D1A"/>
    <w:rsid w:val="00814502"/>
    <w:rsid w:val="00814F67"/>
    <w:rsid w:val="00815F9A"/>
    <w:rsid w:val="00830119"/>
    <w:rsid w:val="00860E11"/>
    <w:rsid w:val="00874EFE"/>
    <w:rsid w:val="00882126"/>
    <w:rsid w:val="008933F1"/>
    <w:rsid w:val="008D0601"/>
    <w:rsid w:val="008D1F11"/>
    <w:rsid w:val="008D4249"/>
    <w:rsid w:val="008E5919"/>
    <w:rsid w:val="008F0B09"/>
    <w:rsid w:val="00905951"/>
    <w:rsid w:val="00912D2C"/>
    <w:rsid w:val="00912F5A"/>
    <w:rsid w:val="00916EE4"/>
    <w:rsid w:val="00920F63"/>
    <w:rsid w:val="009243F3"/>
    <w:rsid w:val="0093366B"/>
    <w:rsid w:val="00934185"/>
    <w:rsid w:val="00946126"/>
    <w:rsid w:val="00952DF9"/>
    <w:rsid w:val="0095421D"/>
    <w:rsid w:val="00955C3C"/>
    <w:rsid w:val="00960C86"/>
    <w:rsid w:val="009767AF"/>
    <w:rsid w:val="009813F5"/>
    <w:rsid w:val="00981F58"/>
    <w:rsid w:val="00986D0A"/>
    <w:rsid w:val="009A1A4F"/>
    <w:rsid w:val="009E3E86"/>
    <w:rsid w:val="00A03B7A"/>
    <w:rsid w:val="00A06788"/>
    <w:rsid w:val="00A11571"/>
    <w:rsid w:val="00A118A2"/>
    <w:rsid w:val="00A23F26"/>
    <w:rsid w:val="00A4001C"/>
    <w:rsid w:val="00A40AAB"/>
    <w:rsid w:val="00A43BEE"/>
    <w:rsid w:val="00A46D01"/>
    <w:rsid w:val="00A518CE"/>
    <w:rsid w:val="00A70816"/>
    <w:rsid w:val="00A73590"/>
    <w:rsid w:val="00A7636D"/>
    <w:rsid w:val="00A9138E"/>
    <w:rsid w:val="00AC1C89"/>
    <w:rsid w:val="00AC3695"/>
    <w:rsid w:val="00AD381B"/>
    <w:rsid w:val="00AE45B6"/>
    <w:rsid w:val="00AE6350"/>
    <w:rsid w:val="00AF1F99"/>
    <w:rsid w:val="00AF5B5B"/>
    <w:rsid w:val="00AF5D1A"/>
    <w:rsid w:val="00B017F9"/>
    <w:rsid w:val="00B07213"/>
    <w:rsid w:val="00B10A05"/>
    <w:rsid w:val="00B51F93"/>
    <w:rsid w:val="00B54167"/>
    <w:rsid w:val="00B623A1"/>
    <w:rsid w:val="00B626D2"/>
    <w:rsid w:val="00B62E06"/>
    <w:rsid w:val="00B64B1D"/>
    <w:rsid w:val="00B81A77"/>
    <w:rsid w:val="00B9671B"/>
    <w:rsid w:val="00B977FA"/>
    <w:rsid w:val="00BA1D31"/>
    <w:rsid w:val="00BB77CB"/>
    <w:rsid w:val="00BE4D97"/>
    <w:rsid w:val="00BF06B1"/>
    <w:rsid w:val="00BF5AED"/>
    <w:rsid w:val="00C06055"/>
    <w:rsid w:val="00C164D3"/>
    <w:rsid w:val="00C20670"/>
    <w:rsid w:val="00C224FD"/>
    <w:rsid w:val="00C277A8"/>
    <w:rsid w:val="00C43265"/>
    <w:rsid w:val="00C52723"/>
    <w:rsid w:val="00C53D05"/>
    <w:rsid w:val="00C86713"/>
    <w:rsid w:val="00C86EDF"/>
    <w:rsid w:val="00C875E8"/>
    <w:rsid w:val="00C92035"/>
    <w:rsid w:val="00CB043A"/>
    <w:rsid w:val="00CC2A72"/>
    <w:rsid w:val="00CC3D03"/>
    <w:rsid w:val="00CC3FB5"/>
    <w:rsid w:val="00CD2067"/>
    <w:rsid w:val="00CD47BC"/>
    <w:rsid w:val="00D156E9"/>
    <w:rsid w:val="00D33F72"/>
    <w:rsid w:val="00D34984"/>
    <w:rsid w:val="00D36C35"/>
    <w:rsid w:val="00D75313"/>
    <w:rsid w:val="00DC6CD3"/>
    <w:rsid w:val="00E16ACD"/>
    <w:rsid w:val="00E17134"/>
    <w:rsid w:val="00E25EBC"/>
    <w:rsid w:val="00E277C7"/>
    <w:rsid w:val="00E33BB7"/>
    <w:rsid w:val="00E66550"/>
    <w:rsid w:val="00E739B3"/>
    <w:rsid w:val="00E877BF"/>
    <w:rsid w:val="00EA1767"/>
    <w:rsid w:val="00EB0929"/>
    <w:rsid w:val="00EB0FA5"/>
    <w:rsid w:val="00EB2CAF"/>
    <w:rsid w:val="00EC01DD"/>
    <w:rsid w:val="00EC35E3"/>
    <w:rsid w:val="00EC7C1B"/>
    <w:rsid w:val="00ED206F"/>
    <w:rsid w:val="00ED7195"/>
    <w:rsid w:val="00F0414F"/>
    <w:rsid w:val="00F05066"/>
    <w:rsid w:val="00F070F3"/>
    <w:rsid w:val="00F271EF"/>
    <w:rsid w:val="00F27AAF"/>
    <w:rsid w:val="00F31BEC"/>
    <w:rsid w:val="00F42C75"/>
    <w:rsid w:val="00F5782B"/>
    <w:rsid w:val="00F67FD9"/>
    <w:rsid w:val="00F72927"/>
    <w:rsid w:val="00F73131"/>
    <w:rsid w:val="00F8478B"/>
    <w:rsid w:val="00FA0CF8"/>
    <w:rsid w:val="00FC3E03"/>
    <w:rsid w:val="00FC64D8"/>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PlainText">
    <w:name w:val="Plain Text"/>
    <w:basedOn w:val="Normal"/>
    <w:link w:val="PlainTextChar"/>
    <w:uiPriority w:val="99"/>
    <w:rsid w:val="00F42C75"/>
    <w:rPr>
      <w:rFonts w:ascii="Courier New" w:eastAsia="Calibri" w:hAnsi="Courier New"/>
      <w:sz w:val="20"/>
      <w:lang w:val="x-none" w:eastAsia="x-none"/>
    </w:rPr>
  </w:style>
  <w:style w:type="character" w:customStyle="1" w:styleId="PlainTextChar">
    <w:name w:val="Plain Text Char"/>
    <w:basedOn w:val="DefaultParagraphFont"/>
    <w:link w:val="PlainText"/>
    <w:uiPriority w:val="99"/>
    <w:rsid w:val="00F42C75"/>
    <w:rPr>
      <w:rFonts w:ascii="Courier New" w:eastAsia="Calibri" w:hAnsi="Courier New"/>
      <w:lang w:val="x-none" w:eastAsia="x-none"/>
    </w:rPr>
  </w:style>
  <w:style w:type="paragraph" w:styleId="Revision">
    <w:name w:val="Revision"/>
    <w:hidden/>
    <w:uiPriority w:val="99"/>
    <w:semiHidden/>
    <w:rsid w:val="004965F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rants.Gov" TargetMode="External" /><Relationship Id="rId11" Type="http://schemas.openxmlformats.org/officeDocument/2006/relationships/hyperlink" Target="https://www.bls.gov/oes/current/oes_nat.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2.ed.gov/about/offices/list/ope/trio/statute-trio-gu.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3311</Words>
  <Characters>18876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2022-09-15T13:24:00Z</dcterms:created>
  <dcterms:modified xsi:type="dcterms:W3CDTF">2022-09-15T13:24:00Z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