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1D8F4DBE">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2A54AD">
        <w:t>19-</w:t>
      </w:r>
      <w:r w:rsidRPr="00413FDE" w:rsidR="00613169">
        <w:t>000</w:t>
      </w:r>
      <w:r w:rsidRPr="00413FDE">
        <w:t>]</w:t>
      </w:r>
    </w:p>
    <w:p w:rsidR="00A2604E" w:rsidP="00A2604E" w14:paraId="4D16FE54" w14:textId="77777777"/>
    <w:p w:rsidR="00A2604E" w:rsidP="00A2604E" w14:paraId="0627AE31" w14:textId="608028FD">
      <w:pPr>
        <w:jc w:val="center"/>
      </w:pPr>
      <w:r>
        <w:t>COMMISSION INFORMATION COLLECTION ACTIVITIES (FERC-</w:t>
      </w:r>
      <w:r w:rsidR="000F1721">
        <w:t>919</w:t>
      </w:r>
      <w:r w:rsidR="00B82CB5">
        <w:t xml:space="preserve"> and FERC-</w:t>
      </w:r>
      <w:r w:rsidR="000F1721">
        <w:t>919A</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BC547E" w:rsidP="00937B09" w14:paraId="1848A1AA" w14:textId="1C487524">
      <w:pPr>
        <w:jc w:val="center"/>
      </w:pPr>
      <w:r w:rsidRPr="00937B09">
        <w:t>(June 17, 2022)</w:t>
      </w:r>
    </w:p>
    <w:p w:rsidR="00937B09" w:rsidRPr="00937B09" w:rsidP="00937B09" w14:paraId="22C2B14F"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0F1721" w:rsidP="00B82CB5" w14:paraId="35DEAE81" w14:textId="5C0198D8">
      <w:pPr>
        <w:spacing w:line="480" w:lineRule="auto"/>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bookmarkStart w:id="1" w:name="_Hlk102460280"/>
      <w:r w:rsidRPr="00B82CB5" w:rsidR="00B82CB5">
        <w:t>FERC-</w:t>
      </w:r>
      <w:r w:rsidR="000F1721">
        <w:t>919</w:t>
      </w:r>
      <w:r w:rsidRPr="00B82CB5" w:rsidR="00B82CB5">
        <w:t>, (</w:t>
      </w:r>
      <w:bookmarkStart w:id="2" w:name="_Hlk106360104"/>
      <w:r w:rsidRPr="00DA3D55" w:rsidR="000F1721">
        <w:rPr>
          <w:bCs/>
        </w:rPr>
        <w:t>Refinements to Policies and Procedures for Market</w:t>
      </w:r>
      <w:r w:rsidR="005E0385">
        <w:rPr>
          <w:bCs/>
        </w:rPr>
        <w:t>-</w:t>
      </w:r>
      <w:r w:rsidRPr="00DA3D55" w:rsidR="000F1721">
        <w:rPr>
          <w:bCs/>
        </w:rPr>
        <w:t>Based Rates for Wholesale Sales of Electric Energy,</w:t>
      </w:r>
      <w:r w:rsidR="000F1721">
        <w:rPr>
          <w:bCs/>
        </w:rPr>
        <w:t xml:space="preserve"> </w:t>
      </w:r>
      <w:r w:rsidRPr="000F1721" w:rsidR="000F1721">
        <w:rPr>
          <w:bCs/>
        </w:rPr>
        <w:t>Capacity and Ancillary Services by Public Utilities</w:t>
      </w:r>
      <w:bookmarkEnd w:id="2"/>
      <w:r w:rsidRPr="00B82CB5" w:rsidR="00B82CB5">
        <w:t>), and FERC-</w:t>
      </w:r>
      <w:r w:rsidR="000F1721">
        <w:t>919A</w:t>
      </w:r>
      <w:r w:rsidRPr="00B82CB5" w:rsidR="00B82CB5">
        <w:t>, (</w:t>
      </w:r>
      <w:bookmarkStart w:id="3" w:name="_Hlk106360145"/>
      <w:r w:rsidRPr="000F1721" w:rsidR="000F1721">
        <w:rPr>
          <w:bCs/>
        </w:rPr>
        <w:t>Data Collection for Analytics and Surveillance and Market-Based Rate Purposes</w:t>
      </w:r>
      <w:bookmarkEnd w:id="3"/>
      <w:r w:rsidRPr="00B82CB5" w:rsidR="00B82CB5">
        <w:t>)</w:t>
      </w:r>
      <w:r w:rsidR="00150CBC">
        <w:rPr>
          <w:rFonts w:eastAsiaTheme="minorHAnsi"/>
          <w:szCs w:val="26"/>
        </w:rPr>
        <w:t>.</w:t>
      </w:r>
    </w:p>
    <w:bookmarkEnd w:id="1"/>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05AE529F">
      <w:pPr>
        <w:spacing w:line="480" w:lineRule="auto"/>
      </w:pPr>
      <w:r w:rsidRPr="00524164">
        <w:rPr>
          <w:b/>
        </w:rPr>
        <w:t>ADDRESSES:</w:t>
      </w:r>
      <w:r w:rsidRPr="00524164">
        <w:t xml:space="preserve">  </w:t>
      </w:r>
      <w:bookmarkStart w:id="4" w:name="OLE_LINK1"/>
      <w:r w:rsidRPr="0042765E">
        <w:t xml:space="preserve">You may submit your comments (identified by Docket No. </w:t>
      </w:r>
      <w:r w:rsidRPr="00413FDE">
        <w:t>IC</w:t>
      </w:r>
      <w:r w:rsidR="003F7A51">
        <w:t>22</w:t>
      </w:r>
      <w:r w:rsidRPr="00413FDE">
        <w:t>-</w:t>
      </w:r>
      <w:r w:rsidR="00D01B74">
        <w:t>19</w:t>
      </w:r>
      <w:r w:rsidR="003F7A51">
        <w:t>-</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9362032">
      <w:pPr>
        <w:pStyle w:val="ListParagraph"/>
        <w:numPr>
          <w:ilvl w:val="1"/>
          <w:numId w:val="6"/>
        </w:numPr>
        <w:spacing w:line="480" w:lineRule="auto"/>
      </w:pPr>
      <w:r w:rsidRPr="0042765E">
        <w:t xml:space="preserve">Hand (including courier) delivery: Deliver to: Federal Energy Regulatory Commission, </w:t>
      </w:r>
      <w:r w:rsidR="00430882">
        <w:t xml:space="preserve">Office of the Secretary, </w:t>
      </w:r>
      <w:r w:rsidRPr="0042765E">
        <w:t>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4"/>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84065" w:rsidRPr="00984065" w:rsidP="00984065" w14:paraId="6312C710" w14:textId="5438DD45">
      <w:pPr>
        <w:spacing w:after="160" w:line="480" w:lineRule="auto"/>
        <w:rPr>
          <w:rFonts w:eastAsiaTheme="minorHAnsi"/>
          <w:bCs/>
          <w:szCs w:val="26"/>
        </w:rPr>
      </w:pPr>
      <w:r w:rsidRPr="00B82CB5">
        <w:rPr>
          <w:rFonts w:eastAsiaTheme="minorHAnsi"/>
          <w:bCs/>
          <w:i/>
          <w:szCs w:val="26"/>
        </w:rPr>
        <w:t xml:space="preserve">Title: </w:t>
      </w:r>
      <w:r w:rsidRPr="00984065">
        <w:rPr>
          <w:rFonts w:eastAsiaTheme="minorHAnsi"/>
          <w:bCs/>
          <w:szCs w:val="26"/>
        </w:rPr>
        <w:t>FERC-919, (</w:t>
      </w:r>
      <w:r w:rsidRPr="00DA3D55">
        <w:rPr>
          <w:rFonts w:eastAsiaTheme="minorHAnsi"/>
          <w:bCs/>
          <w:szCs w:val="26"/>
        </w:rPr>
        <w:t>Refinements to Policies and Procedures for Market</w:t>
      </w:r>
      <w:r w:rsidR="00334A29">
        <w:rPr>
          <w:rFonts w:eastAsiaTheme="minorHAnsi"/>
          <w:bCs/>
          <w:szCs w:val="26"/>
        </w:rPr>
        <w:t>-</w:t>
      </w:r>
      <w:r w:rsidRPr="00DA3D55">
        <w:rPr>
          <w:rFonts w:eastAsiaTheme="minorHAnsi"/>
          <w:bCs/>
          <w:szCs w:val="26"/>
        </w:rPr>
        <w:t>Based Rates for Wholesale Sales of Electric Energy,</w:t>
      </w:r>
      <w:r w:rsidRPr="00984065">
        <w:rPr>
          <w:rFonts w:eastAsiaTheme="minorHAnsi"/>
          <w:bCs/>
          <w:szCs w:val="26"/>
        </w:rPr>
        <w:t xml:space="preserve"> </w:t>
      </w:r>
      <w:r w:rsidRPr="000F1721">
        <w:rPr>
          <w:rFonts w:eastAsiaTheme="minorHAnsi"/>
          <w:bCs/>
          <w:szCs w:val="26"/>
        </w:rPr>
        <w:t>Capacity and Ancillary Services by Public Utilities</w:t>
      </w:r>
      <w:r w:rsidRPr="00984065">
        <w:rPr>
          <w:rFonts w:eastAsiaTheme="minorHAnsi"/>
          <w:bCs/>
          <w:szCs w:val="26"/>
        </w:rPr>
        <w:t>), and FERC-919A, (Data Collection for Analytics and Surveillance and Market-Based Rate Purposes).</w:t>
      </w:r>
    </w:p>
    <w:p w:rsidR="00B82CB5" w:rsidRPr="00984065" w:rsidP="00984065" w14:paraId="35A32C36" w14:textId="3FE05611">
      <w:pPr>
        <w:spacing w:after="160" w:line="480" w:lineRule="auto"/>
        <w:rPr>
          <w:i/>
        </w:rPr>
      </w:pPr>
      <w:r w:rsidRPr="00B82CB5">
        <w:rPr>
          <w:i/>
        </w:rPr>
        <w:t xml:space="preserve">OMB Control No.: </w:t>
      </w:r>
      <w:r w:rsidRPr="00984065" w:rsidR="00984065">
        <w:rPr>
          <w:iCs/>
        </w:rPr>
        <w:t>FERC-919 (1902-0234),</w:t>
      </w:r>
      <w:r w:rsidR="00984065">
        <w:rPr>
          <w:iCs/>
        </w:rPr>
        <w:t xml:space="preserve"> </w:t>
      </w:r>
      <w:r w:rsidRPr="00984065" w:rsidR="00984065">
        <w:rPr>
          <w:iCs/>
        </w:rPr>
        <w:t>FERC-919A</w:t>
      </w:r>
      <w:r w:rsidR="00984065">
        <w:rPr>
          <w:i/>
        </w:rPr>
        <w:t xml:space="preserve"> (</w:t>
      </w:r>
      <w:r w:rsidRPr="00B82CB5">
        <w:t>1902-0</w:t>
      </w:r>
      <w:r w:rsidR="00984065">
        <w:t>317)</w:t>
      </w:r>
    </w:p>
    <w:p w:rsidR="00B82CB5" w:rsidRPr="00B82CB5" w:rsidP="00B82CB5" w14:paraId="4FE3EAFC" w14:textId="5621DC1A">
      <w:pPr>
        <w:spacing w:line="480" w:lineRule="auto"/>
      </w:pPr>
      <w:r w:rsidRPr="00B82CB5">
        <w:rPr>
          <w:i/>
        </w:rPr>
        <w:t>Type of Request:</w:t>
      </w:r>
      <w:r w:rsidRPr="00B82CB5">
        <w:t xml:space="preserve"> Three-year extension of these information collection requirements for all collections described below with no changes to the current reporting requirements.  </w:t>
      </w:r>
      <w:r w:rsidR="00984065">
        <w:t>Please note: FERC-919A is a temporary collection number and will be combined into FERC-919.</w:t>
      </w:r>
    </w:p>
    <w:p w:rsidR="00984065" w:rsidRPr="00984065" w:rsidP="00984065" w14:paraId="3A2D501A" w14:textId="4F42C323">
      <w:pPr>
        <w:spacing w:line="480" w:lineRule="auto"/>
      </w:pPr>
      <w:r w:rsidRPr="00B82CB5">
        <w:rPr>
          <w:i/>
        </w:rPr>
        <w:t>Abstract:</w:t>
      </w:r>
      <w:r w:rsidRPr="00984065">
        <w:rPr>
          <w:i/>
        </w:rPr>
        <w:t xml:space="preserve"> </w:t>
      </w:r>
      <w:r w:rsidRPr="00984065">
        <w:t>The FERC–919</w:t>
      </w:r>
      <w:r w:rsidR="00D01B74">
        <w:t xml:space="preserve"> collection</w:t>
      </w:r>
      <w:r w:rsidRPr="00984065">
        <w:t xml:space="preserve"> is necessary to ensure that market-based rates charged by public utilities are just and reasonable as mandated by Federal Power Act (FPA) sections 205 and 206.  Section 205 of the FPA requires just and reasonable rates and charges.  Section 206 allows the Commission to revoke a seller’s market-based rate authorization if it determines that the seller may have gained market power since it was originally granted market-based rate authorization by the Commission.</w:t>
      </w:r>
      <w:r w:rsidR="00044EF1">
        <w:t xml:space="preserve"> FERC-919, </w:t>
      </w:r>
      <w:r w:rsidR="002E380B">
        <w:t xml:space="preserve">as stated in </w:t>
      </w:r>
      <w:r w:rsidRPr="00984065">
        <w:t>18 Code of Federal Regulations (CFR) Part 35, Subpart H</w:t>
      </w:r>
      <w:r w:rsidR="00334A29">
        <w:t>,</w:t>
      </w:r>
      <w:r>
        <w:rPr>
          <w:b/>
          <w:szCs w:val="26"/>
          <w:vertAlign w:val="superscript"/>
        </w:rPr>
        <w:footnoteReference w:id="3"/>
      </w:r>
      <w:r w:rsidRPr="00984065">
        <w:t xml:space="preserve"> the Commission codifies market-based rate standards for generating electric utilities for use in the Commission’s determination of whether a wholesale seller of electric energy, capacity, or ancillary services qualify for market-based rate authority.  Subpart H mandates that sellers submit market power analyses and related filings</w:t>
      </w:r>
      <w:r w:rsidR="00D01B74">
        <w:t xml:space="preserve"> (descriptions below)</w:t>
      </w:r>
      <w:r w:rsidRPr="00984065">
        <w:t>.</w:t>
      </w:r>
      <w:r w:rsidR="002228F1">
        <w:t xml:space="preserve"> </w:t>
      </w:r>
      <w:r w:rsidRPr="00984065" w:rsidR="002228F1">
        <w:t xml:space="preserve">Market power analyses must address both horizontal and vertical market power. </w:t>
      </w:r>
      <w:r w:rsidR="002228F1">
        <w:t xml:space="preserve">   </w:t>
      </w:r>
    </w:p>
    <w:p w:rsidR="00984065" w:rsidRPr="00984065" w:rsidP="00984065" w14:paraId="7766C581" w14:textId="77777777">
      <w:pPr>
        <w:spacing w:line="480" w:lineRule="auto"/>
        <w:rPr>
          <w:b/>
          <w:bCs/>
        </w:rPr>
      </w:pPr>
      <w:r w:rsidRPr="00984065">
        <w:rPr>
          <w:b/>
          <w:bCs/>
        </w:rPr>
        <w:t>Horizontal Market Power Analysis</w:t>
      </w:r>
    </w:p>
    <w:p w:rsidR="00984065" w:rsidRPr="00984065" w:rsidP="00984065" w14:paraId="0B0D6241" w14:textId="2D271851">
      <w:pPr>
        <w:spacing w:line="480" w:lineRule="auto"/>
      </w:pPr>
      <w:r>
        <w:t>This de</w:t>
      </w:r>
      <w:r w:rsidRPr="00984065">
        <w:t>monstrate</w:t>
      </w:r>
      <w:r>
        <w:t>s</w:t>
      </w:r>
      <w:r w:rsidRPr="00984065">
        <w:t xml:space="preserve"> </w:t>
      </w:r>
      <w:r w:rsidR="005E0385">
        <w:t xml:space="preserve">a </w:t>
      </w:r>
      <w:r w:rsidRPr="00984065">
        <w:t>lack of horizontal market power, the Commission requires two indicative</w:t>
      </w:r>
      <w:r w:rsidR="005E0385">
        <w:t xml:space="preserve"> </w:t>
      </w:r>
      <w:r w:rsidRPr="00984065">
        <w:t>market power screens:  the uncommitted pivotal supplier screen (which is based on the annual peak demand of the relevant market) and the uncommitted market share screen applied on a seasonal basis.  The Commission presumes sellers that fail either screen</w:t>
      </w:r>
      <w:r w:rsidR="00334A29">
        <w:t xml:space="preserve"> </w:t>
      </w:r>
      <w:r w:rsidRPr="00984065">
        <w:t xml:space="preserve">to have market power and such sellers may submit a delivered price test analysis or alternative evidence to rebut the presumption of horizontal market power.  If a seller fails to rebut the presumption of horizontal market power, the Commission sets the just and reasonable rate at the default cost-based rate unless it approves different mitigation based on case specific circumstances.  When submitting horizontal market power analyses, a seller must </w:t>
      </w:r>
      <w:r w:rsidRPr="005E0385" w:rsidR="005E0385">
        <w:t>submit the horizontal market power analysis into a relational database for it to be retrievable in conformance with the instructions posted on the </w:t>
      </w:r>
      <w:r w:rsidRPr="003A027F" w:rsidR="00F170D7">
        <w:t>Commission</w:t>
      </w:r>
      <w:r w:rsidRPr="005E0385" w:rsidR="005E0385">
        <w:t>'s website.</w:t>
      </w:r>
      <w:r>
        <w:rPr>
          <w:rStyle w:val="FootnoteReference"/>
        </w:rPr>
        <w:footnoteReference w:id="4"/>
      </w:r>
      <w:r w:rsidRPr="005E0385" w:rsidR="005E0385">
        <w:t xml:space="preserve">  A </w:t>
      </w:r>
      <w:r w:rsidR="00334A29">
        <w:t>s</w:t>
      </w:r>
      <w:r w:rsidRPr="005E0385" w:rsidR="005E0385">
        <w:t>eller must also include all supporting materials referenced in the indicative screens.</w:t>
      </w:r>
    </w:p>
    <w:p w:rsidR="00984065" w:rsidRPr="00984065" w:rsidP="00984065" w14:paraId="1B7F1A87" w14:textId="77777777">
      <w:pPr>
        <w:spacing w:line="480" w:lineRule="auto"/>
        <w:rPr>
          <w:b/>
          <w:bCs/>
        </w:rPr>
      </w:pPr>
      <w:r w:rsidRPr="00984065">
        <w:rPr>
          <w:b/>
          <w:bCs/>
        </w:rPr>
        <w:t>Vertical Market Power Analysis</w:t>
      </w:r>
    </w:p>
    <w:p w:rsidR="00984065" w:rsidRPr="00984065" w:rsidP="00984065" w14:paraId="76296862" w14:textId="77777777">
      <w:pPr>
        <w:spacing w:line="480" w:lineRule="auto"/>
      </w:pPr>
      <w:r w:rsidRPr="00984065">
        <w:tab/>
        <w:t>To demonstrate a lack of vertical market power, if a public utility with market-based rates, or any of its affiliates, owns, operates or controls transmission facilities, that public utility must:</w:t>
      </w:r>
    </w:p>
    <w:p w:rsidR="00984065" w:rsidRPr="00984065" w:rsidP="00984065" w14:paraId="2D967269" w14:textId="77777777">
      <w:pPr>
        <w:numPr>
          <w:ilvl w:val="0"/>
          <w:numId w:val="16"/>
        </w:numPr>
        <w:spacing w:after="160" w:line="480" w:lineRule="auto"/>
        <w:contextualSpacing/>
      </w:pPr>
      <w:r w:rsidRPr="00984065">
        <w:t>Have on file a Commission-approved Open Access Transmission Tariff</w:t>
      </w:r>
      <w:r>
        <w:rPr>
          <w:b/>
          <w:szCs w:val="26"/>
          <w:vertAlign w:val="superscript"/>
        </w:rPr>
        <w:footnoteReference w:id="5"/>
      </w:r>
    </w:p>
    <w:p w:rsidR="00984065" w:rsidRPr="00984065" w:rsidP="00984065" w14:paraId="7FAFF4E4" w14:textId="77777777">
      <w:pPr>
        <w:numPr>
          <w:ilvl w:val="0"/>
          <w:numId w:val="16"/>
        </w:numPr>
        <w:spacing w:after="160" w:line="480" w:lineRule="auto"/>
        <w:contextualSpacing/>
      </w:pPr>
      <w:r w:rsidRPr="00984065">
        <w:t>Submit a description of its ownership or control of, or affiliation with an entity that owns or controls:</w:t>
      </w:r>
    </w:p>
    <w:p w:rsidR="00984065" w:rsidRPr="00984065" w:rsidP="00984065" w14:paraId="1C52CB5D" w14:textId="77777777">
      <w:pPr>
        <w:numPr>
          <w:ilvl w:val="1"/>
          <w:numId w:val="16"/>
        </w:numPr>
        <w:spacing w:after="160" w:line="480" w:lineRule="auto"/>
        <w:contextualSpacing/>
      </w:pPr>
      <w:r w:rsidRPr="00984065">
        <w:t>Intrastate natural gas transportation, intrastate natural gas storage or distribution facilities</w:t>
      </w:r>
    </w:p>
    <w:p w:rsidR="00984065" w:rsidRPr="00984065" w:rsidP="00984065" w14:paraId="2F505E11" w14:textId="39323CB6">
      <w:pPr>
        <w:numPr>
          <w:ilvl w:val="1"/>
          <w:numId w:val="16"/>
        </w:numPr>
        <w:spacing w:after="160" w:line="480" w:lineRule="auto"/>
        <w:contextualSpacing/>
      </w:pPr>
      <w:r>
        <w:t>P</w:t>
      </w:r>
      <w:r w:rsidRPr="00984065">
        <w:t>hysical coal supply sources and ownership or control over who may access transportation of coal supplies</w:t>
      </w:r>
    </w:p>
    <w:p w:rsidR="00984065" w:rsidRPr="00984065" w:rsidP="00984065" w14:paraId="39357D41" w14:textId="574FD819">
      <w:pPr>
        <w:numPr>
          <w:ilvl w:val="0"/>
          <w:numId w:val="16"/>
        </w:numPr>
        <w:spacing w:after="160" w:line="480" w:lineRule="auto"/>
        <w:contextualSpacing/>
      </w:pPr>
      <w:r w:rsidRPr="00984065">
        <w:t xml:space="preserve">Make an affirmative statement that it </w:t>
      </w:r>
      <w:r w:rsidR="005E0385">
        <w:t xml:space="preserve">and its affiliates </w:t>
      </w:r>
      <w:r w:rsidRPr="00984065">
        <w:t>ha</w:t>
      </w:r>
      <w:r w:rsidR="005E0385">
        <w:t>ve</w:t>
      </w:r>
      <w:r w:rsidRPr="00984065">
        <w:t xml:space="preserve"> not erected and will not erect barriers to entry into the relevant market</w:t>
      </w:r>
    </w:p>
    <w:p w:rsidR="00984065" w:rsidRPr="00984065" w:rsidP="00984065" w14:paraId="5413009A" w14:textId="77777777">
      <w:pPr>
        <w:spacing w:line="480" w:lineRule="auto"/>
        <w:rPr>
          <w:b/>
          <w:bCs/>
        </w:rPr>
      </w:pPr>
      <w:r w:rsidRPr="00984065">
        <w:rPr>
          <w:b/>
          <w:bCs/>
        </w:rPr>
        <w:t>Asset Appendix</w:t>
      </w:r>
    </w:p>
    <w:p w:rsidR="00984065" w:rsidRPr="00984065" w:rsidP="00984065" w14:paraId="780AF38D" w14:textId="6C05B6AC">
      <w:pPr>
        <w:spacing w:line="480" w:lineRule="auto"/>
      </w:pPr>
      <w:r w:rsidRPr="00984065">
        <w:tab/>
        <w:t xml:space="preserve">In addition to the market power analyses, a seller must submit an asset appendix </w:t>
      </w:r>
      <w:r w:rsidR="005E0385">
        <w:t xml:space="preserve">in the relational database </w:t>
      </w:r>
      <w:r w:rsidRPr="00984065">
        <w:t>with its initial application for market-based rate authorization or updated market power analysis, and all relevant change</w:t>
      </w:r>
      <w:r w:rsidR="00C8004C">
        <w:t>s</w:t>
      </w:r>
      <w:r w:rsidRPr="00984065">
        <w:t xml:space="preserve"> in status filings.  The asset appendix must:</w:t>
      </w:r>
    </w:p>
    <w:p w:rsidR="00984065" w:rsidRPr="00984065" w:rsidP="00984065" w14:paraId="572E5FBB" w14:textId="77777777">
      <w:pPr>
        <w:numPr>
          <w:ilvl w:val="0"/>
          <w:numId w:val="17"/>
        </w:numPr>
        <w:spacing w:after="160" w:line="480" w:lineRule="auto"/>
        <w:ind w:left="720"/>
        <w:contextualSpacing/>
      </w:pPr>
      <w:r w:rsidRPr="00984065">
        <w:t xml:space="preserve">List, among other things, all affiliates that have market-based rate authority   </w:t>
      </w:r>
    </w:p>
    <w:p w:rsidR="00984065" w:rsidRPr="00984065" w:rsidP="00984065" w14:paraId="291B7E59" w14:textId="77777777">
      <w:pPr>
        <w:numPr>
          <w:ilvl w:val="0"/>
          <w:numId w:val="17"/>
        </w:numPr>
        <w:spacing w:after="160" w:line="480" w:lineRule="auto"/>
        <w:ind w:left="720"/>
        <w:contextualSpacing/>
        <w:rPr>
          <w:rFonts w:ascii="Calibri" w:eastAsia="Calibri" w:hAnsi="Calibri"/>
          <w:sz w:val="22"/>
          <w:szCs w:val="22"/>
        </w:rPr>
      </w:pPr>
      <w:r w:rsidRPr="00984065">
        <w:rPr>
          <w:rFonts w:eastAsia="Calibri"/>
          <w:szCs w:val="26"/>
        </w:rPr>
        <w:t>List all generation assets owned (clearly identifying which affiliate owns which asset) or controlled (clearly identifying which affiliate controls which asset) by the corporate family by balancing authority area, and by geographic region, and provide the in-service date and nameplate and/or seasonal ratings by unit</w:t>
      </w:r>
    </w:p>
    <w:p w:rsidR="00984065" w:rsidP="00984065" w14:paraId="1ECAE803" w14:textId="2D2229F3">
      <w:pPr>
        <w:numPr>
          <w:ilvl w:val="0"/>
          <w:numId w:val="17"/>
        </w:numPr>
        <w:spacing w:after="160" w:line="480" w:lineRule="auto"/>
        <w:ind w:left="720"/>
        <w:contextualSpacing/>
      </w:pPr>
      <w:r w:rsidRPr="00984065">
        <w:t>Must reflect all electric transmissions and natural gas interstate pipelines and/or gas storage facilities owned or controlled by the corporate family and the location of such facilities.</w:t>
      </w:r>
    </w:p>
    <w:p w:rsidR="005E0385" w:rsidRPr="00984065" w:rsidP="00984065" w14:paraId="2019ED88" w14:textId="7FFA52F6">
      <w:pPr>
        <w:numPr>
          <w:ilvl w:val="0"/>
          <w:numId w:val="17"/>
        </w:numPr>
        <w:spacing w:after="160" w:line="480" w:lineRule="auto"/>
        <w:ind w:left="720"/>
        <w:contextualSpacing/>
      </w:pPr>
      <w:r w:rsidRPr="005E0385">
        <w:t>List all long-term power purchases and sales agreements attributed to a seller and its affiliates by the corporate family by balancing authority area, and by geographic region, and provide the start date and end date.</w:t>
      </w:r>
    </w:p>
    <w:p w:rsidR="00984065" w:rsidRPr="00984065" w:rsidP="00984065" w14:paraId="69338019" w14:textId="77777777">
      <w:pPr>
        <w:spacing w:line="480" w:lineRule="auto"/>
      </w:pPr>
      <w:r w:rsidRPr="00984065">
        <w:rPr>
          <w:b/>
          <w:bCs/>
        </w:rPr>
        <w:t>Triennial Market Power Analysis</w:t>
      </w:r>
    </w:p>
    <w:p w:rsidR="00984065" w:rsidRPr="00984065" w:rsidP="00984065" w14:paraId="77C62415" w14:textId="77777777">
      <w:pPr>
        <w:spacing w:line="480" w:lineRule="auto"/>
      </w:pPr>
      <w:r w:rsidRPr="00984065">
        <w:tab/>
        <w:t>Sellers that own or control 500 megawatts or more of generation and/or that own, operate or control transmission facilities, are affiliated with any entity that owns, operates or controls transmission facilities in the same region as the seller’s generation assets, or with a franchised public utility in the same region as the seller’s generation assets are required to file updated market power analyses every three years.  The updated market power analyses must demonstrate that a seller does not possess horizontal market power.</w:t>
      </w:r>
    </w:p>
    <w:p w:rsidR="00984065" w:rsidRPr="00984065" w:rsidP="00984065" w14:paraId="07633424" w14:textId="77777777">
      <w:pPr>
        <w:spacing w:line="480" w:lineRule="auto"/>
        <w:rPr>
          <w:b/>
          <w:bCs/>
        </w:rPr>
      </w:pPr>
      <w:r w:rsidRPr="00984065">
        <w:rPr>
          <w:b/>
          <w:bCs/>
        </w:rPr>
        <w:t>Change in Status Filings</w:t>
      </w:r>
    </w:p>
    <w:p w:rsidR="00984065" w:rsidP="00984065" w14:paraId="03D3FBF5" w14:textId="1E0FB877">
      <w:pPr>
        <w:spacing w:line="480" w:lineRule="auto"/>
      </w:pPr>
      <w:r w:rsidRPr="00984065">
        <w:tab/>
        <w:t>Concerning change</w:t>
      </w:r>
      <w:r w:rsidR="00C8004C">
        <w:t>s</w:t>
      </w:r>
      <w:r w:rsidRPr="00984065">
        <w:t xml:space="preserve"> </w:t>
      </w:r>
      <w:r w:rsidR="005E0385">
        <w:t>in</w:t>
      </w:r>
      <w:r w:rsidRPr="00984065">
        <w:t xml:space="preserve"> status filings, the Commission requires that sellers file notices of such changes no later than </w:t>
      </w:r>
      <w:r w:rsidR="005E0385">
        <w:t>each quarter</w:t>
      </w:r>
      <w:r w:rsidRPr="00984065">
        <w:t xml:space="preserve"> after the change in status occurs.  The Commission also requires that each seller </w:t>
      </w:r>
      <w:r w:rsidR="00C8004C">
        <w:t xml:space="preserve">must </w:t>
      </w:r>
      <w:r w:rsidRPr="00984065">
        <w:t>include an appendix</w:t>
      </w:r>
      <w:r w:rsidR="005E0385">
        <w:t xml:space="preserve"> in the relational database</w:t>
      </w:r>
      <w:r w:rsidRPr="00984065">
        <w:t xml:space="preserve"> identifying specified assets with each pertinent change in status notification filed.</w:t>
      </w:r>
    </w:p>
    <w:p w:rsidR="002C765E" w:rsidRPr="002C765E" w:rsidP="002C765E" w14:paraId="0531D975" w14:textId="77777777">
      <w:pPr>
        <w:spacing w:line="480" w:lineRule="auto"/>
        <w:rPr>
          <w:b/>
          <w:bCs/>
        </w:rPr>
      </w:pPr>
      <w:r w:rsidRPr="002C765E">
        <w:rPr>
          <w:b/>
          <w:bCs/>
        </w:rPr>
        <w:t>Relational Database Updates</w:t>
      </w:r>
    </w:p>
    <w:p w:rsidR="002C765E" w:rsidRPr="00984065" w:rsidP="00870066" w14:paraId="6BA0E139" w14:textId="27721825">
      <w:pPr>
        <w:spacing w:line="480" w:lineRule="auto"/>
        <w:ind w:firstLine="720"/>
      </w:pPr>
      <w:r w:rsidRPr="002C765E">
        <w:t xml:space="preserve">A Seller must report on a monthly basis changes to its previously-submitted relational database information, excluding updates to the horizontal market power screens.  These submissions must be made by the 15th day of the month following the change.  These submissions include the asset appendix information described above, as well as other market-based information concerning </w:t>
      </w:r>
      <w:r w:rsidR="00334A29">
        <w:t>seller</w:t>
      </w:r>
      <w:r w:rsidRPr="002C765E">
        <w:t xml:space="preserve"> category, operating reserves authorization, identification of its ultimate upstream affiliate(s), mitigation, and other limitations.</w:t>
      </w:r>
    </w:p>
    <w:p w:rsidR="00984065" w:rsidRPr="00984065" w:rsidP="00984065" w14:paraId="7675A64A" w14:textId="77777777">
      <w:pPr>
        <w:spacing w:line="480" w:lineRule="auto"/>
      </w:pPr>
      <w:r w:rsidRPr="00984065">
        <w:rPr>
          <w:b/>
          <w:bCs/>
        </w:rPr>
        <w:t>Exemptions from Submitting Updated Market Power Analyses</w:t>
      </w:r>
    </w:p>
    <w:p w:rsidR="00984065" w:rsidRPr="00984065" w:rsidP="00984065" w14:paraId="1A795F3E" w14:textId="429D00F3">
      <w:pPr>
        <w:spacing w:line="480" w:lineRule="auto"/>
      </w:pPr>
      <w:r w:rsidRPr="00984065">
        <w:tab/>
        <w:t xml:space="preserve">Wholesale power marketers and wholesale power producers that are not affiliated with franchised public utilities or transmission owners, that do not own transmission, and that do not, together with all of their affiliates, own or control 500 </w:t>
      </w:r>
      <w:r w:rsidR="001024DD">
        <w:t>megawatts</w:t>
      </w:r>
      <w:r w:rsidRPr="00984065" w:rsidR="001024DD">
        <w:t xml:space="preserve"> </w:t>
      </w:r>
      <w:r w:rsidRPr="00984065">
        <w:t>or more of generation in a relevant region are not required to submit updated market power analyses.  The Commission determines which sellers are in this category through information filed by the utility either when the seller files its initial application for market-based rate authorization or through a separate filing made to request such a determination.</w:t>
      </w:r>
    </w:p>
    <w:p w:rsidR="00984065" w:rsidRPr="00984065" w:rsidP="00984065" w14:paraId="3D4798D4" w14:textId="77777777">
      <w:pPr>
        <w:spacing w:line="480" w:lineRule="auto"/>
        <w:rPr>
          <w:i/>
        </w:rPr>
      </w:pPr>
      <w:r w:rsidRPr="00984065">
        <w:rPr>
          <w:i/>
          <w:iCs/>
        </w:rPr>
        <w:t xml:space="preserve">Type of Respondents:  </w:t>
      </w:r>
      <w:r w:rsidRPr="00984065">
        <w:t>Public utilities, wholesale electricity sellers.</w:t>
      </w:r>
    </w:p>
    <w:p w:rsidR="00984065" w:rsidP="00984065" w14:paraId="7EBEC58B" w14:textId="7B15D1B7">
      <w:pPr>
        <w:spacing w:line="480" w:lineRule="auto"/>
      </w:pPr>
      <w:r w:rsidRPr="00984065">
        <w:rPr>
          <w:i/>
        </w:rPr>
        <w:t>Estimate of Annual Burden:</w:t>
      </w:r>
      <w:r>
        <w:rPr>
          <w:b/>
          <w:i/>
          <w:szCs w:val="26"/>
          <w:vertAlign w:val="superscript"/>
        </w:rPr>
        <w:footnoteReference w:id="6"/>
      </w:r>
      <w:r w:rsidRPr="00984065">
        <w:rPr>
          <w:i/>
        </w:rPr>
        <w:t xml:space="preserve">  </w:t>
      </w:r>
      <w:r w:rsidRPr="00984065">
        <w:t>The Commission estimates the total annual burden and cost</w:t>
      </w:r>
      <w:r>
        <w:rPr>
          <w:b/>
          <w:szCs w:val="26"/>
          <w:vertAlign w:val="superscript"/>
        </w:rPr>
        <w:footnoteReference w:id="7"/>
      </w:r>
      <w:r w:rsidRPr="00984065">
        <w:t xml:space="preserve"> for this information collection as follows.</w:t>
      </w:r>
    </w:p>
    <w:p w:rsidR="00937B09" w:rsidP="00984065" w14:paraId="37D72237" w14:textId="02D16B38">
      <w:pPr>
        <w:spacing w:line="480" w:lineRule="auto"/>
      </w:pPr>
    </w:p>
    <w:p w:rsidR="00937B09" w:rsidP="00984065" w14:paraId="370AE5E3" w14:textId="44F2F806">
      <w:pPr>
        <w:spacing w:line="480" w:lineRule="auto"/>
      </w:pPr>
    </w:p>
    <w:p w:rsidR="00937B09" w:rsidP="00984065" w14:paraId="3821CB5B" w14:textId="708E10A1">
      <w:pPr>
        <w:spacing w:line="480" w:lineRule="auto"/>
      </w:pPr>
    </w:p>
    <w:p w:rsidR="00937B09" w:rsidP="00984065" w14:paraId="1520E767" w14:textId="4026C0F4">
      <w:pPr>
        <w:spacing w:line="480" w:lineRule="auto"/>
      </w:pPr>
    </w:p>
    <w:p w:rsidR="00937B09" w:rsidP="00984065" w14:paraId="29C52337" w14:textId="77777777">
      <w:pPr>
        <w:spacing w:line="480" w:lineRule="auto"/>
      </w:pPr>
    </w:p>
    <w:tbl>
      <w:tblPr>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6"/>
        <w:gridCol w:w="1167"/>
        <w:gridCol w:w="1619"/>
        <w:gridCol w:w="1082"/>
        <w:gridCol w:w="1170"/>
        <w:gridCol w:w="1441"/>
        <w:gridCol w:w="1171"/>
      </w:tblGrid>
      <w:tr w14:paraId="1BA516B3" w14:textId="77777777" w:rsidTr="00D36C06">
        <w:tblPrEx>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B20B7B" w:rsidRPr="00B20B7B" w:rsidP="00B20B7B" w14:paraId="0DE169D0" w14:textId="77777777">
            <w:pPr>
              <w:spacing w:after="160" w:line="259" w:lineRule="auto"/>
              <w:rPr>
                <w:rFonts w:eastAsiaTheme="minorHAnsi"/>
                <w:b/>
                <w:sz w:val="20"/>
                <w:szCs w:val="20"/>
              </w:rPr>
            </w:pPr>
            <w:bookmarkStart w:id="5" w:name="_Hlk102747398"/>
            <w:r w:rsidRPr="00B20B7B">
              <w:rPr>
                <w:rFonts w:eastAsiaTheme="minorHAnsi"/>
                <w:b/>
                <w:sz w:val="20"/>
                <w:szCs w:val="20"/>
              </w:rPr>
              <w:t>FERC-919, Refinements to Policies and Procedures for Market Based Rates for Wholesale Sales of Electric Energy</w:t>
            </w:r>
          </w:p>
        </w:tc>
      </w:tr>
      <w:tr w14:paraId="50FBC2DD" w14:textId="77777777" w:rsidTr="003A027F">
        <w:tblPrEx>
          <w:tblW w:w="5003" w:type="pct"/>
          <w:jc w:val="right"/>
          <w:tblLayout w:type="fixed"/>
          <w:tblLook w:val="01E0"/>
        </w:tblPrEx>
        <w:trPr>
          <w:cantSplit/>
          <w:jc w:val="right"/>
        </w:trPr>
        <w:tc>
          <w:tcPr>
            <w:tcW w:w="912" w:type="pct"/>
            <w:shd w:val="clear" w:color="auto" w:fill="D9D9D9"/>
            <w:vAlign w:val="bottom"/>
          </w:tcPr>
          <w:p w:rsidR="00B20B7B" w:rsidRPr="00B20B7B" w:rsidP="00B20B7B" w14:paraId="2764851B" w14:textId="77777777">
            <w:pPr>
              <w:spacing w:after="160" w:line="259" w:lineRule="auto"/>
              <w:rPr>
                <w:rFonts w:eastAsiaTheme="minorHAnsi"/>
                <w:b/>
                <w:sz w:val="20"/>
                <w:szCs w:val="20"/>
              </w:rPr>
            </w:pPr>
            <w:bookmarkStart w:id="6" w:name="_Hlk106274727"/>
            <w:r w:rsidRPr="00B20B7B">
              <w:rPr>
                <w:rFonts w:eastAsiaTheme="minorHAnsi"/>
                <w:b/>
                <w:sz w:val="20"/>
                <w:szCs w:val="20"/>
              </w:rPr>
              <w:t>Requirement</w:t>
            </w:r>
          </w:p>
        </w:tc>
        <w:tc>
          <w:tcPr>
            <w:tcW w:w="624" w:type="pct"/>
            <w:shd w:val="clear" w:color="auto" w:fill="D9D9D9"/>
            <w:vAlign w:val="bottom"/>
          </w:tcPr>
          <w:p w:rsidR="00B20B7B" w:rsidRPr="00B20B7B" w:rsidP="00B20B7B" w14:paraId="56531980" w14:textId="77777777">
            <w:pPr>
              <w:spacing w:after="160" w:line="259" w:lineRule="auto"/>
              <w:rPr>
                <w:rFonts w:eastAsiaTheme="minorHAnsi"/>
                <w:b/>
                <w:sz w:val="20"/>
                <w:szCs w:val="20"/>
              </w:rPr>
            </w:pPr>
            <w:r w:rsidRPr="00B20B7B">
              <w:rPr>
                <w:rFonts w:eastAsiaTheme="minorHAnsi"/>
                <w:b/>
                <w:sz w:val="20"/>
                <w:szCs w:val="20"/>
              </w:rPr>
              <w:t>Number of Respondents</w:t>
            </w:r>
          </w:p>
          <w:p w:rsidR="00B20B7B" w:rsidRPr="00B20B7B" w:rsidP="00B20B7B" w14:paraId="4D062249" w14:textId="77777777">
            <w:pPr>
              <w:spacing w:after="160" w:line="259" w:lineRule="auto"/>
              <w:rPr>
                <w:rFonts w:eastAsiaTheme="minorHAnsi"/>
                <w:b/>
                <w:sz w:val="20"/>
                <w:szCs w:val="20"/>
              </w:rPr>
            </w:pPr>
            <w:r w:rsidRPr="00B20B7B">
              <w:rPr>
                <w:rFonts w:eastAsiaTheme="minorHAnsi"/>
                <w:b/>
                <w:sz w:val="20"/>
                <w:szCs w:val="20"/>
              </w:rPr>
              <w:t>(1)</w:t>
            </w:r>
          </w:p>
        </w:tc>
        <w:tc>
          <w:tcPr>
            <w:tcW w:w="865" w:type="pct"/>
            <w:shd w:val="clear" w:color="auto" w:fill="D9D9D9"/>
            <w:vAlign w:val="bottom"/>
          </w:tcPr>
          <w:p w:rsidR="00B20B7B" w:rsidRPr="00B20B7B" w:rsidP="00B20B7B" w14:paraId="7F5E1BBD" w14:textId="77777777">
            <w:pPr>
              <w:spacing w:after="160" w:line="259" w:lineRule="auto"/>
              <w:rPr>
                <w:rFonts w:eastAsiaTheme="minorHAnsi"/>
                <w:b/>
                <w:sz w:val="20"/>
                <w:szCs w:val="20"/>
              </w:rPr>
            </w:pPr>
            <w:r w:rsidRPr="00B20B7B">
              <w:rPr>
                <w:rFonts w:eastAsiaTheme="minorHAnsi"/>
                <w:b/>
                <w:sz w:val="20"/>
                <w:szCs w:val="20"/>
              </w:rPr>
              <w:t>Annual Number of Responses per Respondent</w:t>
            </w:r>
          </w:p>
          <w:p w:rsidR="00B20B7B" w:rsidRPr="00B20B7B" w:rsidP="00B20B7B" w14:paraId="585B1DF7" w14:textId="77777777">
            <w:pPr>
              <w:spacing w:after="160" w:line="259" w:lineRule="auto"/>
              <w:rPr>
                <w:rFonts w:eastAsiaTheme="minorHAnsi"/>
                <w:b/>
                <w:sz w:val="20"/>
                <w:szCs w:val="20"/>
              </w:rPr>
            </w:pPr>
            <w:r w:rsidRPr="00B20B7B">
              <w:rPr>
                <w:rFonts w:eastAsiaTheme="minorHAnsi"/>
                <w:b/>
                <w:sz w:val="20"/>
                <w:szCs w:val="20"/>
              </w:rPr>
              <w:t>(2)</w:t>
            </w:r>
          </w:p>
        </w:tc>
        <w:tc>
          <w:tcPr>
            <w:tcW w:w="578" w:type="pct"/>
            <w:shd w:val="clear" w:color="auto" w:fill="D9D9D9"/>
            <w:vAlign w:val="bottom"/>
          </w:tcPr>
          <w:p w:rsidR="00B20B7B" w:rsidRPr="00B20B7B" w:rsidP="00B20B7B" w14:paraId="3A9973C2" w14:textId="77777777">
            <w:pPr>
              <w:spacing w:after="160" w:line="259" w:lineRule="auto"/>
              <w:rPr>
                <w:rFonts w:eastAsiaTheme="minorHAnsi"/>
                <w:b/>
                <w:sz w:val="20"/>
                <w:szCs w:val="20"/>
              </w:rPr>
            </w:pPr>
            <w:r w:rsidRPr="00B20B7B">
              <w:rPr>
                <w:rFonts w:eastAsiaTheme="minorHAnsi"/>
                <w:b/>
                <w:sz w:val="20"/>
                <w:szCs w:val="20"/>
              </w:rPr>
              <w:t>Total Number of Responses</w:t>
            </w:r>
          </w:p>
          <w:p w:rsidR="00B20B7B" w:rsidRPr="00B20B7B" w:rsidP="00B20B7B" w14:paraId="2BFAA9F3" w14:textId="77777777">
            <w:pPr>
              <w:spacing w:after="160" w:line="259" w:lineRule="auto"/>
              <w:rPr>
                <w:rFonts w:eastAsiaTheme="minorHAnsi"/>
                <w:b/>
                <w:sz w:val="20"/>
                <w:szCs w:val="20"/>
              </w:rPr>
            </w:pPr>
            <w:r w:rsidRPr="00B20B7B">
              <w:rPr>
                <w:rFonts w:eastAsiaTheme="minorHAnsi"/>
                <w:b/>
                <w:sz w:val="20"/>
                <w:szCs w:val="20"/>
              </w:rPr>
              <w:t>(1)*(2)=(3)</w:t>
            </w:r>
          </w:p>
        </w:tc>
        <w:tc>
          <w:tcPr>
            <w:tcW w:w="625" w:type="pct"/>
            <w:shd w:val="clear" w:color="auto" w:fill="D9D9D9"/>
            <w:vAlign w:val="bottom"/>
          </w:tcPr>
          <w:p w:rsidR="00B20B7B" w:rsidRPr="00B20B7B" w:rsidP="00B20B7B" w14:paraId="4A56AC43" w14:textId="77777777">
            <w:pPr>
              <w:spacing w:after="160" w:line="259" w:lineRule="auto"/>
              <w:rPr>
                <w:rFonts w:eastAsiaTheme="minorHAnsi"/>
                <w:b/>
                <w:sz w:val="20"/>
                <w:szCs w:val="20"/>
              </w:rPr>
            </w:pPr>
            <w:r w:rsidRPr="00B20B7B">
              <w:rPr>
                <w:rFonts w:eastAsiaTheme="minorHAnsi"/>
                <w:b/>
                <w:sz w:val="20"/>
                <w:szCs w:val="20"/>
              </w:rPr>
              <w:t>Average Burden &amp; Cost Per Response</w:t>
            </w:r>
          </w:p>
          <w:p w:rsidR="00B20B7B" w:rsidRPr="00B20B7B" w:rsidP="00B20B7B" w14:paraId="7A1B7023" w14:textId="77777777">
            <w:pPr>
              <w:spacing w:after="160" w:line="259" w:lineRule="auto"/>
              <w:rPr>
                <w:rFonts w:eastAsiaTheme="minorHAnsi"/>
                <w:b/>
                <w:sz w:val="20"/>
                <w:szCs w:val="20"/>
              </w:rPr>
            </w:pPr>
            <w:r w:rsidRPr="00B20B7B">
              <w:rPr>
                <w:rFonts w:eastAsiaTheme="minorHAnsi"/>
                <w:b/>
                <w:sz w:val="20"/>
                <w:szCs w:val="20"/>
              </w:rPr>
              <w:t>(4)</w:t>
            </w:r>
          </w:p>
        </w:tc>
        <w:tc>
          <w:tcPr>
            <w:tcW w:w="770" w:type="pct"/>
            <w:shd w:val="clear" w:color="auto" w:fill="D9D9D9"/>
            <w:vAlign w:val="bottom"/>
          </w:tcPr>
          <w:p w:rsidR="00B20B7B" w:rsidRPr="00B20B7B" w:rsidP="00B20B7B" w14:paraId="09A9DAD7" w14:textId="77777777">
            <w:pPr>
              <w:spacing w:after="160" w:line="259" w:lineRule="auto"/>
              <w:rPr>
                <w:rFonts w:eastAsiaTheme="minorHAnsi"/>
                <w:b/>
                <w:sz w:val="20"/>
                <w:szCs w:val="20"/>
              </w:rPr>
            </w:pPr>
            <w:r w:rsidRPr="00B20B7B">
              <w:rPr>
                <w:rFonts w:eastAsiaTheme="minorHAnsi"/>
                <w:b/>
                <w:sz w:val="20"/>
                <w:szCs w:val="20"/>
              </w:rPr>
              <w:t>Total Annual Burden Hours &amp; Cost</w:t>
            </w:r>
            <w:r>
              <w:rPr>
                <w:rFonts w:eastAsiaTheme="minorHAnsi"/>
                <w:b/>
                <w:sz w:val="20"/>
                <w:szCs w:val="20"/>
                <w:vertAlign w:val="superscript"/>
              </w:rPr>
              <w:footnoteReference w:id="8"/>
            </w:r>
          </w:p>
          <w:p w:rsidR="00B20B7B" w:rsidRPr="00B20B7B" w:rsidP="00B20B7B" w14:paraId="543D21C7" w14:textId="77777777">
            <w:pPr>
              <w:spacing w:after="160" w:line="259" w:lineRule="auto"/>
              <w:rPr>
                <w:rFonts w:eastAsiaTheme="minorHAnsi"/>
                <w:b/>
                <w:sz w:val="20"/>
                <w:szCs w:val="20"/>
              </w:rPr>
            </w:pPr>
            <w:r w:rsidRPr="00B20B7B">
              <w:rPr>
                <w:rFonts w:eastAsiaTheme="minorHAnsi"/>
                <w:b/>
                <w:sz w:val="20"/>
                <w:szCs w:val="20"/>
              </w:rPr>
              <w:t>(3)*(4)=(5)</w:t>
            </w:r>
          </w:p>
        </w:tc>
        <w:tc>
          <w:tcPr>
            <w:tcW w:w="626" w:type="pct"/>
            <w:shd w:val="clear" w:color="auto" w:fill="D9D9D9"/>
            <w:vAlign w:val="bottom"/>
          </w:tcPr>
          <w:p w:rsidR="00B20B7B" w:rsidRPr="00B20B7B" w:rsidP="00B20B7B" w14:paraId="4845A78F" w14:textId="77777777">
            <w:pPr>
              <w:spacing w:after="160" w:line="259" w:lineRule="auto"/>
              <w:rPr>
                <w:rFonts w:eastAsiaTheme="minorHAnsi"/>
                <w:b/>
                <w:sz w:val="20"/>
                <w:szCs w:val="20"/>
              </w:rPr>
            </w:pPr>
            <w:r w:rsidRPr="00B20B7B">
              <w:rPr>
                <w:rFonts w:eastAsiaTheme="minorHAnsi"/>
                <w:b/>
                <w:sz w:val="20"/>
                <w:szCs w:val="20"/>
              </w:rPr>
              <w:t>Annual Cost per Respondent ($)</w:t>
            </w:r>
          </w:p>
          <w:p w:rsidR="00B20B7B" w:rsidRPr="00B20B7B" w:rsidP="00B20B7B" w14:paraId="3339F1BE" w14:textId="77777777">
            <w:pPr>
              <w:spacing w:after="160" w:line="259" w:lineRule="auto"/>
              <w:rPr>
                <w:rFonts w:eastAsiaTheme="minorHAnsi"/>
                <w:b/>
                <w:sz w:val="20"/>
                <w:szCs w:val="20"/>
              </w:rPr>
            </w:pPr>
            <w:r w:rsidRPr="00B20B7B">
              <w:rPr>
                <w:rFonts w:eastAsiaTheme="minorHAnsi"/>
                <w:b/>
                <w:sz w:val="20"/>
                <w:szCs w:val="20"/>
              </w:rPr>
              <w:t>(5)÷(1)</w:t>
            </w:r>
          </w:p>
        </w:tc>
      </w:tr>
      <w:bookmarkEnd w:id="6"/>
      <w:tr w14:paraId="1FAB9262"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20B7B" w:rsidRPr="00B20B7B" w:rsidP="00B20B7B" w14:paraId="656F8501" w14:textId="77777777">
            <w:pPr>
              <w:rPr>
                <w:rFonts w:eastAsiaTheme="minorHAnsi"/>
                <w:sz w:val="20"/>
                <w:szCs w:val="20"/>
              </w:rPr>
            </w:pPr>
            <w:r w:rsidRPr="00B20B7B">
              <w:rPr>
                <w:rFonts w:eastAsiaTheme="minorHAnsi"/>
                <w:sz w:val="20"/>
                <w:szCs w:val="20"/>
              </w:rPr>
              <w:t>Market Power Analysis in New Applications for Market-based rates</w:t>
            </w:r>
          </w:p>
        </w:tc>
        <w:tc>
          <w:tcPr>
            <w:tcW w:w="624"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024E66B6" w14:textId="77777777">
            <w:pPr>
              <w:jc w:val="right"/>
              <w:rPr>
                <w:rFonts w:eastAsiaTheme="minorHAnsi"/>
                <w:sz w:val="20"/>
                <w:szCs w:val="20"/>
              </w:rPr>
            </w:pPr>
            <w:r w:rsidRPr="00B20B7B">
              <w:rPr>
                <w:rFonts w:eastAsiaTheme="minorHAnsi"/>
                <w:sz w:val="20"/>
                <w:szCs w:val="20"/>
              </w:rPr>
              <w:t>144</w:t>
            </w:r>
          </w:p>
        </w:tc>
        <w:tc>
          <w:tcPr>
            <w:tcW w:w="86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14C70473"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32026953" w14:textId="77777777">
            <w:pPr>
              <w:jc w:val="right"/>
              <w:rPr>
                <w:rFonts w:eastAsiaTheme="minorHAnsi"/>
                <w:sz w:val="20"/>
                <w:szCs w:val="20"/>
              </w:rPr>
            </w:pPr>
            <w:r w:rsidRPr="00B20B7B">
              <w:rPr>
                <w:rFonts w:eastAsiaTheme="minorHAnsi"/>
                <w:sz w:val="20"/>
                <w:szCs w:val="20"/>
              </w:rPr>
              <w:t>144</w:t>
            </w:r>
          </w:p>
        </w:tc>
        <w:tc>
          <w:tcPr>
            <w:tcW w:w="62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218F72D1" w14:textId="42E74E62">
            <w:pPr>
              <w:jc w:val="right"/>
              <w:rPr>
                <w:rFonts w:eastAsiaTheme="minorHAnsi"/>
                <w:sz w:val="20"/>
                <w:szCs w:val="20"/>
              </w:rPr>
            </w:pPr>
            <w:r>
              <w:rPr>
                <w:rFonts w:eastAsiaTheme="minorHAnsi"/>
                <w:sz w:val="20"/>
                <w:szCs w:val="20"/>
              </w:rPr>
              <w:t>135</w:t>
            </w:r>
            <w:r w:rsidRPr="00B20B7B">
              <w:rPr>
                <w:rFonts w:eastAsiaTheme="minorHAnsi"/>
                <w:sz w:val="20"/>
                <w:szCs w:val="20"/>
              </w:rPr>
              <w:t xml:space="preserve"> hrs.;</w:t>
            </w:r>
          </w:p>
          <w:p w:rsidR="00B20B7B" w:rsidRPr="00B20B7B" w:rsidP="00B20B7B" w14:paraId="1734715A" w14:textId="6F24829A">
            <w:pPr>
              <w:jc w:val="right"/>
              <w:rPr>
                <w:rFonts w:eastAsiaTheme="minorHAnsi"/>
                <w:sz w:val="20"/>
                <w:szCs w:val="20"/>
              </w:rPr>
            </w:pPr>
            <w:r w:rsidRPr="00B20B7B">
              <w:rPr>
                <w:rFonts w:eastAsiaTheme="minorHAnsi"/>
                <w:sz w:val="20"/>
                <w:szCs w:val="20"/>
              </w:rPr>
              <w:t>$</w:t>
            </w:r>
            <w:r w:rsidR="000A0AFD">
              <w:rPr>
                <w:rFonts w:eastAsiaTheme="minorHAnsi"/>
                <w:sz w:val="20"/>
                <w:szCs w:val="20"/>
              </w:rPr>
              <w:t>13,095</w:t>
            </w:r>
          </w:p>
        </w:tc>
        <w:tc>
          <w:tcPr>
            <w:tcW w:w="770"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51ED50BA" w14:textId="4BACF43F">
            <w:pPr>
              <w:jc w:val="right"/>
              <w:rPr>
                <w:rFonts w:eastAsiaTheme="minorHAnsi"/>
                <w:sz w:val="20"/>
                <w:szCs w:val="20"/>
              </w:rPr>
            </w:pPr>
            <w:r>
              <w:rPr>
                <w:rFonts w:eastAsiaTheme="minorHAnsi"/>
                <w:sz w:val="20"/>
                <w:szCs w:val="20"/>
              </w:rPr>
              <w:t>19,440</w:t>
            </w:r>
            <w:r w:rsidRPr="00B20B7B">
              <w:rPr>
                <w:rFonts w:eastAsiaTheme="minorHAnsi"/>
                <w:sz w:val="20"/>
                <w:szCs w:val="20"/>
              </w:rPr>
              <w:t xml:space="preserve"> hrs.;</w:t>
            </w:r>
          </w:p>
          <w:p w:rsidR="00B20B7B" w:rsidRPr="00B20B7B" w:rsidP="00B20B7B" w14:paraId="183ED0E8" w14:textId="510B94C8">
            <w:pPr>
              <w:jc w:val="right"/>
              <w:rPr>
                <w:rFonts w:eastAsiaTheme="minorHAnsi"/>
                <w:sz w:val="20"/>
                <w:szCs w:val="20"/>
              </w:rPr>
            </w:pPr>
            <w:r w:rsidRPr="00B20B7B">
              <w:rPr>
                <w:rFonts w:eastAsiaTheme="minorHAnsi"/>
                <w:sz w:val="20"/>
                <w:szCs w:val="20"/>
              </w:rPr>
              <w:t>$</w:t>
            </w:r>
            <w:r w:rsidR="000A0AFD">
              <w:rPr>
                <w:rFonts w:eastAsiaTheme="minorHAnsi"/>
                <w:sz w:val="20"/>
                <w:szCs w:val="20"/>
              </w:rPr>
              <w:t>1,885,680</w:t>
            </w:r>
          </w:p>
        </w:tc>
        <w:tc>
          <w:tcPr>
            <w:tcW w:w="626"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3CE105E2" w14:textId="671495E0">
            <w:pPr>
              <w:jc w:val="right"/>
              <w:rPr>
                <w:rFonts w:eastAsiaTheme="minorHAnsi"/>
                <w:sz w:val="20"/>
                <w:szCs w:val="20"/>
              </w:rPr>
            </w:pPr>
            <w:r w:rsidRPr="00B20B7B">
              <w:rPr>
                <w:rFonts w:eastAsiaTheme="minorHAnsi"/>
                <w:sz w:val="20"/>
                <w:szCs w:val="20"/>
              </w:rPr>
              <w:t>$</w:t>
            </w:r>
            <w:r w:rsidR="000A0AFD">
              <w:rPr>
                <w:rFonts w:eastAsiaTheme="minorHAnsi"/>
                <w:sz w:val="20"/>
                <w:szCs w:val="20"/>
              </w:rPr>
              <w:t>13,095</w:t>
            </w:r>
          </w:p>
        </w:tc>
      </w:tr>
      <w:tr w14:paraId="11C71661"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20B7B" w:rsidRPr="00B20B7B" w:rsidP="00B20B7B" w14:paraId="141B86EE" w14:textId="77777777">
            <w:pPr>
              <w:rPr>
                <w:rFonts w:eastAsiaTheme="minorHAnsi"/>
                <w:sz w:val="20"/>
                <w:szCs w:val="20"/>
              </w:rPr>
            </w:pPr>
            <w:r w:rsidRPr="00B20B7B">
              <w:rPr>
                <w:rFonts w:eastAsiaTheme="minorHAnsi"/>
                <w:sz w:val="20"/>
                <w:szCs w:val="20"/>
              </w:rPr>
              <w:t>Triennial market power analysis</w:t>
            </w:r>
          </w:p>
        </w:tc>
        <w:tc>
          <w:tcPr>
            <w:tcW w:w="624"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7F141D51" w14:textId="77777777">
            <w:pPr>
              <w:jc w:val="right"/>
              <w:rPr>
                <w:rFonts w:eastAsiaTheme="minorHAnsi"/>
                <w:sz w:val="20"/>
                <w:szCs w:val="20"/>
              </w:rPr>
            </w:pPr>
            <w:r w:rsidRPr="00B20B7B">
              <w:rPr>
                <w:rFonts w:eastAsiaTheme="minorHAnsi"/>
                <w:sz w:val="20"/>
                <w:szCs w:val="20"/>
              </w:rPr>
              <w:t>65</w:t>
            </w:r>
          </w:p>
        </w:tc>
        <w:tc>
          <w:tcPr>
            <w:tcW w:w="86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41B5A9DB"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71421318" w14:textId="77777777">
            <w:pPr>
              <w:jc w:val="right"/>
              <w:rPr>
                <w:rFonts w:eastAsiaTheme="minorHAnsi"/>
                <w:sz w:val="20"/>
                <w:szCs w:val="20"/>
              </w:rPr>
            </w:pPr>
            <w:r w:rsidRPr="00B20B7B">
              <w:rPr>
                <w:rFonts w:eastAsiaTheme="minorHAnsi"/>
                <w:sz w:val="20"/>
                <w:szCs w:val="20"/>
              </w:rPr>
              <w:t>65</w:t>
            </w:r>
          </w:p>
        </w:tc>
        <w:tc>
          <w:tcPr>
            <w:tcW w:w="62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0EE36613" w14:textId="5BEF555A">
            <w:pPr>
              <w:jc w:val="right"/>
              <w:rPr>
                <w:rFonts w:eastAsiaTheme="minorHAnsi"/>
                <w:sz w:val="20"/>
                <w:szCs w:val="20"/>
              </w:rPr>
            </w:pPr>
            <w:r>
              <w:rPr>
                <w:rFonts w:eastAsiaTheme="minorHAnsi"/>
                <w:sz w:val="20"/>
                <w:szCs w:val="20"/>
              </w:rPr>
              <w:t>133.23</w:t>
            </w:r>
            <w:r w:rsidRPr="00B20B7B">
              <w:rPr>
                <w:rFonts w:eastAsiaTheme="minorHAnsi"/>
                <w:sz w:val="20"/>
                <w:szCs w:val="20"/>
              </w:rPr>
              <w:t xml:space="preserve"> hrs.;</w:t>
            </w:r>
          </w:p>
          <w:p w:rsidR="00B20B7B" w:rsidRPr="00B20B7B" w:rsidP="00B20B7B" w14:paraId="44CF9F2C" w14:textId="50BB016B">
            <w:pPr>
              <w:jc w:val="right"/>
              <w:rPr>
                <w:rFonts w:eastAsiaTheme="minorHAnsi"/>
                <w:sz w:val="20"/>
                <w:szCs w:val="20"/>
              </w:rPr>
            </w:pPr>
            <w:r w:rsidRPr="00B20B7B">
              <w:rPr>
                <w:rFonts w:eastAsiaTheme="minorHAnsi"/>
                <w:sz w:val="20"/>
                <w:szCs w:val="20"/>
              </w:rPr>
              <w:t>$</w:t>
            </w:r>
            <w:r w:rsidR="000A0AFD">
              <w:rPr>
                <w:rFonts w:eastAsiaTheme="minorHAnsi"/>
                <w:sz w:val="20"/>
                <w:szCs w:val="20"/>
              </w:rPr>
              <w:t>12,923.31</w:t>
            </w:r>
          </w:p>
        </w:tc>
        <w:tc>
          <w:tcPr>
            <w:tcW w:w="770"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6C1A44A2" w14:textId="0C98BCD2">
            <w:pPr>
              <w:jc w:val="right"/>
              <w:rPr>
                <w:rFonts w:eastAsiaTheme="minorHAnsi"/>
                <w:sz w:val="20"/>
                <w:szCs w:val="20"/>
              </w:rPr>
            </w:pPr>
            <w:r>
              <w:rPr>
                <w:rFonts w:eastAsiaTheme="minorHAnsi"/>
                <w:sz w:val="20"/>
                <w:szCs w:val="20"/>
              </w:rPr>
              <w:t>8,659.95</w:t>
            </w:r>
            <w:r w:rsidR="00F03990">
              <w:rPr>
                <w:rFonts w:eastAsiaTheme="minorHAnsi"/>
                <w:sz w:val="20"/>
                <w:szCs w:val="20"/>
              </w:rPr>
              <w:t xml:space="preserve"> </w:t>
            </w:r>
            <w:r w:rsidRPr="00B20B7B">
              <w:rPr>
                <w:rFonts w:eastAsiaTheme="minorHAnsi"/>
                <w:sz w:val="20"/>
                <w:szCs w:val="20"/>
              </w:rPr>
              <w:t>hrs.;</w:t>
            </w:r>
          </w:p>
          <w:p w:rsidR="00B20B7B" w:rsidRPr="00B20B7B" w:rsidP="00B20B7B" w14:paraId="46C7D909" w14:textId="0754525F">
            <w:pPr>
              <w:jc w:val="right"/>
              <w:rPr>
                <w:rFonts w:eastAsiaTheme="minorHAnsi"/>
                <w:sz w:val="20"/>
                <w:szCs w:val="20"/>
              </w:rPr>
            </w:pPr>
            <w:r w:rsidRPr="00B20B7B">
              <w:rPr>
                <w:rFonts w:eastAsiaTheme="minorHAnsi"/>
                <w:sz w:val="20"/>
                <w:szCs w:val="20"/>
              </w:rPr>
              <w:t>$</w:t>
            </w:r>
            <w:r w:rsidR="000A0AFD">
              <w:rPr>
                <w:rFonts w:eastAsiaTheme="minorHAnsi"/>
                <w:sz w:val="20"/>
                <w:szCs w:val="20"/>
              </w:rPr>
              <w:t>840,015.15</w:t>
            </w:r>
          </w:p>
        </w:tc>
        <w:tc>
          <w:tcPr>
            <w:tcW w:w="626"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7BDE148B" w14:textId="7F78545A">
            <w:pPr>
              <w:jc w:val="right"/>
              <w:rPr>
                <w:rFonts w:eastAsiaTheme="minorHAnsi"/>
                <w:sz w:val="20"/>
                <w:szCs w:val="20"/>
              </w:rPr>
            </w:pPr>
            <w:r w:rsidRPr="00B20B7B">
              <w:rPr>
                <w:rFonts w:eastAsiaTheme="minorHAnsi"/>
                <w:sz w:val="20"/>
                <w:szCs w:val="20"/>
              </w:rPr>
              <w:t>$</w:t>
            </w:r>
            <w:r w:rsidR="000A0AFD">
              <w:rPr>
                <w:rFonts w:eastAsiaTheme="minorHAnsi"/>
                <w:sz w:val="20"/>
                <w:szCs w:val="20"/>
              </w:rPr>
              <w:t>12,923.31</w:t>
            </w:r>
          </w:p>
        </w:tc>
      </w:tr>
      <w:tr w14:paraId="6BE3D755"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20B7B" w:rsidRPr="00B20B7B" w:rsidP="00B20B7B" w14:paraId="1DB240B6" w14:textId="26BAB33B">
            <w:pPr>
              <w:rPr>
                <w:rFonts w:eastAsiaTheme="minorHAnsi"/>
                <w:sz w:val="20"/>
                <w:szCs w:val="20"/>
              </w:rPr>
            </w:pPr>
            <w:bookmarkStart w:id="7" w:name="_Hlk106285101"/>
            <w:bookmarkStart w:id="8" w:name="_Hlk106274395"/>
            <w:r>
              <w:rPr>
                <w:rFonts w:eastAsiaTheme="minorHAnsi"/>
                <w:sz w:val="20"/>
                <w:szCs w:val="20"/>
              </w:rPr>
              <w:t>Asset appendix</w:t>
            </w:r>
            <w:r w:rsidRPr="00B20B7B">
              <w:rPr>
                <w:rFonts w:eastAsiaTheme="minorHAnsi"/>
                <w:sz w:val="20"/>
                <w:szCs w:val="20"/>
              </w:rPr>
              <w:t xml:space="preserve"> addition to change in status reports</w:t>
            </w:r>
            <w:bookmarkEnd w:id="7"/>
          </w:p>
        </w:tc>
        <w:tc>
          <w:tcPr>
            <w:tcW w:w="624"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5A6945CE" w14:textId="77777777">
            <w:pPr>
              <w:jc w:val="right"/>
              <w:rPr>
                <w:rFonts w:eastAsiaTheme="minorHAnsi"/>
                <w:sz w:val="20"/>
                <w:szCs w:val="20"/>
              </w:rPr>
            </w:pPr>
            <w:r w:rsidRPr="00B20B7B">
              <w:rPr>
                <w:rFonts w:eastAsiaTheme="minorHAnsi"/>
                <w:sz w:val="20"/>
                <w:szCs w:val="20"/>
              </w:rPr>
              <w:t>149</w:t>
            </w:r>
          </w:p>
        </w:tc>
        <w:tc>
          <w:tcPr>
            <w:tcW w:w="86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13A7D8D0"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29356966" w14:textId="77777777">
            <w:pPr>
              <w:jc w:val="right"/>
              <w:rPr>
                <w:rFonts w:eastAsiaTheme="minorHAnsi"/>
                <w:sz w:val="20"/>
                <w:szCs w:val="20"/>
              </w:rPr>
            </w:pPr>
            <w:r w:rsidRPr="00B20B7B">
              <w:rPr>
                <w:rFonts w:eastAsiaTheme="minorHAnsi"/>
                <w:sz w:val="20"/>
                <w:szCs w:val="20"/>
              </w:rPr>
              <w:t>149</w:t>
            </w:r>
          </w:p>
        </w:tc>
        <w:tc>
          <w:tcPr>
            <w:tcW w:w="625"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01192CA0" w14:textId="77777777">
            <w:pPr>
              <w:jc w:val="right"/>
              <w:rPr>
                <w:rFonts w:eastAsiaTheme="minorHAnsi"/>
                <w:sz w:val="20"/>
                <w:szCs w:val="20"/>
              </w:rPr>
            </w:pPr>
            <w:r w:rsidRPr="00B20B7B">
              <w:rPr>
                <w:rFonts w:eastAsiaTheme="minorHAnsi"/>
                <w:sz w:val="20"/>
                <w:szCs w:val="20"/>
              </w:rPr>
              <w:t>49 hrs.;</w:t>
            </w:r>
          </w:p>
          <w:p w:rsidR="00B20B7B" w:rsidRPr="00B20B7B" w:rsidP="00B20B7B" w14:paraId="3DD19CF0" w14:textId="30B3ABCD">
            <w:pPr>
              <w:jc w:val="right"/>
              <w:rPr>
                <w:rFonts w:eastAsiaTheme="minorHAnsi"/>
                <w:sz w:val="20"/>
                <w:szCs w:val="20"/>
              </w:rPr>
            </w:pPr>
            <w:r w:rsidRPr="00B20B7B">
              <w:rPr>
                <w:rFonts w:eastAsiaTheme="minorHAnsi"/>
                <w:sz w:val="20"/>
                <w:szCs w:val="20"/>
              </w:rPr>
              <w:t>$4,</w:t>
            </w:r>
            <w:r w:rsidR="000A0AFD">
              <w:rPr>
                <w:rFonts w:eastAsiaTheme="minorHAnsi"/>
                <w:sz w:val="20"/>
                <w:szCs w:val="20"/>
              </w:rPr>
              <w:t>753</w:t>
            </w:r>
          </w:p>
        </w:tc>
        <w:tc>
          <w:tcPr>
            <w:tcW w:w="770"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2D7E807A" w14:textId="77777777">
            <w:pPr>
              <w:jc w:val="right"/>
              <w:rPr>
                <w:rFonts w:eastAsiaTheme="minorHAnsi"/>
                <w:sz w:val="20"/>
                <w:szCs w:val="20"/>
              </w:rPr>
            </w:pPr>
            <w:r w:rsidRPr="00B20B7B">
              <w:rPr>
                <w:rFonts w:eastAsiaTheme="minorHAnsi"/>
                <w:sz w:val="20"/>
                <w:szCs w:val="20"/>
              </w:rPr>
              <w:t>7,301 hrs.;</w:t>
            </w:r>
          </w:p>
          <w:p w:rsidR="00B20B7B" w:rsidRPr="00B20B7B" w:rsidP="00B20B7B" w14:paraId="69138CBA" w14:textId="7F7F33CA">
            <w:pPr>
              <w:jc w:val="right"/>
              <w:rPr>
                <w:rFonts w:eastAsiaTheme="minorHAnsi"/>
                <w:sz w:val="20"/>
                <w:szCs w:val="20"/>
              </w:rPr>
            </w:pPr>
            <w:r w:rsidRPr="00B20B7B">
              <w:rPr>
                <w:rFonts w:eastAsiaTheme="minorHAnsi"/>
                <w:sz w:val="20"/>
                <w:szCs w:val="20"/>
              </w:rPr>
              <w:t>$</w:t>
            </w:r>
            <w:r w:rsidR="000A0AFD">
              <w:rPr>
                <w:rFonts w:eastAsiaTheme="minorHAnsi"/>
                <w:sz w:val="20"/>
                <w:szCs w:val="20"/>
              </w:rPr>
              <w:t>708,197</w:t>
            </w:r>
          </w:p>
        </w:tc>
        <w:tc>
          <w:tcPr>
            <w:tcW w:w="626" w:type="pct"/>
            <w:tcBorders>
              <w:top w:val="single" w:sz="4" w:space="0" w:color="auto"/>
              <w:left w:val="single" w:sz="4" w:space="0" w:color="auto"/>
              <w:bottom w:val="single" w:sz="4" w:space="0" w:color="auto"/>
              <w:right w:val="single" w:sz="4" w:space="0" w:color="auto"/>
            </w:tcBorders>
            <w:vAlign w:val="bottom"/>
          </w:tcPr>
          <w:p w:rsidR="00B20B7B" w:rsidRPr="00B20B7B" w:rsidP="00B20B7B" w14:paraId="2E0AB58E" w14:textId="2C3B096B">
            <w:pPr>
              <w:jc w:val="right"/>
              <w:rPr>
                <w:rFonts w:eastAsiaTheme="minorHAnsi"/>
                <w:sz w:val="20"/>
                <w:szCs w:val="20"/>
              </w:rPr>
            </w:pPr>
            <w:r w:rsidRPr="00B20B7B">
              <w:rPr>
                <w:rFonts w:eastAsiaTheme="minorHAnsi"/>
                <w:sz w:val="20"/>
                <w:szCs w:val="20"/>
              </w:rPr>
              <w:t>$4,</w:t>
            </w:r>
            <w:r w:rsidR="000A0AFD">
              <w:rPr>
                <w:rFonts w:eastAsiaTheme="minorHAnsi"/>
                <w:sz w:val="20"/>
                <w:szCs w:val="20"/>
              </w:rPr>
              <w:t>753</w:t>
            </w:r>
          </w:p>
        </w:tc>
      </w:tr>
      <w:bookmarkEnd w:id="8"/>
      <w:tr w14:paraId="0071F658"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FD23A2" w:rsidP="00B20B7B" w14:paraId="4D170DF0" w14:textId="27F005E7">
            <w:pPr>
              <w:rPr>
                <w:rFonts w:eastAsiaTheme="minorHAnsi"/>
                <w:sz w:val="20"/>
                <w:szCs w:val="20"/>
              </w:rPr>
            </w:pPr>
            <w:r>
              <w:rPr>
                <w:rFonts w:eastAsiaTheme="minorHAnsi"/>
                <w:sz w:val="20"/>
                <w:szCs w:val="20"/>
              </w:rPr>
              <w:t>FERC-919A Burden carried over</w:t>
            </w:r>
            <w:r w:rsidR="009810B5">
              <w:rPr>
                <w:rFonts w:eastAsiaTheme="minorHAnsi"/>
                <w:sz w:val="20"/>
                <w:szCs w:val="20"/>
              </w:rPr>
              <w:t xml:space="preserve"> from Order 860-A</w:t>
            </w:r>
          </w:p>
          <w:p w:rsidR="00056155" w:rsidRPr="00B20B7B" w:rsidP="00B20B7B" w14:paraId="10EB354E" w14:textId="0B35616E">
            <w:pPr>
              <w:rPr>
                <w:rFonts w:eastAsiaTheme="minorHAnsi"/>
                <w:sz w:val="20"/>
                <w:szCs w:val="20"/>
              </w:rPr>
            </w:pPr>
            <w:r>
              <w:rPr>
                <w:rFonts w:eastAsiaTheme="minorHAnsi"/>
                <w:sz w:val="20"/>
                <w:szCs w:val="20"/>
              </w:rPr>
              <w:t>Category 1</w:t>
            </w:r>
            <w:r w:rsidR="004A595E">
              <w:rPr>
                <w:rFonts w:eastAsiaTheme="minorHAnsi"/>
                <w:sz w:val="20"/>
                <w:szCs w:val="20"/>
              </w:rPr>
              <w:t>-(Ongoing)</w:t>
            </w:r>
          </w:p>
        </w:tc>
        <w:tc>
          <w:tcPr>
            <w:tcW w:w="624"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2A68AF61" w14:textId="0F46FD74">
            <w:pPr>
              <w:jc w:val="right"/>
              <w:rPr>
                <w:rFonts w:eastAsiaTheme="minorHAnsi"/>
                <w:sz w:val="20"/>
                <w:szCs w:val="20"/>
              </w:rPr>
            </w:pPr>
            <w:r>
              <w:rPr>
                <w:rFonts w:eastAsiaTheme="minorHAnsi"/>
                <w:sz w:val="20"/>
                <w:szCs w:val="20"/>
              </w:rPr>
              <w:t>1,000</w:t>
            </w:r>
          </w:p>
        </w:tc>
        <w:tc>
          <w:tcPr>
            <w:tcW w:w="865"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0D1CDF01" w14:textId="2606F6C6">
            <w:pPr>
              <w:jc w:val="right"/>
              <w:rPr>
                <w:rFonts w:eastAsiaTheme="minorHAnsi"/>
                <w:sz w:val="20"/>
                <w:szCs w:val="20"/>
              </w:rPr>
            </w:pPr>
            <w:r>
              <w:rPr>
                <w:rFonts w:eastAsiaTheme="minorHAnsi"/>
                <w:sz w:val="20"/>
                <w:szCs w:val="20"/>
              </w:rPr>
              <w:t>.333</w:t>
            </w:r>
          </w:p>
        </w:tc>
        <w:tc>
          <w:tcPr>
            <w:tcW w:w="578"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27A3D6C6" w14:textId="588AB340">
            <w:pPr>
              <w:jc w:val="right"/>
              <w:rPr>
                <w:rFonts w:eastAsiaTheme="minorHAnsi"/>
                <w:sz w:val="20"/>
                <w:szCs w:val="20"/>
              </w:rPr>
            </w:pPr>
            <w:r>
              <w:rPr>
                <w:rFonts w:eastAsiaTheme="minorHAnsi"/>
                <w:sz w:val="20"/>
                <w:szCs w:val="20"/>
              </w:rPr>
              <w:t>333</w:t>
            </w:r>
          </w:p>
        </w:tc>
        <w:tc>
          <w:tcPr>
            <w:tcW w:w="625"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53732040" w14:textId="1A449442">
            <w:pPr>
              <w:jc w:val="right"/>
              <w:rPr>
                <w:rFonts w:eastAsiaTheme="minorHAnsi"/>
                <w:sz w:val="20"/>
                <w:szCs w:val="20"/>
              </w:rPr>
            </w:pPr>
            <w:r>
              <w:rPr>
                <w:rFonts w:eastAsiaTheme="minorHAnsi"/>
                <w:sz w:val="20"/>
                <w:szCs w:val="20"/>
              </w:rPr>
              <w:t>2.44</w:t>
            </w:r>
            <w:r>
              <w:rPr>
                <w:rFonts w:eastAsiaTheme="minorHAnsi"/>
                <w:sz w:val="20"/>
                <w:szCs w:val="20"/>
              </w:rPr>
              <w:t xml:space="preserve"> hrs</w:t>
            </w:r>
            <w:r>
              <w:rPr>
                <w:rStyle w:val="FootnoteReference"/>
                <w:rFonts w:eastAsiaTheme="minorHAnsi"/>
              </w:rPr>
              <w:footnoteReference w:id="9"/>
            </w:r>
            <w:r>
              <w:rPr>
                <w:rFonts w:eastAsiaTheme="minorHAnsi"/>
                <w:sz w:val="20"/>
                <w:szCs w:val="20"/>
              </w:rPr>
              <w:t>; $</w:t>
            </w:r>
            <w:r>
              <w:rPr>
                <w:rFonts w:eastAsiaTheme="minorHAnsi"/>
                <w:sz w:val="20"/>
                <w:szCs w:val="20"/>
              </w:rPr>
              <w:t>237.11</w:t>
            </w:r>
          </w:p>
        </w:tc>
        <w:tc>
          <w:tcPr>
            <w:tcW w:w="770"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02A92B8B" w14:textId="62C23D9F">
            <w:pPr>
              <w:jc w:val="right"/>
              <w:rPr>
                <w:rFonts w:eastAsiaTheme="minorHAnsi"/>
                <w:sz w:val="20"/>
                <w:szCs w:val="20"/>
              </w:rPr>
            </w:pPr>
            <w:r>
              <w:rPr>
                <w:rFonts w:eastAsiaTheme="minorHAnsi"/>
                <w:sz w:val="20"/>
                <w:szCs w:val="20"/>
              </w:rPr>
              <w:t>814</w:t>
            </w:r>
            <w:r>
              <w:rPr>
                <w:rFonts w:eastAsiaTheme="minorHAnsi"/>
                <w:sz w:val="20"/>
                <w:szCs w:val="20"/>
              </w:rPr>
              <w:t xml:space="preserve"> hrs.; $</w:t>
            </w:r>
            <w:r>
              <w:rPr>
                <w:rFonts w:eastAsiaTheme="minorHAnsi"/>
                <w:sz w:val="20"/>
                <w:szCs w:val="20"/>
              </w:rPr>
              <w:t>78,958</w:t>
            </w:r>
          </w:p>
        </w:tc>
        <w:tc>
          <w:tcPr>
            <w:tcW w:w="626" w:type="pct"/>
            <w:tcBorders>
              <w:top w:val="single" w:sz="4" w:space="0" w:color="auto"/>
              <w:left w:val="single" w:sz="4" w:space="0" w:color="auto"/>
              <w:bottom w:val="single" w:sz="4" w:space="0" w:color="auto"/>
              <w:right w:val="single" w:sz="4" w:space="0" w:color="auto"/>
            </w:tcBorders>
            <w:vAlign w:val="bottom"/>
          </w:tcPr>
          <w:p w:rsidR="00FD23A2" w:rsidRPr="00B20B7B" w:rsidP="00B20B7B" w14:paraId="2EF82360" w14:textId="5757A2CE">
            <w:pPr>
              <w:jc w:val="right"/>
              <w:rPr>
                <w:rFonts w:eastAsiaTheme="minorHAnsi"/>
                <w:sz w:val="20"/>
                <w:szCs w:val="20"/>
              </w:rPr>
            </w:pPr>
            <w:r>
              <w:rPr>
                <w:rFonts w:eastAsiaTheme="minorHAnsi"/>
                <w:sz w:val="20"/>
                <w:szCs w:val="20"/>
              </w:rPr>
              <w:t>$</w:t>
            </w:r>
            <w:r w:rsidR="00C946D8">
              <w:rPr>
                <w:rFonts w:eastAsiaTheme="minorHAnsi"/>
                <w:sz w:val="20"/>
                <w:szCs w:val="20"/>
              </w:rPr>
              <w:t>237.11</w:t>
            </w:r>
          </w:p>
        </w:tc>
      </w:tr>
      <w:tr w14:paraId="605B7DA1"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056155" w:rsidP="00B20B7B" w14:paraId="00D29CF9" w14:textId="4C8AE7B5">
            <w:pPr>
              <w:rPr>
                <w:rFonts w:eastAsiaTheme="minorHAnsi"/>
                <w:sz w:val="20"/>
                <w:szCs w:val="20"/>
              </w:rPr>
            </w:pPr>
            <w:r>
              <w:rPr>
                <w:rFonts w:eastAsiaTheme="minorHAnsi"/>
                <w:sz w:val="20"/>
                <w:szCs w:val="20"/>
              </w:rPr>
              <w:t>FERC-919A Burden carried over</w:t>
            </w:r>
            <w:r w:rsidR="009810B5">
              <w:rPr>
                <w:rFonts w:eastAsiaTheme="minorHAnsi"/>
                <w:sz w:val="20"/>
                <w:szCs w:val="20"/>
              </w:rPr>
              <w:t xml:space="preserve"> from </w:t>
            </w:r>
            <w:r w:rsidRPr="003E7913" w:rsidR="009810B5">
              <w:rPr>
                <w:rFonts w:eastAsiaTheme="minorHAnsi"/>
                <w:sz w:val="20"/>
                <w:szCs w:val="20"/>
              </w:rPr>
              <w:t>Order 860-A</w:t>
            </w:r>
          </w:p>
          <w:p w:rsidR="00056155" w:rsidP="00B20B7B" w14:paraId="7361BD22" w14:textId="637AB2BA">
            <w:pPr>
              <w:rPr>
                <w:rFonts w:eastAsiaTheme="minorHAnsi"/>
                <w:sz w:val="20"/>
                <w:szCs w:val="20"/>
              </w:rPr>
            </w:pPr>
            <w:r>
              <w:rPr>
                <w:rFonts w:eastAsiaTheme="minorHAnsi"/>
                <w:sz w:val="20"/>
                <w:szCs w:val="20"/>
              </w:rPr>
              <w:t>Category 2</w:t>
            </w:r>
            <w:r w:rsidR="004A595E">
              <w:rPr>
                <w:rFonts w:eastAsiaTheme="minorHAnsi"/>
                <w:sz w:val="20"/>
                <w:szCs w:val="20"/>
              </w:rPr>
              <w:t>-(Ongoing)</w:t>
            </w:r>
          </w:p>
        </w:tc>
        <w:tc>
          <w:tcPr>
            <w:tcW w:w="624" w:type="pct"/>
            <w:tcBorders>
              <w:top w:val="single" w:sz="4" w:space="0" w:color="auto"/>
              <w:left w:val="single" w:sz="4" w:space="0" w:color="auto"/>
              <w:bottom w:val="single" w:sz="4" w:space="0" w:color="auto"/>
              <w:right w:val="single" w:sz="4" w:space="0" w:color="auto"/>
            </w:tcBorders>
            <w:vAlign w:val="bottom"/>
          </w:tcPr>
          <w:p w:rsidR="00056155" w:rsidP="00B20B7B" w14:paraId="07A1B7AB" w14:textId="051A4DEE">
            <w:pPr>
              <w:jc w:val="right"/>
              <w:rPr>
                <w:rFonts w:eastAsiaTheme="minorHAnsi"/>
                <w:sz w:val="20"/>
                <w:szCs w:val="20"/>
              </w:rPr>
            </w:pPr>
            <w:r>
              <w:rPr>
                <w:rFonts w:eastAsiaTheme="minorHAnsi"/>
                <w:sz w:val="20"/>
                <w:szCs w:val="20"/>
              </w:rPr>
              <w:t>1</w:t>
            </w:r>
            <w:r w:rsidR="009810B5">
              <w:rPr>
                <w:rFonts w:eastAsiaTheme="minorHAnsi"/>
                <w:sz w:val="20"/>
                <w:szCs w:val="20"/>
              </w:rPr>
              <w:t>,</w:t>
            </w:r>
            <w:r w:rsidR="00432ED8">
              <w:rPr>
                <w:rFonts w:eastAsiaTheme="minorHAnsi"/>
                <w:sz w:val="20"/>
                <w:szCs w:val="20"/>
              </w:rPr>
              <w:t>50</w:t>
            </w:r>
            <w:r w:rsidR="009810B5">
              <w:rPr>
                <w:rFonts w:eastAsiaTheme="minorHAnsi"/>
                <w:sz w:val="20"/>
                <w:szCs w:val="20"/>
              </w:rPr>
              <w:t>0</w:t>
            </w:r>
          </w:p>
        </w:tc>
        <w:tc>
          <w:tcPr>
            <w:tcW w:w="865" w:type="pct"/>
            <w:tcBorders>
              <w:top w:val="single" w:sz="4" w:space="0" w:color="auto"/>
              <w:left w:val="single" w:sz="4" w:space="0" w:color="auto"/>
              <w:bottom w:val="single" w:sz="4" w:space="0" w:color="auto"/>
              <w:right w:val="single" w:sz="4" w:space="0" w:color="auto"/>
            </w:tcBorders>
            <w:vAlign w:val="bottom"/>
          </w:tcPr>
          <w:p w:rsidR="00056155" w:rsidP="00B20B7B" w14:paraId="620FC767" w14:textId="33F9C165">
            <w:pPr>
              <w:jc w:val="right"/>
              <w:rPr>
                <w:rFonts w:eastAsiaTheme="minorHAnsi"/>
                <w:sz w:val="20"/>
                <w:szCs w:val="20"/>
              </w:rPr>
            </w:pPr>
            <w:r>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056155" w:rsidP="00B20B7B" w14:paraId="1261A1AC" w14:textId="5D2C5609">
            <w:pPr>
              <w:jc w:val="right"/>
              <w:rPr>
                <w:rFonts w:eastAsiaTheme="minorHAnsi"/>
                <w:sz w:val="20"/>
                <w:szCs w:val="20"/>
              </w:rPr>
            </w:pPr>
            <w:r>
              <w:rPr>
                <w:rFonts w:eastAsiaTheme="minorHAnsi"/>
                <w:sz w:val="20"/>
                <w:szCs w:val="20"/>
              </w:rPr>
              <w:t>1,</w:t>
            </w:r>
            <w:r w:rsidR="00432ED8">
              <w:rPr>
                <w:rFonts w:eastAsiaTheme="minorHAnsi"/>
                <w:sz w:val="20"/>
                <w:szCs w:val="20"/>
              </w:rPr>
              <w:t>500</w:t>
            </w:r>
          </w:p>
        </w:tc>
        <w:tc>
          <w:tcPr>
            <w:tcW w:w="625" w:type="pct"/>
            <w:tcBorders>
              <w:top w:val="single" w:sz="4" w:space="0" w:color="auto"/>
              <w:left w:val="single" w:sz="4" w:space="0" w:color="auto"/>
              <w:bottom w:val="single" w:sz="4" w:space="0" w:color="auto"/>
              <w:right w:val="single" w:sz="4" w:space="0" w:color="auto"/>
            </w:tcBorders>
            <w:vAlign w:val="bottom"/>
          </w:tcPr>
          <w:p w:rsidR="00056155" w:rsidP="00B20B7B" w14:paraId="46840280" w14:textId="405F50BD">
            <w:pPr>
              <w:jc w:val="right"/>
              <w:rPr>
                <w:rFonts w:eastAsiaTheme="minorHAnsi"/>
                <w:sz w:val="20"/>
                <w:szCs w:val="20"/>
              </w:rPr>
            </w:pPr>
            <w:r>
              <w:rPr>
                <w:rFonts w:eastAsiaTheme="minorHAnsi"/>
                <w:sz w:val="20"/>
                <w:szCs w:val="20"/>
              </w:rPr>
              <w:t>4.10</w:t>
            </w:r>
            <w:r w:rsidR="009810B5">
              <w:rPr>
                <w:rFonts w:eastAsiaTheme="minorHAnsi"/>
                <w:sz w:val="20"/>
                <w:szCs w:val="20"/>
              </w:rPr>
              <w:t xml:space="preserve"> hrs</w:t>
            </w:r>
            <w:r>
              <w:rPr>
                <w:rStyle w:val="FootnoteReference"/>
                <w:rFonts w:eastAsiaTheme="minorHAnsi"/>
              </w:rPr>
              <w:footnoteReference w:id="10"/>
            </w:r>
            <w:r w:rsidR="009810B5">
              <w:rPr>
                <w:rFonts w:eastAsiaTheme="minorHAnsi"/>
                <w:sz w:val="20"/>
                <w:szCs w:val="20"/>
              </w:rPr>
              <w:t>.; $</w:t>
            </w:r>
            <w:r>
              <w:rPr>
                <w:rFonts w:eastAsiaTheme="minorHAnsi"/>
                <w:sz w:val="20"/>
                <w:szCs w:val="20"/>
              </w:rPr>
              <w:t>397.96</w:t>
            </w:r>
          </w:p>
        </w:tc>
        <w:tc>
          <w:tcPr>
            <w:tcW w:w="770" w:type="pct"/>
            <w:tcBorders>
              <w:top w:val="single" w:sz="4" w:space="0" w:color="auto"/>
              <w:left w:val="single" w:sz="4" w:space="0" w:color="auto"/>
              <w:bottom w:val="single" w:sz="4" w:space="0" w:color="auto"/>
              <w:right w:val="single" w:sz="4" w:space="0" w:color="auto"/>
            </w:tcBorders>
            <w:vAlign w:val="bottom"/>
          </w:tcPr>
          <w:p w:rsidR="00056155" w:rsidP="00B20B7B" w14:paraId="5160B91F" w14:textId="0EF7C036">
            <w:pPr>
              <w:jc w:val="right"/>
              <w:rPr>
                <w:rFonts w:eastAsiaTheme="minorHAnsi"/>
                <w:sz w:val="20"/>
                <w:szCs w:val="20"/>
              </w:rPr>
            </w:pPr>
            <w:r>
              <w:rPr>
                <w:rFonts w:eastAsiaTheme="minorHAnsi"/>
                <w:sz w:val="20"/>
                <w:szCs w:val="20"/>
              </w:rPr>
              <w:t>6,154</w:t>
            </w:r>
            <w:r w:rsidR="009810B5">
              <w:rPr>
                <w:rFonts w:eastAsiaTheme="minorHAnsi"/>
                <w:sz w:val="20"/>
                <w:szCs w:val="20"/>
              </w:rPr>
              <w:t xml:space="preserve"> hrs.; $</w:t>
            </w:r>
            <w:r>
              <w:rPr>
                <w:rFonts w:eastAsiaTheme="minorHAnsi"/>
                <w:sz w:val="20"/>
                <w:szCs w:val="20"/>
              </w:rPr>
              <w:t>596,938</w:t>
            </w:r>
          </w:p>
        </w:tc>
        <w:tc>
          <w:tcPr>
            <w:tcW w:w="626" w:type="pct"/>
            <w:tcBorders>
              <w:top w:val="single" w:sz="4" w:space="0" w:color="auto"/>
              <w:left w:val="single" w:sz="4" w:space="0" w:color="auto"/>
              <w:bottom w:val="single" w:sz="4" w:space="0" w:color="auto"/>
              <w:right w:val="single" w:sz="4" w:space="0" w:color="auto"/>
            </w:tcBorders>
            <w:vAlign w:val="bottom"/>
          </w:tcPr>
          <w:p w:rsidR="00056155" w:rsidP="00B20B7B" w14:paraId="06AAC530" w14:textId="51958E50">
            <w:pPr>
              <w:jc w:val="right"/>
              <w:rPr>
                <w:rFonts w:eastAsiaTheme="minorHAnsi"/>
                <w:sz w:val="20"/>
                <w:szCs w:val="20"/>
              </w:rPr>
            </w:pPr>
            <w:r>
              <w:rPr>
                <w:rFonts w:eastAsiaTheme="minorHAnsi"/>
                <w:sz w:val="20"/>
                <w:szCs w:val="20"/>
              </w:rPr>
              <w:t>$</w:t>
            </w:r>
            <w:r w:rsidR="00432ED8">
              <w:rPr>
                <w:rFonts w:eastAsiaTheme="minorHAnsi"/>
                <w:sz w:val="20"/>
                <w:szCs w:val="20"/>
              </w:rPr>
              <w:t>397.96</w:t>
            </w:r>
          </w:p>
        </w:tc>
      </w:tr>
      <w:tr w14:paraId="38C2F7D8" w14:textId="77777777" w:rsidTr="003A027F">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432ED8" w:rsidP="00B20B7B" w14:paraId="6114170D" w14:textId="5BA2BF19">
            <w:pPr>
              <w:rPr>
                <w:rFonts w:eastAsiaTheme="minorHAnsi"/>
                <w:sz w:val="20"/>
                <w:szCs w:val="20"/>
              </w:rPr>
            </w:pPr>
            <w:r>
              <w:rPr>
                <w:rFonts w:eastAsiaTheme="minorHAnsi"/>
                <w:sz w:val="20"/>
                <w:szCs w:val="20"/>
              </w:rPr>
              <w:t>FERC-919A Burden Carried over from Order 860-A Upstr</w:t>
            </w:r>
            <w:r w:rsidR="00EC522B">
              <w:rPr>
                <w:rFonts w:eastAsiaTheme="minorHAnsi"/>
                <w:sz w:val="20"/>
                <w:szCs w:val="20"/>
              </w:rPr>
              <w:t>e</w:t>
            </w:r>
            <w:r>
              <w:rPr>
                <w:rFonts w:eastAsiaTheme="minorHAnsi"/>
                <w:sz w:val="20"/>
                <w:szCs w:val="20"/>
              </w:rPr>
              <w:t>am Affiliates</w:t>
            </w:r>
          </w:p>
        </w:tc>
        <w:tc>
          <w:tcPr>
            <w:tcW w:w="624" w:type="pct"/>
            <w:tcBorders>
              <w:top w:val="single" w:sz="4" w:space="0" w:color="auto"/>
              <w:left w:val="single" w:sz="4" w:space="0" w:color="auto"/>
              <w:bottom w:val="single" w:sz="4" w:space="0" w:color="auto"/>
              <w:right w:val="single" w:sz="4" w:space="0" w:color="auto"/>
            </w:tcBorders>
            <w:vAlign w:val="bottom"/>
          </w:tcPr>
          <w:p w:rsidR="00432ED8" w:rsidP="00B20B7B" w14:paraId="5AC5308D" w14:textId="5971BFC7">
            <w:pPr>
              <w:jc w:val="right"/>
              <w:rPr>
                <w:rFonts w:eastAsiaTheme="minorHAnsi"/>
                <w:sz w:val="20"/>
                <w:szCs w:val="20"/>
              </w:rPr>
            </w:pPr>
            <w:r>
              <w:rPr>
                <w:rFonts w:eastAsiaTheme="minorHAnsi"/>
                <w:sz w:val="20"/>
                <w:szCs w:val="20"/>
              </w:rPr>
              <w:t>440</w:t>
            </w:r>
          </w:p>
        </w:tc>
        <w:tc>
          <w:tcPr>
            <w:tcW w:w="865" w:type="pct"/>
            <w:tcBorders>
              <w:top w:val="single" w:sz="4" w:space="0" w:color="auto"/>
              <w:left w:val="single" w:sz="4" w:space="0" w:color="auto"/>
              <w:bottom w:val="single" w:sz="4" w:space="0" w:color="auto"/>
              <w:right w:val="single" w:sz="4" w:space="0" w:color="auto"/>
            </w:tcBorders>
            <w:vAlign w:val="bottom"/>
          </w:tcPr>
          <w:p w:rsidR="00432ED8" w:rsidP="00B20B7B" w14:paraId="59E48177" w14:textId="7BD7241C">
            <w:pPr>
              <w:jc w:val="right"/>
              <w:rPr>
                <w:rFonts w:eastAsiaTheme="minorHAnsi"/>
                <w:sz w:val="20"/>
                <w:szCs w:val="20"/>
              </w:rPr>
            </w:pPr>
            <w:r>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432ED8" w:rsidP="00B20B7B" w14:paraId="2E478FD1" w14:textId="71B68FC7">
            <w:pPr>
              <w:jc w:val="right"/>
              <w:rPr>
                <w:rFonts w:eastAsiaTheme="minorHAnsi"/>
                <w:sz w:val="20"/>
                <w:szCs w:val="20"/>
              </w:rPr>
            </w:pPr>
            <w:r>
              <w:rPr>
                <w:rFonts w:eastAsiaTheme="minorHAnsi"/>
                <w:sz w:val="20"/>
                <w:szCs w:val="20"/>
              </w:rPr>
              <w:t>440</w:t>
            </w:r>
          </w:p>
        </w:tc>
        <w:tc>
          <w:tcPr>
            <w:tcW w:w="625" w:type="pct"/>
            <w:tcBorders>
              <w:top w:val="single" w:sz="4" w:space="0" w:color="auto"/>
              <w:left w:val="single" w:sz="4" w:space="0" w:color="auto"/>
              <w:bottom w:val="single" w:sz="4" w:space="0" w:color="auto"/>
              <w:right w:val="single" w:sz="4" w:space="0" w:color="auto"/>
            </w:tcBorders>
            <w:vAlign w:val="bottom"/>
          </w:tcPr>
          <w:p w:rsidR="00432ED8" w:rsidP="00B20B7B" w14:paraId="2567384B" w14:textId="77777777">
            <w:pPr>
              <w:jc w:val="right"/>
              <w:rPr>
                <w:rFonts w:eastAsiaTheme="minorHAnsi"/>
                <w:sz w:val="20"/>
                <w:szCs w:val="20"/>
              </w:rPr>
            </w:pPr>
          </w:p>
          <w:p w:rsidR="00432ED8" w:rsidP="00B20B7B" w14:paraId="5F4FFFAA" w14:textId="77777777">
            <w:pPr>
              <w:jc w:val="right"/>
              <w:rPr>
                <w:rFonts w:eastAsiaTheme="minorHAnsi"/>
                <w:sz w:val="20"/>
                <w:szCs w:val="20"/>
              </w:rPr>
            </w:pPr>
          </w:p>
          <w:p w:rsidR="00432ED8" w14:paraId="0A6519C0" w14:textId="1E7205E3">
            <w:pPr>
              <w:jc w:val="right"/>
              <w:rPr>
                <w:rFonts w:eastAsiaTheme="minorHAnsi"/>
                <w:sz w:val="20"/>
                <w:szCs w:val="20"/>
              </w:rPr>
            </w:pPr>
            <w:r>
              <w:rPr>
                <w:rFonts w:eastAsiaTheme="minorHAnsi"/>
                <w:sz w:val="20"/>
                <w:szCs w:val="20"/>
              </w:rPr>
              <w:t>46 hrs.; $4,462</w:t>
            </w:r>
          </w:p>
        </w:tc>
        <w:tc>
          <w:tcPr>
            <w:tcW w:w="770" w:type="pct"/>
            <w:tcBorders>
              <w:top w:val="single" w:sz="4" w:space="0" w:color="auto"/>
              <w:left w:val="single" w:sz="4" w:space="0" w:color="auto"/>
              <w:bottom w:val="single" w:sz="4" w:space="0" w:color="auto"/>
              <w:right w:val="single" w:sz="4" w:space="0" w:color="auto"/>
            </w:tcBorders>
            <w:vAlign w:val="bottom"/>
          </w:tcPr>
          <w:p w:rsidR="00432ED8" w:rsidP="00B20B7B" w14:paraId="63997F8A" w14:textId="43869BAD">
            <w:pPr>
              <w:jc w:val="right"/>
              <w:rPr>
                <w:rFonts w:eastAsiaTheme="minorHAnsi"/>
                <w:sz w:val="20"/>
                <w:szCs w:val="20"/>
              </w:rPr>
            </w:pPr>
            <w:r>
              <w:rPr>
                <w:rFonts w:eastAsiaTheme="minorHAnsi"/>
                <w:sz w:val="20"/>
                <w:szCs w:val="20"/>
              </w:rPr>
              <w:t>20,240 hrs.; $1,963,280</w:t>
            </w:r>
          </w:p>
        </w:tc>
        <w:tc>
          <w:tcPr>
            <w:tcW w:w="626" w:type="pct"/>
            <w:tcBorders>
              <w:top w:val="single" w:sz="4" w:space="0" w:color="auto"/>
              <w:left w:val="single" w:sz="4" w:space="0" w:color="auto"/>
              <w:bottom w:val="single" w:sz="4" w:space="0" w:color="auto"/>
              <w:right w:val="single" w:sz="4" w:space="0" w:color="auto"/>
            </w:tcBorders>
            <w:vAlign w:val="bottom"/>
          </w:tcPr>
          <w:p w:rsidR="00432ED8" w:rsidP="00B20B7B" w14:paraId="12BEB218" w14:textId="2EE10993">
            <w:pPr>
              <w:jc w:val="right"/>
              <w:rPr>
                <w:rFonts w:eastAsiaTheme="minorHAnsi"/>
                <w:sz w:val="20"/>
                <w:szCs w:val="20"/>
              </w:rPr>
            </w:pPr>
            <w:r>
              <w:rPr>
                <w:rFonts w:eastAsiaTheme="minorHAnsi"/>
                <w:sz w:val="20"/>
                <w:szCs w:val="20"/>
              </w:rPr>
              <w:t>$4,462</w:t>
            </w:r>
          </w:p>
        </w:tc>
      </w:tr>
      <w:tr w14:paraId="5750BF62" w14:textId="77777777" w:rsidTr="003A027F">
        <w:tblPrEx>
          <w:tblW w:w="5003" w:type="pct"/>
          <w:jc w:val="right"/>
          <w:tblLayout w:type="fixed"/>
          <w:tblLook w:val="01E0"/>
        </w:tblPrEx>
        <w:trPr>
          <w:cantSplit/>
          <w:jc w:val="right"/>
        </w:trPr>
        <w:tc>
          <w:tcPr>
            <w:tcW w:w="912" w:type="pct"/>
          </w:tcPr>
          <w:p w:rsidR="00B20B7B" w:rsidRPr="00B20B7B" w:rsidP="00B20B7B" w14:paraId="1EC8D469" w14:textId="77777777">
            <w:pPr>
              <w:rPr>
                <w:rFonts w:eastAsiaTheme="minorHAnsi"/>
                <w:b/>
                <w:sz w:val="20"/>
                <w:szCs w:val="20"/>
              </w:rPr>
            </w:pPr>
            <w:r w:rsidRPr="00B20B7B">
              <w:rPr>
                <w:rFonts w:eastAsiaTheme="minorHAnsi"/>
                <w:b/>
                <w:sz w:val="20"/>
                <w:szCs w:val="20"/>
              </w:rPr>
              <w:t>Total</w:t>
            </w:r>
          </w:p>
        </w:tc>
        <w:tc>
          <w:tcPr>
            <w:tcW w:w="624" w:type="pct"/>
            <w:vAlign w:val="bottom"/>
          </w:tcPr>
          <w:p w:rsidR="00B20B7B" w:rsidRPr="00B20B7B" w:rsidP="00B20B7B" w14:paraId="198995CA" w14:textId="711CF2A9">
            <w:pPr>
              <w:jc w:val="right"/>
              <w:rPr>
                <w:rFonts w:eastAsiaTheme="minorHAnsi"/>
                <w:sz w:val="20"/>
                <w:szCs w:val="20"/>
              </w:rPr>
            </w:pPr>
            <w:r>
              <w:rPr>
                <w:rFonts w:eastAsiaTheme="minorHAnsi"/>
                <w:sz w:val="20"/>
                <w:szCs w:val="20"/>
              </w:rPr>
              <w:t>3,298</w:t>
            </w:r>
          </w:p>
        </w:tc>
        <w:tc>
          <w:tcPr>
            <w:tcW w:w="865" w:type="pct"/>
            <w:vAlign w:val="bottom"/>
          </w:tcPr>
          <w:p w:rsidR="00B20B7B" w:rsidRPr="00B20B7B" w:rsidP="00B20B7B" w14:paraId="4E443176" w14:textId="77777777">
            <w:pPr>
              <w:jc w:val="right"/>
              <w:rPr>
                <w:rFonts w:eastAsiaTheme="minorHAnsi"/>
                <w:sz w:val="20"/>
                <w:szCs w:val="20"/>
              </w:rPr>
            </w:pPr>
          </w:p>
        </w:tc>
        <w:tc>
          <w:tcPr>
            <w:tcW w:w="578" w:type="pct"/>
            <w:vAlign w:val="bottom"/>
          </w:tcPr>
          <w:p w:rsidR="00B20B7B" w:rsidRPr="00B20B7B" w:rsidP="00B20B7B" w14:paraId="292A55DC" w14:textId="631C7B78">
            <w:pPr>
              <w:jc w:val="right"/>
              <w:rPr>
                <w:rFonts w:eastAsiaTheme="minorHAnsi"/>
                <w:sz w:val="20"/>
                <w:szCs w:val="20"/>
              </w:rPr>
            </w:pPr>
            <w:r>
              <w:rPr>
                <w:rFonts w:eastAsiaTheme="minorHAnsi"/>
                <w:sz w:val="20"/>
                <w:szCs w:val="20"/>
              </w:rPr>
              <w:t>2</w:t>
            </w:r>
            <w:r w:rsidR="00C946D8">
              <w:rPr>
                <w:rFonts w:eastAsiaTheme="minorHAnsi"/>
                <w:sz w:val="20"/>
                <w:szCs w:val="20"/>
              </w:rPr>
              <w:t>,</w:t>
            </w:r>
            <w:r>
              <w:rPr>
                <w:rFonts w:eastAsiaTheme="minorHAnsi"/>
                <w:sz w:val="20"/>
                <w:szCs w:val="20"/>
              </w:rPr>
              <w:t>631</w:t>
            </w:r>
          </w:p>
        </w:tc>
        <w:tc>
          <w:tcPr>
            <w:tcW w:w="625" w:type="pct"/>
            <w:vAlign w:val="bottom"/>
          </w:tcPr>
          <w:p w:rsidR="00B20B7B" w:rsidRPr="00B20B7B" w:rsidP="00B20B7B" w14:paraId="582C922A" w14:textId="77777777">
            <w:pPr>
              <w:jc w:val="right"/>
              <w:rPr>
                <w:rFonts w:eastAsiaTheme="minorHAnsi"/>
                <w:sz w:val="20"/>
                <w:szCs w:val="20"/>
              </w:rPr>
            </w:pPr>
          </w:p>
        </w:tc>
        <w:tc>
          <w:tcPr>
            <w:tcW w:w="770" w:type="pct"/>
            <w:tcBorders>
              <w:top w:val="single" w:sz="4" w:space="0" w:color="auto"/>
              <w:left w:val="single" w:sz="4" w:space="0" w:color="auto"/>
              <w:bottom w:val="single" w:sz="4" w:space="0" w:color="auto"/>
              <w:right w:val="single" w:sz="4" w:space="0" w:color="auto"/>
            </w:tcBorders>
          </w:tcPr>
          <w:p w:rsidR="00B20B7B" w:rsidRPr="00B20B7B" w:rsidP="00B20B7B" w14:paraId="40F04CC5" w14:textId="2681E358">
            <w:pPr>
              <w:jc w:val="right"/>
              <w:rPr>
                <w:rFonts w:eastAsiaTheme="minorHAnsi"/>
                <w:sz w:val="20"/>
                <w:szCs w:val="20"/>
              </w:rPr>
            </w:pPr>
            <w:r>
              <w:rPr>
                <w:rFonts w:eastAsiaTheme="minorHAnsi"/>
                <w:sz w:val="20"/>
                <w:szCs w:val="20"/>
              </w:rPr>
              <w:t xml:space="preserve">62,608.95 </w:t>
            </w:r>
            <w:r w:rsidRPr="00B20B7B">
              <w:rPr>
                <w:rFonts w:eastAsiaTheme="minorHAnsi"/>
                <w:sz w:val="20"/>
                <w:szCs w:val="20"/>
              </w:rPr>
              <w:t>hrs.;</w:t>
            </w:r>
          </w:p>
          <w:p w:rsidR="00B20B7B" w:rsidRPr="00B20B7B" w:rsidP="00B20B7B" w14:paraId="5DBDF08A" w14:textId="718183D4">
            <w:pPr>
              <w:jc w:val="right"/>
              <w:rPr>
                <w:rFonts w:eastAsiaTheme="minorHAnsi"/>
                <w:sz w:val="20"/>
                <w:szCs w:val="20"/>
              </w:rPr>
            </w:pPr>
            <w:r w:rsidRPr="00B20B7B">
              <w:rPr>
                <w:rFonts w:eastAsiaTheme="minorHAnsi"/>
                <w:sz w:val="20"/>
                <w:szCs w:val="20"/>
              </w:rPr>
              <w:t>$</w:t>
            </w:r>
            <w:r w:rsidR="006E2D04">
              <w:rPr>
                <w:rFonts w:eastAsiaTheme="minorHAnsi"/>
                <w:sz w:val="20"/>
                <w:szCs w:val="20"/>
              </w:rPr>
              <w:t>6,073,068.15</w:t>
            </w:r>
          </w:p>
        </w:tc>
        <w:tc>
          <w:tcPr>
            <w:tcW w:w="626" w:type="pct"/>
            <w:tcBorders>
              <w:top w:val="single" w:sz="4" w:space="0" w:color="auto"/>
              <w:left w:val="single" w:sz="4" w:space="0" w:color="auto"/>
              <w:bottom w:val="single" w:sz="4" w:space="0" w:color="auto"/>
              <w:right w:val="single" w:sz="4" w:space="0" w:color="auto"/>
            </w:tcBorders>
          </w:tcPr>
          <w:p w:rsidR="00B20B7B" w:rsidRPr="00B20B7B" w:rsidP="00B20B7B" w14:paraId="5AC1C934" w14:textId="77777777">
            <w:pPr>
              <w:jc w:val="right"/>
              <w:rPr>
                <w:rFonts w:eastAsiaTheme="minorHAnsi"/>
                <w:sz w:val="20"/>
                <w:szCs w:val="20"/>
              </w:rPr>
            </w:pPr>
          </w:p>
        </w:tc>
      </w:tr>
      <w:bookmarkEnd w:id="5"/>
    </w:tbl>
    <w:p w:rsidR="00B20B7B" w:rsidP="00984065" w14:paraId="4D9CB6EA" w14:textId="77777777">
      <w:pPr>
        <w:spacing w:line="480" w:lineRule="auto"/>
      </w:pPr>
    </w:p>
    <w:p w:rsidR="00F052EA" w14:paraId="0C3D4785" w14:textId="393CEAA6">
      <w:pPr>
        <w:autoSpaceDE w:val="0"/>
        <w:autoSpaceDN w:val="0"/>
        <w:adjustRightInd w:val="0"/>
        <w:spacing w:after="240" w:line="480" w:lineRule="auto"/>
        <w:rPr>
          <w:bCs/>
        </w:rPr>
      </w:pPr>
      <w:bookmarkStart w:id="9" w:name="_Hlk104453310"/>
      <w:r>
        <w:rPr>
          <w:bCs/>
        </w:rPr>
        <w:t xml:space="preserve">Row 1 </w:t>
      </w:r>
      <w:r w:rsidR="00EC522B">
        <w:rPr>
          <w:bCs/>
        </w:rPr>
        <w:t>(</w:t>
      </w:r>
      <w:r w:rsidRPr="00EC522B" w:rsidR="00EC522B">
        <w:rPr>
          <w:bCs/>
        </w:rPr>
        <w:t>Market Power Analysis in New Applications for Market-based rates</w:t>
      </w:r>
      <w:r w:rsidR="00EC522B">
        <w:rPr>
          <w:bCs/>
        </w:rPr>
        <w:t xml:space="preserve">) </w:t>
      </w:r>
      <w:r>
        <w:rPr>
          <w:bCs/>
        </w:rPr>
        <w:t xml:space="preserve">will have </w:t>
      </w:r>
      <w:r w:rsidR="00EC522B">
        <w:rPr>
          <w:bCs/>
        </w:rPr>
        <w:t>144</w:t>
      </w:r>
      <w:r>
        <w:rPr>
          <w:bCs/>
        </w:rPr>
        <w:t xml:space="preserve"> fil</w:t>
      </w:r>
      <w:r w:rsidR="00FE367E">
        <w:rPr>
          <w:bCs/>
        </w:rPr>
        <w:t>ings</w:t>
      </w:r>
      <w:r>
        <w:rPr>
          <w:bCs/>
        </w:rPr>
        <w:t xml:space="preserve">.  </w:t>
      </w:r>
      <w:r w:rsidR="00EC522B">
        <w:rPr>
          <w:bCs/>
        </w:rPr>
        <w:t>Row 2 (</w:t>
      </w:r>
      <w:r w:rsidRPr="00FE367E" w:rsidR="00FE367E">
        <w:rPr>
          <w:bCs/>
        </w:rPr>
        <w:t>Triennial market power analysis</w:t>
      </w:r>
      <w:r w:rsidR="00FE367E">
        <w:rPr>
          <w:bCs/>
        </w:rPr>
        <w:t>) will have 65</w:t>
      </w:r>
      <w:r w:rsidRPr="00FE367E" w:rsidR="00FE367E">
        <w:rPr>
          <w:bCs/>
        </w:rPr>
        <w:t xml:space="preserve"> </w:t>
      </w:r>
      <w:r w:rsidR="00FE367E">
        <w:rPr>
          <w:bCs/>
        </w:rPr>
        <w:t>filings.  Row 3 (</w:t>
      </w:r>
      <w:r w:rsidRPr="00FE367E" w:rsidR="00FE367E">
        <w:rPr>
          <w:bCs/>
        </w:rPr>
        <w:t>Asset appendix addition to change in status reports</w:t>
      </w:r>
      <w:r w:rsidR="00FE367E">
        <w:rPr>
          <w:bCs/>
        </w:rPr>
        <w:t>) will have 149 filings.</w:t>
      </w:r>
      <w:r w:rsidRPr="00FE367E" w:rsidR="00FE367E">
        <w:rPr>
          <w:bCs/>
        </w:rPr>
        <w:t xml:space="preserve"> </w:t>
      </w:r>
      <w:r w:rsidR="00FE367E">
        <w:rPr>
          <w:bCs/>
        </w:rPr>
        <w:t xml:space="preserve"> </w:t>
      </w:r>
      <w:r>
        <w:rPr>
          <w:bCs/>
        </w:rPr>
        <w:t>There are a total of 358 fil</w:t>
      </w:r>
      <w:r w:rsidR="00FE367E">
        <w:rPr>
          <w:bCs/>
        </w:rPr>
        <w:t>ings</w:t>
      </w:r>
      <w:r w:rsidR="003E7913">
        <w:rPr>
          <w:bCs/>
        </w:rPr>
        <w:t xml:space="preserve"> in Rows 1 through 3</w:t>
      </w:r>
      <w:r>
        <w:rPr>
          <w:bCs/>
        </w:rPr>
        <w:t>.</w:t>
      </w:r>
    </w:p>
    <w:p w:rsidR="00F03990" w14:paraId="4CFEF1CD" w14:textId="287C103D">
      <w:pPr>
        <w:autoSpaceDE w:val="0"/>
        <w:autoSpaceDN w:val="0"/>
        <w:adjustRightInd w:val="0"/>
        <w:spacing w:after="240" w:line="480" w:lineRule="auto"/>
        <w:rPr>
          <w:bCs/>
        </w:rPr>
      </w:pPr>
      <w:r>
        <w:rPr>
          <w:bCs/>
        </w:rPr>
        <w:t xml:space="preserve">Currently, there are 2,729 sellers that would submit information into the relational database.  </w:t>
      </w:r>
      <w:r w:rsidR="00AC564F">
        <w:rPr>
          <w:bCs/>
        </w:rPr>
        <w:t>At the time of implementation of Order No. 860, t</w:t>
      </w:r>
      <w:r w:rsidRPr="00B20B7B" w:rsidR="00B20B7B">
        <w:rPr>
          <w:bCs/>
        </w:rPr>
        <w:t xml:space="preserve">here </w:t>
      </w:r>
      <w:r w:rsidR="00AC564F">
        <w:rPr>
          <w:bCs/>
        </w:rPr>
        <w:t>we</w:t>
      </w:r>
      <w:r w:rsidRPr="00B20B7B" w:rsidR="00B20B7B">
        <w:rPr>
          <w:bCs/>
        </w:rPr>
        <w:t xml:space="preserve">re </w:t>
      </w:r>
      <w:r w:rsidR="00AC564F">
        <w:rPr>
          <w:bCs/>
        </w:rPr>
        <w:t>2,647</w:t>
      </w:r>
      <w:r w:rsidRPr="00B20B7B" w:rsidR="00B20B7B">
        <w:rPr>
          <w:bCs/>
        </w:rPr>
        <w:t xml:space="preserve"> </w:t>
      </w:r>
      <w:r w:rsidR="002B7C23">
        <w:rPr>
          <w:bCs/>
        </w:rPr>
        <w:t>s</w:t>
      </w:r>
      <w:r w:rsidRPr="00B20B7B" w:rsidR="00B20B7B">
        <w:rPr>
          <w:bCs/>
        </w:rPr>
        <w:t>ellers that w</w:t>
      </w:r>
      <w:r w:rsidR="00AC564F">
        <w:rPr>
          <w:bCs/>
        </w:rPr>
        <w:t>ould</w:t>
      </w:r>
      <w:r w:rsidRPr="00B20B7B" w:rsidR="00B20B7B">
        <w:rPr>
          <w:bCs/>
        </w:rPr>
        <w:t xml:space="preserve"> submit information into the relational database</w:t>
      </w:r>
      <w:r w:rsidR="00AC564F">
        <w:rPr>
          <w:bCs/>
        </w:rPr>
        <w:t xml:space="preserve"> in the first year of implementation</w:t>
      </w:r>
      <w:r w:rsidRPr="00B20B7B" w:rsidR="00B20B7B">
        <w:rPr>
          <w:bCs/>
        </w:rPr>
        <w:t>.</w:t>
      </w:r>
      <w:bookmarkEnd w:id="9"/>
      <w:r w:rsidRPr="00B20B7B" w:rsidR="00B20B7B">
        <w:rPr>
          <w:bCs/>
        </w:rPr>
        <w:t xml:space="preserve">  </w:t>
      </w:r>
      <w:bookmarkStart w:id="10" w:name="_Hlk104453369"/>
      <w:r w:rsidRPr="00B20B7B" w:rsidR="00B20B7B">
        <w:rPr>
          <w:bCs/>
        </w:rPr>
        <w:t>Six institutional investors ha</w:t>
      </w:r>
      <w:r w:rsidR="00AC564F">
        <w:rPr>
          <w:bCs/>
        </w:rPr>
        <w:t>d</w:t>
      </w:r>
      <w:r w:rsidRPr="00B20B7B" w:rsidR="00B20B7B">
        <w:rPr>
          <w:bCs/>
        </w:rPr>
        <w:t xml:space="preserve"> FPA section 203(a)(2) blanket authorizations, </w:t>
      </w:r>
      <w:r w:rsidRPr="0036346C" w:rsidR="00B20B7B">
        <w:rPr>
          <w:bCs/>
          <w:szCs w:val="26"/>
        </w:rPr>
        <w:t>which collectively own</w:t>
      </w:r>
      <w:r w:rsidR="00AC564F">
        <w:rPr>
          <w:bCs/>
          <w:szCs w:val="26"/>
        </w:rPr>
        <w:t>ed</w:t>
      </w:r>
      <w:r w:rsidRPr="0036346C" w:rsidR="00B20B7B">
        <w:rPr>
          <w:bCs/>
          <w:szCs w:val="26"/>
        </w:rPr>
        <w:t xml:space="preserve"> approximately 110 upstream affiliates that themselves own</w:t>
      </w:r>
      <w:r w:rsidR="00AC564F">
        <w:rPr>
          <w:bCs/>
          <w:szCs w:val="26"/>
        </w:rPr>
        <w:t>ed</w:t>
      </w:r>
      <w:r w:rsidRPr="0036346C" w:rsidR="00B20B7B">
        <w:rPr>
          <w:bCs/>
          <w:szCs w:val="26"/>
        </w:rPr>
        <w:t xml:space="preserve"> </w:t>
      </w:r>
      <w:r w:rsidR="002B7C23">
        <w:rPr>
          <w:bCs/>
          <w:szCs w:val="26"/>
        </w:rPr>
        <w:t>s</w:t>
      </w:r>
      <w:r w:rsidRPr="0036346C" w:rsidR="00B20B7B">
        <w:rPr>
          <w:bCs/>
          <w:szCs w:val="26"/>
        </w:rPr>
        <w:t>ellers.</w:t>
      </w:r>
      <w:bookmarkEnd w:id="10"/>
      <w:r w:rsidRPr="0036346C" w:rsidR="00B20B7B">
        <w:rPr>
          <w:bCs/>
          <w:szCs w:val="26"/>
        </w:rPr>
        <w:t xml:space="preserve">  </w:t>
      </w:r>
      <w:r w:rsidRPr="00B20B7B" w:rsidR="00B20B7B">
        <w:rPr>
          <w:bCs/>
        </w:rPr>
        <w:t>In the March Notice</w:t>
      </w:r>
      <w:r w:rsidR="00B07674">
        <w:rPr>
          <w:bCs/>
        </w:rPr>
        <w:t>,</w:t>
      </w:r>
      <w:r>
        <w:rPr>
          <w:rStyle w:val="FootnoteReference"/>
          <w:bCs/>
        </w:rPr>
        <w:footnoteReference w:id="11"/>
      </w:r>
      <w:r w:rsidRPr="00B20B7B" w:rsidR="00B20B7B">
        <w:rPr>
          <w:bCs/>
        </w:rPr>
        <w:t xml:space="preserve"> the Commission estimated an average of four </w:t>
      </w:r>
      <w:r w:rsidR="002B7C23">
        <w:rPr>
          <w:bCs/>
        </w:rPr>
        <w:t>s</w:t>
      </w:r>
      <w:r w:rsidRPr="00B20B7B" w:rsidR="00B20B7B">
        <w:rPr>
          <w:bCs/>
        </w:rPr>
        <w:t xml:space="preserve">ellers affected for every upstream affiliate, equaling 440 total </w:t>
      </w:r>
      <w:r w:rsidR="002B7C23">
        <w:rPr>
          <w:bCs/>
        </w:rPr>
        <w:t>s</w:t>
      </w:r>
      <w:r w:rsidRPr="00B20B7B" w:rsidR="00B20B7B">
        <w:rPr>
          <w:bCs/>
        </w:rPr>
        <w:t xml:space="preserve">ellers.  </w:t>
      </w:r>
    </w:p>
    <w:p w:rsidR="006E77CC" w14:paraId="4B64720B" w14:textId="76F56670">
      <w:pPr>
        <w:autoSpaceDE w:val="0"/>
        <w:autoSpaceDN w:val="0"/>
        <w:adjustRightInd w:val="0"/>
        <w:spacing w:after="240" w:line="480" w:lineRule="auto"/>
        <w:rPr>
          <w:bCs/>
        </w:rPr>
      </w:pPr>
      <w:r>
        <w:rPr>
          <w:bCs/>
        </w:rPr>
        <w:t>FERC-919A Burden carryover explanation:</w:t>
      </w:r>
    </w:p>
    <w:p w:rsidR="002B2B29" w:rsidRPr="00044EF1" w:rsidP="00044EF1" w14:paraId="08F0F87B" w14:textId="41984B61">
      <w:pPr>
        <w:pStyle w:val="ListParagraph"/>
        <w:numPr>
          <w:ilvl w:val="0"/>
          <w:numId w:val="19"/>
        </w:numPr>
        <w:autoSpaceDE w:val="0"/>
        <w:autoSpaceDN w:val="0"/>
        <w:adjustRightInd w:val="0"/>
        <w:spacing w:after="240" w:line="480" w:lineRule="auto"/>
        <w:rPr>
          <w:bCs/>
        </w:rPr>
      </w:pPr>
      <w:r w:rsidRPr="00044EF1">
        <w:rPr>
          <w:bCs/>
        </w:rPr>
        <w:t>M16-17-000 Final Rule</w:t>
      </w:r>
      <w:r w:rsidRPr="00044EF1" w:rsidR="005A0339">
        <w:rPr>
          <w:bCs/>
        </w:rPr>
        <w:t xml:space="preserve"> (Order No. 860)</w:t>
      </w:r>
      <w:r w:rsidRPr="00044EF1">
        <w:rPr>
          <w:bCs/>
        </w:rPr>
        <w:t xml:space="preserve"> (Category 1, 2nd Year and Ongoing), as modified by Order of August 2021—to 814 hrs.)</w:t>
      </w:r>
    </w:p>
    <w:p w:rsidR="002B2B29" w:rsidRPr="006E77CC" w:rsidP="00044EF1" w14:paraId="743B2A89" w14:textId="406F3C2F">
      <w:pPr>
        <w:pStyle w:val="ListParagraph"/>
        <w:numPr>
          <w:ilvl w:val="0"/>
          <w:numId w:val="19"/>
        </w:numPr>
        <w:autoSpaceDE w:val="0"/>
        <w:autoSpaceDN w:val="0"/>
        <w:adjustRightInd w:val="0"/>
        <w:spacing w:after="240" w:line="480" w:lineRule="auto"/>
        <w:rPr>
          <w:bCs/>
        </w:rPr>
      </w:pPr>
      <w:r w:rsidRPr="00044EF1">
        <w:rPr>
          <w:bCs/>
        </w:rPr>
        <w:t>RM16-17-000 Final Rule</w:t>
      </w:r>
      <w:r w:rsidRPr="00044EF1" w:rsidR="005A0339">
        <w:rPr>
          <w:bCs/>
        </w:rPr>
        <w:t xml:space="preserve"> (Order No. 860)</w:t>
      </w:r>
      <w:r w:rsidRPr="00044EF1">
        <w:rPr>
          <w:bCs/>
        </w:rPr>
        <w:t xml:space="preserve"> (Category 2, 2nd Year and Ongoing) as modified by Order of August 2921—to 6,154 hrs.)</w:t>
      </w: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74ED8" w:rsidP="00B01B16" w14:paraId="7903A1E7" w14:textId="77777777">
      <w:r>
        <w:separator/>
      </w:r>
    </w:p>
  </w:footnote>
  <w:footnote w:type="continuationSeparator" w:id="1">
    <w:p w:rsidR="00D74ED8" w:rsidP="00B01B16" w14:paraId="5E3A7DFD" w14:textId="77777777">
      <w:r>
        <w:continuationSeparator/>
      </w:r>
    </w:p>
  </w:footnote>
  <w:footnote w:type="continuationNotice" w:id="2">
    <w:p w:rsidR="00D74ED8" w14:paraId="75AFD1AA" w14:textId="77777777"/>
  </w:footnote>
  <w:footnote w:id="3">
    <w:p w:rsidR="00CB2D5D" w:rsidRPr="002362FA" w:rsidP="00984065" w14:paraId="51266127" w14:textId="5E56D011">
      <w:pPr>
        <w:pStyle w:val="FootnoteText"/>
        <w:rPr>
          <w:sz w:val="26"/>
          <w:szCs w:val="26"/>
        </w:rPr>
      </w:pPr>
      <w:r w:rsidRPr="00ED0625">
        <w:rPr>
          <w:rStyle w:val="FootnoteReference"/>
        </w:rPr>
        <w:footnoteRef/>
      </w:r>
      <w:r w:rsidRPr="00870066">
        <w:rPr>
          <w:sz w:val="26"/>
          <w:szCs w:val="26"/>
        </w:rPr>
        <w:t xml:space="preserve"> </w:t>
      </w:r>
      <w:r w:rsidRPr="00870066">
        <w:rPr>
          <w:i/>
          <w:sz w:val="26"/>
          <w:szCs w:val="26"/>
        </w:rPr>
        <w:t>Market-Based Rates for Wholesale Sales of Electric Energy, Capacity and Ancillary Services by Public Utilities</w:t>
      </w:r>
      <w:r w:rsidRPr="00ED0625">
        <w:rPr>
          <w:sz w:val="26"/>
          <w:szCs w:val="26"/>
        </w:rPr>
        <w:t xml:space="preserve">, Order No. 697, 72 FR 39904 (Jul. 20, 2007), </w:t>
      </w:r>
      <w:r w:rsidRPr="00870066">
        <w:rPr>
          <w:sz w:val="26"/>
          <w:szCs w:val="26"/>
        </w:rPr>
        <w:t>119 FERC ¶ 61,295</w:t>
      </w:r>
      <w:r w:rsidRPr="00ED0625">
        <w:rPr>
          <w:sz w:val="26"/>
          <w:szCs w:val="26"/>
        </w:rPr>
        <w:t xml:space="preserve"> (2007)</w:t>
      </w:r>
      <w:r w:rsidRPr="006A6ACB">
        <w:rPr>
          <w:sz w:val="26"/>
          <w:szCs w:val="26"/>
        </w:rPr>
        <w:t>.</w:t>
      </w:r>
    </w:p>
  </w:footnote>
  <w:footnote w:id="4">
    <w:p w:rsidR="00CB2D5D" w14:paraId="5DAAF75E" w14:textId="3AD89DF4">
      <w:pPr>
        <w:pStyle w:val="FootnoteText"/>
        <w:rPr>
          <w:sz w:val="26"/>
          <w:szCs w:val="26"/>
        </w:rPr>
      </w:pPr>
      <w:r w:rsidRPr="00ED0625">
        <w:rPr>
          <w:rStyle w:val="FootnoteReference"/>
        </w:rPr>
        <w:footnoteRef/>
      </w:r>
      <w:r w:rsidRPr="00870066">
        <w:rPr>
          <w:sz w:val="26"/>
          <w:szCs w:val="26"/>
        </w:rPr>
        <w:t xml:space="preserve"> </w:t>
      </w:r>
      <w:r w:rsidRPr="00870066">
        <w:rPr>
          <w:i/>
          <w:iCs/>
          <w:sz w:val="26"/>
          <w:szCs w:val="26"/>
        </w:rPr>
        <w:t xml:space="preserve">See </w:t>
      </w:r>
      <w:r w:rsidRPr="00ED0625">
        <w:rPr>
          <w:i/>
          <w:iCs/>
          <w:sz w:val="26"/>
          <w:szCs w:val="26"/>
        </w:rPr>
        <w:t xml:space="preserve">Data Collection for </w:t>
      </w:r>
      <w:r w:rsidRPr="006A6ACB">
        <w:rPr>
          <w:i/>
          <w:iCs/>
          <w:sz w:val="26"/>
          <w:szCs w:val="26"/>
        </w:rPr>
        <w:t>Analytics and Surveillance and Mkt.-Based Rate Purposes</w:t>
      </w:r>
      <w:r w:rsidRPr="002362FA">
        <w:rPr>
          <w:sz w:val="26"/>
          <w:szCs w:val="26"/>
        </w:rPr>
        <w:t xml:space="preserve">, Order No. 860, 168 FERC ¶ 61,039 (2019), </w:t>
      </w:r>
      <w:r w:rsidRPr="00ED0625">
        <w:rPr>
          <w:i/>
          <w:iCs/>
          <w:sz w:val="26"/>
          <w:szCs w:val="26"/>
        </w:rPr>
        <w:t>order on reh’g</w:t>
      </w:r>
      <w:r w:rsidRPr="00ED0625">
        <w:rPr>
          <w:sz w:val="26"/>
          <w:szCs w:val="26"/>
        </w:rPr>
        <w:t>, Order No. 860-A, 170 FERC ¶ 61,129 (2020).</w:t>
      </w:r>
    </w:p>
    <w:p w:rsidR="00CB2D5D" w:rsidRPr="00870066" w14:paraId="23307894" w14:textId="77777777">
      <w:pPr>
        <w:pStyle w:val="FootnoteText"/>
        <w:rPr>
          <w:i/>
          <w:iCs/>
          <w:sz w:val="26"/>
          <w:szCs w:val="26"/>
        </w:rPr>
      </w:pPr>
    </w:p>
  </w:footnote>
  <w:footnote w:id="5">
    <w:p w:rsidR="00CB2D5D" w:rsidRPr="004C3B59" w:rsidP="00984065" w14:paraId="486A06FC" w14:textId="77777777">
      <w:pPr>
        <w:pStyle w:val="FootnoteText"/>
        <w:rPr>
          <w:sz w:val="26"/>
          <w:szCs w:val="26"/>
        </w:rPr>
      </w:pPr>
      <w:r w:rsidRPr="00ED0625">
        <w:rPr>
          <w:rStyle w:val="FootnoteReference"/>
        </w:rPr>
        <w:footnoteRef/>
      </w:r>
      <w:r w:rsidRPr="00ED0625">
        <w:rPr>
          <w:sz w:val="26"/>
          <w:szCs w:val="26"/>
        </w:rPr>
        <w:t xml:space="preserve"> </w:t>
      </w:r>
      <w:r w:rsidRPr="004C3B59">
        <w:rPr>
          <w:sz w:val="26"/>
          <w:szCs w:val="26"/>
        </w:rPr>
        <w:t>A part of the associated burden is reported separately in information collections FERC–516 (OMB Control Number: 1902–0096)</w:t>
      </w:r>
    </w:p>
  </w:footnote>
  <w:footnote w:id="6">
    <w:p w:rsidR="00CB2D5D" w:rsidRPr="00755F57" w:rsidP="004C3B59" w14:paraId="5208C4DF" w14:textId="77777777">
      <w:pPr>
        <w:pStyle w:val="FootnoteText"/>
        <w:contextualSpacing/>
        <w:rPr>
          <w:sz w:val="26"/>
          <w:szCs w:val="26"/>
        </w:rPr>
      </w:pPr>
      <w:r w:rsidRPr="00ED0625">
        <w:rPr>
          <w:rStyle w:val="FootnoteReference"/>
        </w:rPr>
        <w:footnoteRef/>
      </w:r>
      <w:r w:rsidRPr="00ED0625">
        <w:rPr>
          <w:sz w:val="26"/>
          <w:szCs w:val="26"/>
        </w:rPr>
        <w:t xml:space="preserve"> </w:t>
      </w:r>
      <w:r w:rsidRPr="004C3B59">
        <w:rPr>
          <w:sz w:val="26"/>
          <w:szCs w:val="26"/>
        </w:rPr>
        <w:t xml:space="preserve">“Burden” is the total time, effort, or financial resources expended by persons to generate, maintain, retain, or disclose or provide information to or for a Federal agency. For further explanation of what is included in the information collection burden, refer to Title 5 </w:t>
      </w:r>
      <w:r w:rsidRPr="00755F57">
        <w:rPr>
          <w:sz w:val="26"/>
          <w:szCs w:val="26"/>
        </w:rPr>
        <w:t>CFR 1320.3.</w:t>
      </w:r>
    </w:p>
  </w:footnote>
  <w:footnote w:id="7">
    <w:p w:rsidR="00CB2D5D" w:rsidRPr="004C3B59" w:rsidP="00984065" w14:paraId="242503FD" w14:textId="77777777">
      <w:pPr>
        <w:contextualSpacing/>
        <w:rPr>
          <w:szCs w:val="26"/>
        </w:rPr>
      </w:pPr>
    </w:p>
  </w:footnote>
  <w:footnote w:id="8">
    <w:p w:rsidR="00CB2D5D" w:rsidRPr="00ED0625" w:rsidP="00B20B7B" w14:paraId="4FCAF73B" w14:textId="4A6D6523">
      <w:pPr>
        <w:pStyle w:val="FootnoteText"/>
        <w:contextualSpacing/>
        <w:rPr>
          <w:sz w:val="26"/>
          <w:szCs w:val="26"/>
        </w:rPr>
      </w:pPr>
      <w:r w:rsidRPr="002362FA">
        <w:rPr>
          <w:b/>
          <w:sz w:val="26"/>
          <w:szCs w:val="26"/>
          <w:vertAlign w:val="superscript"/>
        </w:rPr>
        <w:t xml:space="preserve">5 </w:t>
      </w:r>
      <w:r w:rsidRPr="00D61E6F">
        <w:rPr>
          <w:sz w:val="26"/>
          <w:szCs w:val="26"/>
        </w:rPr>
        <w:t xml:space="preserve">The estimated hourly cost (salary plus benefits) provided in this section is based on the salary figures for May 2021 posted by the Bureau of Labor Statistics for the Utilities sector (available at </w:t>
      </w:r>
      <w:r w:rsidRPr="00ED0625">
        <w:rPr>
          <w:rStyle w:val="Hyperlink"/>
          <w:sz w:val="26"/>
          <w:szCs w:val="26"/>
        </w:rPr>
        <w:t>http://www.bls.gov/oes/current/naics2_22.htm#13-0000</w:t>
      </w:r>
      <w:r w:rsidRPr="00ED0625">
        <w:rPr>
          <w:sz w:val="26"/>
          <w:szCs w:val="26"/>
        </w:rPr>
        <w:t xml:space="preserve">) and scaled to reflect benefits using the relative importance of employer costs in employee compensation from May 2021 (available at </w:t>
      </w:r>
      <w:r w:rsidRPr="00ED0625">
        <w:rPr>
          <w:rStyle w:val="Hyperlink"/>
          <w:sz w:val="26"/>
          <w:szCs w:val="26"/>
        </w:rPr>
        <w:t>https://www.bls.gov/oes/current/naics2_22.htm</w:t>
      </w:r>
      <w:r w:rsidRPr="00ED0625">
        <w:rPr>
          <w:sz w:val="26"/>
          <w:szCs w:val="26"/>
        </w:rPr>
        <w:t>).  The hourly estimates for salary plus benefits are:</w:t>
      </w:r>
    </w:p>
    <w:p w:rsidR="00CB2D5D" w:rsidRPr="00ED0625" w:rsidP="00B20B7B" w14:paraId="387B6A1A" w14:textId="50DBBFCC">
      <w:pPr>
        <w:rPr>
          <w:szCs w:val="26"/>
        </w:rPr>
      </w:pPr>
      <w:r w:rsidRPr="00ED0625">
        <w:rPr>
          <w:szCs w:val="26"/>
        </w:rPr>
        <w:t>Economist (Occupation Code: 19-3011), $75.75</w:t>
      </w:r>
      <w:r w:rsidRPr="00ED0625">
        <w:rPr>
          <w:szCs w:val="26"/>
        </w:rPr>
        <w:tab/>
      </w:r>
    </w:p>
    <w:p w:rsidR="00CB2D5D" w:rsidRPr="00ED0625" w:rsidP="00B20B7B" w14:paraId="71A22ED9" w14:textId="11FEEFC4">
      <w:pPr>
        <w:rPr>
          <w:szCs w:val="26"/>
        </w:rPr>
      </w:pPr>
      <w:r w:rsidRPr="00ED0625">
        <w:rPr>
          <w:szCs w:val="26"/>
        </w:rPr>
        <w:t>Electrical Engineer (Occupation Code: 17-2071), $72.15</w:t>
      </w:r>
    </w:p>
    <w:p w:rsidR="00CB2D5D" w:rsidRPr="00ED0625" w:rsidP="00B20B7B" w14:paraId="75EC3F01" w14:textId="1116757F">
      <w:pPr>
        <w:rPr>
          <w:szCs w:val="26"/>
        </w:rPr>
      </w:pPr>
      <w:r w:rsidRPr="00ED0625">
        <w:rPr>
          <w:szCs w:val="26"/>
        </w:rPr>
        <w:t>Legal (Occupation Code: 23-0000), $142.25</w:t>
      </w:r>
    </w:p>
    <w:p w:rsidR="00CB2D5D" w:rsidRPr="00ED0625" w:rsidP="00B20B7B" w14:paraId="0339F317" w14:textId="3D74E62C">
      <w:pPr>
        <w:rPr>
          <w:szCs w:val="26"/>
        </w:rPr>
      </w:pPr>
      <w:r w:rsidRPr="00ED0625">
        <w:rPr>
          <w:szCs w:val="26"/>
        </w:rPr>
        <w:t>The average hourly cost (salary plus benefits), weighting all of these skill sets evenly, is $96.72. The Commission rounds it to $97/hour.</w:t>
      </w:r>
    </w:p>
  </w:footnote>
  <w:footnote w:id="9">
    <w:p w:rsidR="00044EF1" w14:paraId="53F8778D" w14:textId="66E5233A">
      <w:pPr>
        <w:pStyle w:val="FootnoteText"/>
      </w:pPr>
      <w:r>
        <w:rPr>
          <w:rStyle w:val="FootnoteReference"/>
        </w:rPr>
        <w:footnoteRef/>
      </w:r>
      <w:r>
        <w:t>The number used to calculate the costs is 2.4444 and was rounded for the table.</w:t>
      </w:r>
    </w:p>
  </w:footnote>
  <w:footnote w:id="10">
    <w:p w:rsidR="00044EF1" w14:paraId="23A92BA4" w14:textId="57E42826">
      <w:pPr>
        <w:pStyle w:val="FootnoteText"/>
      </w:pPr>
      <w:r>
        <w:rPr>
          <w:rStyle w:val="FootnoteReference"/>
        </w:rPr>
        <w:footnoteRef/>
      </w:r>
      <w:r>
        <w:t xml:space="preserve"> The number used to calculate the costs is 4.1026 and was rounded for the table.</w:t>
      </w:r>
    </w:p>
  </w:footnote>
  <w:footnote w:id="11">
    <w:p w:rsidR="001E0123" w14:paraId="6D51826A" w14:textId="2BE62FCB">
      <w:pPr>
        <w:pStyle w:val="FootnoteText"/>
        <w:rPr>
          <w:sz w:val="26"/>
          <w:szCs w:val="26"/>
        </w:rPr>
      </w:pPr>
      <w:r>
        <w:rPr>
          <w:rStyle w:val="FootnoteReference"/>
        </w:rPr>
        <w:footnoteRef/>
      </w:r>
      <w:r>
        <w:t xml:space="preserve"> </w:t>
      </w:r>
      <w:r w:rsidRPr="00870066">
        <w:rPr>
          <w:i/>
          <w:iCs/>
          <w:sz w:val="26"/>
          <w:szCs w:val="26"/>
        </w:rPr>
        <w:t>Data Collection for Analytics &amp; Surveillance &amp; Mkt.-Based Rate Purposes</w:t>
      </w:r>
      <w:r w:rsidRPr="00870066">
        <w:rPr>
          <w:sz w:val="26"/>
          <w:szCs w:val="26"/>
        </w:rPr>
        <w:t>, 86 FR 17823 (Apr. 6, 2021), 174 FERC ¶ 61,214 (2021) (March Notice).</w:t>
      </w:r>
    </w:p>
    <w:p w:rsidR="001E0123" w14:paraId="38C448B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B2D5D" w14:paraId="13B0CC0F" w14:textId="721BF32A">
        <w:pPr>
          <w:pStyle w:val="Header"/>
        </w:pPr>
        <w:r w:rsidRPr="00D954AE">
          <w:t>Docket No. IC2</w:t>
        </w:r>
        <w:r>
          <w:t>2</w:t>
        </w:r>
        <w:r w:rsidRPr="00D954AE">
          <w:t>-</w:t>
        </w:r>
        <w:r w:rsidR="00D01B74">
          <w:t>19</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7"/>
  </w:num>
  <w:num w:numId="5">
    <w:abstractNumId w:val="18"/>
  </w:num>
  <w:num w:numId="6">
    <w:abstractNumId w:val="2"/>
  </w:num>
  <w:num w:numId="7">
    <w:abstractNumId w:val="13"/>
  </w:num>
  <w:num w:numId="8">
    <w:abstractNumId w:val="1"/>
  </w:num>
  <w:num w:numId="9">
    <w:abstractNumId w:val="9"/>
  </w:num>
  <w:num w:numId="10">
    <w:abstractNumId w:val="17"/>
  </w:num>
  <w:num w:numId="11">
    <w:abstractNumId w:val="3"/>
  </w:num>
  <w:num w:numId="12">
    <w:abstractNumId w:val="14"/>
  </w:num>
  <w:num w:numId="13">
    <w:abstractNumId w:val="0"/>
  </w:num>
  <w:num w:numId="14">
    <w:abstractNumId w:val="15"/>
  </w:num>
  <w:num w:numId="15">
    <w:abstractNumId w:val="8"/>
  </w:num>
  <w:num w:numId="16">
    <w:abstractNumId w:val="16"/>
  </w:num>
  <w:num w:numId="17">
    <w:abstractNumId w:val="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758F"/>
    <w:rsid w:val="00014343"/>
    <w:rsid w:val="00023B2D"/>
    <w:rsid w:val="00026C2D"/>
    <w:rsid w:val="000379D6"/>
    <w:rsid w:val="00042F33"/>
    <w:rsid w:val="00044EF1"/>
    <w:rsid w:val="000459B6"/>
    <w:rsid w:val="0005167F"/>
    <w:rsid w:val="00056155"/>
    <w:rsid w:val="000578D5"/>
    <w:rsid w:val="00062427"/>
    <w:rsid w:val="0006681D"/>
    <w:rsid w:val="00072E34"/>
    <w:rsid w:val="00082413"/>
    <w:rsid w:val="00084E3D"/>
    <w:rsid w:val="0008692A"/>
    <w:rsid w:val="000908DE"/>
    <w:rsid w:val="00097607"/>
    <w:rsid w:val="000A0250"/>
    <w:rsid w:val="000A0AFD"/>
    <w:rsid w:val="000A2903"/>
    <w:rsid w:val="000A3078"/>
    <w:rsid w:val="000A3C2F"/>
    <w:rsid w:val="000A6164"/>
    <w:rsid w:val="000A6F37"/>
    <w:rsid w:val="000A7E68"/>
    <w:rsid w:val="000B431B"/>
    <w:rsid w:val="000B5B66"/>
    <w:rsid w:val="000B5C78"/>
    <w:rsid w:val="000C1F51"/>
    <w:rsid w:val="000D2970"/>
    <w:rsid w:val="000D318C"/>
    <w:rsid w:val="000D6969"/>
    <w:rsid w:val="000E1256"/>
    <w:rsid w:val="000E2352"/>
    <w:rsid w:val="000E2568"/>
    <w:rsid w:val="000E4C61"/>
    <w:rsid w:val="000F1721"/>
    <w:rsid w:val="000F23F7"/>
    <w:rsid w:val="000F3964"/>
    <w:rsid w:val="000F3BC3"/>
    <w:rsid w:val="000F606E"/>
    <w:rsid w:val="001024DD"/>
    <w:rsid w:val="00112B6B"/>
    <w:rsid w:val="00116326"/>
    <w:rsid w:val="00125991"/>
    <w:rsid w:val="00127B23"/>
    <w:rsid w:val="001309CE"/>
    <w:rsid w:val="0013255C"/>
    <w:rsid w:val="00135FC5"/>
    <w:rsid w:val="00136591"/>
    <w:rsid w:val="00137823"/>
    <w:rsid w:val="00150CBC"/>
    <w:rsid w:val="0015445B"/>
    <w:rsid w:val="00156867"/>
    <w:rsid w:val="00156BBB"/>
    <w:rsid w:val="001600DF"/>
    <w:rsid w:val="00164215"/>
    <w:rsid w:val="001652F9"/>
    <w:rsid w:val="0017164F"/>
    <w:rsid w:val="00171725"/>
    <w:rsid w:val="0017684C"/>
    <w:rsid w:val="00177704"/>
    <w:rsid w:val="00181BF7"/>
    <w:rsid w:val="0018383E"/>
    <w:rsid w:val="00184A26"/>
    <w:rsid w:val="00184B43"/>
    <w:rsid w:val="0019402A"/>
    <w:rsid w:val="001953AE"/>
    <w:rsid w:val="00197435"/>
    <w:rsid w:val="001974A9"/>
    <w:rsid w:val="001A2DAA"/>
    <w:rsid w:val="001A4D96"/>
    <w:rsid w:val="001A6645"/>
    <w:rsid w:val="001A6AD6"/>
    <w:rsid w:val="001B0BD2"/>
    <w:rsid w:val="001B562C"/>
    <w:rsid w:val="001B619F"/>
    <w:rsid w:val="001B78B8"/>
    <w:rsid w:val="001C09A7"/>
    <w:rsid w:val="001C543C"/>
    <w:rsid w:val="001C7064"/>
    <w:rsid w:val="001D578A"/>
    <w:rsid w:val="001D5F38"/>
    <w:rsid w:val="001D73E0"/>
    <w:rsid w:val="001E0123"/>
    <w:rsid w:val="001E3237"/>
    <w:rsid w:val="001F1CDF"/>
    <w:rsid w:val="001F5A3B"/>
    <w:rsid w:val="00202E41"/>
    <w:rsid w:val="0020446B"/>
    <w:rsid w:val="00207AE7"/>
    <w:rsid w:val="00211105"/>
    <w:rsid w:val="00212633"/>
    <w:rsid w:val="002131D0"/>
    <w:rsid w:val="00213696"/>
    <w:rsid w:val="00214C36"/>
    <w:rsid w:val="002228F1"/>
    <w:rsid w:val="00223204"/>
    <w:rsid w:val="00224BF8"/>
    <w:rsid w:val="00224DD2"/>
    <w:rsid w:val="00225D19"/>
    <w:rsid w:val="002362FA"/>
    <w:rsid w:val="00237607"/>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A54AD"/>
    <w:rsid w:val="002A60B0"/>
    <w:rsid w:val="002B2B29"/>
    <w:rsid w:val="002B5874"/>
    <w:rsid w:val="002B7649"/>
    <w:rsid w:val="002B7A37"/>
    <w:rsid w:val="002B7C23"/>
    <w:rsid w:val="002C0DBF"/>
    <w:rsid w:val="002C2C8B"/>
    <w:rsid w:val="002C3223"/>
    <w:rsid w:val="002C3579"/>
    <w:rsid w:val="002C5E0E"/>
    <w:rsid w:val="002C765E"/>
    <w:rsid w:val="002D17E5"/>
    <w:rsid w:val="002D57E8"/>
    <w:rsid w:val="002E06A0"/>
    <w:rsid w:val="002E1C29"/>
    <w:rsid w:val="002E380B"/>
    <w:rsid w:val="002E68D4"/>
    <w:rsid w:val="002E6DAA"/>
    <w:rsid w:val="002E7818"/>
    <w:rsid w:val="002F3236"/>
    <w:rsid w:val="002F4401"/>
    <w:rsid w:val="002F708A"/>
    <w:rsid w:val="00301E3D"/>
    <w:rsid w:val="00303516"/>
    <w:rsid w:val="00306318"/>
    <w:rsid w:val="00311D90"/>
    <w:rsid w:val="00314219"/>
    <w:rsid w:val="003149BC"/>
    <w:rsid w:val="0033340D"/>
    <w:rsid w:val="00334A29"/>
    <w:rsid w:val="00336AD9"/>
    <w:rsid w:val="00340D3C"/>
    <w:rsid w:val="00353270"/>
    <w:rsid w:val="0036346C"/>
    <w:rsid w:val="00365468"/>
    <w:rsid w:val="003658A2"/>
    <w:rsid w:val="003673EC"/>
    <w:rsid w:val="00367465"/>
    <w:rsid w:val="00373A2E"/>
    <w:rsid w:val="003758CE"/>
    <w:rsid w:val="00376525"/>
    <w:rsid w:val="00383B5D"/>
    <w:rsid w:val="00397ABE"/>
    <w:rsid w:val="003A027F"/>
    <w:rsid w:val="003A2C3F"/>
    <w:rsid w:val="003A32E7"/>
    <w:rsid w:val="003B29FB"/>
    <w:rsid w:val="003B435C"/>
    <w:rsid w:val="003B5B0B"/>
    <w:rsid w:val="003C08DE"/>
    <w:rsid w:val="003C3E7A"/>
    <w:rsid w:val="003C716B"/>
    <w:rsid w:val="003D0BB4"/>
    <w:rsid w:val="003D28D2"/>
    <w:rsid w:val="003D361D"/>
    <w:rsid w:val="003D48C9"/>
    <w:rsid w:val="003E1657"/>
    <w:rsid w:val="003E1B25"/>
    <w:rsid w:val="003E1B5A"/>
    <w:rsid w:val="003E40B2"/>
    <w:rsid w:val="003E44AD"/>
    <w:rsid w:val="003E7913"/>
    <w:rsid w:val="003F0FE7"/>
    <w:rsid w:val="003F2E32"/>
    <w:rsid w:val="003F2EC7"/>
    <w:rsid w:val="003F50FD"/>
    <w:rsid w:val="003F570B"/>
    <w:rsid w:val="003F6466"/>
    <w:rsid w:val="003F7A51"/>
    <w:rsid w:val="00400439"/>
    <w:rsid w:val="00400499"/>
    <w:rsid w:val="00407BCE"/>
    <w:rsid w:val="00410A8B"/>
    <w:rsid w:val="00411B62"/>
    <w:rsid w:val="00413AA8"/>
    <w:rsid w:val="00413FDE"/>
    <w:rsid w:val="004177CD"/>
    <w:rsid w:val="0042688C"/>
    <w:rsid w:val="0042765E"/>
    <w:rsid w:val="00427AE5"/>
    <w:rsid w:val="00430882"/>
    <w:rsid w:val="00432ED8"/>
    <w:rsid w:val="00435317"/>
    <w:rsid w:val="004417C4"/>
    <w:rsid w:val="00441F16"/>
    <w:rsid w:val="00443282"/>
    <w:rsid w:val="00447601"/>
    <w:rsid w:val="00447C9E"/>
    <w:rsid w:val="00450D64"/>
    <w:rsid w:val="004547D5"/>
    <w:rsid w:val="004562F1"/>
    <w:rsid w:val="004628F2"/>
    <w:rsid w:val="00465456"/>
    <w:rsid w:val="00471921"/>
    <w:rsid w:val="00480D2D"/>
    <w:rsid w:val="00491543"/>
    <w:rsid w:val="00497638"/>
    <w:rsid w:val="00497A62"/>
    <w:rsid w:val="004A2FEC"/>
    <w:rsid w:val="004A595E"/>
    <w:rsid w:val="004A661D"/>
    <w:rsid w:val="004A6FC8"/>
    <w:rsid w:val="004C0BC3"/>
    <w:rsid w:val="004C3B59"/>
    <w:rsid w:val="004C70C8"/>
    <w:rsid w:val="004D4123"/>
    <w:rsid w:val="004D6A0C"/>
    <w:rsid w:val="004E44F8"/>
    <w:rsid w:val="004E683E"/>
    <w:rsid w:val="004F56E3"/>
    <w:rsid w:val="00506F3A"/>
    <w:rsid w:val="00524164"/>
    <w:rsid w:val="00527733"/>
    <w:rsid w:val="00531000"/>
    <w:rsid w:val="005401E0"/>
    <w:rsid w:val="00544424"/>
    <w:rsid w:val="005452CC"/>
    <w:rsid w:val="0054746C"/>
    <w:rsid w:val="0055326E"/>
    <w:rsid w:val="0055419E"/>
    <w:rsid w:val="00565830"/>
    <w:rsid w:val="00565B5E"/>
    <w:rsid w:val="00566B5F"/>
    <w:rsid w:val="00567315"/>
    <w:rsid w:val="005739F7"/>
    <w:rsid w:val="005749DE"/>
    <w:rsid w:val="0058195F"/>
    <w:rsid w:val="00584612"/>
    <w:rsid w:val="00584A11"/>
    <w:rsid w:val="00587D1F"/>
    <w:rsid w:val="00592484"/>
    <w:rsid w:val="005951B0"/>
    <w:rsid w:val="005953A1"/>
    <w:rsid w:val="00597970"/>
    <w:rsid w:val="005A0339"/>
    <w:rsid w:val="005A0B82"/>
    <w:rsid w:val="005A0D62"/>
    <w:rsid w:val="005A1E8A"/>
    <w:rsid w:val="005A2F24"/>
    <w:rsid w:val="005A5AB9"/>
    <w:rsid w:val="005A6119"/>
    <w:rsid w:val="005B0254"/>
    <w:rsid w:val="005B1C2B"/>
    <w:rsid w:val="005B46F0"/>
    <w:rsid w:val="005B4DA4"/>
    <w:rsid w:val="005B7231"/>
    <w:rsid w:val="005C09F1"/>
    <w:rsid w:val="005C12CF"/>
    <w:rsid w:val="005C180F"/>
    <w:rsid w:val="005C77BE"/>
    <w:rsid w:val="005D0259"/>
    <w:rsid w:val="005D0FDC"/>
    <w:rsid w:val="005D238D"/>
    <w:rsid w:val="005D4628"/>
    <w:rsid w:val="005D580E"/>
    <w:rsid w:val="005E0385"/>
    <w:rsid w:val="005E0B1A"/>
    <w:rsid w:val="005E3F8F"/>
    <w:rsid w:val="005E410C"/>
    <w:rsid w:val="005E45C6"/>
    <w:rsid w:val="005E68E7"/>
    <w:rsid w:val="005E7063"/>
    <w:rsid w:val="005F3B04"/>
    <w:rsid w:val="005F7CE1"/>
    <w:rsid w:val="00602995"/>
    <w:rsid w:val="006128A5"/>
    <w:rsid w:val="00613169"/>
    <w:rsid w:val="006231CF"/>
    <w:rsid w:val="0062572C"/>
    <w:rsid w:val="00630E07"/>
    <w:rsid w:val="0063784F"/>
    <w:rsid w:val="00637F43"/>
    <w:rsid w:val="00641F0D"/>
    <w:rsid w:val="00643772"/>
    <w:rsid w:val="00644A1B"/>
    <w:rsid w:val="006452D0"/>
    <w:rsid w:val="00650E6C"/>
    <w:rsid w:val="006536D8"/>
    <w:rsid w:val="00654399"/>
    <w:rsid w:val="00654BA4"/>
    <w:rsid w:val="0066195A"/>
    <w:rsid w:val="0066281B"/>
    <w:rsid w:val="00663A00"/>
    <w:rsid w:val="00663FBE"/>
    <w:rsid w:val="00664931"/>
    <w:rsid w:val="006670C8"/>
    <w:rsid w:val="006841A7"/>
    <w:rsid w:val="00687348"/>
    <w:rsid w:val="00691D3A"/>
    <w:rsid w:val="00693721"/>
    <w:rsid w:val="00694C22"/>
    <w:rsid w:val="006961E9"/>
    <w:rsid w:val="006963BC"/>
    <w:rsid w:val="006970F4"/>
    <w:rsid w:val="006A2E15"/>
    <w:rsid w:val="006A4398"/>
    <w:rsid w:val="006A6ACB"/>
    <w:rsid w:val="006B1BFB"/>
    <w:rsid w:val="006B3479"/>
    <w:rsid w:val="006B3A1E"/>
    <w:rsid w:val="006C2EF8"/>
    <w:rsid w:val="006C73D0"/>
    <w:rsid w:val="006D5669"/>
    <w:rsid w:val="006E2D04"/>
    <w:rsid w:val="006E77CC"/>
    <w:rsid w:val="006E7CBB"/>
    <w:rsid w:val="006E7EBE"/>
    <w:rsid w:val="006F7028"/>
    <w:rsid w:val="006F749E"/>
    <w:rsid w:val="007024F1"/>
    <w:rsid w:val="00707D60"/>
    <w:rsid w:val="00711BC9"/>
    <w:rsid w:val="00713417"/>
    <w:rsid w:val="007142E3"/>
    <w:rsid w:val="00714EDD"/>
    <w:rsid w:val="0071596F"/>
    <w:rsid w:val="00723505"/>
    <w:rsid w:val="007263B9"/>
    <w:rsid w:val="007352F2"/>
    <w:rsid w:val="00735A7F"/>
    <w:rsid w:val="0075009F"/>
    <w:rsid w:val="00752A48"/>
    <w:rsid w:val="00753DA1"/>
    <w:rsid w:val="00755F57"/>
    <w:rsid w:val="00757503"/>
    <w:rsid w:val="00757707"/>
    <w:rsid w:val="00761148"/>
    <w:rsid w:val="007633DD"/>
    <w:rsid w:val="007755E3"/>
    <w:rsid w:val="00775977"/>
    <w:rsid w:val="00781E6A"/>
    <w:rsid w:val="00796170"/>
    <w:rsid w:val="007B14DC"/>
    <w:rsid w:val="007B1F57"/>
    <w:rsid w:val="007B370F"/>
    <w:rsid w:val="007B4938"/>
    <w:rsid w:val="007D02D8"/>
    <w:rsid w:val="007E3706"/>
    <w:rsid w:val="007E4122"/>
    <w:rsid w:val="007F4CD3"/>
    <w:rsid w:val="007F61C2"/>
    <w:rsid w:val="00800590"/>
    <w:rsid w:val="00801456"/>
    <w:rsid w:val="008018DB"/>
    <w:rsid w:val="00802851"/>
    <w:rsid w:val="00803CA2"/>
    <w:rsid w:val="00807CAC"/>
    <w:rsid w:val="00811437"/>
    <w:rsid w:val="008115BF"/>
    <w:rsid w:val="008143B0"/>
    <w:rsid w:val="00816942"/>
    <w:rsid w:val="008212DA"/>
    <w:rsid w:val="00823681"/>
    <w:rsid w:val="00824D81"/>
    <w:rsid w:val="0082638F"/>
    <w:rsid w:val="008341DB"/>
    <w:rsid w:val="00835322"/>
    <w:rsid w:val="008376AE"/>
    <w:rsid w:val="008416FD"/>
    <w:rsid w:val="00845FCF"/>
    <w:rsid w:val="008507FE"/>
    <w:rsid w:val="00853ABC"/>
    <w:rsid w:val="008637CD"/>
    <w:rsid w:val="00863E08"/>
    <w:rsid w:val="00866EDE"/>
    <w:rsid w:val="00870066"/>
    <w:rsid w:val="008709BB"/>
    <w:rsid w:val="00871D53"/>
    <w:rsid w:val="00871DCE"/>
    <w:rsid w:val="008755D6"/>
    <w:rsid w:val="00880340"/>
    <w:rsid w:val="00881405"/>
    <w:rsid w:val="00883F45"/>
    <w:rsid w:val="00886E29"/>
    <w:rsid w:val="0089069F"/>
    <w:rsid w:val="0089298D"/>
    <w:rsid w:val="00893C9F"/>
    <w:rsid w:val="00895B40"/>
    <w:rsid w:val="00895DA2"/>
    <w:rsid w:val="00896D2F"/>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30C3"/>
    <w:rsid w:val="0093730C"/>
    <w:rsid w:val="00937B09"/>
    <w:rsid w:val="00940C0F"/>
    <w:rsid w:val="00944E3A"/>
    <w:rsid w:val="00951DA7"/>
    <w:rsid w:val="00951DC3"/>
    <w:rsid w:val="0095548F"/>
    <w:rsid w:val="00957820"/>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A1B08"/>
    <w:rsid w:val="009A5B21"/>
    <w:rsid w:val="009B0524"/>
    <w:rsid w:val="009B166F"/>
    <w:rsid w:val="009C3CB9"/>
    <w:rsid w:val="009C4A13"/>
    <w:rsid w:val="009C745D"/>
    <w:rsid w:val="009C7B13"/>
    <w:rsid w:val="009D50C1"/>
    <w:rsid w:val="009E1987"/>
    <w:rsid w:val="009E2D84"/>
    <w:rsid w:val="009F279E"/>
    <w:rsid w:val="009F7DE3"/>
    <w:rsid w:val="00A00123"/>
    <w:rsid w:val="00A04C8E"/>
    <w:rsid w:val="00A07154"/>
    <w:rsid w:val="00A11111"/>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45C4"/>
    <w:rsid w:val="00A86B6F"/>
    <w:rsid w:val="00A959E1"/>
    <w:rsid w:val="00AA1CA8"/>
    <w:rsid w:val="00AA3458"/>
    <w:rsid w:val="00AA516A"/>
    <w:rsid w:val="00AA5B0E"/>
    <w:rsid w:val="00AA6402"/>
    <w:rsid w:val="00AA6A4A"/>
    <w:rsid w:val="00AB4DBF"/>
    <w:rsid w:val="00AB65FC"/>
    <w:rsid w:val="00AC0504"/>
    <w:rsid w:val="00AC1DB7"/>
    <w:rsid w:val="00AC381D"/>
    <w:rsid w:val="00AC3A7C"/>
    <w:rsid w:val="00AC564F"/>
    <w:rsid w:val="00AC62A6"/>
    <w:rsid w:val="00AC664F"/>
    <w:rsid w:val="00AC750B"/>
    <w:rsid w:val="00AD1E15"/>
    <w:rsid w:val="00AD6937"/>
    <w:rsid w:val="00AD73E6"/>
    <w:rsid w:val="00AE0543"/>
    <w:rsid w:val="00AE1F12"/>
    <w:rsid w:val="00AE24CC"/>
    <w:rsid w:val="00AE4155"/>
    <w:rsid w:val="00AE4B7C"/>
    <w:rsid w:val="00AE66F6"/>
    <w:rsid w:val="00AF17CE"/>
    <w:rsid w:val="00AF2923"/>
    <w:rsid w:val="00AF2D82"/>
    <w:rsid w:val="00AF336D"/>
    <w:rsid w:val="00AF349B"/>
    <w:rsid w:val="00AF60E7"/>
    <w:rsid w:val="00AF65F0"/>
    <w:rsid w:val="00B009E9"/>
    <w:rsid w:val="00B01711"/>
    <w:rsid w:val="00B01B16"/>
    <w:rsid w:val="00B062D0"/>
    <w:rsid w:val="00B07674"/>
    <w:rsid w:val="00B11D16"/>
    <w:rsid w:val="00B17A95"/>
    <w:rsid w:val="00B20A44"/>
    <w:rsid w:val="00B20B7B"/>
    <w:rsid w:val="00B24588"/>
    <w:rsid w:val="00B3001C"/>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CB5"/>
    <w:rsid w:val="00B82F8C"/>
    <w:rsid w:val="00B8460F"/>
    <w:rsid w:val="00B84D34"/>
    <w:rsid w:val="00B95477"/>
    <w:rsid w:val="00BA1D81"/>
    <w:rsid w:val="00BA7130"/>
    <w:rsid w:val="00BB436B"/>
    <w:rsid w:val="00BC547E"/>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3470"/>
    <w:rsid w:val="00C45F17"/>
    <w:rsid w:val="00C47B34"/>
    <w:rsid w:val="00C50BD5"/>
    <w:rsid w:val="00C50E91"/>
    <w:rsid w:val="00C50EB1"/>
    <w:rsid w:val="00C51458"/>
    <w:rsid w:val="00C51E5F"/>
    <w:rsid w:val="00C52E2C"/>
    <w:rsid w:val="00C53580"/>
    <w:rsid w:val="00C55838"/>
    <w:rsid w:val="00C566FB"/>
    <w:rsid w:val="00C56745"/>
    <w:rsid w:val="00C57DC6"/>
    <w:rsid w:val="00C63C66"/>
    <w:rsid w:val="00C70729"/>
    <w:rsid w:val="00C71475"/>
    <w:rsid w:val="00C76958"/>
    <w:rsid w:val="00C77EF7"/>
    <w:rsid w:val="00C8004C"/>
    <w:rsid w:val="00C80D25"/>
    <w:rsid w:val="00C81407"/>
    <w:rsid w:val="00C82053"/>
    <w:rsid w:val="00C820F1"/>
    <w:rsid w:val="00C822C1"/>
    <w:rsid w:val="00C859F7"/>
    <w:rsid w:val="00C85A38"/>
    <w:rsid w:val="00C91512"/>
    <w:rsid w:val="00C93B03"/>
    <w:rsid w:val="00C946D8"/>
    <w:rsid w:val="00C94A53"/>
    <w:rsid w:val="00C94AD8"/>
    <w:rsid w:val="00CA0DEC"/>
    <w:rsid w:val="00CA2DE2"/>
    <w:rsid w:val="00CA3A85"/>
    <w:rsid w:val="00CA6636"/>
    <w:rsid w:val="00CA6D76"/>
    <w:rsid w:val="00CA7FBE"/>
    <w:rsid w:val="00CB2D5D"/>
    <w:rsid w:val="00CB51CC"/>
    <w:rsid w:val="00CC0389"/>
    <w:rsid w:val="00CC1A72"/>
    <w:rsid w:val="00CC3633"/>
    <w:rsid w:val="00CC5692"/>
    <w:rsid w:val="00CC65F3"/>
    <w:rsid w:val="00CC77A8"/>
    <w:rsid w:val="00CD09E8"/>
    <w:rsid w:val="00CD56E5"/>
    <w:rsid w:val="00CE0C1B"/>
    <w:rsid w:val="00CE64F2"/>
    <w:rsid w:val="00CF0C67"/>
    <w:rsid w:val="00CF0F40"/>
    <w:rsid w:val="00CF2AB9"/>
    <w:rsid w:val="00CF3AED"/>
    <w:rsid w:val="00CF4753"/>
    <w:rsid w:val="00CF6C43"/>
    <w:rsid w:val="00D0083B"/>
    <w:rsid w:val="00D01B74"/>
    <w:rsid w:val="00D04DF4"/>
    <w:rsid w:val="00D15403"/>
    <w:rsid w:val="00D172D8"/>
    <w:rsid w:val="00D26488"/>
    <w:rsid w:val="00D3231A"/>
    <w:rsid w:val="00D35B2D"/>
    <w:rsid w:val="00D36C06"/>
    <w:rsid w:val="00D44183"/>
    <w:rsid w:val="00D44A55"/>
    <w:rsid w:val="00D46DD0"/>
    <w:rsid w:val="00D47931"/>
    <w:rsid w:val="00D47B74"/>
    <w:rsid w:val="00D47F3F"/>
    <w:rsid w:val="00D5276C"/>
    <w:rsid w:val="00D61B79"/>
    <w:rsid w:val="00D61E6F"/>
    <w:rsid w:val="00D62C84"/>
    <w:rsid w:val="00D6384D"/>
    <w:rsid w:val="00D653F3"/>
    <w:rsid w:val="00D65EC2"/>
    <w:rsid w:val="00D66B24"/>
    <w:rsid w:val="00D67307"/>
    <w:rsid w:val="00D74ED8"/>
    <w:rsid w:val="00D77317"/>
    <w:rsid w:val="00D808E3"/>
    <w:rsid w:val="00D85E13"/>
    <w:rsid w:val="00D86288"/>
    <w:rsid w:val="00D872BC"/>
    <w:rsid w:val="00D9114B"/>
    <w:rsid w:val="00D954AE"/>
    <w:rsid w:val="00D96929"/>
    <w:rsid w:val="00DA1B6F"/>
    <w:rsid w:val="00DA3C2C"/>
    <w:rsid w:val="00DA3D55"/>
    <w:rsid w:val="00DA529F"/>
    <w:rsid w:val="00DB5AAE"/>
    <w:rsid w:val="00DB636B"/>
    <w:rsid w:val="00DB6882"/>
    <w:rsid w:val="00DC3002"/>
    <w:rsid w:val="00DC4B63"/>
    <w:rsid w:val="00DC4CBB"/>
    <w:rsid w:val="00DC5017"/>
    <w:rsid w:val="00DC5129"/>
    <w:rsid w:val="00DD7F1B"/>
    <w:rsid w:val="00DE1A87"/>
    <w:rsid w:val="00DE451F"/>
    <w:rsid w:val="00DE51FF"/>
    <w:rsid w:val="00E03D2D"/>
    <w:rsid w:val="00E12A7A"/>
    <w:rsid w:val="00E21B31"/>
    <w:rsid w:val="00E27FD6"/>
    <w:rsid w:val="00E33039"/>
    <w:rsid w:val="00E36A0F"/>
    <w:rsid w:val="00E400C7"/>
    <w:rsid w:val="00E40322"/>
    <w:rsid w:val="00E40CB4"/>
    <w:rsid w:val="00E41DB9"/>
    <w:rsid w:val="00E56612"/>
    <w:rsid w:val="00E618EC"/>
    <w:rsid w:val="00E71CC0"/>
    <w:rsid w:val="00E731AE"/>
    <w:rsid w:val="00E74310"/>
    <w:rsid w:val="00E762BB"/>
    <w:rsid w:val="00E865C8"/>
    <w:rsid w:val="00E8661B"/>
    <w:rsid w:val="00E9084E"/>
    <w:rsid w:val="00E962E6"/>
    <w:rsid w:val="00E97D7C"/>
    <w:rsid w:val="00EA1793"/>
    <w:rsid w:val="00EA689F"/>
    <w:rsid w:val="00EC0459"/>
    <w:rsid w:val="00EC0595"/>
    <w:rsid w:val="00EC1434"/>
    <w:rsid w:val="00EC522B"/>
    <w:rsid w:val="00EC72B0"/>
    <w:rsid w:val="00EC77B3"/>
    <w:rsid w:val="00ED0142"/>
    <w:rsid w:val="00ED0625"/>
    <w:rsid w:val="00ED74AF"/>
    <w:rsid w:val="00EE18F2"/>
    <w:rsid w:val="00EE365D"/>
    <w:rsid w:val="00EE4FFB"/>
    <w:rsid w:val="00EF1169"/>
    <w:rsid w:val="00EF33BE"/>
    <w:rsid w:val="00EF4F97"/>
    <w:rsid w:val="00F03990"/>
    <w:rsid w:val="00F052EA"/>
    <w:rsid w:val="00F05673"/>
    <w:rsid w:val="00F12610"/>
    <w:rsid w:val="00F126FC"/>
    <w:rsid w:val="00F12983"/>
    <w:rsid w:val="00F15359"/>
    <w:rsid w:val="00F170D7"/>
    <w:rsid w:val="00F175C4"/>
    <w:rsid w:val="00F23714"/>
    <w:rsid w:val="00F245A2"/>
    <w:rsid w:val="00F24E4F"/>
    <w:rsid w:val="00F309CB"/>
    <w:rsid w:val="00F33EED"/>
    <w:rsid w:val="00F33EEE"/>
    <w:rsid w:val="00F37677"/>
    <w:rsid w:val="00F37B05"/>
    <w:rsid w:val="00F44A0E"/>
    <w:rsid w:val="00F4763C"/>
    <w:rsid w:val="00F540BA"/>
    <w:rsid w:val="00F54BD7"/>
    <w:rsid w:val="00F570F0"/>
    <w:rsid w:val="00F60E60"/>
    <w:rsid w:val="00F64069"/>
    <w:rsid w:val="00F64D6D"/>
    <w:rsid w:val="00F654D4"/>
    <w:rsid w:val="00F66182"/>
    <w:rsid w:val="00F71399"/>
    <w:rsid w:val="00F779BD"/>
    <w:rsid w:val="00F82EE1"/>
    <w:rsid w:val="00F9089B"/>
    <w:rsid w:val="00F93134"/>
    <w:rsid w:val="00F9684D"/>
    <w:rsid w:val="00FA0F32"/>
    <w:rsid w:val="00FA194B"/>
    <w:rsid w:val="00FA3E17"/>
    <w:rsid w:val="00FB078F"/>
    <w:rsid w:val="00FB3586"/>
    <w:rsid w:val="00FC0844"/>
    <w:rsid w:val="00FC128B"/>
    <w:rsid w:val="00FC3F00"/>
    <w:rsid w:val="00FC750D"/>
    <w:rsid w:val="00FD0EA3"/>
    <w:rsid w:val="00FD23A2"/>
    <w:rsid w:val="00FE34E4"/>
    <w:rsid w:val="00FE367E"/>
    <w:rsid w:val="00FE3891"/>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5.xml><?xml version="1.0" encoding="utf-8"?>
<ds:datastoreItem xmlns:ds="http://schemas.openxmlformats.org/officeDocument/2006/customXml" ds:itemID="{D6A116AD-CD4F-4685-8FBE-DFC59FF92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2</cp:revision>
  <cp:lastPrinted>2016-12-20T13:40:00Z</cp:lastPrinted>
  <dcterms:created xsi:type="dcterms:W3CDTF">2022-09-08T15:24:00Z</dcterms:created>
  <dcterms:modified xsi:type="dcterms:W3CDTF">2022-09-08T15:24:00Z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88a78ee3-e2b8-4925-a832-a0f8029d3d3d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2022-09-08T15:23:42Z</vt:lpwstr>
  </property>
  <property fmtid="{D5CDD505-2E9C-101B-9397-08002B2CF9AE}" pid="8" name="MSIP_Label_6155a89b-0f08-4a93-8ea2-8a916d6643b5_SiteId">
    <vt:lpwstr>19caa9e9-04ff-43fa-885f-d77fac387903</vt:lpwstr>
  </property>
</Properties>
</file>