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310D" w14:paraId="7DB50800" w14:textId="77777777">
      <w:pPr>
        <w:jc w:val="center"/>
      </w:pPr>
      <w:r>
        <w:t>174 FERC ¶ 61,221</w:t>
      </w:r>
    </w:p>
    <w:p w:rsidR="00C461DC" w:rsidRPr="00395600" w:rsidP="00C461DC" w14:paraId="2F8841D6" w14:textId="651C6F1C">
      <w:pPr>
        <w:jc w:val="center"/>
      </w:pPr>
      <w:r>
        <w:t>DEPARTMENT OF ENERGY</w:t>
      </w:r>
    </w:p>
    <w:p w:rsidR="00C461DC" w:rsidRPr="00395600" w:rsidP="00C461DC" w14:paraId="1952891C" w14:textId="77777777">
      <w:pPr>
        <w:jc w:val="center"/>
      </w:pPr>
      <w:r w:rsidRPr="00395600">
        <w:t>FEDERAL ENERGY REGULATORY COMMISSION</w:t>
      </w:r>
    </w:p>
    <w:p w:rsidR="009D650C" w:rsidRPr="00395600" w:rsidP="009D5CEE" w14:paraId="1D0BCA3E" w14:textId="51B42F08">
      <w:pPr>
        <w:jc w:val="center"/>
      </w:pPr>
    </w:p>
    <w:p w:rsidR="009D650C" w:rsidRPr="00395600" w:rsidP="009D5CEE" w14:paraId="685A6FBB" w14:textId="4DD54221">
      <w:pPr>
        <w:jc w:val="center"/>
      </w:pPr>
      <w:r w:rsidRPr="00395600">
        <w:t xml:space="preserve">18 CFR Part </w:t>
      </w:r>
      <w:r w:rsidR="005A5E82">
        <w:t>35</w:t>
      </w:r>
    </w:p>
    <w:p w:rsidR="009D650C" w:rsidRPr="00395600" w:rsidP="009D5CEE" w14:paraId="707D5683" w14:textId="77777777">
      <w:pPr>
        <w:jc w:val="center"/>
      </w:pPr>
    </w:p>
    <w:p w:rsidR="009D650C" w:rsidP="009D5CEE" w14:paraId="136CC9EB" w14:textId="77777777">
      <w:pPr>
        <w:jc w:val="center"/>
      </w:pPr>
      <w:r w:rsidRPr="00395600">
        <w:t>[</w:t>
      </w:r>
      <w:r>
        <w:t>Docket No. RM16-17-000</w:t>
      </w:r>
      <w:r w:rsidRPr="00395600">
        <w:t>; Order No.</w:t>
      </w:r>
      <w:r>
        <w:t xml:space="preserve"> 860</w:t>
      </w:r>
      <w:r w:rsidRPr="00395600">
        <w:t>]</w:t>
      </w:r>
    </w:p>
    <w:p w:rsidR="009D650C" w:rsidP="009D5CEE" w14:paraId="4F8AE641" w14:textId="77777777">
      <w:pPr>
        <w:jc w:val="center"/>
      </w:pPr>
    </w:p>
    <w:p w:rsidR="009D650C" w:rsidP="009D5CEE" w14:paraId="1EB03A0F" w14:textId="77777777">
      <w:pPr>
        <w:jc w:val="center"/>
      </w:pPr>
      <w:r>
        <w:t>Data Collection for Analytics and Surveillance and Market-Based Rate Purposes</w:t>
      </w:r>
    </w:p>
    <w:p w:rsidR="009D650C" w:rsidRPr="00395600" w:rsidP="009D5CEE" w14:paraId="69B0213F" w14:textId="77777777">
      <w:pPr>
        <w:jc w:val="center"/>
      </w:pPr>
    </w:p>
    <w:p w:rsidR="009D650C" w:rsidP="00853C3E" w14:paraId="24F858E3" w14:textId="12622D4C">
      <w:pPr>
        <w:widowControl/>
        <w:jc w:val="center"/>
      </w:pPr>
      <w:r w:rsidRPr="00853C3E">
        <w:t>(Issued March 18, 2021)</w:t>
      </w:r>
    </w:p>
    <w:p w:rsidR="00AA2CF4" w:rsidRPr="00395600" w:rsidP="009D5CEE" w14:paraId="44C73F63" w14:textId="77777777"/>
    <w:p w:rsidR="009D650C" w:rsidRPr="00395600" w:rsidP="009D5CEE" w14:paraId="6676BEA0" w14:textId="77777777">
      <w:pPr>
        <w:spacing w:after="260"/>
      </w:pPr>
      <w:r w:rsidRPr="00395600">
        <w:rPr>
          <w:u w:val="single"/>
        </w:rPr>
        <w:t>AGENCY</w:t>
      </w:r>
      <w:r w:rsidRPr="00395600">
        <w:t>:  Federal Energy Regulatory Commission.</w:t>
      </w:r>
    </w:p>
    <w:p w:rsidR="009D650C" w:rsidRPr="00395600" w:rsidP="009D5CEE" w14:paraId="747BE8DF" w14:textId="77777777">
      <w:pPr>
        <w:spacing w:after="260"/>
      </w:pPr>
      <w:r w:rsidRPr="00395600">
        <w:rPr>
          <w:u w:val="single"/>
        </w:rPr>
        <w:t>ACTION</w:t>
      </w:r>
      <w:r w:rsidRPr="00395600">
        <w:t>:  Final Rule</w:t>
      </w:r>
      <w:r w:rsidR="007F17F4">
        <w:t>; delay of compliance.</w:t>
      </w:r>
    </w:p>
    <w:p w:rsidR="009D650C" w:rsidRPr="00395600" w:rsidP="009D5CEE" w14:paraId="50A1B0AA" w14:textId="73A8E324">
      <w:pPr>
        <w:spacing w:line="480" w:lineRule="auto"/>
      </w:pPr>
      <w:r w:rsidRPr="00395600">
        <w:rPr>
          <w:u w:val="single"/>
        </w:rPr>
        <w:t>SUMMARY</w:t>
      </w:r>
      <w:r w:rsidRPr="00395600">
        <w:t xml:space="preserve">:  </w:t>
      </w:r>
      <w:r w:rsidR="00F24070">
        <w:t>T</w:t>
      </w:r>
      <w:r w:rsidR="007F17F4">
        <w:t xml:space="preserve">he Commission delays the </w:t>
      </w:r>
      <w:r w:rsidR="0093595E">
        <w:t xml:space="preserve">compliance </w:t>
      </w:r>
      <w:r w:rsidR="007F17F4">
        <w:t xml:space="preserve">date </w:t>
      </w:r>
      <w:r w:rsidR="00747925">
        <w:t xml:space="preserve">for the requirements </w:t>
      </w:r>
      <w:r w:rsidR="007F17F4">
        <w:t xml:space="preserve">of </w:t>
      </w:r>
      <w:r w:rsidR="00F711C7">
        <w:t>Order No. 860</w:t>
      </w:r>
      <w:r w:rsidR="007F17F4">
        <w:t xml:space="preserve"> until July 1, 2021.  </w:t>
      </w:r>
    </w:p>
    <w:p w:rsidR="009D650C" w:rsidRPr="00395600" w:rsidP="009D5CEE" w14:paraId="66035B1F" w14:textId="21807C0E">
      <w:pPr>
        <w:spacing w:line="480" w:lineRule="auto"/>
      </w:pPr>
      <w:r w:rsidRPr="00395600">
        <w:rPr>
          <w:u w:val="single"/>
        </w:rPr>
        <w:t>EFFECTIVE DATE</w:t>
      </w:r>
      <w:r w:rsidRPr="00395600">
        <w:t xml:space="preserve">: </w:t>
      </w:r>
      <w:r w:rsidR="004D2475">
        <w:t>T</w:t>
      </w:r>
      <w:r w:rsidR="00154137">
        <w:t xml:space="preserve">he </w:t>
      </w:r>
      <w:r w:rsidR="0093595E">
        <w:t xml:space="preserve">compliance </w:t>
      </w:r>
      <w:r w:rsidR="00154137">
        <w:t xml:space="preserve">date </w:t>
      </w:r>
      <w:r w:rsidR="0093595E">
        <w:t xml:space="preserve">for the requirements </w:t>
      </w:r>
      <w:r w:rsidR="00154137">
        <w:t xml:space="preserve">of </w:t>
      </w:r>
      <w:r w:rsidR="007A4C19">
        <w:t>Order No. 860</w:t>
      </w:r>
      <w:r w:rsidR="00154137">
        <w:t xml:space="preserve"> published on July 26, 2019, at 84 FR 36390, is delayed </w:t>
      </w:r>
      <w:r w:rsidR="007A4C19">
        <w:t>to</w:t>
      </w:r>
      <w:r w:rsidR="00154137">
        <w:t xml:space="preserve"> July 1, 2021. </w:t>
      </w:r>
    </w:p>
    <w:p w:rsidR="009D650C" w:rsidP="009D5CEE" w14:paraId="29CBADA6" w14:textId="77777777">
      <w:r w:rsidRPr="00395600">
        <w:rPr>
          <w:u w:val="single"/>
        </w:rPr>
        <w:t>FOR FURTHER INFORMATION CONTACT</w:t>
      </w:r>
      <w:r w:rsidRPr="00395600">
        <w:t>:</w:t>
      </w:r>
    </w:p>
    <w:p w:rsidR="009D650C" w:rsidRPr="00395600" w:rsidP="009D5CEE" w14:paraId="05D176AD" w14:textId="77777777"/>
    <w:p w:rsidR="00EB484D" w:rsidP="009D5CEE" w14:paraId="3015932D" w14:textId="330521DC">
      <w:r>
        <w:t xml:space="preserve">Ryan </w:t>
      </w:r>
      <w:r>
        <w:t>Stertz</w:t>
      </w:r>
      <w:r w:rsidR="005269E8">
        <w:t xml:space="preserve"> </w:t>
      </w:r>
      <w:r w:rsidR="009E30AA">
        <w:t>(Technical Information)</w:t>
      </w:r>
    </w:p>
    <w:p w:rsidR="009E30AA" w:rsidP="009D5CEE" w14:paraId="66F0BCDA" w14:textId="3384BAF8">
      <w:r>
        <w:t>Office of Energy Market Regulation</w:t>
      </w:r>
    </w:p>
    <w:p w:rsidR="005269E8" w:rsidP="009D5CEE" w14:paraId="3A892759" w14:textId="77777777">
      <w:r>
        <w:t>Federal Energy Regulatory Commission</w:t>
      </w:r>
    </w:p>
    <w:p w:rsidR="005269E8" w:rsidP="009D5CEE" w14:paraId="6F022900" w14:textId="39F3AA45">
      <w:r>
        <w:t>888 First St</w:t>
      </w:r>
      <w:r w:rsidR="009E30AA">
        <w:t>reet,</w:t>
      </w:r>
      <w:r>
        <w:t xml:space="preserve"> NE</w:t>
      </w:r>
    </w:p>
    <w:p w:rsidR="005269E8" w:rsidP="009D5CEE" w14:paraId="136B4CE1" w14:textId="3042F895">
      <w:r>
        <w:t>Washington</w:t>
      </w:r>
      <w:r w:rsidR="009E30AA">
        <w:t>,</w:t>
      </w:r>
      <w:r>
        <w:t xml:space="preserve"> DC</w:t>
      </w:r>
      <w:r>
        <w:t xml:space="preserve">  </w:t>
      </w:r>
      <w:r>
        <w:t xml:space="preserve"> 2</w:t>
      </w:r>
      <w:r w:rsidR="009E30AA">
        <w:t>0426</w:t>
      </w:r>
      <w:r>
        <w:t xml:space="preserve"> </w:t>
      </w:r>
    </w:p>
    <w:p w:rsidR="00EB484D" w:rsidP="009D5CEE" w14:paraId="59354104" w14:textId="0B5734A2">
      <w:r>
        <w:t>(</w:t>
      </w:r>
      <w:r>
        <w:t>202</w:t>
      </w:r>
      <w:r>
        <w:t xml:space="preserve">) </w:t>
      </w:r>
      <w:r>
        <w:t>502-6473</w:t>
      </w:r>
    </w:p>
    <w:p w:rsidR="009D650C" w:rsidP="009D5CEE" w14:paraId="4FC27542" w14:textId="69609E89">
      <w:hyperlink r:id="rId11" w:history="1">
        <w:r w:rsidRPr="001770EA" w:rsidR="009E30AA">
          <w:rPr>
            <w:rStyle w:val="Hyperlink"/>
          </w:rPr>
          <w:t>ryan.stertz@ferc.gov</w:t>
        </w:r>
      </w:hyperlink>
    </w:p>
    <w:p w:rsidR="009E30AA" w:rsidP="009D5CEE" w14:paraId="06871AEB" w14:textId="51E0BA75"/>
    <w:p w:rsidR="009E30AA" w:rsidP="009D5CEE" w14:paraId="355E068D" w14:textId="19D3D096">
      <w:r>
        <w:t xml:space="preserve">Regine </w:t>
      </w:r>
      <w:r>
        <w:t>Baus</w:t>
      </w:r>
      <w:r>
        <w:t xml:space="preserve"> (Legal Information)</w:t>
      </w:r>
    </w:p>
    <w:p w:rsidR="009E30AA" w:rsidP="009D5CEE" w14:paraId="6DF5D844" w14:textId="56E1E46E">
      <w:r>
        <w:t>Office of the General Counsel</w:t>
      </w:r>
    </w:p>
    <w:p w:rsidR="009E30AA" w:rsidP="009D5CEE" w14:paraId="0825D5AA" w14:textId="2E8282FF">
      <w:r>
        <w:t>Federal Energy Regulatory Commission</w:t>
      </w:r>
    </w:p>
    <w:p w:rsidR="009E30AA" w:rsidP="009D5CEE" w14:paraId="4EAD9AAF" w14:textId="482F0853">
      <w:r>
        <w:t xml:space="preserve">888 First Street, NE </w:t>
      </w:r>
    </w:p>
    <w:p w:rsidR="009E30AA" w:rsidP="009D5CEE" w14:paraId="4F5F43F9" w14:textId="376BB60F">
      <w:r>
        <w:t xml:space="preserve">Washington, DC </w:t>
      </w:r>
      <w:r w:rsidR="000A0360">
        <w:t xml:space="preserve"> </w:t>
      </w:r>
      <w:r>
        <w:t>20426</w:t>
      </w:r>
    </w:p>
    <w:p w:rsidR="009E30AA" w:rsidRPr="00395600" w:rsidP="009D5CEE" w14:paraId="7C7AE73B" w14:textId="4D3D821F">
      <w:r>
        <w:t>(202) 502-8757</w:t>
      </w:r>
    </w:p>
    <w:p w:rsidR="009D650C" w:rsidP="009D5CEE" w14:paraId="72193778" w14:textId="2B8A3C03">
      <w:hyperlink r:id="rId12" w:history="1">
        <w:r w:rsidRPr="0093655B" w:rsidR="005C05D8">
          <w:rPr>
            <w:rStyle w:val="Hyperlink"/>
          </w:rPr>
          <w:t>regine.baus@ferc.gov</w:t>
        </w:r>
      </w:hyperlink>
    </w:p>
    <w:p w:rsidR="009D650C" w:rsidRPr="00395600" w:rsidP="009D5CEE" w14:paraId="25E4A117" w14:textId="06B28252">
      <w:pPr>
        <w:sectPr w:rsidSect="00F906B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440" w:gutter="0"/>
          <w:pgNumType w:start="1"/>
          <w:cols w:space="720"/>
          <w:noEndnote/>
          <w:titlePg/>
          <w:docGrid w:linePitch="354"/>
        </w:sectPr>
      </w:pPr>
      <w:r w:rsidRPr="00395600">
        <w:fldChar w:fldCharType="begin"/>
      </w:r>
      <w:r w:rsidRPr="00395600">
        <w:instrText xml:space="preserve"> MACROBUTTON  AcceptAllChangesInDoc </w:instrText>
      </w:r>
      <w:r w:rsidRPr="00395600">
        <w:fldChar w:fldCharType="end"/>
      </w:r>
      <w:r w:rsidRPr="00395600">
        <w:fldChar w:fldCharType="begin"/>
      </w:r>
      <w:r w:rsidRPr="00395600">
        <w:instrText xml:space="preserve"> MACROBUTTON  AcceptAllChangesInDoc </w:instrText>
      </w:r>
      <w:r w:rsidRPr="00395600">
        <w:fldChar w:fldCharType="end"/>
      </w:r>
    </w:p>
    <w:p w:rsidR="00853C3E" w:rsidRPr="00853C3E" w:rsidP="009D5CEE" w14:paraId="39D0C59E" w14:textId="4DBADA88">
      <w:pPr>
        <w:jc w:val="center"/>
      </w:pPr>
      <w:r>
        <w:t>174 FERC ¶ 61,221</w:t>
      </w:r>
    </w:p>
    <w:p w:rsidR="009D650C" w:rsidRPr="00395600" w:rsidP="009D5CEE" w14:paraId="4F04A5AE" w14:textId="39D19F15">
      <w:pPr>
        <w:jc w:val="center"/>
      </w:pPr>
      <w:r w:rsidRPr="00395600">
        <w:t>UNITED STATES OF AMERICA</w:t>
      </w:r>
    </w:p>
    <w:p w:rsidR="009D650C" w:rsidRPr="00395600" w:rsidP="009D5CEE" w14:paraId="0054D224" w14:textId="77777777">
      <w:pPr>
        <w:jc w:val="center"/>
      </w:pPr>
      <w:r w:rsidRPr="00395600">
        <w:t>FEDERAL ENERGY REGULATORY COMMISSION</w:t>
      </w:r>
    </w:p>
    <w:p w:rsidR="009D650C" w:rsidRPr="00395600" w:rsidP="009D5CEE" w14:paraId="510E5EF5" w14:textId="77777777"/>
    <w:p w:rsidR="009D650C" w:rsidRPr="00853C3E" w:rsidP="00853C3E" w14:paraId="2F5DB978" w14:textId="3C769AA2">
      <w:pPr>
        <w:widowControl/>
      </w:pPr>
      <w:r w:rsidRPr="00853C3E">
        <w:t xml:space="preserve">Before Commissioners:  Richard Glick, </w:t>
      </w:r>
      <w:r w:rsidRPr="00853C3E">
        <w:t>Chairman;</w:t>
      </w:r>
    </w:p>
    <w:p w:rsidR="00853C3E" w:rsidRPr="00853C3E" w:rsidP="00853C3E" w14:paraId="2D170C53" w14:textId="0F6CBE25">
      <w:pPr>
        <w:widowControl/>
      </w:pPr>
      <w:r w:rsidRPr="00853C3E">
        <w:t xml:space="preserve">                                        Neil Chatterjee, James P. </w:t>
      </w:r>
      <w:r w:rsidRPr="00853C3E">
        <w:t>Danly</w:t>
      </w:r>
      <w:r w:rsidRPr="00853C3E">
        <w:t>,</w:t>
      </w:r>
    </w:p>
    <w:p w:rsidR="00853C3E" w:rsidRPr="00395600" w:rsidP="00853C3E" w14:paraId="59C73FD2" w14:textId="4BE845D6">
      <w:pPr>
        <w:widowControl/>
      </w:pPr>
      <w:r w:rsidRPr="00853C3E">
        <w:t xml:space="preserve">                                        Allison Clements, and Mark C. Christie.</w:t>
      </w:r>
    </w:p>
    <w:p w:rsidR="009D650C" w:rsidRPr="00395600" w:rsidP="009D5CEE" w14:paraId="39A0F800"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927"/>
        <w:gridCol w:w="1539"/>
        <w:gridCol w:w="1894"/>
      </w:tblGrid>
      <w:tr w14:paraId="06D4677F" w14:textId="77777777" w:rsidTr="009D65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6088" w:type="dxa"/>
            <w:shd w:val="clear" w:color="auto" w:fill="auto"/>
          </w:tcPr>
          <w:p w:rsidR="009D650C" w:rsidRPr="00395600" w:rsidP="009D5CEE" w14:paraId="6F56F5CF" w14:textId="77777777">
            <w:pPr>
              <w:widowControl/>
              <w:autoSpaceDE/>
              <w:autoSpaceDN/>
              <w:adjustRightInd/>
              <w:rPr>
                <w:rFonts w:cstheme="minorBidi"/>
                <w:szCs w:val="22"/>
              </w:rPr>
            </w:pPr>
            <w:r>
              <w:rPr>
                <w:rFonts w:cstheme="minorBidi"/>
                <w:szCs w:val="22"/>
              </w:rPr>
              <w:t>Data Collection for Analytics and Surveillance and Market-Based Rate Purposes</w:t>
            </w:r>
          </w:p>
        </w:tc>
        <w:tc>
          <w:tcPr>
            <w:tcW w:w="1560" w:type="dxa"/>
            <w:shd w:val="clear" w:color="auto" w:fill="auto"/>
          </w:tcPr>
          <w:p w:rsidR="009D650C" w:rsidRPr="00395600" w:rsidP="009D5CEE" w14:paraId="7620EFEC" w14:textId="0458B617">
            <w:pPr>
              <w:widowControl/>
              <w:autoSpaceDE/>
              <w:autoSpaceDN/>
              <w:adjustRightInd/>
              <w:rPr>
                <w:rFonts w:cstheme="minorBidi"/>
                <w:szCs w:val="22"/>
              </w:rPr>
            </w:pPr>
            <w:r>
              <w:rPr>
                <w:rFonts w:cstheme="minorBidi"/>
                <w:szCs w:val="22"/>
              </w:rPr>
              <w:t xml:space="preserve"> </w:t>
            </w:r>
            <w:r>
              <w:rPr>
                <w:rFonts w:cstheme="minorBidi"/>
                <w:szCs w:val="22"/>
              </w:rPr>
              <w:t>Docket No.</w:t>
            </w:r>
          </w:p>
        </w:tc>
        <w:tc>
          <w:tcPr>
            <w:tcW w:w="1928" w:type="dxa"/>
            <w:shd w:val="clear" w:color="auto" w:fill="auto"/>
          </w:tcPr>
          <w:p w:rsidR="009D650C" w:rsidRPr="00395600" w:rsidP="009D5CEE" w14:paraId="68A115F6" w14:textId="77777777">
            <w:pPr>
              <w:widowControl/>
              <w:autoSpaceDE/>
              <w:autoSpaceDN/>
              <w:adjustRightInd/>
              <w:rPr>
                <w:rFonts w:cstheme="minorBidi"/>
                <w:szCs w:val="22"/>
              </w:rPr>
            </w:pPr>
            <w:r>
              <w:rPr>
                <w:rFonts w:cstheme="minorBidi"/>
                <w:szCs w:val="22"/>
              </w:rPr>
              <w:t>RM16-17-000</w:t>
            </w:r>
          </w:p>
        </w:tc>
      </w:tr>
    </w:tbl>
    <w:p w:rsidR="009D650C" w:rsidRPr="00395600" w:rsidP="009D5CEE" w14:paraId="1D93208C" w14:textId="77777777"/>
    <w:p w:rsidR="009D650C" w:rsidP="009D5CEE" w14:paraId="2DBB4600" w14:textId="77777777">
      <w:pPr>
        <w:jc w:val="center"/>
      </w:pPr>
      <w:r w:rsidRPr="00395600">
        <w:t>ORDER NO.</w:t>
      </w:r>
      <w:r>
        <w:t xml:space="preserve"> 860 </w:t>
      </w:r>
    </w:p>
    <w:p w:rsidR="009D650C" w:rsidP="009D5CEE" w14:paraId="0479443F" w14:textId="77777777">
      <w:pPr>
        <w:jc w:val="center"/>
      </w:pPr>
    </w:p>
    <w:p w:rsidR="009D650C" w:rsidP="009D5CEE" w14:paraId="3B3BDAFC" w14:textId="3449E4B4">
      <w:pPr>
        <w:jc w:val="center"/>
      </w:pPr>
      <w:r w:rsidRPr="00395600">
        <w:t>FINAL RULE</w:t>
      </w:r>
      <w:r w:rsidR="00D645A7">
        <w:t xml:space="preserve"> – DELAY OF COMPLIANCE</w:t>
      </w:r>
    </w:p>
    <w:p w:rsidR="009D650C" w:rsidP="009D5CEE" w14:paraId="024CD4EF" w14:textId="77777777">
      <w:pPr>
        <w:jc w:val="center"/>
      </w:pPr>
    </w:p>
    <w:p w:rsidR="009D650C" w:rsidP="00853C3E" w14:paraId="58919111" w14:textId="38DBA8D8">
      <w:pPr>
        <w:widowControl/>
        <w:jc w:val="center"/>
      </w:pPr>
      <w:r w:rsidRPr="00853C3E">
        <w:t>(Issued March 18, 2021)</w:t>
      </w:r>
    </w:p>
    <w:p w:rsidR="009D650C" w:rsidP="009D5CEE" w14:paraId="78C67297" w14:textId="0415EFE5">
      <w:pPr>
        <w:tabs>
          <w:tab w:val="right" w:pos="9360"/>
        </w:tabs>
      </w:pPr>
      <w:bookmarkStart w:id="0" w:name="_Start_TOC"/>
      <w:bookmarkEnd w:id="0"/>
    </w:p>
    <w:p w:rsidR="00A57BD9" w:rsidRPr="00C461DC" w:rsidP="00C461DC" w14:paraId="58A0CA7B" w14:textId="3FDA3D0A">
      <w:pPr>
        <w:pStyle w:val="FERCparanumber"/>
      </w:pPr>
      <w:r>
        <w:t xml:space="preserve">In this </w:t>
      </w:r>
      <w:r w:rsidRPr="005E50DB">
        <w:rPr>
          <w:bCs/>
        </w:rPr>
        <w:t>Final Rule, the Commission delays the compliance date for the requirements of Order No. 860 until July 1, 2021.</w:t>
      </w:r>
    </w:p>
    <w:p w:rsidR="009D650C" w:rsidRPr="00395600" w:rsidP="009D5CEE" w14:paraId="7027001E" w14:textId="77777777"/>
    <w:p w:rsidR="009D650C" w:rsidP="009D650C" w14:paraId="233C6314" w14:textId="44EE0278">
      <w:pPr>
        <w:pStyle w:val="Heading1"/>
      </w:pPr>
      <w:r w:rsidRPr="00395600">
        <w:t>Background</w:t>
      </w:r>
    </w:p>
    <w:p w:rsidR="006917E6" w:rsidP="006917E6" w14:paraId="75EC2B4D" w14:textId="220F31D9">
      <w:pPr>
        <w:pStyle w:val="FERCparanumber"/>
      </w:pPr>
      <w:r w:rsidRPr="000771D7">
        <w:t>On July 18, 2019, the Commission issued Order No. 860,</w:t>
      </w:r>
      <w:r>
        <w:rPr>
          <w:rStyle w:val="FootnoteReference"/>
        </w:rPr>
        <w:footnoteReference w:id="3"/>
      </w:r>
      <w:r w:rsidRPr="000771D7">
        <w:t xml:space="preserve"> which revised certain aspects of the substance and format of information submitted for market-based rate purposes by Sellers.</w:t>
      </w:r>
      <w:r>
        <w:rPr>
          <w:rStyle w:val="FootnoteReference"/>
        </w:rPr>
        <w:footnoteReference w:id="4"/>
      </w:r>
      <w:r w:rsidRPr="000771D7">
        <w:t xml:space="preserve"> </w:t>
      </w:r>
      <w:r>
        <w:t xml:space="preserve"> </w:t>
      </w:r>
      <w:r w:rsidRPr="000771D7">
        <w:t xml:space="preserve">Specifically, the Commission adopted the approach to data collection proposed in the Notice of Proposed Rulemaking issued in July 2016, i.e., to </w:t>
      </w:r>
      <w:r w:rsidRPr="000771D7">
        <w:t>collect market-based rate information in a relational database.</w:t>
      </w:r>
      <w:r>
        <w:rPr>
          <w:rStyle w:val="FootnoteReference"/>
        </w:rPr>
        <w:footnoteReference w:id="5"/>
      </w:r>
      <w:r w:rsidR="002D53AF">
        <w:t xml:space="preserve">  The current effective date of Order No. 860 is April 1, 2021.</w:t>
      </w:r>
      <w:r>
        <w:rPr>
          <w:rStyle w:val="FootnoteReference"/>
        </w:rPr>
        <w:footnoteReference w:id="6"/>
      </w:r>
    </w:p>
    <w:p w:rsidR="0082393F" w:rsidRPr="00395600" w:rsidP="00BE0C34" w14:paraId="5AB775B2" w14:textId="076BDC11">
      <w:pPr>
        <w:pStyle w:val="FERCparanumber"/>
      </w:pPr>
      <w:r>
        <w:t xml:space="preserve">On March 18, 2021, the Commission issued a Notice </w:t>
      </w:r>
      <w:r w:rsidR="002A17D9">
        <w:t>Seeking Comments</w:t>
      </w:r>
      <w:r>
        <w:t xml:space="preserve"> </w:t>
      </w:r>
      <w:r w:rsidR="002A17D9">
        <w:t>(Notice)</w:t>
      </w:r>
      <w:r w:rsidR="00F51F43">
        <w:t xml:space="preserve"> </w:t>
      </w:r>
      <w:r w:rsidRPr="0082393F">
        <w:t xml:space="preserve">on a proposal to collect additional data from certain </w:t>
      </w:r>
      <w:r>
        <w:t>Sellers</w:t>
      </w:r>
      <w:r w:rsidRPr="0082393F">
        <w:t xml:space="preserve"> through revisions to the data dictionary and XML schema that accompany the relational database established in Order No. 860 (MBR Data Dictionary).</w:t>
      </w:r>
      <w:r>
        <w:rPr>
          <w:rStyle w:val="FootnoteReference"/>
        </w:rPr>
        <w:footnoteReference w:id="7"/>
      </w:r>
      <w:r w:rsidR="00D03E02">
        <w:t xml:space="preserve">  </w:t>
      </w:r>
      <w:r>
        <w:t xml:space="preserve">Specifically, the Notice proposes to update the MBR Data Dictionary and add three new attributes to the </w:t>
      </w:r>
      <w:r>
        <w:t>Entities to Entities</w:t>
      </w:r>
      <w:r>
        <w:t xml:space="preserve"> table.  </w:t>
      </w:r>
      <w:r w:rsidRPr="00A66689" w:rsidR="00A66689">
        <w:t>This requirement includes submitting into the relational database the docket number of the section 203(a)(2) blanket authorization, the identifier</w:t>
      </w:r>
      <w:r w:rsidR="00396777">
        <w:t>(s)</w:t>
      </w:r>
      <w:r w:rsidRPr="00A66689" w:rsidR="00A66689">
        <w:t xml:space="preserve"> of the upstream affiliate(s) whose securities were acquired pursuant to the section 203(a)(2) blanket authorization, and the type of identifier</w:t>
      </w:r>
      <w:r w:rsidR="00396777">
        <w:t>(s)</w:t>
      </w:r>
      <w:r w:rsidRPr="00A66689" w:rsidR="00A66689">
        <w:t xml:space="preserve"> reported</w:t>
      </w:r>
      <w:r>
        <w:t xml:space="preserve">.  The appropriate Sellers </w:t>
      </w:r>
      <w:r>
        <w:t>would be required to</w:t>
      </w:r>
      <w:r>
        <w:t xml:space="preserve"> submit the docket number of the proceeding in which the Commission granted the section 203(a)(2)</w:t>
      </w:r>
      <w:r>
        <w:t xml:space="preserve"> </w:t>
      </w:r>
      <w:r>
        <w:t xml:space="preserve">blanket authorization and </w:t>
      </w:r>
      <w:r w:rsidR="00104417">
        <w:t>the proper identifier</w:t>
      </w:r>
      <w:r w:rsidR="00396777">
        <w:t>(s)</w:t>
      </w:r>
      <w:r w:rsidR="00104417">
        <w:t xml:space="preserve"> for </w:t>
      </w:r>
      <w:r>
        <w:t>the upstream affiliate</w:t>
      </w:r>
      <w:r w:rsidR="00396777">
        <w:t>(s)</w:t>
      </w:r>
      <w:r>
        <w:t xml:space="preserve"> whose securities were acquired pursuant to the section 203(a)(2) blanket authorization.</w:t>
      </w:r>
    </w:p>
    <w:p w:rsidR="009D650C" w:rsidRPr="00395600" w:rsidP="009D650C" w14:paraId="65B4B70C" w14:textId="4CC32D87">
      <w:pPr>
        <w:pStyle w:val="Heading1"/>
      </w:pPr>
      <w:r w:rsidRPr="00395600">
        <w:t>Discussion</w:t>
      </w:r>
    </w:p>
    <w:p w:rsidR="009D650C" w:rsidP="00454A58" w14:paraId="60DF452A" w14:textId="42371032">
      <w:pPr>
        <w:pStyle w:val="FERCparanumber"/>
      </w:pPr>
      <w:r>
        <w:t>The Notice request</w:t>
      </w:r>
      <w:r w:rsidR="00D03E02">
        <w:t>s</w:t>
      </w:r>
      <w:r w:rsidR="004746D6">
        <w:t xml:space="preserve"> that</w:t>
      </w:r>
      <w:r>
        <w:t xml:space="preserve"> comments on the proposal be filed </w:t>
      </w:r>
      <w:r w:rsidR="00220720">
        <w:t>6</w:t>
      </w:r>
      <w:r>
        <w:t xml:space="preserve">0 days after the publication to the Federal Register.  A delay in the </w:t>
      </w:r>
      <w:r w:rsidR="00EB020B">
        <w:t xml:space="preserve">compliance </w:t>
      </w:r>
      <w:r>
        <w:t xml:space="preserve">date of Order No. 860 is </w:t>
      </w:r>
      <w:r w:rsidR="00F24070">
        <w:t>necessary</w:t>
      </w:r>
      <w:r>
        <w:t xml:space="preserve"> to allow </w:t>
      </w:r>
      <w:r w:rsidR="00E570C0">
        <w:t xml:space="preserve">for public </w:t>
      </w:r>
      <w:r>
        <w:t>comment on the Commission’s proposal</w:t>
      </w:r>
      <w:r w:rsidR="006B3F5E">
        <w:t xml:space="preserve"> in the Notice</w:t>
      </w:r>
      <w:r w:rsidR="00C12666">
        <w:t xml:space="preserve"> and </w:t>
      </w:r>
      <w:r>
        <w:t xml:space="preserve">for the Commission to have adequate time to review those comments.  </w:t>
      </w:r>
      <w:r w:rsidR="00D03E02">
        <w:t xml:space="preserve">Accordingly, we extend the compliance date for the requirements of Order No. 860 </w:t>
      </w:r>
      <w:r w:rsidR="00EB020B">
        <w:t xml:space="preserve">from April 1, 2021, </w:t>
      </w:r>
      <w:r w:rsidR="00D03E02">
        <w:t xml:space="preserve">to July 1, 2021.  </w:t>
      </w:r>
      <w:r w:rsidR="008C7E56">
        <w:t>Ot</w:t>
      </w:r>
      <w:r w:rsidRPr="00D03E02" w:rsidR="00D03E02">
        <w:t xml:space="preserve">her implementation dates in Order No. 860 are </w:t>
      </w:r>
      <w:r w:rsidR="00615F25">
        <w:t xml:space="preserve">correspondingly </w:t>
      </w:r>
      <w:r w:rsidRPr="00D03E02" w:rsidR="00D03E02">
        <w:t>extended as shown in the attached Appendix.</w:t>
      </w:r>
    </w:p>
    <w:p w:rsidR="009D650C" w:rsidRPr="00A972FF" w:rsidP="00EC58C4" w14:paraId="289BD070" w14:textId="56127E9E">
      <w:pPr>
        <w:pStyle w:val="FERCparanumber"/>
      </w:pPr>
      <w:r>
        <w:t>N</w:t>
      </w:r>
      <w:r w:rsidRPr="00F906BD" w:rsidR="00F906BD">
        <w:t xml:space="preserve">otice and comment on this delay </w:t>
      </w:r>
      <w:r>
        <w:t xml:space="preserve">in compliance </w:t>
      </w:r>
      <w:r w:rsidRPr="00F906BD" w:rsidR="00F906BD">
        <w:t xml:space="preserve">is unnecessary because the delay is short, the </w:t>
      </w:r>
      <w:r w:rsidR="001350B3">
        <w:t>compliance</w:t>
      </w:r>
      <w:r w:rsidRPr="00F906BD" w:rsidR="001350B3">
        <w:t xml:space="preserve"> </w:t>
      </w:r>
      <w:r w:rsidRPr="00F906BD" w:rsidR="00F906BD">
        <w:t xml:space="preserve">dates remain aligned with the </w:t>
      </w:r>
      <w:r w:rsidR="00742D1D">
        <w:t xml:space="preserve">dates established </w:t>
      </w:r>
      <w:r w:rsidR="00704002">
        <w:t xml:space="preserve">in </w:t>
      </w:r>
      <w:r w:rsidR="00F906BD">
        <w:t>Order No. 860</w:t>
      </w:r>
      <w:r w:rsidR="001350B3">
        <w:t xml:space="preserve"> (as shown in the Appendix)</w:t>
      </w:r>
      <w:r w:rsidRPr="00F906BD" w:rsidR="00F906BD">
        <w:t>, and there is no change to the policy effectuated by</w:t>
      </w:r>
      <w:r w:rsidR="00742D1D">
        <w:t xml:space="preserve"> Order No. 860</w:t>
      </w:r>
      <w:r w:rsidRPr="00F906BD" w:rsidR="00F906BD">
        <w:t xml:space="preserve">. </w:t>
      </w:r>
    </w:p>
    <w:p w:rsidR="00AE521E" w:rsidP="009D650C" w14:paraId="297A3B93" w14:textId="21715F7B">
      <w:pPr>
        <w:pStyle w:val="Heading1"/>
      </w:pPr>
      <w:r>
        <w:t>Information Collection Statement</w:t>
      </w:r>
    </w:p>
    <w:p w:rsidR="00AE521E" w:rsidRPr="00520086" w:rsidP="00102287" w14:paraId="1568A90F" w14:textId="340B016C">
      <w:pPr>
        <w:pStyle w:val="FERCparanumber"/>
      </w:pPr>
      <w:r>
        <w:t xml:space="preserve">This final rule delays compliance to Order No. 860 but does not change any reporting or recordkeeping requirements.  Therefore, there is no change in estimated burden or cost from Order No. 860.  </w:t>
      </w:r>
    </w:p>
    <w:p w:rsidR="009D650C" w:rsidRPr="00395600" w:rsidP="009D650C" w14:paraId="7C981AFF" w14:textId="0BFA2CE8">
      <w:pPr>
        <w:pStyle w:val="Heading1"/>
      </w:pPr>
      <w:r w:rsidRPr="00395600">
        <w:t>Environmental Analysis</w:t>
      </w:r>
    </w:p>
    <w:p w:rsidR="009D650C" w:rsidRPr="00395600" w:rsidP="00454A58" w14:paraId="72509F52" w14:textId="260840F5">
      <w:pPr>
        <w:pStyle w:val="FERCparanumber"/>
      </w:pPr>
      <w:r w:rsidRPr="00395600">
        <w:t xml:space="preserve">The Commission is required to prepare an Environmental Assessment or an Environmental Impact Statement for any action that may have a significant adverse effect </w:t>
      </w:r>
      <w:r w:rsidRPr="00395600">
        <w:t>on the human environment.</w:t>
      </w:r>
      <w:r>
        <w:rPr>
          <w:rStyle w:val="FootnoteReference"/>
        </w:rPr>
        <w:footnoteReference w:id="8"/>
      </w:r>
      <w:r w:rsidR="00E956D1">
        <w:t xml:space="preserve">  </w:t>
      </w:r>
      <w:r w:rsidRPr="00E956D1" w:rsidR="00E956D1">
        <w:t>The Commission has categorically excluded certain actions from these requirements as not having a significant effect on the human environment.</w:t>
      </w:r>
      <w:r>
        <w:rPr>
          <w:b/>
          <w:vertAlign w:val="superscript"/>
        </w:rPr>
        <w:footnoteReference w:id="9"/>
      </w:r>
      <w:r w:rsidRPr="00E956D1" w:rsidR="00E956D1">
        <w:t xml:space="preserve">  The actions proposed here fall within a categorical exclusion in the Commission’s regulations, i.e., they involve information gathering, analysis, and dissemination.</w:t>
      </w:r>
      <w:r>
        <w:rPr>
          <w:b/>
          <w:vertAlign w:val="superscript"/>
        </w:rPr>
        <w:footnoteReference w:id="10"/>
      </w:r>
      <w:r w:rsidRPr="00E956D1" w:rsidR="00E956D1">
        <w:t xml:space="preserve">  Therefore, environmental analysis is unnecessary and has not been performed.</w:t>
      </w:r>
    </w:p>
    <w:p w:rsidR="0091760B" w:rsidP="009D650C" w14:paraId="096DA7C1" w14:textId="5604C29E">
      <w:pPr>
        <w:pStyle w:val="Heading1"/>
      </w:pPr>
      <w:r>
        <w:t>Regulatory Flexibility Act</w:t>
      </w:r>
    </w:p>
    <w:p w:rsidR="0091760B" w:rsidRPr="00520086" w:rsidP="00102287" w14:paraId="0FAAFB8C" w14:textId="585B117F">
      <w:pPr>
        <w:pStyle w:val="FERCparanumber"/>
      </w:pPr>
      <w:r>
        <w:t xml:space="preserve">This </w:t>
      </w:r>
      <w:r>
        <w:t xml:space="preserve">final rule delays compliance to Order No. 860 but does not change any reporting or record keeping requirements.  Therefore, there is no change in </w:t>
      </w:r>
      <w:r w:rsidR="000B0993">
        <w:t xml:space="preserve">the </w:t>
      </w:r>
      <w:r>
        <w:t xml:space="preserve">estimated </w:t>
      </w:r>
      <w:r w:rsidR="000B0993">
        <w:t>impact on small entities</w:t>
      </w:r>
      <w:r>
        <w:t xml:space="preserve">.  </w:t>
      </w:r>
      <w:r w:rsidR="00CC012E">
        <w:t xml:space="preserve">Accordingly, we certify that </w:t>
      </w:r>
      <w:r w:rsidR="002A1271">
        <w:t xml:space="preserve">this </w:t>
      </w:r>
      <w:r w:rsidR="00CC012E">
        <w:t xml:space="preserve">final rule will not have a significant economic impact on a substantial number of </w:t>
      </w:r>
      <w:r w:rsidRPr="001350B3" w:rsidR="00CC012E">
        <w:t>small entities</w:t>
      </w:r>
      <w:r w:rsidR="00CC012E">
        <w:t>.</w:t>
      </w:r>
    </w:p>
    <w:p w:rsidR="009D650C" w:rsidRPr="00395600" w:rsidP="009D650C" w14:paraId="300495EC" w14:textId="77777777">
      <w:pPr>
        <w:pStyle w:val="Heading1"/>
      </w:pPr>
      <w:r w:rsidRPr="00395600">
        <w:t xml:space="preserve">Document </w:t>
      </w:r>
      <w:r w:rsidRPr="00550FF9">
        <w:t>Availability</w:t>
      </w:r>
    </w:p>
    <w:p w:rsidR="009D650C" w:rsidRPr="00395600" w:rsidP="00454A58" w14:paraId="3AF83941" w14:textId="2C97D23E">
      <w:pPr>
        <w:pStyle w:val="FERCparanumber"/>
      </w:pPr>
      <w:r w:rsidRPr="00395600">
        <w:t>In addition to publishing the full text of this document in the Federal Register, the Commission provides all interested persons an opportunity to view and/or print the contents of this document via the Internet through FERC's Home Page (</w:t>
      </w:r>
      <w:hyperlink r:id="rId19" w:history="1">
        <w:r w:rsidRPr="009D5CEE" w:rsidR="009D5CEE">
          <w:rPr>
            <w:rStyle w:val="Hyperlink"/>
          </w:rPr>
          <w:t>http://www.ferc.gov</w:t>
        </w:r>
      </w:hyperlink>
      <w:r w:rsidRPr="00D95F80" w:rsidR="009D5CEE">
        <w:t>)</w:t>
      </w:r>
      <w:r w:rsidR="009D5CEE">
        <w:t xml:space="preserve">.  </w:t>
      </w:r>
      <w:r w:rsidRPr="009D5CEE" w:rsidR="009D5CEE">
        <w:t xml:space="preserve">At this time, the Commission has suspended access to the Commission’s Public Reference Room due to the President’s March 13, </w:t>
      </w:r>
      <w:r w:rsidRPr="009D5CEE" w:rsidR="009D5CEE">
        <w:t>2020</w:t>
      </w:r>
      <w:r w:rsidRPr="009D5CEE" w:rsidR="009D5CEE">
        <w:t xml:space="preserve"> </w:t>
      </w:r>
      <w:r w:rsidRPr="009D5CEE" w:rsidR="009D5CEE">
        <w:t>proclamation declaring a National Emergency concerning the Novel Coronavirus Disease (COVID-19).</w:t>
      </w:r>
      <w:r w:rsidRPr="00395600">
        <w:t xml:space="preserve"> </w:t>
      </w:r>
    </w:p>
    <w:p w:rsidR="009D650C" w:rsidRPr="00395600" w:rsidP="00454A58" w14:paraId="5FB94721" w14:textId="02FDDC41">
      <w:pPr>
        <w:pStyle w:val="FERCparanumber"/>
      </w:pPr>
      <w:r w:rsidRPr="00395600">
        <w:t xml:space="preserve">From </w:t>
      </w:r>
      <w:r w:rsidR="002049B1">
        <w:t>the Commission’s</w:t>
      </w:r>
      <w:r w:rsidRPr="00395600">
        <w:t xml:space="preserve"> Home Page on the Internet, this information is available on </w:t>
      </w:r>
      <w:r w:rsidRPr="00395600">
        <w:t>eLibrary</w:t>
      </w:r>
      <w:r w:rsidRPr="00395600">
        <w:t xml:space="preserve">.  The full text of this document is available on </w:t>
      </w:r>
      <w:r w:rsidRPr="00395600">
        <w:t>eLibrary</w:t>
      </w:r>
      <w:r w:rsidRPr="00395600">
        <w:t xml:space="preserve"> in PDF and Microsoft Word format for viewing, printing, and/or downloading. </w:t>
      </w:r>
      <w:r w:rsidR="002049B1">
        <w:t xml:space="preserve"> </w:t>
      </w:r>
      <w:r w:rsidRPr="00395600">
        <w:t xml:space="preserve">To access this document in </w:t>
      </w:r>
      <w:r w:rsidRPr="00395600">
        <w:t>eLibrary</w:t>
      </w:r>
      <w:r w:rsidRPr="00395600">
        <w:t>, type the docket number excluding the last three digits of this document in the docket number field.</w:t>
      </w:r>
    </w:p>
    <w:p w:rsidR="009D650C" w:rsidRPr="00395600" w:rsidP="00454A58" w14:paraId="61EAB8FE" w14:textId="3B18ED1D">
      <w:pPr>
        <w:pStyle w:val="FERCparanumber"/>
      </w:pPr>
      <w:r w:rsidRPr="00395600">
        <w:t xml:space="preserve">User assistance is available for </w:t>
      </w:r>
      <w:r w:rsidRPr="00395600">
        <w:t>eLibrary</w:t>
      </w:r>
      <w:r w:rsidRPr="00395600">
        <w:t xml:space="preserve"> and the FERC’s website during normal business hours from FERC Online Support at </w:t>
      </w:r>
      <w:r w:rsidR="000A0360">
        <w:t>(</w:t>
      </w:r>
      <w:r w:rsidRPr="00395600">
        <w:t>202</w:t>
      </w:r>
      <w:r w:rsidR="000A0360">
        <w:t xml:space="preserve">) </w:t>
      </w:r>
      <w:r w:rsidRPr="00395600">
        <w:t xml:space="preserve">502-6652 (toll free at 1-866-208-3676) or email at </w:t>
      </w:r>
      <w:hyperlink r:id="rId20" w:history="1">
        <w:r w:rsidRPr="00395600">
          <w:rPr>
            <w:rStyle w:val="Hyperlink"/>
          </w:rPr>
          <w:t>ferconlinesupport@ferc.gov</w:t>
        </w:r>
      </w:hyperlink>
      <w:r w:rsidRPr="00395600">
        <w:t xml:space="preserve">, or the Public Reference Room at (202) 502-8371, TTY (202)502-8659.  E-mail the Public Reference Room at </w:t>
      </w:r>
      <w:hyperlink r:id="rId21" w:history="1">
        <w:r w:rsidRPr="00395600">
          <w:rPr>
            <w:rStyle w:val="Hyperlink"/>
          </w:rPr>
          <w:t>public.referenceroom@ferc.gov</w:t>
        </w:r>
      </w:hyperlink>
      <w:r w:rsidRPr="00395600">
        <w:t>.</w:t>
      </w:r>
    </w:p>
    <w:p w:rsidR="009D650C" w:rsidP="009D5CEE" w14:paraId="62D4C1AD" w14:textId="03D2674D">
      <w:r w:rsidRPr="00395600">
        <w:t xml:space="preserve">By </w:t>
      </w:r>
      <w:r w:rsidR="00E956D1">
        <w:t xml:space="preserve">the </w:t>
      </w:r>
      <w:r w:rsidRPr="00395600">
        <w:t>Commission.</w:t>
      </w:r>
    </w:p>
    <w:p w:rsidR="00853C3E" w:rsidP="009D5CEE" w14:paraId="4EE5D380" w14:textId="61EFAA8B"/>
    <w:p w:rsidR="009D650C" w:rsidP="00853C3E" w14:paraId="678801CF" w14:textId="6656FC2B">
      <w:pPr>
        <w:widowControl/>
      </w:pPr>
      <w:r w:rsidRPr="00853C3E">
        <w:t>( S</w:t>
      </w:r>
      <w:r w:rsidRPr="00853C3E">
        <w:t xml:space="preserve"> E A L )</w:t>
      </w:r>
    </w:p>
    <w:p w:rsidR="00853C3E" w:rsidP="00853C3E" w14:paraId="3214DE81" w14:textId="65A8CF61">
      <w:pPr>
        <w:widowControl/>
      </w:pPr>
    </w:p>
    <w:p w:rsidR="00853C3E" w:rsidP="00853C3E" w14:paraId="1828B83F" w14:textId="6D3113F6">
      <w:pPr>
        <w:widowControl/>
      </w:pPr>
    </w:p>
    <w:p w:rsidR="00853C3E" w:rsidP="00853C3E" w14:paraId="0ED7C4B9" w14:textId="06A2A688">
      <w:pPr>
        <w:widowControl/>
      </w:pPr>
    </w:p>
    <w:p w:rsidR="00853C3E" w:rsidRPr="00853C3E" w:rsidP="00853C3E" w14:paraId="28DB6129" w14:textId="66F2EDAE">
      <w:pPr>
        <w:widowControl/>
        <w:ind w:firstLine="2174"/>
        <w:jc w:val="center"/>
      </w:pPr>
      <w:r w:rsidRPr="00853C3E">
        <w:t>Kimberly D. Bose,</w:t>
      </w:r>
    </w:p>
    <w:p w:rsidR="00853C3E" w:rsidRPr="00853C3E" w:rsidP="00853C3E" w14:paraId="2A6086D6" w14:textId="10950933">
      <w:pPr>
        <w:widowControl/>
        <w:ind w:firstLine="2174"/>
        <w:jc w:val="center"/>
      </w:pPr>
      <w:r w:rsidRPr="00853C3E">
        <w:t>Secretary.</w:t>
      </w:r>
    </w:p>
    <w:p w:rsidR="00853C3E" w:rsidRPr="00395600" w:rsidP="00853C3E" w14:paraId="2505B4B9" w14:textId="77777777">
      <w:pPr>
        <w:widowControl/>
      </w:pPr>
    </w:p>
    <w:p w:rsidR="009D650C" w:rsidRPr="00395600" w:rsidP="009D5CEE" w14:paraId="67BA5942" w14:textId="77777777"/>
    <w:p w:rsidR="000D41C2" w:rsidP="009D5CEE" w14:paraId="72FF2ADD" w14:textId="6E55FA87">
      <w:pPr>
        <w:spacing w:line="480" w:lineRule="auto"/>
      </w:pPr>
      <w:r w:rsidRPr="00395600">
        <w:tab/>
      </w:r>
    </w:p>
    <w:p w:rsidR="000D41C2" w14:paraId="7378F7BD" w14:textId="77777777">
      <w:pPr>
        <w:widowControl/>
        <w:spacing w:after="160" w:line="259" w:lineRule="auto"/>
      </w:pPr>
      <w:r>
        <w:br w:type="page"/>
      </w:r>
    </w:p>
    <w:p w:rsidR="00D43975" w:rsidRPr="00D43975" w:rsidP="00D43975" w14:paraId="0263934D" w14:textId="77777777">
      <w:pPr>
        <w:widowControl/>
        <w:spacing w:after="160" w:line="259" w:lineRule="auto"/>
        <w:jc w:val="center"/>
        <w:rPr>
          <w:rFonts w:eastAsia="Calibri"/>
          <w:b/>
          <w:bCs/>
        </w:rPr>
      </w:pPr>
      <w:r w:rsidRPr="00D43975">
        <w:rPr>
          <w:rFonts w:eastAsia="Calibri"/>
          <w:b/>
          <w:bCs/>
        </w:rPr>
        <w:t>Appendix</w:t>
      </w:r>
    </w:p>
    <w:tbl>
      <w:tblPr>
        <w:tblStyle w:val="GridTable2-Accent11"/>
        <w:tblW w:w="5000" w:type="pct"/>
        <w:tblLook w:val="04A0"/>
      </w:tblPr>
      <w:tblGrid>
        <w:gridCol w:w="3330"/>
        <w:gridCol w:w="3061"/>
        <w:gridCol w:w="2969"/>
      </w:tblGrid>
      <w:tr w14:paraId="2D35F939" w14:textId="77777777" w:rsidTr="00D72E99">
        <w:tblPrEx>
          <w:tblW w:w="5000" w:type="pct"/>
          <w:tblLook w:val="04A0"/>
        </w:tblPrEx>
        <w:tc>
          <w:tcPr>
            <w:tcW w:w="1779" w:type="pct"/>
            <w:vAlign w:val="center"/>
          </w:tcPr>
          <w:p w:rsidR="00D43975" w:rsidRPr="00D72E99" w:rsidP="00D72E99" w14:paraId="4116A127" w14:textId="77777777">
            <w:pPr>
              <w:widowControl/>
              <w:jc w:val="center"/>
              <w:rPr>
                <w:sz w:val="24"/>
                <w:szCs w:val="20"/>
              </w:rPr>
            </w:pPr>
            <w:r w:rsidRPr="00D72E99">
              <w:rPr>
                <w:sz w:val="24"/>
                <w:szCs w:val="20"/>
              </w:rPr>
              <w:t>Activity</w:t>
            </w:r>
          </w:p>
        </w:tc>
        <w:tc>
          <w:tcPr>
            <w:tcW w:w="1635" w:type="pct"/>
            <w:vAlign w:val="center"/>
            <w:hideMark/>
          </w:tcPr>
          <w:p w:rsidR="00D43975" w:rsidRPr="00D72E99" w:rsidP="00D72E99" w14:paraId="1C312725" w14:textId="77777777">
            <w:pPr>
              <w:widowControl/>
              <w:jc w:val="center"/>
              <w:rPr>
                <w:sz w:val="24"/>
                <w:szCs w:val="20"/>
              </w:rPr>
            </w:pPr>
            <w:r w:rsidRPr="00D72E99">
              <w:rPr>
                <w:sz w:val="24"/>
                <w:szCs w:val="20"/>
              </w:rPr>
              <w:t>Current Order No. 860 Schedule</w:t>
            </w:r>
          </w:p>
        </w:tc>
        <w:tc>
          <w:tcPr>
            <w:tcW w:w="1586" w:type="pct"/>
            <w:vAlign w:val="center"/>
          </w:tcPr>
          <w:p w:rsidR="00D43975" w:rsidRPr="00D72E99" w:rsidP="00D72E99" w14:paraId="24B775FC" w14:textId="7AC10440">
            <w:pPr>
              <w:widowControl/>
              <w:jc w:val="center"/>
              <w:rPr>
                <w:sz w:val="24"/>
                <w:szCs w:val="20"/>
              </w:rPr>
            </w:pPr>
            <w:r w:rsidRPr="00D72E99">
              <w:rPr>
                <w:sz w:val="24"/>
                <w:szCs w:val="20"/>
              </w:rPr>
              <w:t xml:space="preserve">Revised, Three-month </w:t>
            </w:r>
            <w:r w:rsidRPr="00D72E99" w:rsidR="00BA57EC">
              <w:rPr>
                <w:sz w:val="24"/>
                <w:szCs w:val="20"/>
              </w:rPr>
              <w:t xml:space="preserve">Delay of Compliance </w:t>
            </w:r>
            <w:r w:rsidRPr="00D72E99">
              <w:rPr>
                <w:sz w:val="24"/>
                <w:szCs w:val="20"/>
              </w:rPr>
              <w:t>Schedule</w:t>
            </w:r>
          </w:p>
        </w:tc>
      </w:tr>
      <w:tr w14:paraId="3DFBAB80" w14:textId="77777777" w:rsidTr="00D72E99">
        <w:tblPrEx>
          <w:tblW w:w="5000" w:type="pct"/>
          <w:tblLook w:val="04A0"/>
        </w:tblPrEx>
        <w:tc>
          <w:tcPr>
            <w:tcW w:w="1779" w:type="pct"/>
          </w:tcPr>
          <w:p w:rsidR="00D43975" w:rsidRPr="00D72E99" w:rsidP="00D43975" w14:paraId="0AA6CDC9" w14:textId="77777777">
            <w:pPr>
              <w:widowControl/>
              <w:rPr>
                <w:sz w:val="24"/>
                <w:szCs w:val="24"/>
              </w:rPr>
            </w:pPr>
            <w:r w:rsidRPr="00D72E99">
              <w:rPr>
                <w:sz w:val="24"/>
                <w:szCs w:val="24"/>
              </w:rPr>
              <w:t>Testing period for the MBR Database</w:t>
            </w:r>
          </w:p>
        </w:tc>
        <w:tc>
          <w:tcPr>
            <w:tcW w:w="1635" w:type="pct"/>
            <w:vAlign w:val="center"/>
            <w:hideMark/>
          </w:tcPr>
          <w:p w:rsidR="00D43975" w:rsidRPr="00D72E99" w:rsidP="00D72E99" w14:paraId="3C3155D6" w14:textId="4BB1ABDA">
            <w:pPr>
              <w:widowControl/>
              <w:jc w:val="center"/>
              <w:rPr>
                <w:bCs/>
                <w:sz w:val="24"/>
                <w:szCs w:val="24"/>
              </w:rPr>
            </w:pPr>
            <w:r w:rsidRPr="00D72E99">
              <w:rPr>
                <w:sz w:val="24"/>
                <w:szCs w:val="24"/>
              </w:rPr>
              <w:t>Through Mar. 31, 2021</w:t>
            </w:r>
          </w:p>
        </w:tc>
        <w:tc>
          <w:tcPr>
            <w:tcW w:w="1586" w:type="pct"/>
            <w:vAlign w:val="center"/>
          </w:tcPr>
          <w:p w:rsidR="00D43975" w:rsidRPr="00D72E99" w:rsidP="00D72E99" w14:paraId="4BB6C6F6" w14:textId="6A9B045F">
            <w:pPr>
              <w:widowControl/>
              <w:jc w:val="center"/>
              <w:rPr>
                <w:sz w:val="24"/>
                <w:szCs w:val="24"/>
              </w:rPr>
            </w:pPr>
            <w:r w:rsidRPr="00D72E99">
              <w:rPr>
                <w:sz w:val="24"/>
                <w:szCs w:val="24"/>
              </w:rPr>
              <w:t>Through Jun. 30, 2021</w:t>
            </w:r>
          </w:p>
        </w:tc>
      </w:tr>
      <w:tr w14:paraId="60280CD5" w14:textId="77777777" w:rsidTr="00D72E99">
        <w:tblPrEx>
          <w:tblW w:w="5000" w:type="pct"/>
          <w:tblLook w:val="04A0"/>
        </w:tblPrEx>
        <w:tc>
          <w:tcPr>
            <w:tcW w:w="0" w:type="pct"/>
          </w:tcPr>
          <w:p w:rsidR="00D43975" w:rsidRPr="00D72E99" w:rsidP="00D43975" w14:paraId="7AEF290F" w14:textId="77777777">
            <w:pPr>
              <w:widowControl/>
              <w:rPr>
                <w:sz w:val="24"/>
                <w:szCs w:val="24"/>
              </w:rPr>
            </w:pPr>
            <w:r w:rsidRPr="00D72E99">
              <w:rPr>
                <w:sz w:val="24"/>
                <w:szCs w:val="24"/>
              </w:rPr>
              <w:t>Effective date of Order No. 860</w:t>
            </w:r>
          </w:p>
        </w:tc>
        <w:tc>
          <w:tcPr>
            <w:tcW w:w="0" w:type="pct"/>
            <w:vAlign w:val="center"/>
            <w:hideMark/>
          </w:tcPr>
          <w:p w:rsidR="00D43975" w:rsidRPr="00D72E99" w:rsidP="00D72E99" w14:paraId="4407234E" w14:textId="1DBF4F43">
            <w:pPr>
              <w:widowControl/>
              <w:jc w:val="center"/>
              <w:rPr>
                <w:bCs/>
                <w:sz w:val="24"/>
                <w:szCs w:val="24"/>
              </w:rPr>
            </w:pPr>
            <w:r w:rsidRPr="00D72E99">
              <w:rPr>
                <w:sz w:val="24"/>
                <w:szCs w:val="24"/>
              </w:rPr>
              <w:t>Apr. 1, 2021</w:t>
            </w:r>
          </w:p>
        </w:tc>
        <w:tc>
          <w:tcPr>
            <w:tcW w:w="0" w:type="pct"/>
            <w:vAlign w:val="center"/>
          </w:tcPr>
          <w:p w:rsidR="00D43975" w:rsidRPr="00D72E99" w:rsidP="00D72E99" w14:paraId="60E22EBE" w14:textId="4F50838C">
            <w:pPr>
              <w:widowControl/>
              <w:jc w:val="center"/>
              <w:rPr>
                <w:sz w:val="24"/>
                <w:szCs w:val="24"/>
              </w:rPr>
            </w:pPr>
            <w:r w:rsidRPr="00D72E99">
              <w:rPr>
                <w:sz w:val="24"/>
                <w:szCs w:val="24"/>
              </w:rPr>
              <w:t>Jul. 1, 2021</w:t>
            </w:r>
          </w:p>
        </w:tc>
      </w:tr>
      <w:tr w14:paraId="5E06CC6C" w14:textId="77777777" w:rsidTr="00D72E99">
        <w:tblPrEx>
          <w:tblW w:w="5000" w:type="pct"/>
          <w:tblLook w:val="04A0"/>
        </w:tblPrEx>
        <w:tc>
          <w:tcPr>
            <w:tcW w:w="0" w:type="pct"/>
          </w:tcPr>
          <w:p w:rsidR="00D43975" w:rsidRPr="00D72E99" w:rsidP="00D43975" w14:paraId="7B813119" w14:textId="77777777">
            <w:pPr>
              <w:widowControl/>
              <w:rPr>
                <w:sz w:val="24"/>
                <w:szCs w:val="24"/>
              </w:rPr>
            </w:pPr>
            <w:r w:rsidRPr="00D72E99">
              <w:rPr>
                <w:sz w:val="24"/>
                <w:szCs w:val="24"/>
              </w:rPr>
              <w:t>“Go-live” date of MBR Database</w:t>
            </w:r>
          </w:p>
        </w:tc>
        <w:tc>
          <w:tcPr>
            <w:tcW w:w="0" w:type="pct"/>
            <w:vAlign w:val="center"/>
          </w:tcPr>
          <w:p w:rsidR="00D43975" w:rsidRPr="00D72E99" w:rsidP="00D72E99" w14:paraId="2645979A" w14:textId="70F9D6A2">
            <w:pPr>
              <w:widowControl/>
              <w:jc w:val="center"/>
              <w:rPr>
                <w:bCs/>
                <w:sz w:val="24"/>
                <w:szCs w:val="24"/>
              </w:rPr>
            </w:pPr>
            <w:r w:rsidRPr="00D72E99">
              <w:rPr>
                <w:sz w:val="24"/>
                <w:szCs w:val="24"/>
              </w:rPr>
              <w:t>Apr. 1, 2021</w:t>
            </w:r>
          </w:p>
        </w:tc>
        <w:tc>
          <w:tcPr>
            <w:tcW w:w="0" w:type="pct"/>
            <w:vAlign w:val="center"/>
          </w:tcPr>
          <w:p w:rsidR="00D43975" w:rsidRPr="00D72E99" w:rsidP="00D72E99" w14:paraId="56D5AAD0" w14:textId="3BAC0A60">
            <w:pPr>
              <w:widowControl/>
              <w:jc w:val="center"/>
              <w:rPr>
                <w:sz w:val="24"/>
                <w:szCs w:val="24"/>
              </w:rPr>
            </w:pPr>
            <w:r w:rsidRPr="00D72E99">
              <w:rPr>
                <w:sz w:val="24"/>
                <w:szCs w:val="24"/>
              </w:rPr>
              <w:t>Jul. 1, 2021</w:t>
            </w:r>
          </w:p>
        </w:tc>
      </w:tr>
      <w:tr w14:paraId="228FE883" w14:textId="77777777" w:rsidTr="00D72E99">
        <w:tblPrEx>
          <w:tblW w:w="5000" w:type="pct"/>
          <w:tblLook w:val="04A0"/>
        </w:tblPrEx>
        <w:tc>
          <w:tcPr>
            <w:tcW w:w="0" w:type="pct"/>
          </w:tcPr>
          <w:p w:rsidR="00D43975" w:rsidRPr="00D72E99" w:rsidP="00D43975" w14:paraId="45DD236D" w14:textId="77777777">
            <w:pPr>
              <w:widowControl/>
              <w:rPr>
                <w:sz w:val="24"/>
                <w:szCs w:val="24"/>
              </w:rPr>
            </w:pPr>
            <w:r w:rsidRPr="00D72E99">
              <w:rPr>
                <w:sz w:val="24"/>
                <w:szCs w:val="24"/>
              </w:rPr>
              <w:t>Sellers should create needed identifiers (FERC Generated IDs and Asset IDs) in the MBR Portal and prepare their baseline submissions</w:t>
            </w:r>
          </w:p>
        </w:tc>
        <w:tc>
          <w:tcPr>
            <w:tcW w:w="0" w:type="pct"/>
            <w:vAlign w:val="center"/>
            <w:hideMark/>
          </w:tcPr>
          <w:p w:rsidR="00D43975" w:rsidRPr="00D72E99" w:rsidP="00D72E99" w14:paraId="4FA4DE6B" w14:textId="63C16CBB">
            <w:pPr>
              <w:widowControl/>
              <w:jc w:val="center"/>
              <w:rPr>
                <w:bCs/>
                <w:sz w:val="24"/>
                <w:szCs w:val="24"/>
              </w:rPr>
            </w:pPr>
            <w:r w:rsidRPr="00D72E99">
              <w:rPr>
                <w:sz w:val="24"/>
                <w:szCs w:val="24"/>
              </w:rPr>
              <w:t>Apr. 1, 2021 – June 30, 2021</w:t>
            </w:r>
          </w:p>
        </w:tc>
        <w:tc>
          <w:tcPr>
            <w:tcW w:w="0" w:type="pct"/>
            <w:vAlign w:val="center"/>
          </w:tcPr>
          <w:p w:rsidR="00D43975" w:rsidRPr="00D72E99" w:rsidP="00D72E99" w14:paraId="02F59634" w14:textId="3F8EB764">
            <w:pPr>
              <w:widowControl/>
              <w:jc w:val="center"/>
              <w:rPr>
                <w:sz w:val="24"/>
                <w:szCs w:val="24"/>
              </w:rPr>
            </w:pPr>
            <w:r w:rsidRPr="00D72E99">
              <w:rPr>
                <w:sz w:val="24"/>
                <w:szCs w:val="24"/>
              </w:rPr>
              <w:t>Jul. 1, 2021 – Sep. 30, 2021</w:t>
            </w:r>
          </w:p>
        </w:tc>
      </w:tr>
      <w:tr w14:paraId="331D3517" w14:textId="77777777" w:rsidTr="00D72E99">
        <w:tblPrEx>
          <w:tblW w:w="5000" w:type="pct"/>
          <w:tblLook w:val="04A0"/>
        </w:tblPrEx>
        <w:tc>
          <w:tcPr>
            <w:tcW w:w="1779" w:type="pct"/>
          </w:tcPr>
          <w:p w:rsidR="00D43975" w:rsidRPr="00D72E99" w:rsidP="00D43975" w14:paraId="05D7B619" w14:textId="77777777">
            <w:pPr>
              <w:widowControl/>
              <w:rPr>
                <w:sz w:val="24"/>
                <w:szCs w:val="24"/>
              </w:rPr>
            </w:pPr>
            <w:r w:rsidRPr="00D72E99">
              <w:rPr>
                <w:sz w:val="24"/>
                <w:szCs w:val="24"/>
              </w:rPr>
              <w:t>Baseline submissions are due</w:t>
            </w:r>
          </w:p>
        </w:tc>
        <w:tc>
          <w:tcPr>
            <w:tcW w:w="1635" w:type="pct"/>
            <w:vAlign w:val="center"/>
            <w:hideMark/>
          </w:tcPr>
          <w:p w:rsidR="00D43975" w:rsidRPr="00D72E99" w:rsidP="00D72E99" w14:paraId="3F7192A8" w14:textId="611E5F67">
            <w:pPr>
              <w:widowControl/>
              <w:jc w:val="center"/>
              <w:rPr>
                <w:sz w:val="24"/>
                <w:szCs w:val="24"/>
              </w:rPr>
            </w:pPr>
            <w:r w:rsidRPr="00D72E99">
              <w:rPr>
                <w:sz w:val="24"/>
                <w:szCs w:val="24"/>
              </w:rPr>
              <w:t>By Aug. 2, 2021</w:t>
            </w:r>
          </w:p>
        </w:tc>
        <w:tc>
          <w:tcPr>
            <w:tcW w:w="1586" w:type="pct"/>
            <w:vAlign w:val="center"/>
          </w:tcPr>
          <w:p w:rsidR="00D43975" w:rsidRPr="00D72E99" w:rsidP="00D72E99" w14:paraId="03140C01" w14:textId="653ED7B8">
            <w:pPr>
              <w:widowControl/>
              <w:jc w:val="center"/>
              <w:rPr>
                <w:sz w:val="24"/>
                <w:szCs w:val="24"/>
              </w:rPr>
            </w:pPr>
            <w:r w:rsidRPr="00D72E99">
              <w:rPr>
                <w:sz w:val="24"/>
                <w:szCs w:val="24"/>
              </w:rPr>
              <w:t>By Nov. 2, 2021</w:t>
            </w:r>
          </w:p>
        </w:tc>
      </w:tr>
      <w:tr w14:paraId="665F6DF8" w14:textId="77777777" w:rsidTr="00D72E99">
        <w:tblPrEx>
          <w:tblW w:w="5000" w:type="pct"/>
          <w:tblLook w:val="04A0"/>
        </w:tblPrEx>
        <w:tc>
          <w:tcPr>
            <w:tcW w:w="0" w:type="pct"/>
          </w:tcPr>
          <w:p w:rsidR="00D43975" w:rsidRPr="00D72E99" w:rsidP="00D43975" w14:paraId="028A8C14" w14:textId="77777777">
            <w:pPr>
              <w:widowControl/>
              <w:rPr>
                <w:sz w:val="24"/>
                <w:szCs w:val="24"/>
              </w:rPr>
            </w:pPr>
            <w:r w:rsidRPr="00D72E99">
              <w:rPr>
                <w:sz w:val="24"/>
                <w:szCs w:val="24"/>
              </w:rPr>
              <w:t>First change in status filings under new timelines are due</w:t>
            </w:r>
          </w:p>
        </w:tc>
        <w:tc>
          <w:tcPr>
            <w:tcW w:w="0" w:type="pct"/>
            <w:vAlign w:val="center"/>
            <w:hideMark/>
          </w:tcPr>
          <w:p w:rsidR="00D43975" w:rsidRPr="00D72E99" w:rsidP="00D72E99" w14:paraId="182C81C8" w14:textId="36E69DDD">
            <w:pPr>
              <w:widowControl/>
              <w:jc w:val="center"/>
              <w:rPr>
                <w:sz w:val="24"/>
                <w:szCs w:val="24"/>
              </w:rPr>
            </w:pPr>
            <w:r w:rsidRPr="00D72E99">
              <w:rPr>
                <w:sz w:val="24"/>
                <w:szCs w:val="24"/>
              </w:rPr>
              <w:t>By Aug. 31, 2021</w:t>
            </w:r>
          </w:p>
        </w:tc>
        <w:tc>
          <w:tcPr>
            <w:tcW w:w="0" w:type="pct"/>
            <w:vAlign w:val="center"/>
          </w:tcPr>
          <w:p w:rsidR="00D43975" w:rsidRPr="00D72E99" w:rsidP="00D72E99" w14:paraId="7E7B9711" w14:textId="4AFCB7EA">
            <w:pPr>
              <w:widowControl/>
              <w:jc w:val="center"/>
              <w:rPr>
                <w:sz w:val="24"/>
                <w:szCs w:val="24"/>
              </w:rPr>
            </w:pPr>
            <w:r w:rsidRPr="00D72E99">
              <w:rPr>
                <w:sz w:val="24"/>
                <w:szCs w:val="24"/>
              </w:rPr>
              <w:t>By Nov. 30, 2021</w:t>
            </w:r>
          </w:p>
        </w:tc>
      </w:tr>
      <w:tr w14:paraId="160BD44F" w14:textId="77777777" w:rsidTr="00D72E99">
        <w:tblPrEx>
          <w:tblW w:w="5000" w:type="pct"/>
          <w:tblLook w:val="04A0"/>
        </w:tblPrEx>
        <w:tc>
          <w:tcPr>
            <w:tcW w:w="0" w:type="pct"/>
          </w:tcPr>
          <w:p w:rsidR="00D43975" w:rsidRPr="00D72E99" w:rsidP="00D43975" w14:paraId="760ABA9A" w14:textId="5C285609">
            <w:pPr>
              <w:widowControl/>
              <w:rPr>
                <w:sz w:val="24"/>
                <w:szCs w:val="24"/>
              </w:rPr>
            </w:pPr>
            <w:r w:rsidRPr="00D72E99">
              <w:rPr>
                <w:sz w:val="24"/>
                <w:szCs w:val="24"/>
              </w:rPr>
              <w:t>Second change in status filings under quarterly reporting requirement are due</w:t>
            </w:r>
          </w:p>
        </w:tc>
        <w:tc>
          <w:tcPr>
            <w:tcW w:w="0" w:type="pct"/>
            <w:vAlign w:val="center"/>
          </w:tcPr>
          <w:p w:rsidR="00D43975" w:rsidRPr="00D72E99" w:rsidP="00D72E99" w14:paraId="14A59B49" w14:textId="25644BF3">
            <w:pPr>
              <w:widowControl/>
              <w:jc w:val="center"/>
              <w:rPr>
                <w:sz w:val="24"/>
                <w:szCs w:val="24"/>
              </w:rPr>
            </w:pPr>
            <w:r w:rsidRPr="00D72E99">
              <w:rPr>
                <w:sz w:val="24"/>
                <w:szCs w:val="24"/>
              </w:rPr>
              <w:t xml:space="preserve">By </w:t>
            </w:r>
            <w:r w:rsidRPr="00C461DC" w:rsidR="00B53083">
              <w:rPr>
                <w:sz w:val="24"/>
                <w:szCs w:val="24"/>
              </w:rPr>
              <w:t>Oct</w:t>
            </w:r>
            <w:r w:rsidRPr="00C461DC">
              <w:rPr>
                <w:sz w:val="24"/>
                <w:szCs w:val="24"/>
              </w:rPr>
              <w:t>. 31, 2021</w:t>
            </w:r>
          </w:p>
        </w:tc>
        <w:tc>
          <w:tcPr>
            <w:tcW w:w="0" w:type="pct"/>
            <w:vAlign w:val="center"/>
          </w:tcPr>
          <w:p w:rsidR="00D43975" w:rsidRPr="00D72E99" w:rsidP="00D72E99" w14:paraId="30430461" w14:textId="1FD5D3F9">
            <w:pPr>
              <w:widowControl/>
              <w:jc w:val="center"/>
              <w:rPr>
                <w:sz w:val="24"/>
                <w:szCs w:val="24"/>
              </w:rPr>
            </w:pPr>
            <w:r w:rsidRPr="00D72E99">
              <w:rPr>
                <w:sz w:val="24"/>
                <w:szCs w:val="24"/>
              </w:rPr>
              <w:t>By Jan. 31, 202</w:t>
            </w:r>
            <w:r w:rsidRPr="00D72E99" w:rsidR="00BA57EC">
              <w:rPr>
                <w:sz w:val="24"/>
                <w:szCs w:val="24"/>
              </w:rPr>
              <w:t>2</w:t>
            </w:r>
          </w:p>
        </w:tc>
      </w:tr>
    </w:tbl>
    <w:p w:rsidR="00D43975" w:rsidRPr="00D43975" w:rsidP="00D43975" w14:paraId="5EDC90B9" w14:textId="77777777">
      <w:pPr>
        <w:widowControl/>
        <w:ind w:firstLine="2606"/>
        <w:jc w:val="center"/>
        <w:rPr>
          <w:rFonts w:eastAsia="Calibri"/>
        </w:rPr>
      </w:pPr>
    </w:p>
    <w:p w:rsidR="009D650C" w:rsidRPr="00454A58" w:rsidP="00D95F80" w14:paraId="3BB939AA" w14:textId="45F6AB10">
      <w:pPr>
        <w:widowControl/>
        <w:ind w:firstLine="2174"/>
        <w:jc w:val="center"/>
      </w:pPr>
      <w:r w:rsidRPr="00D43975">
        <w:rPr>
          <w:rFonts w:eastAsia="Times New Roman"/>
          <w:szCs w:val="26"/>
        </w:rPr>
        <w:tab/>
      </w:r>
    </w:p>
    <w:p w:rsidR="002870A9" w:rsidRPr="00FD3D3B" w:rsidP="00FD3D3B" w14:paraId="4BE611AA" w14:textId="77777777"/>
    <w:sectPr w:rsidSect="009D650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66689" w:rsidP="0048020B" w14:paraId="682B88A7" w14:textId="77777777">
      <w:r>
        <w:separator/>
      </w:r>
    </w:p>
  </w:endnote>
  <w:endnote w:type="continuationSeparator" w:id="1">
    <w:p w:rsidR="00A66689" w:rsidP="0048020B" w14:paraId="7EBDDD9E" w14:textId="77777777">
      <w:r>
        <w:continuationSeparator/>
      </w:r>
    </w:p>
  </w:endnote>
  <w:endnote w:type="continuationNotice" w:id="2">
    <w:p w:rsidR="00A66689" w14:paraId="79609A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689" w14:paraId="4DEA05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689" w14:paraId="2482222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689" w14:paraId="6D9FC85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689" w14:paraId="777F4DD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689" w14:paraId="1BA41D2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689" w14:paraId="04B703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66689" w:rsidP="0048020B" w14:paraId="36FE0BE9" w14:textId="77777777">
      <w:r>
        <w:separator/>
      </w:r>
    </w:p>
  </w:footnote>
  <w:footnote w:type="continuationSeparator" w:id="1">
    <w:p w:rsidR="00A66689" w:rsidP="0048020B" w14:paraId="02BA02A3" w14:textId="77777777">
      <w:r>
        <w:continuationSeparator/>
      </w:r>
    </w:p>
  </w:footnote>
  <w:footnote w:type="continuationNotice" w:id="2">
    <w:p w:rsidR="00A66689" w:rsidRPr="00F8446E" w:rsidP="00F8446E" w14:paraId="70510551" w14:textId="77777777">
      <w:pPr>
        <w:spacing w:line="14" w:lineRule="exact"/>
        <w:rPr>
          <w:sz w:val="2"/>
        </w:rPr>
      </w:pPr>
    </w:p>
  </w:footnote>
  <w:footnote w:id="3">
    <w:p w:rsidR="00A66689" w:rsidP="006917E6" w14:paraId="00460FEE" w14:textId="4514AB1E">
      <w:pPr>
        <w:pStyle w:val="FootnoteText"/>
      </w:pPr>
      <w:r>
        <w:rPr>
          <w:rStyle w:val="FootnoteReference"/>
        </w:rPr>
        <w:footnoteRef/>
      </w:r>
      <w:r>
        <w:t xml:space="preserve"> </w:t>
      </w:r>
      <w:r w:rsidRPr="00102287">
        <w:rPr>
          <w:i/>
          <w:iCs/>
        </w:rPr>
        <w:t>Data Collection for Analytics &amp; Surveillance and Market-Based Rate Purposes</w:t>
      </w:r>
      <w:r w:rsidRPr="00B249F0">
        <w:t xml:space="preserve">, Order No. 860, </w:t>
      </w:r>
      <w:r w:rsidR="000A0360">
        <w:t xml:space="preserve">84 FR 36390 (Jul. 26, 2019) </w:t>
      </w:r>
      <w:r w:rsidRPr="00B249F0">
        <w:t>168 FERC ¶ 61,039 (2019)</w:t>
      </w:r>
      <w:r>
        <w:t xml:space="preserve">, </w:t>
      </w:r>
      <w:r>
        <w:rPr>
          <w:i/>
          <w:iCs/>
        </w:rPr>
        <w:t>order on reh’g</w:t>
      </w:r>
      <w:r>
        <w:t xml:space="preserve">, Order No. 860-A, </w:t>
      </w:r>
      <w:r w:rsidR="000A0360">
        <w:t xml:space="preserve">85 FR 13013 (Mar. 6, 2020) </w:t>
      </w:r>
      <w:r w:rsidRPr="00A66689">
        <w:t xml:space="preserve">170 FERC </w:t>
      </w:r>
      <w:r>
        <w:t>¶</w:t>
      </w:r>
      <w:r w:rsidRPr="00A66689">
        <w:t xml:space="preserve"> 61</w:t>
      </w:r>
      <w:r>
        <w:t>,</w:t>
      </w:r>
      <w:r w:rsidRPr="00A66689">
        <w:t>129</w:t>
      </w:r>
      <w:r>
        <w:t xml:space="preserve"> (2020)</w:t>
      </w:r>
      <w:r w:rsidRPr="00B249F0">
        <w:t>.</w:t>
      </w:r>
    </w:p>
  </w:footnote>
  <w:footnote w:id="4">
    <w:p w:rsidR="00A66689" w:rsidP="006917E6" w14:paraId="1ADDC0C1" w14:textId="402AB35D">
      <w:pPr>
        <w:pStyle w:val="FootnoteText"/>
      </w:pPr>
      <w:r>
        <w:rPr>
          <w:rStyle w:val="FootnoteReference"/>
        </w:rPr>
        <w:footnoteRef/>
      </w:r>
      <w:r>
        <w:t xml:space="preserve"> </w:t>
      </w:r>
      <w:r w:rsidRPr="00B249F0">
        <w:t>A Seller is defined as any person that has authorization to or seeks authorization to engage in sales for resale of electric energy, capacity or ancillary services at market</w:t>
      </w:r>
      <w:r>
        <w:t>-</w:t>
      </w:r>
      <w:r w:rsidRPr="00B249F0">
        <w:t xml:space="preserve">based rates under section 205 of the Federal Power Act (FPA). </w:t>
      </w:r>
      <w:r>
        <w:t xml:space="preserve"> </w:t>
      </w:r>
      <w:r w:rsidRPr="00B249F0">
        <w:t>18 CFR 35.36(a)(1); 16 U.S.C. 824d.</w:t>
      </w:r>
    </w:p>
  </w:footnote>
  <w:footnote w:id="5">
    <w:p w:rsidR="00A66689" w:rsidP="006917E6" w14:paraId="483874CC" w14:textId="668125A9">
      <w:pPr>
        <w:pStyle w:val="FootnoteText"/>
      </w:pPr>
      <w:r>
        <w:rPr>
          <w:rStyle w:val="FootnoteReference"/>
        </w:rPr>
        <w:footnoteRef/>
      </w:r>
      <w:r>
        <w:t xml:space="preserve"> </w:t>
      </w:r>
      <w:r w:rsidRPr="001350B3">
        <w:rPr>
          <w:i/>
          <w:iCs/>
        </w:rPr>
        <w:t>Data Collection for Analytics &amp; Surveillance and Market-Based Rate Purposes</w:t>
      </w:r>
      <w:r w:rsidRPr="00B249F0">
        <w:t xml:space="preserve">, Notice of Proposed Rulemaking, </w:t>
      </w:r>
      <w:r w:rsidR="000A0360">
        <w:t xml:space="preserve">81 </w:t>
      </w:r>
      <w:r w:rsidR="006749B0">
        <w:t>FR</w:t>
      </w:r>
      <w:r w:rsidR="000A0360">
        <w:t xml:space="preserve"> 51726 (Aug. 04, 2016), </w:t>
      </w:r>
      <w:r w:rsidRPr="00B249F0">
        <w:t>156 FERC ¶ 61,045 (2016).</w:t>
      </w:r>
    </w:p>
  </w:footnote>
  <w:footnote w:id="6">
    <w:p w:rsidR="00A66689" w:rsidP="002D53AF" w14:paraId="05D39BDD" w14:textId="54380876">
      <w:pPr>
        <w:pStyle w:val="FootnoteText"/>
      </w:pPr>
      <w:r>
        <w:rPr>
          <w:rStyle w:val="FootnoteReference"/>
        </w:rPr>
        <w:footnoteRef/>
      </w:r>
      <w:r>
        <w:t xml:space="preserve"> On May 20, 2020, the Commission issued a Notice of Extension of Time that extended the effective date of Order No. 860 by six months to April 1, 2021.</w:t>
      </w:r>
    </w:p>
  </w:footnote>
  <w:footnote w:id="7">
    <w:p w:rsidR="00A66689" w:rsidRPr="00220720" w14:paraId="296371A5" w14:textId="2C38DF49">
      <w:pPr>
        <w:pStyle w:val="FootnoteText"/>
      </w:pPr>
      <w:r>
        <w:rPr>
          <w:rStyle w:val="FootnoteReference"/>
        </w:rPr>
        <w:footnoteRef/>
      </w:r>
      <w:r>
        <w:t xml:space="preserve"> </w:t>
      </w:r>
      <w:r w:rsidRPr="00C270CA">
        <w:rPr>
          <w:i/>
          <w:iCs/>
        </w:rPr>
        <w:t>Data Collection for Analytics &amp; Surveillance and Market-Based Rate Purposes</w:t>
      </w:r>
      <w:r>
        <w:t xml:space="preserve">, Notice Seeking </w:t>
      </w:r>
      <w:r w:rsidR="006749B0">
        <w:t>Comments, 174</w:t>
      </w:r>
      <w:r w:rsidR="00853C3E">
        <w:t xml:space="preserve"> FERC ¶ 61,214 </w:t>
      </w:r>
      <w:r>
        <w:t>(2021).</w:t>
      </w:r>
    </w:p>
  </w:footnote>
  <w:footnote w:id="8">
    <w:p w:rsidR="00A66689" w:rsidRPr="00A972FF" w:rsidP="00853C3E" w14:paraId="32647488" w14:textId="03D7A227">
      <w:pPr>
        <w:pStyle w:val="FootnoteText"/>
        <w:widowControl/>
      </w:pPr>
      <w:r w:rsidRPr="009D650C">
        <w:rPr>
          <w:rStyle w:val="FootnoteReference"/>
        </w:rPr>
        <w:footnoteRef/>
      </w:r>
      <w:r w:rsidRPr="00A972FF">
        <w:t xml:space="preserve"> </w:t>
      </w:r>
      <w:r w:rsidRPr="00E956D1">
        <w:rPr>
          <w:i/>
          <w:iCs/>
        </w:rPr>
        <w:t>Regulations Implementing the National Environmental Policy Act</w:t>
      </w:r>
      <w:r w:rsidRPr="00A972FF">
        <w:t xml:space="preserve">, </w:t>
      </w:r>
      <w:r>
        <w:t xml:space="preserve">Order No. 486, </w:t>
      </w:r>
      <w:r w:rsidRPr="00A972FF">
        <w:t>52 FR 47897 (Dec. 17, 1987), FERC Stats. &amp; Regs. ¶ 30,783 (1987)</w:t>
      </w:r>
      <w:r w:rsidR="000A0360">
        <w:t xml:space="preserve"> (cross-referenced at 41 FERC ¶ 61,284)</w:t>
      </w:r>
      <w:r w:rsidRPr="00A972FF">
        <w:t>.</w:t>
      </w:r>
    </w:p>
  </w:footnote>
  <w:footnote w:id="9">
    <w:p w:rsidR="00A66689" w:rsidRPr="0027189E" w:rsidP="00E956D1" w14:paraId="25B0BECA" w14:textId="77777777">
      <w:pPr>
        <w:pStyle w:val="FootnoteText"/>
      </w:pPr>
      <w:r>
        <w:rPr>
          <w:rStyle w:val="FootnoteReference"/>
        </w:rPr>
        <w:footnoteRef/>
      </w:r>
      <w:r>
        <w:t xml:space="preserve"> </w:t>
      </w:r>
      <w:r>
        <w:rPr>
          <w:i/>
          <w:iCs/>
        </w:rPr>
        <w:t>Id.</w:t>
      </w:r>
    </w:p>
  </w:footnote>
  <w:footnote w:id="10">
    <w:p w:rsidR="00A66689" w:rsidP="00E956D1" w14:paraId="0893FF50" w14:textId="77777777">
      <w:pPr>
        <w:pStyle w:val="FootnoteText"/>
      </w:pPr>
      <w:r>
        <w:rPr>
          <w:rStyle w:val="FootnoteReference"/>
        </w:rPr>
        <w:footnoteRef/>
      </w:r>
      <w:r>
        <w:t xml:space="preserve"> 18 CFR 380.4.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689" w:rsidP="009D5CEE" w14:paraId="1FA5F8E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6689" w:rsidP="009D5CEE" w14:paraId="3D4A3C2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689" w:rsidP="009D650C" w14:paraId="524A0837" w14:textId="77777777">
    <w:pPr>
      <w:pStyle w:val="Header"/>
      <w:tabs>
        <w:tab w:val="clear" w:pos="4680"/>
      </w:tabs>
      <w:spacing w:after="240"/>
    </w:pPr>
    <w:r>
      <w:t xml:space="preserve">Docket No. RM16-17-000 </w:t>
    </w:r>
    <w:r>
      <w:tab/>
    </w:r>
    <w:r>
      <w:fldChar w:fldCharType="begin"/>
    </w:r>
    <w:r>
      <w:instrText xml:space="preserve"> PAGE  \* MERGEFORMAT </w:instrText>
    </w:r>
    <w:r>
      <w:fldChar w:fldCharType="separate"/>
    </w:r>
    <w:r>
      <w:rPr>
        <w:noProof/>
      </w:rPr>
      <w:t>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689" w14:paraId="272A4DF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689" w:rsidP="00407EE0" w14:paraId="3D4C2D8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A66689" w:rsidP="00407EE0" w14:paraId="2E7BE70B"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689" w:rsidP="009D650C" w14:paraId="653E8685" w14:textId="77777777">
    <w:pPr>
      <w:pStyle w:val="Header"/>
      <w:tabs>
        <w:tab w:val="clear" w:pos="4680"/>
      </w:tabs>
      <w:spacing w:after="240"/>
    </w:pPr>
    <w:r>
      <w:t xml:space="preserve">Docket No. RM16-17-000 </w:t>
    </w:r>
    <w:r>
      <w:tab/>
    </w:r>
    <w:r>
      <w:fldChar w:fldCharType="begin"/>
    </w:r>
    <w:r>
      <w:instrText xml:space="preserve"> PAGE  \* MERGEFORMAT </w:instrText>
    </w:r>
    <w:r>
      <w:fldChar w:fldCharType="separate"/>
    </w:r>
    <w:r>
      <w:rPr>
        <w:noProof/>
      </w:rPr>
      <w:t>- 2 -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689" w:rsidP="00EC3F55" w14:paraId="3101788A"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5B6502FF"/>
    <w:multiLevelType w:val="multilevel"/>
    <w:tmpl w:val="E3469F0E"/>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6">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8">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3"/>
  </w:num>
  <w:num w:numId="14">
    <w:abstractNumId w:val="17"/>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0C"/>
    <w:rsid w:val="00003340"/>
    <w:rsid w:val="0000731D"/>
    <w:rsid w:val="00010FA6"/>
    <w:rsid w:val="000118C8"/>
    <w:rsid w:val="000143AA"/>
    <w:rsid w:val="0002042F"/>
    <w:rsid w:val="00022A33"/>
    <w:rsid w:val="0002355F"/>
    <w:rsid w:val="0002585A"/>
    <w:rsid w:val="00026815"/>
    <w:rsid w:val="000428C4"/>
    <w:rsid w:val="0004624A"/>
    <w:rsid w:val="000508AE"/>
    <w:rsid w:val="000550DC"/>
    <w:rsid w:val="00055F5F"/>
    <w:rsid w:val="0006117F"/>
    <w:rsid w:val="00070857"/>
    <w:rsid w:val="0007377C"/>
    <w:rsid w:val="0007636C"/>
    <w:rsid w:val="000771D7"/>
    <w:rsid w:val="0008388B"/>
    <w:rsid w:val="0008478C"/>
    <w:rsid w:val="00084A31"/>
    <w:rsid w:val="00086D98"/>
    <w:rsid w:val="0008778D"/>
    <w:rsid w:val="000879F5"/>
    <w:rsid w:val="00092634"/>
    <w:rsid w:val="00097C05"/>
    <w:rsid w:val="000A0360"/>
    <w:rsid w:val="000A3D2F"/>
    <w:rsid w:val="000A6835"/>
    <w:rsid w:val="000B0993"/>
    <w:rsid w:val="000B4124"/>
    <w:rsid w:val="000B6795"/>
    <w:rsid w:val="000B7E62"/>
    <w:rsid w:val="000C0253"/>
    <w:rsid w:val="000C1FCA"/>
    <w:rsid w:val="000C28B7"/>
    <w:rsid w:val="000C4A0B"/>
    <w:rsid w:val="000C6869"/>
    <w:rsid w:val="000D0EE6"/>
    <w:rsid w:val="000D1D4B"/>
    <w:rsid w:val="000D1FB6"/>
    <w:rsid w:val="000D41C2"/>
    <w:rsid w:val="000D739B"/>
    <w:rsid w:val="000D7DD4"/>
    <w:rsid w:val="000D7E96"/>
    <w:rsid w:val="000E0857"/>
    <w:rsid w:val="000E2BFA"/>
    <w:rsid w:val="000E2D4A"/>
    <w:rsid w:val="000F2DC1"/>
    <w:rsid w:val="000F372C"/>
    <w:rsid w:val="000F3969"/>
    <w:rsid w:val="000F603B"/>
    <w:rsid w:val="000F6403"/>
    <w:rsid w:val="000F6C7F"/>
    <w:rsid w:val="00100E1B"/>
    <w:rsid w:val="00101107"/>
    <w:rsid w:val="00102287"/>
    <w:rsid w:val="00102736"/>
    <w:rsid w:val="0010290F"/>
    <w:rsid w:val="00102A6C"/>
    <w:rsid w:val="00104417"/>
    <w:rsid w:val="00104F76"/>
    <w:rsid w:val="00120603"/>
    <w:rsid w:val="001209EF"/>
    <w:rsid w:val="00124C66"/>
    <w:rsid w:val="0012713F"/>
    <w:rsid w:val="00127478"/>
    <w:rsid w:val="001279B9"/>
    <w:rsid w:val="00130CCE"/>
    <w:rsid w:val="00132D57"/>
    <w:rsid w:val="001350B3"/>
    <w:rsid w:val="001421AA"/>
    <w:rsid w:val="00146A50"/>
    <w:rsid w:val="00146C9C"/>
    <w:rsid w:val="001520D4"/>
    <w:rsid w:val="00154137"/>
    <w:rsid w:val="001549DE"/>
    <w:rsid w:val="00154C7A"/>
    <w:rsid w:val="001601BF"/>
    <w:rsid w:val="00163395"/>
    <w:rsid w:val="0017696A"/>
    <w:rsid w:val="0017701D"/>
    <w:rsid w:val="001770EA"/>
    <w:rsid w:val="0018758C"/>
    <w:rsid w:val="00191617"/>
    <w:rsid w:val="0019292E"/>
    <w:rsid w:val="001960DD"/>
    <w:rsid w:val="001A2AF1"/>
    <w:rsid w:val="001A33D6"/>
    <w:rsid w:val="001A44A1"/>
    <w:rsid w:val="001A563A"/>
    <w:rsid w:val="001A7352"/>
    <w:rsid w:val="001B042B"/>
    <w:rsid w:val="001B1FE9"/>
    <w:rsid w:val="001B2C6D"/>
    <w:rsid w:val="001B2DF9"/>
    <w:rsid w:val="001B362D"/>
    <w:rsid w:val="001B4FB2"/>
    <w:rsid w:val="001C2FBB"/>
    <w:rsid w:val="001C342B"/>
    <w:rsid w:val="001D264B"/>
    <w:rsid w:val="001D3B0D"/>
    <w:rsid w:val="001D7927"/>
    <w:rsid w:val="001E59F9"/>
    <w:rsid w:val="001E7A8F"/>
    <w:rsid w:val="001F2330"/>
    <w:rsid w:val="001F311C"/>
    <w:rsid w:val="001F51A0"/>
    <w:rsid w:val="001F5CC6"/>
    <w:rsid w:val="00202BC3"/>
    <w:rsid w:val="00203911"/>
    <w:rsid w:val="002049B1"/>
    <w:rsid w:val="002072CF"/>
    <w:rsid w:val="00211765"/>
    <w:rsid w:val="002136E7"/>
    <w:rsid w:val="002206DB"/>
    <w:rsid w:val="00220720"/>
    <w:rsid w:val="00220E82"/>
    <w:rsid w:val="00224859"/>
    <w:rsid w:val="00225A12"/>
    <w:rsid w:val="002261B3"/>
    <w:rsid w:val="002318B6"/>
    <w:rsid w:val="00233CEF"/>
    <w:rsid w:val="00233FD0"/>
    <w:rsid w:val="002352B0"/>
    <w:rsid w:val="002354E4"/>
    <w:rsid w:val="00240493"/>
    <w:rsid w:val="00243EC8"/>
    <w:rsid w:val="002464E8"/>
    <w:rsid w:val="00253776"/>
    <w:rsid w:val="00255417"/>
    <w:rsid w:val="00257989"/>
    <w:rsid w:val="00260517"/>
    <w:rsid w:val="00262FED"/>
    <w:rsid w:val="00267328"/>
    <w:rsid w:val="0027189E"/>
    <w:rsid w:val="00274963"/>
    <w:rsid w:val="0027524D"/>
    <w:rsid w:val="002817CE"/>
    <w:rsid w:val="00283AA6"/>
    <w:rsid w:val="0028432C"/>
    <w:rsid w:val="002843FD"/>
    <w:rsid w:val="002857E2"/>
    <w:rsid w:val="002870A9"/>
    <w:rsid w:val="00290ABD"/>
    <w:rsid w:val="002A0B4A"/>
    <w:rsid w:val="002A1271"/>
    <w:rsid w:val="002A17D9"/>
    <w:rsid w:val="002A34C1"/>
    <w:rsid w:val="002A5C43"/>
    <w:rsid w:val="002A729E"/>
    <w:rsid w:val="002A7FB5"/>
    <w:rsid w:val="002B35F2"/>
    <w:rsid w:val="002B6125"/>
    <w:rsid w:val="002C57E5"/>
    <w:rsid w:val="002C7704"/>
    <w:rsid w:val="002D206A"/>
    <w:rsid w:val="002D358E"/>
    <w:rsid w:val="002D53AF"/>
    <w:rsid w:val="002D65B3"/>
    <w:rsid w:val="002D7D6B"/>
    <w:rsid w:val="002E4E8A"/>
    <w:rsid w:val="002F52A9"/>
    <w:rsid w:val="002F7E2F"/>
    <w:rsid w:val="00301D68"/>
    <w:rsid w:val="003031DA"/>
    <w:rsid w:val="00312651"/>
    <w:rsid w:val="00313634"/>
    <w:rsid w:val="00322F05"/>
    <w:rsid w:val="00324F79"/>
    <w:rsid w:val="00327401"/>
    <w:rsid w:val="003346EB"/>
    <w:rsid w:val="00335933"/>
    <w:rsid w:val="00336FC4"/>
    <w:rsid w:val="003370E4"/>
    <w:rsid w:val="003437BD"/>
    <w:rsid w:val="00343D67"/>
    <w:rsid w:val="00344D74"/>
    <w:rsid w:val="003478CF"/>
    <w:rsid w:val="00350E98"/>
    <w:rsid w:val="00350FC8"/>
    <w:rsid w:val="003520AD"/>
    <w:rsid w:val="00356733"/>
    <w:rsid w:val="00360AA1"/>
    <w:rsid w:val="00364E6F"/>
    <w:rsid w:val="0036500A"/>
    <w:rsid w:val="00370533"/>
    <w:rsid w:val="00374532"/>
    <w:rsid w:val="00374868"/>
    <w:rsid w:val="00375DF4"/>
    <w:rsid w:val="00376102"/>
    <w:rsid w:val="00376313"/>
    <w:rsid w:val="00383004"/>
    <w:rsid w:val="003830CE"/>
    <w:rsid w:val="00385E2D"/>
    <w:rsid w:val="0039262E"/>
    <w:rsid w:val="003937F3"/>
    <w:rsid w:val="00395600"/>
    <w:rsid w:val="00396777"/>
    <w:rsid w:val="003A15D6"/>
    <w:rsid w:val="003A5145"/>
    <w:rsid w:val="003B2445"/>
    <w:rsid w:val="003B7E9A"/>
    <w:rsid w:val="003B7F05"/>
    <w:rsid w:val="003C1E81"/>
    <w:rsid w:val="003C3A1E"/>
    <w:rsid w:val="003C505B"/>
    <w:rsid w:val="003C5FB6"/>
    <w:rsid w:val="003C71CF"/>
    <w:rsid w:val="003C789D"/>
    <w:rsid w:val="003D4A56"/>
    <w:rsid w:val="003D5827"/>
    <w:rsid w:val="003D6A11"/>
    <w:rsid w:val="003D7B2C"/>
    <w:rsid w:val="003E1917"/>
    <w:rsid w:val="003E259A"/>
    <w:rsid w:val="003E5211"/>
    <w:rsid w:val="003F31D2"/>
    <w:rsid w:val="003F3716"/>
    <w:rsid w:val="003F3DC0"/>
    <w:rsid w:val="003F4845"/>
    <w:rsid w:val="003F4DBE"/>
    <w:rsid w:val="003F557E"/>
    <w:rsid w:val="003F7CC5"/>
    <w:rsid w:val="00400D68"/>
    <w:rsid w:val="00401A63"/>
    <w:rsid w:val="004022DD"/>
    <w:rsid w:val="004067AD"/>
    <w:rsid w:val="00407EE0"/>
    <w:rsid w:val="00414806"/>
    <w:rsid w:val="00424B78"/>
    <w:rsid w:val="004335E8"/>
    <w:rsid w:val="00436A3E"/>
    <w:rsid w:val="00440D78"/>
    <w:rsid w:val="00441A2A"/>
    <w:rsid w:val="004420F6"/>
    <w:rsid w:val="0044359A"/>
    <w:rsid w:val="00444F65"/>
    <w:rsid w:val="004476C6"/>
    <w:rsid w:val="0045130C"/>
    <w:rsid w:val="00453578"/>
    <w:rsid w:val="00454A58"/>
    <w:rsid w:val="00455214"/>
    <w:rsid w:val="00456D5A"/>
    <w:rsid w:val="0046133D"/>
    <w:rsid w:val="004633D1"/>
    <w:rsid w:val="00463F3B"/>
    <w:rsid w:val="00472C9B"/>
    <w:rsid w:val="00473A5E"/>
    <w:rsid w:val="004746D6"/>
    <w:rsid w:val="004758A9"/>
    <w:rsid w:val="00476273"/>
    <w:rsid w:val="00477399"/>
    <w:rsid w:val="0048020B"/>
    <w:rsid w:val="004864DA"/>
    <w:rsid w:val="004872BC"/>
    <w:rsid w:val="004874A4"/>
    <w:rsid w:val="00491F60"/>
    <w:rsid w:val="00492975"/>
    <w:rsid w:val="00492C7D"/>
    <w:rsid w:val="00494355"/>
    <w:rsid w:val="00494945"/>
    <w:rsid w:val="00495E07"/>
    <w:rsid w:val="00497F70"/>
    <w:rsid w:val="004A03E5"/>
    <w:rsid w:val="004A503D"/>
    <w:rsid w:val="004B141F"/>
    <w:rsid w:val="004B4A8D"/>
    <w:rsid w:val="004C0E28"/>
    <w:rsid w:val="004C190E"/>
    <w:rsid w:val="004C456B"/>
    <w:rsid w:val="004C4D5F"/>
    <w:rsid w:val="004D2475"/>
    <w:rsid w:val="004D35E8"/>
    <w:rsid w:val="004D614C"/>
    <w:rsid w:val="004E1DAE"/>
    <w:rsid w:val="004E25A6"/>
    <w:rsid w:val="004E4E51"/>
    <w:rsid w:val="004E7AB3"/>
    <w:rsid w:val="004F6475"/>
    <w:rsid w:val="0050001C"/>
    <w:rsid w:val="00513E14"/>
    <w:rsid w:val="005154C1"/>
    <w:rsid w:val="005162AB"/>
    <w:rsid w:val="00520086"/>
    <w:rsid w:val="00521122"/>
    <w:rsid w:val="0052351B"/>
    <w:rsid w:val="005269E8"/>
    <w:rsid w:val="005325D7"/>
    <w:rsid w:val="00541146"/>
    <w:rsid w:val="00542814"/>
    <w:rsid w:val="00545CC2"/>
    <w:rsid w:val="00546238"/>
    <w:rsid w:val="00547D3F"/>
    <w:rsid w:val="00550FF9"/>
    <w:rsid w:val="00552271"/>
    <w:rsid w:val="00552A11"/>
    <w:rsid w:val="005577D9"/>
    <w:rsid w:val="00561DA8"/>
    <w:rsid w:val="00562CB2"/>
    <w:rsid w:val="00571D6D"/>
    <w:rsid w:val="00572F46"/>
    <w:rsid w:val="00574A02"/>
    <w:rsid w:val="00575CA5"/>
    <w:rsid w:val="00576A54"/>
    <w:rsid w:val="00577DC6"/>
    <w:rsid w:val="005816F4"/>
    <w:rsid w:val="00581BDF"/>
    <w:rsid w:val="00585174"/>
    <w:rsid w:val="0059038C"/>
    <w:rsid w:val="005921E2"/>
    <w:rsid w:val="00594E87"/>
    <w:rsid w:val="005950E5"/>
    <w:rsid w:val="00597309"/>
    <w:rsid w:val="005A4CD3"/>
    <w:rsid w:val="005A5E82"/>
    <w:rsid w:val="005A6F7C"/>
    <w:rsid w:val="005B132F"/>
    <w:rsid w:val="005B18B2"/>
    <w:rsid w:val="005B40A6"/>
    <w:rsid w:val="005C0180"/>
    <w:rsid w:val="005C01B7"/>
    <w:rsid w:val="005C05D8"/>
    <w:rsid w:val="005D2A79"/>
    <w:rsid w:val="005D3004"/>
    <w:rsid w:val="005D3D39"/>
    <w:rsid w:val="005D787E"/>
    <w:rsid w:val="005D7C39"/>
    <w:rsid w:val="005E13DF"/>
    <w:rsid w:val="005E387D"/>
    <w:rsid w:val="005E3B75"/>
    <w:rsid w:val="005E3D15"/>
    <w:rsid w:val="005E4C65"/>
    <w:rsid w:val="005E50DB"/>
    <w:rsid w:val="005F2946"/>
    <w:rsid w:val="005F34C6"/>
    <w:rsid w:val="005F4318"/>
    <w:rsid w:val="005F4F8E"/>
    <w:rsid w:val="005F54A4"/>
    <w:rsid w:val="005F71D1"/>
    <w:rsid w:val="0060035F"/>
    <w:rsid w:val="00603D23"/>
    <w:rsid w:val="00607205"/>
    <w:rsid w:val="006074E4"/>
    <w:rsid w:val="006112D1"/>
    <w:rsid w:val="006112FA"/>
    <w:rsid w:val="006150DA"/>
    <w:rsid w:val="00615F25"/>
    <w:rsid w:val="006177F8"/>
    <w:rsid w:val="00620205"/>
    <w:rsid w:val="00622D42"/>
    <w:rsid w:val="00622F63"/>
    <w:rsid w:val="00623402"/>
    <w:rsid w:val="00624B34"/>
    <w:rsid w:val="00625B93"/>
    <w:rsid w:val="00633563"/>
    <w:rsid w:val="00636271"/>
    <w:rsid w:val="00643AB1"/>
    <w:rsid w:val="00643C5A"/>
    <w:rsid w:val="006502FA"/>
    <w:rsid w:val="00653D8D"/>
    <w:rsid w:val="00655A79"/>
    <w:rsid w:val="0065695B"/>
    <w:rsid w:val="00660FFC"/>
    <w:rsid w:val="00667B22"/>
    <w:rsid w:val="006710C1"/>
    <w:rsid w:val="0067304E"/>
    <w:rsid w:val="006745E5"/>
    <w:rsid w:val="006749B0"/>
    <w:rsid w:val="00677A0E"/>
    <w:rsid w:val="00681181"/>
    <w:rsid w:val="00682099"/>
    <w:rsid w:val="00682A38"/>
    <w:rsid w:val="00684FAC"/>
    <w:rsid w:val="00685A22"/>
    <w:rsid w:val="00687C9D"/>
    <w:rsid w:val="006917E6"/>
    <w:rsid w:val="00694F3D"/>
    <w:rsid w:val="006A18B6"/>
    <w:rsid w:val="006A1EDC"/>
    <w:rsid w:val="006A5B0F"/>
    <w:rsid w:val="006A5ED6"/>
    <w:rsid w:val="006A5FF3"/>
    <w:rsid w:val="006B20EE"/>
    <w:rsid w:val="006B3D98"/>
    <w:rsid w:val="006B3F5E"/>
    <w:rsid w:val="006B4826"/>
    <w:rsid w:val="006B534A"/>
    <w:rsid w:val="006B5B8D"/>
    <w:rsid w:val="006C1614"/>
    <w:rsid w:val="006C1D8C"/>
    <w:rsid w:val="006C1F11"/>
    <w:rsid w:val="006C51D5"/>
    <w:rsid w:val="006D1E49"/>
    <w:rsid w:val="006D360F"/>
    <w:rsid w:val="006D432E"/>
    <w:rsid w:val="006D5B0E"/>
    <w:rsid w:val="006E079D"/>
    <w:rsid w:val="006E4894"/>
    <w:rsid w:val="006E6044"/>
    <w:rsid w:val="006F0AFA"/>
    <w:rsid w:val="006F1B52"/>
    <w:rsid w:val="006F27A6"/>
    <w:rsid w:val="006F42DE"/>
    <w:rsid w:val="00704002"/>
    <w:rsid w:val="007051CC"/>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2D1D"/>
    <w:rsid w:val="00743A10"/>
    <w:rsid w:val="007465A9"/>
    <w:rsid w:val="00747925"/>
    <w:rsid w:val="00754A0D"/>
    <w:rsid w:val="007552C1"/>
    <w:rsid w:val="007562E2"/>
    <w:rsid w:val="007577C2"/>
    <w:rsid w:val="00762F2B"/>
    <w:rsid w:val="0076328E"/>
    <w:rsid w:val="0076561E"/>
    <w:rsid w:val="007661B0"/>
    <w:rsid w:val="00773353"/>
    <w:rsid w:val="007748DC"/>
    <w:rsid w:val="00780A45"/>
    <w:rsid w:val="00781934"/>
    <w:rsid w:val="00783842"/>
    <w:rsid w:val="007876E3"/>
    <w:rsid w:val="007928AD"/>
    <w:rsid w:val="00794724"/>
    <w:rsid w:val="007A0174"/>
    <w:rsid w:val="007A0BB2"/>
    <w:rsid w:val="007A4C19"/>
    <w:rsid w:val="007A5131"/>
    <w:rsid w:val="007B4019"/>
    <w:rsid w:val="007B66A0"/>
    <w:rsid w:val="007B6E4E"/>
    <w:rsid w:val="007B71E9"/>
    <w:rsid w:val="007C1702"/>
    <w:rsid w:val="007C41D1"/>
    <w:rsid w:val="007C48C7"/>
    <w:rsid w:val="007C69D6"/>
    <w:rsid w:val="007D2CEB"/>
    <w:rsid w:val="007D3591"/>
    <w:rsid w:val="007D6683"/>
    <w:rsid w:val="007E6167"/>
    <w:rsid w:val="007E74C5"/>
    <w:rsid w:val="007F0E34"/>
    <w:rsid w:val="007F17F4"/>
    <w:rsid w:val="007F32C6"/>
    <w:rsid w:val="007F6368"/>
    <w:rsid w:val="007F7B7F"/>
    <w:rsid w:val="008043DE"/>
    <w:rsid w:val="0080498D"/>
    <w:rsid w:val="0080606A"/>
    <w:rsid w:val="008065F0"/>
    <w:rsid w:val="00807C2F"/>
    <w:rsid w:val="008129C6"/>
    <w:rsid w:val="00812E0A"/>
    <w:rsid w:val="0081352B"/>
    <w:rsid w:val="00814514"/>
    <w:rsid w:val="008237E2"/>
    <w:rsid w:val="0082393F"/>
    <w:rsid w:val="008255E4"/>
    <w:rsid w:val="00827BAD"/>
    <w:rsid w:val="00830639"/>
    <w:rsid w:val="008309C9"/>
    <w:rsid w:val="00830BC7"/>
    <w:rsid w:val="008335E3"/>
    <w:rsid w:val="00834828"/>
    <w:rsid w:val="00834DCB"/>
    <w:rsid w:val="00836673"/>
    <w:rsid w:val="00840C01"/>
    <w:rsid w:val="00840C42"/>
    <w:rsid w:val="0084167C"/>
    <w:rsid w:val="00844F10"/>
    <w:rsid w:val="00845186"/>
    <w:rsid w:val="00845BBC"/>
    <w:rsid w:val="00847F2B"/>
    <w:rsid w:val="00850048"/>
    <w:rsid w:val="008513D8"/>
    <w:rsid w:val="00852915"/>
    <w:rsid w:val="00852C25"/>
    <w:rsid w:val="00852CB6"/>
    <w:rsid w:val="00853C3E"/>
    <w:rsid w:val="00855D43"/>
    <w:rsid w:val="008561D7"/>
    <w:rsid w:val="00860B22"/>
    <w:rsid w:val="00861074"/>
    <w:rsid w:val="008636FC"/>
    <w:rsid w:val="00863DB6"/>
    <w:rsid w:val="00871164"/>
    <w:rsid w:val="00873BC6"/>
    <w:rsid w:val="00874FB1"/>
    <w:rsid w:val="008771F4"/>
    <w:rsid w:val="00880902"/>
    <w:rsid w:val="00881E3C"/>
    <w:rsid w:val="0088740E"/>
    <w:rsid w:val="008906A2"/>
    <w:rsid w:val="00892A4E"/>
    <w:rsid w:val="00894A27"/>
    <w:rsid w:val="00896A4C"/>
    <w:rsid w:val="00896EBA"/>
    <w:rsid w:val="0089797F"/>
    <w:rsid w:val="008A23C9"/>
    <w:rsid w:val="008A39F8"/>
    <w:rsid w:val="008B0B3A"/>
    <w:rsid w:val="008B32A9"/>
    <w:rsid w:val="008C0083"/>
    <w:rsid w:val="008C1EF3"/>
    <w:rsid w:val="008C2EDB"/>
    <w:rsid w:val="008C6C9A"/>
    <w:rsid w:val="008C701E"/>
    <w:rsid w:val="008C7E56"/>
    <w:rsid w:val="008D1B64"/>
    <w:rsid w:val="008D3367"/>
    <w:rsid w:val="008D4162"/>
    <w:rsid w:val="008D4E54"/>
    <w:rsid w:val="008D7638"/>
    <w:rsid w:val="008E51AF"/>
    <w:rsid w:val="008E548A"/>
    <w:rsid w:val="008E74A2"/>
    <w:rsid w:val="008F4B82"/>
    <w:rsid w:val="008F5CE5"/>
    <w:rsid w:val="00903AC3"/>
    <w:rsid w:val="0090412E"/>
    <w:rsid w:val="00904536"/>
    <w:rsid w:val="0090478A"/>
    <w:rsid w:val="009102A7"/>
    <w:rsid w:val="00911D86"/>
    <w:rsid w:val="009144B5"/>
    <w:rsid w:val="009146F6"/>
    <w:rsid w:val="00915863"/>
    <w:rsid w:val="00916B67"/>
    <w:rsid w:val="00916ED7"/>
    <w:rsid w:val="0091760B"/>
    <w:rsid w:val="00926E69"/>
    <w:rsid w:val="00930EF7"/>
    <w:rsid w:val="009317B8"/>
    <w:rsid w:val="0093595E"/>
    <w:rsid w:val="009360D6"/>
    <w:rsid w:val="00936510"/>
    <w:rsid w:val="0093655B"/>
    <w:rsid w:val="00941336"/>
    <w:rsid w:val="00945E92"/>
    <w:rsid w:val="009466EE"/>
    <w:rsid w:val="009575E1"/>
    <w:rsid w:val="00960BC7"/>
    <w:rsid w:val="00962129"/>
    <w:rsid w:val="00962373"/>
    <w:rsid w:val="009632C9"/>
    <w:rsid w:val="00964625"/>
    <w:rsid w:val="009667EE"/>
    <w:rsid w:val="0097316B"/>
    <w:rsid w:val="0097354A"/>
    <w:rsid w:val="00974FAA"/>
    <w:rsid w:val="00977184"/>
    <w:rsid w:val="0097718F"/>
    <w:rsid w:val="009802C9"/>
    <w:rsid w:val="009849E4"/>
    <w:rsid w:val="00985ABF"/>
    <w:rsid w:val="00991685"/>
    <w:rsid w:val="009927FA"/>
    <w:rsid w:val="009967F2"/>
    <w:rsid w:val="00997790"/>
    <w:rsid w:val="009A66D0"/>
    <w:rsid w:val="009B01FC"/>
    <w:rsid w:val="009B1BFE"/>
    <w:rsid w:val="009B7367"/>
    <w:rsid w:val="009C7580"/>
    <w:rsid w:val="009D3F76"/>
    <w:rsid w:val="009D59D4"/>
    <w:rsid w:val="009D5CEE"/>
    <w:rsid w:val="009D650C"/>
    <w:rsid w:val="009E0EA2"/>
    <w:rsid w:val="009E214D"/>
    <w:rsid w:val="009E28EC"/>
    <w:rsid w:val="009E30AA"/>
    <w:rsid w:val="009E4841"/>
    <w:rsid w:val="009E7983"/>
    <w:rsid w:val="009F2E31"/>
    <w:rsid w:val="009F3E27"/>
    <w:rsid w:val="009F3F1F"/>
    <w:rsid w:val="009F4FB3"/>
    <w:rsid w:val="009F71D1"/>
    <w:rsid w:val="00A00DD6"/>
    <w:rsid w:val="00A017BA"/>
    <w:rsid w:val="00A01EFD"/>
    <w:rsid w:val="00A026DF"/>
    <w:rsid w:val="00A03A5F"/>
    <w:rsid w:val="00A04100"/>
    <w:rsid w:val="00A066DE"/>
    <w:rsid w:val="00A075C8"/>
    <w:rsid w:val="00A10B65"/>
    <w:rsid w:val="00A1331C"/>
    <w:rsid w:val="00A141E5"/>
    <w:rsid w:val="00A15581"/>
    <w:rsid w:val="00A1593F"/>
    <w:rsid w:val="00A15B57"/>
    <w:rsid w:val="00A20844"/>
    <w:rsid w:val="00A21F92"/>
    <w:rsid w:val="00A2536F"/>
    <w:rsid w:val="00A2544C"/>
    <w:rsid w:val="00A263F4"/>
    <w:rsid w:val="00A26AF6"/>
    <w:rsid w:val="00A30D50"/>
    <w:rsid w:val="00A30DB3"/>
    <w:rsid w:val="00A344A6"/>
    <w:rsid w:val="00A403E9"/>
    <w:rsid w:val="00A406DC"/>
    <w:rsid w:val="00A41119"/>
    <w:rsid w:val="00A4347E"/>
    <w:rsid w:val="00A4381E"/>
    <w:rsid w:val="00A4630E"/>
    <w:rsid w:val="00A47DE3"/>
    <w:rsid w:val="00A5227A"/>
    <w:rsid w:val="00A55A52"/>
    <w:rsid w:val="00A55DE0"/>
    <w:rsid w:val="00A57BD9"/>
    <w:rsid w:val="00A57D42"/>
    <w:rsid w:val="00A60BBB"/>
    <w:rsid w:val="00A60C83"/>
    <w:rsid w:val="00A63A99"/>
    <w:rsid w:val="00A65F1E"/>
    <w:rsid w:val="00A66689"/>
    <w:rsid w:val="00A67C7E"/>
    <w:rsid w:val="00A739AD"/>
    <w:rsid w:val="00A80964"/>
    <w:rsid w:val="00A820E3"/>
    <w:rsid w:val="00A83111"/>
    <w:rsid w:val="00A84047"/>
    <w:rsid w:val="00A855AA"/>
    <w:rsid w:val="00A85982"/>
    <w:rsid w:val="00A934C1"/>
    <w:rsid w:val="00A972FF"/>
    <w:rsid w:val="00AA22FC"/>
    <w:rsid w:val="00AA2CF4"/>
    <w:rsid w:val="00AB0683"/>
    <w:rsid w:val="00AB179B"/>
    <w:rsid w:val="00AB197C"/>
    <w:rsid w:val="00AB199E"/>
    <w:rsid w:val="00AB2DA9"/>
    <w:rsid w:val="00AB5052"/>
    <w:rsid w:val="00AB5560"/>
    <w:rsid w:val="00AC58FC"/>
    <w:rsid w:val="00AD48BE"/>
    <w:rsid w:val="00AD5E69"/>
    <w:rsid w:val="00AD7AA1"/>
    <w:rsid w:val="00AE13D6"/>
    <w:rsid w:val="00AE2E8D"/>
    <w:rsid w:val="00AE521E"/>
    <w:rsid w:val="00AE7B86"/>
    <w:rsid w:val="00AF2305"/>
    <w:rsid w:val="00AF2A93"/>
    <w:rsid w:val="00AF46AA"/>
    <w:rsid w:val="00AF4ACB"/>
    <w:rsid w:val="00AF5D98"/>
    <w:rsid w:val="00AF7307"/>
    <w:rsid w:val="00B0107B"/>
    <w:rsid w:val="00B03A57"/>
    <w:rsid w:val="00B044C6"/>
    <w:rsid w:val="00B11FF2"/>
    <w:rsid w:val="00B2222C"/>
    <w:rsid w:val="00B249F0"/>
    <w:rsid w:val="00B26221"/>
    <w:rsid w:val="00B27A34"/>
    <w:rsid w:val="00B34F63"/>
    <w:rsid w:val="00B35670"/>
    <w:rsid w:val="00B4012B"/>
    <w:rsid w:val="00B40EDB"/>
    <w:rsid w:val="00B43126"/>
    <w:rsid w:val="00B4427C"/>
    <w:rsid w:val="00B447CB"/>
    <w:rsid w:val="00B52431"/>
    <w:rsid w:val="00B5275C"/>
    <w:rsid w:val="00B53083"/>
    <w:rsid w:val="00B53A21"/>
    <w:rsid w:val="00B53B49"/>
    <w:rsid w:val="00B548FA"/>
    <w:rsid w:val="00B54A0A"/>
    <w:rsid w:val="00B56FF3"/>
    <w:rsid w:val="00B57AFD"/>
    <w:rsid w:val="00B57EA9"/>
    <w:rsid w:val="00B641F8"/>
    <w:rsid w:val="00B64399"/>
    <w:rsid w:val="00B71579"/>
    <w:rsid w:val="00B7228A"/>
    <w:rsid w:val="00B7662E"/>
    <w:rsid w:val="00B82086"/>
    <w:rsid w:val="00B90DD8"/>
    <w:rsid w:val="00B91263"/>
    <w:rsid w:val="00B927E5"/>
    <w:rsid w:val="00B975F3"/>
    <w:rsid w:val="00BA1E11"/>
    <w:rsid w:val="00BA57EC"/>
    <w:rsid w:val="00BB69A5"/>
    <w:rsid w:val="00BC0EFB"/>
    <w:rsid w:val="00BC21EE"/>
    <w:rsid w:val="00BC65D8"/>
    <w:rsid w:val="00BD08C0"/>
    <w:rsid w:val="00BD1415"/>
    <w:rsid w:val="00BD316B"/>
    <w:rsid w:val="00BD456E"/>
    <w:rsid w:val="00BD4653"/>
    <w:rsid w:val="00BD560B"/>
    <w:rsid w:val="00BD6475"/>
    <w:rsid w:val="00BE0C34"/>
    <w:rsid w:val="00BE2499"/>
    <w:rsid w:val="00BE6721"/>
    <w:rsid w:val="00BF0271"/>
    <w:rsid w:val="00BF06DD"/>
    <w:rsid w:val="00BF12C4"/>
    <w:rsid w:val="00BF2C0E"/>
    <w:rsid w:val="00BF5E81"/>
    <w:rsid w:val="00BF65CA"/>
    <w:rsid w:val="00C01123"/>
    <w:rsid w:val="00C1110D"/>
    <w:rsid w:val="00C12666"/>
    <w:rsid w:val="00C127B1"/>
    <w:rsid w:val="00C134B7"/>
    <w:rsid w:val="00C15E87"/>
    <w:rsid w:val="00C175D0"/>
    <w:rsid w:val="00C2096B"/>
    <w:rsid w:val="00C21A8D"/>
    <w:rsid w:val="00C21E2C"/>
    <w:rsid w:val="00C22D8B"/>
    <w:rsid w:val="00C24DB0"/>
    <w:rsid w:val="00C26B1C"/>
    <w:rsid w:val="00C26B99"/>
    <w:rsid w:val="00C270CA"/>
    <w:rsid w:val="00C274AA"/>
    <w:rsid w:val="00C3426D"/>
    <w:rsid w:val="00C44ADA"/>
    <w:rsid w:val="00C46060"/>
    <w:rsid w:val="00C461DC"/>
    <w:rsid w:val="00C50711"/>
    <w:rsid w:val="00C523C6"/>
    <w:rsid w:val="00C525BA"/>
    <w:rsid w:val="00C53065"/>
    <w:rsid w:val="00C54204"/>
    <w:rsid w:val="00C555F7"/>
    <w:rsid w:val="00C56446"/>
    <w:rsid w:val="00C60863"/>
    <w:rsid w:val="00C6285D"/>
    <w:rsid w:val="00C639E3"/>
    <w:rsid w:val="00C70563"/>
    <w:rsid w:val="00C71292"/>
    <w:rsid w:val="00C71484"/>
    <w:rsid w:val="00C716CA"/>
    <w:rsid w:val="00C735A7"/>
    <w:rsid w:val="00C74F41"/>
    <w:rsid w:val="00C76FAC"/>
    <w:rsid w:val="00C83145"/>
    <w:rsid w:val="00C8566F"/>
    <w:rsid w:val="00C87C43"/>
    <w:rsid w:val="00C979D0"/>
    <w:rsid w:val="00CA410E"/>
    <w:rsid w:val="00CA447E"/>
    <w:rsid w:val="00CB0CDF"/>
    <w:rsid w:val="00CB0FE7"/>
    <w:rsid w:val="00CB528D"/>
    <w:rsid w:val="00CB7321"/>
    <w:rsid w:val="00CB7E0A"/>
    <w:rsid w:val="00CC012E"/>
    <w:rsid w:val="00CC421B"/>
    <w:rsid w:val="00CD1BC6"/>
    <w:rsid w:val="00CD68E6"/>
    <w:rsid w:val="00CE10BD"/>
    <w:rsid w:val="00CE1F17"/>
    <w:rsid w:val="00CE7F13"/>
    <w:rsid w:val="00CF3FB2"/>
    <w:rsid w:val="00D004BE"/>
    <w:rsid w:val="00D00DBC"/>
    <w:rsid w:val="00D03586"/>
    <w:rsid w:val="00D03E02"/>
    <w:rsid w:val="00D05726"/>
    <w:rsid w:val="00D075C6"/>
    <w:rsid w:val="00D14FB9"/>
    <w:rsid w:val="00D213E9"/>
    <w:rsid w:val="00D22ADA"/>
    <w:rsid w:val="00D2533F"/>
    <w:rsid w:val="00D30E72"/>
    <w:rsid w:val="00D3454C"/>
    <w:rsid w:val="00D37F45"/>
    <w:rsid w:val="00D4105E"/>
    <w:rsid w:val="00D42E24"/>
    <w:rsid w:val="00D43975"/>
    <w:rsid w:val="00D4481C"/>
    <w:rsid w:val="00D46107"/>
    <w:rsid w:val="00D50854"/>
    <w:rsid w:val="00D50899"/>
    <w:rsid w:val="00D54158"/>
    <w:rsid w:val="00D60DAA"/>
    <w:rsid w:val="00D63D53"/>
    <w:rsid w:val="00D645A7"/>
    <w:rsid w:val="00D72181"/>
    <w:rsid w:val="00D72E99"/>
    <w:rsid w:val="00D72F61"/>
    <w:rsid w:val="00D7396F"/>
    <w:rsid w:val="00D76A33"/>
    <w:rsid w:val="00D80348"/>
    <w:rsid w:val="00D81253"/>
    <w:rsid w:val="00D81AF1"/>
    <w:rsid w:val="00D843D7"/>
    <w:rsid w:val="00D84E4B"/>
    <w:rsid w:val="00D90345"/>
    <w:rsid w:val="00D92A4E"/>
    <w:rsid w:val="00D95F80"/>
    <w:rsid w:val="00D97D5E"/>
    <w:rsid w:val="00DA4017"/>
    <w:rsid w:val="00DA5B94"/>
    <w:rsid w:val="00DA72DC"/>
    <w:rsid w:val="00DB16ED"/>
    <w:rsid w:val="00DB5C76"/>
    <w:rsid w:val="00DC0159"/>
    <w:rsid w:val="00DC0500"/>
    <w:rsid w:val="00DC1C0B"/>
    <w:rsid w:val="00DC5090"/>
    <w:rsid w:val="00DD163C"/>
    <w:rsid w:val="00DD1675"/>
    <w:rsid w:val="00DD1854"/>
    <w:rsid w:val="00DD2B27"/>
    <w:rsid w:val="00DD6D90"/>
    <w:rsid w:val="00DD776A"/>
    <w:rsid w:val="00DE261E"/>
    <w:rsid w:val="00DE7144"/>
    <w:rsid w:val="00DF3569"/>
    <w:rsid w:val="00DF4D2D"/>
    <w:rsid w:val="00E1655A"/>
    <w:rsid w:val="00E216A6"/>
    <w:rsid w:val="00E2749E"/>
    <w:rsid w:val="00E332F7"/>
    <w:rsid w:val="00E35B18"/>
    <w:rsid w:val="00E36F79"/>
    <w:rsid w:val="00E374E0"/>
    <w:rsid w:val="00E44641"/>
    <w:rsid w:val="00E47430"/>
    <w:rsid w:val="00E4775F"/>
    <w:rsid w:val="00E4786F"/>
    <w:rsid w:val="00E50484"/>
    <w:rsid w:val="00E523F8"/>
    <w:rsid w:val="00E570C0"/>
    <w:rsid w:val="00E617E0"/>
    <w:rsid w:val="00E814AC"/>
    <w:rsid w:val="00E81C52"/>
    <w:rsid w:val="00E82A7A"/>
    <w:rsid w:val="00E8310D"/>
    <w:rsid w:val="00E87F29"/>
    <w:rsid w:val="00E917E1"/>
    <w:rsid w:val="00E9253B"/>
    <w:rsid w:val="00E92C22"/>
    <w:rsid w:val="00E92F00"/>
    <w:rsid w:val="00E956D1"/>
    <w:rsid w:val="00E9758C"/>
    <w:rsid w:val="00E97592"/>
    <w:rsid w:val="00EA2A81"/>
    <w:rsid w:val="00EA35D6"/>
    <w:rsid w:val="00EA7477"/>
    <w:rsid w:val="00EA77F3"/>
    <w:rsid w:val="00EB020B"/>
    <w:rsid w:val="00EB484D"/>
    <w:rsid w:val="00EB5D6A"/>
    <w:rsid w:val="00EC3F55"/>
    <w:rsid w:val="00EC58C4"/>
    <w:rsid w:val="00EC5D8C"/>
    <w:rsid w:val="00ED0125"/>
    <w:rsid w:val="00EE7910"/>
    <w:rsid w:val="00EE79C9"/>
    <w:rsid w:val="00EF6E86"/>
    <w:rsid w:val="00F0000F"/>
    <w:rsid w:val="00F00AF7"/>
    <w:rsid w:val="00F01066"/>
    <w:rsid w:val="00F033E6"/>
    <w:rsid w:val="00F05F9A"/>
    <w:rsid w:val="00F07694"/>
    <w:rsid w:val="00F07BDD"/>
    <w:rsid w:val="00F12D19"/>
    <w:rsid w:val="00F1412A"/>
    <w:rsid w:val="00F1588F"/>
    <w:rsid w:val="00F171EE"/>
    <w:rsid w:val="00F24070"/>
    <w:rsid w:val="00F3385A"/>
    <w:rsid w:val="00F36E4A"/>
    <w:rsid w:val="00F42328"/>
    <w:rsid w:val="00F42671"/>
    <w:rsid w:val="00F50CB0"/>
    <w:rsid w:val="00F51F43"/>
    <w:rsid w:val="00F54657"/>
    <w:rsid w:val="00F56DC0"/>
    <w:rsid w:val="00F60452"/>
    <w:rsid w:val="00F612C8"/>
    <w:rsid w:val="00F61DE6"/>
    <w:rsid w:val="00F66FE7"/>
    <w:rsid w:val="00F7000C"/>
    <w:rsid w:val="00F71008"/>
    <w:rsid w:val="00F711C7"/>
    <w:rsid w:val="00F72EB3"/>
    <w:rsid w:val="00F756EC"/>
    <w:rsid w:val="00F75823"/>
    <w:rsid w:val="00F81978"/>
    <w:rsid w:val="00F8446E"/>
    <w:rsid w:val="00F84A29"/>
    <w:rsid w:val="00F850A2"/>
    <w:rsid w:val="00F906BD"/>
    <w:rsid w:val="00F913C1"/>
    <w:rsid w:val="00F91EA4"/>
    <w:rsid w:val="00F94F69"/>
    <w:rsid w:val="00F97C54"/>
    <w:rsid w:val="00FA72A2"/>
    <w:rsid w:val="00FB48D4"/>
    <w:rsid w:val="00FB65C9"/>
    <w:rsid w:val="00FB7C09"/>
    <w:rsid w:val="00FC0871"/>
    <w:rsid w:val="00FC0EAE"/>
    <w:rsid w:val="00FC13CF"/>
    <w:rsid w:val="00FC2012"/>
    <w:rsid w:val="00FC27B2"/>
    <w:rsid w:val="00FD3D3B"/>
    <w:rsid w:val="00FD4046"/>
    <w:rsid w:val="00FE4CFB"/>
    <w:rsid w:val="00FE519C"/>
    <w:rsid w:val="00FE57C2"/>
    <w:rsid w:val="00FF41BA"/>
    <w:rsid w:val="00FF4E89"/>
    <w:rsid w:val="00FF60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CBC887"/>
  <w15:chartTrackingRefBased/>
  <w15:docId w15:val="{A2137180-8E8D-468F-B609-7624EDF4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D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9D650C"/>
    <w:pPr>
      <w:keepNext/>
      <w:keepLines/>
      <w:widowControl/>
      <w:numPr>
        <w:numId w:val="15"/>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9D650C"/>
    <w:pPr>
      <w:keepNext/>
      <w:keepLines/>
      <w:widowControl/>
      <w:numPr>
        <w:ilvl w:val="1"/>
        <w:numId w:val="1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9D650C"/>
    <w:pPr>
      <w:keepNext/>
      <w:keepLines/>
      <w:widowControl/>
      <w:numPr>
        <w:ilvl w:val="2"/>
        <w:numId w:val="15"/>
      </w:numPr>
      <w:spacing w:line="480" w:lineRule="auto"/>
      <w:outlineLvl w:val="2"/>
    </w:pPr>
    <w:rPr>
      <w:rFonts w:eastAsiaTheme="majorEastAsia"/>
      <w:b/>
      <w:kern w:val="32"/>
      <w:szCs w:val="24"/>
      <w:u w:val="single"/>
    </w:rPr>
  </w:style>
  <w:style w:type="paragraph" w:styleId="Heading4">
    <w:name w:val="heading 4"/>
    <w:basedOn w:val="Normal"/>
    <w:next w:val="FERCparanumber"/>
    <w:uiPriority w:val="9"/>
    <w:unhideWhenUsed/>
    <w:qFormat/>
    <w:rsid w:val="009D650C"/>
    <w:pPr>
      <w:keepNext/>
      <w:keepLines/>
      <w:widowControl/>
      <w:numPr>
        <w:ilvl w:val="3"/>
        <w:numId w:val="15"/>
      </w:numPr>
      <w:spacing w:line="480" w:lineRule="auto"/>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9D650C"/>
    <w:pPr>
      <w:keepNext/>
      <w:keepLines/>
      <w:widowControl/>
      <w:numPr>
        <w:ilvl w:val="4"/>
        <w:numId w:val="15"/>
      </w:numPr>
      <w:spacing w:line="480" w:lineRule="auto"/>
      <w:outlineLvl w:val="4"/>
    </w:pPr>
    <w:rPr>
      <w:rFonts w:eastAsiaTheme="majorEastAsia"/>
      <w:b/>
      <w:kern w:val="32"/>
      <w:u w:val="single"/>
    </w:rPr>
  </w:style>
  <w:style w:type="paragraph" w:styleId="Heading6">
    <w:name w:val="heading 6"/>
    <w:basedOn w:val="Normal"/>
    <w:next w:val="FERCparanumber"/>
    <w:uiPriority w:val="9"/>
    <w:semiHidden/>
    <w:unhideWhenUsed/>
    <w:qFormat/>
    <w:rsid w:val="009D650C"/>
    <w:pPr>
      <w:keepNext/>
      <w:keepLines/>
      <w:widowControl/>
      <w:numPr>
        <w:ilvl w:val="5"/>
        <w:numId w:val="15"/>
      </w:numPr>
      <w:spacing w:line="480" w:lineRule="auto"/>
      <w:outlineLvl w:val="5"/>
    </w:pPr>
    <w:rPr>
      <w:rFonts w:eastAsiaTheme="majorEastAsia"/>
      <w:b/>
      <w:kern w:val="32"/>
      <w:u w:val="single"/>
    </w:rPr>
  </w:style>
  <w:style w:type="paragraph" w:styleId="Heading7">
    <w:name w:val="heading 7"/>
    <w:basedOn w:val="Normal"/>
    <w:next w:val="FERCparanumber"/>
    <w:uiPriority w:val="9"/>
    <w:semiHidden/>
    <w:unhideWhenUsed/>
    <w:qFormat/>
    <w:rsid w:val="009D650C"/>
    <w:pPr>
      <w:keepNext/>
      <w:keepLines/>
      <w:widowControl/>
      <w:numPr>
        <w:ilvl w:val="6"/>
        <w:numId w:val="15"/>
      </w:numPr>
      <w:spacing w:line="480" w:lineRule="auto"/>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9D650C"/>
    <w:pPr>
      <w:keepNext/>
      <w:keepLines/>
      <w:widowControl/>
      <w:numPr>
        <w:ilvl w:val="7"/>
        <w:numId w:val="15"/>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9D650C"/>
    <w:pPr>
      <w:keepNext/>
      <w:keepLines/>
      <w:widowControl/>
      <w:numPr>
        <w:ilvl w:val="8"/>
        <w:numId w:val="15"/>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basedOn w:val="Normal"/>
    <w:link w:val="FootnoteTextChar"/>
    <w:unhideWhenUsed/>
    <w:rsid w:val="009D650C"/>
    <w:pPr>
      <w:spacing w:after="260"/>
      <w:ind w:firstLine="720"/>
    </w:pPr>
    <w:rPr>
      <w:szCs w:val="20"/>
    </w:rPr>
  </w:style>
  <w:style w:type="character" w:customStyle="1" w:styleId="FootnoteTextChar">
    <w:name w:val="Footnote Text Char"/>
    <w:basedOn w:val="DefaultParagraphFont"/>
    <w:link w:val="FootnoteText"/>
    <w:rsid w:val="009D650C"/>
    <w:rPr>
      <w:rFonts w:ascii="Times New Roman" w:hAnsi="Times New Roman" w:cs="Times New Roman"/>
      <w:sz w:val="26"/>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9D650C"/>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9E30AA"/>
    <w:rPr>
      <w:color w:val="605E5C"/>
      <w:shd w:val="clear" w:color="auto" w:fill="E1DFDD"/>
    </w:rPr>
  </w:style>
  <w:style w:type="table" w:customStyle="1" w:styleId="GridTable2-Accent11">
    <w:name w:val="Grid Table 2 - Accent 11"/>
    <w:basedOn w:val="TableNormal"/>
    <w:next w:val="GridTable2Accent1"/>
    <w:uiPriority w:val="47"/>
    <w:rsid w:val="00D43975"/>
    <w:pPr>
      <w:spacing w:after="0" w:line="240" w:lineRule="auto"/>
    </w:pPr>
    <w:rPr>
      <w:rFonts w:ascii="Calibri" w:eastAsia="Calibri"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1">
    <w:name w:val="Grid Table 2 Accent 1"/>
    <w:basedOn w:val="TableNormal"/>
    <w:uiPriority w:val="47"/>
    <w:rsid w:val="00D4397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ryan.stertz@ferc.gov" TargetMode="External" /><Relationship Id="rId12" Type="http://schemas.openxmlformats.org/officeDocument/2006/relationships/hyperlink" Target="mailto:regine.baus@ferc.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yperlink" Target="http://www.ferc.gov" TargetMode="External" /><Relationship Id="rId2" Type="http://schemas.openxmlformats.org/officeDocument/2006/relationships/endnotes" Target="endnotes.xml" /><Relationship Id="rId20" Type="http://schemas.openxmlformats.org/officeDocument/2006/relationships/hyperlink" Target="mailto:ferconlinesupport@ferc.gov" TargetMode="External" /><Relationship Id="rId21" Type="http://schemas.openxmlformats.org/officeDocument/2006/relationships/hyperlink" Target="mailto:public.referenceroom@ferc.gov" TargetMode="Externa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header" Target="header6.xml" /><Relationship Id="rId27" Type="http://schemas.openxmlformats.org/officeDocument/2006/relationships/footer" Target="footer6.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settings" Target="settings.xml" /><Relationship Id="rId30"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8161A118-EE1C-4740-BA97-CD5B7FAFA505}">
  <ds:schemaRefs>
    <ds:schemaRef ds:uri="http://schemas.microsoft.com/sharepoint/v3/contenttype/forms"/>
  </ds:schemaRefs>
</ds:datastoreItem>
</file>

<file path=customXml/itemProps2.xml><?xml version="1.0" encoding="utf-8"?>
<ds:datastoreItem xmlns:ds="http://schemas.openxmlformats.org/officeDocument/2006/customXml" ds:itemID="{B08421E2-48AE-4035-9B9C-67D4A77C3908}">
  <ds:schemaRefs>
    <ds:schemaRef ds:uri="http://schemas.openxmlformats.org/officeDocument/2006/bibliography"/>
  </ds:schemaRefs>
</ds:datastoreItem>
</file>

<file path=customXml/itemProps3.xml><?xml version="1.0" encoding="utf-8"?>
<ds:datastoreItem xmlns:ds="http://schemas.openxmlformats.org/officeDocument/2006/customXml" ds:itemID="{82946B14-23D0-4659-8A00-65E47F7D2D4F}">
  <ds:schemaRefs>
    <ds:schemaRef ds:uri="Microsoft.SharePoint.Taxonomy.ContentTypeSync"/>
  </ds:schemaRefs>
</ds:datastoreItem>
</file>

<file path=customXml/itemProps4.xml><?xml version="1.0" encoding="utf-8"?>
<ds:datastoreItem xmlns:ds="http://schemas.openxmlformats.org/officeDocument/2006/customXml" ds:itemID="{040490B1-0837-48F0-AB30-1079778F6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FD1FDC-8405-4B19-9574-EC2CC7D1F22F}">
  <ds:schemaRef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RM16-17-000 Data Collection for Analytics and Surveillance and Market-Based Rate Purposes</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Christopher</cp:lastModifiedBy>
  <cp:revision>2</cp:revision>
  <dcterms:created xsi:type="dcterms:W3CDTF">2022-09-09T13:11:00Z</dcterms:created>
  <dcterms:modified xsi:type="dcterms:W3CDTF">2022-09-09T13:11:00Z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509af06f-838f-42b9-9604-57d6b7e1839e</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2022-09-09T13:10:49Z</vt:lpwstr>
  </property>
  <property fmtid="{D5CDD505-2E9C-101B-9397-08002B2CF9AE}" pid="8" name="MSIP_Label_6155a89b-0f08-4a93-8ea2-8a916d6643b5_SiteId">
    <vt:lpwstr>19caa9e9-04ff-43fa-885f-d77fac387903</vt:lpwstr>
  </property>
</Properties>
</file>