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196" w:rsidRPr="00794196" w:rsidP="0006122E" w14:paraId="184642D0" w14:textId="77777777">
      <w:pPr>
        <w:spacing w:after="0"/>
        <w:jc w:val="center"/>
        <w:rPr>
          <w:rFonts w:ascii="Times New Roman" w:hAnsi="Times New Roman" w:cs="Times New Roman"/>
          <w:bCs/>
          <w:sz w:val="26"/>
          <w:szCs w:val="26"/>
        </w:rPr>
      </w:pPr>
      <w:r w:rsidRPr="00794196">
        <w:rPr>
          <w:rFonts w:ascii="Times New Roman" w:hAnsi="Times New Roman" w:cs="Times New Roman"/>
          <w:bCs/>
          <w:sz w:val="26"/>
          <w:szCs w:val="26"/>
        </w:rPr>
        <w:t>Supporting Statement for</w:t>
      </w:r>
    </w:p>
    <w:p w:rsidR="00794196" w:rsidRPr="00794196" w:rsidP="0006122E" w14:paraId="184642D1" w14:textId="206DA1E5">
      <w:pPr>
        <w:spacing w:after="0"/>
        <w:jc w:val="center"/>
        <w:rPr>
          <w:rFonts w:ascii="Times New Roman" w:hAnsi="Times New Roman" w:cs="Times New Roman"/>
          <w:b/>
          <w:sz w:val="26"/>
          <w:szCs w:val="26"/>
        </w:rPr>
      </w:pPr>
      <w:r w:rsidRPr="00794196">
        <w:rPr>
          <w:rFonts w:ascii="Times New Roman" w:hAnsi="Times New Roman" w:cs="Times New Roman"/>
          <w:b/>
          <w:sz w:val="26"/>
          <w:szCs w:val="26"/>
        </w:rPr>
        <w:t xml:space="preserve">FERC-919, </w:t>
      </w:r>
      <w:r w:rsidRPr="001D571C" w:rsidR="001D571C">
        <w:rPr>
          <w:rFonts w:ascii="Times New Roman" w:hAnsi="Times New Roman" w:cs="Times New Roman"/>
          <w:b/>
          <w:sz w:val="26"/>
          <w:szCs w:val="26"/>
        </w:rPr>
        <w:t xml:space="preserve">Refinements to Policies and Procedures for </w:t>
      </w:r>
      <w:r w:rsidRPr="00794196">
        <w:rPr>
          <w:rFonts w:ascii="Times New Roman" w:hAnsi="Times New Roman" w:cs="Times New Roman"/>
          <w:b/>
          <w:sz w:val="26"/>
          <w:szCs w:val="26"/>
        </w:rPr>
        <w:t>Market Based Rates (MBR) for Wholesale Sales of Electric Energy,</w:t>
      </w:r>
    </w:p>
    <w:p w:rsidR="00794196" w:rsidRPr="00794196" w:rsidP="0006122E" w14:paraId="184642D2" w14:textId="77777777">
      <w:pPr>
        <w:spacing w:after="0"/>
        <w:jc w:val="center"/>
        <w:rPr>
          <w:rFonts w:ascii="Times New Roman" w:hAnsi="Times New Roman" w:cs="Times New Roman"/>
          <w:b/>
          <w:sz w:val="26"/>
          <w:szCs w:val="26"/>
        </w:rPr>
      </w:pPr>
      <w:r w:rsidRPr="00794196">
        <w:rPr>
          <w:rFonts w:ascii="Times New Roman" w:hAnsi="Times New Roman" w:cs="Times New Roman"/>
          <w:b/>
          <w:sz w:val="26"/>
          <w:szCs w:val="26"/>
        </w:rPr>
        <w:t>Capacity and Ancillary</w:t>
      </w:r>
      <w:r w:rsidRPr="00794196">
        <w:rPr>
          <w:rFonts w:ascii="Times New Roman" w:hAnsi="Times New Roman" w:cs="Times New Roman"/>
          <w:sz w:val="26"/>
          <w:szCs w:val="26"/>
        </w:rPr>
        <w:t xml:space="preserve"> </w:t>
      </w:r>
      <w:r w:rsidRPr="00794196">
        <w:rPr>
          <w:rFonts w:ascii="Times New Roman" w:hAnsi="Times New Roman" w:cs="Times New Roman"/>
          <w:b/>
          <w:sz w:val="26"/>
          <w:szCs w:val="26"/>
        </w:rPr>
        <w:t>Services by Public Utilities</w:t>
      </w:r>
    </w:p>
    <w:p w:rsidR="00794196" w:rsidRPr="00794196" w:rsidP="0006122E" w14:paraId="184642D3" w14:textId="77777777">
      <w:pPr>
        <w:spacing w:after="0"/>
        <w:jc w:val="center"/>
        <w:rPr>
          <w:rFonts w:ascii="Times New Roman" w:hAnsi="Times New Roman" w:cs="Times New Roman"/>
          <w:b/>
          <w:sz w:val="26"/>
          <w:szCs w:val="26"/>
        </w:rPr>
      </w:pPr>
    </w:p>
    <w:p w:rsidR="00255AD5" w:rsidRPr="00255AD5" w14:paraId="01B33194" w14:textId="6D2DF07C">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Federal Energy Regulatory Commission (Commission or FERC) requests that the Office of Management and Budget (OMB) review and extend its approval to information collection requirements in </w:t>
      </w:r>
      <w:r w:rsidRPr="00794196">
        <w:rPr>
          <w:rFonts w:ascii="Times New Roman" w:hAnsi="Times New Roman" w:cs="Times New Roman"/>
          <w:bCs/>
          <w:sz w:val="26"/>
          <w:szCs w:val="26"/>
        </w:rPr>
        <w:t>FERC</w:t>
      </w:r>
      <w:r w:rsidRPr="00794196">
        <w:rPr>
          <w:rFonts w:ascii="Times New Roman" w:hAnsi="Times New Roman" w:cs="Times New Roman"/>
          <w:bCs/>
          <w:sz w:val="26"/>
          <w:szCs w:val="26"/>
        </w:rPr>
        <w:noBreakHyphen/>
        <w:t>919, (</w:t>
      </w:r>
      <w:r w:rsidRPr="001D571C" w:rsidR="001D571C">
        <w:rPr>
          <w:rFonts w:ascii="Times New Roman" w:hAnsi="Times New Roman" w:cs="Times New Roman"/>
          <w:bCs/>
          <w:sz w:val="26"/>
          <w:szCs w:val="26"/>
        </w:rPr>
        <w:t xml:space="preserve">Refinements to Policies and Procedures for </w:t>
      </w:r>
      <w:r w:rsidRPr="00794196">
        <w:rPr>
          <w:rFonts w:ascii="Times New Roman" w:hAnsi="Times New Roman" w:cs="Times New Roman"/>
          <w:bCs/>
          <w:sz w:val="26"/>
          <w:szCs w:val="26"/>
        </w:rPr>
        <w:t>Market Base Rates for Wholesale Sales of Electric Energy, Capacity and Ancillary Services by Public Utilities, OMB Control No. 1902-0234).</w:t>
      </w:r>
      <w:r w:rsidR="002728A5">
        <w:rPr>
          <w:rFonts w:ascii="Times New Roman" w:hAnsi="Times New Roman" w:cs="Times New Roman"/>
          <w:bCs/>
          <w:sz w:val="26"/>
          <w:szCs w:val="26"/>
        </w:rPr>
        <w:t xml:space="preserve"> </w:t>
      </w:r>
      <w:r w:rsidRPr="00794196">
        <w:rPr>
          <w:rFonts w:ascii="Times New Roman" w:hAnsi="Times New Roman" w:cs="Times New Roman"/>
          <w:sz w:val="26"/>
          <w:szCs w:val="26"/>
        </w:rPr>
        <w:t xml:space="preserve"> </w:t>
      </w:r>
      <w:r>
        <w:rPr>
          <w:rFonts w:ascii="Times New Roman" w:hAnsi="Times New Roman" w:cs="Times New Roman"/>
          <w:sz w:val="26"/>
          <w:szCs w:val="26"/>
        </w:rPr>
        <w:t>This renewal is for a request for a t</w:t>
      </w:r>
      <w:r w:rsidRPr="00255AD5">
        <w:rPr>
          <w:rFonts w:ascii="Times New Roman" w:hAnsi="Times New Roman" w:cs="Times New Roman"/>
          <w:sz w:val="26"/>
          <w:szCs w:val="26"/>
        </w:rPr>
        <w:t xml:space="preserve">hree-year extension of these information collection requirements for all collections described below with no changes to the current reporting requirements.  </w:t>
      </w:r>
      <w:r w:rsidRPr="003779D9" w:rsidR="003779D9">
        <w:rPr>
          <w:rFonts w:ascii="Times New Roman" w:hAnsi="Times New Roman" w:cs="Times New Roman"/>
          <w:sz w:val="26"/>
          <w:szCs w:val="26"/>
        </w:rPr>
        <w:t xml:space="preserve">Please note: </w:t>
      </w:r>
      <w:bookmarkStart w:id="0" w:name="_Hlk112934961"/>
      <w:r w:rsidRPr="003779D9" w:rsidR="003779D9">
        <w:rPr>
          <w:rFonts w:ascii="Times New Roman" w:hAnsi="Times New Roman" w:cs="Times New Roman"/>
          <w:sz w:val="26"/>
          <w:szCs w:val="26"/>
        </w:rPr>
        <w:t>FERC-919A is a temporary collection number proposed to be combined into FERC-919</w:t>
      </w:r>
      <w:bookmarkEnd w:id="0"/>
      <w:r w:rsidRPr="003779D9" w:rsidR="003779D9">
        <w:rPr>
          <w:rFonts w:ascii="Times New Roman" w:hAnsi="Times New Roman" w:cs="Times New Roman"/>
          <w:sz w:val="26"/>
          <w:szCs w:val="26"/>
        </w:rPr>
        <w:t>.</w:t>
      </w:r>
    </w:p>
    <w:p w:rsidR="00794196" w:rsidRPr="00794196" w14:paraId="184642D4" w14:textId="5281AEB1">
      <w:pPr>
        <w:spacing w:after="0"/>
        <w:rPr>
          <w:rFonts w:ascii="Times New Roman" w:hAnsi="Times New Roman" w:cs="Times New Roman"/>
          <w:sz w:val="26"/>
          <w:szCs w:val="26"/>
        </w:rPr>
      </w:pPr>
    </w:p>
    <w:p w:rsidR="00794196" w:rsidRPr="00794196" w14:paraId="184642D6" w14:textId="77777777">
      <w:pPr>
        <w:numPr>
          <w:ilvl w:val="0"/>
          <w:numId w:val="1"/>
        </w:numPr>
        <w:tabs>
          <w:tab w:val="num" w:pos="720"/>
        </w:tabs>
        <w:spacing w:after="0"/>
        <w:rPr>
          <w:rFonts w:ascii="Times New Roman" w:hAnsi="Times New Roman" w:cs="Times New Roman"/>
          <w:sz w:val="26"/>
          <w:szCs w:val="26"/>
        </w:rPr>
      </w:pPr>
      <w:r w:rsidRPr="00794196">
        <w:rPr>
          <w:rFonts w:ascii="Times New Roman" w:hAnsi="Times New Roman" w:cs="Times New Roman"/>
          <w:b/>
          <w:sz w:val="26"/>
          <w:szCs w:val="26"/>
        </w:rPr>
        <w:t xml:space="preserve">CIRCUMSTANCES THAT MAKE THE COLLECTION OF INFORMATION NECESSARY  </w:t>
      </w:r>
    </w:p>
    <w:p w:rsidR="00255029" w14:paraId="4B83CDC1" w14:textId="77777777">
      <w:pPr>
        <w:spacing w:after="0"/>
        <w:rPr>
          <w:rFonts w:ascii="Times New Roman" w:hAnsi="Times New Roman" w:cs="Times New Roman"/>
          <w:sz w:val="26"/>
          <w:szCs w:val="26"/>
        </w:rPr>
      </w:pPr>
    </w:p>
    <w:p w:rsidR="00794196" w:rsidRPr="00794196" w14:paraId="184642D7" w14:textId="06656DC7">
      <w:pPr>
        <w:spacing w:after="0"/>
        <w:rPr>
          <w:rFonts w:ascii="Times New Roman" w:hAnsi="Times New Roman" w:cs="Times New Roman"/>
          <w:sz w:val="26"/>
          <w:szCs w:val="26"/>
        </w:rPr>
      </w:pPr>
      <w:r w:rsidRPr="00794196">
        <w:rPr>
          <w:rFonts w:ascii="Times New Roman" w:hAnsi="Times New Roman" w:cs="Times New Roman"/>
          <w:sz w:val="26"/>
          <w:szCs w:val="26"/>
        </w:rPr>
        <w:t>Federal Power Act (FPA) sections 205</w:t>
      </w:r>
      <w:r>
        <w:rPr>
          <w:rFonts w:ascii="Times New Roman" w:hAnsi="Times New Roman" w:cs="Times New Roman"/>
          <w:sz w:val="26"/>
          <w:szCs w:val="26"/>
          <w:vertAlign w:val="superscript"/>
        </w:rPr>
        <w:footnoteReference w:id="3"/>
      </w:r>
      <w:r w:rsidRPr="00794196">
        <w:rPr>
          <w:rFonts w:ascii="Times New Roman" w:hAnsi="Times New Roman" w:cs="Times New Roman"/>
          <w:sz w:val="26"/>
          <w:szCs w:val="26"/>
        </w:rPr>
        <w:t xml:space="preserve"> and 206 make collection of this information necessary.  The FPA Section 205 requires the Commission to ensure that the rates and charges for the wholesale sale of electric energy are just and reasonable. </w:t>
      </w:r>
      <w:r w:rsidR="002728A5">
        <w:rPr>
          <w:rFonts w:ascii="Times New Roman" w:hAnsi="Times New Roman" w:cs="Times New Roman"/>
          <w:sz w:val="26"/>
          <w:szCs w:val="26"/>
        </w:rPr>
        <w:t xml:space="preserve"> </w:t>
      </w:r>
      <w:r w:rsidRPr="00794196">
        <w:rPr>
          <w:rFonts w:ascii="Times New Roman" w:hAnsi="Times New Roman" w:cs="Times New Roman"/>
          <w:sz w:val="26"/>
          <w:szCs w:val="26"/>
        </w:rPr>
        <w:t xml:space="preserve">Section 205 also requires that the rules and regulations affecting or pertaining to the rates and charges for the wholesale sale of electric energy be just and reasonable.  </w:t>
      </w:r>
    </w:p>
    <w:p w:rsidR="00255029" w14:paraId="285028FF" w14:textId="77777777">
      <w:pPr>
        <w:spacing w:after="0"/>
        <w:rPr>
          <w:rFonts w:ascii="Times New Roman" w:hAnsi="Times New Roman" w:cs="Times New Roman"/>
          <w:sz w:val="26"/>
          <w:szCs w:val="26"/>
        </w:rPr>
      </w:pPr>
    </w:p>
    <w:p w:rsidR="00475234" w14:paraId="1F9506CE" w14:textId="01D56FFF">
      <w:pPr>
        <w:spacing w:after="0"/>
        <w:rPr>
          <w:rFonts w:ascii="Times New Roman" w:hAnsi="Times New Roman" w:cs="Times New Roman"/>
          <w:sz w:val="26"/>
          <w:szCs w:val="26"/>
        </w:rPr>
      </w:pPr>
      <w:r w:rsidRPr="00794196">
        <w:rPr>
          <w:rFonts w:ascii="Times New Roman" w:hAnsi="Times New Roman" w:cs="Times New Roman"/>
          <w:sz w:val="26"/>
          <w:szCs w:val="26"/>
        </w:rPr>
        <w:t xml:space="preserve">Section 206 allows the Commission to revoke a seller’s market-based rate authorization if it determines that the seller may have gained market power since its original authorization to </w:t>
      </w:r>
      <w:r w:rsidR="002728A5">
        <w:rPr>
          <w:rFonts w:ascii="Times New Roman" w:hAnsi="Times New Roman" w:cs="Times New Roman"/>
          <w:sz w:val="26"/>
          <w:szCs w:val="26"/>
        </w:rPr>
        <w:t>sell at</w:t>
      </w:r>
      <w:r w:rsidRPr="00794196" w:rsidR="002728A5">
        <w:rPr>
          <w:rFonts w:ascii="Times New Roman" w:hAnsi="Times New Roman" w:cs="Times New Roman"/>
          <w:sz w:val="26"/>
          <w:szCs w:val="26"/>
        </w:rPr>
        <w:t xml:space="preserve"> </w:t>
      </w:r>
      <w:r w:rsidRPr="00794196">
        <w:rPr>
          <w:rFonts w:ascii="Times New Roman" w:hAnsi="Times New Roman" w:cs="Times New Roman"/>
          <w:sz w:val="26"/>
          <w:szCs w:val="26"/>
        </w:rPr>
        <w:t>market</w:t>
      </w:r>
      <w:r w:rsidR="002728A5">
        <w:rPr>
          <w:rFonts w:ascii="Times New Roman" w:hAnsi="Times New Roman" w:cs="Times New Roman"/>
          <w:sz w:val="26"/>
          <w:szCs w:val="26"/>
        </w:rPr>
        <w:t>-</w:t>
      </w:r>
      <w:r w:rsidRPr="00794196">
        <w:rPr>
          <w:rFonts w:ascii="Times New Roman" w:hAnsi="Times New Roman" w:cs="Times New Roman"/>
          <w:sz w:val="26"/>
          <w:szCs w:val="26"/>
        </w:rPr>
        <w:t xml:space="preserve">based rates. </w:t>
      </w:r>
    </w:p>
    <w:p w:rsidR="00794196" w:rsidRPr="00794196" w14:paraId="184642D8" w14:textId="3332DFB5">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rsidR="0006122E" w:rsidRPr="00794196" w:rsidP="003779D9" w14:paraId="0F4BC42F" w14:textId="77777777">
      <w:pPr>
        <w:spacing w:after="0"/>
        <w:rPr>
          <w:rFonts w:ascii="Times New Roman" w:hAnsi="Times New Roman" w:cs="Times New Roman"/>
          <w:sz w:val="26"/>
          <w:szCs w:val="26"/>
        </w:rPr>
      </w:pPr>
    </w:p>
    <w:p w:rsidR="00794196" w:rsidP="0006122E" w14:paraId="184642DE" w14:textId="68B1F120">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HOW, BY WHOM, AND FOR WHAT PURPOSE THE INFORMATION IS TO BE USED AND THE CONSEQUENCES OF NOT COLLECTING THE INFORMATION</w:t>
      </w:r>
    </w:p>
    <w:p w:rsidR="0006122E" w:rsidRPr="00794196" w:rsidP="008F5E4B" w14:paraId="0D7C3F5B" w14:textId="77777777">
      <w:pPr>
        <w:spacing w:after="0"/>
        <w:rPr>
          <w:rFonts w:ascii="Times New Roman" w:hAnsi="Times New Roman" w:cs="Times New Roman"/>
          <w:b/>
          <w:sz w:val="26"/>
          <w:szCs w:val="26"/>
        </w:rPr>
      </w:pPr>
    </w:p>
    <w:p w:rsidR="00B61617" w:rsidRPr="00423821" w:rsidP="008F5E4B" w14:paraId="122312C4" w14:textId="562FAE0A">
      <w:pPr>
        <w:contextualSpacing/>
        <w:rPr>
          <w:rFonts w:ascii="Times New Roman" w:hAnsi="Times New Roman" w:cs="Times New Roman"/>
          <w:color w:val="FF0000"/>
          <w:sz w:val="26"/>
          <w:szCs w:val="26"/>
        </w:rPr>
      </w:pPr>
      <w:r w:rsidRPr="00423821">
        <w:rPr>
          <w:rFonts w:ascii="Times New Roman" w:hAnsi="Times New Roman" w:cs="Times New Roman"/>
          <w:sz w:val="26"/>
          <w:szCs w:val="26"/>
        </w:rPr>
        <w:t xml:space="preserve">The purpose for collecting this information is to ensure that market-based rates charged by public utilities are just and reasonable, as Congress has mandated. </w:t>
      </w:r>
      <w:r w:rsidRPr="00423821" w:rsidR="0006122E">
        <w:rPr>
          <w:rFonts w:ascii="Times New Roman" w:hAnsi="Times New Roman" w:cs="Times New Roman"/>
          <w:sz w:val="26"/>
          <w:szCs w:val="26"/>
        </w:rPr>
        <w:t xml:space="preserve"> </w:t>
      </w:r>
      <w:r w:rsidRPr="00423821">
        <w:rPr>
          <w:rFonts w:ascii="Times New Roman" w:hAnsi="Times New Roman" w:cs="Times New Roman"/>
          <w:sz w:val="26"/>
          <w:szCs w:val="26"/>
        </w:rPr>
        <w:t>Part 35</w:t>
      </w:r>
      <w:r>
        <w:rPr>
          <w:rStyle w:val="FootnoteReference"/>
          <w:rFonts w:ascii="Times New Roman" w:hAnsi="Times New Roman" w:cs="Times New Roman"/>
          <w:sz w:val="26"/>
          <w:szCs w:val="26"/>
        </w:rPr>
        <w:footnoteReference w:id="4"/>
      </w:r>
      <w:r w:rsidRPr="00423821">
        <w:rPr>
          <w:rFonts w:ascii="Times New Roman" w:hAnsi="Times New Roman" w:cs="Times New Roman"/>
          <w:sz w:val="26"/>
          <w:szCs w:val="26"/>
        </w:rPr>
        <w:t xml:space="preserve"> of the </w:t>
      </w:r>
      <w:r w:rsidRPr="00423821">
        <w:rPr>
          <w:rFonts w:ascii="Times New Roman" w:hAnsi="Times New Roman" w:cs="Times New Roman"/>
          <w:sz w:val="26"/>
          <w:szCs w:val="26"/>
        </w:rPr>
        <w:t xml:space="preserve">Commission’s regulations contains the regulations that require </w:t>
      </w:r>
      <w:r w:rsidR="00492312">
        <w:rPr>
          <w:rFonts w:ascii="Times New Roman" w:hAnsi="Times New Roman" w:cs="Times New Roman"/>
          <w:sz w:val="26"/>
          <w:szCs w:val="26"/>
        </w:rPr>
        <w:t>s</w:t>
      </w:r>
      <w:r w:rsidRPr="00423821">
        <w:rPr>
          <w:rFonts w:ascii="Times New Roman" w:hAnsi="Times New Roman" w:cs="Times New Roman"/>
          <w:sz w:val="26"/>
          <w:szCs w:val="26"/>
        </w:rPr>
        <w:t xml:space="preserve">ellers to submit market power analyses and related reports.  </w:t>
      </w:r>
    </w:p>
    <w:p w:rsidR="00794196" w:rsidRPr="00794196" w:rsidP="008F5E4B" w14:paraId="184642E9" w14:textId="3DF7001C">
      <w:pPr>
        <w:contextualSpacing/>
        <w:rPr>
          <w:rFonts w:ascii="Times New Roman" w:hAnsi="Times New Roman" w:cs="Times New Roman"/>
          <w:sz w:val="26"/>
          <w:szCs w:val="26"/>
        </w:rPr>
      </w:pPr>
    </w:p>
    <w:p w:rsidR="00794196" w:rsidRPr="00794196" w14:paraId="184642EA"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Market power analyses help inform the Commission as to whether an entity seeking market-based rate authority lacks market power, and whether sales by that entity will be just and reasonable.  The market power analyses described above allow the Commission to monitor market-based rate authority to detect changes in market power or potential abuses of market power and permit the Commission to determine that continued market-based rate authority will still yield rates that are just and reasonable.  The criteria and process outlined above clarify Commission expectations for market-based rate tariffs and Commission review criteria.  This improves regulatory efficiency of Commission analysis and determination of market-based rate authority.  It also helps reduce document preparation time overall and provides utilities with clearly defined requirements.  </w:t>
      </w:r>
    </w:p>
    <w:p w:rsidR="00794196" w:rsidRPr="00794196" w14:paraId="184642EB" w14:textId="77777777">
      <w:pPr>
        <w:spacing w:after="0"/>
        <w:rPr>
          <w:rFonts w:ascii="Times New Roman" w:hAnsi="Times New Roman" w:cs="Times New Roman"/>
          <w:sz w:val="26"/>
          <w:szCs w:val="26"/>
        </w:rPr>
      </w:pPr>
    </w:p>
    <w:p w:rsidR="00794196" w14:paraId="184642EC" w14:textId="73E8E1C8">
      <w:pPr>
        <w:spacing w:after="0"/>
        <w:rPr>
          <w:rFonts w:ascii="Times New Roman" w:hAnsi="Times New Roman" w:cs="Times New Roman"/>
          <w:sz w:val="26"/>
          <w:szCs w:val="26"/>
        </w:rPr>
      </w:pPr>
      <w:r w:rsidRPr="00794196">
        <w:rPr>
          <w:rFonts w:ascii="Times New Roman" w:hAnsi="Times New Roman" w:cs="Times New Roman"/>
          <w:sz w:val="26"/>
          <w:szCs w:val="26"/>
        </w:rPr>
        <w:t>Without this information, the Commission would be unable to meet its statutory responsibility to ensure electric utility rate and tariff filings are just and reasonable.  Failing to meet this responsibility would result in public utilities charging rates that are not just and reasonable.</w:t>
      </w:r>
    </w:p>
    <w:p w:rsidR="00DA574C" w:rsidRPr="00794196" w14:paraId="482AAA8B" w14:textId="77777777">
      <w:pPr>
        <w:spacing w:after="0"/>
        <w:rPr>
          <w:rFonts w:ascii="Times New Roman" w:hAnsi="Times New Roman" w:cs="Times New Roman"/>
          <w:sz w:val="26"/>
          <w:szCs w:val="26"/>
        </w:rPr>
      </w:pPr>
    </w:p>
    <w:p w:rsidR="00646ABF" w:rsidP="0006122E" w14:paraId="2C106855" w14:textId="300F897B">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The FERC–919 collection is necessary to ensure that market-based rates charged by public utilities are just and reasonable as mandated by Federal Power Act (FPA) sections 205 and 206.  Section 205 of the FPA requires just and reasonable rates and charges.  Section 206 allows the Commission to revoke a seller’s market-based rate authorization if it determines that the seller may have gained market power since it was originally granted market-based rate authorization by the Commission. FERC-919, as stated in 18 Code of Federal Regulations (CFR) Part 35, Subpart H,</w:t>
      </w:r>
      <w:r>
        <w:rPr>
          <w:rFonts w:ascii="Times New Roman" w:eastAsia="Times New Roman" w:hAnsi="Times New Roman" w:cs="Times New Roman"/>
          <w:b/>
          <w:sz w:val="26"/>
          <w:szCs w:val="26"/>
          <w:vertAlign w:val="superscript"/>
        </w:rPr>
        <w:footnoteReference w:id="5"/>
      </w:r>
      <w:r w:rsidRPr="00DA574C">
        <w:rPr>
          <w:rFonts w:ascii="Times New Roman" w:eastAsia="Times New Roman" w:hAnsi="Times New Roman" w:cs="Times New Roman"/>
          <w:sz w:val="26"/>
          <w:szCs w:val="24"/>
        </w:rPr>
        <w:t xml:space="preserve"> the Commission codifies market-based rate standards for generating electric utilities for use in the Commission’s determination of whether a wholesale seller of electric energy, capacity, or ancillary services qualify for market-based rate authority.  Subpart H mandates that sellers submit market power analyses and related filings (descriptions below). Market power analyses must address both horizontal and vertical market power.   </w:t>
      </w:r>
    </w:p>
    <w:p w:rsidR="00DA574C" w:rsidRPr="00DA574C" w14:paraId="5A091290" w14:textId="15F32648">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 xml:space="preserve"> </w:t>
      </w:r>
    </w:p>
    <w:p w:rsidR="00DA574C" w:rsidRPr="00DA574C" w14:paraId="291A0C9C" w14:textId="77777777">
      <w:pPr>
        <w:spacing w:after="0" w:line="240" w:lineRule="auto"/>
        <w:rPr>
          <w:rFonts w:ascii="Times New Roman" w:eastAsia="Times New Roman" w:hAnsi="Times New Roman" w:cs="Times New Roman"/>
          <w:b/>
          <w:bCs/>
          <w:sz w:val="26"/>
          <w:szCs w:val="24"/>
        </w:rPr>
      </w:pPr>
      <w:r w:rsidRPr="00DA574C">
        <w:rPr>
          <w:rFonts w:ascii="Times New Roman" w:eastAsia="Times New Roman" w:hAnsi="Times New Roman" w:cs="Times New Roman"/>
          <w:b/>
          <w:bCs/>
          <w:sz w:val="26"/>
          <w:szCs w:val="24"/>
        </w:rPr>
        <w:t>Horizontal Market Power Analysis</w:t>
      </w:r>
    </w:p>
    <w:p w:rsidR="00DA574C" w14:paraId="67627E88" w14:textId="7674C91C">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T</w:t>
      </w:r>
      <w:r w:rsidR="003A60EE">
        <w:rPr>
          <w:rFonts w:ascii="Times New Roman" w:eastAsia="Times New Roman" w:hAnsi="Times New Roman" w:cs="Times New Roman"/>
          <w:sz w:val="26"/>
          <w:szCs w:val="24"/>
        </w:rPr>
        <w:t>o</w:t>
      </w:r>
      <w:r w:rsidRPr="00DA574C">
        <w:rPr>
          <w:rFonts w:ascii="Times New Roman" w:eastAsia="Times New Roman" w:hAnsi="Times New Roman" w:cs="Times New Roman"/>
          <w:sz w:val="26"/>
          <w:szCs w:val="24"/>
        </w:rPr>
        <w:t xml:space="preserve"> demonstrate a lack of horizontal market power, the Commission requires two indicative market power screens:  the uncommitted pivotal supplier screen (which is based on the annual peak demand of the relevant market) and the uncommitted market share screen applied on a seasonal basis.  The Commission presumes sellers that fail either screen to have market power and such sellers may submit a delivered price test analysis or alternative evidence to rebut the presumption of horizontal market power.  If a seller fails to rebut the presumption of horizontal market power, the Commission sets the just and reasonable rate at the default cost-based rate unless it approves different mitigation based on case specific circumstances.  When submitting horizontal market power analyses, a seller must submit the horizontal market power analysis into a relational database for it to be retrievable in conformance with the instructions posted on the Commission's website.</w:t>
      </w:r>
      <w:r>
        <w:rPr>
          <w:rFonts w:ascii="Times New Roman" w:eastAsia="Times New Roman" w:hAnsi="Times New Roman" w:cs="Times New Roman"/>
          <w:b/>
          <w:sz w:val="26"/>
          <w:szCs w:val="26"/>
          <w:vertAlign w:val="superscript"/>
        </w:rPr>
        <w:footnoteReference w:id="6"/>
      </w:r>
      <w:r w:rsidRPr="00DA574C">
        <w:rPr>
          <w:rFonts w:ascii="Times New Roman" w:eastAsia="Times New Roman" w:hAnsi="Times New Roman" w:cs="Times New Roman"/>
          <w:sz w:val="26"/>
          <w:szCs w:val="24"/>
        </w:rPr>
        <w:t xml:space="preserve">  A seller must also include all supporting materials referenced in the indicative screens.</w:t>
      </w:r>
    </w:p>
    <w:p w:rsidR="00222FA8" w:rsidRPr="00DA574C" w14:paraId="7A86227D" w14:textId="77777777">
      <w:pPr>
        <w:spacing w:after="0" w:line="240" w:lineRule="auto"/>
        <w:rPr>
          <w:rFonts w:ascii="Times New Roman" w:eastAsia="Times New Roman" w:hAnsi="Times New Roman" w:cs="Times New Roman"/>
          <w:sz w:val="26"/>
          <w:szCs w:val="24"/>
        </w:rPr>
      </w:pPr>
    </w:p>
    <w:p w:rsidR="00DA574C" w:rsidRPr="00DA574C" w14:paraId="489D1AA5" w14:textId="77777777">
      <w:pPr>
        <w:spacing w:after="0" w:line="240" w:lineRule="auto"/>
        <w:rPr>
          <w:rFonts w:ascii="Times New Roman" w:eastAsia="Times New Roman" w:hAnsi="Times New Roman" w:cs="Times New Roman"/>
          <w:b/>
          <w:bCs/>
          <w:sz w:val="26"/>
          <w:szCs w:val="24"/>
        </w:rPr>
      </w:pPr>
      <w:r w:rsidRPr="00DA574C">
        <w:rPr>
          <w:rFonts w:ascii="Times New Roman" w:eastAsia="Times New Roman" w:hAnsi="Times New Roman" w:cs="Times New Roman"/>
          <w:b/>
          <w:bCs/>
          <w:sz w:val="26"/>
          <w:szCs w:val="24"/>
        </w:rPr>
        <w:t>Vertical Market Power Analysis</w:t>
      </w:r>
    </w:p>
    <w:p w:rsidR="00DA574C" w:rsidRPr="00DA574C" w14:paraId="4E1413B7" w14:textId="77777777">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ab/>
        <w:t>To demonstrate a lack of vertical market power, if a public utility with market-based rates, or any of its affiliates, owns, operates or controls transmission facilities, that public utility must:</w:t>
      </w:r>
    </w:p>
    <w:p w:rsidR="00DA574C" w:rsidRPr="00DA574C" w:rsidP="008F5E4B" w14:paraId="73454345" w14:textId="77777777">
      <w:pPr>
        <w:numPr>
          <w:ilvl w:val="0"/>
          <w:numId w:val="5"/>
        </w:num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Have on file a Commission-approved Open Access Transmission Tariff</w:t>
      </w:r>
      <w:r>
        <w:rPr>
          <w:rFonts w:ascii="Times New Roman" w:eastAsia="Times New Roman" w:hAnsi="Times New Roman" w:cs="Times New Roman"/>
          <w:b/>
          <w:sz w:val="26"/>
          <w:szCs w:val="26"/>
          <w:vertAlign w:val="superscript"/>
        </w:rPr>
        <w:footnoteReference w:id="7"/>
      </w:r>
    </w:p>
    <w:p w:rsidR="00DA574C" w:rsidRPr="00DA574C" w:rsidP="008F5E4B" w14:paraId="4332AE92" w14:textId="77777777">
      <w:pPr>
        <w:numPr>
          <w:ilvl w:val="0"/>
          <w:numId w:val="5"/>
        </w:num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Submit a description of its ownership or control of, or affiliation with an entity that owns or controls:</w:t>
      </w:r>
    </w:p>
    <w:p w:rsidR="00DA574C" w:rsidRPr="00DA574C" w:rsidP="008F5E4B" w14:paraId="0A5FDE4D" w14:textId="77777777">
      <w:pPr>
        <w:numPr>
          <w:ilvl w:val="1"/>
          <w:numId w:val="5"/>
        </w:num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Intrastate natural gas transportation, intrastate natural gas storage or distribution facilities</w:t>
      </w:r>
    </w:p>
    <w:p w:rsidR="00DA574C" w:rsidRPr="00DA574C" w:rsidP="008F5E4B" w14:paraId="1ADFD97C" w14:textId="77777777">
      <w:pPr>
        <w:numPr>
          <w:ilvl w:val="1"/>
          <w:numId w:val="5"/>
        </w:num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Physical coal supply sources and ownership or control over who may access transportation of coal supplies</w:t>
      </w:r>
    </w:p>
    <w:p w:rsidR="00DA574C" w:rsidP="0006122E" w14:paraId="18A735A7" w14:textId="277C8057">
      <w:pPr>
        <w:numPr>
          <w:ilvl w:val="0"/>
          <w:numId w:val="5"/>
        </w:num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Make an affirmative statement that it and its affiliates have not erected and will not erect barriers to entry into the relevant market</w:t>
      </w:r>
      <w:r w:rsidR="00B35F6F">
        <w:rPr>
          <w:rFonts w:ascii="Times New Roman" w:eastAsia="Times New Roman" w:hAnsi="Times New Roman" w:cs="Times New Roman"/>
          <w:sz w:val="26"/>
          <w:szCs w:val="24"/>
        </w:rPr>
        <w:t>.</w:t>
      </w:r>
    </w:p>
    <w:p w:rsidR="00B35F6F" w:rsidRPr="00DA574C" w:rsidP="008F5E4B" w14:paraId="75C87D51" w14:textId="77777777">
      <w:pPr>
        <w:spacing w:after="0" w:line="240" w:lineRule="auto"/>
        <w:ind w:left="720"/>
        <w:rPr>
          <w:rFonts w:ascii="Times New Roman" w:eastAsia="Times New Roman" w:hAnsi="Times New Roman" w:cs="Times New Roman"/>
          <w:sz w:val="26"/>
          <w:szCs w:val="24"/>
        </w:rPr>
      </w:pPr>
    </w:p>
    <w:p w:rsidR="00DA574C" w:rsidRPr="00DA574C" w:rsidP="0006122E" w14:paraId="61C205B5" w14:textId="77777777">
      <w:pPr>
        <w:spacing w:after="0" w:line="240" w:lineRule="auto"/>
        <w:rPr>
          <w:rFonts w:ascii="Times New Roman" w:eastAsia="Times New Roman" w:hAnsi="Times New Roman" w:cs="Times New Roman"/>
          <w:b/>
          <w:bCs/>
          <w:sz w:val="26"/>
          <w:szCs w:val="24"/>
        </w:rPr>
      </w:pPr>
      <w:r w:rsidRPr="00DA574C">
        <w:rPr>
          <w:rFonts w:ascii="Times New Roman" w:eastAsia="Times New Roman" w:hAnsi="Times New Roman" w:cs="Times New Roman"/>
          <w:b/>
          <w:bCs/>
          <w:sz w:val="26"/>
          <w:szCs w:val="24"/>
        </w:rPr>
        <w:t>Asset Appendix</w:t>
      </w:r>
    </w:p>
    <w:p w:rsidR="00DA574C" w:rsidRPr="00DA574C" w:rsidP="0006122E" w14:paraId="6B61D9E0" w14:textId="0C9BB6F8">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ab/>
        <w:t xml:space="preserve">In addition to the market power analyses, a seller must </w:t>
      </w:r>
      <w:r w:rsidR="00DB1B85">
        <w:rPr>
          <w:rFonts w:ascii="Times New Roman" w:eastAsia="Times New Roman" w:hAnsi="Times New Roman" w:cs="Times New Roman"/>
          <w:sz w:val="26"/>
          <w:szCs w:val="24"/>
        </w:rPr>
        <w:t xml:space="preserve">submit information </w:t>
      </w:r>
      <w:r w:rsidRPr="00DA574C">
        <w:rPr>
          <w:rFonts w:ascii="Times New Roman" w:eastAsia="Times New Roman" w:hAnsi="Times New Roman" w:cs="Times New Roman"/>
          <w:sz w:val="26"/>
          <w:szCs w:val="24"/>
        </w:rPr>
        <w:t>in</w:t>
      </w:r>
      <w:r w:rsidR="00DB1B85">
        <w:rPr>
          <w:rFonts w:ascii="Times New Roman" w:eastAsia="Times New Roman" w:hAnsi="Times New Roman" w:cs="Times New Roman"/>
          <w:sz w:val="26"/>
          <w:szCs w:val="24"/>
        </w:rPr>
        <w:t>to</w:t>
      </w:r>
      <w:r w:rsidRPr="00DA574C">
        <w:rPr>
          <w:rFonts w:ascii="Times New Roman" w:eastAsia="Times New Roman" w:hAnsi="Times New Roman" w:cs="Times New Roman"/>
          <w:sz w:val="26"/>
          <w:szCs w:val="24"/>
        </w:rPr>
        <w:t xml:space="preserve"> the relational database </w:t>
      </w:r>
      <w:r w:rsidR="00DB1B85">
        <w:rPr>
          <w:rFonts w:ascii="Times New Roman" w:eastAsia="Times New Roman" w:hAnsi="Times New Roman" w:cs="Times New Roman"/>
          <w:sz w:val="26"/>
          <w:szCs w:val="24"/>
        </w:rPr>
        <w:t>in order to generate an asset appendix</w:t>
      </w:r>
      <w:r w:rsidR="0011762A">
        <w:rPr>
          <w:rFonts w:ascii="Times New Roman" w:eastAsia="Times New Roman" w:hAnsi="Times New Roman" w:cs="Times New Roman"/>
          <w:sz w:val="26"/>
          <w:szCs w:val="24"/>
        </w:rPr>
        <w:t>.  A seller must then reference this asset appendix via serial number</w:t>
      </w:r>
      <w:r w:rsidR="00DB1B85">
        <w:rPr>
          <w:rFonts w:ascii="Times New Roman" w:eastAsia="Times New Roman" w:hAnsi="Times New Roman" w:cs="Times New Roman"/>
          <w:sz w:val="26"/>
          <w:szCs w:val="24"/>
        </w:rPr>
        <w:t xml:space="preserve"> </w:t>
      </w:r>
      <w:r w:rsidRPr="00DA574C">
        <w:rPr>
          <w:rFonts w:ascii="Times New Roman" w:eastAsia="Times New Roman" w:hAnsi="Times New Roman" w:cs="Times New Roman"/>
          <w:sz w:val="26"/>
          <w:szCs w:val="24"/>
        </w:rPr>
        <w:t xml:space="preserve">with its initial application for market-based rate </w:t>
      </w:r>
      <w:r w:rsidRPr="00DA574C">
        <w:rPr>
          <w:rFonts w:ascii="Times New Roman" w:eastAsia="Times New Roman" w:hAnsi="Times New Roman" w:cs="Times New Roman"/>
          <w:sz w:val="26"/>
          <w:szCs w:val="24"/>
        </w:rPr>
        <w:t>authorization or updated market power analysis, and all relevant change in status filings.  The asset appendix must:</w:t>
      </w:r>
    </w:p>
    <w:p w:rsidR="00DA574C" w:rsidRPr="00B61617" w:rsidP="008F5E4B" w14:paraId="23F06083" w14:textId="77777777">
      <w:pPr>
        <w:numPr>
          <w:ilvl w:val="0"/>
          <w:numId w:val="6"/>
        </w:numPr>
        <w:spacing w:after="0" w:line="240" w:lineRule="auto"/>
        <w:ind w:left="720"/>
        <w:rPr>
          <w:rFonts w:ascii="Times New Roman" w:eastAsia="Times New Roman" w:hAnsi="Times New Roman" w:cs="Times New Roman"/>
          <w:sz w:val="26"/>
          <w:szCs w:val="26"/>
        </w:rPr>
      </w:pPr>
      <w:r w:rsidRPr="00B61617">
        <w:rPr>
          <w:rFonts w:ascii="Times New Roman" w:eastAsia="Times New Roman" w:hAnsi="Times New Roman" w:cs="Times New Roman"/>
          <w:sz w:val="26"/>
          <w:szCs w:val="26"/>
        </w:rPr>
        <w:t xml:space="preserve">List, among other things, all affiliates that have market-based rate authority   </w:t>
      </w:r>
    </w:p>
    <w:p w:rsidR="00DA574C" w:rsidRPr="008F5E4B" w:rsidP="008F5E4B" w14:paraId="57B33810" w14:textId="77777777">
      <w:pPr>
        <w:numPr>
          <w:ilvl w:val="0"/>
          <w:numId w:val="6"/>
        </w:numPr>
        <w:spacing w:after="0" w:line="240" w:lineRule="auto"/>
        <w:ind w:left="720"/>
        <w:rPr>
          <w:rFonts w:ascii="Calibri" w:eastAsia="Calibri" w:hAnsi="Calibri" w:cs="Times New Roman"/>
          <w:sz w:val="26"/>
          <w:szCs w:val="26"/>
        </w:rPr>
      </w:pPr>
      <w:r w:rsidRPr="0011762A">
        <w:rPr>
          <w:rFonts w:ascii="Times New Roman" w:eastAsia="Calibri" w:hAnsi="Times New Roman" w:cs="Times New Roman"/>
          <w:sz w:val="26"/>
          <w:szCs w:val="26"/>
        </w:rPr>
        <w:t>List all generation assets owned (clearly identifying which affiliate owns which asset) or controlled (clearly identifying which affiliate controls which asset) by the corporate family by balancing authority area, and by geographic region, and provide the in-service date and nameplate and/or seasonal ratings by unit</w:t>
      </w:r>
    </w:p>
    <w:p w:rsidR="00DA574C" w:rsidRPr="0011762A" w:rsidP="008F5E4B" w14:paraId="117A99AE" w14:textId="0A5A2E72">
      <w:pPr>
        <w:numPr>
          <w:ilvl w:val="0"/>
          <w:numId w:val="6"/>
        </w:numPr>
        <w:spacing w:after="0" w:line="240" w:lineRule="auto"/>
        <w:ind w:left="720"/>
        <w:rPr>
          <w:rFonts w:ascii="Times New Roman" w:eastAsia="Times New Roman" w:hAnsi="Times New Roman" w:cs="Times New Roman"/>
          <w:sz w:val="26"/>
          <w:szCs w:val="24"/>
        </w:rPr>
      </w:pPr>
      <w:r w:rsidRPr="00B61617">
        <w:rPr>
          <w:rFonts w:ascii="Times New Roman" w:eastAsia="Times New Roman" w:hAnsi="Times New Roman" w:cs="Times New Roman"/>
          <w:sz w:val="26"/>
          <w:szCs w:val="26"/>
        </w:rPr>
        <w:t xml:space="preserve">Must reflect </w:t>
      </w:r>
      <w:r w:rsidRPr="008F5E4B" w:rsidR="0011762A">
        <w:rPr>
          <w:rFonts w:ascii="Times New Roman" w:eastAsia="Times New Roman" w:hAnsi="Times New Roman" w:cs="Times New Roman"/>
          <w:sz w:val="26"/>
          <w:szCs w:val="26"/>
        </w:rPr>
        <w:t>if</w:t>
      </w:r>
      <w:r w:rsidRPr="00B61617" w:rsidR="0011762A">
        <w:rPr>
          <w:rFonts w:ascii="Times New Roman" w:eastAsia="Times New Roman" w:hAnsi="Times New Roman" w:cs="Times New Roman"/>
          <w:sz w:val="26"/>
          <w:szCs w:val="26"/>
        </w:rPr>
        <w:t xml:space="preserve"> </w:t>
      </w:r>
      <w:r w:rsidRPr="00B61617">
        <w:rPr>
          <w:rFonts w:ascii="Times New Roman" w:eastAsia="Times New Roman" w:hAnsi="Times New Roman" w:cs="Times New Roman"/>
          <w:sz w:val="26"/>
          <w:szCs w:val="26"/>
        </w:rPr>
        <w:t xml:space="preserve">electric transmissions and natural gas interstate pipelines and/or gas storage facilities </w:t>
      </w:r>
      <w:r w:rsidR="0011762A">
        <w:rPr>
          <w:rFonts w:ascii="Times New Roman" w:eastAsia="Times New Roman" w:hAnsi="Times New Roman" w:cs="Times New Roman"/>
          <w:sz w:val="26"/>
          <w:szCs w:val="26"/>
        </w:rPr>
        <w:t xml:space="preserve">are </w:t>
      </w:r>
      <w:r w:rsidRPr="00B61617">
        <w:rPr>
          <w:rFonts w:ascii="Times New Roman" w:eastAsia="Times New Roman" w:hAnsi="Times New Roman" w:cs="Times New Roman"/>
          <w:sz w:val="26"/>
          <w:szCs w:val="26"/>
        </w:rPr>
        <w:t xml:space="preserve">owned or controlled by the corporate family and the </w:t>
      </w:r>
      <w:r w:rsidR="0011762A">
        <w:rPr>
          <w:rFonts w:ascii="Times New Roman" w:eastAsia="Times New Roman" w:hAnsi="Times New Roman" w:cs="Times New Roman"/>
          <w:sz w:val="26"/>
          <w:szCs w:val="26"/>
        </w:rPr>
        <w:t>balancing authorit</w:t>
      </w:r>
      <w:r w:rsidR="00A67595">
        <w:rPr>
          <w:rFonts w:ascii="Times New Roman" w:eastAsia="Times New Roman" w:hAnsi="Times New Roman" w:cs="Times New Roman"/>
          <w:sz w:val="26"/>
          <w:szCs w:val="26"/>
        </w:rPr>
        <w:t>y areas</w:t>
      </w:r>
      <w:r w:rsidR="0011762A">
        <w:rPr>
          <w:rFonts w:ascii="Times New Roman" w:eastAsia="Times New Roman" w:hAnsi="Times New Roman" w:cs="Times New Roman"/>
          <w:sz w:val="26"/>
          <w:szCs w:val="26"/>
        </w:rPr>
        <w:t xml:space="preserve"> </w:t>
      </w:r>
      <w:r w:rsidRPr="00B61617">
        <w:rPr>
          <w:rFonts w:ascii="Times New Roman" w:eastAsia="Times New Roman" w:hAnsi="Times New Roman" w:cs="Times New Roman"/>
          <w:sz w:val="26"/>
          <w:szCs w:val="26"/>
        </w:rPr>
        <w:t>of such facilities</w:t>
      </w:r>
      <w:r w:rsidRPr="0011762A">
        <w:rPr>
          <w:rFonts w:ascii="Times New Roman" w:eastAsia="Times New Roman" w:hAnsi="Times New Roman" w:cs="Times New Roman"/>
          <w:sz w:val="26"/>
          <w:szCs w:val="24"/>
        </w:rPr>
        <w:t>.</w:t>
      </w:r>
    </w:p>
    <w:p w:rsidR="00DA574C" w:rsidP="0006122E" w14:paraId="27664FDA" w14:textId="6E546371">
      <w:pPr>
        <w:numPr>
          <w:ilvl w:val="0"/>
          <w:numId w:val="6"/>
        </w:numPr>
        <w:spacing w:after="0" w:line="240" w:lineRule="auto"/>
        <w:ind w:left="720"/>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List all long-term power purchases and sales agreements attributed to a seller and its affiliates by the corporate family by balancing authority area, and by geographic region, and provide the start date and end date.</w:t>
      </w:r>
    </w:p>
    <w:p w:rsidR="00B35F6F" w:rsidRPr="00DA574C" w:rsidP="008F5E4B" w14:paraId="3677DE16" w14:textId="77777777">
      <w:pPr>
        <w:spacing w:after="0" w:line="240" w:lineRule="auto"/>
        <w:ind w:left="720"/>
        <w:rPr>
          <w:rFonts w:ascii="Times New Roman" w:eastAsia="Times New Roman" w:hAnsi="Times New Roman" w:cs="Times New Roman"/>
          <w:sz w:val="26"/>
          <w:szCs w:val="24"/>
        </w:rPr>
      </w:pPr>
    </w:p>
    <w:p w:rsidR="00DA574C" w:rsidRPr="00DA574C" w:rsidP="0006122E" w14:paraId="1B12150C" w14:textId="77777777">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b/>
          <w:bCs/>
          <w:sz w:val="26"/>
          <w:szCs w:val="24"/>
        </w:rPr>
        <w:t>Triennial Market Power Analysis</w:t>
      </w:r>
    </w:p>
    <w:p w:rsidR="00DA574C" w:rsidP="0006122E" w14:paraId="1FBE1F57" w14:textId="2F8FCB88">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ab/>
        <w:t>Sellers that own or control 500 megawatts or more of generation and/or that own, operate or control transmission facilities, are affiliated with any entity that owns, operates or controls transmission facilities in the same region as the seller’s generation assets, or with a franchised public utility in the same region as the seller’s generation assets are required to file updated market power analyses every three years.  The updated market power analyses must demonstrate that a seller does not possess horizontal market power.</w:t>
      </w:r>
    </w:p>
    <w:p w:rsidR="00B35F6F" w:rsidRPr="00DA574C" w:rsidP="0006122E" w14:paraId="3A7FFC92" w14:textId="77777777">
      <w:pPr>
        <w:spacing w:after="0" w:line="240" w:lineRule="auto"/>
        <w:rPr>
          <w:rFonts w:ascii="Times New Roman" w:eastAsia="Times New Roman" w:hAnsi="Times New Roman" w:cs="Times New Roman"/>
          <w:sz w:val="26"/>
          <w:szCs w:val="24"/>
        </w:rPr>
      </w:pPr>
    </w:p>
    <w:p w:rsidR="00DA574C" w:rsidRPr="00DA574C" w:rsidP="0006122E" w14:paraId="5BC50600" w14:textId="77777777">
      <w:pPr>
        <w:spacing w:after="0" w:line="240" w:lineRule="auto"/>
        <w:rPr>
          <w:rFonts w:ascii="Times New Roman" w:eastAsia="Times New Roman" w:hAnsi="Times New Roman" w:cs="Times New Roman"/>
          <w:b/>
          <w:bCs/>
          <w:sz w:val="26"/>
          <w:szCs w:val="24"/>
        </w:rPr>
      </w:pPr>
      <w:r w:rsidRPr="00DA574C">
        <w:rPr>
          <w:rFonts w:ascii="Times New Roman" w:eastAsia="Times New Roman" w:hAnsi="Times New Roman" w:cs="Times New Roman"/>
          <w:b/>
          <w:bCs/>
          <w:sz w:val="26"/>
          <w:szCs w:val="24"/>
        </w:rPr>
        <w:t>Change in Status Filings</w:t>
      </w:r>
    </w:p>
    <w:p w:rsidR="00DA574C" w:rsidP="0006122E" w14:paraId="30840D16" w14:textId="5B09308C">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ab/>
        <w:t>Concerning changes in status filings, the Commission requires that sellers file notices of such changes no later than each quarter after the change in status occurs.  The Commission also requires that each seller must include an appendix in the relational database identifying specified assets with each pertinent change in status notification filed.</w:t>
      </w:r>
    </w:p>
    <w:p w:rsidR="00B35F6F" w:rsidRPr="00DA574C" w14:paraId="0A985DF4" w14:textId="77777777">
      <w:pPr>
        <w:spacing w:after="0" w:line="240" w:lineRule="auto"/>
        <w:rPr>
          <w:rFonts w:ascii="Times New Roman" w:eastAsia="Times New Roman" w:hAnsi="Times New Roman" w:cs="Times New Roman"/>
          <w:sz w:val="26"/>
          <w:szCs w:val="24"/>
        </w:rPr>
      </w:pPr>
    </w:p>
    <w:p w:rsidR="00DA574C" w:rsidRPr="00DA574C" w14:paraId="54F6CBB9" w14:textId="77777777">
      <w:pPr>
        <w:spacing w:after="0" w:line="240" w:lineRule="auto"/>
        <w:rPr>
          <w:rFonts w:ascii="Times New Roman" w:eastAsia="Times New Roman" w:hAnsi="Times New Roman" w:cs="Times New Roman"/>
          <w:b/>
          <w:bCs/>
          <w:sz w:val="26"/>
          <w:szCs w:val="24"/>
        </w:rPr>
      </w:pPr>
      <w:r w:rsidRPr="00DA574C">
        <w:rPr>
          <w:rFonts w:ascii="Times New Roman" w:eastAsia="Times New Roman" w:hAnsi="Times New Roman" w:cs="Times New Roman"/>
          <w:b/>
          <w:bCs/>
          <w:sz w:val="26"/>
          <w:szCs w:val="24"/>
        </w:rPr>
        <w:t>Relational Database Updates</w:t>
      </w:r>
    </w:p>
    <w:p w:rsidR="00DA574C" w:rsidP="0006122E" w14:paraId="1AF26408" w14:textId="7184F0AB">
      <w:pPr>
        <w:spacing w:after="0" w:line="240" w:lineRule="auto"/>
        <w:ind w:firstLine="720"/>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 xml:space="preserve">A Seller must report changes to its </w:t>
      </w:r>
      <w:r w:rsidRPr="00DA574C" w:rsidR="00504725">
        <w:rPr>
          <w:rFonts w:ascii="Times New Roman" w:eastAsia="Times New Roman" w:hAnsi="Times New Roman" w:cs="Times New Roman"/>
          <w:sz w:val="26"/>
          <w:szCs w:val="24"/>
        </w:rPr>
        <w:t>previously submitted</w:t>
      </w:r>
      <w:r w:rsidRPr="00DA574C">
        <w:rPr>
          <w:rFonts w:ascii="Times New Roman" w:eastAsia="Times New Roman" w:hAnsi="Times New Roman" w:cs="Times New Roman"/>
          <w:sz w:val="26"/>
          <w:szCs w:val="24"/>
        </w:rPr>
        <w:t xml:space="preserve"> relational database information, excluding updates to the horizontal market power screens</w:t>
      </w:r>
      <w:r w:rsidR="00504725">
        <w:rPr>
          <w:rFonts w:ascii="Times New Roman" w:eastAsia="Times New Roman" w:hAnsi="Times New Roman" w:cs="Times New Roman"/>
          <w:sz w:val="26"/>
          <w:szCs w:val="24"/>
        </w:rPr>
        <w:t xml:space="preserve"> monthly</w:t>
      </w:r>
      <w:r w:rsidRPr="00DA574C">
        <w:rPr>
          <w:rFonts w:ascii="Times New Roman" w:eastAsia="Times New Roman" w:hAnsi="Times New Roman" w:cs="Times New Roman"/>
          <w:sz w:val="26"/>
          <w:szCs w:val="24"/>
        </w:rPr>
        <w:t>.  These submissions must be made by the 15th day of the month following the change.  These submissions include the asset appendix information described above, as well as other market-based information concerning seller category, operating reserves authorization, identification of its ultimate upstream affiliate(s), mitigation, and other limitations.</w:t>
      </w:r>
    </w:p>
    <w:p w:rsidR="00657BE7" w:rsidRPr="00DA574C" w14:paraId="2C5F2E71" w14:textId="77777777">
      <w:pPr>
        <w:spacing w:after="0" w:line="240" w:lineRule="auto"/>
        <w:ind w:firstLine="720"/>
        <w:rPr>
          <w:rFonts w:ascii="Times New Roman" w:eastAsia="Times New Roman" w:hAnsi="Times New Roman" w:cs="Times New Roman"/>
          <w:sz w:val="26"/>
          <w:szCs w:val="24"/>
        </w:rPr>
      </w:pPr>
    </w:p>
    <w:p w:rsidR="00DA574C" w:rsidRPr="00DA574C" w14:paraId="5FF448FE" w14:textId="77777777">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b/>
          <w:bCs/>
          <w:sz w:val="26"/>
          <w:szCs w:val="24"/>
        </w:rPr>
        <w:t>Exemptions from Submitting Updated Market Power Analyses</w:t>
      </w:r>
    </w:p>
    <w:p w:rsidR="00DA574C" w:rsidRPr="00DA574C" w14:paraId="39A11A0E" w14:textId="77777777">
      <w:pPr>
        <w:spacing w:after="0" w:line="240" w:lineRule="auto"/>
        <w:rPr>
          <w:rFonts w:ascii="Times New Roman" w:eastAsia="Times New Roman" w:hAnsi="Times New Roman" w:cs="Times New Roman"/>
          <w:sz w:val="26"/>
          <w:szCs w:val="24"/>
        </w:rPr>
      </w:pPr>
      <w:r w:rsidRPr="00DA574C">
        <w:rPr>
          <w:rFonts w:ascii="Times New Roman" w:eastAsia="Times New Roman" w:hAnsi="Times New Roman" w:cs="Times New Roman"/>
          <w:sz w:val="26"/>
          <w:szCs w:val="24"/>
        </w:rPr>
        <w:tab/>
        <w:t xml:space="preserve">Wholesale power marketers and wholesale power producers that are not affiliated with franchised public utilities or transmission owners, that do not own transmission, and </w:t>
      </w:r>
      <w:r w:rsidRPr="00DA574C">
        <w:rPr>
          <w:rFonts w:ascii="Times New Roman" w:eastAsia="Times New Roman" w:hAnsi="Times New Roman" w:cs="Times New Roman"/>
          <w:sz w:val="26"/>
          <w:szCs w:val="24"/>
        </w:rPr>
        <w:t>that do not, together with all of their affiliates, own or control 500 megawatts or more of generation in a relevant region are not required to submit updated market power analyses.  The Commission determines which sellers are in this category through information filed by the utility either when the seller files its initial application for market-based rate authorization or through a separate filing made to request such a determination.</w:t>
      </w:r>
    </w:p>
    <w:p w:rsidR="00794196" w:rsidRPr="00794196" w14:paraId="184642ED"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rsidR="00794196" w:rsidRPr="00794196" w14:paraId="184642EE"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ANY CONSIDERATION FOR THE USE OF IMPROVED INFORMATION TECHNOLOGY TO REDUCE BURDEN AND TECHNICAL OR LEGAL OBSTACLES TO REDUCING BURDEN</w:t>
      </w:r>
    </w:p>
    <w:p w:rsidR="00794196" w:rsidRPr="00794196" w14:paraId="184642EF" w14:textId="77777777">
      <w:pPr>
        <w:spacing w:after="0"/>
        <w:rPr>
          <w:rFonts w:ascii="Times New Roman" w:hAnsi="Times New Roman" w:cs="Times New Roman"/>
          <w:sz w:val="26"/>
          <w:szCs w:val="26"/>
        </w:rPr>
      </w:pPr>
    </w:p>
    <w:p w:rsidR="00222FA8" w:rsidRPr="00222FA8" w14:paraId="160CC59A" w14:textId="52053A8A">
      <w:pPr>
        <w:spacing w:after="0"/>
        <w:rPr>
          <w:rFonts w:ascii="Times New Roman" w:hAnsi="Times New Roman" w:cs="Times New Roman"/>
          <w:sz w:val="26"/>
          <w:szCs w:val="26"/>
        </w:rPr>
      </w:pPr>
      <w:r w:rsidRPr="00222FA8">
        <w:rPr>
          <w:rFonts w:ascii="Times New Roman" w:hAnsi="Times New Roman" w:cs="Times New Roman"/>
          <w:sz w:val="26"/>
          <w:szCs w:val="26"/>
        </w:rPr>
        <w:t>The Commission continues to expand the list of filing types that may be submitted electronically to reduce the burden related to this information collection.  However, the FERC-919 filings (specifically the initial market power analyses to qualify for authority to charge market-based rates, triennial market power analysis in Category 2 seller updates as required in 18 CFR 35.37(a), and change in status reports as required in 18 CFR 35.42(a) (including Appendix B)) are and will continue to be filed in various media ranging from paper documents to XML data transfers.  In Order No. 714,</w:t>
      </w:r>
      <w:r>
        <w:rPr>
          <w:rFonts w:ascii="Times New Roman" w:hAnsi="Times New Roman" w:cs="Times New Roman"/>
          <w:b/>
          <w:sz w:val="26"/>
          <w:szCs w:val="26"/>
          <w:vertAlign w:val="superscript"/>
        </w:rPr>
        <w:footnoteReference w:id="8"/>
      </w:r>
      <w:r w:rsidRPr="00222FA8">
        <w:rPr>
          <w:rFonts w:ascii="Times New Roman" w:hAnsi="Times New Roman" w:cs="Times New Roman"/>
          <w:sz w:val="26"/>
          <w:szCs w:val="26"/>
        </w:rPr>
        <w:t xml:space="preserve"> the Commission required that all tariffs, tariff revisions, and rate change applications be filed electronically starting April 1, 2010.  Those who file FERC-919 information related to market-based tariffs do so by embedding electronic tariff and filing information within the XML schema of Commission’s eTariff system.</w:t>
      </w:r>
    </w:p>
    <w:p w:rsidR="00794196" w:rsidRPr="00794196" w14:paraId="184642F1" w14:textId="77777777">
      <w:pPr>
        <w:spacing w:after="0"/>
        <w:rPr>
          <w:rFonts w:ascii="Times New Roman" w:hAnsi="Times New Roman" w:cs="Times New Roman"/>
          <w:sz w:val="26"/>
          <w:szCs w:val="26"/>
        </w:rPr>
      </w:pPr>
    </w:p>
    <w:p w:rsidR="00794196" w:rsidRPr="00794196" w14:paraId="184642F2"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794196" w:rsidRPr="00794196" w14:paraId="184642F3" w14:textId="77777777">
      <w:pPr>
        <w:spacing w:after="0"/>
        <w:rPr>
          <w:rFonts w:ascii="Times New Roman" w:hAnsi="Times New Roman" w:cs="Times New Roman"/>
          <w:sz w:val="26"/>
          <w:szCs w:val="26"/>
        </w:rPr>
      </w:pPr>
    </w:p>
    <w:p w:rsidR="002424B7" w:rsidRPr="002424B7" w14:paraId="184642F4" w14:textId="52607C9C">
      <w:pPr>
        <w:spacing w:after="0"/>
        <w:rPr>
          <w:rFonts w:ascii="Times New Roman" w:hAnsi="Times New Roman" w:cs="Times New Roman"/>
          <w:sz w:val="26"/>
          <w:szCs w:val="26"/>
        </w:rPr>
      </w:pPr>
      <w:r w:rsidRPr="002424B7">
        <w:rPr>
          <w:rFonts w:ascii="Times New Roman" w:hAnsi="Times New Roman" w:cs="Times New Roman"/>
          <w:sz w:val="26"/>
          <w:szCs w:val="26"/>
        </w:rPr>
        <w:t xml:space="preserve">The Commission published a </w:t>
      </w:r>
      <w:r w:rsidR="00A05486">
        <w:rPr>
          <w:rFonts w:ascii="Times New Roman" w:hAnsi="Times New Roman" w:cs="Times New Roman"/>
          <w:sz w:val="26"/>
          <w:szCs w:val="26"/>
        </w:rPr>
        <w:t xml:space="preserve">60-day </w:t>
      </w:r>
      <w:r w:rsidRPr="002424B7">
        <w:rPr>
          <w:rFonts w:ascii="Times New Roman" w:hAnsi="Times New Roman" w:cs="Times New Roman"/>
          <w:sz w:val="26"/>
          <w:szCs w:val="26"/>
        </w:rPr>
        <w:t>notice in the Federal Register</w:t>
      </w:r>
      <w:r>
        <w:rPr>
          <w:rFonts w:ascii="Times New Roman" w:hAnsi="Times New Roman" w:cs="Times New Roman"/>
          <w:b/>
          <w:sz w:val="26"/>
          <w:szCs w:val="26"/>
          <w:vertAlign w:val="superscript"/>
        </w:rPr>
        <w:footnoteReference w:id="9"/>
      </w:r>
      <w:r w:rsidRPr="002424B7">
        <w:rPr>
          <w:rFonts w:ascii="Times New Roman" w:hAnsi="Times New Roman" w:cs="Times New Roman"/>
          <w:sz w:val="26"/>
          <w:szCs w:val="26"/>
        </w:rPr>
        <w:t xml:space="preserve"> to help identify any duplication of the information in FERC-</w:t>
      </w:r>
      <w:r>
        <w:rPr>
          <w:rFonts w:ascii="Times New Roman" w:hAnsi="Times New Roman" w:cs="Times New Roman"/>
          <w:sz w:val="26"/>
          <w:szCs w:val="26"/>
        </w:rPr>
        <w:t>919</w:t>
      </w:r>
      <w:r w:rsidRPr="002424B7">
        <w:rPr>
          <w:rFonts w:ascii="Times New Roman" w:hAnsi="Times New Roman" w:cs="Times New Roman"/>
          <w:sz w:val="26"/>
          <w:szCs w:val="26"/>
        </w:rPr>
        <w:t>.  The Commission received no comments regarding this collection.  No similar information can be used or modified.  There are no other Federal agencies responsible for providing information on the availability of firm long-term transmission rights.  FERC-</w:t>
      </w:r>
      <w:r>
        <w:rPr>
          <w:rFonts w:ascii="Times New Roman" w:hAnsi="Times New Roman" w:cs="Times New Roman"/>
          <w:sz w:val="26"/>
          <w:szCs w:val="26"/>
        </w:rPr>
        <w:t>919</w:t>
      </w:r>
      <w:r w:rsidRPr="002424B7">
        <w:rPr>
          <w:rFonts w:ascii="Times New Roman" w:hAnsi="Times New Roman" w:cs="Times New Roman"/>
          <w:sz w:val="26"/>
          <w:szCs w:val="26"/>
        </w:rPr>
        <w:t xml:space="preserve"> is a necessary information collection in order for the Commission to remain in compliance with EPAct 2005 mandates. </w:t>
      </w:r>
    </w:p>
    <w:p w:rsidR="002424B7" w:rsidRPr="002424B7" w14:paraId="184642F5" w14:textId="77777777">
      <w:pPr>
        <w:spacing w:after="0"/>
        <w:rPr>
          <w:rFonts w:ascii="Times New Roman" w:hAnsi="Times New Roman" w:cs="Times New Roman"/>
          <w:sz w:val="26"/>
          <w:szCs w:val="26"/>
        </w:rPr>
      </w:pPr>
    </w:p>
    <w:p w:rsidR="00794196" w:rsidRPr="00794196" w14:paraId="184642F6"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METHODS USED TO MINIMIZE BURDEN IN COLLECTION OF INFORMATION INVOLVING SMALL ENTITIES</w:t>
      </w:r>
    </w:p>
    <w:p w:rsidR="00794196" w:rsidRPr="00794196" w14:paraId="184642F7" w14:textId="77777777">
      <w:pPr>
        <w:spacing w:after="0"/>
        <w:rPr>
          <w:rFonts w:ascii="Times New Roman" w:hAnsi="Times New Roman" w:cs="Times New Roman"/>
          <w:sz w:val="26"/>
          <w:szCs w:val="26"/>
        </w:rPr>
      </w:pPr>
    </w:p>
    <w:p w:rsidR="00794196" w:rsidRPr="00794196" w14:paraId="184642F8" w14:textId="77777777">
      <w:pPr>
        <w:spacing w:after="0"/>
        <w:rPr>
          <w:rFonts w:ascii="Times New Roman" w:hAnsi="Times New Roman" w:cs="Times New Roman"/>
          <w:sz w:val="26"/>
          <w:szCs w:val="26"/>
        </w:rPr>
      </w:pPr>
      <w:r w:rsidRPr="00794196">
        <w:rPr>
          <w:rFonts w:ascii="Times New Roman" w:hAnsi="Times New Roman" w:cs="Times New Roman"/>
          <w:sz w:val="26"/>
          <w:szCs w:val="26"/>
        </w:rPr>
        <w:t>Small entities have the option of filing electronically through the eFiling interface as a means of reducing their incurred burden.  This is how the Commission attempts to minimize the burden of FERC-919 upon small entities. However, eFiling is a means of submission available to all respondents with no regard to size. The submission of a market power analysis is currently required of all entities seeking authority to sell at market-based rates, and the requested renewal of the FERC-919 does not alter which entities will be required to file these analyses.  Because the Commission allows an applicant to make simplifying assumptions, where appropriate, and therefore to submit a streamlined analysis, the Commission believes that any burden affecting small entities will be minimal</w:t>
      </w:r>
      <w:r w:rsidRPr="00794196">
        <w:rPr>
          <w:rFonts w:ascii="Times New Roman" w:hAnsi="Times New Roman" w:cs="Times New Roman"/>
          <w:b/>
          <w:sz w:val="26"/>
          <w:szCs w:val="26"/>
        </w:rPr>
        <w:t xml:space="preserve">.  </w:t>
      </w:r>
    </w:p>
    <w:p w:rsidR="00794196" w:rsidRPr="00794196" w14:paraId="184642F9"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  </w:t>
      </w:r>
    </w:p>
    <w:p w:rsidR="00794196" w:rsidRPr="00794196" w14:paraId="184642FA" w14:textId="40B47E37">
      <w:pPr>
        <w:spacing w:after="0"/>
        <w:rPr>
          <w:rFonts w:ascii="Times New Roman" w:hAnsi="Times New Roman" w:cs="Times New Roman"/>
          <w:sz w:val="26"/>
          <w:szCs w:val="26"/>
        </w:rPr>
      </w:pPr>
      <w:r w:rsidRPr="00794196">
        <w:rPr>
          <w:rFonts w:ascii="Times New Roman" w:hAnsi="Times New Roman" w:cs="Times New Roman"/>
          <w:sz w:val="26"/>
          <w:szCs w:val="26"/>
        </w:rPr>
        <w:t>The FERC market</w:t>
      </w:r>
      <w:r w:rsidR="00665B3D">
        <w:rPr>
          <w:rFonts w:ascii="Times New Roman" w:hAnsi="Times New Roman" w:cs="Times New Roman"/>
          <w:sz w:val="26"/>
          <w:szCs w:val="26"/>
        </w:rPr>
        <w:t>-</w:t>
      </w:r>
      <w:r w:rsidRPr="00794196">
        <w:rPr>
          <w:rFonts w:ascii="Times New Roman" w:hAnsi="Times New Roman" w:cs="Times New Roman"/>
          <w:sz w:val="26"/>
          <w:szCs w:val="26"/>
        </w:rPr>
        <w:t>based rate regulations require that each corporate family have on file one MBR tariff of general applicability, with all affiliates with market-based rate authority separately identified in the tariff.  Although this initially increased the burden of document preparation and organization for parent utilities, long-term benefits have been realized that have reduced burdens on utilities and the Commission.  For example, a tariff of general applicability decreases document preparation by providing a clearly defined statement of the information sought by the Commission.</w:t>
      </w:r>
    </w:p>
    <w:p w:rsidR="00794196" w:rsidRPr="00794196" w14:paraId="184642FB" w14:textId="77777777">
      <w:pPr>
        <w:spacing w:after="0"/>
        <w:rPr>
          <w:rFonts w:ascii="Times New Roman" w:hAnsi="Times New Roman" w:cs="Times New Roman"/>
          <w:sz w:val="26"/>
          <w:szCs w:val="26"/>
        </w:rPr>
      </w:pPr>
    </w:p>
    <w:p w:rsidR="00794196" w:rsidRPr="00794196" w14:paraId="184642FC"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triennial review submissions that provide updated market power analyses are required for the retention of market-based rate authority.  Category 2 utilities must submit this analysis, which poses no change to the burden already in place.  The qualified smaller utilities’ (Category 1) have been able to retain market-based rate authority without having to make triennial review filings.  Those who do have to file have been able to use simplifying assumptions.  </w:t>
      </w:r>
    </w:p>
    <w:p w:rsidR="00794196" w:rsidRPr="00794196" w14:paraId="184642FD" w14:textId="77777777">
      <w:pPr>
        <w:spacing w:after="0"/>
        <w:rPr>
          <w:rFonts w:ascii="Times New Roman" w:hAnsi="Times New Roman" w:cs="Times New Roman"/>
          <w:sz w:val="26"/>
          <w:szCs w:val="26"/>
        </w:rPr>
      </w:pPr>
      <w:r w:rsidRPr="00794196">
        <w:rPr>
          <w:rFonts w:ascii="Times New Roman" w:hAnsi="Times New Roman" w:cs="Times New Roman"/>
          <w:sz w:val="26"/>
          <w:szCs w:val="26"/>
        </w:rPr>
        <w:tab/>
      </w:r>
    </w:p>
    <w:p w:rsidR="00794196" w:rsidRPr="00794196" w14:paraId="184642FE"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CONSEQUENCE TO FEDERAL PROGRAM IF COLLECTION WERE CONDUCTED LESS FREQUENTLY</w:t>
      </w:r>
    </w:p>
    <w:p w:rsidR="00794196" w:rsidRPr="00794196" w14:paraId="184642FF" w14:textId="77777777">
      <w:pPr>
        <w:spacing w:after="0"/>
        <w:rPr>
          <w:rFonts w:ascii="Times New Roman" w:hAnsi="Times New Roman" w:cs="Times New Roman"/>
          <w:sz w:val="26"/>
          <w:szCs w:val="26"/>
        </w:rPr>
      </w:pPr>
    </w:p>
    <w:p w:rsidR="00794196" w:rsidRPr="00794196" w14:paraId="18464300" w14:textId="675AE3A9">
      <w:pPr>
        <w:spacing w:after="0"/>
        <w:rPr>
          <w:rFonts w:ascii="Times New Roman" w:hAnsi="Times New Roman" w:cs="Times New Roman"/>
          <w:sz w:val="26"/>
          <w:szCs w:val="26"/>
        </w:rPr>
      </w:pPr>
      <w:r w:rsidRPr="00794196">
        <w:rPr>
          <w:rFonts w:ascii="Times New Roman" w:hAnsi="Times New Roman" w:cs="Times New Roman"/>
          <w:sz w:val="26"/>
          <w:szCs w:val="26"/>
        </w:rPr>
        <w:t>The consequence of not collecting or collecting this information</w:t>
      </w:r>
      <w:r w:rsidR="000C3353">
        <w:rPr>
          <w:rFonts w:ascii="Times New Roman" w:hAnsi="Times New Roman" w:cs="Times New Roman"/>
          <w:sz w:val="26"/>
          <w:szCs w:val="26"/>
        </w:rPr>
        <w:t xml:space="preserve"> within the FERC-919</w:t>
      </w:r>
      <w:r w:rsidRPr="00794196">
        <w:rPr>
          <w:rFonts w:ascii="Times New Roman" w:hAnsi="Times New Roman" w:cs="Times New Roman"/>
          <w:sz w:val="26"/>
          <w:szCs w:val="26"/>
        </w:rPr>
        <w:t xml:space="preserve"> less frequently would be the Commission’s inability to fulfill its statutory mandates under Section 205 of the FPA which mandates just and reasonable rates.  FERC needs information it </w:t>
      </w:r>
      <w:r w:rsidR="000C3353">
        <w:rPr>
          <w:rFonts w:ascii="Times New Roman" w:hAnsi="Times New Roman" w:cs="Times New Roman"/>
          <w:sz w:val="26"/>
          <w:szCs w:val="26"/>
        </w:rPr>
        <w:t>collects</w:t>
      </w:r>
      <w:r w:rsidRPr="00794196" w:rsidR="000C3353">
        <w:rPr>
          <w:rFonts w:ascii="Times New Roman" w:hAnsi="Times New Roman" w:cs="Times New Roman"/>
          <w:sz w:val="26"/>
          <w:szCs w:val="26"/>
        </w:rPr>
        <w:t xml:space="preserve"> </w:t>
      </w:r>
      <w:r w:rsidRPr="00794196">
        <w:rPr>
          <w:rFonts w:ascii="Times New Roman" w:hAnsi="Times New Roman" w:cs="Times New Roman"/>
          <w:sz w:val="26"/>
          <w:szCs w:val="26"/>
        </w:rPr>
        <w:t xml:space="preserve">via FERC-919 under the specific circumstances discussed </w:t>
      </w:r>
      <w:r w:rsidRPr="00794196">
        <w:rPr>
          <w:rFonts w:ascii="Times New Roman" w:hAnsi="Times New Roman" w:cs="Times New Roman"/>
          <w:sz w:val="26"/>
          <w:szCs w:val="26"/>
        </w:rPr>
        <w:t>previously to meet this continuous statutory requirements.  It is not possible to collect this data less frequently.  If the collection were conducted less frequently, the Commission would be unable to perform its mandated oversight and review responsibilities with respect to electric market</w:t>
      </w:r>
      <w:r w:rsidR="00665B3D">
        <w:rPr>
          <w:rFonts w:ascii="Times New Roman" w:hAnsi="Times New Roman" w:cs="Times New Roman"/>
          <w:sz w:val="26"/>
          <w:szCs w:val="26"/>
        </w:rPr>
        <w:t>-</w:t>
      </w:r>
      <w:r w:rsidRPr="00794196">
        <w:rPr>
          <w:rFonts w:ascii="Times New Roman" w:hAnsi="Times New Roman" w:cs="Times New Roman"/>
          <w:sz w:val="26"/>
          <w:szCs w:val="26"/>
        </w:rPr>
        <w:t xml:space="preserve">based rates being just and reasonable.  </w:t>
      </w:r>
    </w:p>
    <w:p w:rsidR="00794196" w:rsidRPr="00794196" w14:paraId="18464301" w14:textId="77777777">
      <w:pPr>
        <w:spacing w:after="0"/>
        <w:rPr>
          <w:rFonts w:ascii="Times New Roman" w:hAnsi="Times New Roman" w:cs="Times New Roman"/>
          <w:sz w:val="26"/>
          <w:szCs w:val="26"/>
        </w:rPr>
      </w:pPr>
    </w:p>
    <w:p w:rsidR="00794196" w:rsidRPr="00794196" w14:paraId="18464302"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EXPLAIN ANY SPECIAL CIRCUMSTANCES RELATING TO THE INFORMATION COLLECTION</w:t>
      </w:r>
    </w:p>
    <w:p w:rsidR="00794196" w:rsidRPr="00794196" w14:paraId="18464303" w14:textId="77777777">
      <w:pPr>
        <w:spacing w:after="0"/>
        <w:rPr>
          <w:rFonts w:ascii="Times New Roman" w:hAnsi="Times New Roman" w:cs="Times New Roman"/>
          <w:sz w:val="26"/>
          <w:szCs w:val="26"/>
        </w:rPr>
      </w:pPr>
    </w:p>
    <w:p w:rsidR="00794196" w:rsidRPr="00794196" w14:paraId="18464304" w14:textId="77777777">
      <w:pPr>
        <w:spacing w:after="0"/>
        <w:rPr>
          <w:rFonts w:ascii="Times New Roman" w:hAnsi="Times New Roman" w:cs="Times New Roman"/>
          <w:sz w:val="26"/>
          <w:szCs w:val="26"/>
        </w:rPr>
      </w:pPr>
      <w:r w:rsidRPr="00794196">
        <w:rPr>
          <w:rFonts w:ascii="Times New Roman" w:hAnsi="Times New Roman" w:cs="Times New Roman"/>
          <w:sz w:val="26"/>
          <w:szCs w:val="26"/>
        </w:rPr>
        <w:t>There are no special circumstances related to the information collection.</w:t>
      </w:r>
    </w:p>
    <w:p w:rsidR="00794196" w:rsidRPr="00794196" w14:paraId="18464305" w14:textId="77777777">
      <w:pPr>
        <w:spacing w:after="0"/>
        <w:rPr>
          <w:rFonts w:ascii="Times New Roman" w:hAnsi="Times New Roman" w:cs="Times New Roman"/>
          <w:sz w:val="26"/>
          <w:szCs w:val="26"/>
        </w:rPr>
      </w:pPr>
    </w:p>
    <w:p w:rsidR="00794196" w:rsidRPr="00794196" w14:paraId="18464306" w14:textId="77777777">
      <w:pPr>
        <w:numPr>
          <w:ilvl w:val="0"/>
          <w:numId w:val="1"/>
        </w:numPr>
        <w:tabs>
          <w:tab w:val="num" w:pos="720"/>
        </w:tabs>
        <w:spacing w:after="0"/>
        <w:rPr>
          <w:rFonts w:ascii="Times New Roman" w:hAnsi="Times New Roman" w:cs="Times New Roman"/>
          <w:b/>
          <w:sz w:val="26"/>
          <w:szCs w:val="26"/>
        </w:rPr>
      </w:pPr>
      <w:r w:rsidRPr="00794196">
        <w:rPr>
          <w:rFonts w:ascii="Times New Roman" w:hAnsi="Times New Roman" w:cs="Times New Roman"/>
          <w:b/>
          <w:sz w:val="26"/>
          <w:szCs w:val="26"/>
        </w:rPr>
        <w:t>DESCRIBE EFFORTS TO CONSULT OUTSIDE THE AGENCY: SUMMARIZE PUBLIC COMMENTS AND AGENCY'S RESPONSE TO THESE COMMENTS</w:t>
      </w:r>
    </w:p>
    <w:p w:rsidR="00794196" w:rsidRPr="00794196" w14:paraId="18464307" w14:textId="77777777">
      <w:pPr>
        <w:spacing w:after="0"/>
        <w:rPr>
          <w:rFonts w:ascii="Times New Roman" w:hAnsi="Times New Roman" w:cs="Times New Roman"/>
          <w:sz w:val="26"/>
          <w:szCs w:val="26"/>
        </w:rPr>
      </w:pPr>
    </w:p>
    <w:p w:rsidR="00794196" w:rsidRPr="00794196" w14:paraId="18464308" w14:textId="4D74B09D">
      <w:pPr>
        <w:spacing w:after="0"/>
        <w:rPr>
          <w:rFonts w:ascii="Times New Roman" w:hAnsi="Times New Roman" w:cs="Times New Roman"/>
          <w:sz w:val="26"/>
          <w:szCs w:val="26"/>
        </w:rPr>
        <w:sectPr w:rsidSect="007941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sectPr>
      </w:pPr>
    </w:p>
    <w:p w:rsidR="00794196" w:rsidRPr="00794196" w14:paraId="18464309" w14:textId="1411D173">
      <w:pPr>
        <w:spacing w:after="0"/>
        <w:rPr>
          <w:rFonts w:ascii="Times New Roman" w:hAnsi="Times New Roman" w:cs="Times New Roman"/>
          <w:sz w:val="26"/>
          <w:szCs w:val="26"/>
        </w:rPr>
      </w:pPr>
      <w:r w:rsidRPr="00794196">
        <w:rPr>
          <w:rFonts w:ascii="Times New Roman" w:hAnsi="Times New Roman" w:cs="Times New Roman"/>
          <w:sz w:val="26"/>
          <w:szCs w:val="26"/>
        </w:rPr>
        <w:t xml:space="preserve">In accordance with 5 CFR 1320.8(d), the Commission’s notice to renew its OMB approval of the FERC-919 information collection was published in the Federal Register on </w:t>
      </w:r>
      <w:r w:rsidR="00EA0F9A">
        <w:rPr>
          <w:rFonts w:ascii="Times New Roman" w:hAnsi="Times New Roman" w:cs="Times New Roman"/>
          <w:sz w:val="26"/>
          <w:szCs w:val="26"/>
        </w:rPr>
        <w:t>June 24, 2022</w:t>
      </w:r>
      <w:r w:rsidRPr="00794196">
        <w:rPr>
          <w:rFonts w:ascii="Times New Roman" w:hAnsi="Times New Roman" w:cs="Times New Roman"/>
          <w:sz w:val="26"/>
          <w:szCs w:val="26"/>
        </w:rPr>
        <w:t xml:space="preserve">.  The Commission received </w:t>
      </w:r>
      <w:r w:rsidR="003776B4">
        <w:rPr>
          <w:rFonts w:ascii="Times New Roman" w:hAnsi="Times New Roman" w:cs="Times New Roman"/>
          <w:sz w:val="26"/>
          <w:szCs w:val="26"/>
        </w:rPr>
        <w:t xml:space="preserve">no </w:t>
      </w:r>
      <w:r w:rsidRPr="00794196">
        <w:rPr>
          <w:rFonts w:ascii="Times New Roman" w:hAnsi="Times New Roman" w:cs="Times New Roman"/>
          <w:sz w:val="26"/>
          <w:szCs w:val="26"/>
        </w:rPr>
        <w:t>comment</w:t>
      </w:r>
      <w:r w:rsidR="003776B4">
        <w:rPr>
          <w:rFonts w:ascii="Times New Roman" w:hAnsi="Times New Roman" w:cs="Times New Roman"/>
          <w:sz w:val="26"/>
          <w:szCs w:val="26"/>
        </w:rPr>
        <w:t>s</w:t>
      </w:r>
      <w:r w:rsidRPr="00794196">
        <w:rPr>
          <w:rFonts w:ascii="Times New Roman" w:hAnsi="Times New Roman" w:cs="Times New Roman"/>
          <w:sz w:val="26"/>
          <w:szCs w:val="26"/>
        </w:rPr>
        <w:t xml:space="preserve"> in r</w:t>
      </w:r>
      <w:r w:rsidR="00710D02">
        <w:rPr>
          <w:rFonts w:ascii="Times New Roman" w:hAnsi="Times New Roman" w:cs="Times New Roman"/>
          <w:sz w:val="26"/>
          <w:szCs w:val="26"/>
        </w:rPr>
        <w:t>esponse to this Notice</w:t>
      </w:r>
      <w:r w:rsidRPr="00794196">
        <w:rPr>
          <w:rFonts w:ascii="Times New Roman" w:hAnsi="Times New Roman" w:cs="Times New Roman"/>
          <w:sz w:val="26"/>
          <w:szCs w:val="26"/>
        </w:rPr>
        <w:t xml:space="preserve">.  The FERC </w:t>
      </w:r>
      <w:r w:rsidR="003776B4">
        <w:rPr>
          <w:rFonts w:ascii="Times New Roman" w:hAnsi="Times New Roman" w:cs="Times New Roman"/>
          <w:sz w:val="26"/>
          <w:szCs w:val="26"/>
        </w:rPr>
        <w:t>publishe</w:t>
      </w:r>
      <w:r w:rsidRPr="00794196">
        <w:rPr>
          <w:rFonts w:ascii="Times New Roman" w:hAnsi="Times New Roman" w:cs="Times New Roman"/>
          <w:sz w:val="26"/>
          <w:szCs w:val="26"/>
        </w:rPr>
        <w:t xml:space="preserve">d a </w:t>
      </w:r>
      <w:r w:rsidR="003776B4">
        <w:rPr>
          <w:rFonts w:ascii="Times New Roman" w:hAnsi="Times New Roman" w:cs="Times New Roman"/>
          <w:sz w:val="26"/>
          <w:szCs w:val="26"/>
        </w:rPr>
        <w:t xml:space="preserve">30-day </w:t>
      </w:r>
      <w:r w:rsidRPr="00794196">
        <w:rPr>
          <w:rFonts w:ascii="Times New Roman" w:hAnsi="Times New Roman" w:cs="Times New Roman"/>
          <w:sz w:val="26"/>
          <w:szCs w:val="26"/>
        </w:rPr>
        <w:t xml:space="preserve">notice inviting further comments on the FERC-919 on </w:t>
      </w:r>
      <w:r w:rsidR="00EA0F9A">
        <w:rPr>
          <w:rFonts w:ascii="Times New Roman" w:hAnsi="Times New Roman" w:cs="Times New Roman"/>
          <w:sz w:val="26"/>
          <w:szCs w:val="26"/>
        </w:rPr>
        <w:t xml:space="preserve">September </w:t>
      </w:r>
      <w:r w:rsidR="003779D9">
        <w:rPr>
          <w:rFonts w:ascii="Times New Roman" w:hAnsi="Times New Roman" w:cs="Times New Roman"/>
          <w:sz w:val="26"/>
          <w:szCs w:val="26"/>
        </w:rPr>
        <w:t>8</w:t>
      </w:r>
      <w:r w:rsidR="00EA0F9A">
        <w:rPr>
          <w:rFonts w:ascii="Times New Roman" w:hAnsi="Times New Roman" w:cs="Times New Roman"/>
          <w:sz w:val="26"/>
          <w:szCs w:val="26"/>
        </w:rPr>
        <w:t xml:space="preserve">, 2022 </w:t>
      </w:r>
      <w:r w:rsidR="003776B4">
        <w:rPr>
          <w:rFonts w:ascii="Times New Roman" w:hAnsi="Times New Roman" w:cs="Times New Roman"/>
          <w:sz w:val="26"/>
          <w:szCs w:val="26"/>
        </w:rPr>
        <w:t>in the Fed. Reg.</w:t>
      </w:r>
    </w:p>
    <w:p w:rsidR="00794196" w:rsidRPr="00794196" w14:paraId="1846430A" w14:textId="77777777">
      <w:pPr>
        <w:spacing w:after="0"/>
        <w:rPr>
          <w:rFonts w:ascii="Times New Roman" w:hAnsi="Times New Roman" w:cs="Times New Roman"/>
          <w:sz w:val="26"/>
          <w:szCs w:val="26"/>
        </w:rPr>
      </w:pPr>
    </w:p>
    <w:p w:rsidR="00794196" w:rsidRPr="00794196" w14:paraId="1846430B" w14:textId="77777777">
      <w:pPr>
        <w:spacing w:after="0"/>
        <w:rPr>
          <w:rFonts w:ascii="Times New Roman" w:hAnsi="Times New Roman" w:cs="Times New Roman"/>
          <w:sz w:val="26"/>
          <w:szCs w:val="26"/>
        </w:rPr>
      </w:pPr>
      <w:r w:rsidRPr="00794196">
        <w:rPr>
          <w:rFonts w:ascii="Times New Roman" w:hAnsi="Times New Roman" w:cs="Times New Roman"/>
          <w:b/>
          <w:bCs/>
          <w:sz w:val="26"/>
          <w:szCs w:val="26"/>
        </w:rPr>
        <w:t>9.</w:t>
      </w:r>
      <w:r w:rsidRPr="00794196">
        <w:rPr>
          <w:rFonts w:ascii="Times New Roman" w:hAnsi="Times New Roman" w:cs="Times New Roman"/>
          <w:bCs/>
          <w:sz w:val="26"/>
          <w:szCs w:val="26"/>
        </w:rPr>
        <w:t xml:space="preserve">  </w:t>
      </w:r>
      <w:r w:rsidRPr="00794196">
        <w:rPr>
          <w:rFonts w:ascii="Times New Roman" w:hAnsi="Times New Roman" w:cs="Times New Roman"/>
          <w:bCs/>
          <w:sz w:val="26"/>
          <w:szCs w:val="26"/>
        </w:rPr>
        <w:tab/>
      </w:r>
      <w:r w:rsidRPr="00794196">
        <w:rPr>
          <w:rFonts w:ascii="Times New Roman" w:hAnsi="Times New Roman" w:cs="Times New Roman"/>
          <w:b/>
          <w:sz w:val="26"/>
          <w:szCs w:val="26"/>
        </w:rPr>
        <w:t>EXPLAIN ANY PAYMENT OR GIFTS TO RESPONDENTS</w:t>
      </w:r>
    </w:p>
    <w:p w:rsidR="00794196" w:rsidRPr="00794196" w14:paraId="1846430C" w14:textId="77777777">
      <w:pPr>
        <w:spacing w:after="0"/>
        <w:rPr>
          <w:rFonts w:ascii="Times New Roman" w:hAnsi="Times New Roman" w:cs="Times New Roman"/>
          <w:sz w:val="26"/>
          <w:szCs w:val="26"/>
        </w:rPr>
      </w:pPr>
    </w:p>
    <w:p w:rsidR="00794196" w14:paraId="1846430D" w14:textId="77777777">
      <w:pPr>
        <w:spacing w:after="0"/>
        <w:rPr>
          <w:rFonts w:ascii="Times New Roman" w:hAnsi="Times New Roman" w:cs="Times New Roman"/>
          <w:sz w:val="26"/>
          <w:szCs w:val="26"/>
        </w:rPr>
      </w:pPr>
      <w:r w:rsidRPr="00794196">
        <w:rPr>
          <w:rFonts w:ascii="Times New Roman" w:hAnsi="Times New Roman" w:cs="Times New Roman"/>
          <w:sz w:val="26"/>
          <w:szCs w:val="26"/>
        </w:rPr>
        <w:t>There are no payments or gifts to respondents associated with FERC-919.</w:t>
      </w:r>
    </w:p>
    <w:p w:rsidR="00A75CAF" w:rsidRPr="00794196" w14:paraId="74910695" w14:textId="77777777">
      <w:pPr>
        <w:spacing w:after="0"/>
        <w:rPr>
          <w:rFonts w:ascii="Times New Roman" w:hAnsi="Times New Roman" w:cs="Times New Roman"/>
          <w:sz w:val="26"/>
          <w:szCs w:val="26"/>
        </w:rPr>
      </w:pPr>
    </w:p>
    <w:p w:rsidR="00794196" w:rsidRPr="00794196" w14:paraId="1846430E" w14:textId="77777777">
      <w:pPr>
        <w:spacing w:after="0"/>
        <w:rPr>
          <w:rFonts w:ascii="Times New Roman" w:hAnsi="Times New Roman" w:cs="Times New Roman"/>
          <w:sz w:val="26"/>
          <w:szCs w:val="26"/>
        </w:rPr>
      </w:pPr>
      <w:r w:rsidRPr="00794196">
        <w:rPr>
          <w:rFonts w:ascii="Times New Roman" w:hAnsi="Times New Roman" w:cs="Times New Roman"/>
          <w:b/>
          <w:bCs/>
          <w:sz w:val="26"/>
          <w:szCs w:val="26"/>
        </w:rPr>
        <w:t>1</w:t>
      </w:r>
      <w:r w:rsidRPr="00794196">
        <w:rPr>
          <w:rFonts w:ascii="Times New Roman" w:hAnsi="Times New Roman" w:cs="Times New Roman"/>
          <w:b/>
          <w:sz w:val="26"/>
          <w:szCs w:val="26"/>
        </w:rPr>
        <w:t>0.</w:t>
      </w:r>
      <w:r w:rsidRPr="00794196">
        <w:rPr>
          <w:rFonts w:ascii="Times New Roman" w:hAnsi="Times New Roman" w:cs="Times New Roman"/>
          <w:sz w:val="26"/>
          <w:szCs w:val="26"/>
        </w:rPr>
        <w:t xml:space="preserve">  </w:t>
      </w:r>
      <w:r w:rsidRPr="00794196">
        <w:rPr>
          <w:rFonts w:ascii="Times New Roman" w:hAnsi="Times New Roman" w:cs="Times New Roman"/>
          <w:sz w:val="26"/>
          <w:szCs w:val="26"/>
        </w:rPr>
        <w:tab/>
      </w:r>
      <w:r w:rsidRPr="00794196">
        <w:rPr>
          <w:rFonts w:ascii="Times New Roman" w:hAnsi="Times New Roman" w:cs="Times New Roman"/>
          <w:b/>
          <w:sz w:val="26"/>
          <w:szCs w:val="26"/>
        </w:rPr>
        <w:t>DESCRIBE ANY ASSURANCE OF CONFIDENTIALITY PROVIDED TO RESPONDENTS</w:t>
      </w:r>
    </w:p>
    <w:p w:rsidR="00794196" w:rsidRPr="00794196" w14:paraId="1846430F" w14:textId="77777777">
      <w:pPr>
        <w:spacing w:after="0"/>
        <w:rPr>
          <w:rFonts w:ascii="Times New Roman" w:hAnsi="Times New Roman" w:cs="Times New Roman"/>
          <w:sz w:val="26"/>
          <w:szCs w:val="26"/>
        </w:rPr>
      </w:pPr>
    </w:p>
    <w:p w:rsidR="00794196" w:rsidRPr="00794196" w14:paraId="18464310"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Commission generally does not consider the data filed in rate filings to be confidential.  There are no confidentiality provisions associated with the data requirements in FERC-919.  Specific requests for confidential treatment to the extent permitted by law will be entertained pursuant to 18 C.F.R. Section 388.110.  Section 205(c) of the FPA requires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w:t>
      </w:r>
      <w:r w:rsidRPr="00794196">
        <w:rPr>
          <w:rFonts w:ascii="Times New Roman" w:hAnsi="Times New Roman" w:cs="Times New Roman"/>
          <w:sz w:val="26"/>
          <w:szCs w:val="26"/>
        </w:rPr>
        <w:t>Commission, and make them available for public inspection, in such manner as directed by the Commission.</w:t>
      </w:r>
      <w:r>
        <w:rPr>
          <w:rFonts w:ascii="Times New Roman" w:hAnsi="Times New Roman" w:cs="Times New Roman"/>
          <w:sz w:val="26"/>
          <w:szCs w:val="26"/>
          <w:vertAlign w:val="superscript"/>
        </w:rPr>
        <w:footnoteReference w:id="10"/>
      </w:r>
    </w:p>
    <w:p w:rsidR="00794196" w:rsidRPr="00794196" w14:paraId="18464311" w14:textId="77777777">
      <w:pPr>
        <w:spacing w:after="0"/>
        <w:rPr>
          <w:rFonts w:ascii="Times New Roman" w:hAnsi="Times New Roman" w:cs="Times New Roman"/>
          <w:sz w:val="26"/>
          <w:szCs w:val="26"/>
        </w:rPr>
      </w:pPr>
    </w:p>
    <w:p w:rsidR="00794196" w:rsidRPr="00794196" w:rsidP="008F5E4B" w14:paraId="18464312" w14:textId="77777777">
      <w:pPr>
        <w:numPr>
          <w:ilvl w:val="0"/>
          <w:numId w:val="3"/>
        </w:numPr>
        <w:tabs>
          <w:tab w:val="num" w:pos="360"/>
          <w:tab w:val="clear" w:pos="720"/>
        </w:tabs>
        <w:spacing w:after="0"/>
        <w:ind w:left="360"/>
        <w:rPr>
          <w:rFonts w:ascii="Times New Roman" w:hAnsi="Times New Roman" w:cs="Times New Roman"/>
          <w:b/>
          <w:sz w:val="26"/>
          <w:szCs w:val="26"/>
        </w:rPr>
      </w:pPr>
      <w:r w:rsidRPr="00794196">
        <w:rPr>
          <w:rFonts w:ascii="Times New Roman" w:hAnsi="Times New Roman" w:cs="Times New Roman"/>
          <w:b/>
          <w:sz w:val="26"/>
          <w:szCs w:val="26"/>
        </w:rPr>
        <w:t>PROVIDE ADDITIONAL JUSTIFICATION FOR ANY QUESTIONS OF A    SENSITIVE NATURE THAT ARE CONSIDERED PRIVATE.</w:t>
      </w:r>
    </w:p>
    <w:p w:rsidR="00794196" w:rsidRPr="00794196" w14:paraId="18464313" w14:textId="77777777">
      <w:pPr>
        <w:spacing w:after="0"/>
        <w:rPr>
          <w:rFonts w:ascii="Times New Roman" w:hAnsi="Times New Roman" w:cs="Times New Roman"/>
          <w:sz w:val="26"/>
          <w:szCs w:val="26"/>
        </w:rPr>
      </w:pPr>
    </w:p>
    <w:p w:rsidR="00794196" w:rsidRPr="00794196" w14:paraId="18464314"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Commission does not consider any of the questions within the FERC-919 of a sensitive nature that would be considered private. </w:t>
      </w:r>
    </w:p>
    <w:p w:rsidR="00794196" w:rsidRPr="00794196" w14:paraId="18464315" w14:textId="77777777">
      <w:pPr>
        <w:spacing w:after="0"/>
        <w:rPr>
          <w:rFonts w:ascii="Times New Roman" w:hAnsi="Times New Roman" w:cs="Times New Roman"/>
          <w:b/>
          <w:bCs/>
          <w:sz w:val="26"/>
          <w:szCs w:val="26"/>
        </w:rPr>
      </w:pPr>
    </w:p>
    <w:p w:rsidR="00794196" w:rsidRPr="00794196" w14:paraId="18464316" w14:textId="77777777">
      <w:pPr>
        <w:spacing w:after="0"/>
        <w:rPr>
          <w:rFonts w:ascii="Times New Roman" w:hAnsi="Times New Roman" w:cs="Times New Roman"/>
          <w:b/>
          <w:bCs/>
          <w:sz w:val="26"/>
          <w:szCs w:val="26"/>
        </w:rPr>
      </w:pPr>
      <w:r w:rsidRPr="00794196">
        <w:rPr>
          <w:rFonts w:ascii="Times New Roman" w:hAnsi="Times New Roman" w:cs="Times New Roman"/>
          <w:b/>
          <w:sz w:val="26"/>
          <w:szCs w:val="26"/>
        </w:rPr>
        <w:t>12.       ESTIMATED BURDEN ON COLLECTION OF INFORMATION</w:t>
      </w:r>
    </w:p>
    <w:p w:rsidR="0014445E" w14:paraId="09E847F8" w14:textId="0A9CF00A">
      <w:pPr>
        <w:spacing w:after="0"/>
        <w:rPr>
          <w:rFonts w:ascii="Times New Roman" w:hAnsi="Times New Roman" w:cs="Times New Roman"/>
          <w:sz w:val="26"/>
          <w:szCs w:val="26"/>
        </w:rPr>
      </w:pPr>
      <w:r w:rsidRPr="00794196">
        <w:rPr>
          <w:rFonts w:ascii="Times New Roman" w:hAnsi="Times New Roman" w:cs="Times New Roman"/>
          <w:sz w:val="26"/>
          <w:szCs w:val="26"/>
        </w:rPr>
        <w:t>Based on the Commission’s recent information with the burden of FERC-919, the estimated burden</w:t>
      </w:r>
      <w:r>
        <w:rPr>
          <w:rFonts w:ascii="Times New Roman" w:hAnsi="Times New Roman" w:cs="Times New Roman"/>
          <w:sz w:val="26"/>
          <w:szCs w:val="26"/>
          <w:vertAlign w:val="superscript"/>
        </w:rPr>
        <w:footnoteReference w:id="11"/>
      </w:r>
      <w:r w:rsidRPr="00794196">
        <w:rPr>
          <w:rFonts w:ascii="Times New Roman" w:hAnsi="Times New Roman" w:cs="Times New Roman"/>
          <w:sz w:val="26"/>
          <w:szCs w:val="26"/>
        </w:rPr>
        <w:t xml:space="preserve"> and cost is:</w:t>
      </w:r>
      <w:r>
        <w:rPr>
          <w:rFonts w:ascii="Times New Roman" w:hAnsi="Times New Roman" w:cs="Times New Roman"/>
          <w:sz w:val="26"/>
          <w:szCs w:val="26"/>
        </w:rPr>
        <w:br w:type="page"/>
      </w:r>
    </w:p>
    <w:tbl>
      <w:tblPr>
        <w:tblW w:w="51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3"/>
        <w:gridCol w:w="1166"/>
        <w:gridCol w:w="1619"/>
        <w:gridCol w:w="1083"/>
        <w:gridCol w:w="1168"/>
        <w:gridCol w:w="1441"/>
        <w:gridCol w:w="1260"/>
      </w:tblGrid>
      <w:tr w14:paraId="648287A1" w14:textId="77777777" w:rsidTr="009C5FA9">
        <w:tblPrEx>
          <w:tblW w:w="51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EA0F9A" w:rsidRPr="00EA0F9A" w:rsidP="008D3602" w14:paraId="53B86834" w14:textId="77777777">
            <w:pPr>
              <w:jc w:val="center"/>
              <w:rPr>
                <w:rFonts w:ascii="Times New Roman" w:hAnsi="Times New Roman" w:cs="Times New Roman"/>
                <w:b/>
                <w:sz w:val="26"/>
                <w:szCs w:val="26"/>
              </w:rPr>
            </w:pPr>
            <w:bookmarkStart w:id="1" w:name="_Hlk102747398"/>
            <w:r w:rsidRPr="00EA0F9A">
              <w:rPr>
                <w:rFonts w:ascii="Times New Roman" w:hAnsi="Times New Roman" w:cs="Times New Roman"/>
                <w:b/>
                <w:sz w:val="26"/>
                <w:szCs w:val="26"/>
              </w:rPr>
              <w:t>FERC-919, Refinements to Policies and Procedures for Market Based Rates for Wholesale Sales of Electric Energy</w:t>
            </w:r>
          </w:p>
        </w:tc>
      </w:tr>
      <w:tr w14:paraId="4950EE73" w14:textId="77777777" w:rsidTr="009C5FA9">
        <w:tblPrEx>
          <w:tblW w:w="5198" w:type="pct"/>
          <w:jc w:val="right"/>
          <w:tblLayout w:type="fixed"/>
          <w:tblLook w:val="01E0"/>
        </w:tblPrEx>
        <w:trPr>
          <w:cantSplit/>
          <w:jc w:val="right"/>
        </w:trPr>
        <w:tc>
          <w:tcPr>
            <w:tcW w:w="1020" w:type="pct"/>
            <w:shd w:val="clear" w:color="auto" w:fill="D9D9D9"/>
            <w:vAlign w:val="bottom"/>
          </w:tcPr>
          <w:p w:rsidR="00EA0F9A" w:rsidRPr="00EA0F9A" w:rsidP="0006122E" w14:paraId="7E9A052D" w14:textId="77777777">
            <w:pPr>
              <w:rPr>
                <w:rFonts w:ascii="Times New Roman" w:hAnsi="Times New Roman" w:cs="Times New Roman"/>
                <w:b/>
                <w:sz w:val="26"/>
                <w:szCs w:val="26"/>
              </w:rPr>
            </w:pPr>
            <w:bookmarkStart w:id="2" w:name="_Hlk106274727"/>
            <w:r w:rsidRPr="00EA0F9A">
              <w:rPr>
                <w:rFonts w:ascii="Times New Roman" w:hAnsi="Times New Roman" w:cs="Times New Roman"/>
                <w:b/>
                <w:sz w:val="26"/>
                <w:szCs w:val="26"/>
              </w:rPr>
              <w:t>Requirement</w:t>
            </w:r>
          </w:p>
        </w:tc>
        <w:tc>
          <w:tcPr>
            <w:tcW w:w="600" w:type="pct"/>
            <w:shd w:val="clear" w:color="auto" w:fill="D9D9D9"/>
            <w:vAlign w:val="bottom"/>
          </w:tcPr>
          <w:p w:rsidR="00EA0F9A" w:rsidRPr="00EA0F9A" w:rsidP="0006122E" w14:paraId="75C57971" w14:textId="77777777">
            <w:pPr>
              <w:rPr>
                <w:rFonts w:ascii="Times New Roman" w:hAnsi="Times New Roman" w:cs="Times New Roman"/>
                <w:b/>
                <w:sz w:val="26"/>
                <w:szCs w:val="26"/>
              </w:rPr>
            </w:pPr>
            <w:r w:rsidRPr="00EA0F9A">
              <w:rPr>
                <w:rFonts w:ascii="Times New Roman" w:hAnsi="Times New Roman" w:cs="Times New Roman"/>
                <w:b/>
                <w:sz w:val="26"/>
                <w:szCs w:val="26"/>
              </w:rPr>
              <w:t>Number of Respondents</w:t>
            </w:r>
          </w:p>
          <w:p w:rsidR="00EA0F9A" w:rsidRPr="00EA0F9A" w:rsidP="0006122E" w14:paraId="33D0EC0C" w14:textId="77777777">
            <w:pPr>
              <w:rPr>
                <w:rFonts w:ascii="Times New Roman" w:hAnsi="Times New Roman" w:cs="Times New Roman"/>
                <w:b/>
                <w:sz w:val="26"/>
                <w:szCs w:val="26"/>
              </w:rPr>
            </w:pPr>
            <w:r w:rsidRPr="00EA0F9A">
              <w:rPr>
                <w:rFonts w:ascii="Times New Roman" w:hAnsi="Times New Roman" w:cs="Times New Roman"/>
                <w:b/>
                <w:sz w:val="26"/>
                <w:szCs w:val="26"/>
              </w:rPr>
              <w:t>(1)</w:t>
            </w:r>
          </w:p>
        </w:tc>
        <w:tc>
          <w:tcPr>
            <w:tcW w:w="833" w:type="pct"/>
            <w:shd w:val="clear" w:color="auto" w:fill="D9D9D9"/>
            <w:vAlign w:val="bottom"/>
          </w:tcPr>
          <w:p w:rsidR="00EA0F9A" w:rsidRPr="00EA0F9A" w14:paraId="70FC55E8" w14:textId="77777777">
            <w:pPr>
              <w:rPr>
                <w:rFonts w:ascii="Times New Roman" w:hAnsi="Times New Roman" w:cs="Times New Roman"/>
                <w:b/>
                <w:sz w:val="26"/>
                <w:szCs w:val="26"/>
              </w:rPr>
            </w:pPr>
            <w:r w:rsidRPr="00EA0F9A">
              <w:rPr>
                <w:rFonts w:ascii="Times New Roman" w:hAnsi="Times New Roman" w:cs="Times New Roman"/>
                <w:b/>
                <w:sz w:val="26"/>
                <w:szCs w:val="26"/>
              </w:rPr>
              <w:t>Annual Number of Responses per Respondent</w:t>
            </w:r>
          </w:p>
          <w:p w:rsidR="00EA0F9A" w:rsidRPr="00EA0F9A" w14:paraId="1B78A569" w14:textId="77777777">
            <w:pPr>
              <w:rPr>
                <w:rFonts w:ascii="Times New Roman" w:hAnsi="Times New Roman" w:cs="Times New Roman"/>
                <w:b/>
                <w:sz w:val="26"/>
                <w:szCs w:val="26"/>
              </w:rPr>
            </w:pPr>
            <w:r w:rsidRPr="00EA0F9A">
              <w:rPr>
                <w:rFonts w:ascii="Times New Roman" w:hAnsi="Times New Roman" w:cs="Times New Roman"/>
                <w:b/>
                <w:sz w:val="26"/>
                <w:szCs w:val="26"/>
              </w:rPr>
              <w:t>(2)</w:t>
            </w:r>
          </w:p>
        </w:tc>
        <w:tc>
          <w:tcPr>
            <w:tcW w:w="557" w:type="pct"/>
            <w:shd w:val="clear" w:color="auto" w:fill="D9D9D9"/>
            <w:vAlign w:val="bottom"/>
          </w:tcPr>
          <w:p w:rsidR="00EA0F9A" w:rsidRPr="00EA0F9A" w14:paraId="7E6E77FF" w14:textId="77777777">
            <w:pPr>
              <w:rPr>
                <w:rFonts w:ascii="Times New Roman" w:hAnsi="Times New Roman" w:cs="Times New Roman"/>
                <w:b/>
                <w:sz w:val="26"/>
                <w:szCs w:val="26"/>
              </w:rPr>
            </w:pPr>
            <w:r w:rsidRPr="00EA0F9A">
              <w:rPr>
                <w:rFonts w:ascii="Times New Roman" w:hAnsi="Times New Roman" w:cs="Times New Roman"/>
                <w:b/>
                <w:sz w:val="26"/>
                <w:szCs w:val="26"/>
              </w:rPr>
              <w:t>Total Number of Responses</w:t>
            </w:r>
          </w:p>
          <w:p w:rsidR="00EA0F9A" w:rsidRPr="00EA0F9A" w14:paraId="6EFE5D15" w14:textId="77777777">
            <w:pPr>
              <w:rPr>
                <w:rFonts w:ascii="Times New Roman" w:hAnsi="Times New Roman" w:cs="Times New Roman"/>
                <w:b/>
                <w:sz w:val="26"/>
                <w:szCs w:val="26"/>
              </w:rPr>
            </w:pPr>
            <w:r w:rsidRPr="00EA0F9A">
              <w:rPr>
                <w:rFonts w:ascii="Times New Roman" w:hAnsi="Times New Roman" w:cs="Times New Roman"/>
                <w:b/>
                <w:sz w:val="26"/>
                <w:szCs w:val="26"/>
              </w:rPr>
              <w:t>(1)*(2)=(3)</w:t>
            </w:r>
          </w:p>
        </w:tc>
        <w:tc>
          <w:tcPr>
            <w:tcW w:w="601" w:type="pct"/>
            <w:shd w:val="clear" w:color="auto" w:fill="D9D9D9"/>
            <w:vAlign w:val="bottom"/>
          </w:tcPr>
          <w:p w:rsidR="00EA0F9A" w:rsidRPr="00EA0F9A" w14:paraId="2F45DAC0" w14:textId="77777777">
            <w:pPr>
              <w:rPr>
                <w:rFonts w:ascii="Times New Roman" w:hAnsi="Times New Roman" w:cs="Times New Roman"/>
                <w:b/>
                <w:sz w:val="26"/>
                <w:szCs w:val="26"/>
              </w:rPr>
            </w:pPr>
            <w:r w:rsidRPr="00EA0F9A">
              <w:rPr>
                <w:rFonts w:ascii="Times New Roman" w:hAnsi="Times New Roman" w:cs="Times New Roman"/>
                <w:b/>
                <w:sz w:val="26"/>
                <w:szCs w:val="26"/>
              </w:rPr>
              <w:t>Average Burden &amp; Cost Per Response</w:t>
            </w:r>
          </w:p>
          <w:p w:rsidR="00EA0F9A" w:rsidRPr="00EA0F9A" w14:paraId="25E5D5C9" w14:textId="77777777">
            <w:pPr>
              <w:rPr>
                <w:rFonts w:ascii="Times New Roman" w:hAnsi="Times New Roman" w:cs="Times New Roman"/>
                <w:b/>
                <w:sz w:val="26"/>
                <w:szCs w:val="26"/>
              </w:rPr>
            </w:pPr>
            <w:r w:rsidRPr="00EA0F9A">
              <w:rPr>
                <w:rFonts w:ascii="Times New Roman" w:hAnsi="Times New Roman" w:cs="Times New Roman"/>
                <w:b/>
                <w:sz w:val="26"/>
                <w:szCs w:val="26"/>
              </w:rPr>
              <w:t>(4)</w:t>
            </w:r>
          </w:p>
        </w:tc>
        <w:tc>
          <w:tcPr>
            <w:tcW w:w="741" w:type="pct"/>
            <w:shd w:val="clear" w:color="auto" w:fill="D9D9D9"/>
            <w:vAlign w:val="bottom"/>
          </w:tcPr>
          <w:p w:rsidR="00EA0F9A" w:rsidRPr="00EA0F9A" w14:paraId="7D475848" w14:textId="77777777">
            <w:pPr>
              <w:rPr>
                <w:rFonts w:ascii="Times New Roman" w:hAnsi="Times New Roman" w:cs="Times New Roman"/>
                <w:b/>
                <w:sz w:val="26"/>
                <w:szCs w:val="26"/>
              </w:rPr>
            </w:pPr>
            <w:r w:rsidRPr="00EA0F9A">
              <w:rPr>
                <w:rFonts w:ascii="Times New Roman" w:hAnsi="Times New Roman" w:cs="Times New Roman"/>
                <w:b/>
                <w:sz w:val="26"/>
                <w:szCs w:val="26"/>
              </w:rPr>
              <w:t>Total Annual Burden Hours &amp; Cost</w:t>
            </w:r>
            <w:r>
              <w:rPr>
                <w:rFonts w:ascii="Times New Roman" w:hAnsi="Times New Roman" w:cs="Times New Roman"/>
                <w:b/>
                <w:sz w:val="26"/>
                <w:szCs w:val="26"/>
                <w:vertAlign w:val="superscript"/>
              </w:rPr>
              <w:footnoteReference w:id="12"/>
            </w:r>
          </w:p>
          <w:p w:rsidR="00EA0F9A" w:rsidRPr="00EA0F9A" w14:paraId="3512C150" w14:textId="77777777">
            <w:pPr>
              <w:rPr>
                <w:rFonts w:ascii="Times New Roman" w:hAnsi="Times New Roman" w:cs="Times New Roman"/>
                <w:b/>
                <w:sz w:val="26"/>
                <w:szCs w:val="26"/>
              </w:rPr>
            </w:pPr>
            <w:r w:rsidRPr="00EA0F9A">
              <w:rPr>
                <w:rFonts w:ascii="Times New Roman" w:hAnsi="Times New Roman" w:cs="Times New Roman"/>
                <w:b/>
                <w:sz w:val="26"/>
                <w:szCs w:val="26"/>
              </w:rPr>
              <w:t>(3)*(4)=(5)</w:t>
            </w:r>
          </w:p>
        </w:tc>
        <w:tc>
          <w:tcPr>
            <w:tcW w:w="648" w:type="pct"/>
            <w:shd w:val="clear" w:color="auto" w:fill="D9D9D9"/>
            <w:vAlign w:val="bottom"/>
          </w:tcPr>
          <w:p w:rsidR="00EA0F9A" w:rsidRPr="00EA0F9A" w14:paraId="2B8ED6FB" w14:textId="77777777">
            <w:pPr>
              <w:rPr>
                <w:rFonts w:ascii="Times New Roman" w:hAnsi="Times New Roman" w:cs="Times New Roman"/>
                <w:b/>
                <w:sz w:val="26"/>
                <w:szCs w:val="26"/>
              </w:rPr>
            </w:pPr>
            <w:r w:rsidRPr="00EA0F9A">
              <w:rPr>
                <w:rFonts w:ascii="Times New Roman" w:hAnsi="Times New Roman" w:cs="Times New Roman"/>
                <w:b/>
                <w:sz w:val="26"/>
                <w:szCs w:val="26"/>
              </w:rPr>
              <w:t>Annual Cost per Respondent ($)</w:t>
            </w:r>
          </w:p>
          <w:p w:rsidR="00EA0F9A" w:rsidRPr="00EA0F9A" w14:paraId="21DA2883" w14:textId="77777777">
            <w:pPr>
              <w:rPr>
                <w:rFonts w:ascii="Times New Roman" w:hAnsi="Times New Roman" w:cs="Times New Roman"/>
                <w:b/>
                <w:sz w:val="26"/>
                <w:szCs w:val="26"/>
              </w:rPr>
            </w:pPr>
            <w:r w:rsidRPr="00EA0F9A">
              <w:rPr>
                <w:rFonts w:ascii="Times New Roman" w:hAnsi="Times New Roman" w:cs="Times New Roman"/>
                <w:b/>
                <w:sz w:val="26"/>
                <w:szCs w:val="26"/>
              </w:rPr>
              <w:t>(5)÷(1)</w:t>
            </w:r>
          </w:p>
        </w:tc>
      </w:tr>
      <w:bookmarkEnd w:id="2"/>
      <w:tr w14:paraId="56F27008"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40D888D8"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Market Power Analysis in New Applications for Market-based rates</w:t>
            </w:r>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4E06A2D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144</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6FA283F9"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48ADCE2F"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144</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4ECBBC1D"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135 hrs.;</w:t>
            </w:r>
          </w:p>
          <w:p w:rsidR="00EA0F9A" w:rsidRPr="00EA0F9A" w14:paraId="78FC729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$13,095</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07C5AED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19,440 hrs.;</w:t>
            </w:r>
          </w:p>
          <w:p w:rsidR="00EA0F9A" w:rsidRPr="00EA0F9A" w14:paraId="45D1B57D"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$1,885,680</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192C6384"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$13,095</w:t>
            </w:r>
          </w:p>
        </w:tc>
      </w:tr>
      <w:tr w14:paraId="17E571F5"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2DC0BBC6"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Triennial market power analysis</w:t>
            </w:r>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55F05EBD"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65</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016F6144"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28F310B2"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65</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0FD44FD7"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133.23 hrs.;</w:t>
            </w:r>
          </w:p>
          <w:p w:rsidR="00EA0F9A" w:rsidRPr="00EA0F9A" w14:paraId="5F079B8C"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$12,923.31</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41E7210A"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8,659.95 hrs.;</w:t>
            </w:r>
          </w:p>
          <w:p w:rsidR="00EA0F9A" w:rsidRPr="00EA0F9A" w14:paraId="5AEB5040"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$840,015.15</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10729C5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$12,923.31</w:t>
            </w:r>
          </w:p>
        </w:tc>
      </w:tr>
      <w:tr w14:paraId="1CD9CA0E"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58517322" w14:textId="77777777">
            <w:pPr>
              <w:spacing w:after="0" w:line="240" w:lineRule="auto"/>
              <w:rPr>
                <w:rFonts w:ascii="Times New Roman" w:hAnsi="Times New Roman" w:cs="Times New Roman"/>
                <w:sz w:val="26"/>
                <w:szCs w:val="26"/>
              </w:rPr>
            </w:pPr>
            <w:bookmarkStart w:id="3" w:name="_Hlk106285101"/>
            <w:bookmarkStart w:id="4" w:name="_Hlk106274395"/>
            <w:r w:rsidRPr="00EA0F9A">
              <w:rPr>
                <w:rFonts w:ascii="Times New Roman" w:hAnsi="Times New Roman" w:cs="Times New Roman"/>
                <w:sz w:val="26"/>
                <w:szCs w:val="26"/>
              </w:rPr>
              <w:t>Asset appendix addition to change in status reports</w:t>
            </w:r>
            <w:bookmarkEnd w:id="3"/>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47BAC2D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149</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62D22DCA"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34337D3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149</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36588BB7"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49 hrs.;</w:t>
            </w:r>
          </w:p>
          <w:p w:rsidR="00EA0F9A" w:rsidRPr="00EA0F9A" w14:paraId="7DF4BD4C"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$4,753</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310F1A4D"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7,301 hrs.;</w:t>
            </w:r>
          </w:p>
          <w:p w:rsidR="00EA0F9A" w:rsidRPr="00EA0F9A" w14:paraId="2B70C208"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$708,197</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1FD08061"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$4,753</w:t>
            </w:r>
          </w:p>
        </w:tc>
      </w:tr>
      <w:bookmarkEnd w:id="4"/>
      <w:tr w14:paraId="695A7639"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6A293321"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FERC-919A Burden carried over from Order 860-A</w:t>
            </w:r>
          </w:p>
          <w:p w:rsidR="00EA0F9A" w:rsidRPr="00EA0F9A" w:rsidP="0006122E" w14:paraId="499B7418"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Category 1-(Ongoing)</w:t>
            </w:r>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6BC1A744"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1,000</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14:paraId="7F3AC0C7"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.333</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0C0293D9"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333</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59EEA18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2.44 hrs</w:t>
            </w:r>
            <w:r>
              <w:rPr>
                <w:rFonts w:ascii="Times New Roman" w:hAnsi="Times New Roman" w:cs="Times New Roman"/>
                <w:b/>
                <w:sz w:val="26"/>
                <w:szCs w:val="26"/>
                <w:vertAlign w:val="superscript"/>
              </w:rPr>
              <w:footnoteReference w:id="13"/>
            </w:r>
            <w:r w:rsidRPr="00EA0F9A">
              <w:rPr>
                <w:rFonts w:ascii="Times New Roman" w:hAnsi="Times New Roman" w:cs="Times New Roman"/>
                <w:sz w:val="26"/>
                <w:szCs w:val="26"/>
              </w:rPr>
              <w:t>; $237.11</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32B8A77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814 hrs.; $78,958</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70FE5D9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$237.11</w:t>
            </w:r>
          </w:p>
        </w:tc>
      </w:tr>
      <w:tr w14:paraId="2C948B09"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4E76646A"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FERC-919A Burden carried over from Order 860-A</w:t>
            </w:r>
          </w:p>
          <w:p w:rsidR="00EA0F9A" w:rsidRPr="00EA0F9A" w:rsidP="0006122E" w14:paraId="2EF70C14"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Category 2-(Ongoing)</w:t>
            </w:r>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56971F60"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1,500</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14:paraId="7E9B83F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2F2339C8"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1,500</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756C8266"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4.10 hrs</w:t>
            </w:r>
            <w:r>
              <w:rPr>
                <w:rFonts w:ascii="Times New Roman" w:hAnsi="Times New Roman" w:cs="Times New Roman"/>
                <w:b/>
                <w:sz w:val="26"/>
                <w:szCs w:val="26"/>
                <w:vertAlign w:val="superscript"/>
              </w:rPr>
              <w:footnoteReference w:id="14"/>
            </w:r>
            <w:r w:rsidRPr="00EA0F9A">
              <w:rPr>
                <w:rFonts w:ascii="Times New Roman" w:hAnsi="Times New Roman" w:cs="Times New Roman"/>
                <w:sz w:val="26"/>
                <w:szCs w:val="26"/>
              </w:rPr>
              <w:t>.; $397.96</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5ED36D9A"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6,154 hrs.; $596,938</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7020922C"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$397.96</w:t>
            </w:r>
          </w:p>
        </w:tc>
      </w:tr>
      <w:tr w14:paraId="4ECA8A94" w14:textId="77777777" w:rsidTr="009C5FA9">
        <w:tblPrEx>
          <w:tblW w:w="5198" w:type="pct"/>
          <w:jc w:val="right"/>
          <w:tblLayout w:type="fixed"/>
          <w:tblLook w:val="01E0"/>
        </w:tblPrEx>
        <w:trPr>
          <w:cantSplit/>
          <w:jc w:val="right"/>
        </w:trPr>
        <w:tc>
          <w:tcPr>
            <w:tcW w:w="1020" w:type="pct"/>
            <w:tcBorders>
              <w:top w:val="single" w:sz="4" w:space="0" w:color="auto"/>
              <w:left w:val="single" w:sz="4" w:space="0" w:color="auto"/>
              <w:bottom w:val="single" w:sz="4" w:space="0" w:color="auto"/>
              <w:right w:val="single" w:sz="4" w:space="0" w:color="auto"/>
            </w:tcBorders>
          </w:tcPr>
          <w:p w:rsidR="00EA0F9A" w:rsidRPr="00EA0F9A" w:rsidP="0006122E" w14:paraId="59A6A538" w14:textId="77777777">
            <w:pPr>
              <w:spacing w:after="0" w:line="240" w:lineRule="auto"/>
              <w:rPr>
                <w:rFonts w:ascii="Times New Roman" w:hAnsi="Times New Roman" w:cs="Times New Roman"/>
                <w:sz w:val="26"/>
                <w:szCs w:val="26"/>
              </w:rPr>
            </w:pPr>
            <w:r w:rsidRPr="00EA0F9A">
              <w:rPr>
                <w:rFonts w:ascii="Times New Roman" w:hAnsi="Times New Roman" w:cs="Times New Roman"/>
                <w:sz w:val="26"/>
                <w:szCs w:val="26"/>
              </w:rPr>
              <w:t>FERC-919A Burden Carried over from Order 860-A Upstream Affiliates</w:t>
            </w:r>
          </w:p>
        </w:tc>
        <w:tc>
          <w:tcPr>
            <w:tcW w:w="600"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691D4416"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440</w:t>
            </w:r>
          </w:p>
        </w:tc>
        <w:tc>
          <w:tcPr>
            <w:tcW w:w="833" w:type="pct"/>
            <w:tcBorders>
              <w:top w:val="single" w:sz="4" w:space="0" w:color="auto"/>
              <w:left w:val="single" w:sz="4" w:space="0" w:color="auto"/>
              <w:bottom w:val="single" w:sz="4" w:space="0" w:color="auto"/>
              <w:right w:val="single" w:sz="4" w:space="0" w:color="auto"/>
            </w:tcBorders>
            <w:vAlign w:val="bottom"/>
          </w:tcPr>
          <w:p w:rsidR="00EA0F9A" w:rsidRPr="00EA0F9A" w:rsidP="0006122E" w14:paraId="22C9EBA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vAlign w:val="bottom"/>
          </w:tcPr>
          <w:p w:rsidR="00EA0F9A" w:rsidRPr="00EA0F9A" w14:paraId="3762B346"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440</w:t>
            </w:r>
          </w:p>
        </w:tc>
        <w:tc>
          <w:tcPr>
            <w:tcW w:w="601" w:type="pct"/>
            <w:tcBorders>
              <w:top w:val="single" w:sz="4" w:space="0" w:color="auto"/>
              <w:left w:val="single" w:sz="4" w:space="0" w:color="auto"/>
              <w:bottom w:val="single" w:sz="4" w:space="0" w:color="auto"/>
              <w:right w:val="single" w:sz="4" w:space="0" w:color="auto"/>
            </w:tcBorders>
            <w:vAlign w:val="bottom"/>
          </w:tcPr>
          <w:p w:rsidR="00EA0F9A" w:rsidRPr="00EA0F9A" w14:paraId="60844817" w14:textId="77777777">
            <w:pPr>
              <w:spacing w:after="0" w:line="240" w:lineRule="auto"/>
              <w:jc w:val="right"/>
              <w:rPr>
                <w:rFonts w:ascii="Times New Roman" w:hAnsi="Times New Roman" w:cs="Times New Roman"/>
                <w:sz w:val="26"/>
                <w:szCs w:val="26"/>
              </w:rPr>
            </w:pPr>
          </w:p>
          <w:p w:rsidR="00EA0F9A" w:rsidRPr="00EA0F9A" w14:paraId="4DCE7505" w14:textId="77777777">
            <w:pPr>
              <w:spacing w:after="0" w:line="240" w:lineRule="auto"/>
              <w:jc w:val="right"/>
              <w:rPr>
                <w:rFonts w:ascii="Times New Roman" w:hAnsi="Times New Roman" w:cs="Times New Roman"/>
                <w:sz w:val="26"/>
                <w:szCs w:val="26"/>
              </w:rPr>
            </w:pPr>
          </w:p>
          <w:p w:rsidR="00EA0F9A" w:rsidRPr="00EA0F9A" w14:paraId="046C126B"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46 hrs.; $4,462</w:t>
            </w:r>
          </w:p>
        </w:tc>
        <w:tc>
          <w:tcPr>
            <w:tcW w:w="741" w:type="pct"/>
            <w:tcBorders>
              <w:top w:val="single" w:sz="4" w:space="0" w:color="auto"/>
              <w:left w:val="single" w:sz="4" w:space="0" w:color="auto"/>
              <w:bottom w:val="single" w:sz="4" w:space="0" w:color="auto"/>
              <w:right w:val="single" w:sz="4" w:space="0" w:color="auto"/>
            </w:tcBorders>
            <w:vAlign w:val="bottom"/>
          </w:tcPr>
          <w:p w:rsidR="00EA0F9A" w:rsidRPr="00EA0F9A" w14:paraId="410B3EE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20,240 hrs.; $1,963,280</w:t>
            </w:r>
          </w:p>
        </w:tc>
        <w:tc>
          <w:tcPr>
            <w:tcW w:w="648" w:type="pct"/>
            <w:tcBorders>
              <w:top w:val="single" w:sz="4" w:space="0" w:color="auto"/>
              <w:left w:val="single" w:sz="4" w:space="0" w:color="auto"/>
              <w:bottom w:val="single" w:sz="4" w:space="0" w:color="auto"/>
              <w:right w:val="single" w:sz="4" w:space="0" w:color="auto"/>
            </w:tcBorders>
            <w:vAlign w:val="bottom"/>
          </w:tcPr>
          <w:p w:rsidR="00EA0F9A" w:rsidRPr="00EA0F9A" w14:paraId="677A02CE"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$4,462</w:t>
            </w:r>
          </w:p>
        </w:tc>
      </w:tr>
      <w:tr w14:paraId="71041D15" w14:textId="77777777" w:rsidTr="009C5FA9">
        <w:tblPrEx>
          <w:tblW w:w="5198" w:type="pct"/>
          <w:jc w:val="right"/>
          <w:tblLayout w:type="fixed"/>
          <w:tblLook w:val="01E0"/>
        </w:tblPrEx>
        <w:trPr>
          <w:cantSplit/>
          <w:jc w:val="right"/>
        </w:trPr>
        <w:tc>
          <w:tcPr>
            <w:tcW w:w="1020" w:type="pct"/>
          </w:tcPr>
          <w:p w:rsidR="00EA0F9A" w:rsidRPr="00EA0F9A" w:rsidP="0006122E" w14:paraId="4B331F44" w14:textId="77777777">
            <w:pPr>
              <w:spacing w:after="0" w:line="240" w:lineRule="auto"/>
              <w:rPr>
                <w:rFonts w:ascii="Times New Roman" w:hAnsi="Times New Roman" w:cs="Times New Roman"/>
                <w:b/>
                <w:sz w:val="26"/>
                <w:szCs w:val="26"/>
              </w:rPr>
            </w:pPr>
            <w:r w:rsidRPr="00EA0F9A">
              <w:rPr>
                <w:rFonts w:ascii="Times New Roman" w:hAnsi="Times New Roman" w:cs="Times New Roman"/>
                <w:b/>
                <w:sz w:val="26"/>
                <w:szCs w:val="26"/>
              </w:rPr>
              <w:t>Total</w:t>
            </w:r>
          </w:p>
        </w:tc>
        <w:tc>
          <w:tcPr>
            <w:tcW w:w="600" w:type="pct"/>
            <w:vAlign w:val="bottom"/>
          </w:tcPr>
          <w:p w:rsidR="00EA0F9A" w:rsidRPr="00EA0F9A" w:rsidP="0006122E" w14:paraId="034342D5"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3,298</w:t>
            </w:r>
          </w:p>
        </w:tc>
        <w:tc>
          <w:tcPr>
            <w:tcW w:w="833" w:type="pct"/>
            <w:vAlign w:val="bottom"/>
          </w:tcPr>
          <w:p w:rsidR="00EA0F9A" w:rsidRPr="00EA0F9A" w:rsidP="0006122E" w14:paraId="466791A9" w14:textId="77777777">
            <w:pPr>
              <w:spacing w:after="0" w:line="240" w:lineRule="auto"/>
              <w:jc w:val="right"/>
              <w:rPr>
                <w:rFonts w:ascii="Times New Roman" w:hAnsi="Times New Roman" w:cs="Times New Roman"/>
                <w:sz w:val="26"/>
                <w:szCs w:val="26"/>
              </w:rPr>
            </w:pPr>
          </w:p>
        </w:tc>
        <w:tc>
          <w:tcPr>
            <w:tcW w:w="557" w:type="pct"/>
            <w:vAlign w:val="bottom"/>
          </w:tcPr>
          <w:p w:rsidR="00EA0F9A" w:rsidRPr="00EA0F9A" w14:paraId="0E4BE7A7"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2,631</w:t>
            </w:r>
          </w:p>
        </w:tc>
        <w:tc>
          <w:tcPr>
            <w:tcW w:w="601" w:type="pct"/>
            <w:vAlign w:val="bottom"/>
          </w:tcPr>
          <w:p w:rsidR="00EA0F9A" w:rsidRPr="00EA0F9A" w14:paraId="1102A153" w14:textId="77777777">
            <w:pPr>
              <w:spacing w:after="0" w:line="240" w:lineRule="auto"/>
              <w:jc w:val="right"/>
              <w:rPr>
                <w:rFonts w:ascii="Times New Roman" w:hAnsi="Times New Roman" w:cs="Times New Roman"/>
                <w:sz w:val="26"/>
                <w:szCs w:val="26"/>
              </w:rPr>
            </w:pPr>
          </w:p>
        </w:tc>
        <w:tc>
          <w:tcPr>
            <w:tcW w:w="741" w:type="pct"/>
            <w:tcBorders>
              <w:top w:val="single" w:sz="4" w:space="0" w:color="auto"/>
              <w:left w:val="single" w:sz="4" w:space="0" w:color="auto"/>
              <w:bottom w:val="single" w:sz="4" w:space="0" w:color="auto"/>
              <w:right w:val="single" w:sz="4" w:space="0" w:color="auto"/>
            </w:tcBorders>
          </w:tcPr>
          <w:p w:rsidR="00EA0F9A" w:rsidRPr="00EA0F9A" w14:paraId="2CF3B4B6"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62,608.95 hrs.;</w:t>
            </w:r>
          </w:p>
          <w:p w:rsidR="00EA0F9A" w:rsidRPr="00EA0F9A" w14:paraId="1C686F81" w14:textId="77777777">
            <w:pPr>
              <w:spacing w:after="0" w:line="240" w:lineRule="auto"/>
              <w:jc w:val="right"/>
              <w:rPr>
                <w:rFonts w:ascii="Times New Roman" w:hAnsi="Times New Roman" w:cs="Times New Roman"/>
                <w:sz w:val="26"/>
                <w:szCs w:val="26"/>
              </w:rPr>
            </w:pPr>
            <w:r w:rsidRPr="00EA0F9A">
              <w:rPr>
                <w:rFonts w:ascii="Times New Roman" w:hAnsi="Times New Roman" w:cs="Times New Roman"/>
                <w:sz w:val="26"/>
                <w:szCs w:val="26"/>
              </w:rPr>
              <w:t>$6,073,068.15</w:t>
            </w:r>
          </w:p>
        </w:tc>
        <w:tc>
          <w:tcPr>
            <w:tcW w:w="648" w:type="pct"/>
            <w:tcBorders>
              <w:top w:val="single" w:sz="4" w:space="0" w:color="auto"/>
              <w:left w:val="single" w:sz="4" w:space="0" w:color="auto"/>
              <w:bottom w:val="single" w:sz="4" w:space="0" w:color="auto"/>
              <w:right w:val="single" w:sz="4" w:space="0" w:color="auto"/>
            </w:tcBorders>
          </w:tcPr>
          <w:p w:rsidR="00EA0F9A" w:rsidRPr="00EA0F9A" w14:paraId="6D8A62FB" w14:textId="77777777">
            <w:pPr>
              <w:spacing w:after="0" w:line="240" w:lineRule="auto"/>
              <w:jc w:val="right"/>
              <w:rPr>
                <w:rFonts w:ascii="Times New Roman" w:hAnsi="Times New Roman" w:cs="Times New Roman"/>
                <w:sz w:val="26"/>
                <w:szCs w:val="26"/>
              </w:rPr>
            </w:pPr>
          </w:p>
        </w:tc>
      </w:tr>
      <w:bookmarkEnd w:id="1"/>
    </w:tbl>
    <w:p w:rsidR="00794196" w:rsidP="0006122E" w14:paraId="41CD280A" w14:textId="2883A63D">
      <w:pPr>
        <w:rPr>
          <w:rFonts w:ascii="Times New Roman" w:hAnsi="Times New Roman" w:cs="Times New Roman"/>
          <w:sz w:val="26"/>
          <w:szCs w:val="26"/>
        </w:rPr>
      </w:pPr>
    </w:p>
    <w:p w:rsidR="009C5FA9" w:rsidRPr="009C5FA9" w:rsidP="0006122E" w14:paraId="1142B0C1" w14:textId="77777777">
      <w:pPr>
        <w:rPr>
          <w:rFonts w:ascii="Times New Roman" w:hAnsi="Times New Roman" w:cs="Times New Roman"/>
          <w:bCs/>
          <w:sz w:val="26"/>
          <w:szCs w:val="26"/>
        </w:rPr>
      </w:pPr>
      <w:bookmarkStart w:id="5" w:name="_Hlk104453310"/>
      <w:r w:rsidRPr="009C5FA9">
        <w:rPr>
          <w:rFonts w:ascii="Times New Roman" w:hAnsi="Times New Roman" w:cs="Times New Roman"/>
          <w:bCs/>
          <w:sz w:val="26"/>
          <w:szCs w:val="26"/>
        </w:rPr>
        <w:t>Row 1 (Market Power Analysis in New Applications for Market-based rates) will have 144 filings.  Row 2 (Triennial market power analysis) will have 65 filings.  Row 3 (Asset appendix addition to change in status reports) will have 149 filings.  There are a total of 358 filings in Rows 1 through 3.</w:t>
      </w:r>
    </w:p>
    <w:p w:rsidR="009C5FA9" w:rsidRPr="009C5FA9" w:rsidP="0006122E" w14:paraId="468396C8" w14:textId="200C40EF">
      <w:pPr>
        <w:rPr>
          <w:rFonts w:ascii="Times New Roman" w:hAnsi="Times New Roman" w:cs="Times New Roman"/>
          <w:bCs/>
          <w:sz w:val="26"/>
          <w:szCs w:val="26"/>
        </w:rPr>
      </w:pPr>
      <w:r w:rsidRPr="009C5FA9">
        <w:rPr>
          <w:rFonts w:ascii="Times New Roman" w:hAnsi="Times New Roman" w:cs="Times New Roman"/>
          <w:bCs/>
          <w:sz w:val="26"/>
          <w:szCs w:val="26"/>
        </w:rPr>
        <w:t xml:space="preserve">Currently, there are 2,729 sellers that would submit information into the relational database.  At the time of implementation of Order No. 860, there were 2,647 sellers that </w:t>
      </w:r>
      <w:r w:rsidRPr="009C5FA9">
        <w:rPr>
          <w:rFonts w:ascii="Times New Roman" w:hAnsi="Times New Roman" w:cs="Times New Roman"/>
          <w:bCs/>
          <w:sz w:val="26"/>
          <w:szCs w:val="26"/>
        </w:rPr>
        <w:t>would submit information into the relational database in the first year of implementation.</w:t>
      </w:r>
      <w:bookmarkEnd w:id="5"/>
      <w:r w:rsidRPr="009C5FA9">
        <w:rPr>
          <w:rFonts w:ascii="Times New Roman" w:hAnsi="Times New Roman" w:cs="Times New Roman"/>
          <w:bCs/>
          <w:sz w:val="26"/>
          <w:szCs w:val="26"/>
        </w:rPr>
        <w:t xml:space="preserve">  </w:t>
      </w:r>
      <w:bookmarkStart w:id="6" w:name="_Hlk104453369"/>
      <w:r w:rsidRPr="009C5FA9">
        <w:rPr>
          <w:rFonts w:ascii="Times New Roman" w:hAnsi="Times New Roman" w:cs="Times New Roman"/>
          <w:bCs/>
          <w:sz w:val="26"/>
          <w:szCs w:val="26"/>
        </w:rPr>
        <w:t>Six institutional investors had FPA section 203(a)(2) blanket authorizations, which collectively owned approximately 110 upstream affiliates that themselves owned sellers.</w:t>
      </w:r>
      <w:bookmarkEnd w:id="6"/>
      <w:r w:rsidRPr="009C5FA9">
        <w:rPr>
          <w:rFonts w:ascii="Times New Roman" w:hAnsi="Times New Roman" w:cs="Times New Roman"/>
          <w:bCs/>
          <w:sz w:val="26"/>
          <w:szCs w:val="26"/>
        </w:rPr>
        <w:t xml:space="preserve">  In the March Notice,</w:t>
      </w:r>
      <w:r>
        <w:rPr>
          <w:rFonts w:ascii="Times New Roman" w:hAnsi="Times New Roman" w:cs="Times New Roman"/>
          <w:b/>
          <w:bCs/>
          <w:sz w:val="26"/>
          <w:szCs w:val="26"/>
          <w:vertAlign w:val="superscript"/>
        </w:rPr>
        <w:footnoteReference w:id="15"/>
      </w:r>
      <w:r w:rsidRPr="009C5FA9">
        <w:rPr>
          <w:rFonts w:ascii="Times New Roman" w:hAnsi="Times New Roman" w:cs="Times New Roman"/>
          <w:bCs/>
          <w:sz w:val="26"/>
          <w:szCs w:val="26"/>
        </w:rPr>
        <w:t xml:space="preserve"> the Commission estimated an average of four sellers affected for every upstream affiliate, equaling 440 total sellers</w:t>
      </w:r>
      <w:r w:rsidR="00C41134">
        <w:rPr>
          <w:rFonts w:ascii="Times New Roman" w:hAnsi="Times New Roman" w:cs="Times New Roman"/>
          <w:bCs/>
          <w:sz w:val="26"/>
          <w:szCs w:val="26"/>
        </w:rPr>
        <w:t xml:space="preserve"> during the first three years of implementation of Order No. 860</w:t>
      </w:r>
      <w:r w:rsidRPr="009C5FA9">
        <w:rPr>
          <w:rFonts w:ascii="Times New Roman" w:hAnsi="Times New Roman" w:cs="Times New Roman"/>
          <w:bCs/>
          <w:sz w:val="26"/>
          <w:szCs w:val="26"/>
        </w:rPr>
        <w:t xml:space="preserve">.  </w:t>
      </w:r>
    </w:p>
    <w:p w:rsidR="009C5FA9" w:rsidRPr="009C5FA9" w14:paraId="413C591D" w14:textId="77777777">
      <w:pPr>
        <w:rPr>
          <w:rFonts w:ascii="Times New Roman" w:hAnsi="Times New Roman" w:cs="Times New Roman"/>
          <w:bCs/>
          <w:sz w:val="26"/>
          <w:szCs w:val="26"/>
        </w:rPr>
      </w:pPr>
      <w:r w:rsidRPr="009C5FA9">
        <w:rPr>
          <w:rFonts w:ascii="Times New Roman" w:hAnsi="Times New Roman" w:cs="Times New Roman"/>
          <w:bCs/>
          <w:sz w:val="26"/>
          <w:szCs w:val="26"/>
        </w:rPr>
        <w:t>FERC-919A Burden carryover explanation:</w:t>
      </w:r>
    </w:p>
    <w:p w:rsidR="009C5FA9" w:rsidRPr="009C5FA9" w14:paraId="43337AF0" w14:textId="5B938CD3">
      <w:pPr>
        <w:numPr>
          <w:ilvl w:val="0"/>
          <w:numId w:val="7"/>
        </w:numPr>
        <w:rPr>
          <w:rFonts w:ascii="Times New Roman" w:hAnsi="Times New Roman" w:cs="Times New Roman"/>
          <w:bCs/>
          <w:sz w:val="26"/>
          <w:szCs w:val="26"/>
        </w:rPr>
      </w:pPr>
      <w:r>
        <w:rPr>
          <w:rFonts w:ascii="Times New Roman" w:hAnsi="Times New Roman" w:cs="Times New Roman"/>
          <w:bCs/>
          <w:sz w:val="26"/>
          <w:szCs w:val="26"/>
        </w:rPr>
        <w:t>R</w:t>
      </w:r>
      <w:r w:rsidRPr="009C5FA9">
        <w:rPr>
          <w:rFonts w:ascii="Times New Roman" w:hAnsi="Times New Roman" w:cs="Times New Roman"/>
          <w:bCs/>
          <w:sz w:val="26"/>
          <w:szCs w:val="26"/>
        </w:rPr>
        <w:t>M16-17-000 Final Rule (Order No. 860) (Category 1, 2nd Year and Ongoing), as modified by Order of August 2021—to 814 hrs.)</w:t>
      </w:r>
    </w:p>
    <w:p w:rsidR="009C5FA9" w:rsidRPr="009C5FA9" w14:paraId="5D8D361E" w14:textId="66F20384">
      <w:pPr>
        <w:numPr>
          <w:ilvl w:val="0"/>
          <w:numId w:val="7"/>
        </w:numPr>
        <w:rPr>
          <w:rFonts w:ascii="Times New Roman" w:hAnsi="Times New Roman" w:cs="Times New Roman"/>
          <w:bCs/>
          <w:sz w:val="26"/>
          <w:szCs w:val="26"/>
        </w:rPr>
      </w:pPr>
      <w:r w:rsidRPr="009C5FA9">
        <w:rPr>
          <w:rFonts w:ascii="Times New Roman" w:hAnsi="Times New Roman" w:cs="Times New Roman"/>
          <w:bCs/>
          <w:sz w:val="26"/>
          <w:szCs w:val="26"/>
        </w:rPr>
        <w:t>RM16-17-000 Final Rule (Order No. 860) (Category 2, 2nd Year and Ongoing) as modified by Order of August 2021—to 6,154 hrs.)</w:t>
      </w:r>
    </w:p>
    <w:p w:rsidR="00794196" w:rsidRPr="00794196" w14:paraId="18464350" w14:textId="77777777">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 xml:space="preserve"> ESTIMATE OF THE TOTAL COST BURDEN TO RESPONDENTS</w:t>
      </w:r>
    </w:p>
    <w:p w:rsidR="00794196" w:rsidRPr="00794196" w14:paraId="18464351" w14:textId="77777777">
      <w:pPr>
        <w:spacing w:after="0"/>
        <w:rPr>
          <w:rFonts w:ascii="Times New Roman" w:hAnsi="Times New Roman" w:cs="Times New Roman"/>
          <w:sz w:val="26"/>
          <w:szCs w:val="26"/>
        </w:rPr>
      </w:pPr>
    </w:p>
    <w:p w:rsidR="00794196" w:rsidRPr="00794196" w14:paraId="18464352" w14:textId="77777777">
      <w:pPr>
        <w:spacing w:after="0"/>
        <w:rPr>
          <w:rFonts w:ascii="Times New Roman" w:hAnsi="Times New Roman" w:cs="Times New Roman"/>
          <w:sz w:val="26"/>
          <w:szCs w:val="26"/>
        </w:rPr>
      </w:pPr>
      <w:r w:rsidRPr="00794196">
        <w:rPr>
          <w:rFonts w:ascii="Times New Roman" w:hAnsi="Times New Roman" w:cs="Times New Roman"/>
          <w:sz w:val="26"/>
          <w:szCs w:val="26"/>
        </w:rPr>
        <w:t>There are no non-labor costs currently associated with the FERC-919.</w:t>
      </w:r>
    </w:p>
    <w:p w:rsidR="00794196" w:rsidRPr="00794196" w14:paraId="18464353" w14:textId="77777777">
      <w:pPr>
        <w:spacing w:after="0"/>
        <w:rPr>
          <w:rFonts w:ascii="Times New Roman" w:hAnsi="Times New Roman" w:cs="Times New Roman"/>
          <w:sz w:val="26"/>
          <w:szCs w:val="26"/>
        </w:rPr>
      </w:pPr>
    </w:p>
    <w:p w:rsidR="00794196" w:rsidRPr="00794196" w14:paraId="18464354" w14:textId="77777777">
      <w:pPr>
        <w:spacing w:after="0"/>
        <w:rPr>
          <w:rFonts w:ascii="Times New Roman" w:hAnsi="Times New Roman" w:cs="Times New Roman"/>
          <w:sz w:val="26"/>
          <w:szCs w:val="26"/>
        </w:rPr>
      </w:pPr>
      <w:r w:rsidRPr="00794196">
        <w:rPr>
          <w:rFonts w:ascii="Times New Roman" w:hAnsi="Times New Roman" w:cs="Times New Roman"/>
          <w:sz w:val="26"/>
          <w:szCs w:val="26"/>
        </w:rPr>
        <w:t>All costs are associated with burden hours (labor) and are addressed in Question #12 and Question #15.</w:t>
      </w:r>
    </w:p>
    <w:p w:rsidR="00794196" w:rsidRPr="00794196" w14:paraId="18464355" w14:textId="77777777">
      <w:pPr>
        <w:spacing w:after="0"/>
        <w:rPr>
          <w:rFonts w:ascii="Times New Roman" w:hAnsi="Times New Roman" w:cs="Times New Roman"/>
          <w:sz w:val="26"/>
          <w:szCs w:val="26"/>
        </w:rPr>
      </w:pPr>
    </w:p>
    <w:p w:rsidR="00794196" w:rsidRPr="00794196" w14:paraId="18464356" w14:textId="77777777">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ESTIMATED ANNUALIZED COST TO THE FEDERAL GOVERNMENT</w:t>
      </w:r>
    </w:p>
    <w:p w:rsidR="00794196" w:rsidRPr="00794196" w14:paraId="18464357" w14:textId="77777777">
      <w:pPr>
        <w:spacing w:after="0"/>
        <w:rPr>
          <w:rFonts w:ascii="Times New Roman" w:hAnsi="Times New Roman" w:cs="Times New Roman"/>
          <w:sz w:val="26"/>
          <w:szCs w:val="26"/>
        </w:rPr>
      </w:pPr>
    </w:p>
    <w:p w:rsidR="00794196" w:rsidRPr="00794196" w14:paraId="18464358"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794196" w:rsidRPr="00794196" w14:paraId="18464359" w14:textId="77777777">
      <w:pPr>
        <w:spacing w:after="0"/>
        <w:rPr>
          <w:rFonts w:ascii="Times New Roman" w:hAnsi="Times New Roman" w:cs="Times New Roman"/>
          <w:sz w:val="26"/>
          <w:szCs w:val="26"/>
        </w:rPr>
      </w:pPr>
    </w:p>
    <w:p w:rsidR="00794196" w:rsidRPr="00794196" w14:paraId="1846435A" w14:textId="77777777">
      <w:pPr>
        <w:spacing w:after="0"/>
        <w:rPr>
          <w:rFonts w:ascii="Times New Roman" w:hAnsi="Times New Roman" w:cs="Times New Roman"/>
          <w:sz w:val="26"/>
          <w:szCs w:val="26"/>
        </w:rPr>
      </w:pPr>
      <w:r w:rsidRPr="00794196">
        <w:rPr>
          <w:rFonts w:ascii="Times New Roman" w:hAnsi="Times New Roman" w:cs="Times New Roman"/>
          <w:sz w:val="26"/>
          <w:szCs w:val="26"/>
        </w:rPr>
        <w:t xml:space="preserve">The PRA Administrative Cost is a Federal Cost associated with preparing, issuing, and submitting materials necessary to comply with the Paperwork Reduction Act (PRA) for rulemakings, orders, or any other vehicle used to create, modify, extend, or discontinue </w:t>
      </w:r>
      <w:r w:rsidRPr="00794196">
        <w:rPr>
          <w:rFonts w:ascii="Times New Roman" w:hAnsi="Times New Roman" w:cs="Times New Roman"/>
          <w:sz w:val="26"/>
          <w:szCs w:val="26"/>
        </w:rPr>
        <w:t>an information collection.  This average annual cost includes requests for extensions, all associated rulemakings, and other changes to the collection.</w:t>
      </w:r>
    </w:p>
    <w:p w:rsidR="00794196" w:rsidRPr="00794196" w14:paraId="1846435B" w14:textId="77777777">
      <w:pPr>
        <w:spacing w:after="0"/>
        <w:rPr>
          <w:rFonts w:ascii="Times New Roman" w:hAnsi="Times New Roman" w:cs="Times New Roman"/>
          <w:sz w:val="26"/>
          <w:szCs w:val="26"/>
        </w:rPr>
      </w:pPr>
    </w:p>
    <w:p w:rsidR="00794196" w:rsidRPr="00794196" w14:paraId="1846435C" w14:textId="77777777">
      <w:pPr>
        <w:spacing w:after="0"/>
        <w:rPr>
          <w:rFonts w:ascii="Times New Roman" w:hAnsi="Times New Roman" w:cs="Times New Roman"/>
          <w:sz w:val="26"/>
          <w:szCs w:val="26"/>
        </w:rPr>
      </w:pPr>
      <w:r w:rsidRPr="00794196">
        <w:rPr>
          <w:rFonts w:ascii="Times New Roman" w:hAnsi="Times New Roman" w:cs="Times New Roman"/>
          <w:sz w:val="26"/>
          <w:szCs w:val="26"/>
        </w:rPr>
        <w:t>The estimated annualized cost to the Federal Government for FERC-919 follows:</w:t>
      </w:r>
    </w:p>
    <w:p w:rsidR="00794196" w:rsidRPr="00794196" w14:paraId="1846435D" w14:textId="77777777">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8464361" w14:textId="77777777" w:rsidTr="0011762A">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794196" w:rsidRPr="00794196" w14:paraId="1846435E" w14:textId="77777777">
            <w:pPr>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794196" w:rsidRPr="00794196" w14:paraId="1846435F" w14:textId="77777777">
            <w:pPr>
              <w:rPr>
                <w:rFonts w:ascii="Times New Roman" w:hAnsi="Times New Roman" w:cs="Times New Roman"/>
                <w:b/>
                <w:sz w:val="26"/>
                <w:szCs w:val="26"/>
              </w:rPr>
            </w:pPr>
            <w:r w:rsidRPr="00794196">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794196" w:rsidRPr="00794196" w14:paraId="18464360" w14:textId="77777777">
            <w:pPr>
              <w:rPr>
                <w:rFonts w:ascii="Times New Roman" w:hAnsi="Times New Roman" w:cs="Times New Roman"/>
                <w:b/>
                <w:sz w:val="26"/>
                <w:szCs w:val="26"/>
              </w:rPr>
            </w:pPr>
            <w:r w:rsidRPr="00794196">
              <w:rPr>
                <w:rFonts w:ascii="Times New Roman" w:hAnsi="Times New Roman" w:cs="Times New Roman"/>
                <w:b/>
                <w:sz w:val="26"/>
                <w:szCs w:val="26"/>
              </w:rPr>
              <w:t>Estimated Annual Federal Cost</w:t>
            </w:r>
          </w:p>
        </w:tc>
      </w:tr>
      <w:tr w14:paraId="18464365" w14:textId="77777777" w:rsidTr="0011762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794196" w:rsidRPr="00C6420B" w:rsidP="0006122E" w14:paraId="18464362" w14:textId="77777777">
            <w:pPr>
              <w:rPr>
                <w:rFonts w:ascii="Times New Roman" w:hAnsi="Times New Roman" w:cs="Times New Roman"/>
                <w:sz w:val="26"/>
                <w:szCs w:val="26"/>
              </w:rPr>
            </w:pPr>
            <w:r w:rsidRPr="00C6420B">
              <w:rPr>
                <w:rFonts w:ascii="Times New Roman" w:hAnsi="Times New Roman" w:cs="Times New Roman"/>
                <w:sz w:val="26"/>
                <w:szCs w:val="26"/>
              </w:rPr>
              <w:t>FERC-919, Analysis and Processing of filings</w:t>
            </w:r>
            <w:r>
              <w:rPr>
                <w:rFonts w:ascii="Times New Roman" w:hAnsi="Times New Roman" w:cs="Times New Roman"/>
                <w:sz w:val="26"/>
                <w:szCs w:val="26"/>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vAlign w:val="bottom"/>
          </w:tcPr>
          <w:p w:rsidR="00794196" w:rsidRPr="00C6420B" w:rsidP="0006122E" w14:paraId="18464363" w14:textId="24DCC8E0">
            <w:pPr>
              <w:jc w:val="right"/>
              <w:rPr>
                <w:rFonts w:ascii="Times New Roman" w:hAnsi="Times New Roman" w:cs="Times New Roman"/>
                <w:sz w:val="26"/>
                <w:szCs w:val="26"/>
              </w:rPr>
            </w:pPr>
            <w:r>
              <w:rPr>
                <w:rFonts w:ascii="Times New Roman" w:hAnsi="Times New Roman" w:cs="Times New Roman"/>
                <w:sz w:val="26"/>
                <w:szCs w:val="26"/>
              </w:rPr>
              <w:t>28</w:t>
            </w:r>
            <w:r>
              <w:rPr>
                <w:rStyle w:val="FootnoteReference"/>
                <w:rFonts w:ascii="Times New Roman" w:hAnsi="Times New Roman" w:cs="Times New Roman"/>
                <w:sz w:val="26"/>
                <w:szCs w:val="26"/>
                <w:vertAlign w:val="superscript"/>
              </w:rPr>
              <w:footnoteReference w:id="17"/>
            </w:r>
          </w:p>
        </w:tc>
        <w:tc>
          <w:tcPr>
            <w:tcW w:w="2995" w:type="dxa"/>
            <w:tcBorders>
              <w:top w:val="single" w:sz="4" w:space="0" w:color="auto"/>
              <w:left w:val="single" w:sz="4" w:space="0" w:color="auto"/>
              <w:bottom w:val="single" w:sz="4" w:space="0" w:color="auto"/>
              <w:right w:val="single" w:sz="4" w:space="0" w:color="auto"/>
            </w:tcBorders>
            <w:vAlign w:val="bottom"/>
          </w:tcPr>
          <w:p w:rsidR="00794196" w:rsidRPr="00C6420B" w:rsidP="0006122E" w14:paraId="18464364" w14:textId="4513043A">
            <w:pPr>
              <w:jc w:val="right"/>
              <w:rPr>
                <w:rFonts w:ascii="Times New Roman" w:hAnsi="Times New Roman" w:cs="Times New Roman"/>
                <w:sz w:val="26"/>
                <w:szCs w:val="26"/>
              </w:rPr>
            </w:pPr>
            <w:r w:rsidRPr="00C6420B">
              <w:rPr>
                <w:rFonts w:ascii="Times New Roman" w:hAnsi="Times New Roman" w:cs="Times New Roman"/>
                <w:sz w:val="26"/>
                <w:szCs w:val="26"/>
              </w:rPr>
              <w:t>$</w:t>
            </w:r>
            <w:r w:rsidRPr="00C6420B" w:rsidR="00C6420B">
              <w:rPr>
                <w:rFonts w:ascii="Times New Roman" w:hAnsi="Times New Roman" w:cs="Times New Roman"/>
                <w:sz w:val="26"/>
                <w:szCs w:val="26"/>
              </w:rPr>
              <w:t>5,421,090</w:t>
            </w:r>
          </w:p>
        </w:tc>
      </w:tr>
      <w:tr w14:paraId="18464369" w14:textId="77777777" w:rsidTr="0011762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794196" w:rsidRPr="00C6420B" w:rsidP="0006122E" w14:paraId="18464366" w14:textId="77777777">
            <w:pPr>
              <w:rPr>
                <w:rFonts w:ascii="Times New Roman" w:hAnsi="Times New Roman" w:cs="Times New Roman"/>
                <w:sz w:val="26"/>
                <w:szCs w:val="26"/>
              </w:rPr>
            </w:pPr>
            <w:r w:rsidRPr="00C6420B">
              <w:rPr>
                <w:rFonts w:ascii="Times New Roman" w:hAnsi="Times New Roman" w:cs="Times New Roman"/>
                <w:sz w:val="26"/>
                <w:szCs w:val="26"/>
              </w:rPr>
              <w:t xml:space="preserve">PRA Administrative Cost </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94196" w:rsidRPr="00C6420B" w:rsidP="0006122E" w14:paraId="18464367" w14:textId="77777777">
            <w:pPr>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794196" w:rsidRPr="00C6420B" w:rsidP="0006122E" w14:paraId="18464368" w14:textId="41B15925">
            <w:pPr>
              <w:jc w:val="right"/>
              <w:rPr>
                <w:rFonts w:ascii="Times New Roman" w:hAnsi="Times New Roman" w:cs="Times New Roman"/>
                <w:sz w:val="26"/>
                <w:szCs w:val="26"/>
              </w:rPr>
            </w:pPr>
            <w:r w:rsidRPr="00C6420B">
              <w:rPr>
                <w:rFonts w:ascii="Times New Roman" w:hAnsi="Times New Roman" w:cs="Times New Roman"/>
                <w:sz w:val="26"/>
                <w:szCs w:val="26"/>
              </w:rPr>
              <w:t>$</w:t>
            </w:r>
            <w:r w:rsidRPr="003779D9" w:rsidR="00255AD5">
              <w:rPr>
                <w:rFonts w:ascii="Times New Roman" w:hAnsi="Times New Roman" w:cs="Times New Roman"/>
                <w:sz w:val="26"/>
                <w:szCs w:val="26"/>
              </w:rPr>
              <w:t>8,</w:t>
            </w:r>
            <w:r w:rsidRPr="003779D9" w:rsidR="00375B3A">
              <w:rPr>
                <w:rFonts w:ascii="Times New Roman" w:hAnsi="Times New Roman" w:cs="Times New Roman"/>
                <w:sz w:val="26"/>
                <w:szCs w:val="26"/>
              </w:rPr>
              <w:t>2</w:t>
            </w:r>
            <w:r w:rsidRPr="003779D9" w:rsidR="00255AD5">
              <w:rPr>
                <w:rFonts w:ascii="Times New Roman" w:hAnsi="Times New Roman" w:cs="Times New Roman"/>
                <w:sz w:val="26"/>
                <w:szCs w:val="26"/>
              </w:rPr>
              <w:t>79</w:t>
            </w:r>
          </w:p>
        </w:tc>
      </w:tr>
      <w:tr w14:paraId="1846436D" w14:textId="77777777" w:rsidTr="0011762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794196" w:rsidRPr="00B61617" w:rsidP="0006122E" w14:paraId="1846436A" w14:textId="77777777">
            <w:pPr>
              <w:rPr>
                <w:rFonts w:ascii="Times New Roman" w:hAnsi="Times New Roman" w:cs="Times New Roman"/>
                <w:b/>
                <w:sz w:val="26"/>
                <w:szCs w:val="26"/>
              </w:rPr>
            </w:pPr>
            <w:r w:rsidRPr="00B61617">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196" w:rsidRPr="00B61617" w14:paraId="1846436B" w14:textId="77777777">
            <w:pPr>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794196" w:rsidRPr="00B61617" w14:paraId="1846436C" w14:textId="4BB5AC0B">
            <w:pPr>
              <w:jc w:val="right"/>
              <w:rPr>
                <w:rFonts w:ascii="Times New Roman" w:hAnsi="Times New Roman" w:cs="Times New Roman"/>
                <w:sz w:val="26"/>
                <w:szCs w:val="26"/>
              </w:rPr>
            </w:pPr>
            <w:r w:rsidRPr="00B61617">
              <w:rPr>
                <w:rFonts w:ascii="Times New Roman" w:hAnsi="Times New Roman" w:cs="Times New Roman"/>
                <w:sz w:val="26"/>
                <w:szCs w:val="26"/>
              </w:rPr>
              <w:t>$</w:t>
            </w:r>
            <w:r w:rsidRPr="00B61617" w:rsidR="00C6420B">
              <w:rPr>
                <w:rFonts w:ascii="Times New Roman" w:hAnsi="Times New Roman" w:cs="Times New Roman"/>
                <w:sz w:val="26"/>
                <w:szCs w:val="26"/>
              </w:rPr>
              <w:t>5,429,</w:t>
            </w:r>
            <w:r w:rsidR="003779D9">
              <w:rPr>
                <w:rFonts w:ascii="Times New Roman" w:hAnsi="Times New Roman" w:cs="Times New Roman"/>
                <w:sz w:val="26"/>
                <w:szCs w:val="26"/>
              </w:rPr>
              <w:t>3</w:t>
            </w:r>
            <w:r w:rsidRPr="00B61617" w:rsidR="00C6420B">
              <w:rPr>
                <w:rFonts w:ascii="Times New Roman" w:hAnsi="Times New Roman" w:cs="Times New Roman"/>
                <w:sz w:val="26"/>
                <w:szCs w:val="26"/>
              </w:rPr>
              <w:t>69</w:t>
            </w:r>
          </w:p>
        </w:tc>
      </w:tr>
    </w:tbl>
    <w:p w:rsidR="00794196" w:rsidRPr="00794196" w:rsidP="0006122E" w14:paraId="1846436E" w14:textId="77777777">
      <w:pPr>
        <w:rPr>
          <w:rFonts w:ascii="Times New Roman" w:hAnsi="Times New Roman" w:cs="Times New Roman"/>
          <w:b/>
          <w:bCs/>
          <w:sz w:val="26"/>
          <w:szCs w:val="26"/>
        </w:rPr>
      </w:pPr>
    </w:p>
    <w:p w:rsidR="00794196" w:rsidRPr="00794196" w:rsidP="0006122E" w14:paraId="1846436F" w14:textId="77777777">
      <w:pPr>
        <w:numPr>
          <w:ilvl w:val="0"/>
          <w:numId w:val="2"/>
        </w:numPr>
        <w:rPr>
          <w:rFonts w:ascii="Times New Roman" w:hAnsi="Times New Roman" w:cs="Times New Roman"/>
          <w:b/>
          <w:sz w:val="26"/>
          <w:szCs w:val="26"/>
        </w:rPr>
      </w:pPr>
      <w:r w:rsidRPr="00794196">
        <w:rPr>
          <w:rFonts w:ascii="Times New Roman" w:hAnsi="Times New Roman" w:cs="Times New Roman"/>
          <w:b/>
          <w:sz w:val="26"/>
          <w:szCs w:val="26"/>
        </w:rPr>
        <w:t>REASONS FOR CHANGES IN BURDEN INCLUDING THE NEED FOR ANY INCREASE</w:t>
      </w:r>
    </w:p>
    <w:p w:rsidR="00794196" w:rsidP="0006122E" w14:paraId="18464370" w14:textId="64B05CAB">
      <w:pPr>
        <w:rPr>
          <w:rFonts w:ascii="Times New Roman" w:hAnsi="Times New Roman" w:cs="Times New Roman"/>
          <w:sz w:val="26"/>
          <w:szCs w:val="26"/>
        </w:rPr>
      </w:pPr>
      <w:r w:rsidRPr="00794196">
        <w:rPr>
          <w:rFonts w:ascii="Times New Roman" w:hAnsi="Times New Roman" w:cs="Times New Roman"/>
          <w:sz w:val="26"/>
          <w:szCs w:val="26"/>
        </w:rPr>
        <w:t>There is a</w:t>
      </w:r>
      <w:r w:rsidR="00CF1C43">
        <w:rPr>
          <w:rFonts w:ascii="Times New Roman" w:hAnsi="Times New Roman" w:cs="Times New Roman"/>
          <w:sz w:val="26"/>
          <w:szCs w:val="26"/>
        </w:rPr>
        <w:t>n</w:t>
      </w:r>
      <w:r w:rsidRPr="00794196">
        <w:rPr>
          <w:rFonts w:ascii="Times New Roman" w:hAnsi="Times New Roman" w:cs="Times New Roman"/>
          <w:sz w:val="26"/>
          <w:szCs w:val="26"/>
        </w:rPr>
        <w:t xml:space="preserve"> adjustment in estimate from </w:t>
      </w:r>
      <w:r w:rsidR="00C93BCA">
        <w:rPr>
          <w:rFonts w:ascii="Times New Roman" w:hAnsi="Times New Roman" w:cs="Times New Roman"/>
          <w:sz w:val="26"/>
          <w:szCs w:val="26"/>
        </w:rPr>
        <w:t>358</w:t>
      </w:r>
      <w:r w:rsidR="009C5FA9">
        <w:rPr>
          <w:rFonts w:ascii="Times New Roman" w:hAnsi="Times New Roman" w:cs="Times New Roman"/>
          <w:sz w:val="26"/>
          <w:szCs w:val="26"/>
        </w:rPr>
        <w:t xml:space="preserve"> </w:t>
      </w:r>
      <w:r w:rsidRPr="00794196">
        <w:rPr>
          <w:rFonts w:ascii="Times New Roman" w:hAnsi="Times New Roman" w:cs="Times New Roman"/>
          <w:sz w:val="26"/>
          <w:szCs w:val="26"/>
        </w:rPr>
        <w:t xml:space="preserve">responses to </w:t>
      </w:r>
      <w:r w:rsidR="00C93BCA">
        <w:rPr>
          <w:rFonts w:ascii="Times New Roman" w:hAnsi="Times New Roman" w:cs="Times New Roman"/>
          <w:sz w:val="26"/>
          <w:szCs w:val="26"/>
        </w:rPr>
        <w:t>2,631</w:t>
      </w:r>
      <w:r w:rsidRPr="00794196">
        <w:rPr>
          <w:rFonts w:ascii="Times New Roman" w:hAnsi="Times New Roman" w:cs="Times New Roman"/>
          <w:sz w:val="26"/>
          <w:szCs w:val="26"/>
        </w:rPr>
        <w:t xml:space="preserve"> responses which is a</w:t>
      </w:r>
      <w:r w:rsidR="00CF1C43">
        <w:rPr>
          <w:rFonts w:ascii="Times New Roman" w:hAnsi="Times New Roman" w:cs="Times New Roman"/>
          <w:sz w:val="26"/>
          <w:szCs w:val="26"/>
        </w:rPr>
        <w:t>n</w:t>
      </w:r>
      <w:r w:rsidRPr="00794196">
        <w:rPr>
          <w:rFonts w:ascii="Times New Roman" w:hAnsi="Times New Roman" w:cs="Times New Roman"/>
          <w:sz w:val="26"/>
          <w:szCs w:val="26"/>
        </w:rPr>
        <w:t xml:space="preserve"> </w:t>
      </w:r>
      <w:r w:rsidR="009C5FA9">
        <w:rPr>
          <w:rFonts w:ascii="Times New Roman" w:hAnsi="Times New Roman" w:cs="Times New Roman"/>
          <w:sz w:val="26"/>
          <w:szCs w:val="26"/>
        </w:rPr>
        <w:t>in</w:t>
      </w:r>
      <w:r w:rsidRPr="00794196">
        <w:rPr>
          <w:rFonts w:ascii="Times New Roman" w:hAnsi="Times New Roman" w:cs="Times New Roman"/>
          <w:sz w:val="26"/>
          <w:szCs w:val="26"/>
        </w:rPr>
        <w:t xml:space="preserve">crease in </w:t>
      </w:r>
      <w:r w:rsidR="009C5FA9">
        <w:rPr>
          <w:rFonts w:ascii="Times New Roman" w:hAnsi="Times New Roman" w:cs="Times New Roman"/>
          <w:sz w:val="26"/>
          <w:szCs w:val="26"/>
        </w:rPr>
        <w:t>2,273</w:t>
      </w:r>
      <w:r w:rsidRPr="00794196">
        <w:rPr>
          <w:rFonts w:ascii="Times New Roman" w:hAnsi="Times New Roman" w:cs="Times New Roman"/>
          <w:sz w:val="26"/>
          <w:szCs w:val="26"/>
        </w:rPr>
        <w:t xml:space="preserve"> responses/respondents.  The burden for FERC-919 also </w:t>
      </w:r>
      <w:r w:rsidR="00CF1C43">
        <w:rPr>
          <w:rFonts w:ascii="Times New Roman" w:hAnsi="Times New Roman" w:cs="Times New Roman"/>
          <w:sz w:val="26"/>
          <w:szCs w:val="26"/>
        </w:rPr>
        <w:t>increases</w:t>
      </w:r>
      <w:r w:rsidRPr="00794196" w:rsidR="00CF1C43">
        <w:rPr>
          <w:rFonts w:ascii="Times New Roman" w:hAnsi="Times New Roman" w:cs="Times New Roman"/>
          <w:sz w:val="26"/>
          <w:szCs w:val="26"/>
        </w:rPr>
        <w:t xml:space="preserve"> </w:t>
      </w:r>
      <w:r w:rsidR="00BA4C3E">
        <w:rPr>
          <w:rFonts w:ascii="Times New Roman" w:hAnsi="Times New Roman" w:cs="Times New Roman"/>
          <w:sz w:val="26"/>
          <w:szCs w:val="26"/>
        </w:rPr>
        <w:t>from</w:t>
      </w:r>
      <w:r w:rsidRPr="00794196">
        <w:rPr>
          <w:rFonts w:ascii="Times New Roman" w:hAnsi="Times New Roman" w:cs="Times New Roman"/>
          <w:sz w:val="26"/>
          <w:szCs w:val="26"/>
        </w:rPr>
        <w:t xml:space="preserve"> </w:t>
      </w:r>
      <w:r w:rsidR="00E83376">
        <w:rPr>
          <w:rFonts w:ascii="Times New Roman" w:hAnsi="Times New Roman" w:cs="Times New Roman"/>
          <w:sz w:val="26"/>
          <w:szCs w:val="26"/>
        </w:rPr>
        <w:t>35</w:t>
      </w:r>
      <w:r w:rsidR="00C93BCA">
        <w:rPr>
          <w:rFonts w:ascii="Times New Roman" w:hAnsi="Times New Roman" w:cs="Times New Roman"/>
          <w:sz w:val="26"/>
          <w:szCs w:val="26"/>
        </w:rPr>
        <w:t>,</w:t>
      </w:r>
      <w:r w:rsidR="00E83376">
        <w:rPr>
          <w:rFonts w:ascii="Times New Roman" w:hAnsi="Times New Roman" w:cs="Times New Roman"/>
          <w:sz w:val="26"/>
          <w:szCs w:val="26"/>
        </w:rPr>
        <w:t>40</w:t>
      </w:r>
      <w:r w:rsidR="00C93BCA">
        <w:rPr>
          <w:rFonts w:ascii="Times New Roman" w:hAnsi="Times New Roman" w:cs="Times New Roman"/>
          <w:sz w:val="26"/>
          <w:szCs w:val="26"/>
        </w:rPr>
        <w:t xml:space="preserve">1 </w:t>
      </w:r>
      <w:r w:rsidRPr="00794196">
        <w:rPr>
          <w:rFonts w:ascii="Times New Roman" w:hAnsi="Times New Roman" w:cs="Times New Roman"/>
          <w:sz w:val="26"/>
          <w:szCs w:val="26"/>
        </w:rPr>
        <w:t>burden hours</w:t>
      </w:r>
      <w:r w:rsidR="008A5F7B">
        <w:rPr>
          <w:rFonts w:ascii="Times New Roman" w:hAnsi="Times New Roman" w:cs="Times New Roman"/>
          <w:sz w:val="26"/>
          <w:szCs w:val="26"/>
        </w:rPr>
        <w:t>,</w:t>
      </w:r>
      <w:r w:rsidRPr="00794196">
        <w:rPr>
          <w:rFonts w:ascii="Times New Roman" w:hAnsi="Times New Roman" w:cs="Times New Roman"/>
          <w:sz w:val="26"/>
          <w:szCs w:val="26"/>
        </w:rPr>
        <w:t xml:space="preserve"> </w:t>
      </w:r>
      <w:r w:rsidR="008A5F7B">
        <w:rPr>
          <w:rFonts w:ascii="Times New Roman" w:hAnsi="Times New Roman" w:cs="Times New Roman"/>
          <w:sz w:val="26"/>
          <w:szCs w:val="26"/>
        </w:rPr>
        <w:t>to</w:t>
      </w:r>
      <w:r w:rsidRPr="00794196">
        <w:rPr>
          <w:rFonts w:ascii="Times New Roman" w:hAnsi="Times New Roman" w:cs="Times New Roman"/>
          <w:sz w:val="26"/>
          <w:szCs w:val="26"/>
        </w:rPr>
        <w:t xml:space="preserve"> </w:t>
      </w:r>
      <w:r w:rsidR="00C93BCA">
        <w:rPr>
          <w:rFonts w:ascii="Times New Roman" w:hAnsi="Times New Roman" w:cs="Times New Roman"/>
          <w:sz w:val="26"/>
          <w:szCs w:val="26"/>
        </w:rPr>
        <w:t>62,609</w:t>
      </w:r>
      <w:r w:rsidRPr="00794196">
        <w:rPr>
          <w:rFonts w:ascii="Times New Roman" w:hAnsi="Times New Roman" w:cs="Times New Roman"/>
          <w:sz w:val="26"/>
          <w:szCs w:val="26"/>
        </w:rPr>
        <w:t xml:space="preserve"> burden hours. Th</w:t>
      </w:r>
      <w:r w:rsidR="00C93BCA">
        <w:rPr>
          <w:rFonts w:ascii="Times New Roman" w:hAnsi="Times New Roman" w:cs="Times New Roman"/>
          <w:sz w:val="26"/>
          <w:szCs w:val="26"/>
        </w:rPr>
        <w:t>ese increases</w:t>
      </w:r>
      <w:r w:rsidRPr="00794196">
        <w:rPr>
          <w:rFonts w:ascii="Times New Roman" w:hAnsi="Times New Roman" w:cs="Times New Roman"/>
          <w:sz w:val="26"/>
          <w:szCs w:val="26"/>
        </w:rPr>
        <w:t xml:space="preserve"> are due to a more accurate estimate on the number of responses and burden hours</w:t>
      </w:r>
      <w:r w:rsidR="00C93BCA">
        <w:rPr>
          <w:rFonts w:ascii="Times New Roman" w:hAnsi="Times New Roman" w:cs="Times New Roman"/>
          <w:sz w:val="26"/>
          <w:szCs w:val="26"/>
        </w:rPr>
        <w:t xml:space="preserve"> and carryover of burden from FERC-919A</w:t>
      </w:r>
      <w:r w:rsidRPr="00794196">
        <w:rPr>
          <w:rFonts w:ascii="Times New Roman" w:hAnsi="Times New Roman" w:cs="Times New Roman"/>
          <w:sz w:val="26"/>
          <w:szCs w:val="26"/>
        </w:rPr>
        <w:t>.</w:t>
      </w:r>
    </w:p>
    <w:p w:rsidR="00E82D25" w:rsidRPr="00794196" w:rsidP="0006122E" w14:paraId="5CDFF65E" w14:textId="4DE831AA">
      <w:pPr>
        <w:rPr>
          <w:rFonts w:ascii="Times New Roman" w:hAnsi="Times New Roman" w:cs="Times New Roman"/>
          <w:sz w:val="26"/>
          <w:szCs w:val="26"/>
        </w:rPr>
      </w:pPr>
      <w:r>
        <w:rPr>
          <w:rFonts w:ascii="Times New Roman" w:hAnsi="Times New Roman" w:cs="Times New Roman"/>
          <w:sz w:val="26"/>
          <w:szCs w:val="26"/>
        </w:rPr>
        <w:t>The large increase is due to the addition of the burden that was previously recorded in 919A (1902-0317) and is being moved into the FERC 919 collection.  The estimates from the category 1 and category 2 ongoing estimates (explained in question 12) did not change</w:t>
      </w:r>
      <w:r w:rsidR="00B3468D">
        <w:rPr>
          <w:rFonts w:ascii="Times New Roman" w:hAnsi="Times New Roman" w:cs="Times New Roman"/>
          <w:sz w:val="26"/>
          <w:szCs w:val="26"/>
        </w:rPr>
        <w:t xml:space="preserve"> from the estimates in Order 860 (RM16-17-000).  The carryover for category 1 and 2 total 1,833 responses and 6,968 hours, which makes up for most of the increase</w:t>
      </w:r>
      <w:r w:rsidR="00AA1AAE">
        <w:rPr>
          <w:rFonts w:ascii="Times New Roman" w:hAnsi="Times New Roman" w:cs="Times New Roman"/>
          <w:sz w:val="26"/>
          <w:szCs w:val="26"/>
        </w:rPr>
        <w:t xml:space="preserve"> in responses</w:t>
      </w:r>
      <w:r w:rsidR="00B3468D">
        <w:rPr>
          <w:rFonts w:ascii="Times New Roman" w:hAnsi="Times New Roman" w:cs="Times New Roman"/>
          <w:sz w:val="26"/>
          <w:szCs w:val="26"/>
        </w:rPr>
        <w:t xml:space="preserve">. </w:t>
      </w:r>
      <w:r w:rsidR="00C85485">
        <w:rPr>
          <w:rFonts w:ascii="Times New Roman" w:hAnsi="Times New Roman" w:cs="Times New Roman"/>
          <w:sz w:val="26"/>
          <w:szCs w:val="26"/>
        </w:rPr>
        <w:t xml:space="preserve">Additionally, since the issuance of 860, the Commission has identified 440 </w:t>
      </w:r>
      <w:r w:rsidR="00C85485">
        <w:rPr>
          <w:rFonts w:ascii="Times New Roman" w:hAnsi="Times New Roman" w:cs="Times New Roman"/>
          <w:sz w:val="26"/>
          <w:szCs w:val="26"/>
        </w:rPr>
        <w:t>responses from upstream affiliates, which adds 440 responses and 20,240 hours</w:t>
      </w:r>
      <w:r w:rsidR="00AA1AAE">
        <w:rPr>
          <w:rFonts w:ascii="Times New Roman" w:hAnsi="Times New Roman" w:cs="Times New Roman"/>
          <w:sz w:val="26"/>
          <w:szCs w:val="26"/>
        </w:rPr>
        <w:t>, which makes up most of the increase in burden hours</w:t>
      </w:r>
      <w:r w:rsidR="00C85485">
        <w:rPr>
          <w:rFonts w:ascii="Times New Roman" w:hAnsi="Times New Roman" w:cs="Times New Roman"/>
          <w:sz w:val="26"/>
          <w:szCs w:val="26"/>
        </w:rPr>
        <w:t xml:space="preserve">.  </w:t>
      </w:r>
      <w:r w:rsidR="00B3468D">
        <w:rPr>
          <w:rFonts w:ascii="Times New Roman" w:hAnsi="Times New Roman" w:cs="Times New Roman"/>
          <w:sz w:val="26"/>
          <w:szCs w:val="26"/>
        </w:rPr>
        <w:t xml:space="preserve">This carryover burden will temporarily overlap with the burden in 919A until OMB issues a decision on FERC 919.  At that time, staff anticipates discontinuance of the 919A collection, which will eliminate the burden recorded in the temporary collection. </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18464376" w14:textId="77777777" w:rsidTr="0011762A">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794196" w:rsidRPr="00794196" w14:paraId="18464371" w14:textId="77777777">
            <w:pPr>
              <w:rPr>
                <w:rFonts w:ascii="Times New Roman" w:hAnsi="Times New Roman" w:cs="Times New Roman"/>
                <w:b/>
                <w:sz w:val="26"/>
                <w:szCs w:val="26"/>
              </w:rPr>
            </w:pPr>
            <w:r w:rsidRPr="00794196">
              <w:rPr>
                <w:rFonts w:ascii="Times New Roman" w:hAnsi="Times New Roman" w:cs="Times New Roman"/>
                <w:b/>
                <w:sz w:val="26"/>
                <w:szCs w:val="26"/>
              </w:rPr>
              <w:t>FERC-919</w:t>
            </w:r>
          </w:p>
        </w:tc>
        <w:tc>
          <w:tcPr>
            <w:tcW w:w="1779" w:type="dxa"/>
            <w:shd w:val="clear" w:color="auto" w:fill="D9D9D9"/>
            <w:vAlign w:val="bottom"/>
          </w:tcPr>
          <w:p w:rsidR="00794196" w:rsidRPr="00794196" w14:paraId="18464372" w14:textId="77777777">
            <w:pPr>
              <w:rPr>
                <w:rFonts w:ascii="Times New Roman" w:hAnsi="Times New Roman" w:cs="Times New Roman"/>
                <w:b/>
                <w:sz w:val="26"/>
                <w:szCs w:val="26"/>
              </w:rPr>
            </w:pPr>
            <w:r w:rsidRPr="00794196">
              <w:rPr>
                <w:rFonts w:ascii="Times New Roman" w:hAnsi="Times New Roman" w:cs="Times New Roman"/>
                <w:b/>
                <w:sz w:val="26"/>
                <w:szCs w:val="26"/>
              </w:rPr>
              <w:t>Total Request</w:t>
            </w:r>
          </w:p>
        </w:tc>
        <w:tc>
          <w:tcPr>
            <w:tcW w:w="1959" w:type="dxa"/>
            <w:shd w:val="clear" w:color="auto" w:fill="D9D9D9"/>
            <w:vAlign w:val="bottom"/>
          </w:tcPr>
          <w:p w:rsidR="00794196" w:rsidRPr="00794196" w14:paraId="18464373" w14:textId="77777777">
            <w:pPr>
              <w:rPr>
                <w:rFonts w:ascii="Times New Roman" w:hAnsi="Times New Roman" w:cs="Times New Roman"/>
                <w:b/>
                <w:sz w:val="26"/>
                <w:szCs w:val="26"/>
              </w:rPr>
            </w:pPr>
            <w:r w:rsidRPr="00794196">
              <w:rPr>
                <w:rFonts w:ascii="Times New Roman" w:hAnsi="Times New Roman" w:cs="Times New Roman"/>
                <w:b/>
                <w:sz w:val="26"/>
                <w:szCs w:val="26"/>
              </w:rPr>
              <w:t>Previously Approved</w:t>
            </w:r>
          </w:p>
        </w:tc>
        <w:tc>
          <w:tcPr>
            <w:tcW w:w="1683" w:type="dxa"/>
            <w:shd w:val="clear" w:color="auto" w:fill="D9D9D9"/>
            <w:vAlign w:val="bottom"/>
          </w:tcPr>
          <w:p w:rsidR="00794196" w:rsidRPr="00794196" w14:paraId="18464374" w14:textId="77777777">
            <w:pPr>
              <w:rPr>
                <w:rFonts w:ascii="Times New Roman" w:hAnsi="Times New Roman" w:cs="Times New Roman"/>
                <w:b/>
                <w:sz w:val="26"/>
                <w:szCs w:val="26"/>
              </w:rPr>
            </w:pPr>
            <w:r w:rsidRPr="00794196">
              <w:rPr>
                <w:rFonts w:ascii="Times New Roman" w:hAnsi="Times New Roman" w:cs="Times New Roman"/>
                <w:b/>
                <w:sz w:val="26"/>
                <w:szCs w:val="26"/>
              </w:rPr>
              <w:t>Change due to Adjustment in Estimate</w:t>
            </w:r>
          </w:p>
        </w:tc>
        <w:tc>
          <w:tcPr>
            <w:tcW w:w="1357" w:type="dxa"/>
            <w:shd w:val="clear" w:color="auto" w:fill="D9D9D9"/>
            <w:vAlign w:val="bottom"/>
          </w:tcPr>
          <w:p w:rsidR="00794196" w:rsidRPr="00794196" w14:paraId="18464375" w14:textId="77777777">
            <w:pPr>
              <w:rPr>
                <w:rFonts w:ascii="Times New Roman" w:hAnsi="Times New Roman" w:cs="Times New Roman"/>
                <w:b/>
                <w:sz w:val="26"/>
                <w:szCs w:val="26"/>
              </w:rPr>
            </w:pPr>
            <w:r w:rsidRPr="00794196">
              <w:rPr>
                <w:rFonts w:ascii="Times New Roman" w:hAnsi="Times New Roman" w:cs="Times New Roman"/>
                <w:b/>
                <w:sz w:val="26"/>
                <w:szCs w:val="26"/>
              </w:rPr>
              <w:t>Change Due to Agency Discretion</w:t>
            </w:r>
          </w:p>
        </w:tc>
      </w:tr>
      <w:tr w14:paraId="1846437C" w14:textId="77777777" w:rsidTr="0011762A">
        <w:tblPrEx>
          <w:tblW w:w="9367" w:type="dxa"/>
          <w:tblInd w:w="108" w:type="dxa"/>
          <w:tblLook w:val="01E0"/>
        </w:tblPrEx>
        <w:trPr>
          <w:trHeight w:val="591"/>
        </w:trPr>
        <w:tc>
          <w:tcPr>
            <w:tcW w:w="2589" w:type="dxa"/>
          </w:tcPr>
          <w:p w:rsidR="00794196" w:rsidRPr="00794196" w:rsidP="0006122E" w14:paraId="18464377" w14:textId="77777777">
            <w:pPr>
              <w:rPr>
                <w:rFonts w:ascii="Times New Roman" w:hAnsi="Times New Roman" w:cs="Times New Roman"/>
                <w:sz w:val="26"/>
                <w:szCs w:val="26"/>
              </w:rPr>
            </w:pPr>
            <w:r w:rsidRPr="00794196">
              <w:rPr>
                <w:rFonts w:ascii="Times New Roman" w:hAnsi="Times New Roman" w:cs="Times New Roman"/>
                <w:sz w:val="26"/>
                <w:szCs w:val="26"/>
              </w:rPr>
              <w:t>Annual Number of Responses</w:t>
            </w:r>
          </w:p>
        </w:tc>
        <w:tc>
          <w:tcPr>
            <w:tcW w:w="1779" w:type="dxa"/>
            <w:vAlign w:val="center"/>
          </w:tcPr>
          <w:p w:rsidR="00794196" w:rsidRPr="00794196" w:rsidP="0006122E" w14:paraId="18464378" w14:textId="03B877DA">
            <w:pPr>
              <w:rPr>
                <w:rFonts w:ascii="Times New Roman" w:hAnsi="Times New Roman" w:cs="Times New Roman"/>
                <w:sz w:val="26"/>
                <w:szCs w:val="26"/>
              </w:rPr>
            </w:pPr>
            <w:r>
              <w:rPr>
                <w:rFonts w:ascii="Times New Roman" w:hAnsi="Times New Roman" w:cs="Times New Roman"/>
                <w:sz w:val="26"/>
                <w:szCs w:val="26"/>
              </w:rPr>
              <w:t>2,631</w:t>
            </w:r>
          </w:p>
        </w:tc>
        <w:tc>
          <w:tcPr>
            <w:tcW w:w="1959" w:type="dxa"/>
            <w:vAlign w:val="center"/>
          </w:tcPr>
          <w:p w:rsidR="00794196" w:rsidRPr="00794196" w:rsidP="0006122E" w14:paraId="18464379" w14:textId="7FDC2440">
            <w:pPr>
              <w:rPr>
                <w:rFonts w:ascii="Times New Roman" w:hAnsi="Times New Roman" w:cs="Times New Roman"/>
                <w:sz w:val="26"/>
                <w:szCs w:val="26"/>
              </w:rPr>
            </w:pPr>
            <w:r>
              <w:rPr>
                <w:rFonts w:ascii="Times New Roman" w:hAnsi="Times New Roman" w:cs="Times New Roman"/>
                <w:sz w:val="26"/>
                <w:szCs w:val="26"/>
              </w:rPr>
              <w:t>358</w:t>
            </w:r>
          </w:p>
        </w:tc>
        <w:tc>
          <w:tcPr>
            <w:tcW w:w="1683" w:type="dxa"/>
            <w:vAlign w:val="center"/>
          </w:tcPr>
          <w:p w:rsidR="00794196" w:rsidRPr="00794196" w14:paraId="1846437A" w14:textId="3381F6F7">
            <w:pPr>
              <w:rPr>
                <w:rFonts w:ascii="Times New Roman" w:hAnsi="Times New Roman" w:cs="Times New Roman"/>
                <w:sz w:val="26"/>
                <w:szCs w:val="26"/>
              </w:rPr>
            </w:pPr>
            <w:r>
              <w:rPr>
                <w:rFonts w:ascii="Times New Roman" w:hAnsi="Times New Roman" w:cs="Times New Roman"/>
                <w:sz w:val="26"/>
                <w:szCs w:val="26"/>
              </w:rPr>
              <w:t>+</w:t>
            </w:r>
            <w:r w:rsidR="009C5FA9">
              <w:rPr>
                <w:rFonts w:ascii="Times New Roman" w:hAnsi="Times New Roman" w:cs="Times New Roman"/>
                <w:sz w:val="26"/>
                <w:szCs w:val="26"/>
              </w:rPr>
              <w:t>2,273</w:t>
            </w:r>
          </w:p>
        </w:tc>
        <w:tc>
          <w:tcPr>
            <w:tcW w:w="1357" w:type="dxa"/>
            <w:vAlign w:val="center"/>
          </w:tcPr>
          <w:p w:rsidR="00794196" w:rsidRPr="00794196" w14:paraId="1846437B" w14:textId="19BD4F03">
            <w:pPr>
              <w:rPr>
                <w:rFonts w:ascii="Times New Roman" w:hAnsi="Times New Roman" w:cs="Times New Roman"/>
                <w:sz w:val="26"/>
                <w:szCs w:val="26"/>
              </w:rPr>
            </w:pPr>
            <w:r>
              <w:rPr>
                <w:rFonts w:ascii="Times New Roman" w:hAnsi="Times New Roman" w:cs="Times New Roman"/>
                <w:sz w:val="26"/>
                <w:szCs w:val="26"/>
              </w:rPr>
              <w:t>0</w:t>
            </w:r>
          </w:p>
        </w:tc>
      </w:tr>
      <w:tr w14:paraId="18464382" w14:textId="77777777" w:rsidTr="0011762A">
        <w:tblPrEx>
          <w:tblW w:w="9367" w:type="dxa"/>
          <w:tblInd w:w="108" w:type="dxa"/>
          <w:tblLook w:val="01E0"/>
        </w:tblPrEx>
        <w:trPr>
          <w:trHeight w:val="575"/>
        </w:trPr>
        <w:tc>
          <w:tcPr>
            <w:tcW w:w="2589" w:type="dxa"/>
          </w:tcPr>
          <w:p w:rsidR="00794196" w:rsidRPr="00794196" w:rsidP="0006122E" w14:paraId="1846437D" w14:textId="77777777">
            <w:pPr>
              <w:rPr>
                <w:rFonts w:ascii="Times New Roman" w:hAnsi="Times New Roman" w:cs="Times New Roman"/>
                <w:sz w:val="26"/>
                <w:szCs w:val="26"/>
              </w:rPr>
            </w:pPr>
            <w:r w:rsidRPr="00794196">
              <w:rPr>
                <w:rFonts w:ascii="Times New Roman" w:hAnsi="Times New Roman" w:cs="Times New Roman"/>
                <w:sz w:val="26"/>
                <w:szCs w:val="26"/>
              </w:rPr>
              <w:t>Annual Time Burden (Hr)</w:t>
            </w:r>
          </w:p>
        </w:tc>
        <w:tc>
          <w:tcPr>
            <w:tcW w:w="1779" w:type="dxa"/>
            <w:vAlign w:val="center"/>
          </w:tcPr>
          <w:p w:rsidR="00794196" w:rsidRPr="00794196" w:rsidP="0006122E" w14:paraId="1846437E" w14:textId="094B4735">
            <w:pPr>
              <w:rPr>
                <w:rFonts w:ascii="Times New Roman" w:hAnsi="Times New Roman" w:cs="Times New Roman"/>
                <w:sz w:val="26"/>
                <w:szCs w:val="26"/>
              </w:rPr>
            </w:pPr>
            <w:r>
              <w:rPr>
                <w:rFonts w:ascii="Times New Roman" w:hAnsi="Times New Roman" w:cs="Times New Roman"/>
                <w:sz w:val="26"/>
                <w:szCs w:val="26"/>
              </w:rPr>
              <w:t>62,609</w:t>
            </w:r>
          </w:p>
        </w:tc>
        <w:tc>
          <w:tcPr>
            <w:tcW w:w="1959" w:type="dxa"/>
            <w:vAlign w:val="center"/>
          </w:tcPr>
          <w:p w:rsidR="00794196" w:rsidRPr="00794196" w:rsidP="0006122E" w14:paraId="1846437F" w14:textId="126E9024">
            <w:pPr>
              <w:rPr>
                <w:rFonts w:ascii="Times New Roman" w:hAnsi="Times New Roman" w:cs="Times New Roman"/>
                <w:sz w:val="26"/>
                <w:szCs w:val="26"/>
              </w:rPr>
            </w:pPr>
            <w:r w:rsidRPr="00E83376">
              <w:rPr>
                <w:rFonts w:ascii="Times New Roman" w:hAnsi="Times New Roman" w:cs="Times New Roman"/>
                <w:sz w:val="26"/>
                <w:szCs w:val="26"/>
              </w:rPr>
              <w:t>35,401</w:t>
            </w:r>
          </w:p>
        </w:tc>
        <w:tc>
          <w:tcPr>
            <w:tcW w:w="1683" w:type="dxa"/>
            <w:vAlign w:val="center"/>
          </w:tcPr>
          <w:p w:rsidR="00794196" w:rsidRPr="00794196" w14:paraId="18464380" w14:textId="21B6A8BA">
            <w:pPr>
              <w:rPr>
                <w:rFonts w:ascii="Times New Roman" w:hAnsi="Times New Roman" w:cs="Times New Roman"/>
                <w:sz w:val="26"/>
                <w:szCs w:val="26"/>
              </w:rPr>
            </w:pPr>
            <w:r>
              <w:rPr>
                <w:rFonts w:ascii="Times New Roman" w:hAnsi="Times New Roman" w:cs="Times New Roman"/>
                <w:sz w:val="26"/>
                <w:szCs w:val="26"/>
              </w:rPr>
              <w:t>+</w:t>
            </w:r>
            <w:r w:rsidRPr="00E83376">
              <w:rPr>
                <w:rFonts w:ascii="Times New Roman" w:hAnsi="Times New Roman" w:cs="Times New Roman"/>
                <w:sz w:val="26"/>
                <w:szCs w:val="26"/>
              </w:rPr>
              <w:t>27,208</w:t>
            </w:r>
          </w:p>
        </w:tc>
        <w:tc>
          <w:tcPr>
            <w:tcW w:w="1357" w:type="dxa"/>
            <w:vAlign w:val="center"/>
          </w:tcPr>
          <w:p w:rsidR="00794196" w:rsidRPr="00794196" w14:paraId="18464381" w14:textId="1831E7B4">
            <w:pPr>
              <w:rPr>
                <w:rFonts w:ascii="Times New Roman" w:hAnsi="Times New Roman" w:cs="Times New Roman"/>
                <w:sz w:val="26"/>
                <w:szCs w:val="26"/>
              </w:rPr>
            </w:pPr>
            <w:r>
              <w:rPr>
                <w:rFonts w:ascii="Times New Roman" w:hAnsi="Times New Roman" w:cs="Times New Roman"/>
                <w:sz w:val="26"/>
                <w:szCs w:val="26"/>
              </w:rPr>
              <w:t>0</w:t>
            </w:r>
          </w:p>
        </w:tc>
      </w:tr>
      <w:tr w14:paraId="18464388" w14:textId="77777777" w:rsidTr="0011762A">
        <w:tblPrEx>
          <w:tblW w:w="9367" w:type="dxa"/>
          <w:tblInd w:w="108" w:type="dxa"/>
          <w:tblLook w:val="01E0"/>
        </w:tblPrEx>
        <w:trPr>
          <w:trHeight w:val="295"/>
        </w:trPr>
        <w:tc>
          <w:tcPr>
            <w:tcW w:w="2589" w:type="dxa"/>
          </w:tcPr>
          <w:p w:rsidR="00794196" w:rsidRPr="00794196" w:rsidP="0006122E" w14:paraId="18464383" w14:textId="77777777">
            <w:pPr>
              <w:rPr>
                <w:rFonts w:ascii="Times New Roman" w:hAnsi="Times New Roman" w:cs="Times New Roman"/>
                <w:sz w:val="26"/>
                <w:szCs w:val="26"/>
              </w:rPr>
            </w:pPr>
            <w:r w:rsidRPr="00794196">
              <w:rPr>
                <w:rFonts w:ascii="Times New Roman" w:hAnsi="Times New Roman" w:cs="Times New Roman"/>
                <w:sz w:val="26"/>
                <w:szCs w:val="26"/>
              </w:rPr>
              <w:t>Annual Cost Burden ($)</w:t>
            </w:r>
          </w:p>
        </w:tc>
        <w:tc>
          <w:tcPr>
            <w:tcW w:w="1779" w:type="dxa"/>
            <w:vAlign w:val="center"/>
          </w:tcPr>
          <w:p w:rsidR="00794196" w:rsidRPr="00794196" w:rsidP="0006122E" w14:paraId="18464384" w14:textId="77777777">
            <w:pPr>
              <w:rPr>
                <w:rFonts w:ascii="Times New Roman" w:hAnsi="Times New Roman" w:cs="Times New Roman"/>
                <w:sz w:val="26"/>
                <w:szCs w:val="26"/>
              </w:rPr>
            </w:pPr>
            <w:r w:rsidRPr="00794196">
              <w:rPr>
                <w:rFonts w:ascii="Times New Roman" w:hAnsi="Times New Roman" w:cs="Times New Roman"/>
                <w:sz w:val="26"/>
                <w:szCs w:val="26"/>
              </w:rPr>
              <w:t>$0</w:t>
            </w:r>
          </w:p>
        </w:tc>
        <w:tc>
          <w:tcPr>
            <w:tcW w:w="1959" w:type="dxa"/>
            <w:vAlign w:val="center"/>
          </w:tcPr>
          <w:p w:rsidR="00794196" w:rsidRPr="00794196" w:rsidP="0006122E" w14:paraId="18464385" w14:textId="77777777">
            <w:pPr>
              <w:rPr>
                <w:rFonts w:ascii="Times New Roman" w:hAnsi="Times New Roman" w:cs="Times New Roman"/>
                <w:sz w:val="26"/>
                <w:szCs w:val="26"/>
              </w:rPr>
            </w:pPr>
            <w:r w:rsidRPr="00794196">
              <w:rPr>
                <w:rFonts w:ascii="Times New Roman" w:hAnsi="Times New Roman" w:cs="Times New Roman"/>
                <w:sz w:val="26"/>
                <w:szCs w:val="26"/>
              </w:rPr>
              <w:t>$0</w:t>
            </w:r>
          </w:p>
        </w:tc>
        <w:tc>
          <w:tcPr>
            <w:tcW w:w="1683" w:type="dxa"/>
            <w:vAlign w:val="center"/>
          </w:tcPr>
          <w:p w:rsidR="00794196" w:rsidRPr="00794196" w14:paraId="18464386" w14:textId="77777777">
            <w:pPr>
              <w:rPr>
                <w:rFonts w:ascii="Times New Roman" w:hAnsi="Times New Roman" w:cs="Times New Roman"/>
                <w:sz w:val="26"/>
                <w:szCs w:val="26"/>
              </w:rPr>
            </w:pPr>
            <w:r w:rsidRPr="00794196">
              <w:rPr>
                <w:rFonts w:ascii="Times New Roman" w:hAnsi="Times New Roman" w:cs="Times New Roman"/>
                <w:sz w:val="26"/>
                <w:szCs w:val="26"/>
              </w:rPr>
              <w:t>$0</w:t>
            </w:r>
          </w:p>
        </w:tc>
        <w:tc>
          <w:tcPr>
            <w:tcW w:w="1357" w:type="dxa"/>
            <w:vAlign w:val="center"/>
          </w:tcPr>
          <w:p w:rsidR="00794196" w:rsidRPr="00794196" w14:paraId="18464387" w14:textId="77777777">
            <w:pPr>
              <w:rPr>
                <w:rFonts w:ascii="Times New Roman" w:hAnsi="Times New Roman" w:cs="Times New Roman"/>
                <w:sz w:val="26"/>
                <w:szCs w:val="26"/>
              </w:rPr>
            </w:pPr>
            <w:r w:rsidRPr="00794196">
              <w:rPr>
                <w:rFonts w:ascii="Times New Roman" w:hAnsi="Times New Roman" w:cs="Times New Roman"/>
                <w:sz w:val="26"/>
                <w:szCs w:val="26"/>
              </w:rPr>
              <w:t>$0</w:t>
            </w:r>
          </w:p>
        </w:tc>
      </w:tr>
    </w:tbl>
    <w:p w:rsidR="00794196" w:rsidRPr="00794196" w:rsidP="0006122E" w14:paraId="18464389" w14:textId="77777777">
      <w:pPr>
        <w:spacing w:after="0"/>
        <w:rPr>
          <w:rFonts w:ascii="Times New Roman" w:hAnsi="Times New Roman" w:cs="Times New Roman"/>
          <w:b/>
          <w:bCs/>
          <w:sz w:val="26"/>
          <w:szCs w:val="26"/>
        </w:rPr>
      </w:pPr>
    </w:p>
    <w:p w:rsidR="00794196" w:rsidRPr="00794196" w:rsidP="0006122E" w14:paraId="1846438A" w14:textId="77777777">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TIME SCHEDULE FOR THE PUBLICATION OF DATA</w:t>
      </w:r>
    </w:p>
    <w:p w:rsidR="00794196" w:rsidRPr="00794196" w:rsidP="0006122E" w14:paraId="1846438B" w14:textId="77777777">
      <w:pPr>
        <w:spacing w:after="0"/>
        <w:rPr>
          <w:rFonts w:ascii="Times New Roman" w:hAnsi="Times New Roman" w:cs="Times New Roman"/>
          <w:sz w:val="26"/>
          <w:szCs w:val="26"/>
        </w:rPr>
      </w:pPr>
    </w:p>
    <w:p w:rsidR="00794196" w:rsidRPr="00794196" w:rsidP="0006122E" w14:paraId="1846438C" w14:textId="77777777">
      <w:pPr>
        <w:spacing w:after="0"/>
        <w:rPr>
          <w:rFonts w:ascii="Times New Roman" w:hAnsi="Times New Roman" w:cs="Times New Roman"/>
          <w:sz w:val="26"/>
          <w:szCs w:val="26"/>
        </w:rPr>
      </w:pPr>
      <w:r w:rsidRPr="002D5EC6">
        <w:rPr>
          <w:rFonts w:ascii="Times New Roman" w:hAnsi="Times New Roman" w:cs="Times New Roman"/>
          <w:bCs/>
          <w:sz w:val="26"/>
          <w:szCs w:val="26"/>
        </w:rPr>
        <w:t>FERC does not publish any data associated with this collection</w:t>
      </w:r>
      <w:r w:rsidRPr="00794196">
        <w:rPr>
          <w:rFonts w:ascii="Times New Roman" w:hAnsi="Times New Roman" w:cs="Times New Roman"/>
          <w:sz w:val="26"/>
          <w:szCs w:val="26"/>
        </w:rPr>
        <w:t xml:space="preserve">. </w:t>
      </w:r>
    </w:p>
    <w:p w:rsidR="00794196" w:rsidRPr="00794196" w14:paraId="1846438D" w14:textId="77777777">
      <w:pPr>
        <w:spacing w:after="0"/>
        <w:rPr>
          <w:rFonts w:ascii="Times New Roman" w:hAnsi="Times New Roman" w:cs="Times New Roman"/>
          <w:b/>
          <w:bCs/>
          <w:sz w:val="26"/>
          <w:szCs w:val="26"/>
        </w:rPr>
      </w:pPr>
    </w:p>
    <w:p w:rsidR="00794196" w:rsidRPr="00794196" w14:paraId="1846438E" w14:textId="77777777">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DISPLAY OF EXPIRATION DATE</w:t>
      </w:r>
    </w:p>
    <w:p w:rsidR="00001C1B" w:rsidRPr="00001C1B" w14:paraId="6053367E" w14:textId="77777777">
      <w:pPr>
        <w:spacing w:after="0" w:line="240" w:lineRule="auto"/>
        <w:rPr>
          <w:rFonts w:ascii="Times New Roman" w:hAnsi="Times New Roman"/>
          <w:sz w:val="26"/>
          <w:szCs w:val="26"/>
        </w:rPr>
      </w:pPr>
      <w:r w:rsidRPr="00001C1B">
        <w:rPr>
          <w:rFonts w:ascii="Times New Roman" w:hAnsi="Times New Roman"/>
          <w:sz w:val="26"/>
          <w:szCs w:val="26"/>
        </w:rPr>
        <w:t xml:space="preserve">The expiration date is displayed in a table posted on ferc.gov at </w:t>
      </w:r>
      <w:hyperlink r:id="rId16" w:history="1">
        <w:r w:rsidRPr="00001C1B">
          <w:rPr>
            <w:rFonts w:ascii="Times New Roman" w:hAnsi="Times New Roman"/>
            <w:color w:val="0000FF"/>
            <w:sz w:val="26"/>
            <w:szCs w:val="26"/>
            <w:u w:val="single"/>
          </w:rPr>
          <w:t>https://www.ferc.gov/information-collections</w:t>
        </w:r>
      </w:hyperlink>
      <w:r w:rsidRPr="00001C1B">
        <w:rPr>
          <w:rFonts w:ascii="Times New Roman" w:hAnsi="Times New Roman"/>
          <w:color w:val="0000FF"/>
          <w:sz w:val="26"/>
          <w:szCs w:val="26"/>
          <w:u w:val="single"/>
        </w:rPr>
        <w:t>.</w:t>
      </w:r>
    </w:p>
    <w:p w:rsidR="00794196" w:rsidRPr="00794196" w14:paraId="18464390" w14:textId="77777777">
      <w:pPr>
        <w:spacing w:after="0"/>
        <w:rPr>
          <w:rFonts w:ascii="Times New Roman" w:hAnsi="Times New Roman" w:cs="Times New Roman"/>
          <w:b/>
          <w:bCs/>
          <w:sz w:val="26"/>
          <w:szCs w:val="26"/>
        </w:rPr>
      </w:pPr>
    </w:p>
    <w:p w:rsidR="00794196" w:rsidRPr="00794196" w14:paraId="18464391" w14:textId="77777777">
      <w:pPr>
        <w:numPr>
          <w:ilvl w:val="0"/>
          <w:numId w:val="2"/>
        </w:numPr>
        <w:spacing w:after="0"/>
        <w:rPr>
          <w:rFonts w:ascii="Times New Roman" w:hAnsi="Times New Roman" w:cs="Times New Roman"/>
          <w:b/>
          <w:sz w:val="26"/>
          <w:szCs w:val="26"/>
        </w:rPr>
      </w:pPr>
      <w:r w:rsidRPr="00794196">
        <w:rPr>
          <w:rFonts w:ascii="Times New Roman" w:hAnsi="Times New Roman" w:cs="Times New Roman"/>
          <w:b/>
          <w:sz w:val="26"/>
          <w:szCs w:val="26"/>
        </w:rPr>
        <w:t>EXCEPTION TO THE CERTIFICATION STATEMENT</w:t>
      </w:r>
    </w:p>
    <w:p w:rsidR="00794196" w:rsidRPr="00794196" w14:paraId="18464392" w14:textId="77777777">
      <w:pPr>
        <w:spacing w:after="0"/>
        <w:rPr>
          <w:rFonts w:ascii="Times New Roman" w:hAnsi="Times New Roman" w:cs="Times New Roman"/>
          <w:bCs/>
          <w:sz w:val="26"/>
          <w:szCs w:val="26"/>
        </w:rPr>
      </w:pPr>
      <w:r w:rsidRPr="00794196">
        <w:rPr>
          <w:rFonts w:ascii="Times New Roman" w:hAnsi="Times New Roman" w:cs="Times New Roman"/>
          <w:bCs/>
          <w:sz w:val="26"/>
          <w:szCs w:val="26"/>
        </w:rPr>
        <w:t>There are no exceptions.</w:t>
      </w:r>
    </w:p>
    <w:p w:rsidR="00A5010C" w:rsidRPr="00794196" w14:paraId="18464393" w14:textId="77777777">
      <w:pPr>
        <w:spacing w:after="0"/>
        <w:rPr>
          <w:rFonts w:ascii="Times New Roman" w:hAnsi="Times New Roman" w:cs="Times New Roman"/>
          <w:sz w:val="26"/>
          <w:szCs w:val="26"/>
        </w:rPr>
      </w:pPr>
    </w:p>
    <w:sectPr w:rsidSect="0011762A">
      <w:footerReference w:type="default" r:id="rId17"/>
      <w:type w:val="continuous"/>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14:paraId="6DCDB7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rsidP="0011762A" w14:paraId="1846439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14:paraId="317F68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14:paraId="1846439B" w14:textId="77777777">
    <w:pPr>
      <w:spacing w:line="240" w:lineRule="exact"/>
    </w:pPr>
  </w:p>
  <w:p w:rsidR="0011762A" w14:paraId="1846439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264B" w:rsidP="00794196" w14:paraId="3469E8DA" w14:textId="77777777">
      <w:pPr>
        <w:spacing w:after="0" w:line="240" w:lineRule="auto"/>
      </w:pPr>
      <w:r>
        <w:separator/>
      </w:r>
    </w:p>
  </w:footnote>
  <w:footnote w:type="continuationSeparator" w:id="1">
    <w:p w:rsidR="008D264B" w:rsidP="00794196" w14:paraId="2AA810BF" w14:textId="77777777">
      <w:pPr>
        <w:spacing w:after="0" w:line="240" w:lineRule="auto"/>
      </w:pPr>
      <w:r>
        <w:continuationSeparator/>
      </w:r>
    </w:p>
  </w:footnote>
  <w:footnote w:type="continuationNotice" w:id="2">
    <w:p w:rsidR="008D264B" w14:paraId="20B640B4" w14:textId="77777777">
      <w:pPr>
        <w:spacing w:after="0" w:line="240" w:lineRule="auto"/>
      </w:pPr>
    </w:p>
  </w:footnote>
  <w:footnote w:id="3">
    <w:p w:rsidR="0011762A" w:rsidRPr="008F5E4B" w:rsidP="008F5E4B" w14:paraId="1846439D" w14:textId="70EAA592">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b/>
          <w:bCs/>
          <w:sz w:val="26"/>
          <w:szCs w:val="26"/>
        </w:rPr>
        <w:t xml:space="preserve"> </w:t>
      </w:r>
      <w:r w:rsidRPr="008F5E4B">
        <w:rPr>
          <w:rFonts w:ascii="Times New Roman" w:hAnsi="Times New Roman" w:cs="Times New Roman"/>
          <w:sz w:val="26"/>
          <w:szCs w:val="26"/>
        </w:rPr>
        <w:t>16 U.S.C. 824d(a)</w:t>
      </w:r>
      <w:r>
        <w:rPr>
          <w:rFonts w:ascii="Times New Roman" w:hAnsi="Times New Roman" w:cs="Times New Roman"/>
          <w:sz w:val="26"/>
          <w:szCs w:val="26"/>
        </w:rPr>
        <w:t>.</w:t>
      </w:r>
    </w:p>
  </w:footnote>
  <w:footnote w:id="4">
    <w:p w:rsidR="0011762A" w:rsidRPr="008F5E4B" w:rsidP="008F5E4B" w14:paraId="1F11E2C5" w14:textId="77777777">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sz w:val="26"/>
          <w:szCs w:val="26"/>
        </w:rPr>
        <w:t xml:space="preserve"> 18 CFR pt. 35.</w:t>
      </w:r>
    </w:p>
  </w:footnote>
  <w:footnote w:id="5">
    <w:p w:rsidR="0011762A" w:rsidRPr="008F5E4B" w:rsidP="008F5E4B" w14:paraId="7471667F" w14:textId="77777777">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b/>
          <w:bCs/>
          <w:sz w:val="26"/>
          <w:szCs w:val="26"/>
        </w:rPr>
        <w:t xml:space="preserve"> </w:t>
      </w:r>
      <w:r w:rsidRPr="008F5E4B">
        <w:rPr>
          <w:rFonts w:ascii="Times New Roman" w:hAnsi="Times New Roman" w:cs="Times New Roman"/>
          <w:i/>
          <w:sz w:val="26"/>
          <w:szCs w:val="26"/>
        </w:rPr>
        <w:t>Market-Based Rates for Wholesale Sales of Electric Energy, Capacity and Ancillary Services by Public Utilities</w:t>
      </w:r>
      <w:r w:rsidRPr="008F5E4B">
        <w:rPr>
          <w:rFonts w:ascii="Times New Roman" w:hAnsi="Times New Roman" w:cs="Times New Roman"/>
          <w:sz w:val="26"/>
          <w:szCs w:val="26"/>
        </w:rPr>
        <w:t>, Order No. 697, 72 FR 39904 (Jul. 20, 2007), 119 FERC ¶ 61,295 (2007).</w:t>
      </w:r>
    </w:p>
  </w:footnote>
  <w:footnote w:id="6">
    <w:p w:rsidR="0011762A" w:rsidRPr="00504725" w:rsidP="008F5E4B" w14:paraId="73F973BB" w14:textId="50BA6585">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b/>
          <w:bCs/>
          <w:sz w:val="26"/>
          <w:szCs w:val="26"/>
        </w:rPr>
        <w:t xml:space="preserve"> </w:t>
      </w:r>
      <w:r w:rsidRPr="008F5E4B">
        <w:rPr>
          <w:rFonts w:ascii="Times New Roman" w:hAnsi="Times New Roman" w:cs="Times New Roman"/>
          <w:i/>
          <w:iCs/>
          <w:sz w:val="26"/>
          <w:szCs w:val="26"/>
        </w:rPr>
        <w:t>See Data Collection for Analytics and Surveillance and Mkt.-Based Rate Purposes</w:t>
      </w:r>
      <w:r w:rsidRPr="008F5E4B">
        <w:rPr>
          <w:rFonts w:ascii="Times New Roman" w:hAnsi="Times New Roman" w:cs="Times New Roman"/>
          <w:sz w:val="26"/>
          <w:szCs w:val="26"/>
        </w:rPr>
        <w:t xml:space="preserve">, Order No. 860, 168 FERC ¶ 61,039 (2019), </w:t>
      </w:r>
      <w:r w:rsidRPr="008F5E4B">
        <w:rPr>
          <w:rFonts w:ascii="Times New Roman" w:hAnsi="Times New Roman" w:cs="Times New Roman"/>
          <w:i/>
          <w:iCs/>
          <w:sz w:val="26"/>
          <w:szCs w:val="26"/>
        </w:rPr>
        <w:t>order on reh’g</w:t>
      </w:r>
      <w:r w:rsidRPr="008F5E4B">
        <w:rPr>
          <w:rFonts w:ascii="Times New Roman" w:hAnsi="Times New Roman" w:cs="Times New Roman"/>
          <w:sz w:val="26"/>
          <w:szCs w:val="26"/>
        </w:rPr>
        <w:t>, Order No. 860-A, 170 FERC ¶ 61,129 (2020).</w:t>
      </w:r>
    </w:p>
  </w:footnote>
  <w:footnote w:id="7">
    <w:p w:rsidR="0011762A" w:rsidRPr="008F5E4B" w:rsidP="008F5E4B" w14:paraId="43D9D05C" w14:textId="77777777">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b/>
          <w:bCs/>
          <w:sz w:val="26"/>
          <w:szCs w:val="26"/>
          <w:vertAlign w:val="superscript"/>
        </w:rPr>
        <w:t xml:space="preserve"> </w:t>
      </w:r>
      <w:r w:rsidRPr="008F5E4B">
        <w:rPr>
          <w:rFonts w:ascii="Times New Roman" w:hAnsi="Times New Roman" w:cs="Times New Roman"/>
          <w:sz w:val="26"/>
          <w:szCs w:val="26"/>
        </w:rPr>
        <w:t>A part of the associated burden is reported separately in information collections FERC–516 (OMB Control Number: 1902–0096)</w:t>
      </w:r>
    </w:p>
  </w:footnote>
  <w:footnote w:id="8">
    <w:p w:rsidR="0011762A" w:rsidRPr="008F5E4B" w14:paraId="03056E74" w14:textId="77777777">
      <w:pPr>
        <w:rPr>
          <w:rFonts w:ascii="Times New Roman" w:hAnsi="Times New Roman" w:cs="Times New Roman"/>
          <w:sz w:val="26"/>
          <w:szCs w:val="26"/>
        </w:rPr>
      </w:pPr>
      <w:r w:rsidRPr="008F5E4B">
        <w:rPr>
          <w:rFonts w:ascii="Times New Roman" w:hAnsi="Times New Roman" w:cs="Times New Roman"/>
          <w:b/>
          <w:sz w:val="26"/>
          <w:szCs w:val="26"/>
          <w:vertAlign w:val="superscript"/>
        </w:rPr>
        <w:footnoteRef/>
      </w:r>
      <w:r w:rsidRPr="008F5E4B">
        <w:rPr>
          <w:rFonts w:ascii="Times New Roman" w:hAnsi="Times New Roman" w:cs="Times New Roman"/>
          <w:sz w:val="26"/>
          <w:szCs w:val="26"/>
        </w:rPr>
        <w:t xml:space="preserve"> </w:t>
      </w:r>
      <w:r w:rsidRPr="008F5E4B">
        <w:rPr>
          <w:rFonts w:ascii="Times New Roman" w:hAnsi="Times New Roman" w:cs="Times New Roman"/>
          <w:i/>
          <w:iCs/>
          <w:sz w:val="26"/>
          <w:szCs w:val="26"/>
        </w:rPr>
        <w:t>Electronic Tariff Filings</w:t>
      </w:r>
      <w:r w:rsidRPr="008F5E4B">
        <w:rPr>
          <w:rFonts w:ascii="Times New Roman" w:hAnsi="Times New Roman" w:cs="Times New Roman"/>
          <w:sz w:val="26"/>
          <w:szCs w:val="26"/>
        </w:rPr>
        <w:t xml:space="preserve">, Order No. 714, 124 FERC ¶ 61,270 (2008), </w:t>
      </w:r>
      <w:r w:rsidRPr="008F5E4B">
        <w:rPr>
          <w:rFonts w:ascii="Times New Roman" w:hAnsi="Times New Roman" w:cs="Times New Roman"/>
          <w:i/>
          <w:sz w:val="26"/>
          <w:szCs w:val="26"/>
        </w:rPr>
        <w:t>order on reh’g</w:t>
      </w:r>
      <w:r w:rsidRPr="008F5E4B">
        <w:rPr>
          <w:rFonts w:ascii="Times New Roman" w:hAnsi="Times New Roman" w:cs="Times New Roman"/>
          <w:sz w:val="26"/>
          <w:szCs w:val="26"/>
        </w:rPr>
        <w:t>, Order No. 714-A, 147 FERC ¶ 61,115 (2014).</w:t>
      </w:r>
    </w:p>
  </w:footnote>
  <w:footnote w:id="9">
    <w:p w:rsidR="0011762A" w:rsidRPr="008F5E4B" w:rsidP="008F5E4B" w14:paraId="184643A1" w14:textId="31CF1C49">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sz w:val="26"/>
          <w:szCs w:val="26"/>
          <w:vertAlign w:val="superscript"/>
        </w:rPr>
        <w:t xml:space="preserve"> </w:t>
      </w:r>
      <w:r w:rsidRPr="008F5E4B">
        <w:rPr>
          <w:rFonts w:ascii="Times New Roman" w:hAnsi="Times New Roman" w:cs="Times New Roman"/>
          <w:sz w:val="26"/>
          <w:szCs w:val="26"/>
          <w:lang w:val="fr-FR"/>
        </w:rPr>
        <w:t>87 FR 37853</w:t>
      </w:r>
      <w:r w:rsidRPr="008F5E4B">
        <w:rPr>
          <w:rFonts w:ascii="Times New Roman" w:hAnsi="Times New Roman" w:cs="Times New Roman"/>
          <w:sz w:val="26"/>
          <w:szCs w:val="26"/>
        </w:rPr>
        <w:t xml:space="preserve"> </w:t>
      </w:r>
      <w:r w:rsidRPr="008F5E4B">
        <w:rPr>
          <w:rFonts w:ascii="Times New Roman" w:hAnsi="Times New Roman" w:cs="Times New Roman"/>
          <w:sz w:val="26"/>
          <w:szCs w:val="26"/>
        </w:rPr>
        <w:t>(6/24/2022)</w:t>
      </w:r>
    </w:p>
  </w:footnote>
  <w:footnote w:id="10">
    <w:p w:rsidR="0011762A" w:rsidRPr="008F5E4B" w:rsidP="008F5E4B" w14:paraId="184643A2" w14:textId="49180AA7">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sz w:val="26"/>
          <w:szCs w:val="26"/>
        </w:rPr>
        <w:t xml:space="preserve"> </w:t>
      </w:r>
      <w:r w:rsidRPr="008F5E4B">
        <w:rPr>
          <w:rFonts w:ascii="Times New Roman" w:hAnsi="Times New Roman" w:cs="Times New Roman"/>
          <w:sz w:val="26"/>
          <w:szCs w:val="26"/>
          <w:u w:val="single"/>
        </w:rPr>
        <w:t>See</w:t>
      </w:r>
      <w:r w:rsidRPr="008F5E4B">
        <w:rPr>
          <w:rFonts w:ascii="Times New Roman" w:hAnsi="Times New Roman" w:cs="Times New Roman"/>
          <w:sz w:val="26"/>
          <w:szCs w:val="26"/>
        </w:rPr>
        <w:t xml:space="preserve"> The Power Company of America, L.P. v. FERC, 245 F.3d 839 (D.C. Cir. 2001) (</w:t>
      </w:r>
      <w:r w:rsidRPr="008F5E4B">
        <w:rPr>
          <w:rFonts w:ascii="Times New Roman" w:hAnsi="Times New Roman" w:cs="Times New Roman"/>
          <w:sz w:val="26"/>
          <w:szCs w:val="26"/>
          <w:u w:val="single"/>
        </w:rPr>
        <w:t>PCA</w:t>
      </w:r>
      <w:r w:rsidRPr="008F5E4B">
        <w:rPr>
          <w:rFonts w:ascii="Times New Roman" w:hAnsi="Times New Roman" w:cs="Times New Roman"/>
          <w:sz w:val="26"/>
          <w:szCs w:val="26"/>
        </w:rPr>
        <w:t xml:space="preserve">).  In </w:t>
      </w:r>
      <w:r w:rsidRPr="008F5E4B">
        <w:rPr>
          <w:rFonts w:ascii="Times New Roman" w:hAnsi="Times New Roman" w:cs="Times New Roman"/>
          <w:sz w:val="26"/>
          <w:szCs w:val="26"/>
          <w:u w:val="single"/>
        </w:rPr>
        <w:t>PCA</w:t>
      </w:r>
      <w:r w:rsidRPr="004A14C1">
        <w:rPr>
          <w:rFonts w:ascii="Times New Roman" w:hAnsi="Times New Roman" w:cs="Times New Roman"/>
          <w:sz w:val="26"/>
          <w:szCs w:val="26"/>
        </w:rPr>
        <w:t xml:space="preserve">, the court found, 245 F.3d at 846, that the Commission may alter its view of what information is required to be on file under section 205(c) of the FPA and </w:t>
      </w:r>
      <w:r>
        <w:rPr>
          <w:rFonts w:ascii="Times New Roman" w:hAnsi="Times New Roman" w:cs="Times New Roman"/>
          <w:sz w:val="26"/>
          <w:szCs w:val="26"/>
        </w:rPr>
        <w:t>section</w:t>
      </w:r>
      <w:r w:rsidRPr="008F5E4B">
        <w:rPr>
          <w:rFonts w:ascii="Times New Roman" w:hAnsi="Times New Roman" w:cs="Times New Roman"/>
          <w:sz w:val="26"/>
          <w:szCs w:val="26"/>
        </w:rPr>
        <w:t> 35.15 of the Commission's regulations.</w:t>
      </w:r>
    </w:p>
  </w:footnote>
  <w:footnote w:id="11">
    <w:p w:rsidR="0011762A" w:rsidRPr="008F5E4B" w:rsidP="008F5E4B" w14:paraId="184643A3" w14:textId="77777777">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b/>
          <w:bCs/>
          <w:sz w:val="26"/>
          <w:szCs w:val="26"/>
          <w:vertAlign w:val="superscript"/>
        </w:rPr>
        <w:t xml:space="preserve">  </w:t>
      </w:r>
      <w:r w:rsidRPr="008F5E4B">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12">
    <w:p w:rsidR="0011762A" w:rsidRPr="004A14C1" w:rsidP="008F5E4B" w14:paraId="45DCB008" w14:textId="77777777">
      <w:pPr>
        <w:rPr>
          <w:rFonts w:ascii="Times New Roman" w:hAnsi="Times New Roman" w:cs="Times New Roman"/>
          <w:sz w:val="26"/>
          <w:szCs w:val="26"/>
        </w:rPr>
      </w:pPr>
      <w:r w:rsidRPr="008F5E4B">
        <w:rPr>
          <w:rFonts w:ascii="Times New Roman" w:hAnsi="Times New Roman" w:cs="Times New Roman"/>
          <w:b/>
          <w:sz w:val="26"/>
          <w:szCs w:val="26"/>
          <w:vertAlign w:val="superscript"/>
        </w:rPr>
        <w:t xml:space="preserve">5 </w:t>
      </w:r>
      <w:r w:rsidRPr="008F5E4B">
        <w:rPr>
          <w:rFonts w:ascii="Times New Roman" w:hAnsi="Times New Roman" w:cs="Times New Roman"/>
          <w:sz w:val="26"/>
          <w:szCs w:val="26"/>
        </w:rPr>
        <w:t xml:space="preserve">The estimated hourly cost (salary plus benefits) provided in this section is based on the salary figures for May 2021 posted by the Bureau of Labor Statistics for the Utilities sector (available at </w:t>
      </w:r>
      <w:r w:rsidRPr="004A14C1">
        <w:rPr>
          <w:rStyle w:val="Hyperlink"/>
          <w:rFonts w:ascii="Times New Roman" w:hAnsi="Times New Roman" w:cs="Times New Roman"/>
          <w:sz w:val="26"/>
          <w:szCs w:val="26"/>
        </w:rPr>
        <w:t>http://www.bls.gov/oes/current/naics2_22.htm#13-0000</w:t>
      </w:r>
      <w:r w:rsidRPr="008F5E4B">
        <w:rPr>
          <w:rFonts w:ascii="Times New Roman" w:hAnsi="Times New Roman" w:cs="Times New Roman"/>
          <w:sz w:val="26"/>
          <w:szCs w:val="26"/>
        </w:rPr>
        <w:t xml:space="preserve">) and scaled to reflect benefits using the relative importance of employer costs in employee compensation from May 2021 (available at </w:t>
      </w:r>
      <w:r w:rsidRPr="004A14C1">
        <w:rPr>
          <w:rStyle w:val="Hyperlink"/>
          <w:rFonts w:ascii="Times New Roman" w:hAnsi="Times New Roman" w:cs="Times New Roman"/>
          <w:sz w:val="26"/>
          <w:szCs w:val="26"/>
        </w:rPr>
        <w:t>https://www.bls.gov/oes/current/naics2_22.htm</w:t>
      </w:r>
      <w:r w:rsidRPr="004A14C1">
        <w:rPr>
          <w:rFonts w:ascii="Times New Roman" w:hAnsi="Times New Roman" w:cs="Times New Roman"/>
          <w:sz w:val="26"/>
          <w:szCs w:val="26"/>
        </w:rPr>
        <w:t>).  The hourly estimates for salary plus benefits are:</w:t>
      </w:r>
    </w:p>
    <w:p w:rsidR="0011762A" w:rsidRPr="004A14C1" w14:paraId="3E59F10F" w14:textId="77777777">
      <w:pPr>
        <w:rPr>
          <w:rFonts w:ascii="Times New Roman" w:hAnsi="Times New Roman" w:cs="Times New Roman"/>
          <w:sz w:val="26"/>
          <w:szCs w:val="26"/>
        </w:rPr>
      </w:pPr>
      <w:r w:rsidRPr="004A14C1">
        <w:rPr>
          <w:rFonts w:ascii="Times New Roman" w:hAnsi="Times New Roman" w:cs="Times New Roman"/>
          <w:sz w:val="26"/>
          <w:szCs w:val="26"/>
        </w:rPr>
        <w:t>Economist (Occupation Code: 19-3011), $75.75</w:t>
      </w:r>
      <w:r w:rsidRPr="004A14C1">
        <w:rPr>
          <w:rFonts w:ascii="Times New Roman" w:hAnsi="Times New Roman" w:cs="Times New Roman"/>
          <w:sz w:val="26"/>
          <w:szCs w:val="26"/>
        </w:rPr>
        <w:tab/>
      </w:r>
    </w:p>
    <w:p w:rsidR="0011762A" w:rsidRPr="004A14C1" w14:paraId="1B81913C" w14:textId="77777777">
      <w:pPr>
        <w:rPr>
          <w:rFonts w:ascii="Times New Roman" w:hAnsi="Times New Roman" w:cs="Times New Roman"/>
          <w:sz w:val="26"/>
          <w:szCs w:val="26"/>
        </w:rPr>
      </w:pPr>
      <w:r w:rsidRPr="004A14C1">
        <w:rPr>
          <w:rFonts w:ascii="Times New Roman" w:hAnsi="Times New Roman" w:cs="Times New Roman"/>
          <w:sz w:val="26"/>
          <w:szCs w:val="26"/>
        </w:rPr>
        <w:t>Electrical Engineer (Occupation Code: 17-2071), $72.15</w:t>
      </w:r>
    </w:p>
    <w:p w:rsidR="0011762A" w:rsidRPr="004A14C1" w14:paraId="54AD7AE5" w14:textId="77777777">
      <w:pPr>
        <w:rPr>
          <w:rFonts w:ascii="Times New Roman" w:hAnsi="Times New Roman" w:cs="Times New Roman"/>
          <w:sz w:val="26"/>
          <w:szCs w:val="26"/>
        </w:rPr>
      </w:pPr>
      <w:r w:rsidRPr="004A14C1">
        <w:rPr>
          <w:rFonts w:ascii="Times New Roman" w:hAnsi="Times New Roman" w:cs="Times New Roman"/>
          <w:sz w:val="26"/>
          <w:szCs w:val="26"/>
        </w:rPr>
        <w:t>Legal (Occupation Code: 23-0000), $142.25</w:t>
      </w:r>
    </w:p>
    <w:p w:rsidR="0011762A" w:rsidRPr="004A14C1" w14:paraId="1E5083B4" w14:textId="77777777">
      <w:pPr>
        <w:rPr>
          <w:rFonts w:ascii="Times New Roman" w:hAnsi="Times New Roman" w:cs="Times New Roman"/>
          <w:sz w:val="26"/>
          <w:szCs w:val="26"/>
        </w:rPr>
      </w:pPr>
      <w:r w:rsidRPr="004A14C1">
        <w:rPr>
          <w:rFonts w:ascii="Times New Roman" w:hAnsi="Times New Roman" w:cs="Times New Roman"/>
          <w:sz w:val="26"/>
          <w:szCs w:val="26"/>
        </w:rPr>
        <w:t>The average hourly cost (salary plus benefits), weighting all of these skill sets evenly, is $96.72. The Commission rounds it to $97/hour.</w:t>
      </w:r>
    </w:p>
  </w:footnote>
  <w:footnote w:id="13">
    <w:p w:rsidR="0011762A" w:rsidRPr="008F5E4B" w:rsidP="008F5E4B" w14:paraId="11D94212" w14:textId="77777777">
      <w:pPr>
        <w:rPr>
          <w:rFonts w:ascii="Times New Roman" w:hAnsi="Times New Roman" w:cs="Times New Roman"/>
          <w:sz w:val="26"/>
          <w:szCs w:val="26"/>
        </w:rPr>
      </w:pPr>
      <w:r w:rsidRPr="008F5E4B">
        <w:rPr>
          <w:rStyle w:val="FootnoteReference"/>
          <w:rFonts w:ascii="Times New Roman Bold" w:hAnsi="Times New Roman Bold" w:cs="Times New Roman"/>
          <w:b/>
          <w:bCs/>
          <w:sz w:val="26"/>
          <w:szCs w:val="26"/>
          <w:vertAlign w:val="superscript"/>
        </w:rPr>
        <w:footnoteRef/>
      </w:r>
      <w:r w:rsidRPr="008F5E4B">
        <w:rPr>
          <w:rFonts w:ascii="Times New Roman" w:hAnsi="Times New Roman" w:cs="Times New Roman"/>
          <w:sz w:val="26"/>
          <w:szCs w:val="26"/>
        </w:rPr>
        <w:t>The number used to calculate the costs is 2.4444 and was rounded for the table.</w:t>
      </w:r>
    </w:p>
  </w:footnote>
  <w:footnote w:id="14">
    <w:p w:rsidR="0011762A" w:rsidRPr="008F5E4B" w:rsidP="008F5E4B" w14:paraId="56C8706C" w14:textId="77777777">
      <w:pPr>
        <w:rPr>
          <w:rFonts w:ascii="Times New Roman" w:hAnsi="Times New Roman" w:cs="Times New Roman"/>
          <w:sz w:val="26"/>
          <w:szCs w:val="26"/>
        </w:rPr>
      </w:pPr>
      <w:r w:rsidRPr="008F5E4B">
        <w:rPr>
          <w:rStyle w:val="FootnoteReference"/>
          <w:rFonts w:ascii="Times New Roman Bold" w:hAnsi="Times New Roman Bold" w:cs="Times New Roman"/>
          <w:b/>
          <w:bCs/>
          <w:sz w:val="26"/>
          <w:szCs w:val="26"/>
          <w:vertAlign w:val="superscript"/>
        </w:rPr>
        <w:footnoteRef/>
      </w:r>
      <w:r w:rsidRPr="008F5E4B">
        <w:rPr>
          <w:rFonts w:ascii="Times New Roman" w:hAnsi="Times New Roman" w:cs="Times New Roman"/>
          <w:sz w:val="26"/>
          <w:szCs w:val="26"/>
        </w:rPr>
        <w:t xml:space="preserve"> The number used to calculate the costs is 4.1026 and was rounded for the table.</w:t>
      </w:r>
    </w:p>
  </w:footnote>
  <w:footnote w:id="15">
    <w:p w:rsidR="0011762A" w:rsidRPr="008F5E4B" w:rsidP="008F5E4B" w14:paraId="03330D67" w14:textId="77777777">
      <w:pPr>
        <w:rPr>
          <w:rFonts w:ascii="Times New Roman" w:hAnsi="Times New Roman" w:cs="Times New Roman"/>
          <w:sz w:val="26"/>
          <w:szCs w:val="26"/>
        </w:rPr>
      </w:pPr>
      <w:r w:rsidRPr="008F5E4B">
        <w:rPr>
          <w:rStyle w:val="FootnoteReference"/>
          <w:rFonts w:ascii="Times New Roman Bold" w:hAnsi="Times New Roman Bold" w:cs="Times New Roman"/>
          <w:b/>
          <w:bCs/>
          <w:sz w:val="26"/>
          <w:szCs w:val="26"/>
          <w:vertAlign w:val="superscript"/>
        </w:rPr>
        <w:footnoteRef/>
      </w:r>
      <w:r w:rsidRPr="008F5E4B">
        <w:rPr>
          <w:rFonts w:ascii="Times New Roman" w:hAnsi="Times New Roman" w:cs="Times New Roman"/>
          <w:sz w:val="26"/>
          <w:szCs w:val="26"/>
        </w:rPr>
        <w:t xml:space="preserve"> </w:t>
      </w:r>
      <w:r w:rsidRPr="008F5E4B">
        <w:rPr>
          <w:rFonts w:ascii="Times New Roman" w:hAnsi="Times New Roman" w:cs="Times New Roman"/>
          <w:i/>
          <w:iCs/>
          <w:sz w:val="26"/>
          <w:szCs w:val="26"/>
        </w:rPr>
        <w:t>Data Collection for Analytics &amp; Surveillance &amp; Mkt.-Based Rate Purposes</w:t>
      </w:r>
      <w:r w:rsidRPr="008F5E4B">
        <w:rPr>
          <w:rFonts w:ascii="Times New Roman" w:hAnsi="Times New Roman" w:cs="Times New Roman"/>
          <w:sz w:val="26"/>
          <w:szCs w:val="26"/>
        </w:rPr>
        <w:t>, 86 FR 17823 (Apr. 6, 2021), 174 FERC ¶ 61,214 (2021) (March Notice).</w:t>
      </w:r>
    </w:p>
    <w:p w:rsidR="0011762A" w:rsidRPr="008F5E4B" w:rsidP="008F5E4B" w14:paraId="5895DED1" w14:textId="77777777">
      <w:pPr>
        <w:rPr>
          <w:rFonts w:ascii="Times New Roman" w:hAnsi="Times New Roman" w:cs="Times New Roman"/>
          <w:sz w:val="26"/>
          <w:szCs w:val="26"/>
        </w:rPr>
      </w:pPr>
    </w:p>
  </w:footnote>
  <w:footnote w:id="16">
    <w:p w:rsidR="0011762A" w:rsidRPr="008F5E4B" w:rsidP="008F5E4B" w14:paraId="184643AC" w14:textId="5034FB55">
      <w:pPr>
        <w:rPr>
          <w:rFonts w:ascii="Times New Roman" w:hAnsi="Times New Roman" w:cs="Times New Roman"/>
          <w:sz w:val="26"/>
          <w:szCs w:val="26"/>
        </w:rPr>
      </w:pPr>
      <w:r w:rsidRPr="008F5E4B">
        <w:rPr>
          <w:rStyle w:val="FootnoteReference"/>
          <w:rFonts w:ascii="Times New Roman" w:hAnsi="Times New Roman" w:cs="Times New Roman"/>
          <w:b/>
          <w:bCs/>
          <w:sz w:val="26"/>
          <w:szCs w:val="26"/>
          <w:vertAlign w:val="superscript"/>
        </w:rPr>
        <w:footnoteRef/>
      </w:r>
      <w:r w:rsidRPr="008F5E4B">
        <w:rPr>
          <w:rFonts w:ascii="Times New Roman" w:hAnsi="Times New Roman" w:cs="Times New Roman"/>
          <w:sz w:val="26"/>
          <w:szCs w:val="26"/>
          <w:vertAlign w:val="superscript"/>
        </w:rPr>
        <w:t xml:space="preserve"> </w:t>
      </w:r>
      <w:r w:rsidRPr="008F5E4B">
        <w:rPr>
          <w:rFonts w:ascii="Times New Roman" w:hAnsi="Times New Roman" w:cs="Times New Roman"/>
          <w:sz w:val="26"/>
          <w:szCs w:val="26"/>
        </w:rPr>
        <w:t>This is based upon FERC’s FY (Fiscal Year) 2021 average annual salary plus benefits per FTE (full-time equivalent) of $180,703.</w:t>
      </w:r>
    </w:p>
  </w:footnote>
  <w:footnote w:id="17">
    <w:p w:rsidR="0011762A" w:rsidP="008F5E4B" w14:paraId="6BC6DE7B" w14:textId="3A5D76D2">
      <w:r w:rsidRPr="008F5E4B">
        <w:rPr>
          <w:rFonts w:ascii="Times New Roman" w:hAnsi="Times New Roman" w:cs="Times New Roman"/>
          <w:sz w:val="26"/>
          <w:szCs w:val="26"/>
        </w:rPr>
        <w:footnoteRef/>
      </w:r>
      <w:r w:rsidRPr="008F5E4B">
        <w:rPr>
          <w:rFonts w:ascii="Times New Roman" w:hAnsi="Times New Roman" w:cs="Times New Roman"/>
          <w:sz w:val="26"/>
          <w:szCs w:val="26"/>
        </w:rPr>
        <w:t xml:space="preserve"> </w:t>
      </w:r>
      <w:r w:rsidR="003A6FFA">
        <w:rPr>
          <w:rFonts w:ascii="Times New Roman" w:hAnsi="Times New Roman" w:cs="Times New Roman"/>
          <w:sz w:val="26"/>
          <w:szCs w:val="26"/>
        </w:rPr>
        <w:t>28</w:t>
      </w:r>
      <w:r w:rsidRPr="008F5E4B">
        <w:rPr>
          <w:rFonts w:ascii="Times New Roman" w:hAnsi="Times New Roman" w:cs="Times New Roman"/>
          <w:sz w:val="26"/>
          <w:szCs w:val="26"/>
        </w:rPr>
        <w:t xml:space="preserve"> FTEs include: 2</w:t>
      </w:r>
      <w:r>
        <w:rPr>
          <w:rFonts w:ascii="Times New Roman" w:hAnsi="Times New Roman" w:cs="Times New Roman"/>
          <w:sz w:val="26"/>
          <w:szCs w:val="26"/>
        </w:rPr>
        <w:t>0</w:t>
      </w:r>
      <w:r w:rsidRPr="008F5E4B">
        <w:rPr>
          <w:rFonts w:ascii="Times New Roman" w:hAnsi="Times New Roman" w:cs="Times New Roman"/>
          <w:sz w:val="26"/>
          <w:szCs w:val="26"/>
        </w:rPr>
        <w:t xml:space="preserve"> (Office of Energy Market Regulation - market-based rate program staff) + 4 (Office of General Council) + 1 (Office of Enforcement) + 1 (Office of Electric Reliability) + 2 (Senior Staff/Commissioners &amp; Staff/Office of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14:paraId="6177A1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rsidP="0011762A" w14:paraId="18464398" w14:textId="5E4A6677">
    <w:pPr>
      <w:tabs>
        <w:tab w:val="left" w:pos="-1440"/>
      </w:tabs>
      <w:ind w:left="5760" w:hanging="5760"/>
      <w:rPr>
        <w:rStyle w:val="PageNumber"/>
        <w:rFonts w:ascii="Times New Roman" w:hAnsi="Times New Roman" w:cs="Times New Roman"/>
        <w:sz w:val="26"/>
        <w:szCs w:val="26"/>
      </w:rPr>
    </w:pPr>
    <w:r w:rsidRPr="00C266F4">
      <w:rPr>
        <w:rStyle w:val="PageNumber"/>
        <w:rFonts w:ascii="Times New Roman" w:hAnsi="Times New Roman" w:cs="Times New Roman"/>
        <w:sz w:val="26"/>
        <w:szCs w:val="26"/>
      </w:rPr>
      <w:t>FERC-919 (OMB Control No. 1902-0234</w:t>
    </w:r>
    <w:r>
      <w:rPr>
        <w:rStyle w:val="PageNumber"/>
        <w:rFonts w:ascii="Times New Roman" w:hAnsi="Times New Roman" w:cs="Times New Roman"/>
        <w:sz w:val="26"/>
        <w:szCs w:val="26"/>
      </w:rPr>
      <w:t>)</w:t>
    </w:r>
    <w:r>
      <w:rPr>
        <w:rStyle w:val="PageNumber"/>
        <w:rFonts w:ascii="Times New Roman" w:hAnsi="Times New Roman" w:cs="Times New Roman"/>
        <w:sz w:val="26"/>
        <w:szCs w:val="26"/>
      </w:rPr>
      <w:tab/>
    </w:r>
    <w:r>
      <w:rPr>
        <w:rStyle w:val="PageNumber"/>
        <w:rFonts w:ascii="Times New Roman" w:hAnsi="Times New Roman" w:cs="Times New Roman"/>
        <w:sz w:val="26"/>
        <w:szCs w:val="26"/>
      </w:rPr>
      <w:tab/>
    </w:r>
    <w:r>
      <w:rPr>
        <w:rStyle w:val="PageNumber"/>
        <w:rFonts w:ascii="Times New Roman" w:hAnsi="Times New Roman" w:cs="Times New Roman"/>
        <w:sz w:val="26"/>
        <w:szCs w:val="26"/>
      </w:rPr>
      <w:tab/>
    </w:r>
    <w:r>
      <w:rPr>
        <w:rStyle w:val="PageNumber"/>
        <w:rFonts w:ascii="Times New Roman" w:hAnsi="Times New Roman" w:cs="Times New Roman"/>
        <w:sz w:val="26"/>
        <w:szCs w:val="26"/>
      </w:rPr>
      <w:tab/>
    </w:r>
    <w:r>
      <w:rPr>
        <w:rStyle w:val="PageNumber"/>
        <w:rFonts w:ascii="Times New Roman" w:hAnsi="Times New Roman" w:cs="Times New Roman"/>
        <w:sz w:val="26"/>
        <w:szCs w:val="26"/>
      </w:rPr>
      <w:tab/>
    </w:r>
    <w:r w:rsidRPr="00D84A22">
      <w:rPr>
        <w:rStyle w:val="PageNumber"/>
        <w:rFonts w:ascii="Times New Roman" w:hAnsi="Times New Roman" w:cs="Times New Roman"/>
        <w:sz w:val="26"/>
        <w:szCs w:val="26"/>
      </w:rPr>
      <w:fldChar w:fldCharType="begin"/>
    </w:r>
    <w:r w:rsidRPr="00D84A22">
      <w:rPr>
        <w:rStyle w:val="PageNumber"/>
        <w:rFonts w:ascii="Times New Roman" w:hAnsi="Times New Roman" w:cs="Times New Roman"/>
        <w:sz w:val="26"/>
        <w:szCs w:val="26"/>
      </w:rPr>
      <w:instrText xml:space="preserve"> PAGE   \* MERGEFORMAT </w:instrText>
    </w:r>
    <w:r w:rsidRPr="00D84A22">
      <w:rPr>
        <w:rStyle w:val="PageNumber"/>
        <w:rFonts w:ascii="Times New Roman" w:hAnsi="Times New Roman" w:cs="Times New Roman"/>
        <w:sz w:val="26"/>
        <w:szCs w:val="26"/>
      </w:rPr>
      <w:fldChar w:fldCharType="separate"/>
    </w:r>
    <w:r>
      <w:rPr>
        <w:rStyle w:val="PageNumber"/>
        <w:rFonts w:ascii="Times New Roman" w:hAnsi="Times New Roman" w:cs="Times New Roman"/>
        <w:noProof/>
        <w:sz w:val="26"/>
        <w:szCs w:val="26"/>
      </w:rPr>
      <w:t>1</w:t>
    </w:r>
    <w:r w:rsidRPr="00D84A22">
      <w:rPr>
        <w:rStyle w:val="PageNumber"/>
        <w:rFonts w:ascii="Times New Roman" w:hAnsi="Times New Roman" w:cs="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62A" w14:paraId="3228AA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E8E679F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39C74EE7"/>
    <w:multiLevelType w:val="hybridMultilevel"/>
    <w:tmpl w:val="601210C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2B3F50"/>
    <w:multiLevelType w:val="hybridMultilevel"/>
    <w:tmpl w:val="2E68AC4A"/>
    <w:lvl w:ilvl="0">
      <w:start w:val="13"/>
      <w:numFmt w:val="decimal"/>
      <w:lvlText w:val="%1."/>
      <w:lvlJc w:val="left"/>
      <w:pPr>
        <w:tabs>
          <w:tab w:val="num" w:pos="360"/>
        </w:tabs>
        <w:ind w:left="360" w:hanging="360"/>
      </w:pPr>
      <w:rPr>
        <w:rFonts w:hint="default"/>
        <w:sz w:val="2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lvlText w:val="%1."/>
        <w:lvlJc w:val="left"/>
        <w:rPr>
          <w:b/>
          <w:bCs/>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96"/>
    <w:rsid w:val="00001C1B"/>
    <w:rsid w:val="000213A8"/>
    <w:rsid w:val="00036E7F"/>
    <w:rsid w:val="00060314"/>
    <w:rsid w:val="0006122E"/>
    <w:rsid w:val="0007045D"/>
    <w:rsid w:val="000B46CC"/>
    <w:rsid w:val="000C3353"/>
    <w:rsid w:val="0011762A"/>
    <w:rsid w:val="001251B8"/>
    <w:rsid w:val="00143D0A"/>
    <w:rsid w:val="0014445E"/>
    <w:rsid w:val="001C76FC"/>
    <w:rsid w:val="001D050A"/>
    <w:rsid w:val="001D571C"/>
    <w:rsid w:val="00217090"/>
    <w:rsid w:val="0021753B"/>
    <w:rsid w:val="00217572"/>
    <w:rsid w:val="00222FA8"/>
    <w:rsid w:val="002424B7"/>
    <w:rsid w:val="00255029"/>
    <w:rsid w:val="00255AD5"/>
    <w:rsid w:val="002728A5"/>
    <w:rsid w:val="002A6228"/>
    <w:rsid w:val="002D5EC6"/>
    <w:rsid w:val="00375344"/>
    <w:rsid w:val="00375B3A"/>
    <w:rsid w:val="003776B4"/>
    <w:rsid w:val="003779D9"/>
    <w:rsid w:val="003922F6"/>
    <w:rsid w:val="003A60EE"/>
    <w:rsid w:val="003A6FFA"/>
    <w:rsid w:val="003C5B85"/>
    <w:rsid w:val="003C6352"/>
    <w:rsid w:val="003C7E9D"/>
    <w:rsid w:val="004053A7"/>
    <w:rsid w:val="00423821"/>
    <w:rsid w:val="00427A38"/>
    <w:rsid w:val="0043258A"/>
    <w:rsid w:val="00460B50"/>
    <w:rsid w:val="00475234"/>
    <w:rsid w:val="00492312"/>
    <w:rsid w:val="00497484"/>
    <w:rsid w:val="004A11DC"/>
    <w:rsid w:val="004A14C1"/>
    <w:rsid w:val="00504725"/>
    <w:rsid w:val="0057733A"/>
    <w:rsid w:val="00584F10"/>
    <w:rsid w:val="0061103D"/>
    <w:rsid w:val="00646ABF"/>
    <w:rsid w:val="00657BE7"/>
    <w:rsid w:val="00664840"/>
    <w:rsid w:val="00665B3D"/>
    <w:rsid w:val="00692C30"/>
    <w:rsid w:val="00697793"/>
    <w:rsid w:val="007022C0"/>
    <w:rsid w:val="00710D02"/>
    <w:rsid w:val="00767966"/>
    <w:rsid w:val="007758AE"/>
    <w:rsid w:val="00787C0B"/>
    <w:rsid w:val="00794196"/>
    <w:rsid w:val="007B25BE"/>
    <w:rsid w:val="00800F16"/>
    <w:rsid w:val="008113E2"/>
    <w:rsid w:val="00851EA9"/>
    <w:rsid w:val="0085463D"/>
    <w:rsid w:val="00880306"/>
    <w:rsid w:val="00880E03"/>
    <w:rsid w:val="008A5F7B"/>
    <w:rsid w:val="008B7949"/>
    <w:rsid w:val="008B7F30"/>
    <w:rsid w:val="008D264B"/>
    <w:rsid w:val="008D3602"/>
    <w:rsid w:val="008D75A7"/>
    <w:rsid w:val="008F5E4B"/>
    <w:rsid w:val="008F7F3E"/>
    <w:rsid w:val="00900B7C"/>
    <w:rsid w:val="00917434"/>
    <w:rsid w:val="00922628"/>
    <w:rsid w:val="009358B5"/>
    <w:rsid w:val="009410C3"/>
    <w:rsid w:val="009A58D2"/>
    <w:rsid w:val="009C5FA9"/>
    <w:rsid w:val="009D0F02"/>
    <w:rsid w:val="00A05486"/>
    <w:rsid w:val="00A16F46"/>
    <w:rsid w:val="00A277AC"/>
    <w:rsid w:val="00A5010C"/>
    <w:rsid w:val="00A628D4"/>
    <w:rsid w:val="00A67595"/>
    <w:rsid w:val="00A75CAF"/>
    <w:rsid w:val="00AA1AAE"/>
    <w:rsid w:val="00B3468D"/>
    <w:rsid w:val="00B35F6F"/>
    <w:rsid w:val="00B61617"/>
    <w:rsid w:val="00BA4C3E"/>
    <w:rsid w:val="00BC4A56"/>
    <w:rsid w:val="00BF46D4"/>
    <w:rsid w:val="00C24E1D"/>
    <w:rsid w:val="00C266F4"/>
    <w:rsid w:val="00C33293"/>
    <w:rsid w:val="00C40CDE"/>
    <w:rsid w:val="00C41134"/>
    <w:rsid w:val="00C56A82"/>
    <w:rsid w:val="00C6420B"/>
    <w:rsid w:val="00C67216"/>
    <w:rsid w:val="00C73667"/>
    <w:rsid w:val="00C85485"/>
    <w:rsid w:val="00C93BCA"/>
    <w:rsid w:val="00CC1ABA"/>
    <w:rsid w:val="00CE2593"/>
    <w:rsid w:val="00CE648C"/>
    <w:rsid w:val="00CF1C43"/>
    <w:rsid w:val="00D84A22"/>
    <w:rsid w:val="00DA574C"/>
    <w:rsid w:val="00DB1B85"/>
    <w:rsid w:val="00DB3C08"/>
    <w:rsid w:val="00E0455B"/>
    <w:rsid w:val="00E33F5E"/>
    <w:rsid w:val="00E46BBA"/>
    <w:rsid w:val="00E82D25"/>
    <w:rsid w:val="00E83376"/>
    <w:rsid w:val="00EA0F9A"/>
    <w:rsid w:val="00EC226B"/>
    <w:rsid w:val="00F310B0"/>
    <w:rsid w:val="00F86203"/>
    <w:rsid w:val="00FA4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642D0"/>
  <w15:docId w15:val="{726FAD27-8325-45DF-B6F8-0A30D3B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fn,ft"/>
    <w:basedOn w:val="Normal"/>
    <w:link w:val="FootnoteTextChar"/>
    <w:unhideWhenUsed/>
    <w:qFormat/>
    <w:rsid w:val="00794196"/>
    <w:pPr>
      <w:spacing w:after="0" w:line="240" w:lineRule="auto"/>
    </w:pPr>
    <w:rPr>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 Char,fn Char,ft Char"/>
    <w:basedOn w:val="DefaultParagraphFont"/>
    <w:link w:val="FootnoteText"/>
    <w:rsid w:val="00794196"/>
    <w:rPr>
      <w:sz w:val="20"/>
      <w:szCs w:val="20"/>
    </w:rPr>
  </w:style>
  <w:style w:type="paragraph" w:styleId="Footer">
    <w:name w:val="footer"/>
    <w:basedOn w:val="Normal"/>
    <w:link w:val="FooterChar"/>
    <w:uiPriority w:val="99"/>
    <w:unhideWhenUsed/>
    <w:rsid w:val="0079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96"/>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794196"/>
  </w:style>
  <w:style w:type="character" w:styleId="PageNumber">
    <w:name w:val="page number"/>
    <w:basedOn w:val="DefaultParagraphFont"/>
    <w:rsid w:val="00794196"/>
  </w:style>
  <w:style w:type="character" w:styleId="Hyperlink">
    <w:name w:val="Hyperlink"/>
    <w:basedOn w:val="DefaultParagraphFont"/>
    <w:uiPriority w:val="99"/>
    <w:unhideWhenUsed/>
    <w:rsid w:val="00794196"/>
    <w:rPr>
      <w:color w:val="0563C1" w:themeColor="hyperlink"/>
      <w:u w:val="single"/>
    </w:rPr>
  </w:style>
  <w:style w:type="paragraph" w:styleId="Header">
    <w:name w:val="header"/>
    <w:basedOn w:val="Normal"/>
    <w:link w:val="HeaderChar"/>
    <w:uiPriority w:val="99"/>
    <w:unhideWhenUsed/>
    <w:rsid w:val="0090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7C"/>
  </w:style>
  <w:style w:type="character" w:styleId="CommentReference">
    <w:name w:val="annotation reference"/>
    <w:basedOn w:val="DefaultParagraphFont"/>
    <w:uiPriority w:val="99"/>
    <w:semiHidden/>
    <w:unhideWhenUsed/>
    <w:rsid w:val="00475234"/>
    <w:rPr>
      <w:sz w:val="16"/>
      <w:szCs w:val="16"/>
    </w:rPr>
  </w:style>
  <w:style w:type="paragraph" w:styleId="CommentText">
    <w:name w:val="annotation text"/>
    <w:basedOn w:val="Normal"/>
    <w:link w:val="CommentTextChar"/>
    <w:uiPriority w:val="99"/>
    <w:unhideWhenUsed/>
    <w:rsid w:val="00475234"/>
    <w:pPr>
      <w:spacing w:line="240" w:lineRule="auto"/>
    </w:pPr>
    <w:rPr>
      <w:sz w:val="20"/>
      <w:szCs w:val="20"/>
    </w:rPr>
  </w:style>
  <w:style w:type="character" w:customStyle="1" w:styleId="CommentTextChar">
    <w:name w:val="Comment Text Char"/>
    <w:basedOn w:val="DefaultParagraphFont"/>
    <w:link w:val="CommentText"/>
    <w:uiPriority w:val="99"/>
    <w:rsid w:val="00475234"/>
    <w:rPr>
      <w:sz w:val="20"/>
      <w:szCs w:val="20"/>
    </w:rPr>
  </w:style>
  <w:style w:type="paragraph" w:styleId="CommentSubject">
    <w:name w:val="annotation subject"/>
    <w:basedOn w:val="CommentText"/>
    <w:next w:val="CommentText"/>
    <w:link w:val="CommentSubjectChar"/>
    <w:uiPriority w:val="99"/>
    <w:semiHidden/>
    <w:unhideWhenUsed/>
    <w:rsid w:val="00475234"/>
    <w:rPr>
      <w:b/>
      <w:bCs/>
    </w:rPr>
  </w:style>
  <w:style w:type="character" w:customStyle="1" w:styleId="CommentSubjectChar">
    <w:name w:val="Comment Subject Char"/>
    <w:basedOn w:val="CommentTextChar"/>
    <w:link w:val="CommentSubject"/>
    <w:uiPriority w:val="99"/>
    <w:semiHidden/>
    <w:rsid w:val="00475234"/>
    <w:rPr>
      <w:b/>
      <w:bCs/>
      <w:sz w:val="20"/>
      <w:szCs w:val="20"/>
    </w:rPr>
  </w:style>
  <w:style w:type="paragraph" w:styleId="BalloonText">
    <w:name w:val="Balloon Text"/>
    <w:basedOn w:val="Normal"/>
    <w:link w:val="BalloonTextChar"/>
    <w:uiPriority w:val="99"/>
    <w:semiHidden/>
    <w:unhideWhenUsed/>
    <w:rsid w:val="0047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34"/>
    <w:rPr>
      <w:rFonts w:ascii="Segoe UI" w:hAnsi="Segoe UI" w:cs="Segoe UI"/>
      <w:sz w:val="18"/>
      <w:szCs w:val="18"/>
    </w:rPr>
  </w:style>
  <w:style w:type="character" w:styleId="FollowedHyperlink">
    <w:name w:val="FollowedHyperlink"/>
    <w:basedOn w:val="DefaultParagraphFont"/>
    <w:uiPriority w:val="99"/>
    <w:semiHidden/>
    <w:unhideWhenUsed/>
    <w:rsid w:val="000C3353"/>
    <w:rPr>
      <w:color w:val="954F72" w:themeColor="followedHyperlink"/>
      <w:u w:val="single"/>
    </w:rPr>
  </w:style>
  <w:style w:type="character" w:styleId="UnresolvedMention">
    <w:name w:val="Unresolved Mention"/>
    <w:basedOn w:val="DefaultParagraphFont"/>
    <w:uiPriority w:val="99"/>
    <w:semiHidden/>
    <w:unhideWhenUsed/>
    <w:rsid w:val="004A1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rc.gov/information-collections"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ERC Order Template" ma:contentTypeID="0x0101001211E2F280444343A3A8AD030CBCE56C" ma:contentTypeVersion="9" ma:contentTypeDescription="Create a new Order document." ma:contentTypeScope="" ma:versionID="2eae6d184e14a3d53e048718450a036e">
  <xsd:schema xmlns:xsd="http://www.w3.org/2001/XMLSchema" xmlns:xs="http://www.w3.org/2001/XMLSchema" xmlns:p="http://schemas.microsoft.com/office/2006/metadata/properties" xmlns:ns2="http://schemas.microsoft.com/sharepoint/v4" targetNamespace="http://schemas.microsoft.com/office/2006/metadata/properties" ma:root="true" ma:fieldsID="5f24638319415c4f1c8d681e51d3ba8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C2C0C-EA11-418D-8603-C8FA35F12FB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1C5AFAE-032C-4B88-8802-8D79112D6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712E2-0F70-45CA-9F33-901BF66509C1}">
  <ds:schemaRefs>
    <ds:schemaRef ds:uri="Microsoft.SharePoint.Taxonomy.ContentTypeSync"/>
  </ds:schemaRefs>
</ds:datastoreItem>
</file>

<file path=customXml/itemProps4.xml><?xml version="1.0" encoding="utf-8"?>
<ds:datastoreItem xmlns:ds="http://schemas.openxmlformats.org/officeDocument/2006/customXml" ds:itemID="{A26E2EAF-2161-4EF6-92C4-C237285B5A6D}">
  <ds:schemaRefs>
    <ds:schemaRef ds:uri="http://schemas.openxmlformats.org/officeDocument/2006/bibliography"/>
  </ds:schemaRefs>
</ds:datastoreItem>
</file>

<file path=customXml/itemProps5.xml><?xml version="1.0" encoding="utf-8"?>
<ds:datastoreItem xmlns:ds="http://schemas.openxmlformats.org/officeDocument/2006/customXml" ds:itemID="{51A7995A-C275-432B-87F6-319076C79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FERC-919 Supporting Statement</vt:lpstr>
    </vt:vector>
  </TitlesOfParts>
  <Company>FERC</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FERC-919 Supporting Statement</dc:title>
  <dc:creator>Michele Chambers</dc:creator>
  <cp:lastModifiedBy>Christopher</cp:lastModifiedBy>
  <cp:revision>7</cp:revision>
  <dcterms:created xsi:type="dcterms:W3CDTF">2022-09-08T15:20:00Z</dcterms:created>
  <dcterms:modified xsi:type="dcterms:W3CDTF">2022-09-09T12:37:00Z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0x0101001211E2F280444343A3A8AD030CBCE56C</vt:lpwstr>
  </property>
  <property fmtid="{D5CDD505-2E9C-101B-9397-08002B2CF9AE}" pid="3" name="MSIP_Label_6155a89b-0f08-4a93-8ea2-8a916d6643b5_ActionId">
    <vt:lpwstr>fab625fe-59e3-4fc8-8065-4fb3bbd703a2</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2022-03-22T11:56:04Z</vt:lpwstr>
  </property>
  <property fmtid="{D5CDD505-2E9C-101B-9397-08002B2CF9AE}" pid="9" name="MSIP_Label_6155a89b-0f08-4a93-8ea2-8a916d6643b5_SiteId">
    <vt:lpwstr>19caa9e9-04ff-43fa-885f-d77fac387903</vt:lpwstr>
  </property>
</Properties>
</file>