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2604E" w:rsidP="00A2604E" w14:paraId="1502CB1A" w14:textId="44E8076E">
      <w:pPr>
        <w:jc w:val="center"/>
      </w:pPr>
      <w:r>
        <w:t>UNITED STATES OF AMERICA</w:t>
      </w:r>
    </w:p>
    <w:p w:rsidR="00A2604E" w:rsidP="00A2604E" w14:paraId="273661E3" w14:textId="77777777">
      <w:pPr>
        <w:jc w:val="center"/>
      </w:pPr>
      <w:r>
        <w:t>FEDERAL ENERGY REGULATORY COMMISSION</w:t>
      </w:r>
    </w:p>
    <w:p w:rsidR="00A2604E" w:rsidP="00A2604E" w14:paraId="6C561934" w14:textId="77777777"/>
    <w:p w:rsidR="00A2604E" w:rsidP="00A2604E" w14:paraId="3E11D4A1" w14:textId="55DEB56D">
      <w:pPr>
        <w:jc w:val="center"/>
      </w:pPr>
      <w:r w:rsidRPr="00980E58">
        <w:t>[</w:t>
      </w:r>
      <w:r w:rsidRPr="007633DD">
        <w:t>Docket No</w:t>
      </w:r>
      <w:r w:rsidRPr="00413FDE">
        <w:t xml:space="preserve">. </w:t>
      </w:r>
      <w:r w:rsidR="007C6502">
        <w:t>RD</w:t>
      </w:r>
      <w:r w:rsidRPr="00413FDE" w:rsidR="00FB078F">
        <w:t>2</w:t>
      </w:r>
      <w:r w:rsidR="00EA0E8C">
        <w:t>2</w:t>
      </w:r>
      <w:r w:rsidRPr="00413FDE" w:rsidR="00613169">
        <w:t>-</w:t>
      </w:r>
      <w:r w:rsidR="005363F8">
        <w:t>3</w:t>
      </w:r>
      <w:r w:rsidRPr="00413FDE" w:rsidR="00613169">
        <w:t>-000</w:t>
      </w:r>
      <w:r w:rsidRPr="00413FDE">
        <w:t>]</w:t>
      </w:r>
    </w:p>
    <w:p w:rsidR="00A2604E" w:rsidP="00A2604E" w14:paraId="4D16FE54" w14:textId="77777777"/>
    <w:p w:rsidR="007C6502" w:rsidRPr="007C6502" w:rsidP="007C6502" w14:paraId="790F8E78" w14:textId="7CCF6D20">
      <w:pPr>
        <w:jc w:val="center"/>
        <w:rPr>
          <w:szCs w:val="26"/>
        </w:rPr>
      </w:pPr>
      <w:r w:rsidRPr="007C6502">
        <w:rPr>
          <w:szCs w:val="26"/>
        </w:rPr>
        <w:t>COMMISSION INFORMATION COLLECTION ACTIVITIES (</w:t>
      </w:r>
      <w:bookmarkStart w:id="0" w:name="_Hlk111029206"/>
      <w:r w:rsidRPr="007C6502">
        <w:rPr>
          <w:szCs w:val="26"/>
        </w:rPr>
        <w:t>FERC-725</w:t>
      </w:r>
      <w:r w:rsidR="005363F8">
        <w:rPr>
          <w:szCs w:val="26"/>
        </w:rPr>
        <w:t>U</w:t>
      </w:r>
      <w:bookmarkEnd w:id="0"/>
      <w:r w:rsidR="005363F8">
        <w:rPr>
          <w:szCs w:val="26"/>
        </w:rPr>
        <w:t>)</w:t>
      </w:r>
      <w:r w:rsidRPr="007C6502">
        <w:rPr>
          <w:szCs w:val="26"/>
        </w:rPr>
        <w:t xml:space="preserve"> </w:t>
      </w:r>
    </w:p>
    <w:p w:rsidR="00471DC7" w:rsidP="00471DC7" w14:paraId="5A87CF2D" w14:textId="77777777">
      <w:pPr>
        <w:jc w:val="center"/>
      </w:pPr>
    </w:p>
    <w:p w:rsidR="00FB7122" w:rsidP="00471DC7" w14:paraId="3C32A21F" w14:textId="6A3A52CF">
      <w:pPr>
        <w:jc w:val="center"/>
      </w:pPr>
      <w:r w:rsidRPr="00471DC7">
        <w:t>(September 1, 2022)</w:t>
      </w:r>
    </w:p>
    <w:p w:rsidR="00471DC7" w:rsidRPr="00471DC7" w:rsidP="00471DC7" w14:paraId="16176D57" w14:textId="77777777"/>
    <w:p w:rsidR="00A2604E" w:rsidP="00A2604E" w14:paraId="735A1E72" w14:textId="77777777">
      <w:r w:rsidRPr="00AB4DBF">
        <w:rPr>
          <w:b/>
        </w:rPr>
        <w:t>AGENCY:</w:t>
      </w:r>
      <w:r w:rsidRPr="00AB4DBF">
        <w:t xml:space="preserve">  Federal Energy Regulatory Commission.</w:t>
      </w:r>
    </w:p>
    <w:p w:rsidR="00A2604E" w:rsidRPr="00AB4DBF" w:rsidP="00A2604E" w14:paraId="634EF64B" w14:textId="77777777"/>
    <w:p w:rsidR="00A2604E" w:rsidP="00A2604E" w14:paraId="674B9740" w14:textId="77777777">
      <w:pPr>
        <w:spacing w:line="480" w:lineRule="auto"/>
      </w:pPr>
      <w:r w:rsidRPr="00CE64F2">
        <w:rPr>
          <w:b/>
        </w:rPr>
        <w:t>ACTION:</w:t>
      </w:r>
      <w:r>
        <w:t xml:space="preserve">  </w:t>
      </w:r>
      <w:bookmarkStart w:id="1" w:name="_Hlk68091542"/>
      <w:r>
        <w:t xml:space="preserve">Notice of information collection </w:t>
      </w:r>
      <w:bookmarkEnd w:id="1"/>
      <w:r>
        <w:t>and request for comments.</w:t>
      </w:r>
    </w:p>
    <w:p w:rsidR="00B556C9" w:rsidRPr="00B556C9" w:rsidP="5A95B689" w14:paraId="35DEAE81" w14:textId="36CBCF24">
      <w:pPr>
        <w:spacing w:after="160" w:line="480" w:lineRule="auto"/>
        <w:rPr>
          <w:rFonts w:eastAsiaTheme="minorEastAsia"/>
        </w:rPr>
      </w:pPr>
      <w:r w:rsidRPr="128FFB1D">
        <w:rPr>
          <w:b/>
          <w:bCs/>
        </w:rPr>
        <w:t>SUMMARY:</w:t>
      </w:r>
      <w:r>
        <w:t xml:space="preserve">  In compliance with the requirements of the Paperwork Reduction Act of 1995</w:t>
      </w:r>
      <w:r w:rsidR="009E2D84">
        <w:t xml:space="preserve">, </w:t>
      </w:r>
      <w:r>
        <w:t xml:space="preserve">the Federal Energy Regulatory Commission </w:t>
      </w:r>
      <w:bookmarkStart w:id="2" w:name="_Hlk111031157"/>
      <w:r w:rsidRPr="005363F8" w:rsidR="005363F8">
        <w:t>FERC-725U, Mandatory Reliability Standards for the Bulk Power System; CIP Reliability Standards</w:t>
      </w:r>
      <w:bookmarkEnd w:id="2"/>
      <w:r w:rsidRPr="128FFB1D" w:rsidR="00564ADB">
        <w:rPr>
          <w:rFonts w:eastAsiaTheme="minorEastAsia"/>
        </w:rPr>
        <w:t>, which will be submitted to the Office of Management and Budget (OMB) for review.</w:t>
      </w:r>
      <w:r w:rsidRPr="128FFB1D" w:rsidR="001A7665">
        <w:rPr>
          <w:rFonts w:eastAsiaTheme="minorEastAsia"/>
        </w:rPr>
        <w:t xml:space="preserve">  No Comments were received on the 60-day notice published on </w:t>
      </w:r>
      <w:r w:rsidR="00B43A2F">
        <w:rPr>
          <w:rFonts w:eastAsiaTheme="minorEastAsia"/>
        </w:rPr>
        <w:t>June 24</w:t>
      </w:r>
      <w:r w:rsidRPr="128FFB1D" w:rsidR="001A7665">
        <w:rPr>
          <w:rFonts w:eastAsiaTheme="minorEastAsia"/>
        </w:rPr>
        <w:t>, 2022.</w:t>
      </w:r>
      <w:bookmarkStart w:id="3" w:name="_Hlk92266693"/>
    </w:p>
    <w:bookmarkEnd w:id="3"/>
    <w:p w:rsidR="00A2604E" w:rsidRPr="00524164" w:rsidP="00A2604E" w14:paraId="5C5B574A" w14:textId="2638813D">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w:t>
      </w:r>
      <w:r w:rsidR="00564ADB">
        <w:rPr>
          <w:b/>
        </w:rPr>
        <w:t>3</w:t>
      </w:r>
      <w:r w:rsidRPr="00A07154">
        <w:rPr>
          <w:b/>
        </w:rPr>
        <w:t xml:space="preserve">0 days after </w:t>
      </w:r>
      <w:r w:rsidRPr="00A07154" w:rsidR="00CA6D76">
        <w:rPr>
          <w:b/>
        </w:rPr>
        <w:t xml:space="preserve">date of </w:t>
      </w:r>
      <w:r w:rsidRPr="00A07154">
        <w:rPr>
          <w:b/>
        </w:rPr>
        <w:t>publication in the Federal Register</w:t>
      </w:r>
      <w:r w:rsidRPr="00524164">
        <w:t xml:space="preserve">]. </w:t>
      </w:r>
    </w:p>
    <w:p w:rsidR="00564ADB" w:rsidRPr="007C6502" w:rsidP="00564ADB" w14:paraId="55C4F2A9" w14:textId="545A0E88">
      <w:pPr>
        <w:spacing w:line="480" w:lineRule="auto"/>
        <w:rPr>
          <w:iCs/>
        </w:rPr>
      </w:pPr>
      <w:r w:rsidRPr="00524164">
        <w:rPr>
          <w:b/>
        </w:rPr>
        <w:t>ADDRESSES:</w:t>
      </w:r>
      <w:r w:rsidRPr="00524164">
        <w:t xml:space="preserve"> </w:t>
      </w:r>
      <w:r w:rsidRPr="00BB5EF5">
        <w:rPr>
          <w:iCs/>
        </w:rPr>
        <w:t xml:space="preserve">Send written comments on </w:t>
      </w:r>
      <w:r w:rsidRPr="005363F8" w:rsidR="00B43A2F">
        <w:t>FERC-725U, Mandatory Reliability Standards for the Bulk Power System; CIP Reliability Standards</w:t>
      </w:r>
      <w:r w:rsidRPr="007C6502" w:rsidR="007C6502">
        <w:rPr>
          <w:iCs/>
        </w:rPr>
        <w:t xml:space="preserve"> </w:t>
      </w:r>
      <w:r w:rsidRPr="00BB5EF5">
        <w:rPr>
          <w:iCs/>
        </w:rPr>
        <w:t xml:space="preserve">to OMB through </w:t>
      </w:r>
      <w:hyperlink r:id="rId10" w:history="1">
        <w:r w:rsidRPr="00BB5EF5">
          <w:rPr>
            <w:rStyle w:val="Hyperlink"/>
          </w:rPr>
          <w:t>www.reginfo.gov/public/do/PRAMain</w:t>
        </w:r>
      </w:hyperlink>
      <w:r w:rsidRPr="00BB5EF5">
        <w:rPr>
          <w:iCs/>
        </w:rPr>
        <w:t xml:space="preserve">.  Attention:  Federal Energy Regulatory Commission Desk Officer.  Please identify the </w:t>
      </w:r>
      <w:r w:rsidRPr="007C6502" w:rsidR="007C6502">
        <w:rPr>
          <w:iCs/>
        </w:rPr>
        <w:t xml:space="preserve">OMB Control No: </w:t>
      </w:r>
      <w:r w:rsidRPr="00B43A2F" w:rsidR="00B43A2F">
        <w:rPr>
          <w:iCs/>
        </w:rPr>
        <w:t>1902-0274(FERC-725U)</w:t>
      </w:r>
      <w:r w:rsidR="00B43A2F">
        <w:rPr>
          <w:iCs/>
        </w:rPr>
        <w:t xml:space="preserve"> </w:t>
      </w:r>
      <w:r w:rsidRPr="00BB5EF5">
        <w:rPr>
          <w:iCs/>
        </w:rPr>
        <w:t>in the subject line of your comments.  Comments</w:t>
      </w:r>
      <w:r w:rsidRPr="00BB5EF5">
        <w:t xml:space="preserve"> should be sent </w:t>
      </w:r>
      <w:bookmarkStart w:id="4" w:name="_Hlk35891527"/>
      <w:r w:rsidRPr="00BB5EF5">
        <w:t xml:space="preserve">within 30 days of publication of this notice to </w:t>
      </w:r>
      <w:bookmarkStart w:id="5" w:name="_Hlk38028221"/>
      <w:hyperlink r:id="rId10" w:history="1">
        <w:r w:rsidRPr="00BB5EF5">
          <w:rPr>
            <w:rStyle w:val="Hyperlink"/>
          </w:rPr>
          <w:t>www.reginfo.gov/public/do/PRAMain</w:t>
        </w:r>
      </w:hyperlink>
      <w:r w:rsidRPr="00BB5EF5">
        <w:t>.</w:t>
      </w:r>
      <w:bookmarkEnd w:id="4"/>
      <w:bookmarkEnd w:id="5"/>
    </w:p>
    <w:p w:rsidR="00564ADB" w:rsidRPr="00BB5EF5" w:rsidP="00564ADB" w14:paraId="7F9E2910" w14:textId="0E90E894">
      <w:pPr>
        <w:spacing w:line="480" w:lineRule="auto"/>
      </w:pPr>
      <w:r w:rsidRPr="00BB5EF5">
        <w:t xml:space="preserve">Please submit copies of your comments to the Commission.  You may submit copies of your comments (identified by Docket No. </w:t>
      </w:r>
      <w:r w:rsidR="007C6502">
        <w:t>RD</w:t>
      </w:r>
      <w:r w:rsidRPr="00BB5EF5">
        <w:t>2</w:t>
      </w:r>
      <w:r w:rsidR="00EA0E8C">
        <w:t>2</w:t>
      </w:r>
      <w:r w:rsidRPr="00BB5EF5">
        <w:t>-</w:t>
      </w:r>
      <w:r w:rsidR="00B43A2F">
        <w:t>3</w:t>
      </w:r>
      <w:r w:rsidRPr="00BB5EF5">
        <w:t>-000) by one of the following methods:</w:t>
      </w:r>
    </w:p>
    <w:p w:rsidR="00564ADB" w:rsidRPr="00BB5EF5" w:rsidP="00564ADB" w14:paraId="719A4BB0" w14:textId="081DE349">
      <w:pPr>
        <w:spacing w:line="480" w:lineRule="auto"/>
      </w:pPr>
      <w:r>
        <w:t xml:space="preserve">Electronic filing through </w:t>
      </w:r>
      <w:hyperlink r:id="rId11" w:history="1">
        <w:r w:rsidRPr="00FC39BA" w:rsidR="003179EB">
          <w:rPr>
            <w:rStyle w:val="Hyperlink"/>
          </w:rPr>
          <w:t>https://www.ferc.gov</w:t>
        </w:r>
      </w:hyperlink>
      <w:r>
        <w:t>, is preferred.</w:t>
      </w:r>
    </w:p>
    <w:p w:rsidR="00564ADB" w:rsidRPr="00BB5EF5" w:rsidP="00564ADB" w14:paraId="475688F6" w14:textId="77777777">
      <w:pPr>
        <w:numPr>
          <w:ilvl w:val="0"/>
          <w:numId w:val="6"/>
        </w:numPr>
        <w:spacing w:line="480" w:lineRule="auto"/>
      </w:pPr>
      <w:r w:rsidRPr="00BB5EF5">
        <w:t xml:space="preserve">Electronic Filing: Documents must be filed in acceptable native applications and print-to-PDF, but not in scanned or picture format. </w:t>
      </w:r>
    </w:p>
    <w:p w:rsidR="00564ADB" w:rsidRPr="00BB5EF5" w:rsidP="00564ADB" w14:paraId="5DD1201B" w14:textId="77777777">
      <w:pPr>
        <w:numPr>
          <w:ilvl w:val="0"/>
          <w:numId w:val="6"/>
        </w:numPr>
        <w:spacing w:line="480" w:lineRule="auto"/>
      </w:pPr>
      <w:r w:rsidRPr="00BB5EF5">
        <w:t>For those unable to file electronically, comments may be filed by USPS mail or by hand (including courier) delivery.</w:t>
      </w:r>
    </w:p>
    <w:p w:rsidR="00564ADB" w:rsidRPr="00BB5EF5" w:rsidP="00564ADB" w14:paraId="3AC98460" w14:textId="77777777">
      <w:pPr>
        <w:numPr>
          <w:ilvl w:val="1"/>
          <w:numId w:val="6"/>
        </w:numPr>
        <w:spacing w:line="480" w:lineRule="auto"/>
      </w:pPr>
      <w:r w:rsidRPr="00BB5EF5">
        <w:t>Mail via U.S. Postal Service Only: Addressed to: Federal Energy Regulatory Commission, Secretary of the Commission, 888 First Street, N.E., Washington, DC 20426.</w:t>
      </w:r>
    </w:p>
    <w:p w:rsidR="00564ADB" w:rsidRPr="00BB5EF5" w:rsidP="00564ADB" w14:paraId="5FE8252C" w14:textId="0FFC3065">
      <w:pPr>
        <w:numPr>
          <w:ilvl w:val="1"/>
          <w:numId w:val="6"/>
        </w:numPr>
        <w:spacing w:line="480" w:lineRule="auto"/>
      </w:pPr>
      <w:r w:rsidRPr="00BB5EF5">
        <w:t xml:space="preserve">Hand (including courier) delivery: Deliver to: Federal Energy Regulatory Commission, </w:t>
      </w:r>
      <w:r w:rsidR="003E4B47">
        <w:t xml:space="preserve">Secretary of the Commission, </w:t>
      </w:r>
      <w:r w:rsidRPr="00BB5EF5">
        <w:t>12225 Wilkins Avenue, Rockville, MD 20852.</w:t>
      </w:r>
    </w:p>
    <w:p w:rsidR="00564ADB" w:rsidRPr="00BB5EF5" w:rsidP="00564ADB" w14:paraId="67E70211" w14:textId="77777777">
      <w:pPr>
        <w:spacing w:line="480" w:lineRule="auto"/>
      </w:pPr>
      <w:bookmarkStart w:id="6" w:name="OLE_LINK1"/>
      <w:r w:rsidRPr="00BB5EF5">
        <w:rPr>
          <w:i/>
        </w:rPr>
        <w:t>Instructions</w:t>
      </w:r>
      <w:r w:rsidRPr="00BB5EF5">
        <w:rPr>
          <w:iCs/>
        </w:rPr>
        <w:t>:</w:t>
      </w:r>
      <w:r w:rsidRPr="00BB5EF5">
        <w:rPr>
          <w:i/>
        </w:rPr>
        <w:t xml:space="preserve">  </w:t>
      </w:r>
      <w:r w:rsidRPr="00BB5EF5">
        <w:rPr>
          <w:iCs/>
        </w:rPr>
        <w:t xml:space="preserve">OMB submissions </w:t>
      </w:r>
      <w:r w:rsidRPr="00BB5EF5">
        <w:t>must be formatted and filed in accordance with submission guidelines at</w:t>
      </w:r>
      <w:r w:rsidRPr="00BB5EF5">
        <w:rPr>
          <w:i/>
        </w:rPr>
        <w:t xml:space="preserve"> </w:t>
      </w:r>
      <w:hyperlink r:id="rId10" w:history="1">
        <w:r w:rsidRPr="00BB5EF5">
          <w:rPr>
            <w:rStyle w:val="Hyperlink"/>
          </w:rPr>
          <w:t>www.reginfo.gov/public/do/PRAMain</w:t>
        </w:r>
      </w:hyperlink>
      <w:r w:rsidRPr="00BB5EF5">
        <w:rPr>
          <w:u w:val="single"/>
        </w:rPr>
        <w:t>.</w:t>
      </w:r>
      <w:r w:rsidRPr="00BB5EF5">
        <w:t xml:space="preserve">  Using the search function under the “Currently Under Review” field, select Federal Energy Regulatory Commission; click “submit,” and select “comment” to the right of the subject collection.</w:t>
      </w:r>
    </w:p>
    <w:p w:rsidR="00564ADB" w:rsidRPr="00BB5EF5" w:rsidP="00564ADB" w14:paraId="24473466" w14:textId="5FC01287">
      <w:pPr>
        <w:spacing w:line="480" w:lineRule="auto"/>
      </w:pPr>
      <w:r w:rsidRPr="128FFB1D">
        <w:rPr>
          <w:i/>
          <w:iCs/>
        </w:rPr>
        <w:t>FERC submissions</w:t>
      </w:r>
      <w:r>
        <w:t xml:space="preserve"> </w:t>
      </w:r>
      <w:bookmarkStart w:id="7" w:name="_Hlk38028397"/>
      <w:r>
        <w:t>must be formatted and filed in accordance with submission guidelines at</w:t>
      </w:r>
      <w:bookmarkEnd w:id="7"/>
      <w:r>
        <w:t xml:space="preserve">: </w:t>
      </w:r>
      <w:hyperlink r:id="rId11" w:history="1">
        <w:r w:rsidRPr="00FC39BA" w:rsidR="003179EB">
          <w:rPr>
            <w:rStyle w:val="Hyperlink"/>
          </w:rPr>
          <w:t>https://www.ferc.gov</w:t>
        </w:r>
      </w:hyperlink>
      <w:r>
        <w:t>.  For user assistance, contact FERC Online Support by e-mail at ferconlinesupport@ferc.gov, or by phone at: (866) 208-3676 (toll-free).</w:t>
      </w:r>
    </w:p>
    <w:p w:rsidR="00564ADB" w:rsidRPr="00BB5EF5" w:rsidP="00564ADB" w14:paraId="5AB1E7F2" w14:textId="77777777">
      <w:pPr>
        <w:spacing w:line="480" w:lineRule="auto"/>
      </w:pPr>
      <w:r w:rsidRPr="00BB5EF5">
        <w:rPr>
          <w:i/>
        </w:rPr>
        <w:t>Docket</w:t>
      </w:r>
      <w:r w:rsidRPr="00BB5EF5">
        <w:rPr>
          <w:iCs/>
        </w:rPr>
        <w:t xml:space="preserve">:  </w:t>
      </w:r>
      <w:r w:rsidRPr="00BB5EF5">
        <w:t xml:space="preserve">Users interested in receiving automatic notification of activity in this docket or in viewing/downloading comments and issuances in this docket may do so at </w:t>
      </w:r>
      <w:hyperlink r:id="rId12" w:history="1">
        <w:r w:rsidRPr="00BB5EF5">
          <w:rPr>
            <w:rStyle w:val="Hyperlink"/>
          </w:rPr>
          <w:t>https://www.ferc.gov/ferc-online/overview</w:t>
        </w:r>
      </w:hyperlink>
      <w:r w:rsidRPr="00BB5EF5">
        <w:t xml:space="preserve">. </w:t>
      </w:r>
    </w:p>
    <w:bookmarkEnd w:id="6"/>
    <w:p w:rsidR="00FB078F" w:rsidRPr="00564ADB" w:rsidP="00564ADB" w14:paraId="4D057177" w14:textId="18E892A7">
      <w:pPr>
        <w:spacing w:line="480" w:lineRule="auto"/>
      </w:pPr>
      <w:r w:rsidRPr="00BB5EF5">
        <w:rPr>
          <w:b/>
        </w:rPr>
        <w:t>FOR FURTHER INFORMATION CONTACT:</w:t>
      </w:r>
      <w:r w:rsidRPr="00BB5EF5">
        <w:t xml:space="preserve">  Ellen Brown may be reached by e-mail at </w:t>
      </w:r>
      <w:r>
        <w:fldChar w:fldCharType="begin"/>
      </w:r>
      <w:r w:rsidRPr="00BB5EF5">
        <w:rPr>
          <w:rStyle w:val="Hyperlink"/>
        </w:rPr>
        <w:instrText xml:space="preserve"> HYPERLINK "mailto:DataClearance@FERC.gov" </w:instrText>
      </w:r>
      <w:r>
        <w:fldChar w:fldCharType="separate"/>
      </w:r>
      <w:r w:rsidRPr="00BB5EF5">
        <w:rPr>
          <w:rStyle w:val="Hyperlink"/>
        </w:rPr>
        <w:t>DataClearance@FERC.gov</w:t>
      </w:r>
      <w:r>
        <w:fldChar w:fldCharType="end"/>
      </w:r>
      <w:r w:rsidRPr="00BB5EF5">
        <w:t>, telephone at (202) 502-8663.</w:t>
      </w:r>
      <w:r w:rsidRPr="00524164" w:rsidR="00A2604E">
        <w:t xml:space="preserve"> </w:t>
      </w:r>
    </w:p>
    <w:p w:rsidR="00824341" w:rsidRPr="00974659" w:rsidP="00824341" w14:paraId="5EB4B068" w14:textId="77777777">
      <w:pPr>
        <w:tabs>
          <w:tab w:val="left" w:pos="7880"/>
        </w:tabs>
        <w:spacing w:line="480" w:lineRule="auto"/>
      </w:pPr>
      <w:r w:rsidRPr="00974659">
        <w:rPr>
          <w:b/>
        </w:rPr>
        <w:t>SUPPLEMENTARY INFORMATION:</w:t>
      </w:r>
      <w:r w:rsidRPr="00974659">
        <w:t xml:space="preserve">  </w:t>
      </w:r>
    </w:p>
    <w:p w:rsidR="00B43A2F" w:rsidP="007C6502" w14:paraId="487762A4" w14:textId="77777777">
      <w:pPr>
        <w:spacing w:line="480" w:lineRule="auto"/>
        <w:rPr>
          <w:i/>
          <w:szCs w:val="26"/>
        </w:rPr>
      </w:pPr>
      <w:r w:rsidRPr="007C6502">
        <w:rPr>
          <w:i/>
          <w:szCs w:val="26"/>
        </w:rPr>
        <w:t xml:space="preserve">Title: </w:t>
      </w:r>
      <w:r w:rsidRPr="00B43A2F">
        <w:rPr>
          <w:szCs w:val="26"/>
        </w:rPr>
        <w:t xml:space="preserve">FERC-725U, Mandatory Reliability Standards for the </w:t>
      </w:r>
      <w:r w:rsidRPr="00B43A2F">
        <w:rPr>
          <w:szCs w:val="26"/>
        </w:rPr>
        <w:br/>
        <w:t>Bulk Power System; CIP Reliability Standards</w:t>
      </w:r>
      <w:r w:rsidRPr="00B43A2F">
        <w:rPr>
          <w:i/>
          <w:szCs w:val="26"/>
        </w:rPr>
        <w:t xml:space="preserve"> </w:t>
      </w:r>
    </w:p>
    <w:p w:rsidR="007C6502" w:rsidRPr="007C6502" w:rsidP="007C6502" w14:paraId="08730992" w14:textId="1C9574CE">
      <w:pPr>
        <w:spacing w:line="480" w:lineRule="auto"/>
        <w:rPr>
          <w:szCs w:val="26"/>
        </w:rPr>
      </w:pPr>
      <w:r w:rsidRPr="007C6502">
        <w:rPr>
          <w:i/>
          <w:szCs w:val="26"/>
        </w:rPr>
        <w:t>OMB Control No.:</w:t>
      </w:r>
      <w:r w:rsidRPr="007C6502">
        <w:rPr>
          <w:szCs w:val="26"/>
        </w:rPr>
        <w:t xml:space="preserve"> </w:t>
      </w:r>
      <w:bookmarkStart w:id="8" w:name="_Hlk111029253"/>
      <w:r w:rsidRPr="00B43A2F" w:rsidR="00B43A2F">
        <w:rPr>
          <w:szCs w:val="26"/>
        </w:rPr>
        <w:t>1902-0274(FERC-725U)</w:t>
      </w:r>
    </w:p>
    <w:bookmarkEnd w:id="8"/>
    <w:p w:rsidR="007C6502" w:rsidRPr="007C6502" w:rsidP="007C6502" w14:paraId="4042E5C3" w14:textId="12E3E484">
      <w:pPr>
        <w:spacing w:line="480" w:lineRule="auto"/>
        <w:rPr>
          <w:szCs w:val="26"/>
        </w:rPr>
      </w:pPr>
      <w:r w:rsidRPr="007C6502">
        <w:rPr>
          <w:i/>
          <w:szCs w:val="26"/>
        </w:rPr>
        <w:t>Type of Request:</w:t>
      </w:r>
      <w:r w:rsidRPr="007C6502">
        <w:rPr>
          <w:szCs w:val="26"/>
        </w:rPr>
        <w:t xml:space="preserve"> </w:t>
      </w:r>
      <w:bookmarkStart w:id="9" w:name="_Hlk112931929"/>
      <w:r w:rsidR="008F17E1">
        <w:rPr>
          <w:szCs w:val="26"/>
        </w:rPr>
        <w:t>A</w:t>
      </w:r>
      <w:r w:rsidRPr="007C6502">
        <w:rPr>
          <w:szCs w:val="26"/>
        </w:rPr>
        <w:t>pproval of the</w:t>
      </w:r>
      <w:r w:rsidR="008F17E1">
        <w:rPr>
          <w:szCs w:val="26"/>
        </w:rPr>
        <w:t xml:space="preserve"> change</w:t>
      </w:r>
      <w:r w:rsidR="001339F1">
        <w:rPr>
          <w:szCs w:val="26"/>
        </w:rPr>
        <w:t xml:space="preserve"> from the removal of </w:t>
      </w:r>
      <w:r w:rsidR="008F17E1">
        <w:rPr>
          <w:szCs w:val="26"/>
        </w:rPr>
        <w:t xml:space="preserve"> the recordkeeping requirement </w:t>
      </w:r>
      <w:r w:rsidR="001339F1">
        <w:rPr>
          <w:szCs w:val="26"/>
        </w:rPr>
        <w:t xml:space="preserve">in </w:t>
      </w:r>
      <w:r w:rsidR="008F17E1">
        <w:rPr>
          <w:szCs w:val="26"/>
        </w:rPr>
        <w:t>(C.1.1.4)</w:t>
      </w:r>
      <w:r w:rsidR="001339F1">
        <w:rPr>
          <w:szCs w:val="26"/>
        </w:rPr>
        <w:t xml:space="preserve"> the currently approved collection</w:t>
      </w:r>
      <w:r w:rsidRPr="005363F8" w:rsidR="005363F8">
        <w:rPr>
          <w:szCs w:val="26"/>
        </w:rPr>
        <w:t>:</w:t>
      </w:r>
      <w:r w:rsidR="001339F1">
        <w:rPr>
          <w:szCs w:val="26"/>
        </w:rPr>
        <w:t xml:space="preserve"> FERC-725U.</w:t>
      </w:r>
      <w:r w:rsidRPr="007C6502">
        <w:rPr>
          <w:szCs w:val="26"/>
        </w:rPr>
        <w:t xml:space="preserve"> </w:t>
      </w:r>
      <w:r w:rsidR="001339F1">
        <w:rPr>
          <w:szCs w:val="26"/>
        </w:rPr>
        <w:t>There are no changes in burden resulting from this change.</w:t>
      </w:r>
    </w:p>
    <w:bookmarkEnd w:id="9"/>
    <w:p w:rsidR="00B43A2F" w:rsidRPr="00B43A2F" w:rsidP="00B43A2F" w14:paraId="631FE610" w14:textId="76075453">
      <w:pPr>
        <w:tabs>
          <w:tab w:val="num" w:pos="720"/>
        </w:tabs>
        <w:spacing w:after="260" w:line="480" w:lineRule="auto"/>
        <w:rPr>
          <w:rFonts w:eastAsiaTheme="minorHAnsi"/>
          <w:szCs w:val="22"/>
        </w:rPr>
      </w:pPr>
      <w:r w:rsidRPr="00B43A2F">
        <w:rPr>
          <w:rFonts w:eastAsiaTheme="minorHAnsi"/>
          <w:i/>
          <w:iCs/>
          <w:szCs w:val="22"/>
        </w:rPr>
        <w:t>Abstract:</w:t>
      </w:r>
      <w:r>
        <w:rPr>
          <w:rFonts w:eastAsiaTheme="minorHAnsi"/>
          <w:szCs w:val="22"/>
        </w:rPr>
        <w:t xml:space="preserve"> </w:t>
      </w:r>
      <w:r w:rsidRPr="00B43A2F">
        <w:rPr>
          <w:rFonts w:eastAsiaTheme="minorHAnsi"/>
          <w:szCs w:val="22"/>
        </w:rPr>
        <w:t xml:space="preserve">In compliance with the requirements of the Paperwork Reduction Act of 1995, </w:t>
      </w:r>
      <w:r w:rsidRPr="00B43A2F">
        <w:rPr>
          <w:rFonts w:eastAsiaTheme="minorHAnsi"/>
          <w:szCs w:val="22"/>
        </w:rPr>
        <w:br/>
        <w:t xml:space="preserve">44 U.S.C. 3506(c)(2)(A), the Commission is soliciting public comment on revisions </w:t>
      </w:r>
      <w:r w:rsidRPr="00B43A2F">
        <w:rPr>
          <w:rFonts w:eastAsiaTheme="minorHAnsi"/>
          <w:szCs w:val="22"/>
        </w:rPr>
        <w:br/>
        <w:t xml:space="preserve">to the information collection </w:t>
      </w:r>
      <w:bookmarkStart w:id="10" w:name="_Hlk111031365"/>
      <w:r w:rsidRPr="00B43A2F">
        <w:rPr>
          <w:rFonts w:eastAsiaTheme="minorHAnsi"/>
          <w:szCs w:val="22"/>
        </w:rPr>
        <w:t xml:space="preserve">FERC-725U, Mandatory Reliability Standards for the </w:t>
      </w:r>
      <w:r w:rsidRPr="00B43A2F">
        <w:rPr>
          <w:rFonts w:eastAsiaTheme="minorHAnsi"/>
          <w:szCs w:val="22"/>
        </w:rPr>
        <w:br/>
        <w:t>Bulk Power System; CIP Reliability Standards</w:t>
      </w:r>
      <w:bookmarkEnd w:id="10"/>
      <w:r w:rsidRPr="00B43A2F">
        <w:rPr>
          <w:rFonts w:eastAsiaTheme="minorHAnsi"/>
          <w:szCs w:val="22"/>
        </w:rPr>
        <w:t>; which will be submitted to the Office of Management and Budget (OMB) for a review of the information collection requirements.  Comments on the collection of information are due</w:t>
      </w:r>
      <w:r w:rsidRPr="00B43A2F">
        <w:rPr>
          <w:rFonts w:eastAsiaTheme="minorHAnsi"/>
          <w:b/>
          <w:szCs w:val="22"/>
        </w:rPr>
        <w:t xml:space="preserve"> </w:t>
      </w:r>
      <w:r w:rsidRPr="00B43A2F">
        <w:rPr>
          <w:rFonts w:eastAsiaTheme="minorHAnsi"/>
          <w:szCs w:val="22"/>
        </w:rPr>
        <w:t xml:space="preserve">within 60 days of the date this order is published in the </w:t>
      </w:r>
      <w:r w:rsidRPr="00B43A2F">
        <w:rPr>
          <w:rFonts w:eastAsiaTheme="minorHAnsi"/>
          <w:i/>
          <w:szCs w:val="22"/>
        </w:rPr>
        <w:t>Federal Register</w:t>
      </w:r>
      <w:r w:rsidRPr="00B43A2F">
        <w:rPr>
          <w:rFonts w:eastAsiaTheme="minorHAnsi"/>
          <w:szCs w:val="22"/>
        </w:rPr>
        <w:t xml:space="preserve">.  Respondents subject to the filing requirements of this order will not be penalized for failing to respond to these collections of information unless the collections of information display a valid OMB control number.  </w:t>
      </w:r>
    </w:p>
    <w:p w:rsidR="00B43A2F" w:rsidRPr="00B43A2F" w:rsidP="00B43A2F" w14:paraId="59C9E45B" w14:textId="77777777">
      <w:pPr>
        <w:tabs>
          <w:tab w:val="num" w:pos="720"/>
        </w:tabs>
        <w:spacing w:after="260" w:line="480" w:lineRule="auto"/>
        <w:rPr>
          <w:rFonts w:eastAsiaTheme="minorHAnsi"/>
          <w:szCs w:val="22"/>
        </w:rPr>
      </w:pPr>
      <w:r w:rsidRPr="00B43A2F">
        <w:rPr>
          <w:rFonts w:eastAsiaTheme="minorHAnsi"/>
          <w:szCs w:val="22"/>
        </w:rPr>
        <w:t>The information collection requirements are subject to review by the OMB under section 3507(d) of the Paperwork Reduction Act of 1995.</w:t>
      </w:r>
      <w:r>
        <w:rPr>
          <w:rFonts w:eastAsiaTheme="minorHAnsi"/>
          <w:b/>
          <w:szCs w:val="22"/>
          <w:vertAlign w:val="superscript"/>
        </w:rPr>
        <w:footnoteReference w:id="3"/>
      </w:r>
      <w:r w:rsidRPr="00B43A2F">
        <w:rPr>
          <w:rFonts w:eastAsiaTheme="minorHAnsi"/>
          <w:szCs w:val="22"/>
        </w:rPr>
        <w:t xml:space="preserve">  OMB’s regulations require approval of certain information collection requirements imposed by agency rules.</w:t>
      </w:r>
      <w:r>
        <w:rPr>
          <w:rFonts w:eastAsiaTheme="minorHAnsi"/>
          <w:b/>
          <w:szCs w:val="22"/>
          <w:vertAlign w:val="superscript"/>
        </w:rPr>
        <w:footnoteReference w:id="4"/>
      </w:r>
      <w:r w:rsidRPr="00B43A2F">
        <w:rPr>
          <w:rFonts w:eastAsiaTheme="minorHAnsi"/>
          <w:szCs w:val="22"/>
        </w:rPr>
        <w:t xml:space="preserve">  The Commission solicits comments on the Commission’s need for this information, whether the information will have practical utility, the accuracy of the burden estimates, ways to enhance the quality, utility, and clarity of the information to be collected or retained, and any suggested methods for minimizing respondents’ burden, including the use of automated information techniques. </w:t>
      </w:r>
    </w:p>
    <w:p w:rsidR="00B43A2F" w:rsidRPr="00B43A2F" w:rsidP="00B43A2F" w14:paraId="314A4A28" w14:textId="77777777">
      <w:pPr>
        <w:tabs>
          <w:tab w:val="num" w:pos="720"/>
        </w:tabs>
        <w:spacing w:after="260" w:line="480" w:lineRule="auto"/>
        <w:rPr>
          <w:rFonts w:eastAsiaTheme="minorHAnsi"/>
          <w:szCs w:val="22"/>
        </w:rPr>
      </w:pPr>
      <w:r w:rsidRPr="00B43A2F">
        <w:rPr>
          <w:rFonts w:eastAsiaTheme="minorHAnsi"/>
          <w:szCs w:val="22"/>
        </w:rPr>
        <w:t>The number of respondents below is based on an estimate of the NERC compliance registry for transmission owners and transmission operator.  The Commission based its paperwork burden estimates on the NERC compliance registry as of May 6, 2022.  According to the registry, there are 326 transmission owners and 18 transmission operators not also registered as transmission owners.  The estimate is based on a zero change in burden from the current standard to the standard approved in this Order.  The Commission based the burden estimate on staff experience, knowledge, and expertise.</w:t>
      </w:r>
    </w:p>
    <w:p w:rsidR="00B43A2F" w:rsidP="00B43A2F" w14:paraId="0A0BA4DF" w14:textId="4733C26C">
      <w:pPr>
        <w:tabs>
          <w:tab w:val="num" w:pos="720"/>
        </w:tabs>
        <w:spacing w:after="260" w:line="480" w:lineRule="auto"/>
        <w:rPr>
          <w:rFonts w:eastAsiaTheme="minorHAnsi"/>
          <w:szCs w:val="22"/>
        </w:rPr>
      </w:pPr>
      <w:r w:rsidRPr="00B43A2F">
        <w:rPr>
          <w:rFonts w:eastAsiaTheme="minorHAnsi"/>
          <w:szCs w:val="22"/>
        </w:rPr>
        <w:t xml:space="preserve">For the new Reliability Standard CIP-014-3, the burden for entities remains the same as they will still need to provide the same evidence to demonstrate compliance whether it is </w:t>
      </w:r>
      <w:r w:rsidRPr="00B43A2F">
        <w:rPr>
          <w:rFonts w:eastAsiaTheme="minorHAnsi"/>
          <w:szCs w:val="22"/>
        </w:rPr>
        <w:t>kept on-site or loaded electronically into the SEL.  No comments were received that expressed a change in the manhour burden associated with the use of SEL.</w:t>
      </w:r>
    </w:p>
    <w:p w:rsidR="00B43A2F" w:rsidRPr="00B43A2F" w:rsidP="00B43A2F" w14:paraId="3EF08FF6" w14:textId="77777777">
      <w:pPr>
        <w:tabs>
          <w:tab w:val="num" w:pos="720"/>
        </w:tabs>
        <w:spacing w:after="260" w:line="480" w:lineRule="auto"/>
        <w:rPr>
          <w:rFonts w:eastAsiaTheme="minorHAnsi"/>
          <w:szCs w:val="22"/>
        </w:rPr>
      </w:pPr>
      <w:r w:rsidRPr="00B43A2F">
        <w:rPr>
          <w:rFonts w:eastAsiaTheme="minorHAnsi"/>
          <w:szCs w:val="22"/>
          <w:u w:val="single"/>
        </w:rPr>
        <w:t>Respondents</w:t>
      </w:r>
      <w:r w:rsidRPr="00B43A2F">
        <w:rPr>
          <w:rFonts w:eastAsiaTheme="minorHAnsi"/>
          <w:szCs w:val="22"/>
        </w:rPr>
        <w:t>:</w:t>
      </w:r>
      <w:r w:rsidRPr="00B43A2F">
        <w:rPr>
          <w:rFonts w:eastAsiaTheme="minorHAnsi"/>
          <w:i/>
          <w:szCs w:val="22"/>
        </w:rPr>
        <w:t xml:space="preserve">  </w:t>
      </w:r>
      <w:r w:rsidRPr="00B43A2F">
        <w:rPr>
          <w:rFonts w:eastAsiaTheme="minorHAnsi"/>
          <w:szCs w:val="22"/>
        </w:rPr>
        <w:t>Business or other for profit, and not for profit institutions.</w:t>
      </w:r>
    </w:p>
    <w:p w:rsidR="00B43A2F" w:rsidRPr="00B43A2F" w:rsidP="00B43A2F" w14:paraId="2DCFA82F" w14:textId="77777777">
      <w:pPr>
        <w:tabs>
          <w:tab w:val="num" w:pos="720"/>
        </w:tabs>
        <w:spacing w:after="260" w:line="480" w:lineRule="auto"/>
        <w:rPr>
          <w:rFonts w:eastAsiaTheme="minorHAnsi"/>
          <w:szCs w:val="22"/>
        </w:rPr>
      </w:pPr>
      <w:r w:rsidRPr="00B43A2F">
        <w:rPr>
          <w:rFonts w:eastAsiaTheme="minorHAnsi"/>
          <w:szCs w:val="22"/>
          <w:u w:val="single"/>
        </w:rPr>
        <w:t>Frequency of Responses</w:t>
      </w:r>
      <w:r w:rsidRPr="00B43A2F">
        <w:rPr>
          <w:rFonts w:eastAsiaTheme="minorHAnsi"/>
          <w:szCs w:val="22"/>
        </w:rPr>
        <w:t xml:space="preserve">:  On occasion. </w:t>
      </w:r>
    </w:p>
    <w:p w:rsidR="00B43A2F" w:rsidRPr="00B43A2F" w:rsidP="00B43A2F" w14:paraId="1273E86C" w14:textId="77777777">
      <w:pPr>
        <w:tabs>
          <w:tab w:val="num" w:pos="720"/>
        </w:tabs>
        <w:spacing w:after="260" w:line="480" w:lineRule="auto"/>
        <w:rPr>
          <w:rFonts w:eastAsiaTheme="minorHAnsi"/>
          <w:szCs w:val="22"/>
        </w:rPr>
      </w:pPr>
      <w:r w:rsidRPr="00B43A2F">
        <w:rPr>
          <w:rFonts w:eastAsiaTheme="minorHAnsi"/>
          <w:szCs w:val="22"/>
          <w:u w:val="single"/>
        </w:rPr>
        <w:t>Necessity of the Information</w:t>
      </w:r>
      <w:r w:rsidRPr="00B43A2F">
        <w:rPr>
          <w:rFonts w:eastAsiaTheme="minorHAnsi"/>
          <w:szCs w:val="22"/>
        </w:rPr>
        <w:t>:</w:t>
      </w:r>
      <w:r w:rsidRPr="00B43A2F">
        <w:rPr>
          <w:rFonts w:eastAsiaTheme="minorHAnsi"/>
          <w:i/>
          <w:szCs w:val="22"/>
        </w:rPr>
        <w:t xml:space="preserve">  </w:t>
      </w:r>
      <w:r w:rsidRPr="00B43A2F">
        <w:rPr>
          <w:rFonts w:eastAsiaTheme="minorHAnsi"/>
          <w:iCs/>
          <w:szCs w:val="22"/>
        </w:rPr>
        <w:t>Reliability Standard CIP-014-3 (Physical Security) is part of the implementation of the Congressional mandate of the Energy Policy Act of 2005 to develop mandatory and enforceable Reliability Standards to better ensure the reliability of the nation’s Bulk Power system.  Specifically, the revised standard only changes the how the evidence is stored.</w:t>
      </w:r>
      <w:r w:rsidRPr="00B43A2F">
        <w:rPr>
          <w:rFonts w:eastAsiaTheme="minorHAnsi"/>
          <w:szCs w:val="22"/>
        </w:rPr>
        <w:t xml:space="preserve">   </w:t>
      </w:r>
    </w:p>
    <w:p w:rsidR="00B43A2F" w:rsidRPr="00B43A2F" w:rsidP="00B43A2F" w14:paraId="27B67E48" w14:textId="566C57B8">
      <w:pPr>
        <w:tabs>
          <w:tab w:val="num" w:pos="720"/>
        </w:tabs>
        <w:spacing w:after="260" w:line="480" w:lineRule="auto"/>
        <w:rPr>
          <w:rFonts w:eastAsiaTheme="minorHAnsi"/>
          <w:szCs w:val="22"/>
        </w:rPr>
      </w:pPr>
      <w:r w:rsidRPr="00B43A2F">
        <w:rPr>
          <w:rFonts w:eastAsiaTheme="minorHAnsi"/>
          <w:szCs w:val="22"/>
          <w:u w:val="single"/>
        </w:rPr>
        <w:t>Internal review</w:t>
      </w:r>
      <w:r w:rsidRPr="00B43A2F">
        <w:rPr>
          <w:rFonts w:eastAsiaTheme="minorHAnsi"/>
          <w:szCs w:val="22"/>
        </w:rPr>
        <w:t>:</w:t>
      </w:r>
      <w:r w:rsidRPr="00B43A2F">
        <w:rPr>
          <w:rFonts w:eastAsiaTheme="minorHAnsi"/>
          <w:i/>
          <w:szCs w:val="22"/>
        </w:rPr>
        <w:t xml:space="preserve">  </w:t>
      </w:r>
      <w:r w:rsidRPr="00B43A2F">
        <w:rPr>
          <w:rFonts w:eastAsiaTheme="minorHAnsi"/>
          <w:szCs w:val="22"/>
        </w:rPr>
        <w:t xml:space="preserve">The Commission has reviewed NERC’s proposal and determined that its action is necessary to implement section 215 of the FPA.  </w:t>
      </w:r>
    </w:p>
    <w:p w:rsidR="00B43A2F" w:rsidRPr="00B43A2F" w:rsidP="00B43A2F" w14:paraId="7BC0A54C" w14:textId="77777777">
      <w:pPr>
        <w:tabs>
          <w:tab w:val="num" w:pos="720"/>
        </w:tabs>
        <w:spacing w:after="260" w:line="480" w:lineRule="auto"/>
        <w:rPr>
          <w:rFonts w:eastAsiaTheme="minorHAnsi"/>
          <w:szCs w:val="22"/>
        </w:rPr>
      </w:pPr>
      <w:r w:rsidRPr="00B43A2F">
        <w:rPr>
          <w:rFonts w:eastAsiaTheme="minorHAnsi"/>
          <w:szCs w:val="22"/>
        </w:rPr>
        <w:t>Burden Estimates:  The Commission estimates the changes in the annual public reporting burden and cost</w:t>
      </w:r>
      <w:r>
        <w:rPr>
          <w:rFonts w:eastAsiaTheme="minorHAnsi"/>
          <w:b/>
          <w:szCs w:val="22"/>
          <w:vertAlign w:val="superscript"/>
        </w:rPr>
        <w:footnoteReference w:id="5"/>
      </w:r>
      <w:r w:rsidRPr="00B43A2F">
        <w:rPr>
          <w:rFonts w:eastAsiaTheme="minorHAnsi"/>
          <w:szCs w:val="22"/>
        </w:rPr>
        <w:t xml:space="preserve"> as indicated below:</w:t>
      </w:r>
    </w:p>
    <w:tbl>
      <w:tblPr>
        <w:tblW w:w="543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9"/>
        <w:gridCol w:w="1603"/>
        <w:gridCol w:w="1627"/>
        <w:gridCol w:w="1313"/>
        <w:gridCol w:w="1208"/>
        <w:gridCol w:w="1313"/>
        <w:gridCol w:w="1430"/>
      </w:tblGrid>
      <w:tr w14:paraId="00F7FC1A" w14:textId="77777777" w:rsidTr="00F30447">
        <w:tblPrEx>
          <w:tblW w:w="5435"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531"/>
        </w:trPr>
        <w:tc>
          <w:tcPr>
            <w:tcW w:w="5000" w:type="pct"/>
            <w:gridSpan w:val="7"/>
            <w:tcBorders>
              <w:top w:val="single" w:sz="4" w:space="0" w:color="auto"/>
              <w:left w:val="single" w:sz="4" w:space="0" w:color="auto"/>
              <w:bottom w:val="single" w:sz="4" w:space="0" w:color="auto"/>
              <w:right w:val="single" w:sz="4" w:space="0" w:color="auto"/>
            </w:tcBorders>
            <w:shd w:val="clear" w:color="auto" w:fill="D9D9D9"/>
            <w:hideMark/>
          </w:tcPr>
          <w:p w:rsidR="00B43A2F" w:rsidRPr="00B43A2F" w:rsidP="00B43A2F" w14:paraId="28924DD8" w14:textId="77777777">
            <w:pPr>
              <w:jc w:val="center"/>
              <w:rPr>
                <w:b/>
                <w:bCs/>
                <w:color w:val="000000"/>
                <w:sz w:val="24"/>
              </w:rPr>
            </w:pPr>
            <w:r w:rsidRPr="00B43A2F">
              <w:rPr>
                <w:rFonts w:eastAsia="Calibri"/>
                <w:b/>
                <w:sz w:val="24"/>
              </w:rPr>
              <w:t>FERC-725U: (Mandatory Reliability Standards: Reliability Standard CIP-014</w:t>
            </w:r>
            <w:r w:rsidRPr="00B43A2F">
              <w:rPr>
                <w:b/>
                <w:bCs/>
                <w:color w:val="000000"/>
                <w:sz w:val="24"/>
              </w:rPr>
              <w:t>)</w:t>
            </w:r>
          </w:p>
          <w:p w:rsidR="00B43A2F" w:rsidRPr="00B43A2F" w:rsidP="00B43A2F" w14:paraId="0FC12D6A" w14:textId="77777777">
            <w:pPr>
              <w:jc w:val="center"/>
              <w:rPr>
                <w:rFonts w:eastAsia="Calibri"/>
                <w:b/>
                <w:sz w:val="24"/>
              </w:rPr>
            </w:pPr>
            <w:r w:rsidRPr="00B43A2F">
              <w:rPr>
                <w:b/>
                <w:bCs/>
                <w:color w:val="000000"/>
                <w:sz w:val="24"/>
              </w:rPr>
              <w:t xml:space="preserve">Change in Burden </w:t>
            </w:r>
          </w:p>
        </w:tc>
      </w:tr>
      <w:tr w14:paraId="23616309" w14:textId="77777777" w:rsidTr="00F30447">
        <w:tblPrEx>
          <w:tblW w:w="5435" w:type="pct"/>
          <w:tblInd w:w="-185" w:type="dxa"/>
          <w:tblLook w:val="01E0"/>
        </w:tblPrEx>
        <w:trPr>
          <w:cantSplit/>
          <w:trHeight w:val="1907"/>
        </w:trPr>
        <w:tc>
          <w:tcPr>
            <w:tcW w:w="835" w:type="pct"/>
            <w:tcBorders>
              <w:top w:val="single" w:sz="4" w:space="0" w:color="auto"/>
              <w:left w:val="single" w:sz="4" w:space="0" w:color="auto"/>
              <w:bottom w:val="single" w:sz="4" w:space="0" w:color="auto"/>
              <w:right w:val="single" w:sz="4" w:space="0" w:color="auto"/>
            </w:tcBorders>
            <w:shd w:val="clear" w:color="auto" w:fill="D9D9D9"/>
          </w:tcPr>
          <w:p w:rsidR="00B43A2F" w:rsidRPr="00B43A2F" w:rsidP="00B43A2F" w14:paraId="448F1496" w14:textId="77777777">
            <w:pPr>
              <w:jc w:val="center"/>
              <w:rPr>
                <w:rFonts w:eastAsia="Calibri"/>
                <w:b/>
                <w:bCs/>
                <w:sz w:val="24"/>
              </w:rPr>
            </w:pPr>
            <w:r w:rsidRPr="00B43A2F">
              <w:rPr>
                <w:rFonts w:eastAsia="Calibri"/>
                <w:sz w:val="24"/>
              </w:rPr>
              <w:br/>
            </w:r>
            <w:r w:rsidRPr="00B43A2F">
              <w:rPr>
                <w:rFonts w:eastAsia="Calibri"/>
                <w:sz w:val="24"/>
              </w:rPr>
              <w:br/>
            </w:r>
            <w:r w:rsidRPr="00B43A2F">
              <w:rPr>
                <w:rFonts w:eastAsia="Calibri"/>
                <w:sz w:val="24"/>
              </w:rPr>
              <w:br/>
            </w:r>
            <w:r w:rsidRPr="00B43A2F">
              <w:rPr>
                <w:rFonts w:eastAsia="Calibri"/>
                <w:sz w:val="24"/>
              </w:rPr>
              <w:br/>
            </w:r>
          </w:p>
        </w:tc>
        <w:tc>
          <w:tcPr>
            <w:tcW w:w="670"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43A2F" w:rsidRPr="00B43A2F" w:rsidP="00B43A2F" w14:paraId="40159F9A" w14:textId="77777777">
            <w:pPr>
              <w:jc w:val="center"/>
              <w:rPr>
                <w:rFonts w:eastAsia="Calibri"/>
                <w:b/>
                <w:sz w:val="24"/>
              </w:rPr>
            </w:pPr>
            <w:r w:rsidRPr="00B43A2F">
              <w:rPr>
                <w:rFonts w:eastAsia="Calibri"/>
                <w:b/>
                <w:sz w:val="24"/>
              </w:rPr>
              <w:t>Number of Respondents</w:t>
            </w:r>
            <w:r>
              <w:rPr>
                <w:rFonts w:eastAsia="Calibri"/>
                <w:b/>
                <w:sz w:val="24"/>
                <w:vertAlign w:val="superscript"/>
              </w:rPr>
              <w:footnoteReference w:id="6"/>
            </w:r>
            <w:r w:rsidRPr="00B43A2F">
              <w:rPr>
                <w:rFonts w:eastAsia="Calibri"/>
                <w:b/>
                <w:sz w:val="24"/>
              </w:rPr>
              <w:br/>
              <w:t>(1)</w:t>
            </w:r>
          </w:p>
        </w:tc>
        <w:tc>
          <w:tcPr>
            <w:tcW w:w="861"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43A2F" w:rsidRPr="00B43A2F" w:rsidP="00B43A2F" w14:paraId="1898A579" w14:textId="77777777">
            <w:pPr>
              <w:jc w:val="center"/>
              <w:rPr>
                <w:rFonts w:eastAsia="Calibri"/>
                <w:b/>
                <w:sz w:val="24"/>
              </w:rPr>
            </w:pPr>
            <w:r w:rsidRPr="00B43A2F">
              <w:rPr>
                <w:rFonts w:eastAsia="Calibri"/>
                <w:b/>
                <w:sz w:val="24"/>
              </w:rPr>
              <w:t>Number of Responses per Respondent</w:t>
            </w:r>
          </w:p>
          <w:p w:rsidR="00B43A2F" w:rsidRPr="00B43A2F" w:rsidP="00B43A2F" w14:paraId="3310D438" w14:textId="77777777">
            <w:pPr>
              <w:jc w:val="center"/>
              <w:rPr>
                <w:rFonts w:eastAsia="Calibri"/>
                <w:b/>
                <w:sz w:val="24"/>
              </w:rPr>
            </w:pPr>
            <w:r w:rsidRPr="00B43A2F">
              <w:rPr>
                <w:rFonts w:eastAsia="Calibri"/>
                <w:b/>
                <w:sz w:val="24"/>
              </w:rPr>
              <w:t>(2)</w:t>
            </w:r>
          </w:p>
        </w:tc>
        <w:tc>
          <w:tcPr>
            <w:tcW w:w="6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43A2F" w:rsidRPr="00B43A2F" w:rsidP="00B43A2F" w14:paraId="27AA4A34" w14:textId="77777777">
            <w:pPr>
              <w:jc w:val="center"/>
              <w:rPr>
                <w:rFonts w:eastAsia="Calibri"/>
                <w:b/>
                <w:sz w:val="24"/>
              </w:rPr>
            </w:pPr>
            <w:r w:rsidRPr="00B43A2F">
              <w:rPr>
                <w:rFonts w:eastAsia="Calibri"/>
                <w:b/>
                <w:sz w:val="24"/>
              </w:rPr>
              <w:t>Total Number of Responses (1)*(2)=(3)</w:t>
            </w:r>
          </w:p>
        </w:tc>
        <w:tc>
          <w:tcPr>
            <w:tcW w:w="638"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43A2F" w:rsidRPr="00B43A2F" w:rsidP="00B43A2F" w14:paraId="4AED68E8" w14:textId="77777777">
            <w:pPr>
              <w:jc w:val="center"/>
              <w:rPr>
                <w:rFonts w:eastAsia="Calibri"/>
                <w:b/>
                <w:sz w:val="24"/>
              </w:rPr>
            </w:pPr>
            <w:r w:rsidRPr="00B43A2F">
              <w:rPr>
                <w:rFonts w:eastAsia="Calibri"/>
                <w:b/>
                <w:sz w:val="24"/>
              </w:rPr>
              <w:t>Average Burden Hours &amp; Cost Per Response</w:t>
            </w:r>
          </w:p>
          <w:p w:rsidR="00B43A2F" w:rsidRPr="00B43A2F" w:rsidP="00B43A2F" w14:paraId="10DE7915" w14:textId="77777777">
            <w:pPr>
              <w:jc w:val="center"/>
              <w:rPr>
                <w:rFonts w:eastAsia="Calibri"/>
                <w:b/>
                <w:sz w:val="24"/>
              </w:rPr>
            </w:pPr>
            <w:r w:rsidRPr="00B43A2F">
              <w:rPr>
                <w:rFonts w:eastAsia="Calibri"/>
                <w:b/>
                <w:sz w:val="24"/>
              </w:rPr>
              <w:t>(4)</w:t>
            </w:r>
          </w:p>
        </w:tc>
        <w:tc>
          <w:tcPr>
            <w:tcW w:w="646" w:type="pct"/>
            <w:tcBorders>
              <w:top w:val="single" w:sz="4" w:space="0" w:color="auto"/>
              <w:left w:val="single" w:sz="4" w:space="0" w:color="auto"/>
              <w:bottom w:val="single" w:sz="4" w:space="0" w:color="auto"/>
              <w:right w:val="single" w:sz="4" w:space="0" w:color="auto"/>
            </w:tcBorders>
            <w:shd w:val="clear" w:color="auto" w:fill="D9D9D9"/>
            <w:vAlign w:val="bottom"/>
            <w:hideMark/>
          </w:tcPr>
          <w:p w:rsidR="00B43A2F" w:rsidRPr="00B43A2F" w:rsidP="00B43A2F" w14:paraId="41D7C437" w14:textId="77777777">
            <w:pPr>
              <w:jc w:val="center"/>
              <w:rPr>
                <w:rFonts w:eastAsia="Calibri"/>
                <w:b/>
                <w:sz w:val="24"/>
              </w:rPr>
            </w:pPr>
            <w:r w:rsidRPr="00B43A2F">
              <w:rPr>
                <w:rFonts w:eastAsia="Calibri"/>
                <w:b/>
                <w:sz w:val="24"/>
              </w:rPr>
              <w:t>Total Burden Hours &amp; Total Cost</w:t>
            </w:r>
          </w:p>
          <w:p w:rsidR="00B43A2F" w:rsidRPr="00B43A2F" w:rsidP="00B43A2F" w14:paraId="0D8F448E" w14:textId="77777777">
            <w:pPr>
              <w:jc w:val="center"/>
              <w:rPr>
                <w:rFonts w:eastAsia="Calibri"/>
                <w:b/>
                <w:sz w:val="24"/>
              </w:rPr>
            </w:pPr>
            <w:r w:rsidRPr="00B43A2F">
              <w:rPr>
                <w:rFonts w:eastAsia="Calibri"/>
                <w:b/>
                <w:sz w:val="24"/>
              </w:rPr>
              <w:t>(3)*(4)=(5)</w:t>
            </w:r>
          </w:p>
        </w:tc>
        <w:tc>
          <w:tcPr>
            <w:tcW w:w="704" w:type="pct"/>
            <w:tcBorders>
              <w:top w:val="single" w:sz="4" w:space="0" w:color="auto"/>
              <w:left w:val="single" w:sz="4" w:space="0" w:color="auto"/>
              <w:bottom w:val="single" w:sz="4" w:space="0" w:color="auto"/>
              <w:right w:val="single" w:sz="4" w:space="0" w:color="auto"/>
            </w:tcBorders>
            <w:shd w:val="clear" w:color="auto" w:fill="D9D9D9"/>
            <w:vAlign w:val="bottom"/>
          </w:tcPr>
          <w:p w:rsidR="00B43A2F" w:rsidRPr="00B43A2F" w:rsidP="00B43A2F" w14:paraId="4C45B581" w14:textId="77777777">
            <w:pPr>
              <w:jc w:val="center"/>
              <w:rPr>
                <w:rFonts w:eastAsia="Calibri"/>
                <w:b/>
                <w:sz w:val="24"/>
              </w:rPr>
            </w:pPr>
            <w:r w:rsidRPr="00B43A2F">
              <w:rPr>
                <w:rFonts w:eastAsia="Calibri"/>
                <w:b/>
                <w:sz w:val="24"/>
              </w:rPr>
              <w:t>Average Cost per Respondent</w:t>
            </w:r>
          </w:p>
          <w:p w:rsidR="00B43A2F" w:rsidRPr="00B43A2F" w:rsidP="00B43A2F" w14:paraId="2950FF5D" w14:textId="77777777">
            <w:pPr>
              <w:jc w:val="center"/>
              <w:rPr>
                <w:rFonts w:eastAsia="Calibri"/>
                <w:b/>
                <w:sz w:val="24"/>
              </w:rPr>
            </w:pPr>
            <w:r w:rsidRPr="00B43A2F">
              <w:rPr>
                <w:rFonts w:eastAsia="Calibri"/>
                <w:b/>
                <w:sz w:val="24"/>
              </w:rPr>
              <w:t>(5)÷(1)</w:t>
            </w:r>
          </w:p>
        </w:tc>
      </w:tr>
      <w:tr w14:paraId="7882F81C" w14:textId="77777777" w:rsidTr="00F30447">
        <w:tblPrEx>
          <w:tblW w:w="5435" w:type="pct"/>
          <w:tblInd w:w="-185" w:type="dxa"/>
          <w:tblLook w:val="01E0"/>
        </w:tblPrEx>
        <w:trPr>
          <w:cantSplit/>
          <w:trHeight w:val="566"/>
        </w:trPr>
        <w:tc>
          <w:tcPr>
            <w:tcW w:w="835" w:type="pct"/>
            <w:tcBorders>
              <w:top w:val="single" w:sz="4" w:space="0" w:color="auto"/>
              <w:left w:val="single" w:sz="4" w:space="0" w:color="auto"/>
              <w:bottom w:val="single" w:sz="4" w:space="0" w:color="auto"/>
              <w:right w:val="single" w:sz="4" w:space="0" w:color="auto"/>
            </w:tcBorders>
          </w:tcPr>
          <w:p w:rsidR="00B43A2F" w:rsidRPr="00B43A2F" w:rsidP="00B43A2F" w14:paraId="6A211859" w14:textId="77777777">
            <w:pPr>
              <w:widowControl w:val="0"/>
              <w:autoSpaceDE w:val="0"/>
              <w:autoSpaceDN w:val="0"/>
              <w:adjustRightInd w:val="0"/>
              <w:jc w:val="right"/>
              <w:rPr>
                <w:sz w:val="24"/>
              </w:rPr>
            </w:pPr>
            <w:r w:rsidRPr="00B43A2F">
              <w:rPr>
                <w:sz w:val="24"/>
              </w:rPr>
              <w:t xml:space="preserve"> Change Annual Reporting and Recordkeeping </w:t>
            </w:r>
          </w:p>
        </w:tc>
        <w:tc>
          <w:tcPr>
            <w:tcW w:w="670" w:type="pct"/>
            <w:tcBorders>
              <w:top w:val="single" w:sz="4" w:space="0" w:color="auto"/>
              <w:left w:val="single" w:sz="4" w:space="0" w:color="auto"/>
              <w:bottom w:val="single" w:sz="4" w:space="0" w:color="auto"/>
              <w:right w:val="single" w:sz="4" w:space="0" w:color="auto"/>
            </w:tcBorders>
          </w:tcPr>
          <w:p w:rsidR="00B43A2F" w:rsidRPr="00B43A2F" w:rsidP="00B43A2F" w14:paraId="12B0047F" w14:textId="77777777">
            <w:pPr>
              <w:jc w:val="right"/>
              <w:rPr>
                <w:rFonts w:eastAsia="Calibri"/>
                <w:sz w:val="24"/>
              </w:rPr>
            </w:pPr>
            <w:r w:rsidRPr="00B43A2F">
              <w:rPr>
                <w:rFonts w:eastAsia="Calibri"/>
                <w:sz w:val="24"/>
              </w:rPr>
              <w:t>344</w:t>
            </w:r>
          </w:p>
          <w:p w:rsidR="00B43A2F" w:rsidRPr="00B43A2F" w:rsidP="00B43A2F" w14:paraId="05A940C6" w14:textId="77777777">
            <w:pPr>
              <w:widowControl w:val="0"/>
              <w:autoSpaceDE w:val="0"/>
              <w:autoSpaceDN w:val="0"/>
              <w:adjustRightInd w:val="0"/>
              <w:jc w:val="right"/>
              <w:rPr>
                <w:sz w:val="24"/>
              </w:rPr>
            </w:pPr>
          </w:p>
        </w:tc>
        <w:tc>
          <w:tcPr>
            <w:tcW w:w="861" w:type="pct"/>
            <w:tcBorders>
              <w:top w:val="single" w:sz="4" w:space="0" w:color="auto"/>
              <w:left w:val="single" w:sz="4" w:space="0" w:color="auto"/>
              <w:bottom w:val="single" w:sz="4" w:space="0" w:color="auto"/>
              <w:right w:val="single" w:sz="4" w:space="0" w:color="auto"/>
            </w:tcBorders>
          </w:tcPr>
          <w:p w:rsidR="00B43A2F" w:rsidRPr="00B43A2F" w:rsidP="00B43A2F" w14:paraId="4926AE17" w14:textId="77777777">
            <w:pPr>
              <w:widowControl w:val="0"/>
              <w:autoSpaceDE w:val="0"/>
              <w:autoSpaceDN w:val="0"/>
              <w:adjustRightInd w:val="0"/>
              <w:jc w:val="right"/>
              <w:rPr>
                <w:sz w:val="24"/>
              </w:rPr>
            </w:pPr>
            <w:r w:rsidRPr="00B43A2F">
              <w:rPr>
                <w:rFonts w:eastAsia="Calibri"/>
                <w:sz w:val="24"/>
              </w:rPr>
              <w:t>1</w:t>
            </w:r>
          </w:p>
        </w:tc>
        <w:tc>
          <w:tcPr>
            <w:tcW w:w="646" w:type="pct"/>
            <w:tcBorders>
              <w:top w:val="single" w:sz="4" w:space="0" w:color="auto"/>
              <w:left w:val="single" w:sz="4" w:space="0" w:color="auto"/>
              <w:bottom w:val="single" w:sz="4" w:space="0" w:color="auto"/>
              <w:right w:val="single" w:sz="4" w:space="0" w:color="auto"/>
            </w:tcBorders>
          </w:tcPr>
          <w:p w:rsidR="00B43A2F" w:rsidRPr="00B43A2F" w:rsidP="00B43A2F" w14:paraId="6BF1911A" w14:textId="77777777">
            <w:pPr>
              <w:widowControl w:val="0"/>
              <w:autoSpaceDE w:val="0"/>
              <w:autoSpaceDN w:val="0"/>
              <w:adjustRightInd w:val="0"/>
              <w:jc w:val="right"/>
              <w:rPr>
                <w:sz w:val="24"/>
              </w:rPr>
            </w:pPr>
            <w:r w:rsidRPr="00B43A2F">
              <w:rPr>
                <w:sz w:val="24"/>
              </w:rPr>
              <w:t>344</w:t>
            </w:r>
          </w:p>
        </w:tc>
        <w:tc>
          <w:tcPr>
            <w:tcW w:w="638" w:type="pct"/>
            <w:tcBorders>
              <w:top w:val="single" w:sz="4" w:space="0" w:color="auto"/>
              <w:left w:val="single" w:sz="4" w:space="0" w:color="auto"/>
              <w:bottom w:val="single" w:sz="4" w:space="0" w:color="auto"/>
              <w:right w:val="single" w:sz="4" w:space="0" w:color="auto"/>
            </w:tcBorders>
          </w:tcPr>
          <w:p w:rsidR="00B43A2F" w:rsidRPr="00B43A2F" w:rsidP="00B43A2F" w14:paraId="2D58901A" w14:textId="44D5423D">
            <w:pPr>
              <w:widowControl w:val="0"/>
              <w:autoSpaceDE w:val="0"/>
              <w:autoSpaceDN w:val="0"/>
              <w:adjustRightInd w:val="0"/>
              <w:jc w:val="right"/>
              <w:rPr>
                <w:rFonts w:eastAsia="Calibri"/>
                <w:sz w:val="24"/>
              </w:rPr>
            </w:pPr>
            <w:r w:rsidRPr="00B43A2F">
              <w:rPr>
                <w:rFonts w:eastAsia="Calibri"/>
                <w:sz w:val="24"/>
              </w:rPr>
              <w:t>32.71 hrs.;</w:t>
            </w:r>
          </w:p>
          <w:p w:rsidR="00B43A2F" w:rsidRPr="00B43A2F" w:rsidP="00B43A2F" w14:paraId="399D0073" w14:textId="77777777">
            <w:pPr>
              <w:widowControl w:val="0"/>
              <w:autoSpaceDE w:val="0"/>
              <w:autoSpaceDN w:val="0"/>
              <w:adjustRightInd w:val="0"/>
              <w:jc w:val="right"/>
              <w:rPr>
                <w:sz w:val="24"/>
              </w:rPr>
            </w:pPr>
            <w:r w:rsidRPr="00B43A2F">
              <w:rPr>
                <w:rFonts w:eastAsia="Calibri"/>
                <w:sz w:val="24"/>
              </w:rPr>
              <w:t>$2,845.77</w:t>
            </w:r>
          </w:p>
        </w:tc>
        <w:tc>
          <w:tcPr>
            <w:tcW w:w="646" w:type="pct"/>
            <w:tcBorders>
              <w:top w:val="single" w:sz="4" w:space="0" w:color="auto"/>
              <w:left w:val="single" w:sz="4" w:space="0" w:color="auto"/>
              <w:bottom w:val="single" w:sz="4" w:space="0" w:color="auto"/>
              <w:right w:val="single" w:sz="4" w:space="0" w:color="auto"/>
            </w:tcBorders>
          </w:tcPr>
          <w:p w:rsidR="00B43A2F" w:rsidRPr="00B43A2F" w:rsidP="00B43A2F" w14:paraId="57270ECC" w14:textId="77777777">
            <w:pPr>
              <w:widowControl w:val="0"/>
              <w:autoSpaceDE w:val="0"/>
              <w:autoSpaceDN w:val="0"/>
              <w:adjustRightInd w:val="0"/>
              <w:ind w:left="-108"/>
              <w:jc w:val="right"/>
              <w:rPr>
                <w:rFonts w:eastAsia="Calibri"/>
                <w:sz w:val="24"/>
              </w:rPr>
            </w:pPr>
            <w:r w:rsidRPr="00B43A2F">
              <w:rPr>
                <w:rFonts w:eastAsia="Calibri"/>
                <w:sz w:val="24"/>
              </w:rPr>
              <w:t>11,252.24 hrs.;</w:t>
            </w:r>
          </w:p>
          <w:p w:rsidR="00B43A2F" w:rsidRPr="00B43A2F" w:rsidP="00B43A2F" w14:paraId="106F8BD8" w14:textId="7178A334">
            <w:pPr>
              <w:widowControl w:val="0"/>
              <w:autoSpaceDE w:val="0"/>
              <w:autoSpaceDN w:val="0"/>
              <w:adjustRightInd w:val="0"/>
              <w:ind w:left="-108"/>
              <w:jc w:val="right"/>
              <w:rPr>
                <w:sz w:val="24"/>
              </w:rPr>
            </w:pPr>
            <w:r w:rsidRPr="00B43A2F">
              <w:rPr>
                <w:sz w:val="24"/>
              </w:rPr>
              <w:t>$978,944.88</w:t>
            </w:r>
          </w:p>
        </w:tc>
        <w:tc>
          <w:tcPr>
            <w:tcW w:w="704" w:type="pct"/>
            <w:tcBorders>
              <w:top w:val="single" w:sz="4" w:space="0" w:color="auto"/>
              <w:left w:val="single" w:sz="4" w:space="0" w:color="auto"/>
              <w:bottom w:val="single" w:sz="4" w:space="0" w:color="auto"/>
              <w:right w:val="single" w:sz="4" w:space="0" w:color="auto"/>
            </w:tcBorders>
          </w:tcPr>
          <w:p w:rsidR="00B43A2F" w:rsidRPr="00B43A2F" w:rsidP="00B43A2F" w14:paraId="225487E1" w14:textId="77777777">
            <w:pPr>
              <w:jc w:val="right"/>
              <w:rPr>
                <w:rFonts w:eastAsia="Calibri"/>
                <w:sz w:val="24"/>
              </w:rPr>
            </w:pPr>
            <w:r w:rsidRPr="00B43A2F">
              <w:rPr>
                <w:rFonts w:eastAsia="Calibri"/>
                <w:sz w:val="24"/>
              </w:rPr>
              <w:t xml:space="preserve">$2,845.77 </w:t>
            </w:r>
          </w:p>
          <w:p w:rsidR="00B43A2F" w:rsidRPr="00B43A2F" w:rsidP="00B43A2F" w14:paraId="1FED953D" w14:textId="77777777">
            <w:pPr>
              <w:widowControl w:val="0"/>
              <w:autoSpaceDE w:val="0"/>
              <w:autoSpaceDN w:val="0"/>
              <w:adjustRightInd w:val="0"/>
              <w:ind w:left="-108"/>
              <w:jc w:val="right"/>
              <w:rPr>
                <w:sz w:val="24"/>
              </w:rPr>
            </w:pPr>
          </w:p>
        </w:tc>
      </w:tr>
      <w:tr w14:paraId="5B8A3F51" w14:textId="77777777" w:rsidTr="00F30447">
        <w:tblPrEx>
          <w:tblW w:w="5435" w:type="pct"/>
          <w:tblInd w:w="-185" w:type="dxa"/>
          <w:tblLook w:val="01E0"/>
        </w:tblPrEx>
        <w:trPr>
          <w:cantSplit/>
          <w:trHeight w:val="890"/>
        </w:trPr>
        <w:tc>
          <w:tcPr>
            <w:tcW w:w="835" w:type="pct"/>
            <w:tcBorders>
              <w:top w:val="single" w:sz="4" w:space="0" w:color="auto"/>
              <w:left w:val="single" w:sz="4" w:space="0" w:color="auto"/>
              <w:bottom w:val="single" w:sz="4" w:space="0" w:color="auto"/>
              <w:right w:val="single" w:sz="4" w:space="0" w:color="auto"/>
            </w:tcBorders>
            <w:shd w:val="clear" w:color="auto" w:fill="D9D9D9"/>
          </w:tcPr>
          <w:p w:rsidR="00B43A2F" w:rsidRPr="00B43A2F" w:rsidP="00B43A2F" w14:paraId="537537CB" w14:textId="77777777">
            <w:pPr>
              <w:widowControl w:val="0"/>
              <w:autoSpaceDE w:val="0"/>
              <w:autoSpaceDN w:val="0"/>
              <w:adjustRightInd w:val="0"/>
              <w:jc w:val="right"/>
              <w:rPr>
                <w:b/>
                <w:bCs/>
                <w:sz w:val="24"/>
              </w:rPr>
            </w:pPr>
            <w:r w:rsidRPr="00B43A2F">
              <w:rPr>
                <w:b/>
                <w:bCs/>
                <w:sz w:val="24"/>
              </w:rPr>
              <w:t>TOTAL FERC-725U</w:t>
            </w:r>
          </w:p>
          <w:p w:rsidR="00B43A2F" w:rsidRPr="00B43A2F" w:rsidP="00B43A2F" w14:paraId="52EA36B2" w14:textId="77777777">
            <w:pPr>
              <w:widowControl w:val="0"/>
              <w:autoSpaceDE w:val="0"/>
              <w:autoSpaceDN w:val="0"/>
              <w:adjustRightInd w:val="0"/>
              <w:jc w:val="right"/>
              <w:rPr>
                <w:b/>
                <w:bCs/>
                <w:sz w:val="24"/>
              </w:rPr>
            </w:pPr>
          </w:p>
        </w:tc>
        <w:tc>
          <w:tcPr>
            <w:tcW w:w="670" w:type="pct"/>
            <w:tcBorders>
              <w:top w:val="single" w:sz="4" w:space="0" w:color="auto"/>
              <w:left w:val="single" w:sz="4" w:space="0" w:color="auto"/>
              <w:bottom w:val="single" w:sz="4" w:space="0" w:color="auto"/>
              <w:right w:val="single" w:sz="4" w:space="0" w:color="auto"/>
            </w:tcBorders>
            <w:shd w:val="clear" w:color="auto" w:fill="D9D9D9"/>
            <w:vAlign w:val="bottom"/>
          </w:tcPr>
          <w:p w:rsidR="00B43A2F" w:rsidRPr="00B43A2F" w:rsidP="00B43A2F" w14:paraId="7E411D3B" w14:textId="77777777">
            <w:pPr>
              <w:widowControl w:val="0"/>
              <w:autoSpaceDE w:val="0"/>
              <w:autoSpaceDN w:val="0"/>
              <w:adjustRightInd w:val="0"/>
              <w:jc w:val="right"/>
              <w:rPr>
                <w:b/>
                <w:bCs/>
                <w:sz w:val="24"/>
              </w:rPr>
            </w:pPr>
            <w:r w:rsidRPr="00B43A2F">
              <w:rPr>
                <w:b/>
                <w:bCs/>
                <w:sz w:val="24"/>
              </w:rPr>
              <w:t>344</w:t>
            </w:r>
          </w:p>
        </w:tc>
        <w:tc>
          <w:tcPr>
            <w:tcW w:w="861" w:type="pct"/>
            <w:tcBorders>
              <w:top w:val="single" w:sz="4" w:space="0" w:color="auto"/>
              <w:left w:val="single" w:sz="4" w:space="0" w:color="auto"/>
              <w:bottom w:val="single" w:sz="4" w:space="0" w:color="auto"/>
              <w:right w:val="single" w:sz="4" w:space="0" w:color="auto"/>
            </w:tcBorders>
            <w:shd w:val="clear" w:color="auto" w:fill="D9D9D9"/>
            <w:vAlign w:val="bottom"/>
          </w:tcPr>
          <w:p w:rsidR="00B43A2F" w:rsidRPr="00B43A2F" w:rsidP="00B43A2F" w14:paraId="230B6715" w14:textId="77777777">
            <w:pPr>
              <w:widowControl w:val="0"/>
              <w:autoSpaceDE w:val="0"/>
              <w:autoSpaceDN w:val="0"/>
              <w:adjustRightInd w:val="0"/>
              <w:jc w:val="right"/>
              <w:rPr>
                <w:b/>
                <w:bCs/>
                <w:sz w:val="24"/>
              </w:rPr>
            </w:pPr>
            <w:r w:rsidRPr="00B43A2F">
              <w:rPr>
                <w:b/>
                <w:bCs/>
                <w:sz w:val="24"/>
              </w:rPr>
              <w:t>1</w:t>
            </w:r>
          </w:p>
        </w:tc>
        <w:tc>
          <w:tcPr>
            <w:tcW w:w="646" w:type="pct"/>
            <w:tcBorders>
              <w:top w:val="single" w:sz="4" w:space="0" w:color="auto"/>
              <w:left w:val="single" w:sz="4" w:space="0" w:color="auto"/>
              <w:bottom w:val="single" w:sz="4" w:space="0" w:color="auto"/>
              <w:right w:val="single" w:sz="4" w:space="0" w:color="auto"/>
            </w:tcBorders>
            <w:shd w:val="clear" w:color="auto" w:fill="D9D9D9"/>
            <w:vAlign w:val="bottom"/>
          </w:tcPr>
          <w:p w:rsidR="00B43A2F" w:rsidRPr="00B43A2F" w:rsidP="00B43A2F" w14:paraId="077E53D8" w14:textId="77777777">
            <w:pPr>
              <w:widowControl w:val="0"/>
              <w:autoSpaceDE w:val="0"/>
              <w:autoSpaceDN w:val="0"/>
              <w:adjustRightInd w:val="0"/>
              <w:jc w:val="right"/>
              <w:rPr>
                <w:b/>
                <w:bCs/>
                <w:sz w:val="24"/>
              </w:rPr>
            </w:pPr>
            <w:r w:rsidRPr="00B43A2F">
              <w:rPr>
                <w:b/>
                <w:bCs/>
                <w:sz w:val="24"/>
              </w:rPr>
              <w:t>344</w:t>
            </w:r>
          </w:p>
        </w:tc>
        <w:tc>
          <w:tcPr>
            <w:tcW w:w="638" w:type="pct"/>
            <w:tcBorders>
              <w:top w:val="single" w:sz="4" w:space="0" w:color="auto"/>
              <w:left w:val="single" w:sz="4" w:space="0" w:color="auto"/>
              <w:bottom w:val="single" w:sz="4" w:space="0" w:color="auto"/>
              <w:right w:val="single" w:sz="4" w:space="0" w:color="auto"/>
            </w:tcBorders>
            <w:shd w:val="clear" w:color="auto" w:fill="D9D9D9"/>
            <w:vAlign w:val="bottom"/>
          </w:tcPr>
          <w:p w:rsidR="00B43A2F" w:rsidRPr="00B43A2F" w:rsidP="00B43A2F" w14:paraId="14633653" w14:textId="77777777">
            <w:pPr>
              <w:widowControl w:val="0"/>
              <w:autoSpaceDE w:val="0"/>
              <w:autoSpaceDN w:val="0"/>
              <w:adjustRightInd w:val="0"/>
              <w:jc w:val="right"/>
              <w:rPr>
                <w:rFonts w:eastAsia="Calibri"/>
                <w:b/>
                <w:bCs/>
                <w:sz w:val="24"/>
              </w:rPr>
            </w:pPr>
            <w:r w:rsidRPr="00B43A2F">
              <w:rPr>
                <w:rFonts w:eastAsia="Calibri"/>
                <w:b/>
                <w:bCs/>
                <w:sz w:val="24"/>
              </w:rPr>
              <w:t>32.71 hrs.;</w:t>
            </w:r>
          </w:p>
          <w:p w:rsidR="00B43A2F" w:rsidRPr="00B43A2F" w:rsidP="00B43A2F" w14:paraId="3D27D21D" w14:textId="3C19F368">
            <w:pPr>
              <w:widowControl w:val="0"/>
              <w:autoSpaceDE w:val="0"/>
              <w:autoSpaceDN w:val="0"/>
              <w:adjustRightInd w:val="0"/>
              <w:jc w:val="right"/>
              <w:rPr>
                <w:b/>
                <w:bCs/>
                <w:sz w:val="24"/>
              </w:rPr>
            </w:pPr>
            <w:r w:rsidRPr="00B43A2F">
              <w:rPr>
                <w:rFonts w:eastAsia="Calibri"/>
                <w:b/>
                <w:bCs/>
                <w:sz w:val="24"/>
              </w:rPr>
              <w:t>$2,845.77</w:t>
            </w:r>
          </w:p>
        </w:tc>
        <w:tc>
          <w:tcPr>
            <w:tcW w:w="646" w:type="pct"/>
            <w:tcBorders>
              <w:top w:val="single" w:sz="4" w:space="0" w:color="auto"/>
              <w:left w:val="single" w:sz="4" w:space="0" w:color="auto"/>
              <w:bottom w:val="single" w:sz="4" w:space="0" w:color="auto"/>
              <w:right w:val="single" w:sz="4" w:space="0" w:color="auto"/>
            </w:tcBorders>
            <w:shd w:val="clear" w:color="auto" w:fill="D9D9D9"/>
            <w:vAlign w:val="bottom"/>
          </w:tcPr>
          <w:p w:rsidR="00B43A2F" w:rsidRPr="00B43A2F" w:rsidP="00B43A2F" w14:paraId="3BB472B6" w14:textId="77777777">
            <w:pPr>
              <w:widowControl w:val="0"/>
              <w:autoSpaceDE w:val="0"/>
              <w:autoSpaceDN w:val="0"/>
              <w:adjustRightInd w:val="0"/>
              <w:ind w:left="-108"/>
              <w:jc w:val="right"/>
              <w:rPr>
                <w:b/>
                <w:bCs/>
                <w:sz w:val="24"/>
              </w:rPr>
            </w:pPr>
            <w:r w:rsidRPr="00B43A2F">
              <w:rPr>
                <w:b/>
                <w:bCs/>
                <w:sz w:val="24"/>
              </w:rPr>
              <w:t>11,254.24 hrs.;</w:t>
            </w:r>
          </w:p>
          <w:p w:rsidR="00B43A2F" w:rsidRPr="00B43A2F" w:rsidP="00B43A2F" w14:paraId="14A1713C" w14:textId="4A9BBDD0">
            <w:pPr>
              <w:widowControl w:val="0"/>
              <w:autoSpaceDE w:val="0"/>
              <w:autoSpaceDN w:val="0"/>
              <w:adjustRightInd w:val="0"/>
              <w:ind w:left="-108"/>
              <w:jc w:val="right"/>
              <w:rPr>
                <w:b/>
                <w:bCs/>
                <w:sz w:val="24"/>
              </w:rPr>
            </w:pPr>
            <w:r w:rsidRPr="00B43A2F">
              <w:rPr>
                <w:b/>
                <w:bCs/>
                <w:sz w:val="24"/>
              </w:rPr>
              <w:t>$978,944.88</w:t>
            </w:r>
          </w:p>
        </w:tc>
        <w:tc>
          <w:tcPr>
            <w:tcW w:w="704" w:type="pct"/>
            <w:tcBorders>
              <w:top w:val="single" w:sz="4" w:space="0" w:color="auto"/>
              <w:left w:val="single" w:sz="4" w:space="0" w:color="auto"/>
              <w:bottom w:val="single" w:sz="4" w:space="0" w:color="auto"/>
              <w:right w:val="single" w:sz="4" w:space="0" w:color="auto"/>
            </w:tcBorders>
            <w:shd w:val="clear" w:color="auto" w:fill="D9D9D9"/>
          </w:tcPr>
          <w:p w:rsidR="00B43A2F" w:rsidRPr="00B43A2F" w:rsidP="00B43A2F" w14:paraId="1081B85B" w14:textId="77777777">
            <w:pPr>
              <w:widowControl w:val="0"/>
              <w:autoSpaceDE w:val="0"/>
              <w:autoSpaceDN w:val="0"/>
              <w:adjustRightInd w:val="0"/>
              <w:ind w:left="-108"/>
              <w:jc w:val="right"/>
              <w:rPr>
                <w:b/>
                <w:bCs/>
                <w:sz w:val="24"/>
              </w:rPr>
            </w:pPr>
            <w:r w:rsidRPr="00B43A2F">
              <w:rPr>
                <w:b/>
                <w:bCs/>
                <w:sz w:val="24"/>
              </w:rPr>
              <w:t>$2,845.77</w:t>
            </w:r>
          </w:p>
        </w:tc>
      </w:tr>
    </w:tbl>
    <w:p w:rsidR="00B43A2F" w:rsidP="002906E5" w14:paraId="38FB9851" w14:textId="77777777">
      <w:pPr>
        <w:autoSpaceDE w:val="0"/>
        <w:autoSpaceDN w:val="0"/>
        <w:adjustRightInd w:val="0"/>
        <w:spacing w:line="480" w:lineRule="auto"/>
        <w:rPr>
          <w:i/>
        </w:rPr>
      </w:pPr>
    </w:p>
    <w:p w:rsidR="00881405" w:rsidP="002906E5" w14:paraId="40735770" w14:textId="156E067D">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14:paraId="23EE29AC" w14:textId="77777777">
      <w:pPr>
        <w:spacing w:line="480" w:lineRule="auto"/>
      </w:pPr>
      <w:r>
        <w:t xml:space="preserve">collection of information on those who are to respond, including the use of automated collection techniques or other forms of information technology.  </w:t>
      </w:r>
    </w:p>
    <w:p w:rsidR="006759AE" w:rsidP="006759AE" w14:paraId="3D4182FC" w14:textId="383A8CDF"/>
    <w:p w:rsidR="006759AE" w:rsidP="006759AE" w14:paraId="34402E9E" w14:textId="5BAF24F1"/>
    <w:p w:rsidR="006759AE" w:rsidP="006759AE" w14:paraId="69290CE3" w14:textId="26AE2AB7"/>
    <w:p w:rsidR="006759AE" w:rsidRPr="006759AE" w:rsidP="006759AE" w14:paraId="02A9681B" w14:textId="34CC3C47">
      <w:pPr>
        <w:ind w:firstLine="2174"/>
        <w:jc w:val="center"/>
      </w:pPr>
      <w:r w:rsidRPr="006759AE">
        <w:t>Kimberly D. Bose,</w:t>
      </w:r>
    </w:p>
    <w:p w:rsidR="006759AE" w:rsidRPr="006759AE" w:rsidP="006759AE" w14:paraId="37125A20" w14:textId="1A314FEE">
      <w:pPr>
        <w:ind w:firstLine="2174"/>
        <w:jc w:val="center"/>
      </w:pPr>
      <w:r w:rsidRPr="006759AE">
        <w:t>Secretary.</w:t>
      </w:r>
    </w:p>
    <w:p w:rsidR="006759AE" w:rsidP="006759AE" w14:paraId="3333C399" w14:textId="77777777"/>
    <w:sectPr w:rsidSect="006759AE">
      <w:headerReference w:type="default" r:id="rId13"/>
      <w:pgSz w:w="12240" w:h="15840"/>
      <w:pgMar w:top="1440" w:right="1440" w:bottom="171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60AA0" w:rsidP="00B01B16" w14:paraId="44D8A719" w14:textId="77777777">
      <w:r>
        <w:separator/>
      </w:r>
    </w:p>
  </w:footnote>
  <w:footnote w:type="continuationSeparator" w:id="1">
    <w:p w:rsidR="00660AA0" w:rsidP="00B01B16" w14:paraId="7FC63692" w14:textId="77777777">
      <w:r>
        <w:continuationSeparator/>
      </w:r>
    </w:p>
  </w:footnote>
  <w:footnote w:type="continuationNotice" w:id="2">
    <w:p w:rsidR="00660AA0" w14:paraId="134AC5DE" w14:textId="77777777"/>
  </w:footnote>
  <w:footnote w:id="3">
    <w:p w:rsidR="00B43A2F" w:rsidRPr="00471DC7" w:rsidP="00B43A2F" w14:paraId="1C81E2F4" w14:textId="77777777">
      <w:pPr>
        <w:pStyle w:val="FootnoteText"/>
        <w:rPr>
          <w:sz w:val="26"/>
          <w:szCs w:val="26"/>
        </w:rPr>
      </w:pPr>
      <w:r w:rsidRPr="00471DC7">
        <w:rPr>
          <w:rStyle w:val="FootnoteReference"/>
        </w:rPr>
        <w:footnoteRef/>
      </w:r>
      <w:r w:rsidRPr="00471DC7">
        <w:rPr>
          <w:b/>
          <w:sz w:val="26"/>
          <w:szCs w:val="26"/>
        </w:rPr>
        <w:t xml:space="preserve"> </w:t>
      </w:r>
      <w:r w:rsidRPr="00471DC7">
        <w:rPr>
          <w:sz w:val="26"/>
          <w:szCs w:val="26"/>
        </w:rPr>
        <w:t>44 U.S.C. 3507(d).</w:t>
      </w:r>
    </w:p>
  </w:footnote>
  <w:footnote w:id="4">
    <w:p w:rsidR="00B43A2F" w:rsidRPr="00841929" w:rsidP="00B43A2F" w14:paraId="3DEC59B2" w14:textId="77777777">
      <w:pPr>
        <w:pStyle w:val="FootnoteText"/>
        <w:rPr>
          <w:szCs w:val="26"/>
        </w:rPr>
      </w:pPr>
      <w:r w:rsidRPr="00471DC7">
        <w:rPr>
          <w:rStyle w:val="FootnoteReference"/>
        </w:rPr>
        <w:footnoteRef/>
      </w:r>
      <w:r w:rsidRPr="00471DC7">
        <w:rPr>
          <w:sz w:val="26"/>
          <w:szCs w:val="26"/>
        </w:rPr>
        <w:t xml:space="preserve"> 5 CFR 1320 (2021).</w:t>
      </w:r>
    </w:p>
  </w:footnote>
  <w:footnote w:id="5">
    <w:p w:rsidR="00B43A2F" w:rsidRPr="00471DC7" w:rsidP="00B43A2F" w14:paraId="2F39DE34" w14:textId="77777777">
      <w:pPr>
        <w:pStyle w:val="FootnoteText"/>
        <w:rPr>
          <w:sz w:val="26"/>
          <w:szCs w:val="26"/>
        </w:rPr>
      </w:pPr>
      <w:r w:rsidRPr="00471DC7">
        <w:rPr>
          <w:rStyle w:val="FootnoteReference"/>
        </w:rPr>
        <w:footnoteRef/>
      </w:r>
      <w:r w:rsidRPr="00471DC7">
        <w:rPr>
          <w:sz w:val="26"/>
          <w:szCs w:val="26"/>
        </w:rPr>
        <w:t xml:space="preserve"> FERC staff estimates that industry costs for salary plus benefits are similar to Commission costs. The FERC 2021 average salary plus benefits for one FERC full-time equivalent (FTE) is $180,703/year (or $87.00/hour) posted by the Bureau of Labor Statistics for the Utilities sector (available at https://www.bls.gov/oes/current/naics3_221000.htm).</w:t>
      </w:r>
    </w:p>
  </w:footnote>
  <w:footnote w:id="6">
    <w:p w:rsidR="00B43A2F" w:rsidRPr="00471DC7" w:rsidP="00B43A2F" w14:paraId="5A0E30E1" w14:textId="77777777">
      <w:pPr>
        <w:pStyle w:val="FootnoteText"/>
        <w:rPr>
          <w:sz w:val="26"/>
          <w:szCs w:val="26"/>
        </w:rPr>
      </w:pPr>
      <w:r w:rsidRPr="00471DC7">
        <w:rPr>
          <w:rStyle w:val="FootnoteReference"/>
        </w:rPr>
        <w:footnoteRef/>
      </w:r>
      <w:r w:rsidRPr="00471DC7">
        <w:rPr>
          <w:sz w:val="26"/>
          <w:szCs w:val="26"/>
          <w:vertAlign w:val="superscript"/>
        </w:rPr>
        <w:t xml:space="preserve"> </w:t>
      </w:r>
      <w:r w:rsidRPr="00471DC7">
        <w:rPr>
          <w:sz w:val="26"/>
          <w:szCs w:val="26"/>
        </w:rPr>
        <w:t xml:space="preserve">The total number (344) of transmission owners (326) plus transmission operators (18) not also registered as owners, this represents the unique US entities (taken from data as of May 6, 2022).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47451640"/>
      <w:docPartObj>
        <w:docPartGallery w:val="Page Numbers (Top of Page)"/>
        <w:docPartUnique/>
      </w:docPartObj>
    </w:sdtPr>
    <w:sdtEndPr>
      <w:rPr>
        <w:noProof/>
      </w:rPr>
    </w:sdtEndPr>
    <w:sdtContent>
      <w:p w:rsidR="00C80D25" w14:paraId="13B0CC0F" w14:textId="45AEED03">
        <w:pPr>
          <w:pStyle w:val="Header"/>
        </w:pPr>
        <w:r w:rsidRPr="00D954AE">
          <w:t xml:space="preserve">Docket </w:t>
        </w:r>
        <w:r w:rsidRPr="00E74313">
          <w:t xml:space="preserve">No. </w:t>
        </w:r>
        <w:r w:rsidR="007C6502">
          <w:t>RD</w:t>
        </w:r>
        <w:r w:rsidRPr="00E74313">
          <w:t>2</w:t>
        </w:r>
        <w:r w:rsidRPr="00E74313" w:rsidR="0066458B">
          <w:t>2-</w:t>
        </w:r>
        <w:r w:rsidR="005363F8">
          <w:t>3</w:t>
        </w:r>
        <w:r w:rsidRPr="00E74313">
          <w:t>-000</w:t>
        </w:r>
        <w:r>
          <w:tab/>
        </w:r>
        <w:r>
          <w:fldChar w:fldCharType="begin"/>
        </w:r>
        <w:r>
          <w:instrText xml:space="preserve"> PAGE   \* MERGEFORMAT </w:instrText>
        </w:r>
        <w:r>
          <w:fldChar w:fldCharType="separate"/>
        </w:r>
        <w:r>
          <w:rPr>
            <w:noProof/>
          </w:rPr>
          <w:t>2</w:t>
        </w:r>
        <w:r>
          <w:rPr>
            <w:noProof/>
          </w:rPr>
          <w:fldChar w:fldCharType="end"/>
        </w:r>
      </w:p>
    </w:sdtContent>
  </w:sdt>
  <w:p w:rsidR="00F82EE1" w14:paraId="0E155F8B" w14:textId="2CD573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821B5B"/>
    <w:multiLevelType w:val="hybridMultilevel"/>
    <w:tmpl w:val="57409D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5140F6D"/>
    <w:multiLevelType w:val="hybridMultilevel"/>
    <w:tmpl w:val="C0EC9B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8E2194"/>
    <w:multiLevelType w:val="hybridMultilevel"/>
    <w:tmpl w:val="EB888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BC4AED"/>
    <w:multiLevelType w:val="hybridMultilevel"/>
    <w:tmpl w:val="B2D2968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054910"/>
    <w:multiLevelType w:val="hybridMultilevel"/>
    <w:tmpl w:val="74069B9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5C60207"/>
    <w:multiLevelType w:val="hybridMultilevel"/>
    <w:tmpl w:val="FB0C94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A7A736A"/>
    <w:multiLevelType w:val="hybridMultilevel"/>
    <w:tmpl w:val="F33A823C"/>
    <w:lvl w:ilvl="0">
      <w:start w:val="1"/>
      <w:numFmt w:val="bullet"/>
      <w:lvlText w:val=""/>
      <w:lvlJc w:val="left"/>
      <w:pPr>
        <w:ind w:left="720" w:hanging="360"/>
      </w:pPr>
      <w:rPr>
        <w:rFonts w:ascii="Symbol" w:hAnsi="Symbol" w:hint="default"/>
        <w:sz w:val="1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1A5ED7"/>
    <w:multiLevelType w:val="hybridMultilevel"/>
    <w:tmpl w:val="C150CD52"/>
    <w:lvl w:ilvl="0">
      <w:start w:val="1"/>
      <w:numFmt w:val="decimal"/>
      <w:lvlText w:val="%1."/>
      <w:lvlJc w:val="left"/>
      <w:pPr>
        <w:ind w:left="81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1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1">
    <w:nsid w:val="43FE3835"/>
    <w:multiLevelType w:val="hybridMultilevel"/>
    <w:tmpl w:val="25907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453C6417"/>
    <w:multiLevelType w:val="hybridMultilevel"/>
    <w:tmpl w:val="FE4420E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3">
    <w:nsid w:val="459527D0"/>
    <w:multiLevelType w:val="hybridMultilevel"/>
    <w:tmpl w:val="FF8C35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B316C53"/>
    <w:multiLevelType w:val="hybridMultilevel"/>
    <w:tmpl w:val="F6CCA9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ED977DE"/>
    <w:multiLevelType w:val="hybridMultilevel"/>
    <w:tmpl w:val="3FE0F4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nsid w:val="5EE719D3"/>
    <w:multiLevelType w:val="hybridMultilevel"/>
    <w:tmpl w:val="B9A2F77C"/>
    <w:lvl w:ilvl="0">
      <w:start w:val="1"/>
      <w:numFmt w:val="decimal"/>
      <w:pStyle w:val="FERCparanumber"/>
      <w:lvlText w:val="%1."/>
      <w:lvlJc w:val="left"/>
      <w:pPr>
        <w:tabs>
          <w:tab w:val="num" w:pos="720"/>
        </w:tabs>
        <w:ind w:left="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2FA3528"/>
    <w:multiLevelType w:val="hybridMultilevel"/>
    <w:tmpl w:val="E384E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6573AF5"/>
    <w:multiLevelType w:val="hybridMultilevel"/>
    <w:tmpl w:val="1162180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nsid w:val="77EE2665"/>
    <w:multiLevelType w:val="hybridMultilevel"/>
    <w:tmpl w:val="305A47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88E2278"/>
    <w:multiLevelType w:val="hybridMultilevel"/>
    <w:tmpl w:val="F8A2F400"/>
    <w:lvl w:ilvl="0">
      <w:start w:val="1"/>
      <w:numFmt w:val="bullet"/>
      <w:lvlText w:val=""/>
      <w:lvlJc w:val="left"/>
      <w:pPr>
        <w:ind w:left="1440" w:hanging="360"/>
      </w:pPr>
      <w:rPr>
        <w:rFonts w:ascii="Symbol" w:hAnsi="Symbol" w:hint="default"/>
        <w:sz w:val="1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90A5579"/>
    <w:multiLevelType w:val="hybridMultilevel"/>
    <w:tmpl w:val="8CD41D26"/>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2">
    <w:nsid w:val="7B996CF3"/>
    <w:multiLevelType w:val="hybridMultilevel"/>
    <w:tmpl w:val="E5C2F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14"/>
  </w:num>
  <w:num w:numId="4">
    <w:abstractNumId w:val="11"/>
  </w:num>
  <w:num w:numId="5">
    <w:abstractNumId w:val="21"/>
  </w:num>
  <w:num w:numId="6">
    <w:abstractNumId w:val="2"/>
  </w:num>
  <w:num w:numId="7">
    <w:abstractNumId w:val="15"/>
  </w:num>
  <w:num w:numId="8">
    <w:abstractNumId w:val="1"/>
  </w:num>
  <w:num w:numId="9">
    <w:abstractNumId w:val="13"/>
  </w:num>
  <w:num w:numId="10">
    <w:abstractNumId w:val="19"/>
  </w:num>
  <w:num w:numId="11">
    <w:abstractNumId w:val="3"/>
  </w:num>
  <w:num w:numId="12">
    <w:abstractNumId w:val="17"/>
  </w:num>
  <w:num w:numId="13">
    <w:abstractNumId w:val="0"/>
  </w:num>
  <w:num w:numId="14">
    <w:abstractNumId w:val="18"/>
  </w:num>
  <w:num w:numId="15">
    <w:abstractNumId w:val="12"/>
  </w:num>
  <w:num w:numId="16">
    <w:abstractNumId w:val="6"/>
  </w:num>
  <w:num w:numId="17">
    <w:abstractNumId w:val="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22"/>
  </w:num>
  <w:num w:numId="21">
    <w:abstractNumId w:val="7"/>
  </w:num>
  <w:num w:numId="22">
    <w:abstractNumId w:val="2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0447"/>
    <w:rsid w:val="00002F5C"/>
    <w:rsid w:val="0000758F"/>
    <w:rsid w:val="00013305"/>
    <w:rsid w:val="00014343"/>
    <w:rsid w:val="00026C2D"/>
    <w:rsid w:val="00027CA8"/>
    <w:rsid w:val="00031AB2"/>
    <w:rsid w:val="000379D6"/>
    <w:rsid w:val="00042F33"/>
    <w:rsid w:val="000459B6"/>
    <w:rsid w:val="0005167F"/>
    <w:rsid w:val="000578D5"/>
    <w:rsid w:val="00062427"/>
    <w:rsid w:val="0006681D"/>
    <w:rsid w:val="00072E34"/>
    <w:rsid w:val="0007595A"/>
    <w:rsid w:val="00082413"/>
    <w:rsid w:val="00084E3D"/>
    <w:rsid w:val="0008692A"/>
    <w:rsid w:val="00097607"/>
    <w:rsid w:val="000A0250"/>
    <w:rsid w:val="000A18F4"/>
    <w:rsid w:val="000A3078"/>
    <w:rsid w:val="000A3C2F"/>
    <w:rsid w:val="000A6164"/>
    <w:rsid w:val="000A6F37"/>
    <w:rsid w:val="000A7E68"/>
    <w:rsid w:val="000B431B"/>
    <w:rsid w:val="000B5B66"/>
    <w:rsid w:val="000B5C78"/>
    <w:rsid w:val="000D318C"/>
    <w:rsid w:val="000D6969"/>
    <w:rsid w:val="000E1256"/>
    <w:rsid w:val="000E2568"/>
    <w:rsid w:val="000E4C61"/>
    <w:rsid w:val="000F3BC3"/>
    <w:rsid w:val="000F606E"/>
    <w:rsid w:val="00111E92"/>
    <w:rsid w:val="00112B6B"/>
    <w:rsid w:val="00116326"/>
    <w:rsid w:val="00125991"/>
    <w:rsid w:val="001309CE"/>
    <w:rsid w:val="0013255C"/>
    <w:rsid w:val="001339F1"/>
    <w:rsid w:val="00135FC5"/>
    <w:rsid w:val="00137823"/>
    <w:rsid w:val="00150CBC"/>
    <w:rsid w:val="00151676"/>
    <w:rsid w:val="0015445B"/>
    <w:rsid w:val="00156BBB"/>
    <w:rsid w:val="001600DF"/>
    <w:rsid w:val="00164215"/>
    <w:rsid w:val="00171725"/>
    <w:rsid w:val="00173D03"/>
    <w:rsid w:val="0017684C"/>
    <w:rsid w:val="00177704"/>
    <w:rsid w:val="00181BF7"/>
    <w:rsid w:val="00184A26"/>
    <w:rsid w:val="00184B43"/>
    <w:rsid w:val="00185C1F"/>
    <w:rsid w:val="00186EC5"/>
    <w:rsid w:val="0019402A"/>
    <w:rsid w:val="00197435"/>
    <w:rsid w:val="001974A9"/>
    <w:rsid w:val="001A2DAA"/>
    <w:rsid w:val="001A6645"/>
    <w:rsid w:val="001A6AD6"/>
    <w:rsid w:val="001A7665"/>
    <w:rsid w:val="001B0BD2"/>
    <w:rsid w:val="001B78B8"/>
    <w:rsid w:val="001C53D9"/>
    <w:rsid w:val="001C543C"/>
    <w:rsid w:val="001C7064"/>
    <w:rsid w:val="001D578A"/>
    <w:rsid w:val="001E3237"/>
    <w:rsid w:val="001F1CDF"/>
    <w:rsid w:val="002009E9"/>
    <w:rsid w:val="00202E41"/>
    <w:rsid w:val="00207AE7"/>
    <w:rsid w:val="00211105"/>
    <w:rsid w:val="002131D0"/>
    <w:rsid w:val="00213696"/>
    <w:rsid w:val="00224BF8"/>
    <w:rsid w:val="00224DD2"/>
    <w:rsid w:val="00237AB9"/>
    <w:rsid w:val="00237B93"/>
    <w:rsid w:val="0024271E"/>
    <w:rsid w:val="0024309C"/>
    <w:rsid w:val="00251B4B"/>
    <w:rsid w:val="00253F98"/>
    <w:rsid w:val="00257CC2"/>
    <w:rsid w:val="00262096"/>
    <w:rsid w:val="00265B23"/>
    <w:rsid w:val="00266431"/>
    <w:rsid w:val="00286C5A"/>
    <w:rsid w:val="002906E5"/>
    <w:rsid w:val="00292A4C"/>
    <w:rsid w:val="00297211"/>
    <w:rsid w:val="002B4387"/>
    <w:rsid w:val="002B5874"/>
    <w:rsid w:val="002C2C8B"/>
    <w:rsid w:val="002C3223"/>
    <w:rsid w:val="002C3579"/>
    <w:rsid w:val="002C5E0E"/>
    <w:rsid w:val="002D09B3"/>
    <w:rsid w:val="002D17E5"/>
    <w:rsid w:val="002D57E8"/>
    <w:rsid w:val="002E06A0"/>
    <w:rsid w:val="002E1C29"/>
    <w:rsid w:val="002E68D4"/>
    <w:rsid w:val="002E6DAA"/>
    <w:rsid w:val="002E7390"/>
    <w:rsid w:val="002F4401"/>
    <w:rsid w:val="002F708A"/>
    <w:rsid w:val="00301E3D"/>
    <w:rsid w:val="00303516"/>
    <w:rsid w:val="003053E3"/>
    <w:rsid w:val="00306318"/>
    <w:rsid w:val="00311D90"/>
    <w:rsid w:val="0031393E"/>
    <w:rsid w:val="00314219"/>
    <w:rsid w:val="003149BC"/>
    <w:rsid w:val="003179EB"/>
    <w:rsid w:val="0032099D"/>
    <w:rsid w:val="0033340D"/>
    <w:rsid w:val="00336AD9"/>
    <w:rsid w:val="00340D3C"/>
    <w:rsid w:val="00344362"/>
    <w:rsid w:val="00353270"/>
    <w:rsid w:val="00365468"/>
    <w:rsid w:val="003658A2"/>
    <w:rsid w:val="003673EC"/>
    <w:rsid w:val="00373A2E"/>
    <w:rsid w:val="00376525"/>
    <w:rsid w:val="00397ABE"/>
    <w:rsid w:val="003A2C3F"/>
    <w:rsid w:val="003B435C"/>
    <w:rsid w:val="003B5B0B"/>
    <w:rsid w:val="003B6A4A"/>
    <w:rsid w:val="003C08DE"/>
    <w:rsid w:val="003C3E7A"/>
    <w:rsid w:val="003D0BB4"/>
    <w:rsid w:val="003D28D2"/>
    <w:rsid w:val="003E1657"/>
    <w:rsid w:val="003E1B25"/>
    <w:rsid w:val="003E1B5A"/>
    <w:rsid w:val="003E40B2"/>
    <w:rsid w:val="003E44AD"/>
    <w:rsid w:val="003E4B47"/>
    <w:rsid w:val="003E5168"/>
    <w:rsid w:val="003F0FE7"/>
    <w:rsid w:val="003F2E32"/>
    <w:rsid w:val="003F2EC7"/>
    <w:rsid w:val="003F570B"/>
    <w:rsid w:val="003F6466"/>
    <w:rsid w:val="00401401"/>
    <w:rsid w:val="00407BCE"/>
    <w:rsid w:val="00410A8B"/>
    <w:rsid w:val="00411B62"/>
    <w:rsid w:val="00413AA8"/>
    <w:rsid w:val="00413FDE"/>
    <w:rsid w:val="0041405B"/>
    <w:rsid w:val="004177CD"/>
    <w:rsid w:val="00425ADD"/>
    <w:rsid w:val="004266F6"/>
    <w:rsid w:val="0042688C"/>
    <w:rsid w:val="0042765E"/>
    <w:rsid w:val="00427AE5"/>
    <w:rsid w:val="00443282"/>
    <w:rsid w:val="00447C9E"/>
    <w:rsid w:val="00450D64"/>
    <w:rsid w:val="004562F1"/>
    <w:rsid w:val="004628F2"/>
    <w:rsid w:val="00463660"/>
    <w:rsid w:val="00465456"/>
    <w:rsid w:val="00471921"/>
    <w:rsid w:val="00471A7B"/>
    <w:rsid w:val="00471DC7"/>
    <w:rsid w:val="00471FF2"/>
    <w:rsid w:val="0047213E"/>
    <w:rsid w:val="00480D2D"/>
    <w:rsid w:val="00491543"/>
    <w:rsid w:val="00492111"/>
    <w:rsid w:val="00497A62"/>
    <w:rsid w:val="004A661D"/>
    <w:rsid w:val="004A6FC8"/>
    <w:rsid w:val="004C0BC3"/>
    <w:rsid w:val="004C70C8"/>
    <w:rsid w:val="004E44F8"/>
    <w:rsid w:val="004E683E"/>
    <w:rsid w:val="004F56E3"/>
    <w:rsid w:val="00524164"/>
    <w:rsid w:val="00527733"/>
    <w:rsid w:val="00531000"/>
    <w:rsid w:val="005363F8"/>
    <w:rsid w:val="005401E0"/>
    <w:rsid w:val="00544424"/>
    <w:rsid w:val="0054746C"/>
    <w:rsid w:val="00562BE8"/>
    <w:rsid w:val="00563EF3"/>
    <w:rsid w:val="0056490E"/>
    <w:rsid w:val="00564ADB"/>
    <w:rsid w:val="00565830"/>
    <w:rsid w:val="00565B5E"/>
    <w:rsid w:val="00566B5F"/>
    <w:rsid w:val="00567315"/>
    <w:rsid w:val="005739F7"/>
    <w:rsid w:val="005749DE"/>
    <w:rsid w:val="00574BB6"/>
    <w:rsid w:val="0058195F"/>
    <w:rsid w:val="00584A11"/>
    <w:rsid w:val="005854FC"/>
    <w:rsid w:val="0058662A"/>
    <w:rsid w:val="00587D1F"/>
    <w:rsid w:val="005953A1"/>
    <w:rsid w:val="00596242"/>
    <w:rsid w:val="00596958"/>
    <w:rsid w:val="00597970"/>
    <w:rsid w:val="005A0B82"/>
    <w:rsid w:val="005A0D62"/>
    <w:rsid w:val="005A1E8A"/>
    <w:rsid w:val="005A2F24"/>
    <w:rsid w:val="005A5AB9"/>
    <w:rsid w:val="005A6119"/>
    <w:rsid w:val="005B0254"/>
    <w:rsid w:val="005B4423"/>
    <w:rsid w:val="005B4DA4"/>
    <w:rsid w:val="005B7231"/>
    <w:rsid w:val="005C09F1"/>
    <w:rsid w:val="005C12CF"/>
    <w:rsid w:val="005C180F"/>
    <w:rsid w:val="005C77BE"/>
    <w:rsid w:val="005D0259"/>
    <w:rsid w:val="005D238D"/>
    <w:rsid w:val="005D2B40"/>
    <w:rsid w:val="005D4628"/>
    <w:rsid w:val="005E0B1A"/>
    <w:rsid w:val="005E45C6"/>
    <w:rsid w:val="005E68E7"/>
    <w:rsid w:val="005F7CE1"/>
    <w:rsid w:val="006010B6"/>
    <w:rsid w:val="00602995"/>
    <w:rsid w:val="006128A5"/>
    <w:rsid w:val="00613169"/>
    <w:rsid w:val="00620C6A"/>
    <w:rsid w:val="0062572C"/>
    <w:rsid w:val="00630E07"/>
    <w:rsid w:val="006339B7"/>
    <w:rsid w:val="0063784F"/>
    <w:rsid w:val="00637F43"/>
    <w:rsid w:val="00641F0D"/>
    <w:rsid w:val="00643772"/>
    <w:rsid w:val="00644A1B"/>
    <w:rsid w:val="00650E6C"/>
    <w:rsid w:val="006536D8"/>
    <w:rsid w:val="00654399"/>
    <w:rsid w:val="00654BA4"/>
    <w:rsid w:val="00660AA0"/>
    <w:rsid w:val="0066195A"/>
    <w:rsid w:val="00663FBE"/>
    <w:rsid w:val="0066458B"/>
    <w:rsid w:val="00664931"/>
    <w:rsid w:val="006670C8"/>
    <w:rsid w:val="006759AE"/>
    <w:rsid w:val="006841A7"/>
    <w:rsid w:val="00687348"/>
    <w:rsid w:val="00693721"/>
    <w:rsid w:val="006944B9"/>
    <w:rsid w:val="00694C22"/>
    <w:rsid w:val="006963BC"/>
    <w:rsid w:val="006970F4"/>
    <w:rsid w:val="006A1714"/>
    <w:rsid w:val="006A2E15"/>
    <w:rsid w:val="006A4398"/>
    <w:rsid w:val="006B3479"/>
    <w:rsid w:val="006D0B7E"/>
    <w:rsid w:val="006D3D49"/>
    <w:rsid w:val="006D5669"/>
    <w:rsid w:val="006E7CBB"/>
    <w:rsid w:val="006E7EBE"/>
    <w:rsid w:val="006F7028"/>
    <w:rsid w:val="006F749E"/>
    <w:rsid w:val="007024F1"/>
    <w:rsid w:val="00707D60"/>
    <w:rsid w:val="00713417"/>
    <w:rsid w:val="00714EDD"/>
    <w:rsid w:val="0071596F"/>
    <w:rsid w:val="00723505"/>
    <w:rsid w:val="007263B9"/>
    <w:rsid w:val="007352F2"/>
    <w:rsid w:val="00740C93"/>
    <w:rsid w:val="0075009F"/>
    <w:rsid w:val="00751AF6"/>
    <w:rsid w:val="00752A48"/>
    <w:rsid w:val="00757503"/>
    <w:rsid w:val="00757707"/>
    <w:rsid w:val="00761148"/>
    <w:rsid w:val="007633DD"/>
    <w:rsid w:val="007755E3"/>
    <w:rsid w:val="00781803"/>
    <w:rsid w:val="00781E6A"/>
    <w:rsid w:val="007830C6"/>
    <w:rsid w:val="007A2AE5"/>
    <w:rsid w:val="007B1800"/>
    <w:rsid w:val="007B1F57"/>
    <w:rsid w:val="007B3014"/>
    <w:rsid w:val="007B370F"/>
    <w:rsid w:val="007B4938"/>
    <w:rsid w:val="007C6502"/>
    <w:rsid w:val="007C7760"/>
    <w:rsid w:val="007D02D8"/>
    <w:rsid w:val="007D68B4"/>
    <w:rsid w:val="007E0402"/>
    <w:rsid w:val="007E3706"/>
    <w:rsid w:val="007F4CD3"/>
    <w:rsid w:val="007F61C2"/>
    <w:rsid w:val="00801456"/>
    <w:rsid w:val="008018DB"/>
    <w:rsid w:val="00803CA2"/>
    <w:rsid w:val="00807CAC"/>
    <w:rsid w:val="008115BF"/>
    <w:rsid w:val="008143B0"/>
    <w:rsid w:val="00816942"/>
    <w:rsid w:val="008212DA"/>
    <w:rsid w:val="00823681"/>
    <w:rsid w:val="00824341"/>
    <w:rsid w:val="00824D81"/>
    <w:rsid w:val="0082638F"/>
    <w:rsid w:val="00835322"/>
    <w:rsid w:val="008376AE"/>
    <w:rsid w:val="008416FD"/>
    <w:rsid w:val="00841929"/>
    <w:rsid w:val="00845FCF"/>
    <w:rsid w:val="008507FE"/>
    <w:rsid w:val="00853ABC"/>
    <w:rsid w:val="00863E08"/>
    <w:rsid w:val="00871D53"/>
    <w:rsid w:val="00871DCE"/>
    <w:rsid w:val="008755D6"/>
    <w:rsid w:val="00880340"/>
    <w:rsid w:val="00881405"/>
    <w:rsid w:val="00883F45"/>
    <w:rsid w:val="00886E29"/>
    <w:rsid w:val="0089069F"/>
    <w:rsid w:val="00893C9F"/>
    <w:rsid w:val="00895B40"/>
    <w:rsid w:val="00895DA2"/>
    <w:rsid w:val="00897359"/>
    <w:rsid w:val="008A050A"/>
    <w:rsid w:val="008A1C9C"/>
    <w:rsid w:val="008A55FC"/>
    <w:rsid w:val="008A7371"/>
    <w:rsid w:val="008B7EC5"/>
    <w:rsid w:val="008D25B7"/>
    <w:rsid w:val="008D26D8"/>
    <w:rsid w:val="008D379F"/>
    <w:rsid w:val="008D5479"/>
    <w:rsid w:val="008E0DC0"/>
    <w:rsid w:val="008E0DF5"/>
    <w:rsid w:val="008E3273"/>
    <w:rsid w:val="008E56BB"/>
    <w:rsid w:val="008F0C45"/>
    <w:rsid w:val="008F17E1"/>
    <w:rsid w:val="00904B00"/>
    <w:rsid w:val="009112D0"/>
    <w:rsid w:val="009253A8"/>
    <w:rsid w:val="00940C0F"/>
    <w:rsid w:val="00951DC3"/>
    <w:rsid w:val="0095548F"/>
    <w:rsid w:val="00965AD5"/>
    <w:rsid w:val="009744C8"/>
    <w:rsid w:val="00974530"/>
    <w:rsid w:val="00974659"/>
    <w:rsid w:val="00980E58"/>
    <w:rsid w:val="009815BD"/>
    <w:rsid w:val="00981886"/>
    <w:rsid w:val="00990102"/>
    <w:rsid w:val="00990FEC"/>
    <w:rsid w:val="00992257"/>
    <w:rsid w:val="009928CD"/>
    <w:rsid w:val="009949AA"/>
    <w:rsid w:val="00995921"/>
    <w:rsid w:val="009A1B08"/>
    <w:rsid w:val="009B0524"/>
    <w:rsid w:val="009B3A62"/>
    <w:rsid w:val="009C3CB9"/>
    <w:rsid w:val="009C4A13"/>
    <w:rsid w:val="009C6E33"/>
    <w:rsid w:val="009C745D"/>
    <w:rsid w:val="009D50C1"/>
    <w:rsid w:val="009E2D84"/>
    <w:rsid w:val="009E7B5F"/>
    <w:rsid w:val="009F279E"/>
    <w:rsid w:val="009F7DE3"/>
    <w:rsid w:val="00A04C8E"/>
    <w:rsid w:val="00A07154"/>
    <w:rsid w:val="00A11868"/>
    <w:rsid w:val="00A127D3"/>
    <w:rsid w:val="00A1386C"/>
    <w:rsid w:val="00A14335"/>
    <w:rsid w:val="00A14B43"/>
    <w:rsid w:val="00A166E7"/>
    <w:rsid w:val="00A178B0"/>
    <w:rsid w:val="00A23612"/>
    <w:rsid w:val="00A2604E"/>
    <w:rsid w:val="00A27C67"/>
    <w:rsid w:val="00A32860"/>
    <w:rsid w:val="00A40E4A"/>
    <w:rsid w:val="00A417A2"/>
    <w:rsid w:val="00A52189"/>
    <w:rsid w:val="00A57463"/>
    <w:rsid w:val="00A664DF"/>
    <w:rsid w:val="00A71219"/>
    <w:rsid w:val="00A713D0"/>
    <w:rsid w:val="00A722D4"/>
    <w:rsid w:val="00A74849"/>
    <w:rsid w:val="00A75AAA"/>
    <w:rsid w:val="00A82A29"/>
    <w:rsid w:val="00A86B6F"/>
    <w:rsid w:val="00A94B18"/>
    <w:rsid w:val="00AA516A"/>
    <w:rsid w:val="00AA5B0E"/>
    <w:rsid w:val="00AA6A4A"/>
    <w:rsid w:val="00AB4DBF"/>
    <w:rsid w:val="00AC0504"/>
    <w:rsid w:val="00AC1DB7"/>
    <w:rsid w:val="00AC381D"/>
    <w:rsid w:val="00AC3A7C"/>
    <w:rsid w:val="00AC62A6"/>
    <w:rsid w:val="00AC664F"/>
    <w:rsid w:val="00AC750B"/>
    <w:rsid w:val="00AD1E15"/>
    <w:rsid w:val="00AD6937"/>
    <w:rsid w:val="00AE1F12"/>
    <w:rsid w:val="00AE24CC"/>
    <w:rsid w:val="00AE4155"/>
    <w:rsid w:val="00AE45D5"/>
    <w:rsid w:val="00AE4B7C"/>
    <w:rsid w:val="00AE66F6"/>
    <w:rsid w:val="00AF17CE"/>
    <w:rsid w:val="00AF336D"/>
    <w:rsid w:val="00AF349B"/>
    <w:rsid w:val="00AF49FA"/>
    <w:rsid w:val="00AF65F0"/>
    <w:rsid w:val="00B009E9"/>
    <w:rsid w:val="00B01711"/>
    <w:rsid w:val="00B01B16"/>
    <w:rsid w:val="00B03644"/>
    <w:rsid w:val="00B062D0"/>
    <w:rsid w:val="00B11D16"/>
    <w:rsid w:val="00B12EA2"/>
    <w:rsid w:val="00B17A95"/>
    <w:rsid w:val="00B24588"/>
    <w:rsid w:val="00B30F2D"/>
    <w:rsid w:val="00B34021"/>
    <w:rsid w:val="00B34928"/>
    <w:rsid w:val="00B35B74"/>
    <w:rsid w:val="00B403F1"/>
    <w:rsid w:val="00B4163B"/>
    <w:rsid w:val="00B43A2F"/>
    <w:rsid w:val="00B447D7"/>
    <w:rsid w:val="00B556C9"/>
    <w:rsid w:val="00B55E1D"/>
    <w:rsid w:val="00B60113"/>
    <w:rsid w:val="00B6081E"/>
    <w:rsid w:val="00B61016"/>
    <w:rsid w:val="00B624EB"/>
    <w:rsid w:val="00B71BAA"/>
    <w:rsid w:val="00B76A1F"/>
    <w:rsid w:val="00B806DD"/>
    <w:rsid w:val="00B80940"/>
    <w:rsid w:val="00B82F8C"/>
    <w:rsid w:val="00B8460F"/>
    <w:rsid w:val="00B84D34"/>
    <w:rsid w:val="00B93C92"/>
    <w:rsid w:val="00B95477"/>
    <w:rsid w:val="00BA1D81"/>
    <w:rsid w:val="00BA7130"/>
    <w:rsid w:val="00BB436B"/>
    <w:rsid w:val="00BB5EF5"/>
    <w:rsid w:val="00BC58DF"/>
    <w:rsid w:val="00BC6431"/>
    <w:rsid w:val="00BD205B"/>
    <w:rsid w:val="00BD74AE"/>
    <w:rsid w:val="00BE16BC"/>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30486"/>
    <w:rsid w:val="00C30740"/>
    <w:rsid w:val="00C30DED"/>
    <w:rsid w:val="00C367A6"/>
    <w:rsid w:val="00C37BFF"/>
    <w:rsid w:val="00C42500"/>
    <w:rsid w:val="00C45F17"/>
    <w:rsid w:val="00C50BD5"/>
    <w:rsid w:val="00C50EB1"/>
    <w:rsid w:val="00C51458"/>
    <w:rsid w:val="00C51E5F"/>
    <w:rsid w:val="00C52E2C"/>
    <w:rsid w:val="00C53580"/>
    <w:rsid w:val="00C55838"/>
    <w:rsid w:val="00C56745"/>
    <w:rsid w:val="00C63C66"/>
    <w:rsid w:val="00C70729"/>
    <w:rsid w:val="00C71475"/>
    <w:rsid w:val="00C76958"/>
    <w:rsid w:val="00C77EF7"/>
    <w:rsid w:val="00C80D25"/>
    <w:rsid w:val="00C81026"/>
    <w:rsid w:val="00C82053"/>
    <w:rsid w:val="00C820F1"/>
    <w:rsid w:val="00C822C1"/>
    <w:rsid w:val="00C859F7"/>
    <w:rsid w:val="00C85A38"/>
    <w:rsid w:val="00C91512"/>
    <w:rsid w:val="00C94A53"/>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E64F2"/>
    <w:rsid w:val="00CF0C67"/>
    <w:rsid w:val="00CF0F40"/>
    <w:rsid w:val="00CF3AED"/>
    <w:rsid w:val="00CF4753"/>
    <w:rsid w:val="00D0083B"/>
    <w:rsid w:val="00D024BB"/>
    <w:rsid w:val="00D04DF4"/>
    <w:rsid w:val="00D15403"/>
    <w:rsid w:val="00D172D8"/>
    <w:rsid w:val="00D26488"/>
    <w:rsid w:val="00D3231A"/>
    <w:rsid w:val="00D35AF4"/>
    <w:rsid w:val="00D35B2D"/>
    <w:rsid w:val="00D44183"/>
    <w:rsid w:val="00D44A55"/>
    <w:rsid w:val="00D47931"/>
    <w:rsid w:val="00D47B74"/>
    <w:rsid w:val="00D47F3F"/>
    <w:rsid w:val="00D5276C"/>
    <w:rsid w:val="00D61B79"/>
    <w:rsid w:val="00D62C84"/>
    <w:rsid w:val="00D6384D"/>
    <w:rsid w:val="00D64D0D"/>
    <w:rsid w:val="00D653F3"/>
    <w:rsid w:val="00D65EC2"/>
    <w:rsid w:val="00D66B24"/>
    <w:rsid w:val="00D67307"/>
    <w:rsid w:val="00D820C2"/>
    <w:rsid w:val="00D82DD3"/>
    <w:rsid w:val="00D85E13"/>
    <w:rsid w:val="00D86288"/>
    <w:rsid w:val="00D872BC"/>
    <w:rsid w:val="00D916A6"/>
    <w:rsid w:val="00D954AE"/>
    <w:rsid w:val="00D96929"/>
    <w:rsid w:val="00DA1B6F"/>
    <w:rsid w:val="00DA529F"/>
    <w:rsid w:val="00DB364C"/>
    <w:rsid w:val="00DB5AAE"/>
    <w:rsid w:val="00DB636B"/>
    <w:rsid w:val="00DB6882"/>
    <w:rsid w:val="00DC4B63"/>
    <w:rsid w:val="00DC5017"/>
    <w:rsid w:val="00DC5129"/>
    <w:rsid w:val="00DD1009"/>
    <w:rsid w:val="00DD7F1B"/>
    <w:rsid w:val="00DE1A87"/>
    <w:rsid w:val="00DE451F"/>
    <w:rsid w:val="00DE7058"/>
    <w:rsid w:val="00E03D2D"/>
    <w:rsid w:val="00E12A7A"/>
    <w:rsid w:val="00E23063"/>
    <w:rsid w:val="00E27FD6"/>
    <w:rsid w:val="00E354FB"/>
    <w:rsid w:val="00E36A0F"/>
    <w:rsid w:val="00E400C7"/>
    <w:rsid w:val="00E40322"/>
    <w:rsid w:val="00E40CB4"/>
    <w:rsid w:val="00E41DB9"/>
    <w:rsid w:val="00E56612"/>
    <w:rsid w:val="00E71CC0"/>
    <w:rsid w:val="00E731AE"/>
    <w:rsid w:val="00E74310"/>
    <w:rsid w:val="00E74313"/>
    <w:rsid w:val="00E762BB"/>
    <w:rsid w:val="00E865C8"/>
    <w:rsid w:val="00E8661B"/>
    <w:rsid w:val="00E9084E"/>
    <w:rsid w:val="00E93FB8"/>
    <w:rsid w:val="00E962E6"/>
    <w:rsid w:val="00E97D7C"/>
    <w:rsid w:val="00EA0E8C"/>
    <w:rsid w:val="00EA1793"/>
    <w:rsid w:val="00EA689F"/>
    <w:rsid w:val="00EB162B"/>
    <w:rsid w:val="00EB2952"/>
    <w:rsid w:val="00EC1434"/>
    <w:rsid w:val="00EC688E"/>
    <w:rsid w:val="00EC6F9B"/>
    <w:rsid w:val="00EC72B0"/>
    <w:rsid w:val="00EC77B3"/>
    <w:rsid w:val="00ED0142"/>
    <w:rsid w:val="00EE18F2"/>
    <w:rsid w:val="00EE365D"/>
    <w:rsid w:val="00EF33BE"/>
    <w:rsid w:val="00EF4F97"/>
    <w:rsid w:val="00EF5552"/>
    <w:rsid w:val="00F037A2"/>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40BA"/>
    <w:rsid w:val="00F570F0"/>
    <w:rsid w:val="00F60E60"/>
    <w:rsid w:val="00F64069"/>
    <w:rsid w:val="00F64D6D"/>
    <w:rsid w:val="00F654D4"/>
    <w:rsid w:val="00F66182"/>
    <w:rsid w:val="00F71399"/>
    <w:rsid w:val="00F82EE1"/>
    <w:rsid w:val="00F93134"/>
    <w:rsid w:val="00FA696B"/>
    <w:rsid w:val="00FB078F"/>
    <w:rsid w:val="00FB3586"/>
    <w:rsid w:val="00FB7122"/>
    <w:rsid w:val="00FC39BA"/>
    <w:rsid w:val="00FC3F00"/>
    <w:rsid w:val="00FC750D"/>
    <w:rsid w:val="00FC7883"/>
    <w:rsid w:val="00FD0EA3"/>
    <w:rsid w:val="00FE34E4"/>
    <w:rsid w:val="00FF1D71"/>
    <w:rsid w:val="00FF31DF"/>
    <w:rsid w:val="00FF5141"/>
    <w:rsid w:val="00FF6332"/>
    <w:rsid w:val="128FFB1D"/>
    <w:rsid w:val="142BCB7E"/>
    <w:rsid w:val="1D3A4D75"/>
    <w:rsid w:val="2EC36C24"/>
    <w:rsid w:val="3E318280"/>
    <w:rsid w:val="5A95B6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B01B16"/>
    <w:rPr>
      <w:rFonts w:ascii="Times New Roman" w:hAnsi="Times New Roman"/>
      <w:b/>
      <w:sz w:val="26"/>
      <w:szCs w:val="26"/>
      <w:vertAlign w:val="superscript"/>
    </w:rPr>
  </w:style>
  <w:style w:type="paragraph" w:styleId="FootnoteText">
    <w:name w:val="footnote text"/>
    <w:aliases w:val="Char,Footnote Text Char Char,Footnote Text Char Char Char,Footnote Text Char1,Footnote Text Char1 Char,Footnote Text Char1 Char Char,Footnote Text Char1 Char1,Footnote Text Char2 Char,Footnote Text Char3,Footnote Text MRP,fn,fn1,fn3,fn4,ft"/>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3 Char,Footnote Text MRP Char,fn Char,fn1 Char,ft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styleId="UnresolvedMention">
    <w:name w:val="Unresolved Mention"/>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ERCparanumber">
    <w:name w:val="FERC paranumber"/>
    <w:basedOn w:val="Normal"/>
    <w:qFormat/>
    <w:rsid w:val="00B03644"/>
    <w:pPr>
      <w:widowControl w:val="0"/>
      <w:numPr>
        <w:numId w:val="18"/>
      </w:numPr>
      <w:autoSpaceDE w:val="0"/>
      <w:autoSpaceDN w:val="0"/>
      <w:adjustRightInd w:val="0"/>
    </w:pPr>
    <w:rPr>
      <w:rFonts w:asciiTheme="minorHAnsi" w:eastAsiaTheme="minorHAnsi" w:hAnsiTheme="minorHAnsi" w:cstheme="minorBidi"/>
      <w:sz w:val="24"/>
    </w:rPr>
  </w:style>
  <w:style w:type="table" w:customStyle="1" w:styleId="TableGrid1">
    <w:name w:val="Table Grid1"/>
    <w:basedOn w:val="TableNormal"/>
    <w:next w:val="TableGrid"/>
    <w:uiPriority w:val="39"/>
    <w:rsid w:val="007C6502"/>
    <w:pPr>
      <w:spacing w:after="0" w:line="240" w:lineRule="auto"/>
    </w:pPr>
    <w:rPr>
      <w:rFonts w:ascii="Times New Roman" w:hAnsi="Times New Roman"/>
      <w:sz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74a4cd09-5f17-433b-814a-38e7e9115d1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2.xml><?xml version="1.0" encoding="utf-8"?>
<ds:datastoreItem xmlns:ds="http://schemas.openxmlformats.org/officeDocument/2006/customXml" ds:itemID="{3AF992D7-0C89-460A-B683-67446413FF66}">
  <ds:schemaRefs>
    <ds:schemaRef ds:uri="Microsoft.SharePoint.Taxonomy.ContentTypeSync"/>
  </ds:schemaRefs>
</ds:datastoreItem>
</file>

<file path=customXml/itemProps3.xml><?xml version="1.0" encoding="utf-8"?>
<ds:datastoreItem xmlns:ds="http://schemas.openxmlformats.org/officeDocument/2006/customXml" ds:itemID="{660D7AB5-4F5A-4F61-B708-FDA8E2AE8C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99D739-F7A4-445B-9791-CF0B0493AF63}">
  <ds:schemaRefs>
    <ds:schemaRef ds:uri="http://schemas.openxmlformats.org/officeDocument/2006/bibliography"/>
  </ds:schemaRefs>
</ds:datastoreItem>
</file>

<file path=customXml/itemProps5.xml><?xml version="1.0" encoding="utf-8"?>
<ds:datastoreItem xmlns:ds="http://schemas.openxmlformats.org/officeDocument/2006/customXml" ds:itemID="{5BBB1DD4-8130-4FE7-964C-24C804F058DC}">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5e8733a2-e908-454b-85cf-c9d17e1d094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1195</Words>
  <Characters>6818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FERC-538 30-day Notice</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2016-12-20T13:40:00Z</cp:lastPrinted>
  <dcterms:created xsi:type="dcterms:W3CDTF">2022-09-15T19:27:00Z</dcterms:created>
  <dcterms:modified xsi:type="dcterms:W3CDTF">2022-09-15T19:27:00Z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55a89b-0f08-4a93-8ea2-8a916d6643b5_ActionId">
    <vt:lpwstr>51950c69-6b17-4fe5-a39d-5f2ca0777fa9</vt:lpwstr>
  </property>
  <property fmtid="{D5CDD505-2E9C-101B-9397-08002B2CF9AE}" pid="3" name="MSIP_Label_6155a89b-0f08-4a93-8ea2-8a916d6643b5_ContentBits">
    <vt:lpwstr>0</vt:lpwstr>
  </property>
  <property fmtid="{D5CDD505-2E9C-101B-9397-08002B2CF9AE}" pid="4" name="MSIP_Label_6155a89b-0f08-4a93-8ea2-8a916d6643b5_Enabled">
    <vt:lpwstr>true</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etDate">
    <vt:lpwstr>2022-09-15T19:26:20Z</vt:lpwstr>
  </property>
  <property fmtid="{D5CDD505-2E9C-101B-9397-08002B2CF9AE}" pid="8" name="MSIP_Label_6155a89b-0f08-4a93-8ea2-8a916d6643b5_SiteId">
    <vt:lpwstr>19caa9e9-04ff-43fa-885f-d77fac387903</vt:lpwstr>
  </property>
</Properties>
</file>