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3E6F" w:rsidRPr="00561399" w:rsidP="00FD66F1" w14:paraId="49405FA0" w14:textId="77777777">
      <w:pPr>
        <w:spacing w:after="0"/>
        <w:jc w:val="center"/>
        <w:rPr>
          <w:rFonts w:ascii="Times New Roman" w:hAnsi="Times New Roman" w:cs="Times New Roman"/>
          <w:sz w:val="24"/>
          <w:szCs w:val="24"/>
        </w:rPr>
      </w:pPr>
      <w:r w:rsidRPr="00561399">
        <w:rPr>
          <w:rFonts w:ascii="Times New Roman" w:hAnsi="Times New Roman" w:cs="Times New Roman"/>
          <w:sz w:val="24"/>
          <w:szCs w:val="24"/>
        </w:rPr>
        <w:t>Supporting Statement</w:t>
      </w:r>
      <w:r w:rsidRPr="00561399" w:rsidR="00A12B0C">
        <w:rPr>
          <w:rFonts w:ascii="Times New Roman" w:hAnsi="Times New Roman" w:cs="Times New Roman"/>
          <w:sz w:val="24"/>
          <w:szCs w:val="24"/>
        </w:rPr>
        <w:t xml:space="preserve"> for</w:t>
      </w:r>
    </w:p>
    <w:p w:rsidR="001D0E9F" w:rsidRPr="00561399" w:rsidP="00FA5726" w14:paraId="2E57099E" w14:textId="64220AE9">
      <w:pPr>
        <w:spacing w:after="0"/>
        <w:jc w:val="center"/>
        <w:rPr>
          <w:rFonts w:ascii="Times New Roman" w:hAnsi="Times New Roman" w:cs="Times New Roman"/>
          <w:b/>
          <w:sz w:val="24"/>
          <w:szCs w:val="24"/>
        </w:rPr>
      </w:pPr>
      <w:r w:rsidRPr="00561399">
        <w:rPr>
          <w:rFonts w:ascii="Times New Roman" w:hAnsi="Times New Roman" w:cs="Times New Roman"/>
          <w:b/>
          <w:sz w:val="24"/>
          <w:szCs w:val="24"/>
        </w:rPr>
        <w:t>FERC-725U</w:t>
      </w:r>
      <w:r w:rsidRPr="00561399" w:rsidR="00F002FB">
        <w:rPr>
          <w:rFonts w:ascii="Times New Roman" w:hAnsi="Times New Roman" w:cs="Times New Roman"/>
          <w:b/>
          <w:sz w:val="24"/>
          <w:szCs w:val="24"/>
        </w:rPr>
        <w:t>,</w:t>
      </w:r>
      <w:r w:rsidRPr="00561399" w:rsidR="00702D51">
        <w:rPr>
          <w:rFonts w:ascii="Times New Roman" w:hAnsi="Times New Roman" w:cs="Times New Roman"/>
          <w:b/>
          <w:sz w:val="24"/>
          <w:szCs w:val="24"/>
        </w:rPr>
        <w:t xml:space="preserve"> </w:t>
      </w:r>
      <w:r w:rsidRPr="00561399" w:rsidR="00A12B0C">
        <w:rPr>
          <w:rFonts w:ascii="Times New Roman" w:hAnsi="Times New Roman" w:cs="Times New Roman"/>
          <w:b/>
          <w:sz w:val="24"/>
          <w:szCs w:val="24"/>
        </w:rPr>
        <w:t xml:space="preserve">Mandatory Reliability Standards: </w:t>
      </w:r>
      <w:r w:rsidRPr="00561399" w:rsidR="009C06CD">
        <w:rPr>
          <w:rFonts w:ascii="Times New Roman" w:hAnsi="Times New Roman" w:cs="Times New Roman"/>
          <w:b/>
          <w:sz w:val="24"/>
          <w:szCs w:val="24"/>
        </w:rPr>
        <w:t>Reliability Standard CIP-014</w:t>
      </w:r>
    </w:p>
    <w:p w:rsidR="009C06CD" w:rsidRPr="00561399" w:rsidP="00FA5726" w14:paraId="12A52250" w14:textId="3301D92F">
      <w:pPr>
        <w:spacing w:after="0"/>
        <w:jc w:val="center"/>
        <w:rPr>
          <w:rFonts w:ascii="Times New Roman" w:hAnsi="Times New Roman" w:cs="Times New Roman"/>
          <w:b/>
          <w:sz w:val="24"/>
          <w:szCs w:val="24"/>
        </w:rPr>
      </w:pPr>
      <w:r w:rsidRPr="00561399">
        <w:rPr>
          <w:rFonts w:ascii="Times New Roman" w:hAnsi="Times New Roman" w:cs="Times New Roman"/>
          <w:sz w:val="24"/>
          <w:szCs w:val="24"/>
        </w:rPr>
        <w:t xml:space="preserve">(Three-year approval </w:t>
      </w:r>
      <w:r w:rsidRPr="00561399" w:rsidR="00561399">
        <w:rPr>
          <w:rFonts w:ascii="Times New Roman" w:hAnsi="Times New Roman" w:cs="Times New Roman"/>
          <w:sz w:val="24"/>
          <w:szCs w:val="24"/>
        </w:rPr>
        <w:t xml:space="preserve">and RD22-3 </w:t>
      </w:r>
      <w:r w:rsidRPr="00B51110">
        <w:rPr>
          <w:rFonts w:ascii="Times New Roman" w:hAnsi="Times New Roman" w:cs="Times New Roman"/>
          <w:sz w:val="24"/>
          <w:szCs w:val="24"/>
        </w:rPr>
        <w:t>for extension requested)</w:t>
      </w:r>
    </w:p>
    <w:p w:rsidR="00FD66F1" w:rsidRPr="00561399" w:rsidP="00FA5726" w14:paraId="573E72CE" w14:textId="77777777">
      <w:pPr>
        <w:spacing w:after="0"/>
        <w:rPr>
          <w:rFonts w:ascii="Times New Roman" w:hAnsi="Times New Roman" w:cs="Times New Roman"/>
          <w:sz w:val="24"/>
          <w:szCs w:val="24"/>
        </w:rPr>
      </w:pPr>
    </w:p>
    <w:p w:rsidR="00773AEB" w:rsidRPr="00561399" w:rsidP="007850E5" w14:paraId="11C73E67" w14:textId="53655A2C">
      <w:pPr>
        <w:spacing w:after="0"/>
        <w:rPr>
          <w:rFonts w:ascii="Times New Roman" w:hAnsi="Times New Roman" w:cs="Times New Roman"/>
          <w:sz w:val="24"/>
          <w:szCs w:val="24"/>
        </w:rPr>
      </w:pPr>
      <w:r w:rsidRPr="00561399">
        <w:rPr>
          <w:rFonts w:ascii="Times New Roman" w:hAnsi="Times New Roman" w:cs="Times New Roman"/>
          <w:sz w:val="24"/>
          <w:szCs w:val="24"/>
        </w:rPr>
        <w:t>The Federal Energy Regulatory Commission (FERC or Commission) request</w:t>
      </w:r>
      <w:r w:rsidRPr="00561399" w:rsidR="00EC19DF">
        <w:rPr>
          <w:rFonts w:ascii="Times New Roman" w:hAnsi="Times New Roman" w:cs="Times New Roman"/>
          <w:sz w:val="24"/>
          <w:szCs w:val="24"/>
        </w:rPr>
        <w:t>s</w:t>
      </w:r>
      <w:r w:rsidRPr="00561399">
        <w:rPr>
          <w:rFonts w:ascii="Times New Roman" w:hAnsi="Times New Roman" w:cs="Times New Roman"/>
          <w:sz w:val="24"/>
          <w:szCs w:val="24"/>
        </w:rPr>
        <w:t xml:space="preserve"> that the Office of Management and Budget (OMB) review</w:t>
      </w:r>
      <w:r w:rsidRPr="00561399" w:rsidR="00FA5726">
        <w:rPr>
          <w:rFonts w:ascii="Times New Roman" w:hAnsi="Times New Roman" w:cs="Times New Roman"/>
          <w:sz w:val="24"/>
          <w:szCs w:val="24"/>
        </w:rPr>
        <w:t xml:space="preserve"> and </w:t>
      </w:r>
      <w:r w:rsidRPr="00561399" w:rsidR="009667D6">
        <w:rPr>
          <w:rFonts w:ascii="Times New Roman" w:hAnsi="Times New Roman" w:cs="Times New Roman"/>
          <w:sz w:val="24"/>
          <w:szCs w:val="24"/>
        </w:rPr>
        <w:t>approve RD-22-3-000</w:t>
      </w:r>
      <w:r w:rsidRPr="00561399">
        <w:rPr>
          <w:rFonts w:ascii="Times New Roman" w:hAnsi="Times New Roman" w:cs="Times New Roman"/>
          <w:sz w:val="24"/>
          <w:szCs w:val="24"/>
        </w:rPr>
        <w:t xml:space="preserve"> </w:t>
      </w:r>
      <w:r w:rsidRPr="00561399" w:rsidR="006A0DFC">
        <w:rPr>
          <w:rFonts w:ascii="Times New Roman" w:hAnsi="Times New Roman" w:cs="Times New Roman"/>
          <w:sz w:val="24"/>
          <w:szCs w:val="24"/>
        </w:rPr>
        <w:t xml:space="preserve">the information collection requirements in </w:t>
      </w:r>
      <w:r w:rsidRPr="00561399" w:rsidR="00FA5726">
        <w:rPr>
          <w:rFonts w:ascii="Times New Roman" w:hAnsi="Times New Roman" w:cs="Times New Roman"/>
          <w:sz w:val="24"/>
          <w:szCs w:val="24"/>
        </w:rPr>
        <w:t xml:space="preserve">FERC-725U </w:t>
      </w:r>
      <w:r w:rsidRPr="00561399">
        <w:rPr>
          <w:rFonts w:ascii="Times New Roman" w:hAnsi="Times New Roman" w:cs="Times New Roman"/>
          <w:sz w:val="24"/>
          <w:szCs w:val="24"/>
        </w:rPr>
        <w:t>un</w:t>
      </w:r>
      <w:r w:rsidRPr="00561399" w:rsidR="00283AEE">
        <w:rPr>
          <w:rFonts w:ascii="Times New Roman" w:hAnsi="Times New Roman" w:cs="Times New Roman"/>
          <w:sz w:val="24"/>
          <w:szCs w:val="24"/>
        </w:rPr>
        <w:t xml:space="preserve">der OMB Control No. </w:t>
      </w:r>
      <w:r w:rsidRPr="00561399" w:rsidR="00FA5726">
        <w:rPr>
          <w:rFonts w:ascii="Times New Roman" w:hAnsi="Times New Roman" w:cs="Times New Roman"/>
          <w:sz w:val="24"/>
          <w:szCs w:val="24"/>
        </w:rPr>
        <w:t xml:space="preserve">1902-0274. </w:t>
      </w:r>
      <w:r w:rsidRPr="00561399" w:rsidR="003559FE">
        <w:rPr>
          <w:rFonts w:ascii="Times New Roman" w:hAnsi="Times New Roman" w:cs="Times New Roman"/>
          <w:sz w:val="24"/>
          <w:szCs w:val="24"/>
        </w:rPr>
        <w:t xml:space="preserve">This supporting statement covers the requirements </w:t>
      </w:r>
      <w:r w:rsidRPr="00561399" w:rsidR="00FA5726">
        <w:rPr>
          <w:rFonts w:ascii="Times New Roman" w:hAnsi="Times New Roman" w:cs="Times New Roman"/>
          <w:sz w:val="24"/>
          <w:szCs w:val="24"/>
        </w:rPr>
        <w:t>of the FERC-725U</w:t>
      </w:r>
      <w:r w:rsidRPr="00561399" w:rsidR="00283AEE">
        <w:rPr>
          <w:rFonts w:ascii="Times New Roman" w:hAnsi="Times New Roman" w:cs="Times New Roman"/>
          <w:sz w:val="24"/>
          <w:szCs w:val="24"/>
        </w:rPr>
        <w:t xml:space="preserve"> information collection</w:t>
      </w:r>
      <w:r w:rsidRPr="00561399" w:rsidR="00A12B0C">
        <w:rPr>
          <w:rFonts w:ascii="Times New Roman" w:hAnsi="Times New Roman" w:cs="Times New Roman"/>
          <w:sz w:val="24"/>
          <w:szCs w:val="24"/>
        </w:rPr>
        <w:t>.</w:t>
      </w:r>
      <w:r w:rsidRPr="00561399" w:rsidR="00283AEE">
        <w:rPr>
          <w:rFonts w:ascii="Times New Roman" w:hAnsi="Times New Roman" w:cs="Times New Roman"/>
          <w:sz w:val="24"/>
          <w:szCs w:val="24"/>
        </w:rPr>
        <w:t xml:space="preserve"> The reporti</w:t>
      </w:r>
      <w:r w:rsidRPr="00561399" w:rsidR="009B49D1">
        <w:rPr>
          <w:rFonts w:ascii="Times New Roman" w:hAnsi="Times New Roman" w:cs="Times New Roman"/>
          <w:sz w:val="24"/>
          <w:szCs w:val="24"/>
        </w:rPr>
        <w:t>ng requirements in the FERC-725U</w:t>
      </w:r>
      <w:r w:rsidRPr="00561399" w:rsidR="00283AEE">
        <w:rPr>
          <w:rFonts w:ascii="Times New Roman" w:hAnsi="Times New Roman" w:cs="Times New Roman"/>
          <w:sz w:val="24"/>
          <w:szCs w:val="24"/>
        </w:rPr>
        <w:t xml:space="preserve"> are</w:t>
      </w:r>
      <w:r w:rsidRPr="00561399" w:rsidR="001179B8">
        <w:rPr>
          <w:rFonts w:ascii="Times New Roman" w:hAnsi="Times New Roman" w:cs="Times New Roman"/>
          <w:sz w:val="24"/>
          <w:szCs w:val="24"/>
        </w:rPr>
        <w:t xml:space="preserve"> also</w:t>
      </w:r>
      <w:r w:rsidRPr="00561399" w:rsidR="00283AEE">
        <w:rPr>
          <w:rFonts w:ascii="Times New Roman" w:hAnsi="Times New Roman" w:cs="Times New Roman"/>
          <w:sz w:val="24"/>
          <w:szCs w:val="24"/>
        </w:rPr>
        <w:t xml:space="preserve"> contained in FERC’s regulations in 18 Code of Federal Regulations (CFR) Part 40.</w:t>
      </w:r>
      <w:r w:rsidRPr="00561399" w:rsidR="002C555F">
        <w:rPr>
          <w:rFonts w:ascii="Times New Roman" w:hAnsi="Times New Roman" w:cs="Times New Roman"/>
          <w:sz w:val="24"/>
          <w:szCs w:val="24"/>
        </w:rPr>
        <w:t xml:space="preserve"> FERC is also updating information associated with other NERC Reliability Standards that fall under FERC-725U.</w:t>
      </w:r>
    </w:p>
    <w:p w:rsidR="0002242D" w:rsidRPr="00561399" w:rsidP="00FD66F1" w14:paraId="23B1A8AC" w14:textId="77777777">
      <w:pPr>
        <w:spacing w:after="0"/>
        <w:rPr>
          <w:rFonts w:ascii="Times New Roman" w:hAnsi="Times New Roman" w:cs="Times New Roman"/>
          <w:sz w:val="24"/>
          <w:szCs w:val="24"/>
        </w:rPr>
      </w:pPr>
    </w:p>
    <w:p w:rsidR="00A72E7B" w:rsidRPr="00561399" w:rsidP="00A72E7B" w14:paraId="71A08B40"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CIRCUMSTANCES THAT MAKE THE COLLECTION OF INFORMATION NECESSARY</w:t>
      </w:r>
    </w:p>
    <w:p w:rsidR="00A72E7B" w:rsidRPr="00561399" w:rsidP="00EB3E6F" w14:paraId="370AFC01" w14:textId="77777777">
      <w:pPr>
        <w:spacing w:after="0"/>
        <w:rPr>
          <w:rFonts w:ascii="Times New Roman" w:hAnsi="Times New Roman" w:cs="Times New Roman"/>
          <w:sz w:val="24"/>
          <w:szCs w:val="24"/>
        </w:rPr>
      </w:pPr>
    </w:p>
    <w:p w:rsidR="00A12B0C" w:rsidRPr="00561399" w:rsidP="007850E5" w14:paraId="3B727F9D" w14:textId="7148D494">
      <w:pPr>
        <w:spacing w:after="0"/>
        <w:rPr>
          <w:rFonts w:ascii="Times New Roman" w:hAnsi="Times New Roman" w:cs="Times New Roman"/>
          <w:sz w:val="24"/>
          <w:szCs w:val="24"/>
        </w:rPr>
      </w:pPr>
      <w:r w:rsidRPr="0056139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w:t>
      </w:r>
      <w:r w:rsidRPr="00561399">
        <w:rPr>
          <w:rFonts w:ascii="Times New Roman" w:hAnsi="Times New Roman" w:cs="Times New Roman"/>
          <w:sz w:val="24"/>
          <w:szCs w:val="24"/>
        </w:rPr>
        <w:t>e Federal Power Act (FPA)</w:t>
      </w:r>
      <w:r>
        <w:rPr>
          <w:rStyle w:val="FootnoteReference"/>
          <w:rFonts w:ascii="Times New Roman" w:hAnsi="Times New Roman" w:cs="Times New Roman"/>
          <w:sz w:val="24"/>
          <w:szCs w:val="24"/>
        </w:rPr>
        <w:footnoteReference w:id="3"/>
      </w:r>
      <w:r w:rsidRPr="00561399">
        <w:rPr>
          <w:rFonts w:ascii="Times New Roman" w:hAnsi="Times New Roman" w:cs="Times New Roman"/>
          <w:sz w:val="24"/>
          <w:szCs w:val="24"/>
        </w:rPr>
        <w:t>, which requires a Commission-certified Electric Reliability Organization (ERO) to develop mandatory and enforceable Reliability Standards, which are subject to Commission review and approval.  Once approved, the Reliability Stan</w:t>
      </w:r>
      <w:r w:rsidRPr="00561399">
        <w:rPr>
          <w:rFonts w:ascii="Times New Roman" w:hAnsi="Times New Roman" w:cs="Times New Roman"/>
          <w:sz w:val="24"/>
          <w:szCs w:val="24"/>
        </w:rPr>
        <w:t>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4"/>
      </w:r>
    </w:p>
    <w:p w:rsidR="00561399" w:rsidRPr="00561399" w:rsidP="00561399" w14:paraId="055F3E70" w14:textId="77777777">
      <w:pPr>
        <w:spacing w:after="0"/>
        <w:rPr>
          <w:rFonts w:ascii="Times New Roman" w:hAnsi="Times New Roman" w:cs="Times New Roman"/>
          <w:b/>
          <w:sz w:val="24"/>
          <w:szCs w:val="24"/>
        </w:rPr>
      </w:pPr>
      <w:r w:rsidRPr="00561399">
        <w:rPr>
          <w:rFonts w:ascii="Times New Roman" w:hAnsi="Times New Roman" w:cs="Times New Roman"/>
          <w:b/>
          <w:sz w:val="24"/>
          <w:szCs w:val="24"/>
        </w:rPr>
        <w:t xml:space="preserve">Reliability Standard </w:t>
      </w:r>
      <w:r w:rsidRPr="00B51110">
        <w:rPr>
          <w:rFonts w:ascii="Times New Roman" w:hAnsi="Times New Roman" w:cs="Times New Roman"/>
          <w:b/>
          <w:sz w:val="24"/>
          <w:szCs w:val="24"/>
        </w:rPr>
        <w:t>CIP-014-1 (inactive as of 10/1/2</w:t>
      </w:r>
      <w:r w:rsidRPr="00B51110">
        <w:rPr>
          <w:rFonts w:ascii="Times New Roman" w:hAnsi="Times New Roman" w:cs="Times New Roman"/>
          <w:b/>
          <w:sz w:val="24"/>
          <w:szCs w:val="24"/>
        </w:rPr>
        <w:t>015)</w:t>
      </w:r>
    </w:p>
    <w:p w:rsidR="00561399" w:rsidRPr="00561399" w:rsidP="00561399" w14:paraId="31EB0FF4" w14:textId="77777777">
      <w:pPr>
        <w:spacing w:after="0"/>
        <w:rPr>
          <w:rFonts w:ascii="Times New Roman" w:hAnsi="Times New Roman" w:cs="Times New Roman"/>
          <w:sz w:val="24"/>
          <w:szCs w:val="24"/>
        </w:rPr>
      </w:pPr>
      <w:r w:rsidRPr="00561399">
        <w:rPr>
          <w:rFonts w:ascii="Times New Roman" w:hAnsi="Times New Roman" w:cs="Times New Roman"/>
          <w:sz w:val="24"/>
          <w:szCs w:val="24"/>
        </w:rPr>
        <w:t>On 11/20/2014, FERC issued an order</w:t>
      </w:r>
      <w:r>
        <w:rPr>
          <w:rStyle w:val="FootnoteReference"/>
          <w:rFonts w:ascii="Times New Roman" w:hAnsi="Times New Roman" w:cs="Times New Roman"/>
          <w:sz w:val="24"/>
          <w:szCs w:val="24"/>
          <w:vertAlign w:val="superscript"/>
        </w:rPr>
        <w:footnoteReference w:id="5"/>
      </w:r>
      <w:r w:rsidRPr="00561399">
        <w:rPr>
          <w:rFonts w:ascii="Times New Roman" w:hAnsi="Times New Roman" w:cs="Times New Roman"/>
          <w:sz w:val="24"/>
          <w:szCs w:val="24"/>
        </w:rPr>
        <w:t xml:space="preserve"> approving Reliability Standard CIP-014-1.  Reliability Standard CIP-014-1 enhanced physical security measures for the critical Bulk-Power System facilities and lessened the overall vulnerability of the Bulk-Power </w:t>
      </w:r>
      <w:r w:rsidRPr="00561399">
        <w:rPr>
          <w:rFonts w:ascii="Times New Roman" w:hAnsi="Times New Roman" w:cs="Times New Roman"/>
          <w:sz w:val="24"/>
          <w:szCs w:val="24"/>
        </w:rPr>
        <w:t>System against physical attacks.</w:t>
      </w:r>
    </w:p>
    <w:p w:rsidR="00561399" w:rsidRPr="00561399" w:rsidP="00561399" w14:paraId="21CFBF23" w14:textId="77777777">
      <w:pPr>
        <w:spacing w:after="0"/>
        <w:rPr>
          <w:rFonts w:ascii="Times New Roman" w:hAnsi="Times New Roman" w:cs="Times New Roman"/>
          <w:sz w:val="24"/>
          <w:szCs w:val="24"/>
        </w:rPr>
      </w:pPr>
    </w:p>
    <w:p w:rsidR="00561399" w:rsidRPr="00561399" w:rsidP="00561399" w14:paraId="39E45DBC" w14:textId="77777777">
      <w:pPr>
        <w:spacing w:after="0"/>
        <w:rPr>
          <w:rFonts w:ascii="Times New Roman" w:hAnsi="Times New Roman" w:cs="Times New Roman"/>
          <w:b/>
          <w:sz w:val="24"/>
          <w:szCs w:val="24"/>
        </w:rPr>
      </w:pPr>
      <w:r w:rsidRPr="00561399">
        <w:rPr>
          <w:rFonts w:ascii="Times New Roman" w:hAnsi="Times New Roman" w:cs="Times New Roman"/>
          <w:b/>
          <w:sz w:val="24"/>
          <w:szCs w:val="24"/>
        </w:rPr>
        <w:t>Reliability Standard CIP-014-2 (inactive as of 6/16/2022)</w:t>
      </w:r>
    </w:p>
    <w:p w:rsidR="00561399" w:rsidRPr="00561399" w:rsidP="00561399" w14:paraId="08ECBBBC" w14:textId="77777777">
      <w:pPr>
        <w:spacing w:after="0"/>
        <w:rPr>
          <w:rFonts w:ascii="Times New Roman" w:hAnsi="Times New Roman" w:cs="Times New Roman"/>
          <w:sz w:val="24"/>
          <w:szCs w:val="24"/>
        </w:rPr>
      </w:pPr>
      <w:r w:rsidRPr="00561399">
        <w:rPr>
          <w:rFonts w:ascii="Times New Roman" w:hAnsi="Times New Roman" w:cs="Times New Roman"/>
          <w:sz w:val="24"/>
          <w:szCs w:val="24"/>
        </w:rPr>
        <w:t xml:space="preserve">On 7/14/2015, FERC issued a letter order approving Reliability Standard CIP-014-2 (the current version of the Reliability Standard).  Reliability Standard </w:t>
      </w:r>
      <w:r w:rsidRPr="00561399">
        <w:rPr>
          <w:rFonts w:ascii="Times New Roman" w:hAnsi="Times New Roman" w:cs="Times New Roman"/>
          <w:sz w:val="24"/>
          <w:szCs w:val="24"/>
        </w:rPr>
        <w:t>CIP-014-2 modified Reliability Standard CIP-014-1 by removing the term “widespread” from Requirement R1.  Removing the term ensured that:</w:t>
      </w:r>
    </w:p>
    <w:p w:rsidR="00561399" w:rsidRPr="00561399" w:rsidP="00561399" w14:paraId="7CEAC4E1" w14:textId="77777777">
      <w:pPr>
        <w:pStyle w:val="ListParagraph"/>
        <w:numPr>
          <w:ilvl w:val="0"/>
          <w:numId w:val="27"/>
        </w:numPr>
        <w:spacing w:after="0"/>
        <w:rPr>
          <w:rFonts w:ascii="Times New Roman" w:hAnsi="Times New Roman" w:cs="Times New Roman"/>
          <w:sz w:val="24"/>
          <w:szCs w:val="24"/>
        </w:rPr>
      </w:pPr>
      <w:r w:rsidRPr="00561399">
        <w:rPr>
          <w:rFonts w:ascii="Times New Roman" w:hAnsi="Times New Roman" w:cs="Times New Roman"/>
          <w:sz w:val="24"/>
          <w:szCs w:val="24"/>
        </w:rPr>
        <w:t>Applicable entities identify appropriate critical facilities under Requirement R1, and</w:t>
      </w:r>
    </w:p>
    <w:p w:rsidR="00561399" w:rsidRPr="00561399" w:rsidP="00561399" w14:paraId="558FE4AC" w14:textId="77777777">
      <w:pPr>
        <w:pStyle w:val="ListParagraph"/>
        <w:numPr>
          <w:ilvl w:val="0"/>
          <w:numId w:val="27"/>
        </w:numPr>
        <w:spacing w:after="0"/>
        <w:rPr>
          <w:rFonts w:ascii="Times New Roman" w:hAnsi="Times New Roman" w:cs="Times New Roman"/>
          <w:sz w:val="24"/>
          <w:szCs w:val="24"/>
        </w:rPr>
      </w:pPr>
      <w:r w:rsidRPr="00561399">
        <w:rPr>
          <w:rFonts w:ascii="Times New Roman" w:hAnsi="Times New Roman" w:cs="Times New Roman"/>
          <w:sz w:val="24"/>
          <w:szCs w:val="24"/>
        </w:rPr>
        <w:t>The electric reliability organi</w:t>
      </w:r>
      <w:r w:rsidRPr="00561399">
        <w:rPr>
          <w:rFonts w:ascii="Times New Roman" w:hAnsi="Times New Roman" w:cs="Times New Roman"/>
          <w:sz w:val="24"/>
          <w:szCs w:val="24"/>
        </w:rPr>
        <w:t>zation enforces the CIP-014-2 Reliability Standard in a more consistent manner.</w:t>
      </w:r>
    </w:p>
    <w:p w:rsidR="00FC78A0" w:rsidRPr="00561399" w:rsidP="00FC78A0" w14:paraId="51B9F68D" w14:textId="77777777">
      <w:pPr>
        <w:spacing w:after="0"/>
        <w:rPr>
          <w:rFonts w:ascii="Times New Roman" w:hAnsi="Times New Roman" w:cs="Times New Roman"/>
          <w:sz w:val="24"/>
          <w:szCs w:val="24"/>
        </w:rPr>
      </w:pPr>
    </w:p>
    <w:p w:rsidR="00A72E7B" w:rsidRPr="00561399" w:rsidP="00A72E7B" w14:paraId="66345B28"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HOW, BY WHOM, AND FOR WHAT PURPOSE THE INFORMATION IS TO BE USED AND THE CONSEQUENCES OF NOT COLLECTING THE INFORMATION</w:t>
      </w:r>
    </w:p>
    <w:p w:rsidR="00EB3E6F" w:rsidRPr="00561399" w:rsidP="00EB3E6F" w14:paraId="019A08DE" w14:textId="77777777">
      <w:pPr>
        <w:spacing w:after="0"/>
        <w:rPr>
          <w:rFonts w:ascii="Times New Roman" w:hAnsi="Times New Roman" w:cs="Times New Roman"/>
          <w:sz w:val="24"/>
          <w:szCs w:val="24"/>
        </w:rPr>
      </w:pPr>
    </w:p>
    <w:p w:rsidR="001179B8" w:rsidRPr="00561399" w:rsidP="001179B8" w14:paraId="7ACA701E" w14:textId="77777777">
      <w:pPr>
        <w:pStyle w:val="ListParagraph"/>
        <w:spacing w:after="0"/>
        <w:ind w:left="780"/>
        <w:rPr>
          <w:rFonts w:ascii="Times New Roman" w:hAnsi="Times New Roman" w:cs="Times New Roman"/>
          <w:sz w:val="24"/>
          <w:szCs w:val="24"/>
        </w:rPr>
      </w:pPr>
    </w:p>
    <w:p w:rsidR="00C32F55" w:rsidRPr="00CE0C92" w:rsidP="00DF052C" w14:paraId="57B4FC64" w14:textId="77777777">
      <w:pPr>
        <w:keepNext/>
        <w:keepLines/>
        <w:tabs>
          <w:tab w:val="num" w:pos="1440"/>
        </w:tabs>
        <w:spacing w:after="260" w:line="240" w:lineRule="auto"/>
        <w:ind w:left="1440" w:hanging="720"/>
        <w:outlineLvl w:val="1"/>
        <w:rPr>
          <w:rFonts w:ascii="Times New Roman" w:eastAsia="Times New Roman" w:hAnsi="Times New Roman" w:cs="Times New Roman"/>
          <w:b/>
          <w:bCs/>
          <w:kern w:val="32"/>
          <w:sz w:val="24"/>
          <w:szCs w:val="24"/>
          <w:u w:val="single"/>
        </w:rPr>
      </w:pPr>
      <w:r w:rsidRPr="00CE0C92">
        <w:rPr>
          <w:rFonts w:ascii="Times New Roman" w:eastAsia="Times New Roman" w:hAnsi="Times New Roman" w:cs="Times New Roman"/>
          <w:b/>
          <w:bCs/>
          <w:kern w:val="32"/>
          <w:sz w:val="24"/>
          <w:szCs w:val="24"/>
          <w:u w:val="single"/>
        </w:rPr>
        <w:t xml:space="preserve">Section 215 and Mandatory Reliability </w:t>
      </w:r>
      <w:r w:rsidRPr="00CE0C92">
        <w:rPr>
          <w:rFonts w:ascii="Times New Roman" w:eastAsia="Times New Roman" w:hAnsi="Times New Roman" w:cs="Times New Roman"/>
          <w:b/>
          <w:bCs/>
          <w:kern w:val="32"/>
          <w:sz w:val="24"/>
          <w:szCs w:val="24"/>
          <w:u w:val="single"/>
        </w:rPr>
        <w:t>Standards</w:t>
      </w:r>
    </w:p>
    <w:p w:rsidR="00C32F55" w:rsidRPr="00CE0C92" w:rsidP="00DF052C" w14:paraId="5543786B"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Section 215 of the Federal Power Act (FPA) requires a Commission-certified ERO to develop mandatory and enforceable Reliability Standards, subject to Commission review and approval.  The ERO is obligated to file each</w:t>
      </w:r>
      <w:hyperlink r:id="rId9" w:history="1">
        <w:r w:rsidRPr="00CE0C92">
          <w:rPr>
            <w:rFonts w:ascii="Times New Roman" w:eastAsia="Calibri" w:hAnsi="Times New Roman" w:cs="Times New Roman"/>
            <w:sz w:val="24"/>
            <w:szCs w:val="24"/>
          </w:rPr>
          <w:t> Reliability Standard </w:t>
        </w:r>
      </w:hyperlink>
      <w:r w:rsidRPr="00CE0C92">
        <w:rPr>
          <w:rFonts w:ascii="Times New Roman" w:eastAsia="Calibri" w:hAnsi="Times New Roman" w:cs="Times New Roman"/>
          <w:sz w:val="24"/>
          <w:szCs w:val="24"/>
        </w:rPr>
        <w:t>or modification to a</w:t>
      </w:r>
      <w:hyperlink r:id="rId9" w:history="1">
        <w:r w:rsidRPr="00CE0C92">
          <w:rPr>
            <w:rFonts w:ascii="Times New Roman" w:eastAsia="Calibri" w:hAnsi="Times New Roman" w:cs="Times New Roman"/>
            <w:sz w:val="24"/>
            <w:szCs w:val="24"/>
          </w:rPr>
          <w:t> Reliability Standard </w:t>
        </w:r>
      </w:hyperlink>
      <w:r w:rsidRPr="00CE0C92">
        <w:rPr>
          <w:rFonts w:ascii="Times New Roman" w:eastAsia="Calibri" w:hAnsi="Times New Roman" w:cs="Times New Roman"/>
          <w:sz w:val="24"/>
          <w:szCs w:val="24"/>
        </w:rPr>
        <w:t xml:space="preserve">that it proposes to be made effective with the </w:t>
      </w:r>
      <w:r w:rsidRPr="00CE0C92">
        <w:rPr>
          <w:rFonts w:ascii="Times New Roman" w:eastAsia="Calibri" w:hAnsi="Times New Roman" w:cs="Times New Roman"/>
          <w:sz w:val="24"/>
          <w:szCs w:val="24"/>
        </w:rPr>
        <w:t>Commission.</w:t>
      </w:r>
      <w:r>
        <w:rPr>
          <w:rFonts w:ascii="Times New Roman" w:eastAsia="Calibri" w:hAnsi="Times New Roman" w:cs="Times New Roman"/>
          <w:b/>
          <w:bCs/>
          <w:sz w:val="24"/>
          <w:szCs w:val="24"/>
          <w:vertAlign w:val="superscript"/>
        </w:rPr>
        <w:footnoteReference w:id="6"/>
      </w:r>
      <w:r w:rsidRPr="00CE0C92">
        <w:rPr>
          <w:rFonts w:ascii="Times New Roman" w:eastAsia="Calibri" w:hAnsi="Times New Roman" w:cs="Times New Roman"/>
          <w:sz w:val="24"/>
          <w:szCs w:val="24"/>
        </w:rPr>
        <w:t xml:space="preserve">  Reliability Standards may be enforced by the ERO, subject to Commission oversight, or by the Commission independently.</w:t>
      </w:r>
      <w:r>
        <w:rPr>
          <w:rFonts w:ascii="Times New Roman" w:eastAsia="Calibri" w:hAnsi="Times New Roman" w:cs="Times New Roman"/>
          <w:b/>
          <w:bCs/>
          <w:sz w:val="24"/>
          <w:szCs w:val="24"/>
          <w:vertAlign w:val="superscript"/>
        </w:rPr>
        <w:footnoteReference w:id="7"/>
      </w:r>
      <w:r w:rsidRPr="00CE0C92">
        <w:rPr>
          <w:rFonts w:ascii="Times New Roman" w:eastAsia="Calibri" w:hAnsi="Times New Roman" w:cs="Times New Roman"/>
          <w:sz w:val="24"/>
          <w:szCs w:val="24"/>
        </w:rPr>
        <w:t xml:space="preserve">  Pursuant to section 215 of the FPA, the Commission established a process to select and certify an ERO,</w:t>
      </w:r>
      <w:r>
        <w:rPr>
          <w:rFonts w:ascii="Times New Roman" w:eastAsia="Calibri" w:hAnsi="Times New Roman" w:cs="Times New Roman"/>
          <w:b/>
          <w:bCs/>
          <w:sz w:val="24"/>
          <w:szCs w:val="24"/>
          <w:vertAlign w:val="superscript"/>
        </w:rPr>
        <w:footnoteReference w:id="8"/>
      </w:r>
      <w:r w:rsidRPr="00CE0C92">
        <w:rPr>
          <w:rFonts w:ascii="Times New Roman" w:eastAsia="Calibri" w:hAnsi="Times New Roman" w:cs="Times New Roman"/>
          <w:sz w:val="24"/>
          <w:szCs w:val="24"/>
        </w:rPr>
        <w:t xml:space="preserve"> and subsequent</w:t>
      </w:r>
      <w:r w:rsidRPr="00CE0C92">
        <w:rPr>
          <w:rFonts w:ascii="Times New Roman" w:eastAsia="Calibri" w:hAnsi="Times New Roman" w:cs="Times New Roman"/>
          <w:sz w:val="24"/>
          <w:szCs w:val="24"/>
        </w:rPr>
        <w:t>ly certified NERC.</w:t>
      </w:r>
      <w:r>
        <w:rPr>
          <w:rFonts w:ascii="Times New Roman" w:eastAsia="Calibri" w:hAnsi="Times New Roman" w:cs="Times New Roman"/>
          <w:b/>
          <w:bCs/>
          <w:sz w:val="24"/>
          <w:szCs w:val="24"/>
          <w:vertAlign w:val="superscript"/>
        </w:rPr>
        <w:footnoteReference w:id="9"/>
      </w:r>
    </w:p>
    <w:p w:rsidR="00C32F55" w:rsidRPr="00CE0C92" w:rsidP="00C32F55" w14:paraId="186F96E3" w14:textId="77777777">
      <w:pPr>
        <w:keepNext/>
        <w:keepLines/>
        <w:numPr>
          <w:ilvl w:val="1"/>
          <w:numId w:val="0"/>
        </w:numPr>
        <w:tabs>
          <w:tab w:val="num" w:pos="1440"/>
        </w:tabs>
        <w:spacing w:after="260" w:line="240" w:lineRule="auto"/>
        <w:ind w:left="1440" w:hanging="720"/>
        <w:outlineLvl w:val="1"/>
        <w:rPr>
          <w:rFonts w:ascii="Times New Roman" w:eastAsia="Times New Roman" w:hAnsi="Times New Roman" w:cs="Times New Roman"/>
          <w:b/>
          <w:kern w:val="32"/>
          <w:sz w:val="24"/>
          <w:szCs w:val="24"/>
          <w:u w:val="single"/>
        </w:rPr>
      </w:pPr>
      <w:r w:rsidRPr="00CE0C92">
        <w:rPr>
          <w:rFonts w:ascii="Times New Roman" w:eastAsia="Times New Roman" w:hAnsi="Times New Roman" w:cs="Times New Roman"/>
          <w:b/>
          <w:kern w:val="32"/>
          <w:sz w:val="24"/>
          <w:szCs w:val="24"/>
          <w:u w:val="single"/>
        </w:rPr>
        <w:t>Currently Effective Reliability Standard CIP-014-2</w:t>
      </w:r>
    </w:p>
    <w:p w:rsidR="00C32F55" w:rsidRPr="00CE0C92" w:rsidP="00DF052C" w14:paraId="0BFC392A" w14:textId="0A0447E9">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Reliability Standard CIP-014-2, which applies to transmission owners and transmission operators, is designed to “identify and protect Transmission stations and Transmission substations</w:t>
      </w:r>
      <w:r w:rsidRPr="00CE0C92">
        <w:rPr>
          <w:rFonts w:ascii="Times New Roman" w:eastAsia="Calibri" w:hAnsi="Times New Roman" w:cs="Times New Roman"/>
          <w:sz w:val="24"/>
          <w:szCs w:val="24"/>
        </w:rPr>
        <w:t>, and their associated primary control centers, that if rendered inoperable or damaged as a result of a physical attack could result in widespread instability, uncontrolled separation, or Cascading within an Interconnection.”</w:t>
      </w:r>
      <w:r>
        <w:rPr>
          <w:rFonts w:ascii="Times New Roman" w:eastAsia="Calibri" w:hAnsi="Times New Roman" w:cs="Times New Roman"/>
          <w:b/>
          <w:bCs/>
          <w:sz w:val="24"/>
          <w:szCs w:val="24"/>
          <w:vertAlign w:val="superscript"/>
        </w:rPr>
        <w:footnoteReference w:id="10"/>
      </w:r>
      <w:r w:rsidRPr="00CE0C92">
        <w:rPr>
          <w:rFonts w:ascii="Times New Roman" w:eastAsia="Calibri" w:hAnsi="Times New Roman" w:cs="Times New Roman"/>
          <w:sz w:val="24"/>
          <w:szCs w:val="24"/>
        </w:rPr>
        <w:t xml:space="preserve">  Pursuant to the Reliability</w:t>
      </w:r>
      <w:r w:rsidRPr="00CE0C92">
        <w:rPr>
          <w:rFonts w:ascii="Times New Roman" w:eastAsia="Calibri" w:hAnsi="Times New Roman" w:cs="Times New Roman"/>
          <w:sz w:val="24"/>
          <w:szCs w:val="24"/>
        </w:rPr>
        <w:t xml:space="preserve"> Standard, transmission owners must perform an initial and subsequent risk assessments to identify the transmission stations and substations that, if rendered inoperable or damaged could result in instability, uncontrolled separation, or cascading within a</w:t>
      </w:r>
      <w:r w:rsidRPr="00CE0C92">
        <w:rPr>
          <w:rFonts w:ascii="Times New Roman" w:eastAsia="Calibri" w:hAnsi="Times New Roman" w:cs="Times New Roman"/>
          <w:sz w:val="24"/>
          <w:szCs w:val="24"/>
        </w:rPr>
        <w:t>n Interconnection, and is subject to a third</w:t>
      </w:r>
      <w:r w:rsidRPr="00CE0C92" w:rsidR="42013EA9">
        <w:rPr>
          <w:rFonts w:ascii="Times New Roman" w:eastAsia="Calibri" w:hAnsi="Times New Roman" w:cs="Times New Roman"/>
          <w:sz w:val="24"/>
          <w:szCs w:val="24"/>
        </w:rPr>
        <w:t>-</w:t>
      </w:r>
      <w:r w:rsidRPr="00CE0C92">
        <w:rPr>
          <w:rFonts w:ascii="Times New Roman" w:eastAsia="Calibri" w:hAnsi="Times New Roman" w:cs="Times New Roman"/>
          <w:sz w:val="24"/>
          <w:szCs w:val="24"/>
        </w:rPr>
        <w:t>party verification.  Transmission owners that control identified facilities must conduct an evaluation of the potential threats and vulnerabilities of a physical attack to transmission stations and substation, a</w:t>
      </w:r>
      <w:r w:rsidRPr="00CE0C92">
        <w:rPr>
          <w:rFonts w:ascii="Times New Roman" w:eastAsia="Calibri" w:hAnsi="Times New Roman" w:cs="Times New Roman"/>
          <w:sz w:val="24"/>
          <w:szCs w:val="24"/>
        </w:rPr>
        <w:t>s well as primary control centers, develop and implement a documented physical security plan and have a third-party review of the evaluation.</w:t>
      </w:r>
    </w:p>
    <w:p w:rsidR="00C32F55" w:rsidRPr="00CE0C92" w:rsidP="00C32F55" w14:paraId="6629CAA9" w14:textId="77777777">
      <w:pPr>
        <w:keepNext/>
        <w:keepLines/>
        <w:numPr>
          <w:ilvl w:val="1"/>
          <w:numId w:val="0"/>
        </w:numPr>
        <w:tabs>
          <w:tab w:val="num" w:pos="1440"/>
        </w:tabs>
        <w:spacing w:after="260" w:line="240" w:lineRule="auto"/>
        <w:ind w:left="1440" w:hanging="720"/>
        <w:outlineLvl w:val="1"/>
        <w:rPr>
          <w:rFonts w:ascii="Times New Roman" w:eastAsia="Times New Roman" w:hAnsi="Times New Roman" w:cs="Times New Roman"/>
          <w:b/>
          <w:kern w:val="32"/>
          <w:sz w:val="24"/>
          <w:szCs w:val="24"/>
          <w:u w:val="single"/>
        </w:rPr>
      </w:pPr>
      <w:r w:rsidRPr="00CE0C92">
        <w:rPr>
          <w:rFonts w:ascii="Times New Roman" w:eastAsia="Times New Roman" w:hAnsi="Times New Roman" w:cs="Times New Roman"/>
          <w:b/>
          <w:kern w:val="32"/>
          <w:sz w:val="24"/>
          <w:szCs w:val="24"/>
          <w:u w:val="single"/>
        </w:rPr>
        <w:t>NERC Petition for Modifications to the Compliance Section of Reliability Standard CIP-014</w:t>
      </w:r>
    </w:p>
    <w:p w:rsidR="00C32F55" w:rsidRPr="00CE0C92" w:rsidP="2B40F747" w14:paraId="4E947C65" w14:textId="3DC6623C">
      <w:pPr>
        <w:tabs>
          <w:tab w:val="num" w:pos="720"/>
        </w:tabs>
        <w:spacing w:after="260" w:line="240" w:lineRule="auto"/>
        <w:rPr>
          <w:rFonts w:ascii="Times New Roman" w:eastAsia="Calibri" w:hAnsi="Times New Roman" w:cs="Times New Roman"/>
          <w:sz w:val="24"/>
          <w:szCs w:val="24"/>
        </w:rPr>
      </w:pPr>
      <w:bookmarkStart w:id="0" w:name="_Hlk79496218"/>
      <w:r w:rsidRPr="00CE0C92">
        <w:rPr>
          <w:rFonts w:ascii="Times New Roman" w:eastAsia="Calibri" w:hAnsi="Times New Roman" w:cs="Times New Roman"/>
          <w:sz w:val="24"/>
          <w:szCs w:val="24"/>
        </w:rPr>
        <w:t xml:space="preserve">NERC proposes to remove </w:t>
      </w:r>
      <w:r w:rsidRPr="00CE0C92">
        <w:rPr>
          <w:rFonts w:ascii="Times New Roman" w:eastAsia="Calibri" w:hAnsi="Times New Roman" w:cs="Times New Roman"/>
          <w:sz w:val="24"/>
          <w:szCs w:val="24"/>
        </w:rPr>
        <w:t>section C.1.1.4., Additional Compliance Information, from the compliance section of the currently effective Reliability Standard CIP-014-2 (Physical Security) that requires all evidence demonstrating compliance with this Reliability Standard to be retained</w:t>
      </w:r>
      <w:r w:rsidRPr="00CE0C92">
        <w:rPr>
          <w:rFonts w:ascii="Times New Roman" w:eastAsia="Calibri" w:hAnsi="Times New Roman" w:cs="Times New Roman"/>
          <w:sz w:val="24"/>
          <w:szCs w:val="24"/>
        </w:rPr>
        <w:t xml:space="preserve"> at the transmission owner’s or transmission operator’s</w:t>
      </w:r>
      <w:r w:rsidRPr="00CE0C92" w:rsidR="417822A5">
        <w:rPr>
          <w:rFonts w:ascii="Times New Roman" w:eastAsia="Calibri" w:hAnsi="Times New Roman" w:cs="Times New Roman"/>
          <w:sz w:val="24"/>
          <w:szCs w:val="24"/>
        </w:rPr>
        <w:t xml:space="preserve"> </w:t>
      </w:r>
      <w:r w:rsidRPr="00CE0C92">
        <w:rPr>
          <w:rFonts w:ascii="Times New Roman" w:eastAsia="Calibri" w:hAnsi="Times New Roman" w:cs="Times New Roman"/>
          <w:sz w:val="24"/>
          <w:szCs w:val="24"/>
        </w:rPr>
        <w:t>facility in order to protect the entity’s confidential information.</w:t>
      </w:r>
      <w:r>
        <w:rPr>
          <w:rFonts w:ascii="Times New Roman" w:eastAsia="Calibri" w:hAnsi="Times New Roman" w:cs="Times New Roman"/>
          <w:b/>
          <w:bCs/>
          <w:sz w:val="24"/>
          <w:szCs w:val="24"/>
          <w:vertAlign w:val="superscript"/>
        </w:rPr>
        <w:footnoteReference w:id="11"/>
      </w:r>
      <w:r w:rsidRPr="00CE0C92">
        <w:rPr>
          <w:rFonts w:ascii="Times New Roman" w:eastAsia="Calibri" w:hAnsi="Times New Roman" w:cs="Times New Roman"/>
          <w:sz w:val="24"/>
          <w:szCs w:val="24"/>
        </w:rPr>
        <w:t xml:space="preserve">  NERC states that the proposed change applies only to the compliance section of Reliability Standard CIP-014-2,and proposes no changes in the mandatory and enforceable Requirements of Reliability Standard CIP-014-2.  According to NERC, the provision prese</w:t>
      </w:r>
      <w:r w:rsidRPr="00CE0C92">
        <w:rPr>
          <w:rFonts w:ascii="Times New Roman" w:eastAsia="Calibri" w:hAnsi="Times New Roman" w:cs="Times New Roman"/>
          <w:sz w:val="24"/>
          <w:szCs w:val="24"/>
        </w:rPr>
        <w:t>nts challenges to effective and efficient compliance monitoring and is not necessary to protect the confidentiality of Reliability Standard CIP-014-2 compliance evidence.</w:t>
      </w:r>
      <w:r>
        <w:rPr>
          <w:rFonts w:ascii="Times New Roman" w:eastAsia="Calibri" w:hAnsi="Times New Roman" w:cs="Times New Roman"/>
          <w:b/>
          <w:bCs/>
          <w:sz w:val="24"/>
          <w:szCs w:val="24"/>
          <w:vertAlign w:val="superscript"/>
        </w:rPr>
        <w:footnoteReference w:id="12"/>
      </w:r>
      <w:r w:rsidRPr="00CE0C92">
        <w:rPr>
          <w:rFonts w:ascii="Times New Roman" w:eastAsia="Calibri" w:hAnsi="Times New Roman" w:cs="Times New Roman"/>
          <w:sz w:val="24"/>
          <w:szCs w:val="24"/>
        </w:rPr>
        <w:t xml:space="preserve">  </w:t>
      </w:r>
    </w:p>
    <w:p w:rsidR="00C32F55" w:rsidRPr="00CE0C92" w:rsidP="00C32F55" w14:paraId="3174FE0B"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NERC states that the “Additional Compliance Information” provision in the complia</w:t>
      </w:r>
      <w:r w:rsidRPr="00CE0C92">
        <w:rPr>
          <w:rFonts w:ascii="Times New Roman" w:eastAsia="Calibri" w:hAnsi="Times New Roman" w:cs="Times New Roman"/>
          <w:sz w:val="24"/>
          <w:szCs w:val="24"/>
        </w:rPr>
        <w:t>nce section of CIP-014 was added to address heightened concerns regarding the protection of CIP-014 evidence.  However, NERC has determined that it should no longer treat CIP-014 evidence any differently than other sensitive evidence it collects during its</w:t>
      </w:r>
      <w:r w:rsidRPr="00CE0C92">
        <w:rPr>
          <w:rFonts w:ascii="Times New Roman" w:eastAsia="Calibri" w:hAnsi="Times New Roman" w:cs="Times New Roman"/>
          <w:sz w:val="24"/>
          <w:szCs w:val="24"/>
        </w:rPr>
        <w:t xml:space="preserve"> Compliance Monitoring and Enforcement Program (CMEP) activities.</w:t>
      </w:r>
      <w:r>
        <w:rPr>
          <w:rFonts w:ascii="Times New Roman" w:eastAsia="Calibri" w:hAnsi="Times New Roman" w:cs="Times New Roman"/>
          <w:b/>
          <w:sz w:val="24"/>
          <w:szCs w:val="24"/>
          <w:vertAlign w:val="superscript"/>
        </w:rPr>
        <w:footnoteReference w:id="13"/>
      </w:r>
      <w:r w:rsidRPr="00CE0C92">
        <w:rPr>
          <w:rFonts w:ascii="Times New Roman" w:eastAsia="Calibri" w:hAnsi="Times New Roman" w:cs="Times New Roman"/>
          <w:sz w:val="24"/>
          <w:szCs w:val="24"/>
        </w:rPr>
        <w:t xml:space="preserve">  With the advent of the ERO Secure Evidence Locker (SEL), NERC asserts that it has a secure means of collecting and analyzing CIP-014 evidence in the same manner as any other sensitive evidence collected as part of CMEP activities.</w:t>
      </w:r>
      <w:r w:rsidRPr="00CE0C92">
        <w:rPr>
          <w:rFonts w:ascii="Times New Roman" w:eastAsia="Calibri" w:hAnsi="Times New Roman" w:cs="Times New Roman"/>
          <w:b/>
          <w:bCs/>
          <w:sz w:val="24"/>
          <w:szCs w:val="24"/>
          <w:vertAlign w:val="superscript"/>
        </w:rPr>
        <w:t>14</w:t>
      </w:r>
    </w:p>
    <w:p w:rsidR="00C32F55" w:rsidRPr="00CE0C92" w:rsidP="00C32F55" w14:paraId="7042AD2E" w14:textId="19519730">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NERC explains that i</w:t>
      </w:r>
      <w:r w:rsidRPr="00CE0C92" w:rsidR="7773A1E7">
        <w:rPr>
          <w:rFonts w:ascii="Times New Roman" w:eastAsia="Calibri" w:hAnsi="Times New Roman" w:cs="Times New Roman"/>
          <w:sz w:val="24"/>
          <w:szCs w:val="24"/>
        </w:rPr>
        <w:t>t</w:t>
      </w:r>
      <w:r w:rsidRPr="00CE0C92">
        <w:rPr>
          <w:rFonts w:ascii="Times New Roman" w:eastAsia="Calibri" w:hAnsi="Times New Roman" w:cs="Times New Roman"/>
          <w:sz w:val="24"/>
          <w:szCs w:val="24"/>
        </w:rPr>
        <w:t xml:space="preserve"> will no longer treat Reliability Standard CIP-014 evidence any differently than other sensitive evidence it collects during its compliance activities.</w:t>
      </w:r>
      <w:r>
        <w:rPr>
          <w:rFonts w:ascii="Times New Roman" w:eastAsia="Calibri" w:hAnsi="Times New Roman" w:cs="Times New Roman"/>
          <w:b/>
          <w:bCs/>
          <w:sz w:val="24"/>
          <w:szCs w:val="24"/>
          <w:vertAlign w:val="superscript"/>
        </w:rPr>
        <w:footnoteReference w:id="14"/>
      </w:r>
      <w:r w:rsidRPr="00CE0C92">
        <w:rPr>
          <w:rFonts w:ascii="Times New Roman" w:eastAsia="Calibri" w:hAnsi="Times New Roman" w:cs="Times New Roman"/>
          <w:sz w:val="24"/>
          <w:szCs w:val="24"/>
        </w:rPr>
        <w:t xml:space="preserve">  NERC plans to use its SEL to support data and information handling, and it explains that it has devel</w:t>
      </w:r>
      <w:r w:rsidRPr="00CE0C92">
        <w:rPr>
          <w:rFonts w:ascii="Times New Roman" w:eastAsia="Calibri" w:hAnsi="Times New Roman" w:cs="Times New Roman"/>
          <w:sz w:val="24"/>
          <w:szCs w:val="24"/>
        </w:rPr>
        <w:t>oped the SEL for temporary storage of all registered entity compliance evidence.</w:t>
      </w:r>
      <w:r>
        <w:rPr>
          <w:rFonts w:ascii="Times New Roman" w:eastAsia="Calibri" w:hAnsi="Times New Roman" w:cs="Times New Roman"/>
          <w:b/>
          <w:bCs/>
          <w:sz w:val="24"/>
          <w:szCs w:val="24"/>
          <w:vertAlign w:val="superscript"/>
        </w:rPr>
        <w:footnoteReference w:id="15"/>
      </w:r>
      <w:r w:rsidRPr="00CE0C92">
        <w:rPr>
          <w:rFonts w:ascii="Times New Roman" w:eastAsia="Calibri" w:hAnsi="Times New Roman" w:cs="Times New Roman"/>
          <w:sz w:val="24"/>
          <w:szCs w:val="24"/>
        </w:rPr>
        <w:t xml:space="preserve">  According to NERC, the SEL enables a registered entity to securely submit evidence through an encrypted session; the evidence is encrypted immediately upon submission, secu</w:t>
      </w:r>
      <w:r w:rsidRPr="00CE0C92">
        <w:rPr>
          <w:rFonts w:ascii="Times New Roman" w:eastAsia="Calibri" w:hAnsi="Times New Roman" w:cs="Times New Roman"/>
          <w:sz w:val="24"/>
          <w:szCs w:val="24"/>
        </w:rPr>
        <w:t>rely isolated per registered entity, never extracted, never backed up, and subject to proactive and disciplined destruction policies.  NERC submits that the SEL provides security advantages to ensure proper protection and chain-of-custody management of the</w:t>
      </w:r>
      <w:r w:rsidRPr="00CE0C92">
        <w:rPr>
          <w:rFonts w:ascii="Times New Roman" w:eastAsia="Calibri" w:hAnsi="Times New Roman" w:cs="Times New Roman"/>
          <w:sz w:val="24"/>
          <w:szCs w:val="24"/>
        </w:rPr>
        <w:t xml:space="preserve"> submitted evidence for CIP-014 compliance.   </w:t>
      </w:r>
    </w:p>
    <w:p w:rsidR="00C32F55" w:rsidRPr="00CE0C92" w:rsidP="2B40F747" w14:paraId="3C0D2CAE" w14:textId="0C84CD01">
      <w:pPr>
        <w:keepNext/>
        <w:keepLines/>
        <w:tabs>
          <w:tab w:val="num" w:pos="720"/>
        </w:tabs>
        <w:spacing w:after="260" w:line="240" w:lineRule="auto"/>
        <w:rPr>
          <w:rFonts w:ascii="Times New Roman" w:eastAsia="Times New Roman" w:hAnsi="Times New Roman" w:cs="Times New Roman"/>
          <w:b/>
          <w:bCs/>
          <w:kern w:val="32"/>
          <w:sz w:val="24"/>
          <w:szCs w:val="24"/>
          <w:u w:val="single"/>
        </w:rPr>
      </w:pPr>
      <w:bookmarkStart w:id="1" w:name="_Hlk79496156"/>
      <w:bookmarkEnd w:id="0"/>
      <w:r w:rsidRPr="00CE0C92">
        <w:rPr>
          <w:rFonts w:ascii="Times New Roman" w:eastAsia="Times New Roman" w:hAnsi="Times New Roman" w:cs="Times New Roman"/>
          <w:b/>
          <w:bCs/>
          <w:kern w:val="32"/>
          <w:sz w:val="24"/>
          <w:szCs w:val="24"/>
          <w:u w:val="single"/>
        </w:rPr>
        <w:t>Procedure and Substantive Matters</w:t>
      </w:r>
    </w:p>
    <w:p w:rsidR="00C32F55" w:rsidRPr="00CE0C92" w:rsidP="00C32F55" w14:paraId="6077E2AE" w14:textId="77777777">
      <w:pPr>
        <w:keepNext/>
        <w:keepLines/>
        <w:numPr>
          <w:ilvl w:val="1"/>
          <w:numId w:val="0"/>
        </w:numPr>
        <w:tabs>
          <w:tab w:val="num" w:pos="1440"/>
        </w:tabs>
        <w:spacing w:after="260" w:line="240" w:lineRule="auto"/>
        <w:ind w:left="1440" w:hanging="720"/>
        <w:outlineLvl w:val="1"/>
        <w:rPr>
          <w:rFonts w:ascii="Times New Roman" w:eastAsia="Times New Roman" w:hAnsi="Times New Roman" w:cs="Times New Roman"/>
          <w:b/>
          <w:kern w:val="32"/>
          <w:sz w:val="24"/>
          <w:szCs w:val="24"/>
          <w:u w:val="single"/>
        </w:rPr>
      </w:pPr>
      <w:r w:rsidRPr="00CE0C92">
        <w:rPr>
          <w:rFonts w:ascii="Times New Roman" w:eastAsia="Times New Roman" w:hAnsi="Times New Roman" w:cs="Times New Roman"/>
          <w:b/>
          <w:kern w:val="32"/>
          <w:sz w:val="24"/>
          <w:szCs w:val="24"/>
          <w:u w:val="single"/>
        </w:rPr>
        <w:t>Procedural Matters</w:t>
      </w:r>
    </w:p>
    <w:p w:rsidR="00C32F55" w:rsidRPr="00CE0C92" w:rsidP="00DF052C" w14:paraId="72401462" w14:textId="77777777">
      <w:pPr>
        <w:widowControl w:val="0"/>
        <w:numPr>
          <w:ilvl w:val="0"/>
          <w:numId w:val="33"/>
        </w:numPr>
        <w:spacing w:after="260" w:line="240" w:lineRule="auto"/>
        <w:rPr>
          <w:rFonts w:ascii="Times New Roman" w:eastAsia="Times New Roman" w:hAnsi="Times New Roman" w:cs="Times New Roman"/>
          <w:sz w:val="24"/>
          <w:szCs w:val="24"/>
        </w:rPr>
      </w:pPr>
      <w:r w:rsidRPr="00CE0C92">
        <w:rPr>
          <w:rFonts w:ascii="Times New Roman" w:eastAsia="Times New Roman" w:hAnsi="Times New Roman" w:cs="Times New Roman"/>
          <w:sz w:val="24"/>
          <w:szCs w:val="24"/>
        </w:rPr>
        <w:t xml:space="preserve">Pursuant to Rule 214 of the Commission’s Rules of Practice and Procedure, </w:t>
      </w:r>
      <w:r w:rsidRPr="00CE0C92">
        <w:rPr>
          <w:rFonts w:ascii="Times New Roman" w:hAnsi="Times New Roman" w:cs="Times New Roman"/>
          <w:sz w:val="24"/>
          <w:szCs w:val="24"/>
        </w:rPr>
        <w:br/>
      </w:r>
      <w:r w:rsidRPr="00CE0C92">
        <w:rPr>
          <w:rFonts w:ascii="Times New Roman" w:eastAsia="Times New Roman" w:hAnsi="Times New Roman" w:cs="Times New Roman"/>
          <w:sz w:val="24"/>
          <w:szCs w:val="24"/>
        </w:rPr>
        <w:t xml:space="preserve">18 CFR § 385.214 (2021), EEI’s timely, unopposed motion to intervene serve to make </w:t>
      </w:r>
      <w:r w:rsidRPr="00CE0C92">
        <w:rPr>
          <w:rFonts w:ascii="Times New Roman" w:hAnsi="Times New Roman" w:cs="Times New Roman"/>
          <w:sz w:val="24"/>
          <w:szCs w:val="24"/>
        </w:rPr>
        <w:br/>
      </w:r>
      <w:r w:rsidRPr="00CE0C92">
        <w:rPr>
          <w:rFonts w:ascii="Times New Roman" w:eastAsia="Times New Roman" w:hAnsi="Times New Roman" w:cs="Times New Roman"/>
          <w:sz w:val="24"/>
          <w:szCs w:val="24"/>
        </w:rPr>
        <w:t>it a party to this proceeding.</w:t>
      </w:r>
      <w:bookmarkStart w:id="2" w:name="_Hlk80623378"/>
    </w:p>
    <w:p w:rsidR="00C32F55" w:rsidRPr="00CE0C92" w:rsidP="00DF052C" w14:paraId="1F5AF860" w14:textId="77777777">
      <w:pPr>
        <w:widowControl w:val="0"/>
        <w:numPr>
          <w:ilvl w:val="0"/>
          <w:numId w:val="33"/>
        </w:numPr>
        <w:spacing w:after="260" w:line="240" w:lineRule="auto"/>
        <w:rPr>
          <w:rFonts w:ascii="Times New Roman" w:eastAsia="Times New Roman" w:hAnsi="Times New Roman" w:cs="Times New Roman"/>
          <w:sz w:val="24"/>
          <w:szCs w:val="24"/>
        </w:rPr>
      </w:pPr>
      <w:r w:rsidRPr="00CE0C92">
        <w:rPr>
          <w:rFonts w:ascii="Times New Roman" w:eastAsia="Times New Roman" w:hAnsi="Times New Roman" w:cs="Times New Roman"/>
          <w:sz w:val="24"/>
          <w:szCs w:val="24"/>
        </w:rPr>
        <w:t>Rule 213(a)(2) of the Commission’s Rules of Practice and Procedure, 18 CFR</w:t>
      </w:r>
      <w:r w:rsidRPr="00CE0C92">
        <w:rPr>
          <w:rFonts w:ascii="Times New Roman" w:hAnsi="Times New Roman" w:cs="Times New Roman"/>
          <w:sz w:val="24"/>
          <w:szCs w:val="24"/>
        </w:rPr>
        <w:br/>
      </w:r>
      <w:r w:rsidRPr="00CE0C92">
        <w:rPr>
          <w:rFonts w:ascii="Times New Roman" w:eastAsia="Times New Roman" w:hAnsi="Times New Roman" w:cs="Times New Roman"/>
          <w:sz w:val="24"/>
          <w:szCs w:val="24"/>
        </w:rPr>
        <w:t>§ 385.213(a)(2) (2021), prohibits an answer to a protest or answer</w:t>
      </w:r>
      <w:r w:rsidRPr="00CE0C92">
        <w:rPr>
          <w:rFonts w:ascii="Times New Roman" w:eastAsia="Times New Roman" w:hAnsi="Times New Roman" w:cs="Times New Roman"/>
          <w:sz w:val="24"/>
          <w:szCs w:val="24"/>
        </w:rPr>
        <w:t xml:space="preserve"> unless otherwise ordered by the decisional authority.  We accept NERC’s and EEI’s answers because </w:t>
      </w:r>
      <w:r w:rsidRPr="00CE0C92">
        <w:rPr>
          <w:rFonts w:ascii="Times New Roman" w:hAnsi="Times New Roman" w:cs="Times New Roman"/>
          <w:sz w:val="24"/>
          <w:szCs w:val="24"/>
        </w:rPr>
        <w:br/>
      </w:r>
      <w:r w:rsidRPr="00CE0C92">
        <w:rPr>
          <w:rFonts w:ascii="Times New Roman" w:eastAsia="Times New Roman" w:hAnsi="Times New Roman" w:cs="Times New Roman"/>
          <w:sz w:val="24"/>
          <w:szCs w:val="24"/>
        </w:rPr>
        <w:t>they have provided information that assisted us in our decision-making process.</w:t>
      </w:r>
      <w:bookmarkEnd w:id="1"/>
      <w:bookmarkEnd w:id="2"/>
    </w:p>
    <w:p w:rsidR="00C32F55" w:rsidRPr="00CE0C92" w:rsidP="00DF052C" w14:paraId="7FF74F9E" w14:textId="77777777">
      <w:pPr>
        <w:keepNext/>
        <w:keepLines/>
        <w:tabs>
          <w:tab w:val="num" w:pos="1440"/>
        </w:tabs>
        <w:spacing w:after="260" w:line="240" w:lineRule="auto"/>
        <w:ind w:left="1440" w:hanging="720"/>
        <w:outlineLvl w:val="1"/>
        <w:rPr>
          <w:rFonts w:ascii="Times New Roman" w:eastAsia="Times New Roman" w:hAnsi="Times New Roman" w:cs="Times New Roman"/>
          <w:b/>
          <w:bCs/>
          <w:kern w:val="32"/>
          <w:sz w:val="24"/>
          <w:szCs w:val="24"/>
          <w:u w:val="single"/>
        </w:rPr>
      </w:pPr>
      <w:bookmarkStart w:id="3" w:name="_Hlk78274235"/>
      <w:r w:rsidRPr="00CE0C92">
        <w:rPr>
          <w:rFonts w:ascii="Times New Roman" w:eastAsia="Times New Roman" w:hAnsi="Times New Roman" w:cs="Times New Roman"/>
          <w:b/>
          <w:bCs/>
          <w:kern w:val="32"/>
          <w:sz w:val="24"/>
          <w:szCs w:val="24"/>
          <w:u w:val="single"/>
        </w:rPr>
        <w:t>Substantive Matters</w:t>
      </w:r>
    </w:p>
    <w:p w:rsidR="00C32F55" w:rsidRPr="00CE0C92" w:rsidP="00DF052C" w14:paraId="4DB64AF2" w14:textId="38F2792F">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As discussed below, we find that the  removal of the evi</w:t>
      </w:r>
      <w:r w:rsidRPr="00CE0C92">
        <w:rPr>
          <w:rFonts w:ascii="Times New Roman" w:eastAsia="Calibri" w:hAnsi="Times New Roman" w:cs="Times New Roman"/>
          <w:sz w:val="24"/>
          <w:szCs w:val="24"/>
        </w:rPr>
        <w:t>dence retention provision in section C.1.1.4 of the compliance section of Reliability Standard CIP-014-2 is just, reasonable, not unduly discriminatory or preferential, and in the public interest.  The modification will allow NERC to monitor compliance mor</w:t>
      </w:r>
      <w:r w:rsidRPr="00CE0C92">
        <w:rPr>
          <w:rFonts w:ascii="Times New Roman" w:eastAsia="Calibri" w:hAnsi="Times New Roman" w:cs="Times New Roman"/>
          <w:sz w:val="24"/>
          <w:szCs w:val="24"/>
        </w:rPr>
        <w:t xml:space="preserve">e effectively without compromising the confidentiality of sensitive information.  Accordingly, we approve NERC’s petition. </w:t>
      </w:r>
    </w:p>
    <w:p w:rsidR="00C32F55" w:rsidRPr="00CE0C92" w:rsidP="00C32F55" w14:paraId="65660B24"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Reliability Standard CIP-014-2, compliance section C.1.1.4., Additional Compliance Information, currently requires compliance person</w:t>
      </w:r>
      <w:r w:rsidRPr="00CE0C92">
        <w:rPr>
          <w:rFonts w:ascii="Times New Roman" w:eastAsia="Calibri" w:hAnsi="Times New Roman" w:cs="Times New Roman"/>
          <w:sz w:val="24"/>
          <w:szCs w:val="24"/>
        </w:rPr>
        <w:t xml:space="preserve">nel and auditors (and enforcement staff if a potential noncompliance is identified) to be physically present at </w:t>
      </w:r>
      <w:r w:rsidRPr="00CE0C92">
        <w:rPr>
          <w:rFonts w:ascii="Times New Roman" w:eastAsia="Calibri" w:hAnsi="Times New Roman" w:cs="Times New Roman"/>
          <w:sz w:val="24"/>
          <w:szCs w:val="24"/>
        </w:rPr>
        <w:br/>
        <w:t xml:space="preserve">an entity’s facility to review evidence of compliance.  As NERC’s petition explains, </w:t>
      </w:r>
      <w:r w:rsidRPr="00CE0C92">
        <w:rPr>
          <w:rFonts w:ascii="Times New Roman" w:eastAsia="Calibri" w:hAnsi="Times New Roman" w:cs="Times New Roman"/>
          <w:sz w:val="24"/>
          <w:szCs w:val="24"/>
        </w:rPr>
        <w:br/>
        <w:t>this requirement presented challenges during the pandemic</w:t>
      </w:r>
      <w:r w:rsidRPr="00CE0C92">
        <w:rPr>
          <w:rFonts w:ascii="Times New Roman" w:eastAsia="Calibri" w:hAnsi="Times New Roman" w:cs="Times New Roman"/>
          <w:sz w:val="24"/>
          <w:szCs w:val="24"/>
        </w:rPr>
        <w:t>, when auditors could not access certain entities’ facilities in person and in some instances were prevented from reviewing the evidence remotely.</w:t>
      </w:r>
      <w:r>
        <w:rPr>
          <w:rFonts w:ascii="Times New Roman" w:eastAsia="Calibri" w:hAnsi="Times New Roman" w:cs="Times New Roman"/>
          <w:b/>
          <w:sz w:val="24"/>
          <w:szCs w:val="24"/>
          <w:vertAlign w:val="superscript"/>
        </w:rPr>
        <w:footnoteReference w:id="16"/>
      </w:r>
    </w:p>
    <w:p w:rsidR="00C32F55" w:rsidRPr="00CE0C92" w:rsidP="00C32F55" w14:paraId="16C64D21"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 xml:space="preserve">We recognize that Reliability Standard CIP-014-2 requires data collection for industry’s sensitive assets and that therefore the data should be handled in a secure manner.  However, while section C.1.1.4 may have provided necessary protection in </w:t>
      </w:r>
      <w:r w:rsidRPr="00CE0C92">
        <w:rPr>
          <w:rFonts w:ascii="Times New Roman" w:eastAsia="Calibri" w:hAnsi="Times New Roman" w:cs="Times New Roman"/>
          <w:sz w:val="24"/>
          <w:szCs w:val="24"/>
        </w:rPr>
        <w:br/>
        <w:t>the past,</w:t>
      </w:r>
      <w:r w:rsidRPr="00CE0C92">
        <w:rPr>
          <w:rFonts w:ascii="Times New Roman" w:eastAsia="Calibri" w:hAnsi="Times New Roman" w:cs="Times New Roman"/>
          <w:sz w:val="24"/>
          <w:szCs w:val="24"/>
        </w:rPr>
        <w:t xml:space="preserve"> we are persuaded by NERC’s explanation that its SEL now offers a secure and more flexible alternative for compliance evidence collection and review for Reliability Standard CIP-014-2.  </w:t>
      </w:r>
    </w:p>
    <w:p w:rsidR="00C32F55" w:rsidRPr="00CE0C92" w:rsidP="2B40F747" w14:paraId="5089B7CA"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Moreover, we are not persuaded by EEI’s comments seeking to retain th</w:t>
      </w:r>
      <w:r w:rsidRPr="00CE0C92">
        <w:rPr>
          <w:rFonts w:ascii="Times New Roman" w:eastAsia="Calibri" w:hAnsi="Times New Roman" w:cs="Times New Roman"/>
          <w:sz w:val="24"/>
          <w:szCs w:val="24"/>
        </w:rPr>
        <w:t xml:space="preserve">e on-site viewing requirement.  First, contrary to EEI’s suggestion in its comments, the use of </w:t>
      </w:r>
      <w:r w:rsidRPr="00CE0C92">
        <w:rPr>
          <w:rFonts w:ascii="Times New Roman" w:eastAsia="Calibri" w:hAnsi="Times New Roman" w:cs="Times New Roman"/>
          <w:sz w:val="24"/>
          <w:szCs w:val="24"/>
        </w:rPr>
        <w:br/>
        <w:t>the SEL is not novel and untested.  In NERC’s petition requesting funding for the SEL, which was filed in June 2020, NERC explained that the use of an evidence</w:t>
      </w:r>
      <w:r w:rsidRPr="00CE0C92">
        <w:rPr>
          <w:rFonts w:ascii="Times New Roman" w:eastAsia="Calibri" w:hAnsi="Times New Roman" w:cs="Times New Roman"/>
          <w:sz w:val="24"/>
          <w:szCs w:val="24"/>
        </w:rPr>
        <w:t xml:space="preserve"> locker was a practice already in place for at least two Regional Entities to collect evidence associated with Critical Infrastructure Protection (CIP) Reliability Standards.</w:t>
      </w:r>
      <w:r>
        <w:rPr>
          <w:rFonts w:ascii="Times New Roman" w:eastAsia="Calibri" w:hAnsi="Times New Roman" w:cs="Times New Roman"/>
          <w:b/>
          <w:bCs/>
          <w:sz w:val="24"/>
          <w:szCs w:val="24"/>
          <w:vertAlign w:val="superscript"/>
        </w:rPr>
        <w:footnoteReference w:id="17"/>
      </w:r>
      <w:r w:rsidRPr="00CE0C92">
        <w:rPr>
          <w:rFonts w:ascii="Times New Roman" w:eastAsia="Calibri" w:hAnsi="Times New Roman" w:cs="Times New Roman"/>
          <w:sz w:val="24"/>
          <w:szCs w:val="24"/>
        </w:rPr>
        <w:t xml:space="preserve">  Before deciding </w:t>
      </w:r>
      <w:r w:rsidRPr="00CE0C92">
        <w:rPr>
          <w:rFonts w:ascii="Times New Roman" w:eastAsia="Calibri" w:hAnsi="Times New Roman" w:cs="Times New Roman"/>
          <w:sz w:val="24"/>
          <w:szCs w:val="24"/>
        </w:rPr>
        <w:br/>
        <w:t>to implement the SEL, NERC consulted with industry and discus</w:t>
      </w:r>
      <w:r w:rsidRPr="00CE0C92">
        <w:rPr>
          <w:rFonts w:ascii="Times New Roman" w:eastAsia="Calibri" w:hAnsi="Times New Roman" w:cs="Times New Roman"/>
          <w:sz w:val="24"/>
          <w:szCs w:val="24"/>
        </w:rPr>
        <w:t>sed security concerns related to evidence collection.</w:t>
      </w:r>
      <w:r>
        <w:rPr>
          <w:rFonts w:ascii="Times New Roman" w:eastAsia="Calibri" w:hAnsi="Times New Roman" w:cs="Times New Roman"/>
          <w:b/>
          <w:bCs/>
          <w:sz w:val="24"/>
          <w:szCs w:val="24"/>
          <w:vertAlign w:val="superscript"/>
        </w:rPr>
        <w:footnoteReference w:id="18"/>
      </w:r>
      <w:r w:rsidRPr="00CE0C92">
        <w:rPr>
          <w:rFonts w:ascii="Times New Roman" w:eastAsia="Calibri" w:hAnsi="Times New Roman" w:cs="Times New Roman"/>
          <w:sz w:val="24"/>
          <w:szCs w:val="24"/>
        </w:rPr>
        <w:t xml:space="preserve">  Also, NERC has been using the SEL to access compliance evidence for the other CIP Reliability Standards, which indicates that it is </w:t>
      </w:r>
      <w:r w:rsidRPr="00CE0C92">
        <w:rPr>
          <w:rFonts w:ascii="Times New Roman" w:eastAsia="Calibri" w:hAnsi="Times New Roman" w:cs="Times New Roman"/>
          <w:sz w:val="24"/>
          <w:szCs w:val="24"/>
        </w:rPr>
        <w:br/>
        <w:t>a well-established and secure method of evidence review.  Restrict</w:t>
      </w:r>
      <w:r w:rsidRPr="00CE0C92">
        <w:rPr>
          <w:rFonts w:ascii="Times New Roman" w:eastAsia="Calibri" w:hAnsi="Times New Roman" w:cs="Times New Roman"/>
          <w:sz w:val="24"/>
          <w:szCs w:val="24"/>
        </w:rPr>
        <w:t xml:space="preserve">ing auditor review to on-site only when there is a secure alternative impairs the auditor’s ability to perform in-depth review of </w:t>
      </w:r>
      <w:r w:rsidRPr="00CE0C92">
        <w:rPr>
          <w:rFonts w:ascii="Times New Roman" w:eastAsia="Calibri" w:hAnsi="Times New Roman" w:cs="Times New Roman"/>
          <w:sz w:val="24"/>
          <w:szCs w:val="24"/>
        </w:rPr>
        <w:t xml:space="preserve">the evidence and could result in increased risk due to lack of adequate or timely compliance monitoring. </w:t>
      </w:r>
    </w:p>
    <w:p w:rsidR="00C32F55" w:rsidRPr="00CE0C92" w:rsidP="00C32F55" w14:paraId="4E5CA131"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 xml:space="preserve">Further, we are not </w:t>
      </w:r>
      <w:r w:rsidRPr="00CE0C92">
        <w:rPr>
          <w:rFonts w:ascii="Times New Roman" w:eastAsia="Calibri" w:hAnsi="Times New Roman" w:cs="Times New Roman"/>
          <w:sz w:val="24"/>
          <w:szCs w:val="24"/>
        </w:rPr>
        <w:t xml:space="preserve">persuaded by EEI’s argument that the SEL increases the risk </w:t>
      </w:r>
      <w:r w:rsidRPr="00CE0C92">
        <w:rPr>
          <w:rFonts w:ascii="Times New Roman" w:eastAsia="Calibri" w:hAnsi="Times New Roman" w:cs="Times New Roman"/>
          <w:sz w:val="24"/>
          <w:szCs w:val="24"/>
        </w:rPr>
        <w:br/>
        <w:t>of aggregated industry information falling into the hands of a nation-state or bad actor.  Once evidence is submitted through an SEL encrypted session, it is immediately encrypted and cannot be e</w:t>
      </w:r>
      <w:r w:rsidRPr="00CE0C92">
        <w:rPr>
          <w:rFonts w:ascii="Times New Roman" w:eastAsia="Calibri" w:hAnsi="Times New Roman" w:cs="Times New Roman"/>
          <w:sz w:val="24"/>
          <w:szCs w:val="24"/>
        </w:rPr>
        <w:t>xtracted, is not backed up, and is subject to proactive and disciplined destruction policies, as well as being separated by registered entity.</w:t>
      </w:r>
      <w:r>
        <w:rPr>
          <w:rFonts w:ascii="Times New Roman" w:eastAsia="Calibri" w:hAnsi="Times New Roman" w:cs="Times New Roman"/>
          <w:b/>
          <w:sz w:val="24"/>
          <w:szCs w:val="24"/>
          <w:vertAlign w:val="superscript"/>
        </w:rPr>
        <w:footnoteReference w:id="19"/>
      </w:r>
      <w:r w:rsidRPr="00CE0C92">
        <w:rPr>
          <w:rFonts w:ascii="Times New Roman" w:eastAsia="Calibri" w:hAnsi="Times New Roman" w:cs="Times New Roman"/>
          <w:sz w:val="24"/>
          <w:szCs w:val="24"/>
        </w:rPr>
        <w:t xml:space="preserve">  NERC explained that it will remove the information from the SEL when the CMEP engagement concludes.</w:t>
      </w:r>
      <w:r>
        <w:rPr>
          <w:rFonts w:ascii="Times New Roman" w:eastAsia="Calibri" w:hAnsi="Times New Roman" w:cs="Times New Roman"/>
          <w:b/>
          <w:sz w:val="24"/>
          <w:szCs w:val="24"/>
          <w:vertAlign w:val="superscript"/>
        </w:rPr>
        <w:footnoteReference w:id="20"/>
      </w:r>
      <w:r w:rsidRPr="00CE0C92">
        <w:rPr>
          <w:rFonts w:ascii="Times New Roman" w:eastAsia="Calibri" w:hAnsi="Times New Roman" w:cs="Times New Roman"/>
          <w:sz w:val="24"/>
          <w:szCs w:val="24"/>
        </w:rPr>
        <w:t xml:space="preserve"> </w:t>
      </w:r>
    </w:p>
    <w:p w:rsidR="00C32F55" w:rsidRPr="00CE0C92" w:rsidP="00C32F55" w14:paraId="52A0A25A"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 xml:space="preserve">Finally, as stated by NERC, entities can structure their own SELs that adhere to their security measure requirements.  EEI argues that some registered entities may be unable to use their own SELs to submit compliance information if NERC or Regional Entity </w:t>
      </w:r>
      <w:r w:rsidRPr="00CE0C92">
        <w:rPr>
          <w:rFonts w:ascii="Times New Roman" w:eastAsia="Calibri" w:hAnsi="Times New Roman" w:cs="Times New Roman"/>
          <w:sz w:val="24"/>
          <w:szCs w:val="24"/>
        </w:rPr>
        <w:t>compliance personnel are unable or unwilling to meet the SEL security access requirements.</w:t>
      </w:r>
      <w:r>
        <w:rPr>
          <w:rFonts w:ascii="Times New Roman" w:eastAsia="Calibri" w:hAnsi="Times New Roman" w:cs="Times New Roman"/>
          <w:b/>
          <w:bCs/>
          <w:sz w:val="24"/>
          <w:szCs w:val="24"/>
          <w:vertAlign w:val="superscript"/>
        </w:rPr>
        <w:footnoteReference w:id="21"/>
      </w:r>
      <w:r w:rsidRPr="00CE0C92">
        <w:rPr>
          <w:rFonts w:ascii="Times New Roman" w:eastAsia="Calibri" w:hAnsi="Times New Roman" w:cs="Times New Roman"/>
          <w:sz w:val="24"/>
          <w:szCs w:val="24"/>
        </w:rPr>
        <w:t xml:space="preserve">  However, EEI provides no specific evidence of such situations for </w:t>
      </w:r>
      <w:r w:rsidRPr="00CE0C92">
        <w:rPr>
          <w:rFonts w:ascii="Times New Roman" w:eastAsia="Calibri" w:hAnsi="Times New Roman" w:cs="Times New Roman"/>
          <w:sz w:val="24"/>
          <w:szCs w:val="24"/>
        </w:rPr>
        <w:br/>
        <w:t xml:space="preserve">other CIP compliance monitoring engagements or whether they have led to increased </w:t>
      </w:r>
      <w:r w:rsidRPr="00CE0C92">
        <w:rPr>
          <w:rFonts w:ascii="Times New Roman" w:eastAsia="Calibri" w:hAnsi="Times New Roman" w:cs="Times New Roman"/>
          <w:sz w:val="24"/>
          <w:szCs w:val="24"/>
        </w:rPr>
        <w:br/>
        <w:t>risk of evid</w:t>
      </w:r>
      <w:r w:rsidRPr="00CE0C92">
        <w:rPr>
          <w:rFonts w:ascii="Times New Roman" w:eastAsia="Calibri" w:hAnsi="Times New Roman" w:cs="Times New Roman"/>
          <w:sz w:val="24"/>
          <w:szCs w:val="24"/>
        </w:rPr>
        <w:t>ence being compromised.  We find unpersuasive EEI’s objections to NERC’s offering of a flexible approach to accommodate entities.</w:t>
      </w:r>
    </w:p>
    <w:p w:rsidR="00FA5726" w:rsidRPr="00CE0C92" w:rsidP="00DF052C" w14:paraId="09027F5B" w14:textId="349C669E">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 xml:space="preserve">Therefore, we find that the </w:t>
      </w:r>
      <w:bookmarkStart w:id="4" w:name="_Hlk103686157"/>
      <w:r w:rsidRPr="00CE0C92">
        <w:rPr>
          <w:rFonts w:ascii="Times New Roman" w:eastAsia="Calibri" w:hAnsi="Times New Roman" w:cs="Times New Roman"/>
          <w:sz w:val="24"/>
          <w:szCs w:val="24"/>
        </w:rPr>
        <w:t xml:space="preserve">removal of the evidence retention provision in </w:t>
      </w:r>
      <w:r w:rsidRPr="00CE0C92">
        <w:rPr>
          <w:rFonts w:ascii="Times New Roman" w:hAnsi="Times New Roman" w:cs="Times New Roman"/>
          <w:sz w:val="24"/>
          <w:szCs w:val="24"/>
        </w:rPr>
        <w:br/>
      </w:r>
      <w:r w:rsidRPr="00CE0C92">
        <w:rPr>
          <w:rFonts w:ascii="Times New Roman" w:eastAsia="Calibri" w:hAnsi="Times New Roman" w:cs="Times New Roman"/>
          <w:sz w:val="24"/>
          <w:szCs w:val="24"/>
        </w:rPr>
        <w:t>section C.1.1.4 of the compliance section of Relia</w:t>
      </w:r>
      <w:r w:rsidRPr="00CE0C92">
        <w:rPr>
          <w:rFonts w:ascii="Times New Roman" w:eastAsia="Calibri" w:hAnsi="Times New Roman" w:cs="Times New Roman"/>
          <w:sz w:val="24"/>
          <w:szCs w:val="24"/>
        </w:rPr>
        <w:t xml:space="preserve">bility Standard CIP-014-2 will allow NERC to monitor compliance more effectively without compromising the confidentiality of sensitive information. </w:t>
      </w:r>
      <w:bookmarkEnd w:id="4"/>
      <w:r w:rsidRPr="00CE0C92">
        <w:rPr>
          <w:rFonts w:ascii="Times New Roman" w:eastAsia="Calibri" w:hAnsi="Times New Roman" w:cs="Times New Roman"/>
          <w:sz w:val="24"/>
          <w:szCs w:val="24"/>
        </w:rPr>
        <w:t xml:space="preserve"> Accordingly, we approve NERC’s petition and accept the proposed Reliability Standard CIP-014-3, to become e</w:t>
      </w:r>
      <w:r w:rsidRPr="00CE0C92">
        <w:rPr>
          <w:rFonts w:ascii="Times New Roman" w:eastAsia="Calibri" w:hAnsi="Times New Roman" w:cs="Times New Roman"/>
          <w:sz w:val="24"/>
          <w:szCs w:val="24"/>
        </w:rPr>
        <w:t>ffective on the date of issuance of this order.</w:t>
      </w:r>
      <w:bookmarkEnd w:id="3"/>
    </w:p>
    <w:p w:rsidR="006E64E3" w:rsidRPr="00CE0C92" w:rsidP="00C32F55" w14:paraId="6F198F64" w14:textId="286D75D4">
      <w:pPr>
        <w:tabs>
          <w:tab w:val="num" w:pos="720"/>
        </w:tabs>
        <w:spacing w:after="260" w:line="240" w:lineRule="auto"/>
        <w:rPr>
          <w:rFonts w:ascii="Times New Roman" w:eastAsia="Calibri" w:hAnsi="Times New Roman" w:cs="Times New Roman"/>
          <w:b/>
          <w:bCs/>
          <w:sz w:val="24"/>
          <w:szCs w:val="24"/>
          <w:u w:val="single"/>
        </w:rPr>
      </w:pPr>
      <w:r w:rsidRPr="00CE0C92">
        <w:rPr>
          <w:rFonts w:ascii="Times New Roman" w:eastAsia="Calibri" w:hAnsi="Times New Roman" w:cs="Times New Roman"/>
          <w:b/>
          <w:bCs/>
          <w:sz w:val="24"/>
          <w:szCs w:val="24"/>
          <w:u w:val="single"/>
        </w:rPr>
        <w:t>CIP-014-3</w:t>
      </w:r>
    </w:p>
    <w:p w:rsidR="00FA5726" w:rsidRPr="00561399" w:rsidP="00FA5726" w14:paraId="08EFE5C8" w14:textId="1115D160">
      <w:pPr>
        <w:spacing w:after="0"/>
        <w:rPr>
          <w:rFonts w:ascii="Times New Roman" w:hAnsi="Times New Roman" w:cs="Times New Roman"/>
          <w:sz w:val="24"/>
          <w:szCs w:val="24"/>
        </w:rPr>
      </w:pPr>
      <w:r w:rsidRPr="00561399">
        <w:rPr>
          <w:rFonts w:ascii="Times New Roman" w:hAnsi="Times New Roman" w:cs="Times New Roman"/>
          <w:sz w:val="24"/>
          <w:szCs w:val="24"/>
        </w:rPr>
        <w:t>In terms of information collection requirements, an applicable entity must create or maintain documentation showing compliance, when appropriate, with each requirement of the Reliability Standard.</w:t>
      </w:r>
      <w:r w:rsidRPr="00561399" w:rsidR="00E46A7A">
        <w:rPr>
          <w:rFonts w:ascii="Times New Roman" w:hAnsi="Times New Roman" w:cs="Times New Roman"/>
          <w:sz w:val="24"/>
          <w:szCs w:val="24"/>
        </w:rPr>
        <w:t xml:space="preserve">  Reliability Standard CIP-014-</w:t>
      </w:r>
      <w:r w:rsidRPr="00561399" w:rsidR="00C96271">
        <w:rPr>
          <w:rFonts w:ascii="Times New Roman" w:hAnsi="Times New Roman" w:cs="Times New Roman"/>
          <w:sz w:val="24"/>
          <w:szCs w:val="24"/>
        </w:rPr>
        <w:t>3</w:t>
      </w:r>
      <w:r w:rsidRPr="00561399" w:rsidR="001179B8">
        <w:rPr>
          <w:rFonts w:ascii="Times New Roman" w:hAnsi="Times New Roman" w:cs="Times New Roman"/>
          <w:sz w:val="24"/>
          <w:szCs w:val="24"/>
        </w:rPr>
        <w:t xml:space="preserve"> has six requirements:</w:t>
      </w:r>
    </w:p>
    <w:p w:rsidR="00FA5726" w:rsidRPr="00561399" w:rsidP="2B40F747" w14:paraId="764ED51D" w14:textId="22C989D0">
      <w:pPr>
        <w:pStyle w:val="FERCparanumber"/>
        <w:numPr>
          <w:ilvl w:val="0"/>
          <w:numId w:val="24"/>
        </w:numPr>
        <w:spacing w:line="276" w:lineRule="auto"/>
        <w:ind w:left="720" w:hanging="360"/>
        <w:rPr>
          <w:sz w:val="24"/>
        </w:rPr>
      </w:pPr>
      <w:r w:rsidRPr="00561399">
        <w:rPr>
          <w:sz w:val="24"/>
        </w:rPr>
        <w:t xml:space="preserve">Requirement R1 requires applicable transmission owners </w:t>
      </w:r>
      <w:r w:rsidRPr="00561399" w:rsidR="2C33B814">
        <w:rPr>
          <w:sz w:val="24"/>
          <w:lang w:val="en-US"/>
        </w:rPr>
        <w:t xml:space="preserve">(TO) </w:t>
      </w:r>
      <w:r w:rsidRPr="00561399">
        <w:rPr>
          <w:sz w:val="24"/>
        </w:rPr>
        <w:t>to perform risk assessments on a periodic basis</w:t>
      </w:r>
      <w:r>
        <w:rPr>
          <w:rStyle w:val="FootnoteReference"/>
          <w:sz w:val="24"/>
          <w:vertAlign w:val="superscript"/>
        </w:rPr>
        <w:footnoteReference w:id="22"/>
      </w:r>
      <w:r w:rsidRPr="00561399">
        <w:rPr>
          <w:sz w:val="24"/>
        </w:rPr>
        <w:t xml:space="preserve"> to identify their transmission stations and transmission </w:t>
      </w:r>
      <w:r w:rsidRPr="00561399">
        <w:rPr>
          <w:sz w:val="24"/>
        </w:rPr>
        <w:t>substations that, if rendered inoperable or damaged, could result in widespread instability, uncontrolled separation, or cascading within an Interconnection.  Requirement R1 also requires transmissi</w:t>
      </w:r>
      <w:r w:rsidRPr="00561399">
        <w:rPr>
          <w:sz w:val="24"/>
        </w:rPr>
        <w:t>on owners to identify the primary control center that operationally controls each of the identified transmission stations or transmission substations.   Examples of acceptable evidence may include dated written or electronic documentation of the risk asses</w:t>
      </w:r>
      <w:r w:rsidRPr="00561399">
        <w:rPr>
          <w:sz w:val="24"/>
        </w:rPr>
        <w:t>sment of its transmission stations and transmission substations (existing and planned to be in service within 24 months) that meet the criteria in Applicability Section 4.1.1 as specified in Requirement R1.</w:t>
      </w:r>
    </w:p>
    <w:p w:rsidR="00FA5726" w:rsidRPr="00561399" w:rsidP="2B40F747" w14:paraId="4952A0DC" w14:textId="0C012CB0">
      <w:pPr>
        <w:pStyle w:val="FERCparanumber"/>
        <w:numPr>
          <w:ilvl w:val="0"/>
          <w:numId w:val="24"/>
        </w:numPr>
        <w:spacing w:line="276" w:lineRule="auto"/>
        <w:ind w:left="720" w:hanging="360"/>
        <w:rPr>
          <w:sz w:val="24"/>
        </w:rPr>
      </w:pPr>
      <w:r w:rsidRPr="00561399">
        <w:rPr>
          <w:sz w:val="24"/>
        </w:rPr>
        <w:t>Requirement R2 requires that each applicable tran</w:t>
      </w:r>
      <w:r w:rsidRPr="00561399">
        <w:rPr>
          <w:sz w:val="24"/>
        </w:rPr>
        <w:t>smission owner have an unaffiliated third</w:t>
      </w:r>
      <w:r w:rsidRPr="00561399" w:rsidR="6DF692D0">
        <w:rPr>
          <w:sz w:val="24"/>
        </w:rPr>
        <w:t>-</w:t>
      </w:r>
      <w:r w:rsidRPr="00561399">
        <w:rPr>
          <w:sz w:val="24"/>
        </w:rPr>
        <w:t>party with appropriate experience verify the risk assessment performed under Requirement R1.  Requirement R2 states that the transmission owner must either modify its identification of facilities consistent with th</w:t>
      </w:r>
      <w:r w:rsidRPr="00561399">
        <w:rPr>
          <w:sz w:val="24"/>
        </w:rPr>
        <w:t>e verifier’s recommendation or document the technical basis for not doing so.  In addition, Requirement R2 requires each transmission owner to implement procedures for protecting sensitive or confidential information made available to third-party verifiers</w:t>
      </w:r>
      <w:r w:rsidRPr="00561399">
        <w:rPr>
          <w:sz w:val="24"/>
        </w:rPr>
        <w:t xml:space="preserve"> or developed under the Reliability Standard from public disclosure.  Examples of acceptable evidence may include dated written or electronic documentation that the transmission owner completed an unaffiliated third</w:t>
      </w:r>
      <w:r w:rsidRPr="00561399" w:rsidR="7D34F6A3">
        <w:rPr>
          <w:sz w:val="24"/>
        </w:rPr>
        <w:t>-</w:t>
      </w:r>
      <w:r w:rsidRPr="00561399">
        <w:rPr>
          <w:sz w:val="24"/>
        </w:rPr>
        <w:t>party verification of the Requirement R1</w:t>
      </w:r>
      <w:r w:rsidRPr="00561399">
        <w:rPr>
          <w:sz w:val="24"/>
        </w:rPr>
        <w:t xml:space="preserve"> risk assessment and satisfied all of the applicable provisions of Requirement R2, including, if applicable, documenting the technical basis for not modifying the Requirement R1 identification as specified under Part 2.3.</w:t>
      </w:r>
    </w:p>
    <w:p w:rsidR="00FA5726" w:rsidRPr="00561399" w:rsidP="00AE11E4" w14:paraId="01F20459" w14:textId="49A9E752">
      <w:pPr>
        <w:pStyle w:val="FERCparanumber"/>
        <w:numPr>
          <w:ilvl w:val="0"/>
          <w:numId w:val="24"/>
        </w:numPr>
        <w:spacing w:line="276" w:lineRule="auto"/>
        <w:ind w:left="720" w:hanging="360"/>
        <w:rPr>
          <w:sz w:val="24"/>
        </w:rPr>
      </w:pPr>
      <w:r w:rsidRPr="00561399">
        <w:rPr>
          <w:sz w:val="24"/>
        </w:rPr>
        <w:t>Requirement R3 requires the transm</w:t>
      </w:r>
      <w:r w:rsidRPr="00561399">
        <w:rPr>
          <w:sz w:val="24"/>
        </w:rPr>
        <w:t xml:space="preserve">ission owner to notify a transmission operator </w:t>
      </w:r>
      <w:r w:rsidRPr="00561399" w:rsidR="00A73D03">
        <w:rPr>
          <w:sz w:val="24"/>
          <w:lang w:val="en-US"/>
        </w:rPr>
        <w:t xml:space="preserve">(TOP) </w:t>
      </w:r>
      <w:r w:rsidRPr="00561399">
        <w:rPr>
          <w:sz w:val="24"/>
        </w:rPr>
        <w:t>that operationally controls a primary control center identified under Requirement R1 of such identification to ensure that the transmission operator has notice of the identification so that it may timely</w:t>
      </w:r>
      <w:r w:rsidRPr="00561399">
        <w:rPr>
          <w:sz w:val="24"/>
        </w:rPr>
        <w:t xml:space="preserve"> fulfill its obligations under Requirements R4 and R5 to protect the primary control center.  Examples of acceptable evidence may include dated written or electronic communications that the transmission owner notified each transmission operator, as applica</w:t>
      </w:r>
      <w:r w:rsidRPr="00561399">
        <w:rPr>
          <w:sz w:val="24"/>
        </w:rPr>
        <w:t>ble, according to Requirement R3.</w:t>
      </w:r>
    </w:p>
    <w:p w:rsidR="00FA5726" w:rsidRPr="00561399" w:rsidP="00AE11E4" w14:paraId="3C9D7770" w14:textId="77777777">
      <w:pPr>
        <w:pStyle w:val="FERCparanumber"/>
        <w:numPr>
          <w:ilvl w:val="0"/>
          <w:numId w:val="24"/>
        </w:numPr>
        <w:spacing w:line="276" w:lineRule="auto"/>
        <w:ind w:left="720" w:hanging="360"/>
        <w:rPr>
          <w:sz w:val="24"/>
        </w:rPr>
      </w:pPr>
      <w:r w:rsidRPr="00561399">
        <w:rPr>
          <w:sz w:val="24"/>
        </w:rPr>
        <w:t>Requirement R4 requires each applicable transmission owner and transmission operator to conduct an evaluation of the potential threats and vulnerabilities of a physical attack on each of its respective transmission station</w:t>
      </w:r>
      <w:r w:rsidRPr="00561399">
        <w:rPr>
          <w:sz w:val="24"/>
        </w:rPr>
        <w:t>s, transmission substations, and primary control centers identified as critical in Requirement R1.  Examples of evidence may include dated written or electronic documentation that the transmission owner or transmission operator conducted an evaluation of t</w:t>
      </w:r>
      <w:r w:rsidRPr="00561399">
        <w:rPr>
          <w:sz w:val="24"/>
        </w:rPr>
        <w:t>he potential threats and vulnerabilities of a physical attack to their respective transmission station(s), transmission substation(s) and primary control center(s) as specified in Requirement R4.</w:t>
      </w:r>
    </w:p>
    <w:p w:rsidR="00FA5726" w:rsidRPr="00561399" w:rsidP="00AE11E4" w14:paraId="7FFBEADD" w14:textId="77777777">
      <w:pPr>
        <w:pStyle w:val="FERCparanumber"/>
        <w:numPr>
          <w:ilvl w:val="0"/>
          <w:numId w:val="24"/>
        </w:numPr>
        <w:spacing w:line="276" w:lineRule="auto"/>
        <w:ind w:left="720" w:hanging="360"/>
        <w:rPr>
          <w:sz w:val="24"/>
        </w:rPr>
      </w:pPr>
      <w:r w:rsidRPr="00561399">
        <w:rPr>
          <w:sz w:val="24"/>
        </w:rPr>
        <w:t>Requirement R5 requires each transmission owner and transmis</w:t>
      </w:r>
      <w:r w:rsidRPr="00561399">
        <w:rPr>
          <w:sz w:val="24"/>
        </w:rPr>
        <w:t>sion operator to develop and implement documented physical security plans that cover each of their respective transmission stations, transmission substations, and primary control centers identified as critical in Requirement R1.  Examples of evidence may i</w:t>
      </w:r>
      <w:r w:rsidRPr="00561399">
        <w:rPr>
          <w:sz w:val="24"/>
        </w:rPr>
        <w:t xml:space="preserve">nclude dated written or </w:t>
      </w:r>
      <w:r w:rsidRPr="00561399">
        <w:rPr>
          <w:sz w:val="24"/>
        </w:rPr>
        <w:t>electronic documentation of its physical security plan(s) that covers their respective identified and verified transmission station(s), transmission substation(s), and primary control center(s) as specified in Requirement R5, and ad</w:t>
      </w:r>
      <w:r w:rsidRPr="00561399">
        <w:rPr>
          <w:sz w:val="24"/>
        </w:rPr>
        <w:t>ditional evidence demonstrating implementation of the physical security plan.</w:t>
      </w:r>
    </w:p>
    <w:p w:rsidR="00FA5726" w:rsidRPr="00561399" w:rsidP="2B40F747" w14:paraId="7E6E15B2" w14:textId="3F40D1DE">
      <w:pPr>
        <w:pStyle w:val="FERCparanumber"/>
        <w:numPr>
          <w:ilvl w:val="0"/>
          <w:numId w:val="24"/>
        </w:numPr>
        <w:spacing w:line="276" w:lineRule="auto"/>
        <w:ind w:left="720" w:hanging="360"/>
        <w:rPr>
          <w:sz w:val="24"/>
        </w:rPr>
      </w:pPr>
      <w:r w:rsidRPr="00561399">
        <w:rPr>
          <w:sz w:val="24"/>
        </w:rPr>
        <w:t>Requirement R6 requires that each transmission owner and transmission operator subject to Requirements R4 and R5 have an unaffiliated third</w:t>
      </w:r>
      <w:r w:rsidRPr="00561399" w:rsidR="363C7625">
        <w:rPr>
          <w:sz w:val="24"/>
        </w:rPr>
        <w:t>-</w:t>
      </w:r>
      <w:r w:rsidRPr="00561399">
        <w:rPr>
          <w:sz w:val="24"/>
        </w:rPr>
        <w:t>party with appropriate experience revi</w:t>
      </w:r>
      <w:r w:rsidRPr="00561399">
        <w:rPr>
          <w:sz w:val="24"/>
        </w:rPr>
        <w:t>ew its Requirement R4 evaluation and Requirement R5 security plan.  Requirement R6 states that the transmission owner or transmission operator must either modify its evaluation and security plan consistent with the recommendation, if any, of the reviewer o</w:t>
      </w:r>
      <w:r w:rsidRPr="00561399">
        <w:rPr>
          <w:sz w:val="24"/>
        </w:rPr>
        <w:t>r document its reasons for not doing so.  In addition, Requirement R6 requires each transmission owner to implement procedures for protecting sensitive or confidential information made available to third-party reviewers or developed under the Reliability S</w:t>
      </w:r>
      <w:r w:rsidRPr="00561399">
        <w:rPr>
          <w:sz w:val="24"/>
        </w:rPr>
        <w:t>tandard from public disclosure.  Examples of evidence may include written or electronic documentation that the transmission owner or transmission operator had an unaffiliated third</w:t>
      </w:r>
      <w:r w:rsidRPr="00561399" w:rsidR="238D33ED">
        <w:rPr>
          <w:sz w:val="24"/>
        </w:rPr>
        <w:t>-</w:t>
      </w:r>
      <w:r w:rsidRPr="00561399">
        <w:rPr>
          <w:sz w:val="24"/>
        </w:rPr>
        <w:t>party review the evaluation performed under Requirement R4 and the security</w:t>
      </w:r>
      <w:r w:rsidRPr="00561399">
        <w:rPr>
          <w:sz w:val="24"/>
        </w:rPr>
        <w:t xml:space="preserve"> plan(s) developed under Requirement R5 as specified in Requirement R6 including, if applicable, documenting the reasons for not modifying the evaluation or security plan(s) in accordance with a recommendation under Part 6.3.</w:t>
      </w:r>
    </w:p>
    <w:p w:rsidR="00FA5726" w:rsidRPr="00561399" w:rsidP="2B40F747" w14:paraId="60433FC7" w14:textId="6E8311A8">
      <w:pPr>
        <w:pStyle w:val="FERCparanumber"/>
        <w:numPr>
          <w:ilvl w:val="0"/>
          <w:numId w:val="0"/>
        </w:numPr>
        <w:spacing w:line="240" w:lineRule="auto"/>
        <w:rPr>
          <w:sz w:val="24"/>
        </w:rPr>
      </w:pPr>
      <w:r w:rsidRPr="00561399">
        <w:rPr>
          <w:b/>
          <w:bCs/>
          <w:sz w:val="24"/>
          <w:u w:val="single"/>
        </w:rPr>
        <w:t>Evidence Retention</w:t>
      </w:r>
    </w:p>
    <w:p w:rsidR="00785CD2" w:rsidRPr="00CE0C92" w:rsidP="00DF052C" w14:paraId="7E01DC17" w14:textId="706AB42F">
      <w:pPr>
        <w:rPr>
          <w:rFonts w:ascii="Times New Roman" w:hAnsi="Times New Roman" w:cs="Times New Roman"/>
          <w:sz w:val="24"/>
          <w:szCs w:val="24"/>
        </w:rPr>
      </w:pPr>
      <w:r w:rsidRPr="00561399">
        <w:rPr>
          <w:rFonts w:ascii="Times New Roman" w:hAnsi="Times New Roman" w:cs="Times New Roman"/>
          <w:sz w:val="24"/>
          <w:szCs w:val="24"/>
        </w:rPr>
        <w:t>Transmission owners and transmission operators must keep data or evidence to show compliance with the standard for three years unless directed by its Compliance Enforcement Authority.  If a responsible entity is found non-compliant, it must keep informatio</w:t>
      </w:r>
      <w:r w:rsidRPr="00561399">
        <w:rPr>
          <w:rFonts w:ascii="Times New Roman" w:hAnsi="Times New Roman" w:cs="Times New Roman"/>
          <w:sz w:val="24"/>
          <w:szCs w:val="24"/>
        </w:rPr>
        <w:t xml:space="preserve">n related to the non-compliance until mitigation is complete and approved, or for the three years, whichever is longer. </w:t>
      </w:r>
    </w:p>
    <w:p w:rsidR="00EB3E6F" w:rsidRPr="00561399" w:rsidP="00A72E7B" w14:paraId="286568E6"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 xml:space="preserve">DESCRIBE ANY CONSIDERATION OF THE USE OF IMPROVED INFORMATION TECHNOLOGY TO REDUCE THE BURDEN AND TECHNICAL OR LEGAL OBSTACLES TO </w:t>
      </w:r>
      <w:r w:rsidRPr="00561399">
        <w:rPr>
          <w:rFonts w:ascii="Times New Roman" w:hAnsi="Times New Roman" w:cs="Times New Roman"/>
          <w:b/>
          <w:sz w:val="24"/>
          <w:szCs w:val="24"/>
        </w:rPr>
        <w:t>REDUCING BURDEN</w:t>
      </w:r>
    </w:p>
    <w:p w:rsidR="00EB3E6F" w:rsidRPr="00561399" w:rsidP="00EB3E6F" w14:paraId="557613D9" w14:textId="77777777">
      <w:pPr>
        <w:spacing w:after="0"/>
        <w:rPr>
          <w:rFonts w:ascii="Times New Roman" w:hAnsi="Times New Roman" w:cs="Times New Roman"/>
          <w:sz w:val="24"/>
          <w:szCs w:val="24"/>
        </w:rPr>
      </w:pPr>
    </w:p>
    <w:p w:rsidR="006C7A01" w:rsidRPr="00561399" w:rsidP="007850E5" w14:paraId="2DE452EF" w14:textId="3D5E9844">
      <w:pPr>
        <w:spacing w:after="0"/>
        <w:rPr>
          <w:rFonts w:ascii="Times New Roman" w:hAnsi="Times New Roman" w:cs="Times New Roman"/>
          <w:sz w:val="24"/>
          <w:szCs w:val="24"/>
        </w:rPr>
      </w:pPr>
      <w:r w:rsidRPr="00561399">
        <w:rPr>
          <w:rFonts w:ascii="Times New Roman" w:hAnsi="Times New Roman" w:cs="Times New Roman"/>
          <w:sz w:val="24"/>
          <w:szCs w:val="24"/>
        </w:rPr>
        <w:t>Th</w:t>
      </w:r>
      <w:r w:rsidRPr="00561399" w:rsidR="007D7410">
        <w:rPr>
          <w:rFonts w:ascii="Times New Roman" w:hAnsi="Times New Roman" w:cs="Times New Roman"/>
          <w:sz w:val="24"/>
          <w:szCs w:val="24"/>
        </w:rPr>
        <w:t>is</w:t>
      </w:r>
      <w:r w:rsidRPr="00561399">
        <w:rPr>
          <w:rFonts w:ascii="Times New Roman" w:hAnsi="Times New Roman" w:cs="Times New Roman"/>
          <w:sz w:val="24"/>
          <w:szCs w:val="24"/>
        </w:rPr>
        <w:t xml:space="preserve"> collection do</w:t>
      </w:r>
      <w:r w:rsidRPr="00561399" w:rsidR="007D7410">
        <w:rPr>
          <w:rFonts w:ascii="Times New Roman" w:hAnsi="Times New Roman" w:cs="Times New Roman"/>
          <w:sz w:val="24"/>
          <w:szCs w:val="24"/>
        </w:rPr>
        <w:t>es</w:t>
      </w:r>
      <w:r w:rsidRPr="00561399">
        <w:rPr>
          <w:rFonts w:ascii="Times New Roman" w:hAnsi="Times New Roman" w:cs="Times New Roman"/>
          <w:sz w:val="24"/>
          <w:szCs w:val="24"/>
        </w:rPr>
        <w:t xml:space="preserve"> not require</w:t>
      </w:r>
      <w:r w:rsidRPr="00561399" w:rsidR="002A4094">
        <w:rPr>
          <w:rFonts w:ascii="Times New Roman" w:hAnsi="Times New Roman" w:cs="Times New Roman"/>
          <w:sz w:val="24"/>
          <w:szCs w:val="24"/>
        </w:rPr>
        <w:t xml:space="preserve"> industry to file the information </w:t>
      </w:r>
      <w:r w:rsidRPr="00561399">
        <w:rPr>
          <w:rFonts w:ascii="Times New Roman" w:hAnsi="Times New Roman" w:cs="Times New Roman"/>
          <w:sz w:val="24"/>
          <w:szCs w:val="24"/>
        </w:rPr>
        <w:t xml:space="preserve">with the Commission.  However, </w:t>
      </w:r>
      <w:r w:rsidRPr="00561399" w:rsidR="007D7410">
        <w:rPr>
          <w:rFonts w:ascii="Times New Roman" w:hAnsi="Times New Roman" w:cs="Times New Roman"/>
          <w:sz w:val="24"/>
          <w:szCs w:val="24"/>
        </w:rPr>
        <w:t>FERC-725U</w:t>
      </w:r>
      <w:r w:rsidRPr="00561399">
        <w:rPr>
          <w:rFonts w:ascii="Times New Roman" w:hAnsi="Times New Roman" w:cs="Times New Roman"/>
          <w:sz w:val="24"/>
          <w:szCs w:val="24"/>
        </w:rPr>
        <w:t xml:space="preserve"> do</w:t>
      </w:r>
      <w:r w:rsidRPr="00561399" w:rsidR="005B7E9F">
        <w:rPr>
          <w:rFonts w:ascii="Times New Roman" w:hAnsi="Times New Roman" w:cs="Times New Roman"/>
          <w:sz w:val="24"/>
          <w:szCs w:val="24"/>
        </w:rPr>
        <w:t>es</w:t>
      </w:r>
      <w:r w:rsidRPr="00561399">
        <w:rPr>
          <w:rFonts w:ascii="Times New Roman" w:hAnsi="Times New Roman" w:cs="Times New Roman"/>
          <w:sz w:val="24"/>
          <w:szCs w:val="24"/>
        </w:rPr>
        <w:t xml:space="preserve"> contain information collection and record retention requirements for which using cu</w:t>
      </w:r>
      <w:r w:rsidRPr="00561399" w:rsidR="00102268">
        <w:rPr>
          <w:rFonts w:ascii="Times New Roman" w:hAnsi="Times New Roman" w:cs="Times New Roman"/>
          <w:sz w:val="24"/>
          <w:szCs w:val="24"/>
        </w:rPr>
        <w:t>rrent technology is an option.</w:t>
      </w:r>
    </w:p>
    <w:p w:rsidR="00102268" w:rsidRPr="00561399" w:rsidP="00E97801" w14:paraId="1DD1BF41" w14:textId="77777777">
      <w:pPr>
        <w:spacing w:after="0"/>
        <w:ind w:firstLine="360"/>
        <w:rPr>
          <w:rFonts w:ascii="Times New Roman" w:hAnsi="Times New Roman" w:cs="Times New Roman"/>
          <w:sz w:val="24"/>
          <w:szCs w:val="24"/>
        </w:rPr>
      </w:pPr>
    </w:p>
    <w:p w:rsidR="00102268" w:rsidRPr="00561399" w:rsidP="007850E5" w14:paraId="12A2E45A" w14:textId="0E1F0BF8">
      <w:pPr>
        <w:spacing w:after="0"/>
        <w:rPr>
          <w:rFonts w:ascii="Times New Roman" w:hAnsi="Times New Roman" w:cs="Times New Roman"/>
          <w:sz w:val="24"/>
          <w:szCs w:val="24"/>
        </w:rPr>
      </w:pPr>
      <w:r w:rsidRPr="00561399">
        <w:rPr>
          <w:rFonts w:ascii="Times New Roman" w:hAnsi="Times New Roman" w:cs="Times New Roman"/>
          <w:sz w:val="24"/>
          <w:szCs w:val="24"/>
        </w:rPr>
        <w:t>The informat</w:t>
      </w:r>
      <w:r w:rsidRPr="00561399">
        <w:rPr>
          <w:rFonts w:ascii="Times New Roman" w:hAnsi="Times New Roman" w:cs="Times New Roman"/>
          <w:sz w:val="24"/>
          <w:szCs w:val="24"/>
        </w:rPr>
        <w:t>ion technology to meet the information collection requirements is not specifically covered in the Reliability Standard.</w:t>
      </w:r>
    </w:p>
    <w:p w:rsidR="00A0495C" w:rsidRPr="00561399" w:rsidP="00EB3E6F" w14:paraId="2B4E7244" w14:textId="77777777">
      <w:pPr>
        <w:spacing w:after="0"/>
        <w:rPr>
          <w:rFonts w:ascii="Times New Roman" w:hAnsi="Times New Roman" w:cs="Times New Roman"/>
          <w:sz w:val="24"/>
          <w:szCs w:val="24"/>
        </w:rPr>
      </w:pPr>
    </w:p>
    <w:p w:rsidR="00EB3E6F" w:rsidRPr="00561399" w:rsidP="00A72E7B" w14:paraId="7B827391"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DESCRIBE EFFORTS TO IDENTIF</w:t>
      </w:r>
      <w:r w:rsidRPr="00561399" w:rsidR="00074DC8">
        <w:rPr>
          <w:rFonts w:ascii="Times New Roman" w:hAnsi="Times New Roman" w:cs="Times New Roman"/>
          <w:b/>
          <w:sz w:val="24"/>
          <w:szCs w:val="24"/>
        </w:rPr>
        <w:t>Y</w:t>
      </w:r>
      <w:r w:rsidRPr="00561399">
        <w:rPr>
          <w:rFonts w:ascii="Times New Roman" w:hAnsi="Times New Roman" w:cs="Times New Roman"/>
          <w:b/>
          <w:sz w:val="24"/>
          <w:szCs w:val="24"/>
        </w:rPr>
        <w:t xml:space="preserve"> DUPLICATION AND SHOW SPECIFICALLY WHY ANY SIMILAR INFORMATION ALREADY AVAILABLE CANNOT BE USED OR MODIFIED</w:t>
      </w:r>
      <w:r w:rsidRPr="00561399">
        <w:rPr>
          <w:rFonts w:ascii="Times New Roman" w:hAnsi="Times New Roman" w:cs="Times New Roman"/>
          <w:b/>
          <w:sz w:val="24"/>
          <w:szCs w:val="24"/>
        </w:rPr>
        <w:t xml:space="preserve"> FOR USE FOR THE PURPOSE(S) DESCRIBED IN INSTRUCTION NO. 2</w:t>
      </w:r>
    </w:p>
    <w:p w:rsidR="00EB3E6F" w:rsidRPr="00561399" w:rsidP="00EB3E6F" w14:paraId="56986BD9" w14:textId="77777777">
      <w:pPr>
        <w:spacing w:after="0"/>
        <w:rPr>
          <w:rFonts w:ascii="Times New Roman" w:hAnsi="Times New Roman" w:cs="Times New Roman"/>
          <w:sz w:val="24"/>
          <w:szCs w:val="24"/>
        </w:rPr>
      </w:pPr>
    </w:p>
    <w:p w:rsidR="00A0495C" w:rsidRPr="00561399" w:rsidP="007850E5" w14:paraId="306E4C82" w14:textId="0F2BE900">
      <w:pPr>
        <w:spacing w:after="0"/>
        <w:rPr>
          <w:rFonts w:ascii="Times New Roman" w:hAnsi="Times New Roman" w:cs="Times New Roman"/>
          <w:sz w:val="24"/>
          <w:szCs w:val="24"/>
        </w:rPr>
      </w:pPr>
      <w:r w:rsidRPr="00561399">
        <w:rPr>
          <w:rFonts w:ascii="Times New Roman" w:hAnsi="Times New Roman" w:cs="Times New Roman"/>
          <w:sz w:val="24"/>
          <w:szCs w:val="24"/>
        </w:rPr>
        <w:t>The Commission periodically reviews filing requirements concurrent with OMB review or as the Commission deems necessary to eliminate duplicative filing and</w:t>
      </w:r>
      <w:r w:rsidRPr="00561399" w:rsidR="00102268">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00ED32B9" w:rsidRPr="00561399" w:rsidP="00EB3E6F" w14:paraId="1279E78E" w14:textId="77777777">
      <w:pPr>
        <w:spacing w:after="0"/>
        <w:rPr>
          <w:rFonts w:ascii="Times New Roman" w:hAnsi="Times New Roman" w:cs="Times New Roman"/>
          <w:sz w:val="24"/>
          <w:szCs w:val="24"/>
        </w:rPr>
      </w:pPr>
    </w:p>
    <w:p w:rsidR="00EB3E6F" w:rsidRPr="00561399" w:rsidP="00A72E7B" w14:paraId="69B4DB45"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METHODS USED TO MINIMIZE THE BURDEN IN COLLECTION OF INFORMATION INVOLVING SMALL ENTITIES</w:t>
      </w:r>
    </w:p>
    <w:p w:rsidR="00A0495C" w:rsidRPr="00561399" w:rsidP="00EB3E6F" w14:paraId="5A4CD81B" w14:textId="77777777">
      <w:pPr>
        <w:spacing w:after="0"/>
        <w:rPr>
          <w:rFonts w:ascii="Times New Roman" w:hAnsi="Times New Roman" w:cs="Times New Roman"/>
          <w:sz w:val="24"/>
          <w:szCs w:val="24"/>
        </w:rPr>
      </w:pPr>
    </w:p>
    <w:p w:rsidR="00C626FC" w:rsidRPr="00561399" w:rsidP="007850E5" w14:paraId="510B6F2E" w14:textId="37212261">
      <w:pPr>
        <w:spacing w:after="0"/>
        <w:rPr>
          <w:rFonts w:ascii="Times New Roman" w:hAnsi="Times New Roman" w:cs="Times New Roman"/>
          <w:sz w:val="24"/>
          <w:szCs w:val="24"/>
        </w:rPr>
      </w:pPr>
      <w:r w:rsidRPr="00561399">
        <w:rPr>
          <w:rFonts w:ascii="Times New Roman" w:hAnsi="Times New Roman" w:cs="Times New Roman"/>
          <w:sz w:val="24"/>
          <w:szCs w:val="24"/>
        </w:rPr>
        <w:t xml:space="preserve">In general, small entities may reduce their burden by </w:t>
      </w:r>
      <w:r w:rsidRPr="00561399">
        <w:rPr>
          <w:rFonts w:ascii="Times New Roman" w:hAnsi="Times New Roman" w:cs="Times New Roman"/>
          <w:sz w:val="24"/>
          <w:szCs w:val="24"/>
        </w:rPr>
        <w:t>taking part in a joint registration organization or a coordinated functional registration.  These options allow a small entity to share the compliance burden with other entities and, thus, to minimize their own compliance burden. Detailed information regar</w:t>
      </w:r>
      <w:r w:rsidRPr="00561399">
        <w:rPr>
          <w:rFonts w:ascii="Times New Roman" w:hAnsi="Times New Roman" w:cs="Times New Roman"/>
          <w:sz w:val="24"/>
          <w:szCs w:val="24"/>
        </w:rPr>
        <w:t>ding these options is available in NERC’s Rule of Procedure at Sections 507 and 508</w:t>
      </w:r>
      <w:r w:rsidRPr="00561399" w:rsidR="00EE356F">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23"/>
      </w:r>
    </w:p>
    <w:p w:rsidR="003C0C1E" w:rsidRPr="00561399" w:rsidP="00EB3E6F" w14:paraId="3EB51CB7" w14:textId="77777777">
      <w:pPr>
        <w:spacing w:after="0"/>
        <w:rPr>
          <w:rFonts w:ascii="Times New Roman" w:hAnsi="Times New Roman" w:cs="Times New Roman"/>
          <w:sz w:val="24"/>
          <w:szCs w:val="24"/>
        </w:rPr>
      </w:pPr>
    </w:p>
    <w:p w:rsidR="00EB3E6F" w:rsidRPr="00561399" w:rsidP="00A72E7B" w14:paraId="451B6CA0"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CONSEQUENCE TO FEDERAL PROGRAM IF COLLECTION WERE CONDUCTED LESS FREQUENTLY</w:t>
      </w:r>
    </w:p>
    <w:p w:rsidR="00EB3E6F" w:rsidRPr="00561399" w:rsidP="00EB3E6F" w14:paraId="48230F4A" w14:textId="77777777">
      <w:pPr>
        <w:spacing w:after="0"/>
        <w:rPr>
          <w:rFonts w:ascii="Times New Roman" w:hAnsi="Times New Roman" w:cs="Times New Roman"/>
          <w:sz w:val="24"/>
          <w:szCs w:val="24"/>
        </w:rPr>
      </w:pPr>
    </w:p>
    <w:p w:rsidR="003C0C1E" w:rsidRPr="00561399" w:rsidP="00EB3E6F" w14:paraId="37F4B7CB" w14:textId="2096C469">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 paperwork requirements </w:t>
      </w:r>
      <w:r w:rsidRPr="00561399" w:rsidR="1840B905">
        <w:rPr>
          <w:rFonts w:ascii="Times New Roman" w:hAnsi="Times New Roman" w:cs="Times New Roman"/>
          <w:sz w:val="24"/>
          <w:szCs w:val="24"/>
        </w:rPr>
        <w:t xml:space="preserve">are related with </w:t>
      </w:r>
      <w:r w:rsidRPr="00561399">
        <w:rPr>
          <w:rFonts w:ascii="Times New Roman" w:hAnsi="Times New Roman" w:cs="Times New Roman"/>
          <w:sz w:val="24"/>
          <w:szCs w:val="24"/>
        </w:rPr>
        <w:t>documenting compliance with substantive require</w:t>
      </w:r>
      <w:r w:rsidRPr="00561399">
        <w:rPr>
          <w:rFonts w:ascii="Times New Roman" w:hAnsi="Times New Roman" w:cs="Times New Roman"/>
          <w:sz w:val="24"/>
          <w:szCs w:val="24"/>
        </w:rPr>
        <w:t>ments (including the preparation of a physical security plan</w:t>
      </w:r>
      <w:r w:rsidRPr="00561399" w:rsidR="00EE356F">
        <w:rPr>
          <w:rFonts w:ascii="Times New Roman" w:hAnsi="Times New Roman" w:cs="Times New Roman"/>
          <w:sz w:val="24"/>
          <w:szCs w:val="24"/>
        </w:rPr>
        <w:t>) and</w:t>
      </w:r>
      <w:r w:rsidRPr="00561399">
        <w:rPr>
          <w:rFonts w:ascii="Times New Roman" w:hAnsi="Times New Roman" w:cs="Times New Roman"/>
          <w:sz w:val="24"/>
          <w:szCs w:val="24"/>
        </w:rPr>
        <w:t xml:space="preserve"> maintaining such documents.  The frequency of the paperwork requirements was vetted and approved by industry consensus in the NERC standard development process and is ultimately meant to sup</w:t>
      </w:r>
      <w:r w:rsidRPr="00561399">
        <w:rPr>
          <w:rFonts w:ascii="Times New Roman" w:hAnsi="Times New Roman" w:cs="Times New Roman"/>
          <w:sz w:val="24"/>
          <w:szCs w:val="24"/>
        </w:rPr>
        <w:t>port the reliability of the bulk electric system.</w:t>
      </w:r>
    </w:p>
    <w:p w:rsidR="009C06CD" w:rsidRPr="00561399" w:rsidP="00EB3E6F" w14:paraId="13EEBE3C" w14:textId="77777777">
      <w:pPr>
        <w:spacing w:after="0"/>
        <w:rPr>
          <w:rFonts w:ascii="Times New Roman" w:hAnsi="Times New Roman" w:cs="Times New Roman"/>
          <w:sz w:val="24"/>
          <w:szCs w:val="24"/>
        </w:rPr>
      </w:pPr>
    </w:p>
    <w:p w:rsidR="00EB3E6F" w:rsidRPr="00561399" w:rsidP="00A72E7B" w14:paraId="423BB19A"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EXPLAIN ANY SPECIAL CIRCUMSTANCES RELATING TO THE INFORMATION COLLECTION</w:t>
      </w:r>
    </w:p>
    <w:p w:rsidR="00EB3E6F" w:rsidRPr="00561399" w:rsidP="00EB3E6F" w14:paraId="07192608" w14:textId="77777777">
      <w:pPr>
        <w:spacing w:after="0"/>
        <w:rPr>
          <w:rFonts w:ascii="Times New Roman" w:hAnsi="Times New Roman" w:cs="Times New Roman"/>
          <w:sz w:val="24"/>
          <w:szCs w:val="24"/>
        </w:rPr>
      </w:pPr>
    </w:p>
    <w:p w:rsidR="009E4570" w:rsidRPr="00561399" w:rsidP="00716D81" w14:paraId="7C2B22A8" w14:textId="30D38D56">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There </w:t>
      </w:r>
      <w:r w:rsidRPr="00561399" w:rsidR="00843A73">
        <w:rPr>
          <w:rFonts w:ascii="Times New Roman" w:hAnsi="Times New Roman" w:cs="Times New Roman"/>
          <w:sz w:val="24"/>
          <w:szCs w:val="24"/>
        </w:rPr>
        <w:t>are no special circum</w:t>
      </w:r>
      <w:r w:rsidRPr="00561399" w:rsidR="00632042">
        <w:rPr>
          <w:rFonts w:ascii="Times New Roman" w:hAnsi="Times New Roman" w:cs="Times New Roman"/>
          <w:sz w:val="24"/>
          <w:szCs w:val="24"/>
        </w:rPr>
        <w:t>stances related to the FERC-725U</w:t>
      </w:r>
      <w:r w:rsidRPr="00561399" w:rsidR="00843A73">
        <w:rPr>
          <w:rFonts w:ascii="Times New Roman" w:hAnsi="Times New Roman" w:cs="Times New Roman"/>
          <w:sz w:val="24"/>
          <w:szCs w:val="24"/>
        </w:rPr>
        <w:t xml:space="preserve"> information collection.</w:t>
      </w:r>
      <w:r w:rsidRPr="00561399" w:rsidR="00265562">
        <w:rPr>
          <w:rFonts w:ascii="Times New Roman" w:hAnsi="Times New Roman" w:cs="Times New Roman"/>
          <w:sz w:val="24"/>
          <w:szCs w:val="24"/>
        </w:rPr>
        <w:t xml:space="preserve"> </w:t>
      </w:r>
    </w:p>
    <w:p w:rsidR="00616930" w:rsidRPr="00561399" w:rsidP="00616930" w14:paraId="7A6E95AA" w14:textId="77777777">
      <w:pPr>
        <w:pStyle w:val="ListParagraph"/>
        <w:spacing w:after="0"/>
        <w:ind w:left="1440"/>
        <w:rPr>
          <w:rFonts w:ascii="Times New Roman" w:hAnsi="Times New Roman" w:cs="Times New Roman"/>
          <w:sz w:val="24"/>
          <w:szCs w:val="24"/>
        </w:rPr>
      </w:pPr>
    </w:p>
    <w:p w:rsidR="00EB3E6F" w:rsidRPr="00561399" w:rsidP="00A72E7B" w14:paraId="7F709F4D"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 xml:space="preserve">DESCRIBE EFFORTS TO CONSULT OUTSIDE THE </w:t>
      </w:r>
      <w:r w:rsidRPr="00561399">
        <w:rPr>
          <w:rFonts w:ascii="Times New Roman" w:hAnsi="Times New Roman" w:cs="Times New Roman"/>
          <w:b/>
          <w:sz w:val="24"/>
          <w:szCs w:val="24"/>
        </w:rPr>
        <w:t>AGENCY: SUMMARIZE PUBLIC COMMENTS AND THE AGENCY’S RESPONSE</w:t>
      </w:r>
    </w:p>
    <w:p w:rsidR="00EB3E6F" w:rsidRPr="00561399" w:rsidP="00EB3E6F" w14:paraId="1E9C599E" w14:textId="77777777">
      <w:pPr>
        <w:spacing w:after="0"/>
        <w:rPr>
          <w:rFonts w:ascii="Times New Roman" w:hAnsi="Times New Roman" w:cs="Times New Roman"/>
          <w:sz w:val="24"/>
          <w:szCs w:val="24"/>
        </w:rPr>
      </w:pPr>
    </w:p>
    <w:p w:rsidR="00D84ED8" w:rsidRPr="00561399" w:rsidP="000734FB" w14:paraId="6F26B3A0" w14:textId="77A410D3">
      <w:pPr>
        <w:spacing w:after="0"/>
        <w:rPr>
          <w:rFonts w:ascii="Times New Roman" w:hAnsi="Times New Roman" w:cs="Times New Roman"/>
          <w:sz w:val="24"/>
          <w:szCs w:val="24"/>
        </w:rPr>
      </w:pPr>
      <w:r w:rsidRPr="0056139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Pr>
          <w:rStyle w:val="FootnoteReference"/>
          <w:rFonts w:ascii="Times New Roman" w:hAnsi="Times New Roman" w:cs="Times New Roman"/>
          <w:sz w:val="24"/>
          <w:szCs w:val="24"/>
          <w:vertAlign w:val="superscript"/>
        </w:rPr>
        <w:footnoteReference w:id="24"/>
      </w:r>
      <w:r w:rsidRPr="00561399">
        <w:rPr>
          <w:rFonts w:ascii="Times New Roman" w:hAnsi="Times New Roman" w:cs="Times New Roman"/>
          <w:sz w:val="24"/>
          <w:szCs w:val="24"/>
        </w:rPr>
        <w:t xml:space="preserve">  T</w:t>
      </w:r>
      <w:r w:rsidRPr="00561399" w:rsidR="006969DA">
        <w:rPr>
          <w:rFonts w:ascii="Times New Roman" w:hAnsi="Times New Roman" w:cs="Times New Roman"/>
          <w:sz w:val="24"/>
          <w:szCs w:val="24"/>
        </w:rPr>
        <w:t xml:space="preserve">he </w:t>
      </w:r>
      <w:r w:rsidRPr="00561399" w:rsidR="004F3645">
        <w:rPr>
          <w:rFonts w:ascii="Times New Roman" w:hAnsi="Times New Roman" w:cs="Times New Roman"/>
          <w:sz w:val="24"/>
          <w:szCs w:val="24"/>
        </w:rPr>
        <w:t>NERC-</w:t>
      </w:r>
      <w:r w:rsidRPr="00B51110" w:rsidR="006969DA">
        <w:rPr>
          <w:rFonts w:ascii="Times New Roman" w:hAnsi="Times New Roman" w:cs="Times New Roman"/>
          <w:sz w:val="24"/>
          <w:szCs w:val="24"/>
        </w:rPr>
        <w:t>approved</w:t>
      </w:r>
      <w:r w:rsidRPr="00B51110">
        <w:rPr>
          <w:rFonts w:ascii="Times New Roman" w:hAnsi="Times New Roman" w:cs="Times New Roman"/>
          <w:sz w:val="24"/>
          <w:szCs w:val="24"/>
        </w:rPr>
        <w:t xml:space="preserve"> </w:t>
      </w:r>
      <w:r w:rsidRPr="00561399" w:rsidR="00A3356C">
        <w:rPr>
          <w:rFonts w:ascii="Times New Roman" w:hAnsi="Times New Roman" w:cs="Times New Roman"/>
          <w:sz w:val="24"/>
          <w:szCs w:val="24"/>
        </w:rPr>
        <w:t xml:space="preserve">Reliability Standards </w:t>
      </w:r>
      <w:r w:rsidRPr="00561399">
        <w:rPr>
          <w:rFonts w:ascii="Times New Roman" w:hAnsi="Times New Roman" w:cs="Times New Roman"/>
          <w:sz w:val="24"/>
          <w:szCs w:val="24"/>
        </w:rPr>
        <w:t xml:space="preserve">were </w:t>
      </w:r>
      <w:r w:rsidRPr="00561399" w:rsidR="004F3645">
        <w:rPr>
          <w:rFonts w:ascii="Times New Roman" w:hAnsi="Times New Roman" w:cs="Times New Roman"/>
          <w:sz w:val="24"/>
          <w:szCs w:val="24"/>
        </w:rPr>
        <w:t xml:space="preserve">then </w:t>
      </w:r>
      <w:r w:rsidRPr="00561399">
        <w:rPr>
          <w:rFonts w:ascii="Times New Roman" w:hAnsi="Times New Roman" w:cs="Times New Roman"/>
          <w:sz w:val="24"/>
          <w:szCs w:val="24"/>
        </w:rPr>
        <w:t>submitted by NERC to the</w:t>
      </w:r>
      <w:r w:rsidRPr="00561399" w:rsidR="00632042">
        <w:rPr>
          <w:rFonts w:ascii="Times New Roman" w:hAnsi="Times New Roman" w:cs="Times New Roman"/>
          <w:sz w:val="24"/>
          <w:szCs w:val="24"/>
        </w:rPr>
        <w:t xml:space="preserve"> FERC for review and approval.</w:t>
      </w:r>
    </w:p>
    <w:p w:rsidR="00216CE8" w:rsidRPr="00561399" w:rsidP="000734FB" w14:paraId="3AC5E7ED" w14:textId="77777777">
      <w:pPr>
        <w:spacing w:after="0"/>
        <w:rPr>
          <w:rFonts w:ascii="Times New Roman" w:hAnsi="Times New Roman" w:cs="Times New Roman"/>
          <w:sz w:val="24"/>
          <w:szCs w:val="24"/>
        </w:rPr>
      </w:pPr>
    </w:p>
    <w:p w:rsidR="00447155" w:rsidRPr="00561399" w:rsidP="000734FB" w14:paraId="4646FEF8" w14:textId="2F689B36">
      <w:pPr>
        <w:autoSpaceDE w:val="0"/>
        <w:autoSpaceDN w:val="0"/>
        <w:adjustRightInd w:val="0"/>
        <w:spacing w:after="0"/>
        <w:rPr>
          <w:rFonts w:ascii="Times New Roman" w:hAnsi="Times New Roman" w:cs="Times New Roman"/>
          <w:sz w:val="24"/>
          <w:szCs w:val="24"/>
        </w:rPr>
      </w:pPr>
      <w:r w:rsidRPr="00561399">
        <w:rPr>
          <w:rFonts w:ascii="Times New Roman" w:hAnsi="Times New Roman" w:cs="Times New Roman"/>
          <w:sz w:val="24"/>
          <w:szCs w:val="24"/>
        </w:rPr>
        <w:t>In accordance with OMB requirements, the Commission published a 60-day notice</w:t>
      </w:r>
      <w:r>
        <w:rPr>
          <w:rStyle w:val="FootnoteReference"/>
          <w:rFonts w:ascii="Times New Roman" w:hAnsi="Times New Roman" w:cs="Times New Roman"/>
          <w:sz w:val="24"/>
          <w:szCs w:val="24"/>
          <w:vertAlign w:val="superscript"/>
        </w:rPr>
        <w:footnoteReference w:id="25"/>
      </w:r>
      <w:r w:rsidRPr="00561399">
        <w:rPr>
          <w:rFonts w:ascii="Times New Roman" w:hAnsi="Times New Roman" w:cs="Times New Roman"/>
          <w:sz w:val="24"/>
          <w:szCs w:val="24"/>
        </w:rPr>
        <w:t xml:space="preserve"> and a 30-day notice</w:t>
      </w:r>
      <w:r>
        <w:rPr>
          <w:rStyle w:val="FootnoteReference"/>
          <w:rFonts w:ascii="Times New Roman" w:hAnsi="Times New Roman" w:cs="Times New Roman"/>
          <w:sz w:val="24"/>
          <w:szCs w:val="24"/>
          <w:vertAlign w:val="superscript"/>
        </w:rPr>
        <w:footnoteReference w:id="26"/>
      </w:r>
      <w:r w:rsidRPr="00561399">
        <w:rPr>
          <w:rFonts w:ascii="Times New Roman" w:hAnsi="Times New Roman" w:cs="Times New Roman"/>
          <w:sz w:val="24"/>
          <w:szCs w:val="24"/>
        </w:rPr>
        <w:t xml:space="preserve"> to the public regarding this information collection on </w:t>
      </w:r>
      <w:r w:rsidRPr="00561399" w:rsidR="0F762C37">
        <w:rPr>
          <w:rFonts w:ascii="Times New Roman" w:hAnsi="Times New Roman" w:cs="Times New Roman"/>
          <w:sz w:val="24"/>
          <w:szCs w:val="24"/>
        </w:rPr>
        <w:t>6</w:t>
      </w:r>
      <w:r w:rsidRPr="00B51110">
        <w:rPr>
          <w:rFonts w:ascii="Times New Roman" w:hAnsi="Times New Roman" w:cs="Times New Roman"/>
          <w:sz w:val="24"/>
          <w:szCs w:val="24"/>
        </w:rPr>
        <w:t>/</w:t>
      </w:r>
      <w:r w:rsidRPr="00B51110" w:rsidR="0F762C37">
        <w:rPr>
          <w:rFonts w:ascii="Times New Roman" w:hAnsi="Times New Roman" w:cs="Times New Roman"/>
          <w:sz w:val="24"/>
          <w:szCs w:val="24"/>
        </w:rPr>
        <w:t>24</w:t>
      </w:r>
      <w:r w:rsidRPr="00561399">
        <w:rPr>
          <w:rFonts w:ascii="Times New Roman" w:hAnsi="Times New Roman" w:cs="Times New Roman"/>
          <w:sz w:val="24"/>
          <w:szCs w:val="24"/>
        </w:rPr>
        <w:t>/20</w:t>
      </w:r>
      <w:r w:rsidRPr="00561399" w:rsidR="7D03FC2D">
        <w:rPr>
          <w:rFonts w:ascii="Times New Roman" w:hAnsi="Times New Roman" w:cs="Times New Roman"/>
          <w:sz w:val="24"/>
          <w:szCs w:val="24"/>
        </w:rPr>
        <w:t>22</w:t>
      </w:r>
      <w:r w:rsidRPr="00561399">
        <w:rPr>
          <w:rFonts w:ascii="Times New Roman" w:hAnsi="Times New Roman" w:cs="Times New Roman"/>
          <w:sz w:val="24"/>
          <w:szCs w:val="24"/>
        </w:rPr>
        <w:t xml:space="preserve"> and </w:t>
      </w:r>
      <w:r w:rsidRPr="00561399" w:rsidR="61621002">
        <w:rPr>
          <w:rFonts w:ascii="Times New Roman" w:hAnsi="Times New Roman" w:cs="Times New Roman"/>
          <w:sz w:val="24"/>
          <w:szCs w:val="24"/>
        </w:rPr>
        <w:t>9</w:t>
      </w:r>
      <w:r w:rsidRPr="00561399">
        <w:rPr>
          <w:rFonts w:ascii="Times New Roman" w:hAnsi="Times New Roman" w:cs="Times New Roman"/>
          <w:sz w:val="24"/>
          <w:szCs w:val="24"/>
        </w:rPr>
        <w:t>/</w:t>
      </w:r>
      <w:r w:rsidRPr="00561399" w:rsidR="61621002">
        <w:rPr>
          <w:rFonts w:ascii="Times New Roman" w:hAnsi="Times New Roman" w:cs="Times New Roman"/>
          <w:sz w:val="24"/>
          <w:szCs w:val="24"/>
        </w:rPr>
        <w:t>08</w:t>
      </w:r>
      <w:r w:rsidRPr="00561399">
        <w:rPr>
          <w:rFonts w:ascii="Times New Roman" w:hAnsi="Times New Roman" w:cs="Times New Roman"/>
          <w:sz w:val="24"/>
          <w:szCs w:val="24"/>
        </w:rPr>
        <w:t>/</w:t>
      </w:r>
      <w:r w:rsidRPr="00561399" w:rsidR="256B2AF5">
        <w:rPr>
          <w:rFonts w:ascii="Times New Roman" w:hAnsi="Times New Roman" w:cs="Times New Roman"/>
          <w:sz w:val="24"/>
          <w:szCs w:val="24"/>
        </w:rPr>
        <w:t>202</w:t>
      </w:r>
      <w:r w:rsidRPr="00561399" w:rsidR="7D03FC2D">
        <w:rPr>
          <w:rFonts w:ascii="Times New Roman" w:hAnsi="Times New Roman" w:cs="Times New Roman"/>
          <w:sz w:val="24"/>
          <w:szCs w:val="24"/>
        </w:rPr>
        <w:t>2</w:t>
      </w:r>
      <w:r w:rsidRPr="00561399" w:rsidR="230EACDB">
        <w:rPr>
          <w:rFonts w:ascii="Times New Roman" w:hAnsi="Times New Roman" w:cs="Times New Roman"/>
          <w:sz w:val="24"/>
          <w:szCs w:val="24"/>
        </w:rPr>
        <w:t xml:space="preserve"> </w:t>
      </w:r>
      <w:r w:rsidRPr="00561399">
        <w:rPr>
          <w:rFonts w:ascii="Times New Roman" w:hAnsi="Times New Roman" w:cs="Times New Roman"/>
          <w:sz w:val="24"/>
          <w:szCs w:val="24"/>
        </w:rPr>
        <w:t xml:space="preserve">respectively.  </w:t>
      </w:r>
      <w:r w:rsidRPr="00561399" w:rsidR="76867F3D">
        <w:rPr>
          <w:rFonts w:ascii="Times New Roman" w:hAnsi="Times New Roman" w:cs="Times New Roman"/>
          <w:sz w:val="24"/>
          <w:szCs w:val="24"/>
        </w:rPr>
        <w:t>The Commission received no comments from the public in response to either published notice regarding the FERC-725U information collection.</w:t>
      </w:r>
    </w:p>
    <w:p w:rsidR="00716CA6" w:rsidRPr="00561399" w:rsidP="000734FB" w14:paraId="74878278" w14:textId="1EE7AC65">
      <w:pPr>
        <w:autoSpaceDE w:val="0"/>
        <w:autoSpaceDN w:val="0"/>
        <w:adjustRightInd w:val="0"/>
        <w:spacing w:after="0"/>
        <w:rPr>
          <w:rFonts w:ascii="Times New Roman" w:hAnsi="Times New Roman" w:cs="Times New Roman"/>
          <w:sz w:val="24"/>
          <w:szCs w:val="24"/>
        </w:rPr>
      </w:pPr>
    </w:p>
    <w:p w:rsidR="009667D6" w:rsidRPr="00CE0C92" w:rsidP="009667D6" w14:paraId="412A721C" w14:textId="77777777">
      <w:pPr>
        <w:keepNext/>
        <w:keepLines/>
        <w:tabs>
          <w:tab w:val="num" w:pos="720"/>
        </w:tabs>
        <w:spacing w:after="260" w:line="240" w:lineRule="auto"/>
        <w:ind w:left="720" w:hanging="720"/>
        <w:outlineLvl w:val="0"/>
        <w:rPr>
          <w:rFonts w:ascii="Times New Roman" w:eastAsia="Times New Roman" w:hAnsi="Times New Roman" w:cs="Times New Roman"/>
          <w:b/>
          <w:kern w:val="32"/>
          <w:sz w:val="24"/>
          <w:szCs w:val="24"/>
          <w:u w:val="single"/>
        </w:rPr>
      </w:pPr>
      <w:r w:rsidRPr="00CE0C92">
        <w:rPr>
          <w:rFonts w:ascii="Times New Roman" w:eastAsia="Times New Roman" w:hAnsi="Times New Roman" w:cs="Times New Roman"/>
          <w:b/>
          <w:kern w:val="32"/>
          <w:sz w:val="24"/>
          <w:szCs w:val="24"/>
          <w:u w:val="single"/>
        </w:rPr>
        <w:t xml:space="preserve">Notice of Filing and Responsive Pleadings </w:t>
      </w:r>
    </w:p>
    <w:p w:rsidR="009667D6" w:rsidRPr="00CE0C92" w:rsidP="009667D6" w14:paraId="146862FB" w14:textId="77777777">
      <w:pPr>
        <w:tabs>
          <w:tab w:val="num" w:pos="720"/>
        </w:tabs>
        <w:spacing w:after="260" w:line="240" w:lineRule="auto"/>
        <w:rPr>
          <w:rFonts w:ascii="Times New Roman" w:eastAsia="Calibri" w:hAnsi="Times New Roman" w:cs="Times New Roman"/>
          <w:sz w:val="24"/>
          <w:szCs w:val="24"/>
        </w:rPr>
      </w:pPr>
      <w:bookmarkStart w:id="5" w:name="_Hlk78274200"/>
      <w:r w:rsidRPr="00CE0C92">
        <w:rPr>
          <w:rFonts w:ascii="Times New Roman" w:eastAsia="Calibri" w:hAnsi="Times New Roman" w:cs="Times New Roman"/>
          <w:sz w:val="24"/>
          <w:szCs w:val="24"/>
        </w:rPr>
        <w:t xml:space="preserve">Notice of NERC’s February 16, 2022 Petition was published in the </w:t>
      </w:r>
      <w:r w:rsidRPr="00CE0C92">
        <w:rPr>
          <w:rFonts w:ascii="Times New Roman" w:eastAsia="Calibri" w:hAnsi="Times New Roman" w:cs="Times New Roman"/>
          <w:i/>
          <w:iCs/>
          <w:sz w:val="24"/>
          <w:szCs w:val="24"/>
        </w:rPr>
        <w:t>Federal Register</w:t>
      </w:r>
      <w:r w:rsidRPr="00CE0C92">
        <w:rPr>
          <w:rFonts w:ascii="Times New Roman" w:eastAsia="Calibri" w:hAnsi="Times New Roman" w:cs="Times New Roman"/>
          <w:sz w:val="24"/>
          <w:szCs w:val="24"/>
        </w:rPr>
        <w:t>, 87 FR 11061 (Feb.28, 2022), with interventions and protests due on or before March 15, 2022.  The Edison Electric Institute (EEI) filed a timely motion to intervene and comments.  On March 21, 2022, NERC submitted a request to submit reply comments and r</w:t>
      </w:r>
      <w:r w:rsidRPr="00CE0C92">
        <w:rPr>
          <w:rFonts w:ascii="Times New Roman" w:eastAsia="Calibri" w:hAnsi="Times New Roman" w:cs="Times New Roman"/>
          <w:sz w:val="24"/>
          <w:szCs w:val="24"/>
        </w:rPr>
        <w:t xml:space="preserve">eply comments (NERC Answer).  On March 30, 2022, EEI filed a motion for leave to answer and answer (EEI Answer). </w:t>
      </w:r>
    </w:p>
    <w:bookmarkEnd w:id="5"/>
    <w:p w:rsidR="009667D6" w:rsidRPr="00CE0C92" w:rsidP="009667D6" w14:paraId="03AA039D"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EEI opposes NERC’s petition and maintains that Reliability Standard CIP-014 requires data collection for industry’s most sensitive assets and,</w:t>
      </w:r>
      <w:r w:rsidRPr="00CE0C92">
        <w:rPr>
          <w:rFonts w:ascii="Times New Roman" w:eastAsia="Calibri" w:hAnsi="Times New Roman" w:cs="Times New Roman"/>
          <w:sz w:val="24"/>
          <w:szCs w:val="24"/>
        </w:rPr>
        <w:t xml:space="preserve"> therefore, the compliance provision should be retained so that NERC continues to review compliance evidence for  this Reliability Standard only on-site at the registered entities for the most sensitive data.</w:t>
      </w:r>
      <w:r>
        <w:rPr>
          <w:rFonts w:ascii="Times New Roman" w:eastAsia="Calibri" w:hAnsi="Times New Roman" w:cs="Times New Roman"/>
          <w:b/>
          <w:bCs/>
          <w:sz w:val="24"/>
          <w:szCs w:val="24"/>
          <w:vertAlign w:val="superscript"/>
        </w:rPr>
        <w:footnoteReference w:id="27"/>
      </w:r>
      <w:r w:rsidRPr="00CE0C92">
        <w:rPr>
          <w:rFonts w:ascii="Times New Roman" w:eastAsia="Calibri" w:hAnsi="Times New Roman" w:cs="Times New Roman"/>
          <w:sz w:val="24"/>
          <w:szCs w:val="24"/>
        </w:rPr>
        <w:t xml:space="preserve">  EEI explains that the information retained u</w:t>
      </w:r>
      <w:r w:rsidRPr="00CE0C92">
        <w:rPr>
          <w:rFonts w:ascii="Times New Roman" w:eastAsia="Calibri" w:hAnsi="Times New Roman" w:cs="Times New Roman"/>
          <w:sz w:val="24"/>
          <w:szCs w:val="24"/>
        </w:rPr>
        <w:t>nder this compliance requirement is of a critical and highly sensitive nature, and some information provided for Reliability Standard CIP-014 compliance is only available to a small set of personnel on a need-to-know basis within EEI member companies.</w:t>
      </w:r>
      <w:r>
        <w:rPr>
          <w:rFonts w:ascii="Times New Roman" w:eastAsia="Calibri" w:hAnsi="Times New Roman" w:cs="Times New Roman"/>
          <w:b/>
          <w:bCs/>
          <w:sz w:val="24"/>
          <w:szCs w:val="24"/>
          <w:vertAlign w:val="superscript"/>
        </w:rPr>
        <w:footnoteReference w:id="28"/>
      </w:r>
      <w:r w:rsidRPr="00CE0C92">
        <w:rPr>
          <w:rFonts w:ascii="Times New Roman" w:eastAsia="Calibri" w:hAnsi="Times New Roman" w:cs="Times New Roman"/>
          <w:sz w:val="24"/>
          <w:szCs w:val="24"/>
        </w:rPr>
        <w:t xml:space="preserve">  A</w:t>
      </w:r>
      <w:r w:rsidRPr="00CE0C92">
        <w:rPr>
          <w:rFonts w:ascii="Times New Roman" w:eastAsia="Calibri" w:hAnsi="Times New Roman" w:cs="Times New Roman"/>
          <w:sz w:val="24"/>
          <w:szCs w:val="24"/>
        </w:rPr>
        <w:t xml:space="preserve">ccording to EEI, its members go to great lengths to protect the identity of the assets and other sensitive information by using alternative anonymous names both in internal and external discussions.  Further, EEI expresses security concerns related to the </w:t>
      </w:r>
      <w:r w:rsidRPr="00CE0C92">
        <w:rPr>
          <w:rFonts w:ascii="Times New Roman" w:eastAsia="Calibri" w:hAnsi="Times New Roman" w:cs="Times New Roman"/>
          <w:sz w:val="24"/>
          <w:szCs w:val="24"/>
        </w:rPr>
        <w:t>use of SEL, arguing that the SEL increases the risk of aggregated industry information falling into the hands of a nation state or bad actor.</w:t>
      </w:r>
      <w:r>
        <w:rPr>
          <w:rFonts w:ascii="Times New Roman" w:eastAsia="Calibri" w:hAnsi="Times New Roman" w:cs="Times New Roman"/>
          <w:b/>
          <w:bCs/>
          <w:sz w:val="24"/>
          <w:szCs w:val="24"/>
          <w:vertAlign w:val="superscript"/>
        </w:rPr>
        <w:footnoteReference w:id="29"/>
      </w:r>
      <w:r w:rsidRPr="00CE0C92">
        <w:rPr>
          <w:rFonts w:ascii="Times New Roman" w:eastAsia="Calibri" w:hAnsi="Times New Roman" w:cs="Times New Roman"/>
          <w:sz w:val="24"/>
          <w:szCs w:val="24"/>
        </w:rPr>
        <w:t xml:space="preserve">  EEI argues that ease of access cannot take precedence over the safety, security, and reliability of the electri</w:t>
      </w:r>
      <w:r w:rsidRPr="00CE0C92">
        <w:rPr>
          <w:rFonts w:ascii="Times New Roman" w:eastAsia="Calibri" w:hAnsi="Times New Roman" w:cs="Times New Roman"/>
          <w:sz w:val="24"/>
          <w:szCs w:val="24"/>
        </w:rPr>
        <w:t>c grid.</w:t>
      </w:r>
    </w:p>
    <w:p w:rsidR="009667D6" w:rsidRPr="00CE0C92" w:rsidP="009667D6" w14:paraId="2C595C01"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 xml:space="preserve">NERC asserts in its answer that the proposed modification would not decrease </w:t>
      </w:r>
      <w:r w:rsidRPr="00CE0C92">
        <w:rPr>
          <w:rFonts w:ascii="Times New Roman" w:eastAsia="Calibri" w:hAnsi="Times New Roman" w:cs="Times New Roman"/>
          <w:sz w:val="24"/>
          <w:szCs w:val="24"/>
        </w:rPr>
        <w:br/>
        <w:t>the protection of any highly sensitive compliance evidence, but it is needed to ensure compliance monitoring with Reliability Standard CIP-014.</w:t>
      </w:r>
      <w:r>
        <w:rPr>
          <w:rFonts w:ascii="Times New Roman" w:eastAsia="Calibri" w:hAnsi="Times New Roman" w:cs="Times New Roman"/>
          <w:b/>
          <w:bCs/>
          <w:sz w:val="24"/>
          <w:szCs w:val="24"/>
          <w:vertAlign w:val="superscript"/>
        </w:rPr>
        <w:footnoteReference w:id="30"/>
      </w:r>
      <w:r w:rsidRPr="00CE0C92">
        <w:rPr>
          <w:rFonts w:ascii="Times New Roman" w:eastAsia="Calibri" w:hAnsi="Times New Roman" w:cs="Times New Roman"/>
          <w:sz w:val="24"/>
          <w:szCs w:val="24"/>
        </w:rPr>
        <w:t xml:space="preserve">  Among other arguments, NERC explains that there will be limited CIP-014 evidence aggregated in the SEL at any given time.</w:t>
      </w:r>
      <w:r>
        <w:rPr>
          <w:rFonts w:ascii="Times New Roman" w:eastAsia="Calibri" w:hAnsi="Times New Roman" w:cs="Times New Roman"/>
          <w:b/>
          <w:bCs/>
          <w:sz w:val="24"/>
          <w:szCs w:val="24"/>
          <w:vertAlign w:val="superscript"/>
        </w:rPr>
        <w:footnoteReference w:id="31"/>
      </w:r>
      <w:r w:rsidRPr="00CE0C92">
        <w:rPr>
          <w:rFonts w:ascii="Times New Roman" w:eastAsia="Calibri" w:hAnsi="Times New Roman" w:cs="Times New Roman"/>
          <w:sz w:val="24"/>
          <w:szCs w:val="24"/>
        </w:rPr>
        <w:t xml:space="preserve">  Further, NERC elaborates that a registered entity may choose to develop its own SEL rather than use NERC’s SEL, or use NERC’s exc</w:t>
      </w:r>
      <w:r w:rsidRPr="00CE0C92">
        <w:rPr>
          <w:rFonts w:ascii="Times New Roman" w:eastAsia="Calibri" w:hAnsi="Times New Roman" w:cs="Times New Roman"/>
          <w:sz w:val="24"/>
          <w:szCs w:val="24"/>
        </w:rPr>
        <w:t xml:space="preserve">eptions process, which allows registered entities to collaborate with the compliance authority on alternative submittal methods. </w:t>
      </w:r>
    </w:p>
    <w:p w:rsidR="009667D6" w:rsidRPr="00CE0C92" w:rsidP="009667D6" w14:paraId="7B2B4E27"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Finally, NERC states that over the last two years, due to pandemic restrictions, in some instances registered entities refused</w:t>
      </w:r>
      <w:r w:rsidRPr="00CE0C92">
        <w:rPr>
          <w:rFonts w:ascii="Times New Roman" w:eastAsia="Calibri" w:hAnsi="Times New Roman" w:cs="Times New Roman"/>
          <w:sz w:val="24"/>
          <w:szCs w:val="24"/>
        </w:rPr>
        <w:t xml:space="preserve"> on-site access for compliance monitoring.</w:t>
      </w:r>
      <w:r>
        <w:rPr>
          <w:rFonts w:ascii="Times New Roman" w:eastAsia="Calibri" w:hAnsi="Times New Roman" w:cs="Times New Roman"/>
          <w:b/>
          <w:sz w:val="24"/>
          <w:szCs w:val="24"/>
          <w:vertAlign w:val="superscript"/>
        </w:rPr>
        <w:footnoteReference w:id="32"/>
      </w:r>
      <w:r w:rsidRPr="00CE0C92">
        <w:rPr>
          <w:rFonts w:ascii="Times New Roman" w:eastAsia="Calibri" w:hAnsi="Times New Roman" w:cs="Times New Roman"/>
          <w:sz w:val="24"/>
          <w:szCs w:val="24"/>
        </w:rPr>
        <w:t xml:space="preserve">  </w:t>
      </w:r>
      <w:r w:rsidRPr="00CE0C92">
        <w:rPr>
          <w:rFonts w:ascii="Times New Roman" w:eastAsia="Calibri" w:hAnsi="Times New Roman" w:cs="Times New Roman"/>
          <w:sz w:val="24"/>
          <w:szCs w:val="24"/>
        </w:rPr>
        <w:br/>
        <w:t xml:space="preserve">In addition, certain entities also refused to allow a review of evidence using a secure </w:t>
      </w:r>
      <w:r w:rsidRPr="00CE0C92">
        <w:rPr>
          <w:rFonts w:ascii="Times New Roman" w:eastAsia="Calibri" w:hAnsi="Times New Roman" w:cs="Times New Roman"/>
          <w:sz w:val="24"/>
          <w:szCs w:val="24"/>
        </w:rPr>
        <w:t>videoconferencing platform.  NERC believes that “[t]he end result was increased risk, in certain instances, because [NERC</w:t>
      </w:r>
      <w:r w:rsidRPr="00CE0C92">
        <w:rPr>
          <w:rFonts w:ascii="Times New Roman" w:eastAsia="Calibri" w:hAnsi="Times New Roman" w:cs="Times New Roman"/>
          <w:sz w:val="24"/>
          <w:szCs w:val="24"/>
        </w:rPr>
        <w:t xml:space="preserve"> and the Regional Entities] had no mechanism with which to monitor compliance with CIP-014 until the entity, at its own discretion, lifted its pandemic-related restriction.”</w:t>
      </w:r>
      <w:r>
        <w:rPr>
          <w:rFonts w:ascii="Times New Roman" w:eastAsia="Calibri" w:hAnsi="Times New Roman" w:cs="Times New Roman"/>
          <w:b/>
          <w:sz w:val="24"/>
          <w:szCs w:val="24"/>
          <w:vertAlign w:val="superscript"/>
        </w:rPr>
        <w:footnoteReference w:id="33"/>
      </w:r>
      <w:r w:rsidRPr="00CE0C92">
        <w:rPr>
          <w:rFonts w:ascii="Times New Roman" w:eastAsia="Calibri" w:hAnsi="Times New Roman" w:cs="Times New Roman"/>
          <w:sz w:val="24"/>
          <w:szCs w:val="24"/>
        </w:rPr>
        <w:t xml:space="preserve">      </w:t>
      </w:r>
    </w:p>
    <w:p w:rsidR="009667D6" w:rsidRPr="00CE0C92" w:rsidP="009667D6" w14:paraId="47622C6C" w14:textId="77777777">
      <w:pPr>
        <w:tabs>
          <w:tab w:val="num" w:pos="720"/>
        </w:tabs>
        <w:spacing w:after="260" w:line="240" w:lineRule="auto"/>
        <w:rPr>
          <w:rFonts w:ascii="Times New Roman" w:eastAsia="Calibri" w:hAnsi="Times New Roman" w:cs="Times New Roman"/>
          <w:b/>
          <w:bCs/>
          <w:sz w:val="24"/>
          <w:szCs w:val="24"/>
        </w:rPr>
      </w:pPr>
      <w:r w:rsidRPr="00CE0C92">
        <w:rPr>
          <w:rFonts w:ascii="Times New Roman" w:eastAsia="Calibri" w:hAnsi="Times New Roman" w:cs="Times New Roman"/>
          <w:sz w:val="24"/>
          <w:szCs w:val="24"/>
        </w:rPr>
        <w:t>In its answer, EEI argues that more flexibility should be given to registe</w:t>
      </w:r>
      <w:r w:rsidRPr="00CE0C92">
        <w:rPr>
          <w:rFonts w:ascii="Times New Roman" w:eastAsia="Calibri" w:hAnsi="Times New Roman" w:cs="Times New Roman"/>
          <w:sz w:val="24"/>
          <w:szCs w:val="24"/>
        </w:rPr>
        <w:t xml:space="preserve">red entities to select the most secure methods for providing CIP-014 compliance data.  In particular, EEI states that, if agreed to by a registered entity’s Compliance Enforcement Authority, “secure videoconferencing is an attractive and equally effective </w:t>
      </w:r>
      <w:r w:rsidRPr="00CE0C92">
        <w:rPr>
          <w:rFonts w:ascii="Times New Roman" w:eastAsia="Calibri" w:hAnsi="Times New Roman" w:cs="Times New Roman"/>
          <w:sz w:val="24"/>
          <w:szCs w:val="24"/>
        </w:rPr>
        <w:t>and efficient alternative to using the ERO SEL and one that EEI members would welcome.”</w:t>
      </w:r>
      <w:r>
        <w:rPr>
          <w:rFonts w:ascii="Times New Roman" w:eastAsia="Calibri" w:hAnsi="Times New Roman" w:cs="Times New Roman"/>
          <w:b/>
          <w:bCs/>
          <w:sz w:val="24"/>
          <w:szCs w:val="24"/>
          <w:vertAlign w:val="superscript"/>
        </w:rPr>
        <w:footnoteReference w:id="34"/>
      </w:r>
      <w:r w:rsidRPr="00CE0C92">
        <w:rPr>
          <w:rFonts w:ascii="Times New Roman" w:eastAsia="Calibri" w:hAnsi="Times New Roman" w:cs="Times New Roman"/>
          <w:sz w:val="24"/>
          <w:szCs w:val="24"/>
        </w:rPr>
        <w:t xml:space="preserve">  EEI notes, however, that certain entities may prefer to use their own videoconferencing tools, as opposed to an ERO-based tool, “because in doing so they have an und</w:t>
      </w:r>
      <w:r w:rsidRPr="00CE0C92">
        <w:rPr>
          <w:rFonts w:ascii="Times New Roman" w:eastAsia="Calibri" w:hAnsi="Times New Roman" w:cs="Times New Roman"/>
          <w:sz w:val="24"/>
          <w:szCs w:val="24"/>
        </w:rPr>
        <w:t>erstanding of, and confidence in, the security measures that have been implemented.”</w:t>
      </w:r>
      <w:r>
        <w:rPr>
          <w:rFonts w:ascii="Times New Roman" w:eastAsia="Calibri" w:hAnsi="Times New Roman" w:cs="Times New Roman"/>
          <w:b/>
          <w:bCs/>
          <w:sz w:val="24"/>
          <w:szCs w:val="24"/>
          <w:vertAlign w:val="superscript"/>
        </w:rPr>
        <w:footnoteReference w:id="35"/>
      </w:r>
      <w:r w:rsidRPr="00CE0C92">
        <w:rPr>
          <w:rFonts w:ascii="Times New Roman" w:eastAsia="Calibri" w:hAnsi="Times New Roman" w:cs="Times New Roman"/>
          <w:sz w:val="24"/>
          <w:szCs w:val="24"/>
        </w:rPr>
        <w:t xml:space="preserve">  Further, because many registered entities’ </w:t>
      </w:r>
      <w:bookmarkStart w:id="6" w:name="_Hlk103685695"/>
      <w:r w:rsidRPr="00CE0C92">
        <w:rPr>
          <w:rFonts w:ascii="Times New Roman" w:eastAsia="Calibri" w:hAnsi="Times New Roman" w:cs="Times New Roman"/>
          <w:sz w:val="24"/>
          <w:szCs w:val="24"/>
        </w:rPr>
        <w:t xml:space="preserve">corporate security access management programs </w:t>
      </w:r>
      <w:bookmarkEnd w:id="6"/>
      <w:r w:rsidRPr="00CE0C92">
        <w:rPr>
          <w:rFonts w:ascii="Times New Roman" w:eastAsia="Calibri" w:hAnsi="Times New Roman" w:cs="Times New Roman"/>
          <w:sz w:val="24"/>
          <w:szCs w:val="24"/>
        </w:rPr>
        <w:t xml:space="preserve">require training, background checks, and monitoring of third-party access, EEI </w:t>
      </w:r>
      <w:r w:rsidRPr="00CE0C92">
        <w:rPr>
          <w:rFonts w:ascii="Times New Roman" w:eastAsia="Calibri" w:hAnsi="Times New Roman" w:cs="Times New Roman"/>
          <w:sz w:val="24"/>
          <w:szCs w:val="24"/>
        </w:rPr>
        <w:t xml:space="preserve">believes that some registered entities may be unable to use their own SEL to submit compliance information if NERC or Regional Entity compliance personnel are unable or unwilling </w:t>
      </w:r>
      <w:r w:rsidRPr="00CE0C92">
        <w:rPr>
          <w:rFonts w:ascii="Times New Roman" w:eastAsia="Calibri" w:hAnsi="Times New Roman" w:cs="Times New Roman"/>
          <w:sz w:val="24"/>
          <w:szCs w:val="24"/>
        </w:rPr>
        <w:br/>
        <w:t>to meet their SEL security access requirements.</w:t>
      </w:r>
      <w:r>
        <w:rPr>
          <w:rFonts w:ascii="Times New Roman" w:eastAsia="Calibri" w:hAnsi="Times New Roman" w:cs="Times New Roman"/>
          <w:b/>
          <w:bCs/>
          <w:sz w:val="24"/>
          <w:szCs w:val="24"/>
          <w:vertAlign w:val="superscript"/>
        </w:rPr>
        <w:footnoteReference w:id="36"/>
      </w:r>
      <w:r w:rsidRPr="00CE0C92">
        <w:rPr>
          <w:rFonts w:ascii="Times New Roman" w:eastAsia="Calibri" w:hAnsi="Times New Roman" w:cs="Times New Roman"/>
          <w:sz w:val="24"/>
          <w:szCs w:val="24"/>
        </w:rPr>
        <w:t xml:space="preserve">  EEI also expresses concer</w:t>
      </w:r>
      <w:r w:rsidRPr="00CE0C92">
        <w:rPr>
          <w:rFonts w:ascii="Times New Roman" w:eastAsia="Calibri" w:hAnsi="Times New Roman" w:cs="Times New Roman"/>
          <w:sz w:val="24"/>
          <w:szCs w:val="24"/>
        </w:rPr>
        <w:t>n with the length of time NERC will keep compliance information in the SEL, as entities have no way of verifying whether it has been deleted.</w:t>
      </w:r>
      <w:r w:rsidRPr="00CE0C92">
        <w:rPr>
          <w:rFonts w:ascii="Times New Roman" w:eastAsia="Calibri" w:hAnsi="Times New Roman" w:cs="Times New Roman"/>
          <w:b/>
          <w:bCs/>
          <w:sz w:val="24"/>
          <w:szCs w:val="24"/>
          <w:vertAlign w:val="superscript"/>
        </w:rPr>
        <w:t xml:space="preserve">  </w:t>
      </w:r>
    </w:p>
    <w:p w:rsidR="00D4396D" w:rsidRPr="00561399" w:rsidP="000734FB" w14:paraId="076AE9B3" w14:textId="77777777">
      <w:pPr>
        <w:autoSpaceDE w:val="0"/>
        <w:autoSpaceDN w:val="0"/>
        <w:adjustRightInd w:val="0"/>
        <w:spacing w:after="0"/>
        <w:rPr>
          <w:rFonts w:ascii="Times New Roman" w:hAnsi="Times New Roman" w:cs="Times New Roman"/>
          <w:sz w:val="24"/>
          <w:szCs w:val="24"/>
        </w:rPr>
      </w:pPr>
    </w:p>
    <w:p w:rsidR="00D80FBD" w:rsidRPr="00B51110" w:rsidP="003E1184" w14:paraId="2CB04C08" w14:textId="77777777">
      <w:pPr>
        <w:pStyle w:val="ListParagraph"/>
        <w:numPr>
          <w:ilvl w:val="0"/>
          <w:numId w:val="1"/>
        </w:num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EXPLAIN ANY PAYMENT OR GIFTS TO RESPONDENTS</w:t>
      </w:r>
    </w:p>
    <w:p w:rsidR="000734FB" w:rsidRPr="00561399" w:rsidP="003E1184" w14:paraId="0261A3E1" w14:textId="77777777">
      <w:pPr>
        <w:pStyle w:val="ListParagraph"/>
        <w:spacing w:after="0" w:line="240" w:lineRule="auto"/>
        <w:ind w:left="360"/>
        <w:rPr>
          <w:rFonts w:ascii="Times New Roman" w:hAnsi="Times New Roman" w:cs="Times New Roman"/>
          <w:b/>
          <w:sz w:val="24"/>
          <w:szCs w:val="24"/>
        </w:rPr>
      </w:pPr>
    </w:p>
    <w:p w:rsidR="00D80FBD" w:rsidRPr="00561399" w:rsidP="007850E5" w14:paraId="76D8A176" w14:textId="77777777">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There are no gifts or payments given to the </w:t>
      </w:r>
      <w:r w:rsidRPr="00561399">
        <w:rPr>
          <w:rFonts w:ascii="Times New Roman" w:hAnsi="Times New Roman" w:cs="Times New Roman"/>
          <w:sz w:val="24"/>
          <w:szCs w:val="24"/>
        </w:rPr>
        <w:t>respondents.</w:t>
      </w:r>
    </w:p>
    <w:p w:rsidR="00867AF1" w:rsidRPr="00561399" w:rsidP="00D80FBD" w14:paraId="6FB72AF2" w14:textId="77777777">
      <w:pPr>
        <w:spacing w:after="0"/>
        <w:rPr>
          <w:rFonts w:ascii="Times New Roman" w:hAnsi="Times New Roman" w:cs="Times New Roman"/>
          <w:sz w:val="24"/>
          <w:szCs w:val="24"/>
        </w:rPr>
      </w:pPr>
    </w:p>
    <w:p w:rsidR="00D80FBD" w:rsidRPr="00561399" w:rsidP="003E1184" w14:paraId="60F7793A" w14:textId="77777777">
      <w:pPr>
        <w:pStyle w:val="ListParagraph"/>
        <w:numPr>
          <w:ilvl w:val="0"/>
          <w:numId w:val="1"/>
        </w:num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DESCRIBE ANY ASSURANCE OF CONFIDENTIALITY PROVIDED TO RESPONDENTS</w:t>
      </w:r>
    </w:p>
    <w:p w:rsidR="00D80FBD" w:rsidRPr="00561399" w:rsidP="003E1184" w14:paraId="10F294E4" w14:textId="77777777">
      <w:pPr>
        <w:spacing w:after="0" w:line="240" w:lineRule="auto"/>
        <w:rPr>
          <w:rFonts w:ascii="Times New Roman" w:hAnsi="Times New Roman" w:cs="Times New Roman"/>
          <w:sz w:val="24"/>
          <w:szCs w:val="24"/>
        </w:rPr>
      </w:pPr>
    </w:p>
    <w:p w:rsidR="00491207" w:rsidRPr="00561399" w:rsidP="007850E5" w14:paraId="4546BB1B" w14:textId="54DB3DC2">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According to the NERC Rules of Procedure</w:t>
      </w:r>
      <w:r w:rsidRPr="00561399" w:rsidR="00F2303D">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37"/>
      </w:r>
      <w:r w:rsidRPr="00561399">
        <w:rPr>
          <w:rFonts w:ascii="Times New Roman" w:hAnsi="Times New Roman" w:cs="Times New Roman"/>
          <w:sz w:val="24"/>
          <w:szCs w:val="24"/>
        </w:rPr>
        <w:t xml:space="preserve"> “…a Receiving Entity shall keep in confidence and not copy, disclose, or distribute any Confidential Information or any part thereo</w:t>
      </w:r>
      <w:r w:rsidRPr="00561399">
        <w:rPr>
          <w:rFonts w:ascii="Times New Roman" w:hAnsi="Times New Roman" w:cs="Times New Roman"/>
          <w:sz w:val="24"/>
          <w:szCs w:val="24"/>
        </w:rPr>
        <w:t>f without the permission of the Submitting Entity, except as otherwise legally required.”  This serves to protect confidential information submitted to NERC or Regional Entities.</w:t>
      </w:r>
    </w:p>
    <w:p w:rsidR="00491207" w:rsidRPr="00561399" w:rsidP="003E1184" w14:paraId="4584D133" w14:textId="77777777">
      <w:pPr>
        <w:spacing w:after="0" w:line="240" w:lineRule="auto"/>
        <w:rPr>
          <w:rFonts w:ascii="Times New Roman" w:hAnsi="Times New Roman" w:cs="Times New Roman"/>
          <w:sz w:val="24"/>
          <w:szCs w:val="24"/>
        </w:rPr>
      </w:pPr>
    </w:p>
    <w:p w:rsidR="00867AF1" w:rsidRPr="00561399" w:rsidP="007850E5" w14:paraId="135A7BEE" w14:textId="77777777">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 xml:space="preserve">Responding entities do not submit the information collected under the </w:t>
      </w:r>
      <w:r w:rsidRPr="00561399">
        <w:rPr>
          <w:rFonts w:ascii="Times New Roman" w:hAnsi="Times New Roman" w:cs="Times New Roman"/>
          <w:sz w:val="24"/>
          <w:szCs w:val="24"/>
        </w:rPr>
        <w:t>Reliability Standard to FERC.  Rather, they maintain it internally.  Since there are no submissions made to FERC, FERC provides no specific provisions in order to protect confidentiality</w:t>
      </w:r>
      <w:r w:rsidRPr="00561399" w:rsidR="00E86C7F">
        <w:rPr>
          <w:rFonts w:ascii="Times New Roman" w:hAnsi="Times New Roman" w:cs="Times New Roman"/>
          <w:sz w:val="24"/>
          <w:szCs w:val="24"/>
        </w:rPr>
        <w:t>.</w:t>
      </w:r>
    </w:p>
    <w:p w:rsidR="00D80FBD" w:rsidRPr="00561399" w:rsidP="00D80FBD" w14:paraId="11510A3E" w14:textId="77777777">
      <w:pPr>
        <w:spacing w:after="0"/>
        <w:rPr>
          <w:rFonts w:ascii="Times New Roman" w:hAnsi="Times New Roman" w:cs="Times New Roman"/>
          <w:sz w:val="24"/>
          <w:szCs w:val="24"/>
        </w:rPr>
      </w:pPr>
    </w:p>
    <w:p w:rsidR="005406D1" w:rsidRPr="00561399" w:rsidP="007C3586" w14:paraId="6D02A983" w14:textId="6675076E">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 xml:space="preserve">PROVIDE ADDITIONAL JUSTIFICATION FOR ANY QUESTIONS OF A SENSITIVE NATURE, SUCH AS SEXUAL BEHAVIOR AND ATTITUDES, </w:t>
      </w:r>
      <w:r w:rsidRPr="00561399">
        <w:rPr>
          <w:rFonts w:ascii="Times New Roman" w:hAnsi="Times New Roman" w:cs="Times New Roman"/>
          <w:b/>
          <w:sz w:val="24"/>
          <w:szCs w:val="24"/>
        </w:rPr>
        <w:t xml:space="preserve">RELIGIOUS BELIEFS, AND </w:t>
      </w:r>
      <w:r w:rsidRPr="00561399" w:rsidR="000F48C9">
        <w:rPr>
          <w:rFonts w:ascii="Times New Roman" w:hAnsi="Times New Roman" w:cs="Times New Roman"/>
          <w:b/>
          <w:sz w:val="24"/>
          <w:szCs w:val="24"/>
        </w:rPr>
        <w:t xml:space="preserve">OTHER MATTERS THAT ARE COMMONLY </w:t>
      </w:r>
      <w:r w:rsidRPr="00561399">
        <w:rPr>
          <w:rFonts w:ascii="Times New Roman" w:hAnsi="Times New Roman" w:cs="Times New Roman"/>
          <w:b/>
          <w:sz w:val="24"/>
          <w:szCs w:val="24"/>
        </w:rPr>
        <w:t>CONSIDERED PRIVATE.</w:t>
      </w:r>
    </w:p>
    <w:p w:rsidR="00D80FBD" w:rsidRPr="00561399" w:rsidP="00D80FBD" w14:paraId="1A2E0140" w14:textId="77777777">
      <w:pPr>
        <w:spacing w:after="0"/>
        <w:rPr>
          <w:rFonts w:ascii="Times New Roman" w:hAnsi="Times New Roman" w:cs="Times New Roman"/>
          <w:sz w:val="24"/>
          <w:szCs w:val="24"/>
        </w:rPr>
      </w:pPr>
    </w:p>
    <w:p w:rsidR="00D80FBD" w:rsidRPr="00561399" w:rsidP="007850E5" w14:paraId="71F2B50F"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This collection does not include any questions of a sensitive natur</w:t>
      </w:r>
      <w:r w:rsidRPr="00561399">
        <w:rPr>
          <w:rFonts w:ascii="Times New Roman" w:hAnsi="Times New Roman" w:cs="Times New Roman"/>
          <w:sz w:val="24"/>
          <w:szCs w:val="24"/>
        </w:rPr>
        <w:t>e.</w:t>
      </w:r>
    </w:p>
    <w:p w:rsidR="00867AF1" w:rsidRPr="00561399" w:rsidP="00D80FBD" w14:paraId="0719053A" w14:textId="77777777">
      <w:pPr>
        <w:spacing w:after="0"/>
        <w:rPr>
          <w:rFonts w:ascii="Times New Roman" w:hAnsi="Times New Roman" w:cs="Times New Roman"/>
          <w:sz w:val="24"/>
          <w:szCs w:val="24"/>
        </w:rPr>
      </w:pPr>
    </w:p>
    <w:p w:rsidR="00D80FBD" w:rsidRPr="00561399" w:rsidP="00A72E7B" w14:paraId="65EA3073"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ESTIMATED BURDEN OF COLLECTION OF INFORMATION</w:t>
      </w:r>
    </w:p>
    <w:p w:rsidR="009667D6" w:rsidRPr="00CE0C92" w:rsidP="2B40F747" w14:paraId="43F319BB" w14:textId="1D4F3130">
      <w:pPr>
        <w:tabs>
          <w:tab w:val="num" w:pos="720"/>
        </w:tabs>
        <w:spacing w:after="260" w:line="240" w:lineRule="auto"/>
        <w:rPr>
          <w:rFonts w:ascii="Times New Roman" w:eastAsia="Calibri" w:hAnsi="Times New Roman" w:cs="Times New Roman"/>
          <w:sz w:val="24"/>
          <w:szCs w:val="24"/>
        </w:rPr>
      </w:pPr>
      <w:r w:rsidRPr="00CE0C92">
        <w:rPr>
          <w:rFonts w:ascii="Times New Roman" w:hAnsi="Times New Roman" w:cs="Times New Roman"/>
          <w:sz w:val="24"/>
          <w:szCs w:val="24"/>
        </w:rPr>
        <w:br/>
      </w:r>
      <w:r w:rsidRPr="00CE0C92" w:rsidR="7A4DC690">
        <w:rPr>
          <w:rFonts w:ascii="Times New Roman" w:eastAsia="Calibri" w:hAnsi="Times New Roman" w:cs="Times New Roman"/>
          <w:sz w:val="24"/>
          <w:szCs w:val="24"/>
        </w:rPr>
        <w:t xml:space="preserve">The number of respondents below is based on an estimate of the NERC compliance registry for transmission owners and transmission operator.  The Commission based its paperwork burden estimates on the NERC compliance registry as of May 6, 2022.  According to the registry, there are 326 transmission owners and 18 transmission operators not also registered as transmission owners.  The estimate is based on a zero change in burden from the current standard </w:t>
      </w:r>
      <w:r w:rsidRPr="00CE0C92" w:rsidR="643CB56E">
        <w:rPr>
          <w:rFonts w:ascii="Times New Roman" w:eastAsia="Calibri" w:hAnsi="Times New Roman" w:cs="Times New Roman"/>
          <w:sz w:val="24"/>
          <w:szCs w:val="24"/>
        </w:rPr>
        <w:t xml:space="preserve">(removal of C.1.1.4) </w:t>
      </w:r>
      <w:r w:rsidRPr="00CE0C92" w:rsidR="7A4DC690">
        <w:rPr>
          <w:rFonts w:ascii="Times New Roman" w:eastAsia="Calibri" w:hAnsi="Times New Roman" w:cs="Times New Roman"/>
          <w:sz w:val="24"/>
          <w:szCs w:val="24"/>
        </w:rPr>
        <w:t>to the standard approved in this Order.  The Commission based the burden estimate on staff experience, knowledge, and expertise.</w:t>
      </w:r>
    </w:p>
    <w:p w:rsidR="009667D6" w:rsidRPr="00CE0C92" w:rsidP="009667D6" w14:paraId="602EEF87"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 xml:space="preserve">For the new Reliability Standard CIP-014-3, the burden for entities remains the same as they will still need to </w:t>
      </w:r>
      <w:r w:rsidRPr="00CE0C92">
        <w:rPr>
          <w:rFonts w:ascii="Times New Roman" w:eastAsia="Calibri" w:hAnsi="Times New Roman" w:cs="Times New Roman"/>
          <w:sz w:val="24"/>
          <w:szCs w:val="24"/>
        </w:rPr>
        <w:t>provide the same evidence to demonstrate compliance whether it is kept on-site or loaded electronically into the SEL.  No comments were received that expressed a change in the manhour burden associated with the use of SEL.</w:t>
      </w:r>
    </w:p>
    <w:p w:rsidR="009667D6" w:rsidRPr="00CE0C92" w:rsidP="009667D6" w14:paraId="03A7EAA9"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eastAsia="Calibri" w:hAnsi="Times New Roman" w:cs="Times New Roman"/>
          <w:sz w:val="24"/>
          <w:szCs w:val="24"/>
        </w:rPr>
        <w:t>Burden Estimates:  The Commission</w:t>
      </w:r>
      <w:r w:rsidRPr="00CE0C92">
        <w:rPr>
          <w:rFonts w:ascii="Times New Roman" w:eastAsia="Calibri" w:hAnsi="Times New Roman" w:cs="Times New Roman"/>
          <w:sz w:val="24"/>
          <w:szCs w:val="24"/>
        </w:rPr>
        <w:t xml:space="preserve"> estimates the changes in the annual public reporting burden and cost</w:t>
      </w:r>
      <w:r>
        <w:rPr>
          <w:rFonts w:ascii="Times New Roman" w:eastAsia="Calibri" w:hAnsi="Times New Roman" w:cs="Times New Roman"/>
          <w:b/>
          <w:bCs/>
          <w:sz w:val="24"/>
          <w:szCs w:val="24"/>
          <w:vertAlign w:val="superscript"/>
        </w:rPr>
        <w:footnoteReference w:id="38"/>
      </w:r>
      <w:r w:rsidRPr="00CE0C92">
        <w:rPr>
          <w:rFonts w:ascii="Times New Roman" w:eastAsia="Calibri" w:hAnsi="Times New Roman" w:cs="Times New Roman"/>
          <w:sz w:val="24"/>
          <w:szCs w:val="24"/>
        </w:rPr>
        <w:t xml:space="preserve"> as indicated below:</w:t>
      </w:r>
    </w:p>
    <w:tbl>
      <w:tblPr>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683"/>
        <w:gridCol w:w="1577"/>
        <w:gridCol w:w="1313"/>
        <w:gridCol w:w="1178"/>
        <w:gridCol w:w="1313"/>
        <w:gridCol w:w="1430"/>
      </w:tblGrid>
      <w:tr w14:paraId="46EAEA84" w14:textId="77777777" w:rsidTr="00DF052C">
        <w:tblPrEx>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67D6" w:rsidRPr="00561399" w:rsidP="009667D6" w14:paraId="5BE1F5FD" w14:textId="77777777">
            <w:pPr>
              <w:spacing w:after="0" w:line="240" w:lineRule="auto"/>
              <w:jc w:val="center"/>
              <w:rPr>
                <w:rFonts w:ascii="Times New Roman" w:eastAsia="Times New Roman" w:hAnsi="Times New Roman" w:cs="Times New Roman"/>
                <w:b/>
                <w:bCs/>
                <w:color w:val="000000"/>
                <w:sz w:val="24"/>
                <w:szCs w:val="24"/>
              </w:rPr>
            </w:pPr>
            <w:r w:rsidRPr="00561399">
              <w:rPr>
                <w:rFonts w:ascii="Times New Roman" w:eastAsia="Calibri" w:hAnsi="Times New Roman" w:cs="Times New Roman"/>
                <w:b/>
                <w:sz w:val="24"/>
                <w:szCs w:val="24"/>
              </w:rPr>
              <w:t>FERC-725U: (Mandatory Reliability Standards: Reliability Standard CIP-014</w:t>
            </w:r>
            <w:r w:rsidRPr="00561399">
              <w:rPr>
                <w:rFonts w:ascii="Times New Roman" w:eastAsia="Times New Roman" w:hAnsi="Times New Roman" w:cs="Times New Roman"/>
                <w:b/>
                <w:bCs/>
                <w:color w:val="000000"/>
                <w:sz w:val="24"/>
                <w:szCs w:val="24"/>
              </w:rPr>
              <w:t>)</w:t>
            </w:r>
          </w:p>
          <w:p w:rsidR="009667D6" w:rsidRPr="00561399" w:rsidP="009667D6" w14:paraId="06A6C547" w14:textId="77777777">
            <w:pPr>
              <w:spacing w:after="0" w:line="240" w:lineRule="auto"/>
              <w:jc w:val="center"/>
              <w:rPr>
                <w:rFonts w:ascii="Times New Roman" w:eastAsia="Calibri" w:hAnsi="Times New Roman" w:cs="Times New Roman"/>
                <w:b/>
                <w:sz w:val="24"/>
                <w:szCs w:val="24"/>
              </w:rPr>
            </w:pPr>
            <w:r w:rsidRPr="00561399">
              <w:rPr>
                <w:rFonts w:ascii="Times New Roman" w:eastAsia="Times New Roman" w:hAnsi="Times New Roman" w:cs="Times New Roman"/>
                <w:b/>
                <w:bCs/>
                <w:color w:val="000000"/>
                <w:sz w:val="24"/>
                <w:szCs w:val="24"/>
              </w:rPr>
              <w:t xml:space="preserve">Change in Burden </w:t>
            </w:r>
          </w:p>
        </w:tc>
      </w:tr>
      <w:tr w14:paraId="1BA08F80" w14:textId="77777777" w:rsidTr="00DF052C">
        <w:tblPrEx>
          <w:tblW w:w="5435" w:type="pct"/>
          <w:tblInd w:w="-185" w:type="dxa"/>
          <w:tblLook w:val="01E0"/>
        </w:tblPrEx>
        <w:trPr>
          <w:cantSplit/>
          <w:trHeight w:val="1907"/>
        </w:trPr>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667D6" w:rsidRPr="00561399" w:rsidP="009667D6" w14:paraId="3D33ACDC" w14:textId="77777777">
            <w:pPr>
              <w:spacing w:after="0" w:line="240" w:lineRule="auto"/>
              <w:jc w:val="center"/>
              <w:rPr>
                <w:rFonts w:ascii="Times New Roman" w:eastAsia="Calibri" w:hAnsi="Times New Roman" w:cs="Times New Roman"/>
                <w:b/>
                <w:bCs/>
                <w:sz w:val="24"/>
                <w:szCs w:val="24"/>
              </w:rPr>
            </w:pPr>
            <w:r w:rsidRPr="00561399">
              <w:rPr>
                <w:rFonts w:ascii="Times New Roman" w:eastAsia="Calibri" w:hAnsi="Times New Roman" w:cs="Times New Roman"/>
                <w:sz w:val="24"/>
                <w:szCs w:val="24"/>
              </w:rPr>
              <w:br/>
            </w:r>
            <w:r w:rsidRPr="00561399">
              <w:rPr>
                <w:rFonts w:ascii="Times New Roman" w:eastAsia="Calibri" w:hAnsi="Times New Roman" w:cs="Times New Roman"/>
                <w:sz w:val="24"/>
                <w:szCs w:val="24"/>
              </w:rPr>
              <w:br/>
            </w:r>
            <w:r w:rsidRPr="00561399">
              <w:rPr>
                <w:rFonts w:ascii="Times New Roman" w:eastAsia="Calibri" w:hAnsi="Times New Roman" w:cs="Times New Roman"/>
                <w:sz w:val="24"/>
                <w:szCs w:val="24"/>
              </w:rPr>
              <w:br/>
            </w:r>
            <w:r w:rsidRPr="00561399">
              <w:rPr>
                <w:rFonts w:ascii="Times New Roman" w:eastAsia="Calibri" w:hAnsi="Times New Roman" w:cs="Times New Roman"/>
                <w:sz w:val="24"/>
                <w:szCs w:val="24"/>
              </w:rPr>
              <w:br/>
            </w:r>
          </w:p>
        </w:tc>
        <w:tc>
          <w:tcPr>
            <w:tcW w:w="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667D6" w:rsidRPr="00B51110" w:rsidP="009667D6" w14:paraId="027B44C6"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bCs/>
                <w:sz w:val="24"/>
                <w:szCs w:val="24"/>
              </w:rPr>
              <w:t>Number of Respondents</w:t>
            </w:r>
            <w:r>
              <w:rPr>
                <w:rFonts w:ascii="Times New Roman" w:eastAsia="Calibri" w:hAnsi="Times New Roman" w:cs="Times New Roman"/>
                <w:b/>
                <w:bCs/>
                <w:sz w:val="24"/>
                <w:szCs w:val="24"/>
                <w:vertAlign w:val="superscript"/>
              </w:rPr>
              <w:footnoteReference w:id="39"/>
            </w:r>
            <w:r w:rsidRPr="00561399">
              <w:rPr>
                <w:rFonts w:ascii="Times New Roman" w:eastAsia="Calibri" w:hAnsi="Times New Roman" w:cs="Times New Roman"/>
                <w:b/>
                <w:sz w:val="24"/>
                <w:szCs w:val="24"/>
              </w:rPr>
              <w:br/>
            </w:r>
            <w:r w:rsidRPr="00561399">
              <w:rPr>
                <w:rFonts w:ascii="Times New Roman" w:eastAsia="Calibri" w:hAnsi="Times New Roman" w:cs="Times New Roman"/>
                <w:b/>
                <w:bCs/>
                <w:sz w:val="24"/>
                <w:szCs w:val="24"/>
              </w:rPr>
              <w:t>(1)</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667D6" w:rsidRPr="00561399" w:rsidP="009667D6" w14:paraId="4E0A1308"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 xml:space="preserve">Number of Responses per </w:t>
            </w:r>
            <w:r w:rsidRPr="00561399">
              <w:rPr>
                <w:rFonts w:ascii="Times New Roman" w:eastAsia="Calibri" w:hAnsi="Times New Roman" w:cs="Times New Roman"/>
                <w:b/>
                <w:sz w:val="24"/>
                <w:szCs w:val="24"/>
              </w:rPr>
              <w:t>Respondent</w:t>
            </w:r>
          </w:p>
          <w:p w:rsidR="009667D6" w:rsidRPr="00561399" w:rsidP="009667D6" w14:paraId="7388EF19"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(2)</w:t>
            </w: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667D6" w:rsidRPr="00561399" w:rsidP="009667D6" w14:paraId="67499714"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Total Number of Responses (1)*(2)=(3)</w:t>
            </w: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667D6" w:rsidRPr="00561399" w:rsidP="009667D6" w14:paraId="0D35C3FE"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Average Burden Hours &amp; Cost Per Response</w:t>
            </w:r>
          </w:p>
          <w:p w:rsidR="009667D6" w:rsidRPr="00561399" w:rsidP="009667D6" w14:paraId="62ACA610"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(4)</w:t>
            </w: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667D6" w:rsidRPr="00561399" w:rsidP="009667D6" w14:paraId="146B95E6"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Total Burden Hours &amp; Total Cost</w:t>
            </w:r>
          </w:p>
          <w:p w:rsidR="009667D6" w:rsidRPr="00561399" w:rsidP="009667D6" w14:paraId="7E62431C"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(3)*(4)=(5)</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667D6" w:rsidRPr="00561399" w:rsidP="009667D6" w14:paraId="1AB58FF8"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Average Cost per Respondent</w:t>
            </w:r>
          </w:p>
          <w:p w:rsidR="009667D6" w:rsidRPr="00561399" w:rsidP="009667D6" w14:paraId="4260EE3E" w14:textId="77777777">
            <w:pPr>
              <w:spacing w:after="0" w:line="240" w:lineRule="auto"/>
              <w:jc w:val="center"/>
              <w:rPr>
                <w:rFonts w:ascii="Times New Roman" w:eastAsia="Calibri" w:hAnsi="Times New Roman" w:cs="Times New Roman"/>
                <w:b/>
                <w:sz w:val="24"/>
                <w:szCs w:val="24"/>
              </w:rPr>
            </w:pPr>
            <w:r w:rsidRPr="00561399">
              <w:rPr>
                <w:rFonts w:ascii="Times New Roman" w:eastAsia="Calibri" w:hAnsi="Times New Roman" w:cs="Times New Roman"/>
                <w:b/>
                <w:sz w:val="24"/>
                <w:szCs w:val="24"/>
              </w:rPr>
              <w:t>(5)÷(1)</w:t>
            </w:r>
          </w:p>
        </w:tc>
      </w:tr>
      <w:tr w14:paraId="232BC39C" w14:textId="77777777" w:rsidTr="00DF052C">
        <w:tblPrEx>
          <w:tblW w:w="5435" w:type="pct"/>
          <w:tblInd w:w="-185" w:type="dxa"/>
          <w:tblLook w:val="01E0"/>
        </w:tblPrEx>
        <w:trPr>
          <w:cantSplit/>
          <w:trHeight w:val="566"/>
        </w:trPr>
        <w:tc>
          <w:tcPr>
            <w:tcW w:w="835" w:type="pct"/>
            <w:tcBorders>
              <w:top w:val="single" w:sz="4" w:space="0" w:color="auto"/>
              <w:left w:val="single" w:sz="4" w:space="0" w:color="auto"/>
              <w:bottom w:val="single" w:sz="4" w:space="0" w:color="auto"/>
              <w:right w:val="single" w:sz="4" w:space="0" w:color="auto"/>
            </w:tcBorders>
          </w:tcPr>
          <w:p w:rsidR="009667D6" w:rsidRPr="00561399" w:rsidP="009667D6" w14:paraId="79ADE635"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1399">
              <w:rPr>
                <w:rFonts w:ascii="Times New Roman" w:eastAsia="Times New Roman" w:hAnsi="Times New Roman" w:cs="Times New Roman"/>
                <w:sz w:val="24"/>
                <w:szCs w:val="24"/>
              </w:rPr>
              <w:t xml:space="preserve"> Change Annual Reporting and Recordkeeping </w:t>
            </w:r>
          </w:p>
        </w:tc>
        <w:tc>
          <w:tcPr>
            <w:tcW w:w="670" w:type="pct"/>
            <w:tcBorders>
              <w:top w:val="single" w:sz="4" w:space="0" w:color="auto"/>
              <w:left w:val="single" w:sz="4" w:space="0" w:color="auto"/>
              <w:bottom w:val="single" w:sz="4" w:space="0" w:color="auto"/>
              <w:right w:val="single" w:sz="4" w:space="0" w:color="auto"/>
            </w:tcBorders>
          </w:tcPr>
          <w:p w:rsidR="009667D6" w:rsidRPr="00561399" w:rsidP="009667D6" w14:paraId="1F656EC0" w14:textId="77777777">
            <w:pPr>
              <w:spacing w:after="0" w:line="240" w:lineRule="auto"/>
              <w:jc w:val="right"/>
              <w:rPr>
                <w:rFonts w:ascii="Times New Roman" w:eastAsia="Calibri" w:hAnsi="Times New Roman" w:cs="Times New Roman"/>
                <w:sz w:val="24"/>
                <w:szCs w:val="24"/>
              </w:rPr>
            </w:pPr>
            <w:r w:rsidRPr="00561399">
              <w:rPr>
                <w:rFonts w:ascii="Times New Roman" w:eastAsia="Calibri" w:hAnsi="Times New Roman" w:cs="Times New Roman"/>
                <w:sz w:val="24"/>
                <w:szCs w:val="24"/>
              </w:rPr>
              <w:t>344</w:t>
            </w:r>
          </w:p>
          <w:p w:rsidR="009667D6" w:rsidRPr="00561399" w:rsidP="009667D6" w14:paraId="11567A05"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9667D6" w:rsidRPr="00561399" w:rsidP="009667D6" w14:paraId="3D93C31F"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1399">
              <w:rPr>
                <w:rFonts w:ascii="Times New Roman" w:eastAsia="Calibri" w:hAnsi="Times New Roman" w:cs="Times New Roman"/>
                <w:sz w:val="24"/>
                <w:szCs w:val="24"/>
              </w:rPr>
              <w:t>1</w:t>
            </w:r>
          </w:p>
        </w:tc>
        <w:tc>
          <w:tcPr>
            <w:tcW w:w="646" w:type="pct"/>
            <w:tcBorders>
              <w:top w:val="single" w:sz="4" w:space="0" w:color="auto"/>
              <w:left w:val="single" w:sz="4" w:space="0" w:color="auto"/>
              <w:bottom w:val="single" w:sz="4" w:space="0" w:color="auto"/>
              <w:right w:val="single" w:sz="4" w:space="0" w:color="auto"/>
            </w:tcBorders>
          </w:tcPr>
          <w:p w:rsidR="009667D6" w:rsidRPr="00561399" w:rsidP="009667D6" w14:paraId="68B143AB"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1399">
              <w:rPr>
                <w:rFonts w:ascii="Times New Roman" w:eastAsia="Times New Roman" w:hAnsi="Times New Roman" w:cs="Times New Roman"/>
                <w:sz w:val="24"/>
                <w:szCs w:val="24"/>
              </w:rPr>
              <w:t>344</w:t>
            </w:r>
          </w:p>
        </w:tc>
        <w:tc>
          <w:tcPr>
            <w:tcW w:w="638" w:type="pct"/>
            <w:tcBorders>
              <w:top w:val="single" w:sz="4" w:space="0" w:color="auto"/>
              <w:left w:val="single" w:sz="4" w:space="0" w:color="auto"/>
              <w:bottom w:val="single" w:sz="4" w:space="0" w:color="auto"/>
              <w:right w:val="single" w:sz="4" w:space="0" w:color="auto"/>
            </w:tcBorders>
          </w:tcPr>
          <w:p w:rsidR="009667D6" w:rsidRPr="00561399" w:rsidP="009667D6" w14:paraId="737DD4EE" w14:textId="7777777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61399">
              <w:rPr>
                <w:rFonts w:ascii="Times New Roman" w:eastAsia="Calibri" w:hAnsi="Times New Roman" w:cs="Times New Roman"/>
                <w:sz w:val="24"/>
                <w:szCs w:val="24"/>
              </w:rPr>
              <w:t xml:space="preserve">32.71 hrs.; </w:t>
            </w:r>
          </w:p>
          <w:p w:rsidR="009667D6" w:rsidRPr="00561399" w:rsidP="009667D6" w14:paraId="3D5E982F"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61399">
              <w:rPr>
                <w:rFonts w:ascii="Times New Roman" w:eastAsia="Calibri" w:hAnsi="Times New Roman" w:cs="Times New Roman"/>
                <w:sz w:val="24"/>
                <w:szCs w:val="24"/>
              </w:rPr>
              <w:t>$2,845.77</w:t>
            </w:r>
          </w:p>
        </w:tc>
        <w:tc>
          <w:tcPr>
            <w:tcW w:w="646" w:type="pct"/>
            <w:tcBorders>
              <w:top w:val="single" w:sz="4" w:space="0" w:color="auto"/>
              <w:left w:val="single" w:sz="4" w:space="0" w:color="auto"/>
              <w:bottom w:val="single" w:sz="4" w:space="0" w:color="auto"/>
              <w:right w:val="single" w:sz="4" w:space="0" w:color="auto"/>
            </w:tcBorders>
          </w:tcPr>
          <w:p w:rsidR="009667D6" w:rsidRPr="00561399" w:rsidP="009667D6" w14:paraId="7101284D" w14:textId="77777777">
            <w:pPr>
              <w:widowControl w:val="0"/>
              <w:autoSpaceDE w:val="0"/>
              <w:autoSpaceDN w:val="0"/>
              <w:adjustRightInd w:val="0"/>
              <w:spacing w:after="0" w:line="240" w:lineRule="auto"/>
              <w:ind w:left="-108"/>
              <w:jc w:val="right"/>
              <w:rPr>
                <w:rFonts w:ascii="Times New Roman" w:eastAsia="Calibri" w:hAnsi="Times New Roman" w:cs="Times New Roman"/>
                <w:sz w:val="24"/>
                <w:szCs w:val="24"/>
              </w:rPr>
            </w:pPr>
            <w:r w:rsidRPr="00561399">
              <w:rPr>
                <w:rFonts w:ascii="Times New Roman" w:eastAsia="Calibri" w:hAnsi="Times New Roman" w:cs="Times New Roman"/>
                <w:sz w:val="24"/>
                <w:szCs w:val="24"/>
              </w:rPr>
              <w:t>11,252.24 hrs.;</w:t>
            </w:r>
          </w:p>
          <w:p w:rsidR="009667D6" w:rsidRPr="00561399" w:rsidP="009667D6" w14:paraId="5473FB05" w14:textId="7777777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sidRPr="00561399">
              <w:rPr>
                <w:rFonts w:ascii="Times New Roman" w:eastAsia="Calibri" w:hAnsi="Times New Roman" w:cs="Times New Roman"/>
                <w:sz w:val="24"/>
                <w:szCs w:val="24"/>
              </w:rPr>
              <w:t xml:space="preserve"> </w:t>
            </w:r>
            <w:r w:rsidRPr="00561399">
              <w:rPr>
                <w:rFonts w:ascii="Times New Roman" w:eastAsia="Times New Roman" w:hAnsi="Times New Roman" w:cs="Times New Roman"/>
                <w:sz w:val="24"/>
                <w:szCs w:val="24"/>
              </w:rPr>
              <w:t xml:space="preserve">$978,944.88 </w:t>
            </w:r>
          </w:p>
        </w:tc>
        <w:tc>
          <w:tcPr>
            <w:tcW w:w="704" w:type="pct"/>
            <w:tcBorders>
              <w:top w:val="single" w:sz="4" w:space="0" w:color="auto"/>
              <w:left w:val="single" w:sz="4" w:space="0" w:color="auto"/>
              <w:bottom w:val="single" w:sz="4" w:space="0" w:color="auto"/>
              <w:right w:val="single" w:sz="4" w:space="0" w:color="auto"/>
            </w:tcBorders>
          </w:tcPr>
          <w:p w:rsidR="009667D6" w:rsidRPr="00561399" w:rsidP="009667D6" w14:paraId="0071E223" w14:textId="77777777">
            <w:pPr>
              <w:spacing w:after="0" w:line="240" w:lineRule="auto"/>
              <w:jc w:val="right"/>
              <w:rPr>
                <w:rFonts w:ascii="Times New Roman" w:eastAsia="Calibri" w:hAnsi="Times New Roman" w:cs="Times New Roman"/>
                <w:sz w:val="24"/>
                <w:szCs w:val="24"/>
              </w:rPr>
            </w:pPr>
            <w:r w:rsidRPr="00561399">
              <w:rPr>
                <w:rFonts w:ascii="Times New Roman" w:eastAsia="Calibri" w:hAnsi="Times New Roman" w:cs="Times New Roman"/>
                <w:sz w:val="24"/>
                <w:szCs w:val="24"/>
              </w:rPr>
              <w:t xml:space="preserve">$2,845.77 </w:t>
            </w:r>
          </w:p>
          <w:p w:rsidR="009667D6" w:rsidRPr="00561399" w:rsidP="009667D6" w14:paraId="2BFCFABC" w14:textId="7777777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p>
        </w:tc>
      </w:tr>
      <w:tr w14:paraId="0BCEC7A3" w14:textId="77777777" w:rsidTr="00DF052C">
        <w:tblPrEx>
          <w:tblW w:w="5435" w:type="pct"/>
          <w:tblInd w:w="-185" w:type="dxa"/>
          <w:tblLook w:val="01E0"/>
        </w:tblPrEx>
        <w:trPr>
          <w:cantSplit/>
          <w:trHeight w:val="890"/>
        </w:trPr>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667D6" w:rsidRPr="00561399" w:rsidP="009667D6" w14:paraId="60FBF752" w14:textId="77777777">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TOTAL FERC-725U</w:t>
            </w:r>
          </w:p>
          <w:p w:rsidR="009667D6" w:rsidRPr="00561399" w:rsidP="009667D6" w14:paraId="3D4BFD76" w14:textId="77777777">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667D6" w:rsidRPr="00561399" w:rsidP="009667D6" w14:paraId="274772FB" w14:textId="77777777">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344</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667D6" w:rsidRPr="00561399" w:rsidP="009667D6" w14:paraId="7B12DC39" w14:textId="77777777">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1</w:t>
            </w: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667D6" w:rsidRPr="00561399" w:rsidP="009667D6" w14:paraId="1D977D21" w14:textId="77777777">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344</w:t>
            </w: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667D6" w:rsidRPr="00561399" w:rsidP="009667D6" w14:paraId="57A82FBB" w14:textId="77777777">
            <w:pPr>
              <w:widowControl w:val="0"/>
              <w:autoSpaceDE w:val="0"/>
              <w:autoSpaceDN w:val="0"/>
              <w:adjustRightInd w:val="0"/>
              <w:spacing w:after="0" w:line="240" w:lineRule="auto"/>
              <w:jc w:val="right"/>
              <w:rPr>
                <w:rFonts w:ascii="Times New Roman" w:eastAsia="Calibri" w:hAnsi="Times New Roman" w:cs="Times New Roman"/>
                <w:b/>
                <w:bCs/>
                <w:sz w:val="24"/>
                <w:szCs w:val="24"/>
              </w:rPr>
            </w:pPr>
            <w:r w:rsidRPr="00561399">
              <w:rPr>
                <w:rFonts w:ascii="Times New Roman" w:eastAsia="Calibri" w:hAnsi="Times New Roman" w:cs="Times New Roman"/>
                <w:b/>
                <w:bCs/>
                <w:sz w:val="24"/>
                <w:szCs w:val="24"/>
              </w:rPr>
              <w:t>32.71 hrs.;</w:t>
            </w:r>
          </w:p>
          <w:p w:rsidR="009667D6" w:rsidRPr="00561399" w:rsidP="009667D6" w14:paraId="6A3C037B" w14:textId="77777777">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r w:rsidRPr="00561399">
              <w:rPr>
                <w:rFonts w:ascii="Times New Roman" w:eastAsia="Calibri" w:hAnsi="Times New Roman" w:cs="Times New Roman"/>
                <w:b/>
                <w:bCs/>
                <w:sz w:val="24"/>
                <w:szCs w:val="24"/>
              </w:rPr>
              <w:t xml:space="preserve"> $2,845.77</w:t>
            </w: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667D6" w:rsidRPr="00561399" w:rsidP="009667D6" w14:paraId="1B5E6AC4" w14:textId="77777777">
            <w:pPr>
              <w:widowControl w:val="0"/>
              <w:autoSpaceDE w:val="0"/>
              <w:autoSpaceDN w:val="0"/>
              <w:adjustRightInd w:val="0"/>
              <w:spacing w:after="0" w:line="240" w:lineRule="auto"/>
              <w:ind w:left="-108"/>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11,254.24 hrs.;</w:t>
            </w:r>
          </w:p>
          <w:p w:rsidR="009667D6" w:rsidRPr="00561399" w:rsidP="009667D6" w14:paraId="103295F5" w14:textId="77777777">
            <w:pPr>
              <w:widowControl w:val="0"/>
              <w:autoSpaceDE w:val="0"/>
              <w:autoSpaceDN w:val="0"/>
              <w:adjustRightInd w:val="0"/>
              <w:spacing w:after="0" w:line="240" w:lineRule="auto"/>
              <w:ind w:left="-108"/>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 xml:space="preserve"> $978,944.88</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667D6" w:rsidRPr="00561399" w:rsidP="009667D6" w14:paraId="7FAF86AE" w14:textId="77777777">
            <w:pPr>
              <w:widowControl w:val="0"/>
              <w:autoSpaceDE w:val="0"/>
              <w:autoSpaceDN w:val="0"/>
              <w:adjustRightInd w:val="0"/>
              <w:spacing w:after="0" w:line="240" w:lineRule="auto"/>
              <w:ind w:left="-108"/>
              <w:jc w:val="right"/>
              <w:rPr>
                <w:rFonts w:ascii="Times New Roman" w:eastAsia="Times New Roman" w:hAnsi="Times New Roman" w:cs="Times New Roman"/>
                <w:b/>
                <w:bCs/>
                <w:sz w:val="24"/>
                <w:szCs w:val="24"/>
              </w:rPr>
            </w:pPr>
            <w:r w:rsidRPr="00561399">
              <w:rPr>
                <w:rFonts w:ascii="Times New Roman" w:eastAsia="Times New Roman" w:hAnsi="Times New Roman" w:cs="Times New Roman"/>
                <w:b/>
                <w:bCs/>
                <w:sz w:val="24"/>
                <w:szCs w:val="24"/>
              </w:rPr>
              <w:t>$2,845.77</w:t>
            </w:r>
          </w:p>
        </w:tc>
      </w:tr>
    </w:tbl>
    <w:p w:rsidR="000C163E" w:rsidRPr="00561399" w:rsidP="000C163E" w14:paraId="2E0A75EE" w14:textId="63BA5833">
      <w:pPr>
        <w:spacing w:after="0"/>
        <w:rPr>
          <w:rFonts w:ascii="Times New Roman" w:hAnsi="Times New Roman" w:cs="Times New Roman"/>
          <w:sz w:val="24"/>
          <w:szCs w:val="24"/>
        </w:rPr>
      </w:pPr>
    </w:p>
    <w:p w:rsidR="000C163E" w:rsidRPr="00561399" w:rsidP="000C163E" w14:paraId="7ED68773" w14:textId="77777777">
      <w:pPr>
        <w:spacing w:after="0"/>
        <w:rPr>
          <w:rFonts w:ascii="Times New Roman" w:hAnsi="Times New Roman" w:cs="Times New Roman"/>
          <w:sz w:val="24"/>
          <w:szCs w:val="24"/>
        </w:rPr>
      </w:pPr>
    </w:p>
    <w:p w:rsidR="002D7061" w:rsidRPr="00561399" w:rsidP="00806297" w14:paraId="21CC1D0A" w14:textId="77777777">
      <w:pPr>
        <w:spacing w:after="0"/>
        <w:rPr>
          <w:rFonts w:ascii="Times New Roman" w:hAnsi="Times New Roman" w:cs="Times New Roman"/>
          <w:sz w:val="24"/>
          <w:szCs w:val="24"/>
        </w:rPr>
      </w:pPr>
    </w:p>
    <w:p w:rsidR="00D80FBD" w:rsidRPr="00561399" w:rsidP="00A72E7B" w14:paraId="4F785092"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 xml:space="preserve">ESTIMATE OF THE TOTAL ANNUAL COST </w:t>
      </w:r>
      <w:r w:rsidRPr="00561399">
        <w:rPr>
          <w:rFonts w:ascii="Times New Roman" w:hAnsi="Times New Roman" w:cs="Times New Roman"/>
          <w:b/>
          <w:sz w:val="24"/>
          <w:szCs w:val="24"/>
        </w:rPr>
        <w:t>BURDEN TO RESPONDENTS</w:t>
      </w:r>
    </w:p>
    <w:p w:rsidR="00E636D7" w:rsidRPr="00561399" w:rsidP="00E636D7" w14:paraId="55B7C46F" w14:textId="77777777">
      <w:pPr>
        <w:spacing w:after="0"/>
        <w:rPr>
          <w:rFonts w:ascii="Times New Roman" w:hAnsi="Times New Roman" w:cs="Times New Roman"/>
          <w:sz w:val="24"/>
          <w:szCs w:val="24"/>
        </w:rPr>
      </w:pPr>
    </w:p>
    <w:p w:rsidR="00E636D7" w:rsidRPr="00561399" w:rsidP="007850E5" w14:paraId="05F7B689"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There are no start-up or</w:t>
      </w:r>
      <w:r w:rsidRPr="00561399" w:rsidR="006039B3">
        <w:rPr>
          <w:rFonts w:ascii="Times New Roman" w:hAnsi="Times New Roman" w:cs="Times New Roman"/>
          <w:sz w:val="24"/>
          <w:szCs w:val="24"/>
        </w:rPr>
        <w:t xml:space="preserve"> other non</w:t>
      </w:r>
      <w:r w:rsidRPr="00561399" w:rsidR="00FD486A">
        <w:rPr>
          <w:rFonts w:ascii="Times New Roman" w:hAnsi="Times New Roman" w:cs="Times New Roman"/>
          <w:sz w:val="24"/>
          <w:szCs w:val="24"/>
        </w:rPr>
        <w:t>-labor costs</w:t>
      </w:r>
      <w:r w:rsidRPr="00561399" w:rsidR="006039B3">
        <w:rPr>
          <w:rFonts w:ascii="Times New Roman" w:hAnsi="Times New Roman" w:cs="Times New Roman"/>
          <w:sz w:val="24"/>
          <w:szCs w:val="24"/>
        </w:rPr>
        <w:t>.</w:t>
      </w:r>
    </w:p>
    <w:p w:rsidR="006039B3" w:rsidRPr="00561399" w:rsidP="007850E5" w14:paraId="0B2261F1" w14:textId="77777777">
      <w:pPr>
        <w:spacing w:after="0"/>
        <w:rPr>
          <w:rFonts w:ascii="Times New Roman" w:hAnsi="Times New Roman" w:cs="Times New Roman"/>
          <w:sz w:val="24"/>
          <w:szCs w:val="24"/>
        </w:rPr>
      </w:pPr>
    </w:p>
    <w:p w:rsidR="006039B3" w:rsidRPr="00561399" w:rsidP="007850E5" w14:paraId="4114088F" w14:textId="77777777">
      <w:pPr>
        <w:spacing w:after="0"/>
        <w:ind w:left="720"/>
        <w:rPr>
          <w:rFonts w:ascii="Times New Roman" w:hAnsi="Times New Roman" w:cs="Times New Roman"/>
          <w:sz w:val="24"/>
          <w:szCs w:val="24"/>
        </w:rPr>
      </w:pPr>
      <w:r w:rsidRPr="00561399">
        <w:rPr>
          <w:rFonts w:ascii="Times New Roman" w:hAnsi="Times New Roman" w:cs="Times New Roman"/>
          <w:sz w:val="24"/>
          <w:szCs w:val="24"/>
        </w:rPr>
        <w:t>Total Capital and Start-up cost: $0</w:t>
      </w:r>
    </w:p>
    <w:p w:rsidR="00AC3997" w:rsidRPr="00561399" w:rsidP="007850E5" w14:paraId="38991DA8" w14:textId="77777777">
      <w:pPr>
        <w:spacing w:after="0"/>
        <w:ind w:left="720"/>
        <w:rPr>
          <w:rFonts w:ascii="Times New Roman" w:hAnsi="Times New Roman" w:cs="Times New Roman"/>
          <w:sz w:val="24"/>
          <w:szCs w:val="24"/>
        </w:rPr>
      </w:pPr>
      <w:r w:rsidRPr="00561399">
        <w:rPr>
          <w:rFonts w:ascii="Times New Roman" w:hAnsi="Times New Roman" w:cs="Times New Roman"/>
          <w:sz w:val="24"/>
          <w:szCs w:val="24"/>
        </w:rPr>
        <w:t>Total Operation, Maintenan</w:t>
      </w:r>
      <w:r w:rsidRPr="00561399" w:rsidR="00F15EDB">
        <w:rPr>
          <w:rFonts w:ascii="Times New Roman" w:hAnsi="Times New Roman" w:cs="Times New Roman"/>
          <w:sz w:val="24"/>
          <w:szCs w:val="24"/>
        </w:rPr>
        <w:t>ce, and Purchase of Services</w:t>
      </w:r>
      <w:r w:rsidRPr="00561399" w:rsidR="004C7EEA">
        <w:rPr>
          <w:rFonts w:ascii="Times New Roman" w:hAnsi="Times New Roman" w:cs="Times New Roman"/>
          <w:sz w:val="24"/>
          <w:szCs w:val="24"/>
        </w:rPr>
        <w:t>: $0</w:t>
      </w:r>
    </w:p>
    <w:p w:rsidR="00F15EDB" w:rsidRPr="00561399" w:rsidP="007850E5" w14:paraId="65138959" w14:textId="77777777">
      <w:pPr>
        <w:spacing w:after="0"/>
        <w:rPr>
          <w:rFonts w:ascii="Times New Roman" w:hAnsi="Times New Roman" w:cs="Times New Roman"/>
          <w:sz w:val="24"/>
          <w:szCs w:val="24"/>
        </w:rPr>
      </w:pPr>
    </w:p>
    <w:p w:rsidR="00F15EDB" w:rsidRPr="00561399" w:rsidP="007850E5" w14:paraId="39891AF0" w14:textId="1A7DB313">
      <w:pPr>
        <w:spacing w:after="0"/>
        <w:rPr>
          <w:rFonts w:ascii="Times New Roman" w:hAnsi="Times New Roman" w:cs="Times New Roman"/>
          <w:sz w:val="24"/>
          <w:szCs w:val="24"/>
        </w:rPr>
      </w:pPr>
      <w:r w:rsidRPr="00561399">
        <w:rPr>
          <w:rFonts w:ascii="Times New Roman" w:hAnsi="Times New Roman" w:cs="Times New Roman"/>
          <w:sz w:val="24"/>
          <w:szCs w:val="24"/>
        </w:rPr>
        <w:t xml:space="preserve">All of the costs </w:t>
      </w:r>
      <w:r w:rsidRPr="00561399" w:rsidR="007D7410">
        <w:rPr>
          <w:rFonts w:ascii="Times New Roman" w:hAnsi="Times New Roman" w:cs="Times New Roman"/>
          <w:sz w:val="24"/>
          <w:szCs w:val="24"/>
        </w:rPr>
        <w:t>related to the FERC-725U information collection</w:t>
      </w:r>
      <w:r w:rsidRPr="00561399">
        <w:rPr>
          <w:rFonts w:ascii="Times New Roman" w:hAnsi="Times New Roman" w:cs="Times New Roman"/>
          <w:sz w:val="24"/>
          <w:szCs w:val="24"/>
        </w:rPr>
        <w:t xml:space="preserve"> are associated with burden hours (labor) and described in Questions #12 and #15 in this supporting statement.</w:t>
      </w:r>
    </w:p>
    <w:p w:rsidR="00AC3997" w:rsidRPr="00561399" w:rsidP="007850E5" w14:paraId="5BDB2979" w14:textId="77777777">
      <w:pPr>
        <w:spacing w:after="0"/>
        <w:rPr>
          <w:rFonts w:ascii="Times New Roman" w:hAnsi="Times New Roman" w:cs="Times New Roman"/>
          <w:sz w:val="24"/>
          <w:szCs w:val="24"/>
        </w:rPr>
      </w:pPr>
    </w:p>
    <w:p w:rsidR="00E636D7" w:rsidRPr="00561399" w:rsidP="00B759F7" w14:paraId="01D30152" w14:textId="77777777">
      <w:pPr>
        <w:pStyle w:val="ListParagraph"/>
        <w:numPr>
          <w:ilvl w:val="0"/>
          <w:numId w:val="1"/>
        </w:numPr>
        <w:spacing w:after="0"/>
        <w:ind w:left="0" w:firstLine="0"/>
        <w:rPr>
          <w:rFonts w:ascii="Times New Roman" w:hAnsi="Times New Roman" w:cs="Times New Roman"/>
          <w:b/>
          <w:sz w:val="24"/>
          <w:szCs w:val="24"/>
        </w:rPr>
      </w:pPr>
      <w:r w:rsidRPr="00561399">
        <w:rPr>
          <w:rFonts w:ascii="Times New Roman" w:hAnsi="Times New Roman" w:cs="Times New Roman"/>
          <w:b/>
          <w:sz w:val="24"/>
          <w:szCs w:val="24"/>
        </w:rPr>
        <w:t>ESTIMATED ANNUALIZED COST TO FEDERAL GOVERNMENT</w:t>
      </w:r>
    </w:p>
    <w:p w:rsidR="00A276F5" w:rsidRPr="00561399" w:rsidP="007850E5" w14:paraId="16E64BA8" w14:textId="77777777">
      <w:pPr>
        <w:spacing w:after="0"/>
        <w:rPr>
          <w:rFonts w:ascii="Times New Roman" w:hAnsi="Times New Roman" w:cs="Times New Roman"/>
          <w:sz w:val="24"/>
          <w:szCs w:val="24"/>
        </w:rPr>
      </w:pPr>
    </w:p>
    <w:p w:rsidR="00F15EDB" w:rsidRPr="00561399" w:rsidP="007850E5" w14:paraId="1BF12D99"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The Regional Entities and NERC do most of the data processing, monitoring and compliance work f</w:t>
      </w:r>
      <w:r w:rsidRPr="00561399">
        <w:rPr>
          <w:rFonts w:ascii="Times New Roman" w:hAnsi="Times New Roman" w:cs="Times New Roman"/>
          <w:sz w:val="24"/>
          <w:szCs w:val="24"/>
        </w:rPr>
        <w:t>or Reliability Standards.  Any involvement by the Commission is covered under the FERC-725 collection (OMB Control No. 1902-0225) and is not part of this request or package.</w:t>
      </w:r>
    </w:p>
    <w:p w:rsidR="00225876" w:rsidRPr="00561399" w:rsidP="007850E5" w14:paraId="0E6F0E97" w14:textId="77777777">
      <w:pPr>
        <w:spacing w:after="0"/>
        <w:rPr>
          <w:rFonts w:ascii="Times New Roman" w:hAnsi="Times New Roman" w:cs="Times New Roman"/>
          <w:sz w:val="24"/>
          <w:szCs w:val="24"/>
        </w:rPr>
      </w:pPr>
    </w:p>
    <w:p w:rsidR="00106E70" w:rsidRPr="00561399" w:rsidP="007850E5" w14:paraId="558F7FAF" w14:textId="58D0A5EF">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 estimated annualized cost to the </w:t>
      </w:r>
      <w:r w:rsidRPr="00561399" w:rsidR="009B49D1">
        <w:rPr>
          <w:rFonts w:ascii="Times New Roman" w:hAnsi="Times New Roman" w:cs="Times New Roman"/>
          <w:sz w:val="24"/>
          <w:szCs w:val="24"/>
        </w:rPr>
        <w:t>Federal Government for FERC-725U</w:t>
      </w:r>
      <w:r w:rsidRPr="00561399">
        <w:rPr>
          <w:rFonts w:ascii="Times New Roman" w:hAnsi="Times New Roman" w:cs="Times New Roman"/>
          <w:sz w:val="24"/>
          <w:szCs w:val="24"/>
        </w:rPr>
        <w:t xml:space="preserve"> follows</w:t>
      </w:r>
      <w:r w:rsidRPr="00561399" w:rsidR="00C8246F">
        <w:rPr>
          <w:rFonts w:ascii="Times New Roman" w:hAnsi="Times New Roman" w:cs="Times New Roman"/>
          <w:sz w:val="24"/>
          <w:szCs w:val="24"/>
        </w:rPr>
        <w:t>:</w:t>
      </w:r>
    </w:p>
    <w:p w:rsidR="00106E70" w:rsidRPr="00561399" w:rsidP="007850E5" w14:paraId="7D224BB1"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66321D0" w14:textId="77777777" w:rsidTr="00DF052C">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6039B3" w:rsidRPr="00561399" w:rsidP="007C150D" w14:paraId="27BEAD74" w14:textId="08C0AF05">
            <w:p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FERC-725U</w:t>
            </w:r>
            <w:r w:rsidRPr="00561399" w:rsidR="009667D6">
              <w:rPr>
                <w:rFonts w:ascii="Times New Roman" w:hAnsi="Times New Roman" w:cs="Times New Roman"/>
                <w:b/>
                <w:sz w:val="24"/>
                <w:szCs w:val="24"/>
              </w:rPr>
              <w:t>- CIP standards</w:t>
            </w:r>
          </w:p>
        </w:tc>
        <w:tc>
          <w:tcPr>
            <w:tcW w:w="3201" w:type="dxa"/>
            <w:shd w:val="clear" w:color="auto" w:fill="CCCCCC"/>
          </w:tcPr>
          <w:p w:rsidR="006039B3" w:rsidRPr="00561399" w:rsidP="007C150D" w14:paraId="59110133" w14:textId="77777777">
            <w:p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Number of Employees (FTEs)</w:t>
            </w:r>
          </w:p>
        </w:tc>
        <w:tc>
          <w:tcPr>
            <w:tcW w:w="2995" w:type="dxa"/>
            <w:shd w:val="clear" w:color="auto" w:fill="CCCCCC"/>
          </w:tcPr>
          <w:p w:rsidR="006039B3" w:rsidRPr="00561399" w:rsidP="007C150D" w14:paraId="7C67D4FE" w14:textId="77777777">
            <w:p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Estimated Annual Federal Cost</w:t>
            </w:r>
          </w:p>
        </w:tc>
      </w:tr>
      <w:tr w14:paraId="3FD72C2F" w14:textId="77777777" w:rsidTr="00DF052C">
        <w:tblPrEx>
          <w:tblW w:w="9378" w:type="dxa"/>
          <w:tblLook w:val="01E0"/>
        </w:tblPrEx>
        <w:tc>
          <w:tcPr>
            <w:tcW w:w="3182" w:type="dxa"/>
            <w:shd w:val="clear" w:color="auto" w:fill="auto"/>
          </w:tcPr>
          <w:p w:rsidR="006039B3" w:rsidRPr="00561399" w:rsidP="007C150D" w14:paraId="1415070D" w14:textId="5B02EA29">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FERC-725U</w:t>
            </w:r>
            <w:r w:rsidRPr="00561399" w:rsidR="00F15EDB">
              <w:rPr>
                <w:rFonts w:ascii="Times New Roman" w:hAnsi="Times New Roman" w:cs="Times New Roman"/>
                <w:sz w:val="24"/>
                <w:szCs w:val="24"/>
              </w:rPr>
              <w:t xml:space="preserve"> </w:t>
            </w:r>
            <w:r w:rsidRPr="00561399">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rsidR="006039B3" w:rsidRPr="00561399" w:rsidP="007C150D" w14:paraId="05BC3313"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2995" w:type="dxa"/>
            <w:shd w:val="clear" w:color="auto" w:fill="auto"/>
            <w:vAlign w:val="center"/>
          </w:tcPr>
          <w:p w:rsidR="006039B3" w:rsidRPr="00561399" w:rsidP="000C7505" w14:paraId="20001FF8"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r>
      <w:tr w14:paraId="5BB30A16" w14:textId="77777777" w:rsidTr="00DF052C">
        <w:tblPrEx>
          <w:tblW w:w="9378" w:type="dxa"/>
          <w:tblLook w:val="01E0"/>
        </w:tblPrEx>
        <w:tc>
          <w:tcPr>
            <w:tcW w:w="3182" w:type="dxa"/>
            <w:shd w:val="clear" w:color="auto" w:fill="auto"/>
          </w:tcPr>
          <w:p w:rsidR="006039B3" w:rsidRPr="00561399" w:rsidP="007C150D" w14:paraId="3CC6DEAA" w14:textId="77777777">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Paperwork Reduction Act Administrative Cost</w:t>
            </w:r>
            <w:bookmarkStart w:id="7" w:name="_Ref389748397"/>
            <w:r>
              <w:rPr>
                <w:rFonts w:ascii="Times New Roman" w:eastAsia="Times New Roman" w:hAnsi="Times New Roman" w:cs="Times New Roman"/>
                <w:sz w:val="24"/>
                <w:szCs w:val="24"/>
                <w:vertAlign w:val="superscript"/>
              </w:rPr>
              <w:footnoteReference w:id="40"/>
            </w:r>
            <w:bookmarkEnd w:id="7"/>
          </w:p>
        </w:tc>
        <w:tc>
          <w:tcPr>
            <w:tcW w:w="3201" w:type="dxa"/>
            <w:shd w:val="clear" w:color="auto" w:fill="D9D9D9" w:themeFill="background1" w:themeFillShade="D9"/>
            <w:vAlign w:val="center"/>
          </w:tcPr>
          <w:p w:rsidR="006039B3" w:rsidRPr="00561399" w:rsidP="007C150D" w14:paraId="3459068F"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6039B3" w:rsidRPr="00561399" w:rsidP="007C150D" w14:paraId="565D7DE1" w14:textId="686B8DC6">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w:t>
            </w:r>
            <w:r w:rsidRPr="00561399" w:rsidR="009667D6">
              <w:rPr>
                <w:rFonts w:ascii="Times New Roman" w:hAnsi="Times New Roman" w:cs="Times New Roman"/>
                <w:sz w:val="24"/>
                <w:szCs w:val="24"/>
              </w:rPr>
              <w:t>8,</w:t>
            </w:r>
            <w:r w:rsidRPr="00561399" w:rsidR="004E1E57">
              <w:rPr>
                <w:rFonts w:ascii="Times New Roman" w:hAnsi="Times New Roman" w:cs="Times New Roman"/>
                <w:sz w:val="24"/>
                <w:szCs w:val="24"/>
              </w:rPr>
              <w:t>2</w:t>
            </w:r>
            <w:r w:rsidRPr="00561399" w:rsidR="009667D6">
              <w:rPr>
                <w:rFonts w:ascii="Times New Roman" w:hAnsi="Times New Roman" w:cs="Times New Roman"/>
                <w:sz w:val="24"/>
                <w:szCs w:val="24"/>
              </w:rPr>
              <w:t>79</w:t>
            </w:r>
          </w:p>
        </w:tc>
      </w:tr>
      <w:tr w14:paraId="58D292FB" w14:textId="77777777" w:rsidTr="00DF052C">
        <w:tblPrEx>
          <w:tblW w:w="9378" w:type="dxa"/>
          <w:tblLook w:val="01E0"/>
        </w:tblPrEx>
        <w:tc>
          <w:tcPr>
            <w:tcW w:w="3182" w:type="dxa"/>
            <w:shd w:val="clear" w:color="auto" w:fill="auto"/>
          </w:tcPr>
          <w:p w:rsidR="00F03087" w:rsidRPr="00561399" w:rsidP="007C150D" w14:paraId="7E96D6AA" w14:textId="77777777">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TOTAL</w:t>
            </w:r>
          </w:p>
        </w:tc>
        <w:tc>
          <w:tcPr>
            <w:tcW w:w="3201" w:type="dxa"/>
            <w:shd w:val="clear" w:color="auto" w:fill="D9D9D9" w:themeFill="background1" w:themeFillShade="D9"/>
            <w:vAlign w:val="center"/>
          </w:tcPr>
          <w:p w:rsidR="00F03087" w:rsidRPr="00561399" w:rsidP="007C150D" w14:paraId="7BB62E71"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F03087" w:rsidRPr="00561399" w:rsidP="000C7505" w14:paraId="17209A77" w14:textId="611BCF45">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w:t>
            </w:r>
            <w:r w:rsidRPr="00561399" w:rsidR="009667D6">
              <w:rPr>
                <w:rFonts w:ascii="Times New Roman" w:hAnsi="Times New Roman" w:cs="Times New Roman"/>
                <w:sz w:val="24"/>
                <w:szCs w:val="24"/>
              </w:rPr>
              <w:t>8,</w:t>
            </w:r>
            <w:r w:rsidRPr="00561399" w:rsidR="004E1E57">
              <w:rPr>
                <w:rFonts w:ascii="Times New Roman" w:hAnsi="Times New Roman" w:cs="Times New Roman"/>
                <w:sz w:val="24"/>
                <w:szCs w:val="24"/>
              </w:rPr>
              <w:t>2</w:t>
            </w:r>
            <w:r w:rsidRPr="00561399" w:rsidR="009667D6">
              <w:rPr>
                <w:rFonts w:ascii="Times New Roman" w:hAnsi="Times New Roman" w:cs="Times New Roman"/>
                <w:sz w:val="24"/>
                <w:szCs w:val="24"/>
              </w:rPr>
              <w:t>79</w:t>
            </w:r>
          </w:p>
        </w:tc>
      </w:tr>
    </w:tbl>
    <w:p w:rsidR="00A276F5" w:rsidRPr="00561399" w:rsidP="00A276F5" w14:paraId="215D9987" w14:textId="77777777">
      <w:pPr>
        <w:spacing w:after="0"/>
        <w:rPr>
          <w:rFonts w:ascii="Times New Roman" w:hAnsi="Times New Roman" w:cs="Times New Roman"/>
          <w:sz w:val="24"/>
          <w:szCs w:val="24"/>
        </w:rPr>
      </w:pPr>
    </w:p>
    <w:p w:rsidR="009C06CD" w:rsidRPr="00561399" w:rsidP="00A276F5" w14:paraId="1659E660" w14:textId="3D0EAE42">
      <w:pPr>
        <w:spacing w:after="0"/>
        <w:rPr>
          <w:rFonts w:ascii="Times New Roman" w:hAnsi="Times New Roman" w:cs="Times New Roman"/>
          <w:sz w:val="24"/>
          <w:szCs w:val="24"/>
        </w:rPr>
      </w:pPr>
      <w:r w:rsidRPr="00561399">
        <w:rPr>
          <w:rFonts w:ascii="Times New Roman" w:hAnsi="Times New Roman" w:cs="Times New Roman"/>
          <w:sz w:val="24"/>
          <w:szCs w:val="24"/>
        </w:rPr>
        <w:t xml:space="preserve">Based on the above table, the total federal </w:t>
      </w:r>
      <w:r w:rsidRPr="00561399">
        <w:rPr>
          <w:rFonts w:ascii="Times New Roman" w:hAnsi="Times New Roman" w:cs="Times New Roman"/>
          <w:sz w:val="24"/>
          <w:szCs w:val="24"/>
        </w:rPr>
        <w:t>cost for FERC-725U is $</w:t>
      </w:r>
      <w:r w:rsidRPr="00B51110" w:rsidR="004E1E57">
        <w:rPr>
          <w:rFonts w:ascii="Times New Roman" w:hAnsi="Times New Roman" w:cs="Times New Roman"/>
          <w:sz w:val="24"/>
          <w:szCs w:val="24"/>
        </w:rPr>
        <w:t>8,279</w:t>
      </w:r>
      <w:r w:rsidRPr="00B51110">
        <w:rPr>
          <w:rFonts w:ascii="Times New Roman" w:hAnsi="Times New Roman" w:cs="Times New Roman"/>
          <w:sz w:val="24"/>
          <w:szCs w:val="24"/>
        </w:rPr>
        <w:t>.</w:t>
      </w:r>
    </w:p>
    <w:p w:rsidR="00426496" w:rsidRPr="00561399" w:rsidP="00A276F5" w14:paraId="6957F5C6" w14:textId="77777777">
      <w:pPr>
        <w:spacing w:after="0"/>
        <w:rPr>
          <w:rFonts w:ascii="Times New Roman" w:hAnsi="Times New Roman" w:cs="Times New Roman"/>
          <w:sz w:val="24"/>
          <w:szCs w:val="24"/>
        </w:rPr>
      </w:pPr>
    </w:p>
    <w:p w:rsidR="00A276F5" w:rsidRPr="00561399" w:rsidP="00A72E7B" w14:paraId="6E7C9C7F"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REASONS FOR CHANGES IN BURDEN INCLUDING THE NEED FOR ANY INCREASE</w:t>
      </w:r>
    </w:p>
    <w:p w:rsidR="00F1499B" w:rsidRPr="00561399" w:rsidP="00B06C05" w14:paraId="3D8C9FBC" w14:textId="77777777">
      <w:pPr>
        <w:spacing w:after="0"/>
        <w:rPr>
          <w:rFonts w:ascii="Times New Roman" w:hAnsi="Times New Roman" w:cs="Times New Roman"/>
          <w:sz w:val="24"/>
          <w:szCs w:val="24"/>
        </w:rPr>
      </w:pPr>
    </w:p>
    <w:p w:rsidR="00907C79" w:rsidRPr="00561399" w:rsidP="00907C79" w14:paraId="24595DD1" w14:textId="5C736B92">
      <w:pPr>
        <w:pStyle w:val="ListParagraph"/>
        <w:spacing w:after="0"/>
        <w:ind w:left="0"/>
        <w:rPr>
          <w:rFonts w:ascii="Times New Roman" w:hAnsi="Times New Roman" w:cs="Times New Roman"/>
          <w:sz w:val="24"/>
          <w:szCs w:val="24"/>
        </w:rPr>
      </w:pPr>
      <w:r w:rsidRPr="00561399">
        <w:rPr>
          <w:rFonts w:ascii="Times New Roman" w:hAnsi="Times New Roman" w:cs="Times New Roman"/>
          <w:sz w:val="24"/>
          <w:szCs w:val="24"/>
        </w:rPr>
        <w:t>Each requirement (including record-keeping requirements) in CIP-014-</w:t>
      </w:r>
      <w:r w:rsidRPr="00561399" w:rsidR="7A4DC690">
        <w:rPr>
          <w:rFonts w:ascii="Times New Roman" w:hAnsi="Times New Roman" w:cs="Times New Roman"/>
          <w:sz w:val="24"/>
          <w:szCs w:val="24"/>
        </w:rPr>
        <w:t>3</w:t>
      </w:r>
      <w:r w:rsidRPr="00561399">
        <w:rPr>
          <w:rFonts w:ascii="Times New Roman" w:hAnsi="Times New Roman" w:cs="Times New Roman"/>
          <w:sz w:val="24"/>
          <w:szCs w:val="24"/>
        </w:rPr>
        <w:t xml:space="preserve"> </w:t>
      </w:r>
      <w:r w:rsidRPr="00561399" w:rsidR="7A4DC690">
        <w:rPr>
          <w:rFonts w:ascii="Times New Roman" w:hAnsi="Times New Roman" w:cs="Times New Roman"/>
          <w:sz w:val="24"/>
          <w:szCs w:val="24"/>
        </w:rPr>
        <w:t>have been updated to reflect the normal fluctuations</w:t>
      </w:r>
      <w:r w:rsidRPr="00561399">
        <w:rPr>
          <w:rFonts w:ascii="Times New Roman" w:hAnsi="Times New Roman" w:cs="Times New Roman"/>
          <w:sz w:val="24"/>
          <w:szCs w:val="24"/>
        </w:rPr>
        <w:t xml:space="preserve"> </w:t>
      </w:r>
      <w:r w:rsidRPr="00561399" w:rsidR="7A4DC690">
        <w:rPr>
          <w:rFonts w:ascii="Times New Roman" w:hAnsi="Times New Roman" w:cs="Times New Roman"/>
          <w:sz w:val="24"/>
          <w:szCs w:val="24"/>
        </w:rPr>
        <w:t xml:space="preserve">in </w:t>
      </w:r>
      <w:r w:rsidRPr="00561399">
        <w:rPr>
          <w:rFonts w:ascii="Times New Roman" w:hAnsi="Times New Roman" w:cs="Times New Roman"/>
          <w:sz w:val="24"/>
          <w:szCs w:val="24"/>
        </w:rPr>
        <w:t>hour</w:t>
      </w:r>
      <w:r w:rsidRPr="00561399" w:rsidR="7A4DC690">
        <w:rPr>
          <w:rFonts w:ascii="Times New Roman" w:hAnsi="Times New Roman" w:cs="Times New Roman"/>
          <w:sz w:val="24"/>
          <w:szCs w:val="24"/>
        </w:rPr>
        <w:t xml:space="preserve">s </w:t>
      </w:r>
      <w:r w:rsidRPr="00561399" w:rsidR="71E47DDB">
        <w:rPr>
          <w:rFonts w:ascii="Times New Roman" w:hAnsi="Times New Roman" w:cs="Times New Roman"/>
          <w:sz w:val="24"/>
          <w:szCs w:val="24"/>
        </w:rPr>
        <w:t>and responses</w:t>
      </w:r>
      <w:r w:rsidRPr="00561399">
        <w:rPr>
          <w:rFonts w:ascii="Times New Roman" w:hAnsi="Times New Roman" w:cs="Times New Roman"/>
          <w:sz w:val="24"/>
          <w:szCs w:val="24"/>
        </w:rPr>
        <w:t>.</w:t>
      </w:r>
      <w:r>
        <w:rPr>
          <w:rFonts w:ascii="Times New Roman" w:hAnsi="Times New Roman" w:cs="Times New Roman"/>
          <w:sz w:val="24"/>
          <w:szCs w:val="24"/>
          <w:vertAlign w:val="superscript"/>
        </w:rPr>
        <w:footnoteReference w:id="41"/>
      </w:r>
      <w:r w:rsidRPr="00561399" w:rsidR="71E47DDB">
        <w:rPr>
          <w:rFonts w:ascii="Times New Roman" w:hAnsi="Times New Roman" w:cs="Times New Roman"/>
          <w:sz w:val="24"/>
          <w:szCs w:val="24"/>
        </w:rPr>
        <w:t xml:space="preserve"> A </w:t>
      </w:r>
      <w:r w:rsidRPr="00561399" w:rsidR="0E01CD6F">
        <w:rPr>
          <w:rFonts w:ascii="Times New Roman" w:hAnsi="Times New Roman" w:cs="Times New Roman"/>
          <w:sz w:val="24"/>
          <w:szCs w:val="24"/>
        </w:rPr>
        <w:t>in</w:t>
      </w:r>
      <w:r w:rsidRPr="00561399" w:rsidR="71E47DDB">
        <w:rPr>
          <w:rFonts w:ascii="Times New Roman" w:hAnsi="Times New Roman" w:cs="Times New Roman"/>
          <w:sz w:val="24"/>
          <w:szCs w:val="24"/>
        </w:rPr>
        <w:t xml:space="preserve">crease of </w:t>
      </w:r>
      <w:r w:rsidRPr="00B51110" w:rsidR="3DC514A4">
        <w:rPr>
          <w:rFonts w:ascii="Times New Roman" w:hAnsi="Times New Roman" w:cs="Times New Roman"/>
          <w:sz w:val="24"/>
          <w:szCs w:val="24"/>
        </w:rPr>
        <w:t>8</w:t>
      </w:r>
      <w:r w:rsidRPr="00B51110" w:rsidR="71E47DDB">
        <w:rPr>
          <w:rFonts w:ascii="Times New Roman" w:hAnsi="Times New Roman" w:cs="Times New Roman"/>
          <w:sz w:val="24"/>
          <w:szCs w:val="24"/>
        </w:rPr>
        <w:t xml:space="preserve"> in responses and </w:t>
      </w:r>
      <w:r w:rsidRPr="00561399" w:rsidR="14D07BA9">
        <w:rPr>
          <w:rFonts w:ascii="Times New Roman" w:hAnsi="Times New Roman" w:cs="Times New Roman"/>
          <w:sz w:val="24"/>
          <w:szCs w:val="24"/>
        </w:rPr>
        <w:t>in</w:t>
      </w:r>
      <w:r w:rsidRPr="00561399" w:rsidR="71E47DDB">
        <w:rPr>
          <w:rFonts w:ascii="Times New Roman" w:hAnsi="Times New Roman" w:cs="Times New Roman"/>
          <w:sz w:val="24"/>
          <w:szCs w:val="24"/>
        </w:rPr>
        <w:t>crease of 263 in burden hours.</w:t>
      </w:r>
      <w:r w:rsidR="00154352">
        <w:rPr>
          <w:rFonts w:ascii="Times New Roman" w:hAnsi="Times New Roman" w:cs="Times New Roman"/>
          <w:sz w:val="24"/>
          <w:szCs w:val="24"/>
        </w:rPr>
        <w:t xml:space="preserve">  The</w:t>
      </w:r>
      <w:r>
        <w:rPr>
          <w:rFonts w:ascii="Times New Roman" w:hAnsi="Times New Roman" w:cs="Times New Roman"/>
          <w:sz w:val="24"/>
          <w:szCs w:val="24"/>
        </w:rPr>
        <w:t>re is no net change to burden</w:t>
      </w:r>
      <w:r w:rsidR="00154352">
        <w:rPr>
          <w:rFonts w:ascii="Times New Roman" w:hAnsi="Times New Roman" w:cs="Times New Roman"/>
          <w:sz w:val="24"/>
          <w:szCs w:val="24"/>
        </w:rPr>
        <w:t xml:space="preserve"> due to </w:t>
      </w:r>
      <w:r>
        <w:rPr>
          <w:rFonts w:ascii="Times New Roman" w:hAnsi="Times New Roman" w:cs="Times New Roman"/>
          <w:sz w:val="24"/>
          <w:szCs w:val="24"/>
        </w:rPr>
        <w:t>Docket RD22-3 (removing</w:t>
      </w:r>
      <w:r w:rsidR="00154352">
        <w:rPr>
          <w:rFonts w:ascii="Times New Roman" w:hAnsi="Times New Roman" w:cs="Times New Roman"/>
          <w:sz w:val="24"/>
          <w:szCs w:val="24"/>
        </w:rPr>
        <w:t xml:space="preserve"> C1.1.4</w:t>
      </w:r>
      <w:r>
        <w:rPr>
          <w:rFonts w:ascii="Times New Roman" w:hAnsi="Times New Roman" w:cs="Times New Roman"/>
          <w:sz w:val="24"/>
          <w:szCs w:val="24"/>
        </w:rPr>
        <w:t>)</w:t>
      </w:r>
      <w:r w:rsidR="00154352">
        <w:rPr>
          <w:rFonts w:ascii="Times New Roman" w:hAnsi="Times New Roman" w:cs="Times New Roman"/>
          <w:sz w:val="24"/>
          <w:szCs w:val="24"/>
        </w:rPr>
        <w:t>.</w:t>
      </w:r>
    </w:p>
    <w:p w:rsidR="004011EF" w:rsidRPr="00561399" w:rsidP="00AE13B7" w14:paraId="39AABA17" w14:textId="17D02CBD">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2C6C8104" w14:textId="77777777" w:rsidTr="2B40F747">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AE13B7" w:rsidRPr="00561399" w:rsidP="000079E2" w14:paraId="3F962FE3" w14:textId="4A87F430">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FERC-725U</w:t>
            </w:r>
          </w:p>
        </w:tc>
        <w:tc>
          <w:tcPr>
            <w:tcW w:w="1461" w:type="dxa"/>
            <w:shd w:val="clear" w:color="auto" w:fill="D9D9D9" w:themeFill="background1" w:themeFillShade="D9"/>
            <w:vAlign w:val="bottom"/>
          </w:tcPr>
          <w:p w:rsidR="00AE13B7" w:rsidRPr="00561399" w:rsidP="000079E2" w14:paraId="7FB7F8F1"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Total Request</w:t>
            </w:r>
          </w:p>
        </w:tc>
        <w:tc>
          <w:tcPr>
            <w:tcW w:w="1620" w:type="dxa"/>
            <w:shd w:val="clear" w:color="auto" w:fill="D9D9D9" w:themeFill="background1" w:themeFillShade="D9"/>
            <w:vAlign w:val="bottom"/>
          </w:tcPr>
          <w:p w:rsidR="00AE13B7" w:rsidRPr="00561399" w:rsidP="000079E2" w14:paraId="4FD641D1"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Previously Approved</w:t>
            </w:r>
          </w:p>
        </w:tc>
        <w:tc>
          <w:tcPr>
            <w:tcW w:w="1800" w:type="dxa"/>
            <w:shd w:val="clear" w:color="auto" w:fill="D9D9D9" w:themeFill="background1" w:themeFillShade="D9"/>
            <w:vAlign w:val="bottom"/>
          </w:tcPr>
          <w:p w:rsidR="00AE13B7" w:rsidRPr="00561399" w:rsidP="000079E2" w14:paraId="69A7C9F6"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Change due to Adjustment in Estimate</w:t>
            </w:r>
          </w:p>
        </w:tc>
        <w:tc>
          <w:tcPr>
            <w:tcW w:w="1800" w:type="dxa"/>
            <w:shd w:val="clear" w:color="auto" w:fill="D9D9D9" w:themeFill="background1" w:themeFillShade="D9"/>
            <w:vAlign w:val="bottom"/>
          </w:tcPr>
          <w:p w:rsidR="00AE13B7" w:rsidRPr="00561399" w:rsidP="000079E2" w14:paraId="64FBD6CE"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 xml:space="preserve">Change </w:t>
            </w:r>
            <w:r w:rsidRPr="00561399">
              <w:rPr>
                <w:rFonts w:ascii="Times New Roman" w:hAnsi="Times New Roman" w:cs="Times New Roman"/>
                <w:b/>
                <w:sz w:val="24"/>
                <w:szCs w:val="24"/>
              </w:rPr>
              <w:t>Due to Agency Discretion</w:t>
            </w:r>
          </w:p>
        </w:tc>
      </w:tr>
      <w:tr w14:paraId="7FE7C474" w14:textId="77777777" w:rsidTr="2B40F747">
        <w:tblPrEx>
          <w:tblW w:w="9360" w:type="dxa"/>
          <w:tblInd w:w="18" w:type="dxa"/>
          <w:tblLook w:val="01E0"/>
        </w:tblPrEx>
        <w:trPr>
          <w:trHeight w:val="591"/>
        </w:trPr>
        <w:tc>
          <w:tcPr>
            <w:tcW w:w="2679" w:type="dxa"/>
            <w:shd w:val="clear" w:color="auto" w:fill="auto"/>
          </w:tcPr>
          <w:p w:rsidR="00AE13B7" w:rsidRPr="00561399" w:rsidP="000079E2" w14:paraId="599E4AAC" w14:textId="77777777">
            <w:pPr>
              <w:spacing w:after="0" w:line="240" w:lineRule="auto"/>
              <w:jc w:val="center"/>
              <w:rPr>
                <w:rFonts w:ascii="Times New Roman" w:hAnsi="Times New Roman" w:cs="Times New Roman"/>
                <w:sz w:val="24"/>
                <w:szCs w:val="24"/>
              </w:rPr>
            </w:pPr>
            <w:r w:rsidRPr="00561399">
              <w:rPr>
                <w:rFonts w:ascii="Times New Roman" w:hAnsi="Times New Roman" w:cs="Times New Roman"/>
                <w:sz w:val="24"/>
                <w:szCs w:val="24"/>
              </w:rPr>
              <w:t>Annual Number of Responses</w:t>
            </w:r>
          </w:p>
        </w:tc>
        <w:tc>
          <w:tcPr>
            <w:tcW w:w="1461" w:type="dxa"/>
            <w:shd w:val="clear" w:color="auto" w:fill="auto"/>
            <w:vAlign w:val="center"/>
          </w:tcPr>
          <w:p w:rsidR="00AE13B7" w:rsidRPr="00561399" w:rsidP="000079E2" w14:paraId="28A3889E" w14:textId="64F85F69">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3</w:t>
            </w:r>
            <w:r w:rsidRPr="00561399" w:rsidR="3D339FF1">
              <w:rPr>
                <w:rFonts w:ascii="Times New Roman" w:hAnsi="Times New Roman" w:cs="Times New Roman"/>
                <w:sz w:val="24"/>
                <w:szCs w:val="24"/>
              </w:rPr>
              <w:t>4</w:t>
            </w:r>
            <w:r w:rsidRPr="00561399" w:rsidR="7A4DC690">
              <w:rPr>
                <w:rFonts w:ascii="Times New Roman" w:hAnsi="Times New Roman" w:cs="Times New Roman"/>
                <w:sz w:val="24"/>
                <w:szCs w:val="24"/>
              </w:rPr>
              <w:t>4</w:t>
            </w:r>
          </w:p>
        </w:tc>
        <w:tc>
          <w:tcPr>
            <w:tcW w:w="1620" w:type="dxa"/>
            <w:shd w:val="clear" w:color="auto" w:fill="auto"/>
            <w:vAlign w:val="center"/>
          </w:tcPr>
          <w:p w:rsidR="00AE13B7" w:rsidRPr="00561399" w:rsidP="000079E2" w14:paraId="24BCF0F6" w14:textId="1FD59AE9">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3</w:t>
            </w:r>
            <w:r w:rsidRPr="00561399" w:rsidR="000C163E">
              <w:rPr>
                <w:rFonts w:ascii="Times New Roman" w:hAnsi="Times New Roman" w:cs="Times New Roman"/>
                <w:sz w:val="24"/>
                <w:szCs w:val="24"/>
              </w:rPr>
              <w:t>36</w:t>
            </w:r>
          </w:p>
        </w:tc>
        <w:tc>
          <w:tcPr>
            <w:tcW w:w="1800" w:type="dxa"/>
            <w:shd w:val="clear" w:color="auto" w:fill="auto"/>
            <w:vAlign w:val="center"/>
          </w:tcPr>
          <w:p w:rsidR="00AE13B7" w:rsidRPr="00561399" w:rsidP="000079E2" w14:paraId="7F74E5DB" w14:textId="5679E531">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w:t>
            </w:r>
            <w:r w:rsidRPr="00561399" w:rsidR="586F95E0">
              <w:rPr>
                <w:rFonts w:ascii="Times New Roman" w:hAnsi="Times New Roman" w:cs="Times New Roman"/>
                <w:sz w:val="24"/>
                <w:szCs w:val="24"/>
              </w:rPr>
              <w:t>8</w:t>
            </w:r>
          </w:p>
        </w:tc>
        <w:tc>
          <w:tcPr>
            <w:tcW w:w="1800" w:type="dxa"/>
            <w:shd w:val="clear" w:color="auto" w:fill="auto"/>
            <w:vAlign w:val="center"/>
          </w:tcPr>
          <w:p w:rsidR="00AE13B7" w:rsidRPr="00561399" w:rsidP="000079E2" w14:paraId="42A2F041" w14:textId="78B7FC8C">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r>
      <w:tr w14:paraId="6017BB56" w14:textId="77777777" w:rsidTr="2B40F747">
        <w:tblPrEx>
          <w:tblW w:w="9360" w:type="dxa"/>
          <w:tblInd w:w="18" w:type="dxa"/>
          <w:tblLook w:val="01E0"/>
        </w:tblPrEx>
        <w:trPr>
          <w:trHeight w:val="575"/>
        </w:trPr>
        <w:tc>
          <w:tcPr>
            <w:tcW w:w="2679" w:type="dxa"/>
            <w:shd w:val="clear" w:color="auto" w:fill="auto"/>
          </w:tcPr>
          <w:p w:rsidR="00AE13B7" w:rsidRPr="00B51110" w:rsidP="000079E2" w14:paraId="796883FB" w14:textId="3A8F10B4">
            <w:pPr>
              <w:spacing w:after="0" w:line="240" w:lineRule="auto"/>
              <w:jc w:val="center"/>
              <w:rPr>
                <w:rFonts w:ascii="Times New Roman" w:hAnsi="Times New Roman" w:cs="Times New Roman"/>
                <w:sz w:val="24"/>
                <w:szCs w:val="24"/>
              </w:rPr>
            </w:pPr>
            <w:r w:rsidRPr="00561399">
              <w:rPr>
                <w:rFonts w:ascii="Times New Roman" w:hAnsi="Times New Roman" w:cs="Times New Roman"/>
                <w:sz w:val="24"/>
                <w:szCs w:val="24"/>
              </w:rPr>
              <w:t>Annual Time Burden (Hr</w:t>
            </w:r>
            <w:r w:rsidRPr="00561399" w:rsidR="000D6D98">
              <w:rPr>
                <w:rFonts w:ascii="Times New Roman" w:hAnsi="Times New Roman" w:cs="Times New Roman"/>
                <w:sz w:val="24"/>
                <w:szCs w:val="24"/>
              </w:rPr>
              <w:t>.</w:t>
            </w:r>
            <w:r w:rsidRPr="00B51110">
              <w:rPr>
                <w:rFonts w:ascii="Times New Roman" w:hAnsi="Times New Roman" w:cs="Times New Roman"/>
                <w:sz w:val="24"/>
                <w:szCs w:val="24"/>
              </w:rPr>
              <w:t>)</w:t>
            </w:r>
          </w:p>
        </w:tc>
        <w:tc>
          <w:tcPr>
            <w:tcW w:w="1461" w:type="dxa"/>
            <w:shd w:val="clear" w:color="auto" w:fill="auto"/>
            <w:vAlign w:val="center"/>
          </w:tcPr>
          <w:p w:rsidR="00AE13B7" w:rsidRPr="00561399" w:rsidP="000079E2" w14:paraId="399C3F7A" w14:textId="14E64958">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11,254</w:t>
            </w:r>
          </w:p>
        </w:tc>
        <w:tc>
          <w:tcPr>
            <w:tcW w:w="1620" w:type="dxa"/>
            <w:shd w:val="clear" w:color="auto" w:fill="auto"/>
            <w:vAlign w:val="center"/>
          </w:tcPr>
          <w:p w:rsidR="00AE13B7" w:rsidRPr="00561399" w:rsidP="000079E2" w14:paraId="3A3BF892" w14:textId="61C0E210">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1</w:t>
            </w:r>
            <w:r w:rsidRPr="00561399" w:rsidR="000C163E">
              <w:rPr>
                <w:rFonts w:ascii="Times New Roman" w:hAnsi="Times New Roman" w:cs="Times New Roman"/>
                <w:sz w:val="24"/>
                <w:szCs w:val="24"/>
              </w:rPr>
              <w:t>0,991</w:t>
            </w:r>
          </w:p>
        </w:tc>
        <w:tc>
          <w:tcPr>
            <w:tcW w:w="1800" w:type="dxa"/>
            <w:shd w:val="clear" w:color="auto" w:fill="auto"/>
            <w:vAlign w:val="center"/>
          </w:tcPr>
          <w:p w:rsidR="00AE13B7" w:rsidRPr="00561399" w:rsidP="009667D6" w14:paraId="29BBDD4B" w14:textId="236789B4">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+263</w:t>
            </w:r>
          </w:p>
        </w:tc>
        <w:tc>
          <w:tcPr>
            <w:tcW w:w="1800" w:type="dxa"/>
            <w:shd w:val="clear" w:color="auto" w:fill="auto"/>
            <w:vAlign w:val="center"/>
          </w:tcPr>
          <w:p w:rsidR="00AE13B7" w:rsidRPr="00561399" w:rsidP="000079E2" w14:paraId="27256170" w14:textId="203C7808">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r>
      <w:tr w14:paraId="70C201D3" w14:textId="77777777" w:rsidTr="2B40F747">
        <w:tblPrEx>
          <w:tblW w:w="9360" w:type="dxa"/>
          <w:tblInd w:w="18" w:type="dxa"/>
          <w:tblLook w:val="01E0"/>
        </w:tblPrEx>
        <w:trPr>
          <w:trHeight w:val="295"/>
        </w:trPr>
        <w:tc>
          <w:tcPr>
            <w:tcW w:w="2679" w:type="dxa"/>
            <w:tcBorders>
              <w:bottom w:val="single" w:sz="4" w:space="0" w:color="auto"/>
            </w:tcBorders>
            <w:shd w:val="clear" w:color="auto" w:fill="auto"/>
          </w:tcPr>
          <w:p w:rsidR="00AE13B7" w:rsidRPr="00561399" w:rsidP="000079E2" w14:paraId="097AAE2F" w14:textId="77777777">
            <w:pPr>
              <w:spacing w:after="0" w:line="240" w:lineRule="auto"/>
              <w:jc w:val="center"/>
              <w:rPr>
                <w:rFonts w:ascii="Times New Roman" w:hAnsi="Times New Roman" w:cs="Times New Roman"/>
                <w:sz w:val="24"/>
                <w:szCs w:val="24"/>
              </w:rPr>
            </w:pPr>
            <w:r w:rsidRPr="0056139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AE13B7" w:rsidRPr="00B51110" w:rsidP="000079E2" w14:paraId="4278EFAE"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AE13B7" w:rsidRPr="00561399" w:rsidP="000079E2" w14:paraId="348FBF4D"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AE13B7" w:rsidRPr="00561399" w:rsidP="000079E2" w14:paraId="09AAC5B1"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AE13B7" w:rsidRPr="00561399" w:rsidP="000079E2" w14:paraId="776ECD2C"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r>
    </w:tbl>
    <w:p w:rsidR="00AE13B7" w:rsidRPr="00561399" w:rsidP="00AE13B7" w14:paraId="5DCCEAC5" w14:textId="77777777">
      <w:pPr>
        <w:spacing w:after="0"/>
        <w:rPr>
          <w:rFonts w:ascii="Times New Roman" w:hAnsi="Times New Roman" w:cs="Times New Roman"/>
          <w:sz w:val="24"/>
          <w:szCs w:val="24"/>
        </w:rPr>
      </w:pPr>
    </w:p>
    <w:p w:rsidR="00A276F5" w:rsidRPr="00B51110" w:rsidP="00A72E7B" w14:paraId="2D74A2F3"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TIME SCHEDULE FOR PUBLICATION OF DATA</w:t>
      </w:r>
    </w:p>
    <w:p w:rsidR="00414F32" w:rsidRPr="00561399" w:rsidP="00414F32" w14:paraId="6E9C0876" w14:textId="77777777">
      <w:pPr>
        <w:spacing w:after="0"/>
        <w:rPr>
          <w:rFonts w:ascii="Times New Roman" w:hAnsi="Times New Roman" w:cs="Times New Roman"/>
          <w:sz w:val="24"/>
          <w:szCs w:val="24"/>
        </w:rPr>
      </w:pPr>
    </w:p>
    <w:p w:rsidR="006039B3" w:rsidRPr="00561399" w:rsidP="007850E5" w14:paraId="72FD7BF1" w14:textId="0385AC29">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There </w:t>
      </w:r>
      <w:r w:rsidRPr="00561399" w:rsidR="02DE23C1">
        <w:rPr>
          <w:rFonts w:ascii="Times New Roman" w:hAnsi="Times New Roman" w:cs="Times New Roman"/>
          <w:sz w:val="24"/>
          <w:szCs w:val="24"/>
        </w:rPr>
        <w:t>is</w:t>
      </w:r>
      <w:r w:rsidRPr="00561399">
        <w:rPr>
          <w:rFonts w:ascii="Times New Roman" w:hAnsi="Times New Roman" w:cs="Times New Roman"/>
          <w:sz w:val="24"/>
          <w:szCs w:val="24"/>
        </w:rPr>
        <w:t xml:space="preserve"> no tabulating, statistical or tabulating analysis or publication plans for the collection of information.  </w:t>
      </w:r>
    </w:p>
    <w:p w:rsidR="00414F32" w:rsidRPr="00561399" w:rsidP="00414F32" w14:paraId="0188CE1B" w14:textId="77777777">
      <w:pPr>
        <w:spacing w:after="0"/>
        <w:rPr>
          <w:rFonts w:ascii="Times New Roman" w:hAnsi="Times New Roman" w:cs="Times New Roman"/>
          <w:sz w:val="24"/>
          <w:szCs w:val="24"/>
        </w:rPr>
      </w:pPr>
    </w:p>
    <w:p w:rsidR="00414F32" w:rsidRPr="00561399" w:rsidP="00A72E7B" w14:paraId="78579787"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DISPLAY OF EXPIRATION DATE</w:t>
      </w:r>
    </w:p>
    <w:p w:rsidR="0051258E" w:rsidRPr="00561399" w:rsidP="009C0BA0" w14:paraId="535D1F50" w14:textId="77777777">
      <w:pPr>
        <w:spacing w:after="0"/>
        <w:rPr>
          <w:rFonts w:ascii="Times New Roman" w:hAnsi="Times New Roman" w:cs="Times New Roman"/>
          <w:sz w:val="24"/>
          <w:szCs w:val="24"/>
        </w:rPr>
      </w:pPr>
    </w:p>
    <w:p w:rsidR="009C0BA0" w:rsidRPr="00561399" w:rsidP="007850E5" w14:paraId="36871C73"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The expiration date</w:t>
      </w:r>
      <w:r w:rsidRPr="00561399" w:rsidR="00A57031">
        <w:rPr>
          <w:rFonts w:ascii="Times New Roman" w:hAnsi="Times New Roman" w:cs="Times New Roman"/>
          <w:sz w:val="24"/>
          <w:szCs w:val="24"/>
        </w:rPr>
        <w:t>s</w:t>
      </w:r>
      <w:r w:rsidRPr="00561399">
        <w:rPr>
          <w:rFonts w:ascii="Times New Roman" w:hAnsi="Times New Roman" w:cs="Times New Roman"/>
          <w:sz w:val="24"/>
          <w:szCs w:val="24"/>
        </w:rPr>
        <w:t xml:space="preserve"> </w:t>
      </w:r>
      <w:r w:rsidRPr="00561399" w:rsidR="00A57031">
        <w:rPr>
          <w:rFonts w:ascii="Times New Roman" w:hAnsi="Times New Roman" w:cs="Times New Roman"/>
          <w:sz w:val="24"/>
          <w:szCs w:val="24"/>
        </w:rPr>
        <w:t>are</w:t>
      </w:r>
      <w:r w:rsidRPr="00561399">
        <w:rPr>
          <w:rFonts w:ascii="Times New Roman" w:hAnsi="Times New Roman" w:cs="Times New Roman"/>
          <w:sz w:val="24"/>
          <w:szCs w:val="24"/>
        </w:rPr>
        <w:t xml:space="preserve"> displayed in a table posted on ferc.gov at </w:t>
      </w:r>
      <w:hyperlink r:id="rId10" w:history="1">
        <w:r w:rsidRPr="00561399">
          <w:rPr>
            <w:rStyle w:val="Hyperlink"/>
            <w:rFonts w:ascii="Times New Roman" w:hAnsi="Times New Roman" w:cs="Times New Roman"/>
            <w:sz w:val="24"/>
            <w:szCs w:val="24"/>
          </w:rPr>
          <w:t>http://www.ferc.gov/docs-filing/info-collections.asp</w:t>
        </w:r>
      </w:hyperlink>
      <w:r w:rsidRPr="00561399">
        <w:rPr>
          <w:rFonts w:ascii="Times New Roman" w:hAnsi="Times New Roman" w:cs="Times New Roman"/>
          <w:sz w:val="24"/>
          <w:szCs w:val="24"/>
        </w:rPr>
        <w:t>.</w:t>
      </w:r>
    </w:p>
    <w:p w:rsidR="009C0BA0" w:rsidRPr="00561399" w:rsidP="00414F32" w14:paraId="785B4031" w14:textId="77777777">
      <w:pPr>
        <w:spacing w:after="0"/>
        <w:rPr>
          <w:rFonts w:ascii="Times New Roman" w:hAnsi="Times New Roman" w:cs="Times New Roman"/>
          <w:sz w:val="24"/>
          <w:szCs w:val="24"/>
        </w:rPr>
      </w:pPr>
    </w:p>
    <w:p w:rsidR="00414F32" w:rsidRPr="00561399" w:rsidP="00A72E7B" w14:paraId="5FBA7E87"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EXCEPTIONS TO THE CERTIFICATION STATEMENT</w:t>
      </w:r>
    </w:p>
    <w:p w:rsidR="0057700F" w:rsidRPr="00561399" w:rsidP="0057700F" w14:paraId="1094DC16" w14:textId="77777777">
      <w:pPr>
        <w:spacing w:after="0"/>
        <w:rPr>
          <w:rFonts w:ascii="Times New Roman" w:hAnsi="Times New Roman" w:cs="Times New Roman"/>
          <w:b/>
          <w:sz w:val="24"/>
          <w:szCs w:val="24"/>
        </w:rPr>
      </w:pPr>
    </w:p>
    <w:p w:rsidR="006039B3" w:rsidRPr="00561399" w:rsidP="007850E5" w14:paraId="39CBDFB4" w14:textId="40993A60">
      <w:pPr>
        <w:spacing w:after="0"/>
        <w:rPr>
          <w:rFonts w:ascii="Times New Roman" w:hAnsi="Times New Roman" w:cs="Times New Roman"/>
          <w:sz w:val="24"/>
          <w:szCs w:val="24"/>
        </w:rPr>
      </w:pPr>
      <w:r w:rsidRPr="00561399">
        <w:rPr>
          <w:rFonts w:ascii="Times New Roman" w:hAnsi="Times New Roman" w:cs="Times New Roman"/>
          <w:sz w:val="24"/>
          <w:szCs w:val="24"/>
        </w:rPr>
        <w:t>There are no exceptions.</w:t>
      </w:r>
    </w:p>
    <w:p w:rsidR="00414F32" w:rsidRPr="00561399" w:rsidP="006039B3" w14:paraId="5D51E091" w14:textId="77777777">
      <w:pPr>
        <w:tabs>
          <w:tab w:val="left" w:pos="915"/>
        </w:tabs>
        <w:spacing w:after="0"/>
        <w:rPr>
          <w:rFonts w:ascii="Times New Roman" w:hAnsi="Times New Roman" w:cs="Times New Roman"/>
          <w:sz w:val="24"/>
          <w:szCs w:val="24"/>
        </w:rPr>
      </w:pPr>
    </w:p>
    <w:sectPr w:rsidSect="00787716">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rsidR="00457584" w:rsidRPr="001C6553" w14:paraId="4DC81F12" w14:textId="5EFB8BA8">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432A11">
          <w:rPr>
            <w:rFonts w:ascii="Times New Roman" w:hAnsi="Times New Roman" w:cs="Times New Roman"/>
            <w:noProof/>
          </w:rPr>
          <w:t>1</w:t>
        </w:r>
        <w:r w:rsidRPr="001C6553">
          <w:rPr>
            <w:rFonts w:ascii="Times New Roman" w:hAnsi="Times New Roman" w:cs="Times New Roman"/>
            <w:noProof/>
          </w:rPr>
          <w:fldChar w:fldCharType="end"/>
        </w:r>
      </w:p>
    </w:sdtContent>
  </w:sdt>
  <w:p w:rsidR="00457584" w14:paraId="115CCD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7662" w:rsidP="00FD66F1" w14:paraId="62FE8170" w14:textId="77777777">
      <w:pPr>
        <w:spacing w:after="0" w:line="240" w:lineRule="auto"/>
      </w:pPr>
      <w:r>
        <w:separator/>
      </w:r>
    </w:p>
  </w:footnote>
  <w:footnote w:type="continuationSeparator" w:id="1">
    <w:p w:rsidR="00F57662" w:rsidP="00FD66F1" w14:paraId="3DE67754" w14:textId="77777777">
      <w:pPr>
        <w:spacing w:after="0" w:line="240" w:lineRule="auto"/>
      </w:pPr>
      <w:r>
        <w:continuationSeparator/>
      </w:r>
    </w:p>
  </w:footnote>
  <w:footnote w:type="continuationNotice" w:id="2">
    <w:p w:rsidR="00F57662" w14:paraId="43A6C9A5" w14:textId="77777777">
      <w:pPr>
        <w:spacing w:after="0" w:line="240" w:lineRule="auto"/>
      </w:pPr>
    </w:p>
  </w:footnote>
  <w:footnote w:id="3">
    <w:p w:rsidR="00F3080C" w:rsidRPr="00B51110" w14:paraId="12101307" w14:textId="08124595">
      <w:pPr>
        <w:pStyle w:val="FootnoteText"/>
      </w:pPr>
      <w:r>
        <w:rPr>
          <w:rStyle w:val="FootnoteReference"/>
        </w:rPr>
        <w:footnoteRef/>
      </w:r>
      <w:r>
        <w:t xml:space="preserve"> </w:t>
      </w:r>
      <w:r w:rsidRPr="00B51110">
        <w:t>16 U.S.C. 824</w:t>
      </w:r>
      <w:r w:rsidRPr="00CE0C92">
        <w:t>o</w:t>
      </w:r>
      <w:r w:rsidRPr="00B51110">
        <w:t>.</w:t>
      </w:r>
    </w:p>
  </w:footnote>
  <w:footnote w:id="4">
    <w:p w:rsidR="00457584" w:rsidRPr="00B51110" w:rsidP="009C06CD" w14:paraId="2CD3C44C" w14:textId="77777777">
      <w:pPr>
        <w:pStyle w:val="FootnoteText"/>
      </w:pPr>
      <w:r w:rsidRPr="00B51110">
        <w:rPr>
          <w:rStyle w:val="FootnoteReference"/>
        </w:rPr>
        <w:footnoteRef/>
      </w:r>
      <w:r w:rsidRPr="00B51110">
        <w:t xml:space="preserve"> </w:t>
      </w:r>
      <w:r w:rsidRPr="00CE0C92">
        <w:t>North American Electric Reliability Corp.</w:t>
      </w:r>
      <w:r w:rsidRPr="00B51110">
        <w:t xml:space="preserve">, 116 FERC ¶ 61,062, </w:t>
      </w:r>
      <w:r w:rsidRPr="00CE0C92">
        <w:t>order on reh’g &amp; compliance</w:t>
      </w:r>
      <w:r w:rsidRPr="00B51110">
        <w:t xml:space="preserve">, 117 FERC ¶ 61,126 (2006), </w:t>
      </w:r>
      <w:r w:rsidRPr="00CE0C92">
        <w:t>aff’d sub nom. Alcoa, Inc. v. FERC</w:t>
      </w:r>
      <w:r w:rsidRPr="00B51110">
        <w:t xml:space="preserve">, 564 F.3d 1342 (D.C. Cir. 2009).  </w:t>
      </w:r>
    </w:p>
  </w:footnote>
  <w:footnote w:id="5">
    <w:p w:rsidR="00561399" w:rsidRPr="00B51110" w:rsidP="00561399" w14:paraId="52968F6B" w14:textId="77777777">
      <w:pPr>
        <w:pStyle w:val="FootnoteText"/>
      </w:pPr>
      <w:r w:rsidRPr="00B51110">
        <w:rPr>
          <w:rStyle w:val="FootnoteReference"/>
        </w:rPr>
        <w:footnoteRef/>
      </w:r>
      <w:r w:rsidRPr="00B51110">
        <w:t xml:space="preserve"> Order No. 802 (79 FR 70069, 11/25/2014)</w:t>
      </w:r>
    </w:p>
  </w:footnote>
  <w:footnote w:id="6">
    <w:p w:rsidR="00C32F55" w:rsidP="00C32F55" w14:paraId="322CE992" w14:textId="77777777">
      <w:pPr>
        <w:pStyle w:val="FootnoteText"/>
      </w:pPr>
      <w:r>
        <w:rPr>
          <w:rStyle w:val="FootnoteReference"/>
        </w:rPr>
        <w:footnoteRef/>
      </w:r>
      <w:r>
        <w:t xml:space="preserve"> </w:t>
      </w:r>
      <w:r w:rsidRPr="00F4055A">
        <w:t>16 U.S.C. 824o(</w:t>
      </w:r>
      <w:r>
        <w:t>d)(1).</w:t>
      </w:r>
    </w:p>
  </w:footnote>
  <w:footnote w:id="7">
    <w:p w:rsidR="00C32F55" w:rsidRPr="00B51110" w:rsidP="00C32F55" w14:paraId="000963A1" w14:textId="77777777">
      <w:pPr>
        <w:pStyle w:val="FootnoteText"/>
      </w:pPr>
      <w:r>
        <w:rPr>
          <w:rStyle w:val="FootnoteReference"/>
        </w:rPr>
        <w:footnoteRef/>
      </w:r>
      <w:r>
        <w:t xml:space="preserve"> </w:t>
      </w:r>
      <w:r w:rsidRPr="00CE0C92">
        <w:t>Id.</w:t>
      </w:r>
      <w:r w:rsidRPr="00B51110">
        <w:t xml:space="preserve"> 824o(e).</w:t>
      </w:r>
    </w:p>
  </w:footnote>
  <w:footnote w:id="8">
    <w:p w:rsidR="00C32F55" w:rsidRPr="00B51110" w:rsidP="00C32F55" w14:paraId="033FC5F3" w14:textId="77777777">
      <w:pPr>
        <w:pStyle w:val="FootnoteText"/>
      </w:pPr>
      <w:r w:rsidRPr="00B51110">
        <w:rPr>
          <w:rStyle w:val="FootnoteReference"/>
        </w:rPr>
        <w:footnoteRef/>
      </w:r>
      <w:r w:rsidRPr="00B51110">
        <w:t xml:space="preserve"> </w:t>
      </w:r>
      <w:r w:rsidRPr="00CE0C92">
        <w:t xml:space="preserve">Rules Concerning Certification of the Elec. Reliability Org.; &amp; Procedures </w:t>
      </w:r>
      <w:r w:rsidRPr="00CE0C92">
        <w:br/>
        <w:t>for the Establishment, Approval, &amp; Enforcement of Elec. Reliability Standards</w:t>
      </w:r>
      <w:r w:rsidRPr="00B51110">
        <w:t xml:space="preserve">, Order </w:t>
      </w:r>
      <w:r w:rsidRPr="00B51110">
        <w:br/>
        <w:t xml:space="preserve">No. 672, 114 FERC ¶ 61,104, </w:t>
      </w:r>
      <w:r w:rsidRPr="00CE0C92">
        <w:t>order on reh’g</w:t>
      </w:r>
      <w:r w:rsidRPr="00B51110">
        <w:t>, Order No. 672-A, 71 FR 19814 (April 18, 2006),114 FERC ¶ 61,328 (2006).</w:t>
      </w:r>
    </w:p>
  </w:footnote>
  <w:footnote w:id="9">
    <w:p w:rsidR="00C32F55" w:rsidRPr="00B51110" w:rsidP="00C32F55" w14:paraId="4099A012" w14:textId="77777777">
      <w:pPr>
        <w:pStyle w:val="FootnoteText"/>
      </w:pPr>
      <w:r w:rsidRPr="00B51110">
        <w:rPr>
          <w:rStyle w:val="FootnoteReference"/>
        </w:rPr>
        <w:footnoteRef/>
      </w:r>
      <w:r w:rsidRPr="00B51110">
        <w:t xml:space="preserve"> </w:t>
      </w:r>
      <w:r w:rsidRPr="00CE0C92">
        <w:t>N. Am. Elec. Reliability Corp.</w:t>
      </w:r>
      <w:r w:rsidRPr="00B51110">
        <w:t xml:space="preserve">, 116 FERC ¶ 61,062, </w:t>
      </w:r>
      <w:r w:rsidRPr="00CE0C92">
        <w:t>order on reh’g and compliance</w:t>
      </w:r>
      <w:r w:rsidRPr="00B51110">
        <w:t xml:space="preserve">, 117 FERC ¶ 61,126 (2006), </w:t>
      </w:r>
      <w:r w:rsidRPr="00CE0C92">
        <w:t>aff’d sub nom. Alcoa, Inc. v. FERC</w:t>
      </w:r>
      <w:r w:rsidRPr="00B51110">
        <w:t xml:space="preserve">, </w:t>
      </w:r>
      <w:r w:rsidRPr="00B51110">
        <w:br/>
        <w:t>564 F.3d 1342 (D.C. Cir. 2009).</w:t>
      </w:r>
    </w:p>
  </w:footnote>
  <w:footnote w:id="10">
    <w:p w:rsidR="00C32F55" w:rsidRPr="00B51110" w:rsidP="00C32F55" w14:paraId="609E9AC9" w14:textId="77777777">
      <w:pPr>
        <w:pStyle w:val="FootnoteText"/>
      </w:pPr>
      <w:r w:rsidRPr="00B51110">
        <w:rPr>
          <w:rStyle w:val="FootnoteReference"/>
        </w:rPr>
        <w:footnoteRef/>
      </w:r>
      <w:r w:rsidRPr="00B51110">
        <w:t xml:space="preserve"> NERC Reliability Standard CIP-014-2 (Physical Security), Purpose. </w:t>
      </w:r>
    </w:p>
  </w:footnote>
  <w:footnote w:id="11">
    <w:p w:rsidR="00C32F55" w:rsidRPr="00B51110" w:rsidP="00C32F55" w14:paraId="3FA50D40" w14:textId="77777777">
      <w:pPr>
        <w:pStyle w:val="FootnoteText"/>
      </w:pPr>
      <w:r w:rsidRPr="00B51110">
        <w:rPr>
          <w:rStyle w:val="FootnoteReference"/>
        </w:rPr>
        <w:footnoteRef/>
      </w:r>
      <w:r w:rsidRPr="00B51110">
        <w:t xml:space="preserve"> NERC Petition at 1.  Section C.1.1.4., Additional Complianc</w:t>
      </w:r>
      <w:r w:rsidRPr="00B51110">
        <w:t xml:space="preserve">e Information states:  </w:t>
      </w:r>
    </w:p>
    <w:p w:rsidR="00C32F55" w:rsidRPr="00B51110" w:rsidP="00D5522E" w14:paraId="39FA303C" w14:textId="77777777">
      <w:pPr>
        <w:pStyle w:val="FootnoteText"/>
        <w:ind w:right="1440"/>
      </w:pPr>
      <w:r w:rsidRPr="00B51110">
        <w:t>Confidentiality:  To protect the confidentiality and sensitive nature of the evidence for demonstrating compliance with this standard, all evidence will be retained at the Transmission Owner’s and Transmission Operator’s facilities.</w:t>
      </w:r>
    </w:p>
  </w:footnote>
  <w:footnote w:id="12">
    <w:p w:rsidR="00C32F55" w:rsidRPr="00B51110" w:rsidP="00D5522E" w14:paraId="4E193B6C" w14:textId="4114C521">
      <w:pPr>
        <w:pStyle w:val="FootnoteText"/>
        <w:rPr>
          <w:szCs w:val="26"/>
        </w:rPr>
      </w:pPr>
      <w:r w:rsidRPr="00B51110">
        <w:rPr>
          <w:rStyle w:val="FootnoteReference"/>
          <w:szCs w:val="26"/>
        </w:rPr>
        <w:footnoteRef/>
      </w:r>
      <w:r w:rsidRPr="00B51110">
        <w:rPr>
          <w:szCs w:val="26"/>
        </w:rPr>
        <w:t xml:space="preserve"> NERC Petition at 1</w:t>
      </w:r>
      <w:r w:rsidRPr="00CE0C92">
        <w:rPr>
          <w:szCs w:val="26"/>
        </w:rPr>
        <w:t>.</w:t>
      </w:r>
      <w:r w:rsidRPr="00B51110">
        <w:rPr>
          <w:szCs w:val="26"/>
        </w:rPr>
        <w:t xml:space="preserve"> </w:t>
      </w:r>
    </w:p>
  </w:footnote>
  <w:footnote w:id="13">
    <w:p w:rsidR="00C32F55" w:rsidRPr="00B51110" w:rsidP="00C32F55" w14:paraId="39097EF8" w14:textId="77777777">
      <w:pPr>
        <w:pStyle w:val="FootnoteText"/>
      </w:pPr>
      <w:r w:rsidRPr="00B51110">
        <w:rPr>
          <w:rStyle w:val="FootnoteReference"/>
        </w:rPr>
        <w:footnoteRef/>
      </w:r>
      <w:r w:rsidRPr="00B51110">
        <w:t xml:space="preserve"> </w:t>
      </w:r>
      <w:r w:rsidRPr="00CE0C92">
        <w:t>Id.</w:t>
      </w:r>
      <w:r w:rsidRPr="00B51110">
        <w:t xml:space="preserve"> at 5-6. </w:t>
      </w:r>
    </w:p>
  </w:footnote>
  <w:footnote w:id="14">
    <w:p w:rsidR="00C32F55" w:rsidRPr="00B51110" w:rsidP="00D5522E" w14:paraId="3C58B6AD" w14:textId="54DB59FB">
      <w:pPr>
        <w:pStyle w:val="FootnoteText"/>
      </w:pPr>
      <w:r w:rsidRPr="00B51110">
        <w:rPr>
          <w:rStyle w:val="FootnoteReference"/>
          <w:szCs w:val="26"/>
        </w:rPr>
        <w:footnoteRef/>
      </w:r>
      <w:r w:rsidRPr="00B51110">
        <w:rPr>
          <w:szCs w:val="26"/>
        </w:rPr>
        <w:t xml:space="preserve"> </w:t>
      </w:r>
      <w:r w:rsidRPr="00CE0C92">
        <w:rPr>
          <w:szCs w:val="26"/>
        </w:rPr>
        <w:t>Id.</w:t>
      </w:r>
    </w:p>
  </w:footnote>
  <w:footnote w:id="15">
    <w:p w:rsidR="00C32F55" w:rsidRPr="00B51110" w:rsidP="00D5522E" w14:paraId="3264E8BC" w14:textId="7E17C799">
      <w:pPr>
        <w:pStyle w:val="FootnoteText"/>
        <w:rPr>
          <w:szCs w:val="26"/>
        </w:rPr>
      </w:pPr>
      <w:r w:rsidRPr="00B51110">
        <w:rPr>
          <w:rStyle w:val="FootnoteReference"/>
          <w:szCs w:val="26"/>
        </w:rPr>
        <w:footnoteRef/>
      </w:r>
      <w:r w:rsidRPr="00B51110">
        <w:rPr>
          <w:szCs w:val="26"/>
        </w:rPr>
        <w:t xml:space="preserve"> </w:t>
      </w:r>
      <w:r w:rsidRPr="00CE0C92">
        <w:rPr>
          <w:szCs w:val="26"/>
        </w:rPr>
        <w:t>Id.</w:t>
      </w:r>
      <w:r w:rsidRPr="00B51110">
        <w:rPr>
          <w:szCs w:val="26"/>
        </w:rPr>
        <w:t xml:space="preserve"> at 6. </w:t>
      </w:r>
    </w:p>
  </w:footnote>
  <w:footnote w:id="16">
    <w:p w:rsidR="00C32F55" w:rsidRPr="00B51110" w:rsidP="00C32F55" w14:paraId="245EC62C" w14:textId="77777777">
      <w:pPr>
        <w:pStyle w:val="FootnoteText"/>
      </w:pPr>
      <w:r w:rsidRPr="00B51110">
        <w:rPr>
          <w:rStyle w:val="FootnoteReference"/>
        </w:rPr>
        <w:footnoteRef/>
      </w:r>
      <w:r w:rsidRPr="00B51110">
        <w:t xml:space="preserve">  NERC Petition at 7; NERC Answer at 3. </w:t>
      </w:r>
    </w:p>
  </w:footnote>
  <w:footnote w:id="17">
    <w:p w:rsidR="00C32F55" w:rsidRPr="00B51110" w:rsidP="00C32F55" w14:paraId="11C873CA" w14:textId="5463C41C">
      <w:pPr>
        <w:rPr>
          <w:rFonts w:ascii="Times New Roman" w:eastAsia="Times New Roman" w:hAnsi="Times New Roman" w:cs="Times New Roman"/>
          <w:color w:val="212529"/>
          <w:sz w:val="20"/>
          <w:szCs w:val="20"/>
        </w:rPr>
      </w:pPr>
      <w:r w:rsidRPr="00B51110">
        <w:rPr>
          <w:rStyle w:val="FootnoteReference"/>
          <w:rFonts w:ascii="Times New Roman" w:eastAsia="Times New Roman" w:hAnsi="Times New Roman" w:cs="Times New Roman"/>
          <w:sz w:val="20"/>
          <w:szCs w:val="20"/>
        </w:rPr>
        <w:footnoteRef/>
      </w:r>
      <w:r w:rsidRPr="00B51110" w:rsidR="2B40F747">
        <w:rPr>
          <w:rFonts w:ascii="Times New Roman" w:eastAsia="Times New Roman" w:hAnsi="Times New Roman" w:cs="Times New Roman"/>
          <w:sz w:val="20"/>
          <w:szCs w:val="20"/>
        </w:rPr>
        <w:t xml:space="preserve"> NERC, Request of the North American Electric Reliability Corporation to expend funds to develop the ERO Enterprise Secure Evidence Locker, Docket No. RR19-8-001, at 4 (filed June 8, 2020) (NERC 2020 Filing); </w:t>
      </w:r>
      <w:r w:rsidRPr="00CE0C92" w:rsidR="2B40F747">
        <w:rPr>
          <w:rFonts w:ascii="Times New Roman" w:eastAsia="Times New Roman" w:hAnsi="Times New Roman" w:cs="Times New Roman"/>
          <w:sz w:val="20"/>
          <w:szCs w:val="20"/>
        </w:rPr>
        <w:t>N. Am. Elec. Reliability Corp.</w:t>
      </w:r>
      <w:r w:rsidRPr="00B51110" w:rsidR="2B40F747">
        <w:rPr>
          <w:rFonts w:ascii="Times New Roman" w:eastAsia="Times New Roman" w:hAnsi="Times New Roman" w:cs="Times New Roman"/>
          <w:sz w:val="20"/>
          <w:szCs w:val="20"/>
        </w:rPr>
        <w:t xml:space="preserve">, Docket No. RR19-8-001 (June 22, 2020) (delegated order). </w:t>
      </w:r>
    </w:p>
  </w:footnote>
  <w:footnote w:id="18">
    <w:p w:rsidR="00C32F55" w:rsidRPr="00B51110" w:rsidP="00C32F55" w14:paraId="520EBDFC" w14:textId="77777777">
      <w:pPr>
        <w:pStyle w:val="FootnoteText"/>
      </w:pPr>
      <w:r w:rsidRPr="00B51110">
        <w:rPr>
          <w:rStyle w:val="FootnoteReference"/>
        </w:rPr>
        <w:footnoteRef/>
      </w:r>
      <w:r w:rsidRPr="00B51110">
        <w:t xml:space="preserve"> </w:t>
      </w:r>
      <w:r w:rsidRPr="00B51110">
        <w:rPr>
          <w:szCs w:val="26"/>
        </w:rPr>
        <w:t>NERC 2020 Filing</w:t>
      </w:r>
      <w:r w:rsidRPr="00B51110">
        <w:t xml:space="preserve"> at 5. </w:t>
      </w:r>
    </w:p>
  </w:footnote>
  <w:footnote w:id="19">
    <w:p w:rsidR="00C32F55" w:rsidRPr="00B51110" w:rsidP="00C32F55" w14:paraId="1A9B4FD4" w14:textId="77777777">
      <w:pPr>
        <w:pStyle w:val="FootnoteText"/>
        <w:rPr>
          <w:szCs w:val="26"/>
        </w:rPr>
      </w:pPr>
      <w:r w:rsidRPr="00B51110">
        <w:rPr>
          <w:rStyle w:val="FootnoteReference"/>
          <w:szCs w:val="26"/>
        </w:rPr>
        <w:footnoteRef/>
      </w:r>
      <w:r w:rsidRPr="00B51110">
        <w:rPr>
          <w:szCs w:val="26"/>
        </w:rPr>
        <w:t xml:space="preserve"> NERC Answer at 2. </w:t>
      </w:r>
    </w:p>
  </w:footnote>
  <w:footnote w:id="20">
    <w:p w:rsidR="00C32F55" w:rsidRPr="00B51110" w:rsidP="00C32F55" w14:paraId="53524557" w14:textId="77777777">
      <w:pPr>
        <w:pStyle w:val="FootnoteText"/>
      </w:pPr>
      <w:r w:rsidRPr="00B51110">
        <w:rPr>
          <w:rStyle w:val="FootnoteReference"/>
        </w:rPr>
        <w:footnoteRef/>
      </w:r>
      <w:r w:rsidRPr="00B51110">
        <w:t xml:space="preserve"> </w:t>
      </w:r>
      <w:r w:rsidRPr="00CE0C92">
        <w:rPr>
          <w:szCs w:val="26"/>
        </w:rPr>
        <w:t>Id.</w:t>
      </w:r>
      <w:r w:rsidRPr="00B51110">
        <w:rPr>
          <w:szCs w:val="26"/>
        </w:rPr>
        <w:t xml:space="preserve"> at 2-3. </w:t>
      </w:r>
    </w:p>
  </w:footnote>
  <w:footnote w:id="21">
    <w:p w:rsidR="00C32F55" w:rsidRPr="00B51110" w:rsidP="2B40F747" w14:paraId="163B05D5" w14:textId="77777777">
      <w:pPr>
        <w:pStyle w:val="FootnoteText"/>
      </w:pPr>
      <w:r w:rsidRPr="00B51110">
        <w:rPr>
          <w:rStyle w:val="FootnoteReference"/>
        </w:rPr>
        <w:footnoteRef/>
      </w:r>
      <w:r w:rsidRPr="00B51110" w:rsidR="2B40F747">
        <w:rPr>
          <w:szCs w:val="26"/>
        </w:rPr>
        <w:t xml:space="preserve"> </w:t>
      </w:r>
      <w:r w:rsidRPr="00CE0C92" w:rsidR="2B40F747">
        <w:t>Id.</w:t>
      </w:r>
    </w:p>
  </w:footnote>
  <w:footnote w:id="22">
    <w:p w:rsidR="00457584" w:rsidRPr="00B51110" w:rsidP="009C06CD" w14:paraId="0F45C87D" w14:textId="77777777">
      <w:pPr>
        <w:pStyle w:val="FootnoteText"/>
        <w:rPr>
          <w:color w:val="000000"/>
        </w:rPr>
      </w:pPr>
      <w:r w:rsidRPr="00CE0C92">
        <w:rPr>
          <w:rStyle w:val="FootnoteReference"/>
        </w:rPr>
        <w:footnoteRef/>
      </w:r>
      <w:r w:rsidRPr="00B51110">
        <w:rPr>
          <w:vertAlign w:val="superscript"/>
        </w:rPr>
        <w:t xml:space="preserve"> </w:t>
      </w:r>
      <w:r w:rsidRPr="00B51110">
        <w:t>The frequency is detailed in the Reliability Standard.  For example, R1 states in part:</w:t>
      </w:r>
    </w:p>
    <w:p w:rsidR="00457584" w:rsidRPr="00B51110" w:rsidP="009C06CD" w14:paraId="032928DF" w14:textId="77777777">
      <w:pPr>
        <w:autoSpaceDE w:val="0"/>
        <w:autoSpaceDN w:val="0"/>
        <w:adjustRightInd w:val="0"/>
        <w:spacing w:after="0" w:line="240" w:lineRule="auto"/>
        <w:rPr>
          <w:rFonts w:ascii="Times New Roman" w:hAnsi="Times New Roman" w:cs="Times New Roman"/>
          <w:color w:val="000000"/>
          <w:sz w:val="20"/>
          <w:szCs w:val="20"/>
        </w:rPr>
      </w:pPr>
      <w:r w:rsidRPr="00B51110">
        <w:rPr>
          <w:rFonts w:ascii="Times New Roman" w:hAnsi="Times New Roman" w:cs="Times New Roman"/>
          <w:color w:val="000000"/>
          <w:sz w:val="20"/>
          <w:szCs w:val="20"/>
        </w:rPr>
        <w:t xml:space="preserve">“1.1  Subsequent risk assessments shall be performed: </w:t>
      </w:r>
    </w:p>
    <w:p w:rsidR="00457584" w:rsidRPr="00B51110" w:rsidP="2B40F747" w14:paraId="5D11B519" w14:textId="77777777">
      <w:pPr>
        <w:autoSpaceDE w:val="0"/>
        <w:autoSpaceDN w:val="0"/>
        <w:adjustRightInd w:val="0"/>
        <w:spacing w:after="0" w:line="240" w:lineRule="auto"/>
        <w:rPr>
          <w:rFonts w:ascii="Times New Roman" w:hAnsi="Times New Roman" w:cs="Times New Roman"/>
          <w:color w:val="000000"/>
          <w:sz w:val="20"/>
          <w:szCs w:val="20"/>
        </w:rPr>
      </w:pPr>
      <w:r w:rsidRPr="00B51110">
        <w:rPr>
          <w:rFonts w:ascii="Times New Roman" w:hAnsi="Times New Roman" w:cs="Times New Roman"/>
          <w:color w:val="000000" w:themeColor="text1"/>
          <w:sz w:val="20"/>
          <w:szCs w:val="20"/>
        </w:rPr>
        <w:t>At least once every 30 calendar months for a Transmission Owner that has identified in its previous risk assessment (as verified according to Requirement R2) one or more Transmission stations or Transm</w:t>
      </w:r>
      <w:r w:rsidRPr="00B51110">
        <w:rPr>
          <w:rFonts w:ascii="Times New Roman" w:hAnsi="Times New Roman" w:cs="Times New Roman"/>
          <w:color w:val="000000" w:themeColor="text1"/>
          <w:sz w:val="20"/>
          <w:szCs w:val="20"/>
        </w:rPr>
        <w:t xml:space="preserve">ission substations that if rendered inoperable or damaged could result in widespread instability, uncontrolled separation, or Cascading within an Interconnection; or </w:t>
      </w:r>
    </w:p>
    <w:p w:rsidR="00457584" w:rsidRPr="00B51110" w:rsidP="2B40F747" w14:paraId="0B5D61DF" w14:textId="77777777">
      <w:pPr>
        <w:autoSpaceDE w:val="0"/>
        <w:autoSpaceDN w:val="0"/>
        <w:adjustRightInd w:val="0"/>
        <w:spacing w:after="0" w:line="240" w:lineRule="auto"/>
        <w:rPr>
          <w:rFonts w:ascii="Times New Roman" w:hAnsi="Times New Roman" w:cs="Times New Roman"/>
          <w:color w:val="000000"/>
          <w:sz w:val="20"/>
          <w:szCs w:val="20"/>
        </w:rPr>
      </w:pPr>
      <w:r w:rsidRPr="00B51110">
        <w:rPr>
          <w:rFonts w:ascii="Times New Roman" w:hAnsi="Times New Roman" w:cs="Times New Roman"/>
          <w:color w:val="000000" w:themeColor="text1"/>
          <w:sz w:val="20"/>
          <w:szCs w:val="20"/>
        </w:rPr>
        <w:t>At least once every 60 calendar months for a Transmission Owner that has not identified i</w:t>
      </w:r>
      <w:r w:rsidRPr="00B51110">
        <w:rPr>
          <w:rFonts w:ascii="Times New Roman" w:hAnsi="Times New Roman" w:cs="Times New Roman"/>
          <w:color w:val="000000" w:themeColor="text1"/>
          <w:sz w:val="20"/>
          <w:szCs w:val="20"/>
        </w:rPr>
        <w:t>n its previous risk assessment (as verified according to Requirement R2) any Transmission stations or Transmission substations that if rendered inoperable or damaged could result in widespread instability, uncontrolled separation, or Cascading within an In</w:t>
      </w:r>
      <w:r w:rsidRPr="00B51110">
        <w:rPr>
          <w:rFonts w:ascii="Times New Roman" w:hAnsi="Times New Roman" w:cs="Times New Roman"/>
          <w:color w:val="000000" w:themeColor="text1"/>
          <w:sz w:val="20"/>
          <w:szCs w:val="20"/>
        </w:rPr>
        <w:t xml:space="preserve">terconnection. </w:t>
      </w:r>
    </w:p>
    <w:p w:rsidR="00457584" w:rsidRPr="00B51110" w:rsidP="009C06CD" w14:paraId="18804DB4" w14:textId="77777777">
      <w:pPr>
        <w:autoSpaceDE w:val="0"/>
        <w:autoSpaceDN w:val="0"/>
        <w:adjustRightInd w:val="0"/>
        <w:spacing w:after="0" w:line="240" w:lineRule="auto"/>
        <w:rPr>
          <w:sz w:val="20"/>
          <w:szCs w:val="20"/>
        </w:rPr>
      </w:pPr>
      <w:r w:rsidRPr="00B51110">
        <w:rPr>
          <w:rFonts w:ascii="Times New Roman" w:hAnsi="Times New Roman" w:cs="Times New Roman"/>
          <w:color w:val="000000"/>
          <w:sz w:val="20"/>
          <w:szCs w:val="20"/>
        </w:rPr>
        <w:t>1.2. The Transmission Owner shall identify the primary control center that operationally controls each Transmission station or Transmission substation identified in the Requirement R1 risk assessment. “</w:t>
      </w:r>
    </w:p>
  </w:footnote>
  <w:footnote w:id="23">
    <w:p w:rsidR="00457584" w:rsidRPr="009C06CD" w:rsidP="009C06CD" w14:paraId="11EE6277" w14:textId="56E446BE">
      <w:pPr>
        <w:pStyle w:val="FootnoteText"/>
      </w:pPr>
      <w:r w:rsidRPr="009C06CD">
        <w:rPr>
          <w:rStyle w:val="FootnoteReference"/>
        </w:rPr>
        <w:footnoteRef/>
      </w:r>
      <w:r w:rsidRPr="009C06CD">
        <w:t xml:space="preserve"> </w:t>
      </w:r>
      <w:hyperlink r:id="rId1" w:history="1">
        <w:r w:rsidRPr="009C06CD">
          <w:rPr>
            <w:rStyle w:val="Hyperlink"/>
          </w:rPr>
          <w:t>http://www.nerc.com/FilingsOrders/us/RuleOfProcedureDL/NERC_ROP_Effective_20161031.pdf</w:t>
        </w:r>
      </w:hyperlink>
      <w:r w:rsidRPr="009C06CD">
        <w:t xml:space="preserve"> </w:t>
      </w:r>
    </w:p>
  </w:footnote>
  <w:footnote w:id="24">
    <w:p w:rsidR="00457584" w:rsidRPr="009C06CD" w:rsidP="009C06CD" w14:paraId="01442D20" w14:textId="0E7ABD0B">
      <w:pPr>
        <w:pStyle w:val="FootnoteText"/>
      </w:pPr>
      <w:r w:rsidRPr="009C06CD">
        <w:rPr>
          <w:rStyle w:val="FootnoteReference"/>
        </w:rPr>
        <w:footnoteRef/>
      </w:r>
      <w:r w:rsidRPr="009C06CD">
        <w:t xml:space="preserve"> Details of the ERO standards development process are available on the NERC website at </w:t>
      </w:r>
      <w:hyperlink r:id="rId2" w:history="1">
        <w:r w:rsidRPr="009C06CD">
          <w:rPr>
            <w:rStyle w:val="Hyperlink"/>
          </w:rPr>
          <w:t>http://www.nerc.com/pa/Stand/Documents/Appendix_3A_StandardsProcessesManual.pdf</w:t>
        </w:r>
      </w:hyperlink>
      <w:r w:rsidRPr="009C06CD">
        <w:t>.</w:t>
      </w:r>
    </w:p>
  </w:footnote>
  <w:footnote w:id="25">
    <w:p w:rsidR="00457584" w:rsidRPr="009C06CD" w:rsidP="009C06CD" w14:paraId="1CCC1B62" w14:textId="407D587F">
      <w:pPr>
        <w:pStyle w:val="FootnoteText"/>
      </w:pPr>
      <w:r w:rsidRPr="009C06CD">
        <w:rPr>
          <w:rStyle w:val="FootnoteReference"/>
        </w:rPr>
        <w:footnoteRef/>
      </w:r>
      <w:r w:rsidRPr="009C06CD">
        <w:t xml:space="preserve"> 8</w:t>
      </w:r>
      <w:r w:rsidR="00C32F55">
        <w:t>7</w:t>
      </w:r>
      <w:r w:rsidRPr="009C06CD">
        <w:t xml:space="preserve"> FR </w:t>
      </w:r>
      <w:r w:rsidR="001078B2">
        <w:t>37847</w:t>
      </w:r>
    </w:p>
  </w:footnote>
  <w:footnote w:id="26">
    <w:p w:rsidR="00457584" w:rsidRPr="009C06CD" w:rsidP="2B40F747" w14:paraId="6F00A14B" w14:textId="5AD782CF">
      <w:pPr>
        <w:pStyle w:val="FootnoteText"/>
        <w:rPr>
          <w:highlight w:val="yellow"/>
        </w:rPr>
      </w:pPr>
      <w:r w:rsidRPr="009C06CD">
        <w:rPr>
          <w:rStyle w:val="FootnoteReference"/>
        </w:rPr>
        <w:footnoteRef/>
      </w:r>
      <w:r w:rsidRPr="009C06CD" w:rsidR="2B40F747">
        <w:t xml:space="preserve"> </w:t>
      </w:r>
      <w:r w:rsidRPr="2B40F747" w:rsidR="2B40F747">
        <w:t>87 FR 54991</w:t>
      </w:r>
    </w:p>
  </w:footnote>
  <w:footnote w:id="27">
    <w:p w:rsidR="009667D6" w:rsidRPr="00B51110" w:rsidP="2B40F747" w14:paraId="1C4F07A0" w14:textId="77777777">
      <w:pPr>
        <w:pStyle w:val="FootnoteText"/>
      </w:pPr>
      <w:r w:rsidRPr="00B51110">
        <w:rPr>
          <w:rStyle w:val="FootnoteReference"/>
        </w:rPr>
        <w:footnoteRef/>
      </w:r>
      <w:r w:rsidRPr="00B51110" w:rsidR="2B40F747">
        <w:t xml:space="preserve"> EEI Comments at 1.  </w:t>
      </w:r>
    </w:p>
  </w:footnote>
  <w:footnote w:id="28">
    <w:p w:rsidR="009667D6" w:rsidRPr="00B51110" w:rsidP="2B40F747" w14:paraId="1EE4372E" w14:textId="77777777">
      <w:pPr>
        <w:pStyle w:val="FootnoteText"/>
      </w:pPr>
      <w:r w:rsidRPr="00B51110">
        <w:rPr>
          <w:rStyle w:val="FootnoteReference"/>
        </w:rPr>
        <w:footnoteRef/>
      </w:r>
      <w:r w:rsidRPr="00B51110" w:rsidR="2B40F747">
        <w:rPr>
          <w:szCs w:val="26"/>
        </w:rPr>
        <w:t xml:space="preserve"> </w:t>
      </w:r>
      <w:r w:rsidRPr="00CE0C92" w:rsidR="2B40F747">
        <w:t>Id.</w:t>
      </w:r>
      <w:r w:rsidRPr="00B51110" w:rsidR="2B40F747">
        <w:t xml:space="preserve"> at 5. </w:t>
      </w:r>
    </w:p>
  </w:footnote>
  <w:footnote w:id="29">
    <w:p w:rsidR="009667D6" w:rsidRPr="00B51110" w:rsidP="2B40F747" w14:paraId="3425A013" w14:textId="77777777">
      <w:pPr>
        <w:pStyle w:val="FootnoteText"/>
      </w:pPr>
      <w:r w:rsidRPr="00B51110">
        <w:rPr>
          <w:rStyle w:val="FootnoteReference"/>
        </w:rPr>
        <w:footnoteRef/>
      </w:r>
      <w:r w:rsidRPr="00B51110" w:rsidR="2B40F747">
        <w:rPr>
          <w:szCs w:val="26"/>
        </w:rPr>
        <w:t xml:space="preserve"> </w:t>
      </w:r>
      <w:r w:rsidRPr="00CE0C92" w:rsidR="2B40F747">
        <w:t>Id</w:t>
      </w:r>
      <w:r w:rsidRPr="00B51110" w:rsidR="2B40F747">
        <w:rPr>
          <w:szCs w:val="26"/>
        </w:rPr>
        <w:t xml:space="preserve">. </w:t>
      </w:r>
    </w:p>
  </w:footnote>
  <w:footnote w:id="30">
    <w:p w:rsidR="009667D6" w:rsidRPr="00CE0C92" w:rsidP="009667D6" w14:paraId="227AD3DE" w14:textId="77777777">
      <w:pPr>
        <w:pStyle w:val="FootnoteText"/>
        <w:tabs>
          <w:tab w:val="left" w:pos="6702"/>
        </w:tabs>
        <w:rPr>
          <w:rStyle w:val="FootnoteReference"/>
          <w:szCs w:val="26"/>
        </w:rPr>
      </w:pPr>
      <w:r w:rsidRPr="00B51110">
        <w:rPr>
          <w:rStyle w:val="FootnoteReference"/>
          <w:szCs w:val="26"/>
        </w:rPr>
        <w:footnoteRef/>
      </w:r>
      <w:r w:rsidRPr="00B51110">
        <w:rPr>
          <w:szCs w:val="26"/>
        </w:rPr>
        <w:t xml:space="preserve"> NERC Answer at 1. </w:t>
      </w:r>
      <w:r w:rsidRPr="00B51110">
        <w:rPr>
          <w:szCs w:val="26"/>
        </w:rPr>
        <w:tab/>
        <w:t xml:space="preserve">  </w:t>
      </w:r>
    </w:p>
  </w:footnote>
  <w:footnote w:id="31">
    <w:p w:rsidR="009667D6" w:rsidRPr="00B51110" w:rsidP="2B40F747" w14:paraId="5D1EB2C1" w14:textId="77777777">
      <w:pPr>
        <w:pStyle w:val="FootnoteText"/>
        <w:rPr>
          <w:rStyle w:val="FootnoteReference"/>
          <w:b/>
          <w:bCs/>
        </w:rPr>
      </w:pPr>
      <w:r w:rsidRPr="00B51110">
        <w:rPr>
          <w:rStyle w:val="FootnoteReference"/>
        </w:rPr>
        <w:footnoteRef/>
      </w:r>
      <w:r w:rsidRPr="00B51110" w:rsidR="2B40F747">
        <w:rPr>
          <w:rStyle w:val="FootnoteReference"/>
        </w:rPr>
        <w:t xml:space="preserve"> </w:t>
      </w:r>
      <w:r w:rsidRPr="00CE0C92" w:rsidR="2B40F747">
        <w:rPr>
          <w:rStyle w:val="FootnoteReference"/>
        </w:rPr>
        <w:t>Id</w:t>
      </w:r>
      <w:r w:rsidRPr="00B51110" w:rsidR="2B40F747">
        <w:rPr>
          <w:rStyle w:val="FootnoteReference"/>
        </w:rPr>
        <w:t xml:space="preserve">. at 2-3. </w:t>
      </w:r>
    </w:p>
  </w:footnote>
  <w:footnote w:id="32">
    <w:p w:rsidR="009667D6" w:rsidRPr="00B51110" w:rsidP="009667D6" w14:paraId="7DBC7E69" w14:textId="77777777">
      <w:pPr>
        <w:pStyle w:val="FootnoteText"/>
      </w:pPr>
      <w:r w:rsidRPr="00B51110">
        <w:rPr>
          <w:rStyle w:val="FootnoteReference"/>
        </w:rPr>
        <w:footnoteRef/>
      </w:r>
      <w:r w:rsidRPr="00B51110">
        <w:t xml:space="preserve"> </w:t>
      </w:r>
      <w:r w:rsidRPr="00CE0C92">
        <w:rPr>
          <w:rStyle w:val="FootnoteReference"/>
          <w:bCs/>
          <w:szCs w:val="26"/>
        </w:rPr>
        <w:t>Id</w:t>
      </w:r>
      <w:r w:rsidRPr="00B51110">
        <w:rPr>
          <w:rStyle w:val="FootnoteReference"/>
          <w:bCs/>
          <w:szCs w:val="26"/>
        </w:rPr>
        <w:t xml:space="preserve">. at </w:t>
      </w:r>
      <w:r w:rsidRPr="00B51110">
        <w:rPr>
          <w:bCs/>
          <w:szCs w:val="26"/>
        </w:rPr>
        <w:t>3</w:t>
      </w:r>
      <w:r w:rsidRPr="00B51110">
        <w:rPr>
          <w:rStyle w:val="FootnoteReference"/>
          <w:bCs/>
          <w:szCs w:val="26"/>
        </w:rPr>
        <w:t xml:space="preserve">-4. </w:t>
      </w:r>
    </w:p>
  </w:footnote>
  <w:footnote w:id="33">
    <w:p w:rsidR="009667D6" w:rsidRPr="00B51110" w:rsidP="009667D6" w14:paraId="434A7C5A" w14:textId="77777777">
      <w:pPr>
        <w:pStyle w:val="FootnoteText"/>
      </w:pPr>
      <w:r w:rsidRPr="00B51110">
        <w:rPr>
          <w:rStyle w:val="FootnoteReference"/>
        </w:rPr>
        <w:footnoteRef/>
      </w:r>
      <w:r w:rsidRPr="00B51110">
        <w:t xml:space="preserve"> </w:t>
      </w:r>
      <w:r w:rsidRPr="00CE0C92">
        <w:rPr>
          <w:rStyle w:val="FootnoteReference"/>
          <w:bCs/>
          <w:szCs w:val="26"/>
        </w:rPr>
        <w:t>Id</w:t>
      </w:r>
      <w:r w:rsidRPr="00B51110">
        <w:rPr>
          <w:rStyle w:val="FootnoteReference"/>
          <w:bCs/>
          <w:szCs w:val="26"/>
        </w:rPr>
        <w:t xml:space="preserve">. at </w:t>
      </w:r>
      <w:r w:rsidRPr="00B51110">
        <w:rPr>
          <w:bCs/>
          <w:szCs w:val="26"/>
        </w:rPr>
        <w:t xml:space="preserve">4. </w:t>
      </w:r>
    </w:p>
  </w:footnote>
  <w:footnote w:id="34">
    <w:p w:rsidR="009667D6" w:rsidRPr="00B51110" w:rsidP="009667D6" w14:paraId="1B916C6D" w14:textId="77777777">
      <w:pPr>
        <w:pStyle w:val="FootnoteText"/>
      </w:pPr>
      <w:r w:rsidRPr="00B51110">
        <w:rPr>
          <w:rStyle w:val="FootnoteReference"/>
        </w:rPr>
        <w:footnoteRef/>
      </w:r>
      <w:r w:rsidRPr="00B51110">
        <w:t xml:space="preserve"> EEI Answer at 2.</w:t>
      </w:r>
    </w:p>
  </w:footnote>
  <w:footnote w:id="35">
    <w:p w:rsidR="009667D6" w:rsidRPr="00CE0C92" w:rsidP="009667D6" w14:paraId="34F9625F" w14:textId="77777777">
      <w:pPr>
        <w:pStyle w:val="FootnoteText"/>
      </w:pPr>
      <w:r w:rsidRPr="00B51110">
        <w:rPr>
          <w:rStyle w:val="FootnoteReference"/>
        </w:rPr>
        <w:footnoteRef/>
      </w:r>
      <w:r w:rsidRPr="00B51110">
        <w:t xml:space="preserve"> </w:t>
      </w:r>
      <w:r w:rsidRPr="00CE0C92">
        <w:t>Id.</w:t>
      </w:r>
    </w:p>
  </w:footnote>
  <w:footnote w:id="36">
    <w:p w:rsidR="009667D6" w:rsidRPr="00B51110" w:rsidP="2B40F747" w14:paraId="5E3FA902" w14:textId="77777777">
      <w:pPr>
        <w:pStyle w:val="FootnoteText"/>
      </w:pPr>
      <w:r w:rsidRPr="00B51110">
        <w:rPr>
          <w:rStyle w:val="FootnoteReference"/>
        </w:rPr>
        <w:footnoteRef/>
      </w:r>
      <w:r w:rsidRPr="00B51110" w:rsidR="2B40F747">
        <w:rPr>
          <w:szCs w:val="26"/>
        </w:rPr>
        <w:t xml:space="preserve"> </w:t>
      </w:r>
      <w:r w:rsidRPr="00CE0C92" w:rsidR="2B40F747">
        <w:t>Id.</w:t>
      </w:r>
      <w:r w:rsidRPr="00B51110" w:rsidR="2B40F747">
        <w:t xml:space="preserve"> at 2-3. </w:t>
      </w:r>
    </w:p>
  </w:footnote>
  <w:footnote w:id="37">
    <w:p w:rsidR="00457584" w:rsidRPr="00B51110" w:rsidP="009C06CD" w14:paraId="2F83D973" w14:textId="77777777">
      <w:pPr>
        <w:pStyle w:val="FootnoteText"/>
      </w:pPr>
      <w:r w:rsidRPr="00B51110">
        <w:rPr>
          <w:rStyle w:val="FootnoteReference"/>
        </w:rPr>
        <w:footnoteRef/>
      </w:r>
      <w:r w:rsidRPr="00B51110">
        <w:t xml:space="preserve"> Section 1502, Paragraph 2, available at NERCs website.</w:t>
      </w:r>
    </w:p>
  </w:footnote>
  <w:footnote w:id="38">
    <w:p w:rsidR="009667D6" w:rsidP="009667D6" w14:paraId="68FAA747" w14:textId="77777777">
      <w:pPr>
        <w:pStyle w:val="FootnoteText"/>
      </w:pPr>
      <w:r>
        <w:rPr>
          <w:rStyle w:val="FootnoteReference"/>
        </w:rPr>
        <w:footnoteRef/>
      </w:r>
      <w:r>
        <w:t xml:space="preserve"> </w:t>
      </w:r>
      <w:r w:rsidRPr="00DA3ADF">
        <w:t>FERC staff estimates that industry costs for salary plus benefits are similar to Commission costs. The FERC 2021 average salary plus benefits for one FERC full-time equivalent (FTE) is $180,703/year (or $87.00/hour) posted by the Bureau of Labor Statistics</w:t>
      </w:r>
      <w:r w:rsidRPr="00DA3ADF">
        <w:t xml:space="preserve"> for the Utilities sector (available at </w:t>
      </w:r>
      <w:r w:rsidRPr="00154A94">
        <w:t>https://www.bls.gov/oes/current/naics3_221000.htm</w:t>
      </w:r>
      <w:r w:rsidRPr="00DA3ADF">
        <w:t>)</w:t>
      </w:r>
      <w:r>
        <w:t>.</w:t>
      </w:r>
    </w:p>
  </w:footnote>
  <w:footnote w:id="39">
    <w:p w:rsidR="009667D6" w:rsidRPr="00641CC4" w:rsidP="009667D6" w14:paraId="72F05044" w14:textId="77777777">
      <w:pPr>
        <w:pStyle w:val="FootnoteText"/>
        <w:rPr>
          <w:szCs w:val="26"/>
        </w:rPr>
      </w:pPr>
      <w:r w:rsidRPr="00641CC4">
        <w:rPr>
          <w:rStyle w:val="FootnoteReference"/>
          <w:szCs w:val="26"/>
        </w:rPr>
        <w:footnoteRef/>
      </w:r>
      <w:r w:rsidRPr="00641CC4">
        <w:rPr>
          <w:szCs w:val="26"/>
          <w:vertAlign w:val="superscript"/>
        </w:rPr>
        <w:t xml:space="preserve"> </w:t>
      </w:r>
      <w:r w:rsidRPr="00641CC4">
        <w:rPr>
          <w:szCs w:val="26"/>
        </w:rPr>
        <w:t xml:space="preserve">The total number (344) of transmission owners (326) plus transmission operators (18) not also registered as owners, this represents the unique US entities (taken </w:t>
      </w:r>
      <w:r w:rsidRPr="00641CC4">
        <w:rPr>
          <w:szCs w:val="26"/>
        </w:rPr>
        <w:t xml:space="preserve">from data as of May 6, 2022). </w:t>
      </w:r>
    </w:p>
  </w:footnote>
  <w:footnote w:id="40">
    <w:p w:rsidR="00457584" w:rsidRPr="009C06CD" w:rsidP="009C06CD" w14:paraId="4C093893" w14:textId="36DB6FDF">
      <w:pPr>
        <w:pStyle w:val="FootnoteText"/>
      </w:pPr>
      <w:r w:rsidRPr="009C06CD">
        <w:rPr>
          <w:rStyle w:val="FootnoteReference"/>
        </w:rPr>
        <w:footnoteRef/>
      </w:r>
      <w:r w:rsidRPr="009C06CD">
        <w:t xml:space="preserve"> The PRA Administrative Cost is a Federal Cost associated with preparing, issuing, and submitting materials necessary to comply with the Paperwork Reduction Act (PRA) for rulemakings, orders, or any other vehicle used to create, modify, extend, or disconti</w:t>
      </w:r>
      <w:r w:rsidRPr="009C06CD">
        <w:t>nue an information collection.   This average annual cost includes requests for extensions, all associated rulemakings</w:t>
      </w:r>
      <w:r w:rsidRPr="007D7410">
        <w:t>,</w:t>
      </w:r>
      <w:r w:rsidRPr="009C06CD">
        <w:t xml:space="preserve"> and other changes to the collection.</w:t>
      </w:r>
    </w:p>
  </w:footnote>
  <w:footnote w:id="41">
    <w:p w:rsidR="00457584" w:rsidRPr="009C06CD" w:rsidP="00907C79" w14:paraId="1370CE63" w14:textId="44AABFF5">
      <w:pPr>
        <w:pStyle w:val="FootnoteText"/>
      </w:pPr>
      <w:r w:rsidRPr="009C06CD">
        <w:rPr>
          <w:rStyle w:val="FootnoteReference"/>
        </w:rPr>
        <w:footnoteRef/>
      </w:r>
      <w:r w:rsidRPr="009C06CD">
        <w:t xml:space="preserve"> The hourly burden for each CIP-014-</w:t>
      </w:r>
      <w:r w:rsidR="009667D6">
        <w:t>3</w:t>
      </w:r>
      <w:r w:rsidRPr="009C06CD">
        <w:t xml:space="preserve"> requirement was established/approved in CIP-014-</w:t>
      </w:r>
      <w:r w:rsidR="00A47564">
        <w:t>3</w:t>
      </w:r>
      <w:r w:rsidRPr="009C06C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58B" w14:paraId="2800C193" w14:textId="4CEC6FD6">
    <w:pPr>
      <w:pStyle w:val="Header"/>
      <w:rPr>
        <w:rFonts w:ascii="Times New Roman" w:hAnsi="Times New Roman" w:cs="Times New Roman"/>
        <w:sz w:val="24"/>
        <w:szCs w:val="24"/>
      </w:rPr>
    </w:pPr>
    <w:r>
      <w:rPr>
        <w:rFonts w:ascii="Times New Roman" w:hAnsi="Times New Roman" w:cs="Times New Roman"/>
        <w:sz w:val="24"/>
        <w:szCs w:val="24"/>
      </w:rPr>
      <w:t>FERC-725U (OMB Control No.: 1902-0274)</w:t>
    </w:r>
  </w:p>
  <w:p w:rsidR="009667D6" w:rsidRPr="00CB1A09" w:rsidP="009667D6" w14:paraId="258B5032" w14:textId="7687F56C">
    <w:pPr>
      <w:pStyle w:val="Header"/>
      <w:tabs>
        <w:tab w:val="left" w:pos="2284"/>
        <w:tab w:val="clear" w:pos="4680"/>
        <w:tab w:val="clear" w:pos="9360"/>
      </w:tabs>
      <w:rPr>
        <w:rFonts w:ascii="Times New Roman" w:hAnsi="Times New Roman" w:cs="Times New Roman"/>
        <w:sz w:val="24"/>
        <w:szCs w:val="24"/>
      </w:rPr>
    </w:pPr>
    <w:r w:rsidRPr="2B40F747">
      <w:rPr>
        <w:rFonts w:ascii="Times New Roman" w:hAnsi="Times New Roman" w:cs="Times New Roman"/>
        <w:sz w:val="24"/>
        <w:szCs w:val="24"/>
      </w:rPr>
      <w:t>RD22-3-000 Issued 6/16//2022, Published 9/8/2022</w:t>
    </w:r>
    <w:r w:rsidR="0BE57BD5">
      <w:tab/>
    </w:r>
    <w:r w:rsidRPr="2B40F747">
      <w:rPr>
        <w:rFonts w:ascii="Times New Roman" w:hAnsi="Times New Roman" w:cs="Times New Roman"/>
        <w:sz w:val="24"/>
        <w:szCs w:val="24"/>
      </w:rPr>
      <w:t>(87FR54991)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A33A6"/>
    <w:multiLevelType w:val="hybridMultilevel"/>
    <w:tmpl w:val="323CA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F1F44A9"/>
    <w:multiLevelType w:val="hybridMultilevel"/>
    <w:tmpl w:val="98D0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8F03FB"/>
    <w:multiLevelType w:val="hybridMultilevel"/>
    <w:tmpl w:val="5508A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565025E"/>
    <w:multiLevelType w:val="hybridMultilevel"/>
    <w:tmpl w:val="FFFC3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D32B40"/>
    <w:multiLevelType w:val="hybridMultilevel"/>
    <w:tmpl w:val="E44E1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461C73"/>
    <w:multiLevelType w:val="hybridMultilevel"/>
    <w:tmpl w:val="131C7E7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3397A72"/>
    <w:multiLevelType w:val="hybridMultilevel"/>
    <w:tmpl w:val="63EA9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F20194A"/>
    <w:multiLevelType w:val="hybridMultilevel"/>
    <w:tmpl w:val="9E92B7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33440187"/>
    <w:multiLevelType w:val="hybridMultilevel"/>
    <w:tmpl w:val="675A58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41C6658"/>
    <w:multiLevelType w:val="hybridMultilevel"/>
    <w:tmpl w:val="33F0E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173D36"/>
    <w:multiLevelType w:val="hybridMultilevel"/>
    <w:tmpl w:val="07A48F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87C35C9"/>
    <w:multiLevelType w:val="hybridMultilevel"/>
    <w:tmpl w:val="29A27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F842BA"/>
    <w:multiLevelType w:val="hybridMultilevel"/>
    <w:tmpl w:val="31AE2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1410E28"/>
    <w:multiLevelType w:val="hybridMultilevel"/>
    <w:tmpl w:val="9692C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3C6417"/>
    <w:multiLevelType w:val="hybridMultilevel"/>
    <w:tmpl w:val="B8B21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601A94"/>
    <w:multiLevelType w:val="hybridMultilevel"/>
    <w:tmpl w:val="9E42C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0E2BFA"/>
    <w:multiLevelType w:val="hybridMultilevel"/>
    <w:tmpl w:val="BF12B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075719"/>
    <w:multiLevelType w:val="hybridMultilevel"/>
    <w:tmpl w:val="5CE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E04CE2"/>
    <w:multiLevelType w:val="hybridMultilevel"/>
    <w:tmpl w:val="375C230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0B2373"/>
    <w:multiLevelType w:val="hybridMultilevel"/>
    <w:tmpl w:val="3A703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E86BF9"/>
    <w:multiLevelType w:val="hybridMultilevel"/>
    <w:tmpl w:val="F556AF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4397540"/>
    <w:multiLevelType w:val="hybridMultilevel"/>
    <w:tmpl w:val="B7C81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EE1173"/>
    <w:multiLevelType w:val="hybridMultilevel"/>
    <w:tmpl w:val="38C2D4EC"/>
    <w:lvl w:ilvl="0">
      <w:start w:val="1"/>
      <w:numFmt w:val="bullet"/>
      <w:lvlText w:val=""/>
      <w:lvlJc w:val="left"/>
      <w:pPr>
        <w:tabs>
          <w:tab w:val="num" w:pos="720"/>
        </w:tabs>
        <w:ind w:left="0" w:firstLine="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4FC2BDD"/>
    <w:multiLevelType w:val="hybridMultilevel"/>
    <w:tmpl w:val="08D4EA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92B2BE8"/>
    <w:multiLevelType w:val="hybridMultilevel"/>
    <w:tmpl w:val="21D2CD3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7D3B09D3"/>
    <w:multiLevelType w:val="hybridMultilevel"/>
    <w:tmpl w:val="FFBEDF4C"/>
    <w:lvl w:ilvl="0">
      <w:start w:val="0"/>
      <w:numFmt w:val="none"/>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rPr>
        <w:rFonts w:hint="default"/>
        <w:snapToGrid/>
        <w14:glow w14:rad="0">
          <w14:srgbClr w14:val="000000"/>
        </w14:glow>
        <w14:scene3d>
          <w14:camera w14:prst="orthographicFront"/>
          <w14:lightRig w14:rig="threePt" w14:dir="t">
            <w14:rot w14:lat="0" w14:lon="0" w14:rev="0"/>
          </w14:lightRig>
        </w14:scene3d>
      </w:rPr>
    </w:lvl>
    <w:lvl w:ilvl="8">
      <w:start w:val="0"/>
      <w:numFmt w:val="decimal"/>
      <w:lvlJc w:val="left"/>
    </w:lvl>
  </w:abstractNum>
  <w:abstractNum w:abstractNumId="30">
    <w:nsid w:val="7E183919"/>
    <w:multiLevelType w:val="hybridMultilevel"/>
    <w:tmpl w:val="2F6A6EA4"/>
    <w:lvl w:ilvl="0">
      <w:start w:val="0"/>
      <w:numFmt w:val="decimal"/>
      <w:lvlJc w:val="left"/>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31">
    <w:nsid w:val="7E4E4DD3"/>
    <w:multiLevelType w:val="hybridMultilevel"/>
    <w:tmpl w:val="7A5A3B30"/>
    <w:lvl w:ilvl="0">
      <w:start w:val="0"/>
      <w:numFmt w:val="decimal"/>
      <w:pStyle w:val="FERCparanumb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7"/>
  </w:num>
  <w:num w:numId="2">
    <w:abstractNumId w:val="8"/>
  </w:num>
  <w:num w:numId="3">
    <w:abstractNumId w:val="19"/>
  </w:num>
  <w:num w:numId="4">
    <w:abstractNumId w:val="22"/>
  </w:num>
  <w:num w:numId="5">
    <w:abstractNumId w:val="3"/>
  </w:num>
  <w:num w:numId="6">
    <w:abstractNumId w:val="21"/>
  </w:num>
  <w:num w:numId="7">
    <w:abstractNumId w:val="15"/>
  </w:num>
  <w:num w:numId="8">
    <w:abstractNumId w:val="14"/>
  </w:num>
  <w:num w:numId="9">
    <w:abstractNumId w:val="31"/>
  </w:num>
  <w:num w:numId="10">
    <w:abstractNumId w:val="27"/>
  </w:num>
  <w:num w:numId="11">
    <w:abstractNumId w:val="13"/>
  </w:num>
  <w:num w:numId="12">
    <w:abstractNumId w:val="7"/>
  </w:num>
  <w:num w:numId="13">
    <w:abstractNumId w:val="9"/>
  </w:num>
  <w:num w:numId="14">
    <w:abstractNumId w:val="11"/>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0"/>
  </w:num>
  <w:num w:numId="19">
    <w:abstractNumId w:val="4"/>
  </w:num>
  <w:num w:numId="20">
    <w:abstractNumId w:val="10"/>
  </w:num>
  <w:num w:numId="21">
    <w:abstractNumId w:val="1"/>
  </w:num>
  <w:num w:numId="22">
    <w:abstractNumId w:val="30"/>
  </w:num>
  <w:num w:numId="23">
    <w:abstractNumId w:val="24"/>
  </w:num>
  <w:num w:numId="24">
    <w:abstractNumId w:val="26"/>
  </w:num>
  <w:num w:numId="25">
    <w:abstractNumId w:val="2"/>
  </w:num>
  <w:num w:numId="26">
    <w:abstractNumId w:val="0"/>
  </w:num>
  <w:num w:numId="27">
    <w:abstractNumId w:val="28"/>
  </w:num>
  <w:num w:numId="28">
    <w:abstractNumId w:val="6"/>
  </w:num>
  <w:num w:numId="29">
    <w:abstractNumId w:val="16"/>
  </w:num>
  <w:num w:numId="30">
    <w:abstractNumId w:val="23"/>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79E2"/>
    <w:rsid w:val="00011B32"/>
    <w:rsid w:val="00013D2B"/>
    <w:rsid w:val="000144BB"/>
    <w:rsid w:val="00021DFC"/>
    <w:rsid w:val="0002242D"/>
    <w:rsid w:val="0002379E"/>
    <w:rsid w:val="00024075"/>
    <w:rsid w:val="00032BCA"/>
    <w:rsid w:val="00034CC1"/>
    <w:rsid w:val="00035845"/>
    <w:rsid w:val="0003683F"/>
    <w:rsid w:val="00045E8E"/>
    <w:rsid w:val="000465DF"/>
    <w:rsid w:val="00052188"/>
    <w:rsid w:val="00054E3B"/>
    <w:rsid w:val="00055EC3"/>
    <w:rsid w:val="00061D77"/>
    <w:rsid w:val="00067DBD"/>
    <w:rsid w:val="000734FB"/>
    <w:rsid w:val="00073B4C"/>
    <w:rsid w:val="00074DC8"/>
    <w:rsid w:val="00083529"/>
    <w:rsid w:val="00085FB6"/>
    <w:rsid w:val="00090444"/>
    <w:rsid w:val="0009058B"/>
    <w:rsid w:val="00093B4A"/>
    <w:rsid w:val="000974F6"/>
    <w:rsid w:val="000A3FEE"/>
    <w:rsid w:val="000B01FD"/>
    <w:rsid w:val="000B0C37"/>
    <w:rsid w:val="000B509C"/>
    <w:rsid w:val="000B64B9"/>
    <w:rsid w:val="000B6FE0"/>
    <w:rsid w:val="000C163E"/>
    <w:rsid w:val="000C3658"/>
    <w:rsid w:val="000C7505"/>
    <w:rsid w:val="000D3255"/>
    <w:rsid w:val="000D6D98"/>
    <w:rsid w:val="000D7DD7"/>
    <w:rsid w:val="000E3E16"/>
    <w:rsid w:val="000E49EF"/>
    <w:rsid w:val="000E7D83"/>
    <w:rsid w:val="000F195E"/>
    <w:rsid w:val="000F287D"/>
    <w:rsid w:val="000F2C1E"/>
    <w:rsid w:val="000F2E73"/>
    <w:rsid w:val="000F48C9"/>
    <w:rsid w:val="00102268"/>
    <w:rsid w:val="00106117"/>
    <w:rsid w:val="00106E70"/>
    <w:rsid w:val="001078B2"/>
    <w:rsid w:val="00111FB8"/>
    <w:rsid w:val="001179B8"/>
    <w:rsid w:val="001205A9"/>
    <w:rsid w:val="00120AA4"/>
    <w:rsid w:val="001214F7"/>
    <w:rsid w:val="001359FA"/>
    <w:rsid w:val="00137FA4"/>
    <w:rsid w:val="00140877"/>
    <w:rsid w:val="00143103"/>
    <w:rsid w:val="001440FB"/>
    <w:rsid w:val="00152AAB"/>
    <w:rsid w:val="00154352"/>
    <w:rsid w:val="00154A94"/>
    <w:rsid w:val="00154BF9"/>
    <w:rsid w:val="00155655"/>
    <w:rsid w:val="00157703"/>
    <w:rsid w:val="00161798"/>
    <w:rsid w:val="00166C01"/>
    <w:rsid w:val="00171755"/>
    <w:rsid w:val="0017272F"/>
    <w:rsid w:val="00173EE7"/>
    <w:rsid w:val="00174598"/>
    <w:rsid w:val="0018154C"/>
    <w:rsid w:val="00181727"/>
    <w:rsid w:val="00183F28"/>
    <w:rsid w:val="00185730"/>
    <w:rsid w:val="0019150F"/>
    <w:rsid w:val="00197741"/>
    <w:rsid w:val="001A2BDD"/>
    <w:rsid w:val="001A6AD9"/>
    <w:rsid w:val="001C6553"/>
    <w:rsid w:val="001C7724"/>
    <w:rsid w:val="001D0E9F"/>
    <w:rsid w:val="001D2B84"/>
    <w:rsid w:val="001D34AB"/>
    <w:rsid w:val="001D5C01"/>
    <w:rsid w:val="001D7473"/>
    <w:rsid w:val="001E06E8"/>
    <w:rsid w:val="001E3D20"/>
    <w:rsid w:val="001E6342"/>
    <w:rsid w:val="001F012B"/>
    <w:rsid w:val="002017E6"/>
    <w:rsid w:val="00216CE8"/>
    <w:rsid w:val="00224EA8"/>
    <w:rsid w:val="00225876"/>
    <w:rsid w:val="0023529D"/>
    <w:rsid w:val="0023645D"/>
    <w:rsid w:val="00242C12"/>
    <w:rsid w:val="00247D5A"/>
    <w:rsid w:val="002504A9"/>
    <w:rsid w:val="00252B51"/>
    <w:rsid w:val="0025527B"/>
    <w:rsid w:val="00265562"/>
    <w:rsid w:val="0026674D"/>
    <w:rsid w:val="00266C02"/>
    <w:rsid w:val="00271F25"/>
    <w:rsid w:val="00272C08"/>
    <w:rsid w:val="00283AEE"/>
    <w:rsid w:val="00284FF9"/>
    <w:rsid w:val="00291382"/>
    <w:rsid w:val="0029139D"/>
    <w:rsid w:val="00293544"/>
    <w:rsid w:val="00294751"/>
    <w:rsid w:val="002A4094"/>
    <w:rsid w:val="002A4DB1"/>
    <w:rsid w:val="002B13E2"/>
    <w:rsid w:val="002B39A5"/>
    <w:rsid w:val="002B608B"/>
    <w:rsid w:val="002C400E"/>
    <w:rsid w:val="002C4682"/>
    <w:rsid w:val="002C4D0A"/>
    <w:rsid w:val="002C555F"/>
    <w:rsid w:val="002D0BE1"/>
    <w:rsid w:val="002D3DE4"/>
    <w:rsid w:val="002D47D9"/>
    <w:rsid w:val="002D6013"/>
    <w:rsid w:val="002D7061"/>
    <w:rsid w:val="002E0267"/>
    <w:rsid w:val="002F138F"/>
    <w:rsid w:val="002F23E7"/>
    <w:rsid w:val="002F704D"/>
    <w:rsid w:val="00300BAD"/>
    <w:rsid w:val="00306A6F"/>
    <w:rsid w:val="003072E2"/>
    <w:rsid w:val="0031325C"/>
    <w:rsid w:val="00327DFF"/>
    <w:rsid w:val="00331598"/>
    <w:rsid w:val="003374C1"/>
    <w:rsid w:val="003431F5"/>
    <w:rsid w:val="003538E4"/>
    <w:rsid w:val="003559FE"/>
    <w:rsid w:val="003573A1"/>
    <w:rsid w:val="00361B65"/>
    <w:rsid w:val="00363551"/>
    <w:rsid w:val="00366CB8"/>
    <w:rsid w:val="0037035B"/>
    <w:rsid w:val="003809DA"/>
    <w:rsid w:val="0038492E"/>
    <w:rsid w:val="0038546F"/>
    <w:rsid w:val="0038778E"/>
    <w:rsid w:val="003938B5"/>
    <w:rsid w:val="00393D67"/>
    <w:rsid w:val="003A0FC2"/>
    <w:rsid w:val="003A6877"/>
    <w:rsid w:val="003A6B54"/>
    <w:rsid w:val="003A6DBE"/>
    <w:rsid w:val="003B24BA"/>
    <w:rsid w:val="003B5D69"/>
    <w:rsid w:val="003C031A"/>
    <w:rsid w:val="003C057D"/>
    <w:rsid w:val="003C0C1E"/>
    <w:rsid w:val="003D7803"/>
    <w:rsid w:val="003E1184"/>
    <w:rsid w:val="003E6542"/>
    <w:rsid w:val="003F6C9D"/>
    <w:rsid w:val="004011EF"/>
    <w:rsid w:val="0041251C"/>
    <w:rsid w:val="004149F3"/>
    <w:rsid w:val="00414F32"/>
    <w:rsid w:val="00415D76"/>
    <w:rsid w:val="004237AB"/>
    <w:rsid w:val="00426496"/>
    <w:rsid w:val="00427D79"/>
    <w:rsid w:val="00432A11"/>
    <w:rsid w:val="00432A89"/>
    <w:rsid w:val="00437F37"/>
    <w:rsid w:val="00447155"/>
    <w:rsid w:val="00457584"/>
    <w:rsid w:val="00460A8D"/>
    <w:rsid w:val="004611BD"/>
    <w:rsid w:val="00466BC1"/>
    <w:rsid w:val="00467326"/>
    <w:rsid w:val="0047304A"/>
    <w:rsid w:val="0047331E"/>
    <w:rsid w:val="00475B1A"/>
    <w:rsid w:val="00476526"/>
    <w:rsid w:val="004817EC"/>
    <w:rsid w:val="00484838"/>
    <w:rsid w:val="004866C0"/>
    <w:rsid w:val="00486BC0"/>
    <w:rsid w:val="00487D59"/>
    <w:rsid w:val="0049032B"/>
    <w:rsid w:val="00491207"/>
    <w:rsid w:val="00491966"/>
    <w:rsid w:val="004924F7"/>
    <w:rsid w:val="004A7DE8"/>
    <w:rsid w:val="004B1603"/>
    <w:rsid w:val="004B2BD2"/>
    <w:rsid w:val="004C173B"/>
    <w:rsid w:val="004C2C14"/>
    <w:rsid w:val="004C4C89"/>
    <w:rsid w:val="004C7EEA"/>
    <w:rsid w:val="004D3526"/>
    <w:rsid w:val="004D452D"/>
    <w:rsid w:val="004E1E57"/>
    <w:rsid w:val="004E3B1B"/>
    <w:rsid w:val="004E5421"/>
    <w:rsid w:val="004F2F9A"/>
    <w:rsid w:val="004F3645"/>
    <w:rsid w:val="004F3A29"/>
    <w:rsid w:val="004F6977"/>
    <w:rsid w:val="00506F52"/>
    <w:rsid w:val="00511449"/>
    <w:rsid w:val="0051258E"/>
    <w:rsid w:val="00513C9D"/>
    <w:rsid w:val="005207E9"/>
    <w:rsid w:val="00522F69"/>
    <w:rsid w:val="00524FE0"/>
    <w:rsid w:val="005269E0"/>
    <w:rsid w:val="00527A60"/>
    <w:rsid w:val="00530D18"/>
    <w:rsid w:val="0053150C"/>
    <w:rsid w:val="0053235A"/>
    <w:rsid w:val="0053287C"/>
    <w:rsid w:val="00535BF5"/>
    <w:rsid w:val="005406D1"/>
    <w:rsid w:val="00544103"/>
    <w:rsid w:val="00557B7A"/>
    <w:rsid w:val="00561399"/>
    <w:rsid w:val="00562F1B"/>
    <w:rsid w:val="005656AF"/>
    <w:rsid w:val="00571C5E"/>
    <w:rsid w:val="00576390"/>
    <w:rsid w:val="00576C6E"/>
    <w:rsid w:val="0057700F"/>
    <w:rsid w:val="00580054"/>
    <w:rsid w:val="00584DD5"/>
    <w:rsid w:val="00590498"/>
    <w:rsid w:val="00591B17"/>
    <w:rsid w:val="005A219A"/>
    <w:rsid w:val="005A2792"/>
    <w:rsid w:val="005A2C6F"/>
    <w:rsid w:val="005B1163"/>
    <w:rsid w:val="005B6C12"/>
    <w:rsid w:val="005B77CE"/>
    <w:rsid w:val="005B7E9F"/>
    <w:rsid w:val="005C6A8D"/>
    <w:rsid w:val="005C6BDE"/>
    <w:rsid w:val="005F1C3C"/>
    <w:rsid w:val="00602AD1"/>
    <w:rsid w:val="006039B3"/>
    <w:rsid w:val="00605E3A"/>
    <w:rsid w:val="00607E32"/>
    <w:rsid w:val="00615BC7"/>
    <w:rsid w:val="00616084"/>
    <w:rsid w:val="006164BB"/>
    <w:rsid w:val="006166FA"/>
    <w:rsid w:val="00616930"/>
    <w:rsid w:val="00620BA9"/>
    <w:rsid w:val="006248C4"/>
    <w:rsid w:val="00632042"/>
    <w:rsid w:val="0063302E"/>
    <w:rsid w:val="006400AE"/>
    <w:rsid w:val="006417B7"/>
    <w:rsid w:val="00641CC4"/>
    <w:rsid w:val="006434EE"/>
    <w:rsid w:val="00652B0E"/>
    <w:rsid w:val="00660945"/>
    <w:rsid w:val="00661C1B"/>
    <w:rsid w:val="00664929"/>
    <w:rsid w:val="00664BC0"/>
    <w:rsid w:val="0067247B"/>
    <w:rsid w:val="00677629"/>
    <w:rsid w:val="00684C69"/>
    <w:rsid w:val="00685D44"/>
    <w:rsid w:val="00687DFB"/>
    <w:rsid w:val="00690136"/>
    <w:rsid w:val="00693A95"/>
    <w:rsid w:val="006969DA"/>
    <w:rsid w:val="00696A14"/>
    <w:rsid w:val="006A0DFC"/>
    <w:rsid w:val="006B15E9"/>
    <w:rsid w:val="006C106C"/>
    <w:rsid w:val="006C454E"/>
    <w:rsid w:val="006C5490"/>
    <w:rsid w:val="006C7A01"/>
    <w:rsid w:val="006C7A37"/>
    <w:rsid w:val="006D1FD1"/>
    <w:rsid w:val="006D36BD"/>
    <w:rsid w:val="006E64E3"/>
    <w:rsid w:val="006F0998"/>
    <w:rsid w:val="00702D51"/>
    <w:rsid w:val="007034A7"/>
    <w:rsid w:val="00713351"/>
    <w:rsid w:val="007136AD"/>
    <w:rsid w:val="00716CA6"/>
    <w:rsid w:val="00716D81"/>
    <w:rsid w:val="00724F61"/>
    <w:rsid w:val="0072606E"/>
    <w:rsid w:val="00731E48"/>
    <w:rsid w:val="007403B9"/>
    <w:rsid w:val="007429E5"/>
    <w:rsid w:val="0075784D"/>
    <w:rsid w:val="0076593E"/>
    <w:rsid w:val="007668DB"/>
    <w:rsid w:val="0077238F"/>
    <w:rsid w:val="00773AEB"/>
    <w:rsid w:val="007744DD"/>
    <w:rsid w:val="007801DB"/>
    <w:rsid w:val="007850E5"/>
    <w:rsid w:val="00785CD2"/>
    <w:rsid w:val="00787670"/>
    <w:rsid w:val="00787716"/>
    <w:rsid w:val="007929E3"/>
    <w:rsid w:val="007A2F92"/>
    <w:rsid w:val="007B6452"/>
    <w:rsid w:val="007B701A"/>
    <w:rsid w:val="007B7C0D"/>
    <w:rsid w:val="007C150D"/>
    <w:rsid w:val="007C1B97"/>
    <w:rsid w:val="007C3586"/>
    <w:rsid w:val="007C36D9"/>
    <w:rsid w:val="007C3C12"/>
    <w:rsid w:val="007C3C38"/>
    <w:rsid w:val="007C73AA"/>
    <w:rsid w:val="007D7410"/>
    <w:rsid w:val="007E0A6F"/>
    <w:rsid w:val="007E1621"/>
    <w:rsid w:val="007E7C0F"/>
    <w:rsid w:val="007F1015"/>
    <w:rsid w:val="007F1DE4"/>
    <w:rsid w:val="007F1F0F"/>
    <w:rsid w:val="007F261A"/>
    <w:rsid w:val="007F57C9"/>
    <w:rsid w:val="008031C5"/>
    <w:rsid w:val="008038EF"/>
    <w:rsid w:val="00806297"/>
    <w:rsid w:val="00816F15"/>
    <w:rsid w:val="0082369C"/>
    <w:rsid w:val="00830DFD"/>
    <w:rsid w:val="00843A73"/>
    <w:rsid w:val="008443F3"/>
    <w:rsid w:val="0085360F"/>
    <w:rsid w:val="0085568F"/>
    <w:rsid w:val="00855942"/>
    <w:rsid w:val="008619E1"/>
    <w:rsid w:val="00867AF1"/>
    <w:rsid w:val="00870E49"/>
    <w:rsid w:val="0087357E"/>
    <w:rsid w:val="008737C7"/>
    <w:rsid w:val="008742DF"/>
    <w:rsid w:val="00876F75"/>
    <w:rsid w:val="008770B3"/>
    <w:rsid w:val="00881F6C"/>
    <w:rsid w:val="00884874"/>
    <w:rsid w:val="008936AE"/>
    <w:rsid w:val="00894644"/>
    <w:rsid w:val="008A18E9"/>
    <w:rsid w:val="008A21A4"/>
    <w:rsid w:val="008B1F00"/>
    <w:rsid w:val="008B41C2"/>
    <w:rsid w:val="008B59AF"/>
    <w:rsid w:val="008B6507"/>
    <w:rsid w:val="008B703B"/>
    <w:rsid w:val="008C0B89"/>
    <w:rsid w:val="008C17EA"/>
    <w:rsid w:val="008C288D"/>
    <w:rsid w:val="008C2B52"/>
    <w:rsid w:val="008C2D58"/>
    <w:rsid w:val="008C2FF2"/>
    <w:rsid w:val="008C5283"/>
    <w:rsid w:val="008C5651"/>
    <w:rsid w:val="008D04D3"/>
    <w:rsid w:val="008D2B5E"/>
    <w:rsid w:val="008D7AFF"/>
    <w:rsid w:val="008E70CD"/>
    <w:rsid w:val="008F48D8"/>
    <w:rsid w:val="008F4A0D"/>
    <w:rsid w:val="00900526"/>
    <w:rsid w:val="0090438A"/>
    <w:rsid w:val="00905C9A"/>
    <w:rsid w:val="009072DC"/>
    <w:rsid w:val="00907C79"/>
    <w:rsid w:val="00910FFF"/>
    <w:rsid w:val="00913A8B"/>
    <w:rsid w:val="0092189F"/>
    <w:rsid w:val="00922B34"/>
    <w:rsid w:val="0092617B"/>
    <w:rsid w:val="00927EAE"/>
    <w:rsid w:val="0093427F"/>
    <w:rsid w:val="00934B37"/>
    <w:rsid w:val="009513E9"/>
    <w:rsid w:val="009519B0"/>
    <w:rsid w:val="00955E4E"/>
    <w:rsid w:val="00964558"/>
    <w:rsid w:val="009647B1"/>
    <w:rsid w:val="00964874"/>
    <w:rsid w:val="009667D6"/>
    <w:rsid w:val="00970FE4"/>
    <w:rsid w:val="00972155"/>
    <w:rsid w:val="00976FC9"/>
    <w:rsid w:val="00980234"/>
    <w:rsid w:val="00985B16"/>
    <w:rsid w:val="00996108"/>
    <w:rsid w:val="009A0A26"/>
    <w:rsid w:val="009A2302"/>
    <w:rsid w:val="009A6214"/>
    <w:rsid w:val="009A6F94"/>
    <w:rsid w:val="009B0EBE"/>
    <w:rsid w:val="009B49D1"/>
    <w:rsid w:val="009B4D01"/>
    <w:rsid w:val="009B69D6"/>
    <w:rsid w:val="009B70A7"/>
    <w:rsid w:val="009C06CD"/>
    <w:rsid w:val="009C0BA0"/>
    <w:rsid w:val="009C12DA"/>
    <w:rsid w:val="009D4FE9"/>
    <w:rsid w:val="009E1190"/>
    <w:rsid w:val="009E4570"/>
    <w:rsid w:val="009F18A7"/>
    <w:rsid w:val="009F2946"/>
    <w:rsid w:val="009F4C8D"/>
    <w:rsid w:val="00A01278"/>
    <w:rsid w:val="00A0495C"/>
    <w:rsid w:val="00A10687"/>
    <w:rsid w:val="00A12B0C"/>
    <w:rsid w:val="00A14830"/>
    <w:rsid w:val="00A26F9A"/>
    <w:rsid w:val="00A276F5"/>
    <w:rsid w:val="00A3356C"/>
    <w:rsid w:val="00A44AE9"/>
    <w:rsid w:val="00A47294"/>
    <w:rsid w:val="00A47564"/>
    <w:rsid w:val="00A52089"/>
    <w:rsid w:val="00A54BDE"/>
    <w:rsid w:val="00A56888"/>
    <w:rsid w:val="00A57031"/>
    <w:rsid w:val="00A57A2A"/>
    <w:rsid w:val="00A628FB"/>
    <w:rsid w:val="00A62E67"/>
    <w:rsid w:val="00A65F32"/>
    <w:rsid w:val="00A7191D"/>
    <w:rsid w:val="00A72E7B"/>
    <w:rsid w:val="00A72FBE"/>
    <w:rsid w:val="00A73D03"/>
    <w:rsid w:val="00A831B0"/>
    <w:rsid w:val="00A91559"/>
    <w:rsid w:val="00A94D22"/>
    <w:rsid w:val="00A94FFC"/>
    <w:rsid w:val="00A96B65"/>
    <w:rsid w:val="00A9704D"/>
    <w:rsid w:val="00AA5679"/>
    <w:rsid w:val="00AA68CD"/>
    <w:rsid w:val="00AB5178"/>
    <w:rsid w:val="00AC17C5"/>
    <w:rsid w:val="00AC3997"/>
    <w:rsid w:val="00AD3DE5"/>
    <w:rsid w:val="00AE11E4"/>
    <w:rsid w:val="00AE13B7"/>
    <w:rsid w:val="00AE5CB7"/>
    <w:rsid w:val="00AE78F5"/>
    <w:rsid w:val="00AF1760"/>
    <w:rsid w:val="00AF496D"/>
    <w:rsid w:val="00AF6C31"/>
    <w:rsid w:val="00B001D0"/>
    <w:rsid w:val="00B006D5"/>
    <w:rsid w:val="00B03585"/>
    <w:rsid w:val="00B0473A"/>
    <w:rsid w:val="00B05594"/>
    <w:rsid w:val="00B06C05"/>
    <w:rsid w:val="00B07CA2"/>
    <w:rsid w:val="00B111C3"/>
    <w:rsid w:val="00B1185B"/>
    <w:rsid w:val="00B13770"/>
    <w:rsid w:val="00B14B31"/>
    <w:rsid w:val="00B25C10"/>
    <w:rsid w:val="00B32B3A"/>
    <w:rsid w:val="00B4148B"/>
    <w:rsid w:val="00B453B8"/>
    <w:rsid w:val="00B45BDA"/>
    <w:rsid w:val="00B50450"/>
    <w:rsid w:val="00B51110"/>
    <w:rsid w:val="00B634FA"/>
    <w:rsid w:val="00B759F7"/>
    <w:rsid w:val="00B81C6C"/>
    <w:rsid w:val="00B82369"/>
    <w:rsid w:val="00B84C73"/>
    <w:rsid w:val="00B96C02"/>
    <w:rsid w:val="00B97CFB"/>
    <w:rsid w:val="00BA1C7D"/>
    <w:rsid w:val="00BA2E8D"/>
    <w:rsid w:val="00BA3D2F"/>
    <w:rsid w:val="00BA70F6"/>
    <w:rsid w:val="00BA7C56"/>
    <w:rsid w:val="00BB7B75"/>
    <w:rsid w:val="00BC2D53"/>
    <w:rsid w:val="00BC5914"/>
    <w:rsid w:val="00BD0472"/>
    <w:rsid w:val="00BD3FCB"/>
    <w:rsid w:val="00BD49E7"/>
    <w:rsid w:val="00BD4A05"/>
    <w:rsid w:val="00BD68B2"/>
    <w:rsid w:val="00BD73E2"/>
    <w:rsid w:val="00BD7E0B"/>
    <w:rsid w:val="00BE4435"/>
    <w:rsid w:val="00BE4713"/>
    <w:rsid w:val="00BE5048"/>
    <w:rsid w:val="00BE6851"/>
    <w:rsid w:val="00BF12D7"/>
    <w:rsid w:val="00BF30E3"/>
    <w:rsid w:val="00C01698"/>
    <w:rsid w:val="00C106E2"/>
    <w:rsid w:val="00C13A3C"/>
    <w:rsid w:val="00C17867"/>
    <w:rsid w:val="00C20553"/>
    <w:rsid w:val="00C303E3"/>
    <w:rsid w:val="00C32B18"/>
    <w:rsid w:val="00C32F55"/>
    <w:rsid w:val="00C33069"/>
    <w:rsid w:val="00C3607B"/>
    <w:rsid w:val="00C36924"/>
    <w:rsid w:val="00C41A5F"/>
    <w:rsid w:val="00C44F40"/>
    <w:rsid w:val="00C46144"/>
    <w:rsid w:val="00C510DD"/>
    <w:rsid w:val="00C52420"/>
    <w:rsid w:val="00C56249"/>
    <w:rsid w:val="00C579D8"/>
    <w:rsid w:val="00C626FC"/>
    <w:rsid w:val="00C62B86"/>
    <w:rsid w:val="00C67E2B"/>
    <w:rsid w:val="00C70006"/>
    <w:rsid w:val="00C70921"/>
    <w:rsid w:val="00C8246F"/>
    <w:rsid w:val="00C8575E"/>
    <w:rsid w:val="00C85AF9"/>
    <w:rsid w:val="00C909D1"/>
    <w:rsid w:val="00C921C6"/>
    <w:rsid w:val="00C96271"/>
    <w:rsid w:val="00CA1F17"/>
    <w:rsid w:val="00CA2672"/>
    <w:rsid w:val="00CA2DC1"/>
    <w:rsid w:val="00CA495F"/>
    <w:rsid w:val="00CA59C3"/>
    <w:rsid w:val="00CA7389"/>
    <w:rsid w:val="00CB0F77"/>
    <w:rsid w:val="00CB1A09"/>
    <w:rsid w:val="00CB7F1C"/>
    <w:rsid w:val="00CC2926"/>
    <w:rsid w:val="00CD3816"/>
    <w:rsid w:val="00CD58DF"/>
    <w:rsid w:val="00CD7608"/>
    <w:rsid w:val="00CE0ACF"/>
    <w:rsid w:val="00CE0C92"/>
    <w:rsid w:val="00CF1EFD"/>
    <w:rsid w:val="00CF7005"/>
    <w:rsid w:val="00D04F85"/>
    <w:rsid w:val="00D13A08"/>
    <w:rsid w:val="00D200A9"/>
    <w:rsid w:val="00D21B8C"/>
    <w:rsid w:val="00D22039"/>
    <w:rsid w:val="00D24F7C"/>
    <w:rsid w:val="00D4396D"/>
    <w:rsid w:val="00D45637"/>
    <w:rsid w:val="00D51731"/>
    <w:rsid w:val="00D5522E"/>
    <w:rsid w:val="00D567C1"/>
    <w:rsid w:val="00D719E7"/>
    <w:rsid w:val="00D75968"/>
    <w:rsid w:val="00D80FBD"/>
    <w:rsid w:val="00D83C93"/>
    <w:rsid w:val="00D84ED8"/>
    <w:rsid w:val="00D922BD"/>
    <w:rsid w:val="00D96374"/>
    <w:rsid w:val="00DA14A7"/>
    <w:rsid w:val="00DA3ADF"/>
    <w:rsid w:val="00DA408C"/>
    <w:rsid w:val="00DA6552"/>
    <w:rsid w:val="00DB2F90"/>
    <w:rsid w:val="00DB596C"/>
    <w:rsid w:val="00DC4E36"/>
    <w:rsid w:val="00DC5AB0"/>
    <w:rsid w:val="00DD0231"/>
    <w:rsid w:val="00DE3295"/>
    <w:rsid w:val="00DF052C"/>
    <w:rsid w:val="00DF5061"/>
    <w:rsid w:val="00E11CA6"/>
    <w:rsid w:val="00E14565"/>
    <w:rsid w:val="00E14C03"/>
    <w:rsid w:val="00E15721"/>
    <w:rsid w:val="00E205AC"/>
    <w:rsid w:val="00E20612"/>
    <w:rsid w:val="00E219EF"/>
    <w:rsid w:val="00E23E56"/>
    <w:rsid w:val="00E3545F"/>
    <w:rsid w:val="00E35735"/>
    <w:rsid w:val="00E441A0"/>
    <w:rsid w:val="00E46A7A"/>
    <w:rsid w:val="00E46CD9"/>
    <w:rsid w:val="00E531F6"/>
    <w:rsid w:val="00E608B6"/>
    <w:rsid w:val="00E618BC"/>
    <w:rsid w:val="00E636D7"/>
    <w:rsid w:val="00E64112"/>
    <w:rsid w:val="00E80CA0"/>
    <w:rsid w:val="00E82E6A"/>
    <w:rsid w:val="00E86B81"/>
    <w:rsid w:val="00E86C7F"/>
    <w:rsid w:val="00E87A4F"/>
    <w:rsid w:val="00E90651"/>
    <w:rsid w:val="00E92B7D"/>
    <w:rsid w:val="00E92E4E"/>
    <w:rsid w:val="00E97801"/>
    <w:rsid w:val="00E97EA9"/>
    <w:rsid w:val="00EA0DD9"/>
    <w:rsid w:val="00EA53E8"/>
    <w:rsid w:val="00EA7DFD"/>
    <w:rsid w:val="00EB3E6F"/>
    <w:rsid w:val="00EB55CF"/>
    <w:rsid w:val="00EC00E2"/>
    <w:rsid w:val="00EC19DF"/>
    <w:rsid w:val="00EC3FA3"/>
    <w:rsid w:val="00EC487D"/>
    <w:rsid w:val="00ED32B9"/>
    <w:rsid w:val="00ED5560"/>
    <w:rsid w:val="00ED6759"/>
    <w:rsid w:val="00ED6E78"/>
    <w:rsid w:val="00EE09F1"/>
    <w:rsid w:val="00EE356F"/>
    <w:rsid w:val="00EE52A1"/>
    <w:rsid w:val="00EF0629"/>
    <w:rsid w:val="00EF4AEB"/>
    <w:rsid w:val="00F002FB"/>
    <w:rsid w:val="00F01AAC"/>
    <w:rsid w:val="00F01DA4"/>
    <w:rsid w:val="00F03087"/>
    <w:rsid w:val="00F031D9"/>
    <w:rsid w:val="00F12DC2"/>
    <w:rsid w:val="00F1499B"/>
    <w:rsid w:val="00F152DF"/>
    <w:rsid w:val="00F15EDB"/>
    <w:rsid w:val="00F20059"/>
    <w:rsid w:val="00F205FC"/>
    <w:rsid w:val="00F21998"/>
    <w:rsid w:val="00F2303D"/>
    <w:rsid w:val="00F27E5D"/>
    <w:rsid w:val="00F3080C"/>
    <w:rsid w:val="00F4055A"/>
    <w:rsid w:val="00F438A9"/>
    <w:rsid w:val="00F43F4E"/>
    <w:rsid w:val="00F571E6"/>
    <w:rsid w:val="00F57662"/>
    <w:rsid w:val="00F63DF4"/>
    <w:rsid w:val="00F65510"/>
    <w:rsid w:val="00F66736"/>
    <w:rsid w:val="00F67413"/>
    <w:rsid w:val="00F7414F"/>
    <w:rsid w:val="00F752CE"/>
    <w:rsid w:val="00F75B68"/>
    <w:rsid w:val="00F779ED"/>
    <w:rsid w:val="00F77D0E"/>
    <w:rsid w:val="00F85E61"/>
    <w:rsid w:val="00F8719F"/>
    <w:rsid w:val="00F966EF"/>
    <w:rsid w:val="00FA0395"/>
    <w:rsid w:val="00FA0BB9"/>
    <w:rsid w:val="00FA2204"/>
    <w:rsid w:val="00FA5726"/>
    <w:rsid w:val="00FB2D1C"/>
    <w:rsid w:val="00FB7884"/>
    <w:rsid w:val="00FC54F0"/>
    <w:rsid w:val="00FC78A0"/>
    <w:rsid w:val="00FD100F"/>
    <w:rsid w:val="00FD152B"/>
    <w:rsid w:val="00FD1D15"/>
    <w:rsid w:val="00FD2FB6"/>
    <w:rsid w:val="00FD486A"/>
    <w:rsid w:val="00FD66F1"/>
    <w:rsid w:val="00FD779B"/>
    <w:rsid w:val="00FE138A"/>
    <w:rsid w:val="00FE1B05"/>
    <w:rsid w:val="00FE2317"/>
    <w:rsid w:val="00FE604D"/>
    <w:rsid w:val="00FE64FF"/>
    <w:rsid w:val="00FF0A3B"/>
    <w:rsid w:val="00FF1616"/>
    <w:rsid w:val="02DE23C1"/>
    <w:rsid w:val="03E3FBF6"/>
    <w:rsid w:val="053B55E8"/>
    <w:rsid w:val="0728BFFF"/>
    <w:rsid w:val="0990A6E9"/>
    <w:rsid w:val="0B134EED"/>
    <w:rsid w:val="0BB87E53"/>
    <w:rsid w:val="0BE57BD5"/>
    <w:rsid w:val="0E01CD6F"/>
    <w:rsid w:val="0F1C381A"/>
    <w:rsid w:val="0F762C37"/>
    <w:rsid w:val="0FE6C010"/>
    <w:rsid w:val="1361A8A9"/>
    <w:rsid w:val="1412ED13"/>
    <w:rsid w:val="14B7FA23"/>
    <w:rsid w:val="14D07BA9"/>
    <w:rsid w:val="1531C32A"/>
    <w:rsid w:val="15B7F2F6"/>
    <w:rsid w:val="15D47932"/>
    <w:rsid w:val="161E46EE"/>
    <w:rsid w:val="163BC197"/>
    <w:rsid w:val="1840B905"/>
    <w:rsid w:val="19553DB1"/>
    <w:rsid w:val="1C28FBB1"/>
    <w:rsid w:val="20CF7F20"/>
    <w:rsid w:val="230EACDB"/>
    <w:rsid w:val="238D33ED"/>
    <w:rsid w:val="256B2AF5"/>
    <w:rsid w:val="27F6BAE8"/>
    <w:rsid w:val="285FDD49"/>
    <w:rsid w:val="2B40F747"/>
    <w:rsid w:val="2C33B814"/>
    <w:rsid w:val="2CA6FE4C"/>
    <w:rsid w:val="2DFF7736"/>
    <w:rsid w:val="2F11E550"/>
    <w:rsid w:val="300DFE8D"/>
    <w:rsid w:val="3052F57C"/>
    <w:rsid w:val="32D7D4A6"/>
    <w:rsid w:val="363C7625"/>
    <w:rsid w:val="36B3BEB0"/>
    <w:rsid w:val="3809C9BC"/>
    <w:rsid w:val="396EB6D7"/>
    <w:rsid w:val="3AEE322D"/>
    <w:rsid w:val="3BA8E15F"/>
    <w:rsid w:val="3BD68CAE"/>
    <w:rsid w:val="3C1514A8"/>
    <w:rsid w:val="3D085529"/>
    <w:rsid w:val="3D339FF1"/>
    <w:rsid w:val="3DC514A4"/>
    <w:rsid w:val="417822A5"/>
    <w:rsid w:val="42013EA9"/>
    <w:rsid w:val="45644697"/>
    <w:rsid w:val="459B46AD"/>
    <w:rsid w:val="4CC5FC80"/>
    <w:rsid w:val="4E0D081A"/>
    <w:rsid w:val="4F6A9806"/>
    <w:rsid w:val="50BEFE68"/>
    <w:rsid w:val="519ABC31"/>
    <w:rsid w:val="53813895"/>
    <w:rsid w:val="54F4F489"/>
    <w:rsid w:val="57E5A106"/>
    <w:rsid w:val="58528B11"/>
    <w:rsid w:val="586F95E0"/>
    <w:rsid w:val="5B8A2BD3"/>
    <w:rsid w:val="5CF3745C"/>
    <w:rsid w:val="5EC1CC95"/>
    <w:rsid w:val="61621002"/>
    <w:rsid w:val="6365A0C8"/>
    <w:rsid w:val="643CB56E"/>
    <w:rsid w:val="645B4C13"/>
    <w:rsid w:val="663DF969"/>
    <w:rsid w:val="66C8BC52"/>
    <w:rsid w:val="6792ECD5"/>
    <w:rsid w:val="6868AEDB"/>
    <w:rsid w:val="6DF692D0"/>
    <w:rsid w:val="708E49E3"/>
    <w:rsid w:val="7127CE18"/>
    <w:rsid w:val="7141DECC"/>
    <w:rsid w:val="71E47DDB"/>
    <w:rsid w:val="73035414"/>
    <w:rsid w:val="73E4BF78"/>
    <w:rsid w:val="754F1F69"/>
    <w:rsid w:val="75E345CE"/>
    <w:rsid w:val="76867F3D"/>
    <w:rsid w:val="76D1C76D"/>
    <w:rsid w:val="7773A1E7"/>
    <w:rsid w:val="78F72105"/>
    <w:rsid w:val="7A4DC690"/>
    <w:rsid w:val="7B523C64"/>
    <w:rsid w:val="7D03FC2D"/>
    <w:rsid w:val="7D34F6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56C472"/>
  <w15:docId w15:val="{E4BEE575-2C27-4B43-B086-C3E36331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 w:type="character" w:customStyle="1" w:styleId="FERCparanumberChar1">
    <w:name w:val="FERC paranumber Char1"/>
    <w:rsid w:val="00FA5726"/>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info-collection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uscode.php?width=840&amp;height=800&amp;iframe=true&amp;def_id=16-USC-1543697379-1611114184&amp;term_occur=999&amp;term_src=title:16:chapter:12:subchapter:II:section:824o"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NERC_ROP_Effective_20161031.pdf" TargetMode="External" /><Relationship Id="rId2"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2022-09-08T04:00:00+00:00</Date>
    <Renewal_x0020_Document_x0020_Type xmlns="d6eefc7d-9817-4fa6-84d5-3bc009be21b8" xsi:nil="tru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725U</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RD22-3</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68C6-0449-4353-9E6F-E7A063D4D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 ds:uri="5a7c6213-c3f8-4376-93f2-dc58e5c51d54"/>
    <ds:schemaRef ds:uri="e029e753-062b-49ce-baa7-feb352134f8f"/>
    <ds:schemaRef ds:uri="http://schemas.microsoft.com/office/infopath/2007/PartnerControls"/>
  </ds:schemaRefs>
</ds:datastoreItem>
</file>

<file path=customXml/itemProps4.xml><?xml version="1.0" encoding="utf-8"?>
<ds:datastoreItem xmlns:ds="http://schemas.openxmlformats.org/officeDocument/2006/customXml" ds:itemID="{76163E5C-ECA9-449D-8729-552C1FB9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FERC-725U supporting statement</vt:lpstr>
    </vt:vector>
  </TitlesOfParts>
  <Company>FERC</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FERC-725U supporting statement</dc:title>
  <dc:creator>ferc</dc:creator>
  <cp:lastModifiedBy>Ellen Brown</cp:lastModifiedBy>
  <cp:revision>2</cp:revision>
  <cp:lastPrinted>2017-12-01T18:27:00Z</cp:lastPrinted>
  <dcterms:created xsi:type="dcterms:W3CDTF">2022-09-20T15:08:00Z</dcterms:created>
  <dcterms:modified xsi:type="dcterms:W3CDTF">2022-09-20T15:08:00Z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07112435-7d4d-409c-968d-7c248fd7efa0</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2022-09-09T14:16:56Z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