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2D40" w:rsidP="00060615" w14:paraId="6E923405" w14:textId="77777777">
      <w:pPr>
        <w:widowControl w:val="0"/>
        <w:autoSpaceDE w:val="0"/>
        <w:autoSpaceDN w:val="0"/>
        <w:adjustRightInd w:val="0"/>
        <w:rPr>
          <w:b/>
          <w:bCs/>
          <w:sz w:val="22"/>
          <w:szCs w:val="22"/>
        </w:rPr>
      </w:pPr>
    </w:p>
    <w:p w:rsidR="0020388A" w:rsidRPr="00541CC7" w:rsidP="00060615" w14:paraId="6A962502" w14:textId="134C3B78">
      <w:pPr>
        <w:widowControl w:val="0"/>
        <w:autoSpaceDE w:val="0"/>
        <w:autoSpaceDN w:val="0"/>
        <w:adjustRightInd w:val="0"/>
        <w:rPr>
          <w:b/>
          <w:bCs/>
          <w:sz w:val="22"/>
          <w:szCs w:val="22"/>
        </w:rPr>
      </w:pPr>
      <w:r w:rsidRPr="00541CC7">
        <w:rPr>
          <w:b/>
          <w:bCs/>
          <w:sz w:val="22"/>
          <w:szCs w:val="22"/>
        </w:rPr>
        <w:br/>
      </w:r>
    </w:p>
    <w:p w:rsidR="005277C2" w14:paraId="35F655BB" w14:textId="77777777">
      <w:pPr>
        <w:widowControl w:val="0"/>
        <w:autoSpaceDE w:val="0"/>
        <w:autoSpaceDN w:val="0"/>
        <w:adjustRightInd w:val="0"/>
        <w:jc w:val="center"/>
        <w:rPr>
          <w:b/>
          <w:bCs/>
        </w:rPr>
      </w:pPr>
      <w:r w:rsidRPr="00383746">
        <w:rPr>
          <w:b/>
          <w:bCs/>
        </w:rPr>
        <w:t xml:space="preserve">STATEMENT SUPPORTING THE RENEWAL OF INFORMATION COLLECTION FOR THE DISTRIBUTION OF </w:t>
      </w:r>
    </w:p>
    <w:p w:rsidR="0020388A" w:rsidRPr="00383746" w14:paraId="1D16B038" w14:textId="2A8E739F">
      <w:pPr>
        <w:widowControl w:val="0"/>
        <w:autoSpaceDE w:val="0"/>
        <w:autoSpaceDN w:val="0"/>
        <w:adjustRightInd w:val="0"/>
        <w:jc w:val="center"/>
        <w:rPr>
          <w:b/>
          <w:bCs/>
        </w:rPr>
      </w:pPr>
      <w:r w:rsidRPr="00383746">
        <w:rPr>
          <w:b/>
          <w:bCs/>
        </w:rPr>
        <w:t>OFF</w:t>
      </w:r>
      <w:r w:rsidRPr="00383746" w:rsidR="00372114">
        <w:rPr>
          <w:b/>
          <w:bCs/>
        </w:rPr>
        <w:t>-</w:t>
      </w:r>
      <w:r w:rsidRPr="00383746">
        <w:rPr>
          <w:b/>
          <w:bCs/>
        </w:rPr>
        <w:t>SITE CONSEQUENCE ANALYSIS INFORMATION</w:t>
      </w:r>
    </w:p>
    <w:p w:rsidR="0020388A" w:rsidRPr="00462A57" w14:paraId="7D24B0BF" w14:textId="2F812D41">
      <w:pPr>
        <w:widowControl w:val="0"/>
        <w:autoSpaceDE w:val="0"/>
        <w:autoSpaceDN w:val="0"/>
        <w:adjustRightInd w:val="0"/>
        <w:jc w:val="center"/>
        <w:rPr>
          <w:b/>
          <w:bCs/>
        </w:rPr>
      </w:pPr>
      <w:r w:rsidRPr="00383746">
        <w:rPr>
          <w:b/>
          <w:bCs/>
        </w:rPr>
        <w:t>UNDER THE CLEAN AIR ACT</w:t>
      </w:r>
    </w:p>
    <w:p w:rsidR="0020388A" w:rsidRPr="00383746" w14:paraId="039D8C25" w14:textId="77777777">
      <w:pPr>
        <w:widowControl w:val="0"/>
        <w:autoSpaceDE w:val="0"/>
        <w:autoSpaceDN w:val="0"/>
        <w:adjustRightInd w:val="0"/>
        <w:ind w:firstLine="7920"/>
      </w:pPr>
    </w:p>
    <w:p w:rsidR="0020388A" w:rsidRPr="00383746" w14:paraId="4E162B8D" w14:textId="77777777">
      <w:pPr>
        <w:widowControl w:val="0"/>
        <w:autoSpaceDE w:val="0"/>
        <w:autoSpaceDN w:val="0"/>
        <w:adjustRightInd w:val="0"/>
      </w:pPr>
    </w:p>
    <w:p w:rsidR="0020388A" w:rsidRPr="00383746" w14:paraId="43919E55" w14:textId="77777777">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hanging="720"/>
      </w:pPr>
      <w:r w:rsidRPr="00383746">
        <w:rPr>
          <w:b/>
          <w:bCs/>
        </w:rPr>
        <w:t>1.</w:t>
      </w:r>
      <w:r w:rsidRPr="00383746">
        <w:rPr>
          <w:b/>
          <w:bCs/>
        </w:rPr>
        <w:tab/>
        <w:t>IDENTIFICATION OF THE INFORMATION COLLECTION</w:t>
      </w:r>
    </w:p>
    <w:p w:rsidR="0020388A" w:rsidRPr="00383746" w14:paraId="4474021D" w14:textId="77777777">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hanging="720"/>
        <w:rPr>
          <w:b/>
          <w:bCs/>
        </w:rPr>
      </w:pPr>
    </w:p>
    <w:p w:rsidR="0020388A" w:rsidRPr="00383746" w14:paraId="3181E735" w14:textId="77777777">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pPr>
      <w:r w:rsidRPr="00383746">
        <w:rPr>
          <w:b/>
          <w:bCs/>
        </w:rPr>
        <w:t>1(a)</w:t>
      </w:r>
      <w:r w:rsidRPr="00383746">
        <w:rPr>
          <w:b/>
          <w:bCs/>
        </w:rPr>
        <w:tab/>
        <w:t>Title of the Information Collection Request</w:t>
      </w:r>
    </w:p>
    <w:p w:rsidR="0020388A" w:rsidRPr="00383746" w14:paraId="5F8F9978" w14:textId="77777777">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pPr>
    </w:p>
    <w:p w:rsidR="0020388A" w:rsidRPr="00383746" w14:paraId="3DF03B7C" w14:textId="369EBE99">
      <w:pPr>
        <w:widowControl w:val="0"/>
        <w:tabs>
          <w:tab w:val="left" w:pos="720"/>
          <w:tab w:val="left" w:pos="1440"/>
          <w:tab w:val="left" w:pos="2160"/>
          <w:tab w:val="left" w:pos="2880"/>
          <w:tab w:val="left" w:pos="3600"/>
          <w:tab w:val="left" w:pos="4320"/>
          <w:tab w:val="left" w:pos="5040"/>
          <w:tab w:val="left" w:pos="5760"/>
          <w:tab w:val="left" w:pos="6483"/>
        </w:tabs>
        <w:autoSpaceDE w:val="0"/>
        <w:autoSpaceDN w:val="0"/>
        <w:adjustRightInd w:val="0"/>
        <w:ind w:firstLine="720"/>
      </w:pPr>
      <w:r w:rsidRPr="00383746">
        <w:t xml:space="preserve">Distribution of Offsite Consequence Analysis Information under </w:t>
      </w:r>
      <w:r w:rsidRPr="008D2C77" w:rsidR="008D2C77">
        <w:t xml:space="preserve">Section 112(r)(7)(H) of </w:t>
      </w:r>
      <w:r w:rsidRPr="008D2C77">
        <w:t>the</w:t>
      </w:r>
      <w:r w:rsidRPr="00383746">
        <w:t xml:space="preserve"> Clean Air Act (CAA), as amended</w:t>
      </w:r>
      <w:r w:rsidR="00E60819">
        <w:t xml:space="preserve">. </w:t>
      </w:r>
      <w:r w:rsidRPr="00383746">
        <w:t>EPA No. 1981.0</w:t>
      </w:r>
      <w:r w:rsidR="00271E93">
        <w:t>8</w:t>
      </w:r>
      <w:r w:rsidRPr="00383746" w:rsidR="00A84670">
        <w:t>, OMB Control Number 2050-0172.</w:t>
      </w:r>
    </w:p>
    <w:p w:rsidR="0020388A" w:rsidRPr="00383746" w14:paraId="4426DC9D" w14:textId="77777777">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pPr>
    </w:p>
    <w:p w:rsidR="0020388A" w:rsidRPr="00383746" w14:paraId="21EA4156" w14:textId="77777777">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pPr>
      <w:r w:rsidRPr="00383746">
        <w:rPr>
          <w:b/>
          <w:bCs/>
        </w:rPr>
        <w:t xml:space="preserve">1(b) </w:t>
      </w:r>
      <w:r w:rsidRPr="00383746">
        <w:rPr>
          <w:b/>
          <w:bCs/>
        </w:rPr>
        <w:tab/>
        <w:t>Short Characterization</w:t>
      </w:r>
    </w:p>
    <w:p w:rsidR="0020388A" w:rsidRPr="00383746" w14:paraId="32D952F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56509596" w14:textId="0E79F6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 xml:space="preserve">This ICR renewal </w:t>
      </w:r>
      <w:r w:rsidRPr="00383746" w:rsidR="008620CB">
        <w:t xml:space="preserve">is </w:t>
      </w:r>
      <w:r w:rsidRPr="00383746">
        <w:t>for the</w:t>
      </w:r>
      <w:r w:rsidRPr="00383746" w:rsidR="005D5E58">
        <w:t xml:space="preserve"> </w:t>
      </w:r>
      <w:r w:rsidRPr="00383746">
        <w:rPr>
          <w:i/>
          <w:iCs/>
        </w:rPr>
        <w:t>Accidental Release Prevention Requirements; Risk Management Programs Under the Clean Air Act Section 112(r)(7); Distribution of Off-Site Consequence Analysis Information</w:t>
      </w:r>
      <w:r w:rsidRPr="00383746" w:rsidR="005D5E58">
        <w:rPr>
          <w:i/>
          <w:iCs/>
        </w:rPr>
        <w:t xml:space="preserve"> </w:t>
      </w:r>
      <w:r w:rsidRPr="00383746" w:rsidR="005D5E58">
        <w:t>final rule</w:t>
      </w:r>
      <w:r w:rsidRPr="00383746">
        <w:t>. CAA section 112(r)(7) require</w:t>
      </w:r>
      <w:r w:rsidR="00E60819">
        <w:t xml:space="preserve">s </w:t>
      </w:r>
      <w:r w:rsidRPr="00383746">
        <w:t>EPA to promulgate reasonable regulations and appropriate guidance to provide for the prevention and detection of accidental releases and for responses to such releases. The regulations include requirements for submit</w:t>
      </w:r>
      <w:r w:rsidRPr="00383746" w:rsidR="008620CB">
        <w:t>ting</w:t>
      </w:r>
      <w:r w:rsidRPr="00383746">
        <w:t xml:space="preserve"> a risk management plan (RMP) to EPA. The RMP includes information on offsite consequence analys</w:t>
      </w:r>
      <w:r w:rsidR="0067621E">
        <w:t>is</w:t>
      </w:r>
      <w:r w:rsidRPr="00383746">
        <w:t xml:space="preserve"> (OCA) as well as other elements of the </w:t>
      </w:r>
      <w:r w:rsidRPr="00383746" w:rsidR="008620CB">
        <w:t>R</w:t>
      </w:r>
      <w:r w:rsidRPr="00383746">
        <w:t xml:space="preserve">isk </w:t>
      </w:r>
      <w:r w:rsidRPr="00383746" w:rsidR="008620CB">
        <w:t>M</w:t>
      </w:r>
      <w:r w:rsidRPr="00383746">
        <w:t xml:space="preserve">anagement </w:t>
      </w:r>
      <w:r w:rsidRPr="00383746" w:rsidR="008620CB">
        <w:t>P</w:t>
      </w:r>
      <w:r w:rsidRPr="00383746">
        <w:t>rogram.</w:t>
      </w:r>
    </w:p>
    <w:p w:rsidR="0020388A" w:rsidRPr="00383746" w14:paraId="6C877CB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24C9A2C0" w14:textId="2A56A8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On August 5, 1999, the President signed the Chemical Safety Information, Site Security, and Fuels Regulatory Relief Act (CSISSFRRA)</w:t>
      </w:r>
      <w:r w:rsidRPr="00383746" w:rsidR="008620CB">
        <w:t xml:space="preserve">, which </w:t>
      </w:r>
      <w:r w:rsidRPr="00383746">
        <w:t>require</w:t>
      </w:r>
      <w:r w:rsidRPr="00383746" w:rsidR="001856AB">
        <w:t>d</w:t>
      </w:r>
      <w:r w:rsidRPr="00383746">
        <w:t xml:space="preserve"> the President to promulgate regulations on the distribution of OCA information (CAA section 112(r)(7)(H)(ii))</w:t>
      </w:r>
      <w:r w:rsidRPr="00383746" w:rsidR="001F4C6C">
        <w:t xml:space="preserve"> to the public</w:t>
      </w:r>
      <w:r w:rsidRPr="00383746">
        <w:t xml:space="preserve">. The President delegated to EPA </w:t>
      </w:r>
      <w:r w:rsidR="00FE410F">
        <w:t>a</w:t>
      </w:r>
      <w:r w:rsidRPr="00383746">
        <w:t xml:space="preserve">nd the Department of Justice (DOJ) the responsibility to promulgate regulations to govern </w:t>
      </w:r>
      <w:r w:rsidRPr="00383746" w:rsidR="00B64BED">
        <w:t>public</w:t>
      </w:r>
      <w:r w:rsidRPr="00383746">
        <w:t xml:space="preserve"> dissemination of OCA information.  </w:t>
      </w:r>
    </w:p>
    <w:p w:rsidR="0020388A" w:rsidRPr="00383746" w14:paraId="667560D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4011D235" w14:textId="42EE41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r w:rsidRPr="00383746">
        <w:t>The final rule</w:t>
      </w:r>
      <w:r w:rsidR="00FE410F">
        <w:t xml:space="preserve"> was</w:t>
      </w:r>
      <w:r w:rsidRPr="00383746">
        <w:t xml:space="preserve"> published on August 8, 2000 (65 FR 48108)</w:t>
      </w:r>
      <w:r w:rsidR="00FE410F">
        <w:t xml:space="preserve"> and </w:t>
      </w:r>
      <w:r w:rsidRPr="00383746">
        <w:t xml:space="preserve">imposed minimal information collection </w:t>
      </w:r>
      <w:r w:rsidRPr="00383746" w:rsidR="001856AB">
        <w:t xml:space="preserve">and record keeping </w:t>
      </w:r>
      <w:r w:rsidRPr="00383746">
        <w:t xml:space="preserve">requirements. The </w:t>
      </w:r>
      <w:r w:rsidRPr="00383746" w:rsidR="008620CB">
        <w:t>F</w:t>
      </w:r>
      <w:r w:rsidRPr="00383746">
        <w:t xml:space="preserve">ederal </w:t>
      </w:r>
      <w:r w:rsidRPr="00383746" w:rsidR="00AC173D">
        <w:t>g</w:t>
      </w:r>
      <w:r w:rsidRPr="00383746">
        <w:t xml:space="preserve">overnment established 55 reading rooms at </w:t>
      </w:r>
      <w:r w:rsidRPr="00383746" w:rsidR="007E27BF">
        <w:t>F</w:t>
      </w:r>
      <w:r w:rsidRPr="00383746">
        <w:t>ederal facilities geographically distributed across the United States and its territories</w:t>
      </w:r>
      <w:r w:rsidR="00B00AEA">
        <w:t>. At the reading room</w:t>
      </w:r>
      <w:r w:rsidRPr="00383746" w:rsidR="006B1C7B">
        <w:t xml:space="preserve"> t</w:t>
      </w:r>
      <w:r w:rsidRPr="00383746">
        <w:t xml:space="preserve">he public </w:t>
      </w:r>
      <w:r w:rsidR="00BC2646">
        <w:t xml:space="preserve">can </w:t>
      </w:r>
      <w:r w:rsidRPr="00383746">
        <w:t>read, but not mechanically copy or remove</w:t>
      </w:r>
      <w:r w:rsidRPr="00383746" w:rsidR="00D74695">
        <w:t>,</w:t>
      </w:r>
      <w:r w:rsidRPr="00383746">
        <w:t xml:space="preserve"> paper copies of OCA information for up to 10 stationary sources per calendar</w:t>
      </w:r>
      <w:r w:rsidR="00FE410F">
        <w:t xml:space="preserve"> </w:t>
      </w:r>
      <w:r w:rsidR="00ED3355">
        <w:t>month</w:t>
      </w:r>
      <w:r w:rsidRPr="00383746" w:rsidR="006B1C7B">
        <w:t>. The public</w:t>
      </w:r>
      <w:r w:rsidRPr="00383746">
        <w:t xml:space="preserve"> </w:t>
      </w:r>
      <w:r w:rsidR="00BC2646">
        <w:t xml:space="preserve">also has </w:t>
      </w:r>
      <w:r w:rsidRPr="00383746">
        <w:t xml:space="preserve">access to OCA information that the Local Emergency Planning Committee (LEPC) in </w:t>
      </w:r>
      <w:r w:rsidRPr="00383746" w:rsidR="00B64BED">
        <w:t>the requestor’s local area (</w:t>
      </w:r>
      <w:r w:rsidR="00FE410F">
        <w:t xml:space="preserve">where individual </w:t>
      </w:r>
      <w:r w:rsidRPr="00383746" w:rsidR="00B64BED">
        <w:t>live</w:t>
      </w:r>
      <w:r w:rsidR="00FE410F">
        <w:t>s</w:t>
      </w:r>
      <w:r w:rsidRPr="00383746" w:rsidR="00B64BED">
        <w:t xml:space="preserve"> or work</w:t>
      </w:r>
      <w:r w:rsidR="00FE410F">
        <w:t>s</w:t>
      </w:r>
      <w:r w:rsidRPr="00383746" w:rsidR="00B64BED">
        <w:t xml:space="preserve">), </w:t>
      </w:r>
      <w:r w:rsidRPr="00383746">
        <w:t>is authorized to provide.</w:t>
      </w:r>
      <w:r w:rsidRPr="00383746" w:rsidR="00A05AC0">
        <w:t xml:space="preserve"> State agencies are permitted to provide the same </w:t>
      </w:r>
      <w:r w:rsidRPr="00383746" w:rsidR="00907B57">
        <w:t xml:space="preserve">public </w:t>
      </w:r>
      <w:r w:rsidRPr="00383746" w:rsidR="00A05AC0">
        <w:t xml:space="preserve">access to paper copies of OCA information </w:t>
      </w:r>
      <w:r w:rsidRPr="00383746" w:rsidR="00907B57">
        <w:t xml:space="preserve">that a </w:t>
      </w:r>
      <w:r w:rsidRPr="00383746" w:rsidR="00A05AC0">
        <w:t xml:space="preserve">person would receive at </w:t>
      </w:r>
      <w:r w:rsidRPr="00383746" w:rsidR="00907B57">
        <w:t xml:space="preserve">their </w:t>
      </w:r>
      <w:r w:rsidRPr="00383746" w:rsidR="00A05AC0">
        <w:t>local agency.</w:t>
      </w:r>
    </w:p>
    <w:p w:rsidR="0020388A" w:rsidRPr="00383746" w14:paraId="06B9FF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25382AAD" w14:textId="3A40A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EPA also established a</w:t>
      </w:r>
      <w:r w:rsidRPr="00383746" w:rsidR="00B62E15">
        <w:t xml:space="preserve"> </w:t>
      </w:r>
      <w:r w:rsidRPr="00383746">
        <w:t xml:space="preserve">Vulnerable Zone Indicator System (VZIS) </w:t>
      </w:r>
      <w:r w:rsidRPr="00383746" w:rsidR="008C2026">
        <w:t xml:space="preserve">which </w:t>
      </w:r>
      <w:r w:rsidRPr="00383746">
        <w:t xml:space="preserve">informs </w:t>
      </w:r>
      <w:r w:rsidRPr="00383746">
        <w:t xml:space="preserve">whether an address </w:t>
      </w:r>
      <w:r w:rsidR="00FE410F">
        <w:t xml:space="preserve">in any state </w:t>
      </w:r>
      <w:r w:rsidRPr="00383746" w:rsidR="00907B57">
        <w:t>is</w:t>
      </w:r>
      <w:r w:rsidRPr="00383746">
        <w:t xml:space="preserve"> within the vulnerable zone of one or more stationary sources, according to the data reported in RMPs. The </w:t>
      </w:r>
      <w:r w:rsidRPr="00383746" w:rsidR="00B62E15">
        <w:t>VZIS</w:t>
      </w:r>
      <w:r w:rsidRPr="00383746">
        <w:t xml:space="preserve"> is available on the Internet.</w:t>
      </w:r>
      <w:r w:rsidRPr="00383746">
        <w:rPr>
          <w:b/>
          <w:bCs/>
        </w:rPr>
        <w:t xml:space="preserve"> </w:t>
      </w:r>
      <w:r w:rsidRPr="00383746" w:rsidR="00330960">
        <w:t xml:space="preserve">Requestors </w:t>
      </w:r>
      <w:r w:rsidRPr="00383746">
        <w:t>who do not have access to the Internet are able to obtain the same information by regular mail request to EPA.</w:t>
      </w:r>
    </w:p>
    <w:p w:rsidR="0020388A" w:rsidRPr="00383746" w14:paraId="62B946A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190CF3A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20EC3A3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rsidRPr="00383746">
        <w:rPr>
          <w:b/>
          <w:bCs/>
        </w:rPr>
        <w:t>2.</w:t>
      </w:r>
      <w:r w:rsidRPr="00383746">
        <w:rPr>
          <w:b/>
          <w:bCs/>
        </w:rPr>
        <w:tab/>
        <w:t>NEED FOR AND USE OF THE COLLECTION</w:t>
      </w:r>
    </w:p>
    <w:p w:rsidR="0020388A" w:rsidRPr="00383746" w14:paraId="2183179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3D2BF4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rPr>
          <w:b/>
          <w:bCs/>
        </w:rPr>
        <w:t>2(a)</w:t>
      </w:r>
      <w:r w:rsidRPr="00383746">
        <w:rPr>
          <w:b/>
          <w:bCs/>
        </w:rPr>
        <w:tab/>
        <w:t>Need/Authority for the Collection</w:t>
      </w:r>
    </w:p>
    <w:p w:rsidR="0020388A" w:rsidRPr="00383746" w14:paraId="5A53E3D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5F583014" w14:textId="038312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Th</w:t>
      </w:r>
      <w:r w:rsidRPr="00383746" w:rsidR="002811FA">
        <w:t xml:space="preserve">is </w:t>
      </w:r>
      <w:r w:rsidRPr="00383746">
        <w:t xml:space="preserve">information collection is authorized under the Chemical Safety Information, Site Security, and Fuels Regulatory Relief Act (CSISSFRRA). </w:t>
      </w:r>
      <w:r w:rsidRPr="00383746" w:rsidR="003E1589">
        <w:t>Individuals</w:t>
      </w:r>
      <w:r w:rsidRPr="00383746">
        <w:t xml:space="preserve"> wishing to view OCA information at </w:t>
      </w:r>
      <w:r w:rsidRPr="00383746" w:rsidR="00372114">
        <w:t>F</w:t>
      </w:r>
      <w:r w:rsidRPr="00383746">
        <w:t xml:space="preserve">ederal reading rooms </w:t>
      </w:r>
      <w:r w:rsidRPr="00383746" w:rsidR="003E1589">
        <w:t xml:space="preserve">provide </w:t>
      </w:r>
      <w:r w:rsidRPr="00383746" w:rsidR="004C681E">
        <w:t xml:space="preserve">a </w:t>
      </w:r>
      <w:r w:rsidRPr="00383746">
        <w:t>signature and certification stating that the</w:t>
      </w:r>
      <w:r w:rsidRPr="00383746" w:rsidR="003E1589">
        <w:t xml:space="preserve">y have </w:t>
      </w:r>
      <w:r w:rsidRPr="00383746">
        <w:t xml:space="preserve">not received access to OCA information for more than 10 stationary sources during that calendar month. The </w:t>
      </w:r>
      <w:r w:rsidRPr="00383746" w:rsidR="001B2406">
        <w:t>F</w:t>
      </w:r>
      <w:r w:rsidRPr="00383746">
        <w:t>ederal reading room staff</w:t>
      </w:r>
      <w:r w:rsidRPr="00383746" w:rsidR="001B2406">
        <w:t xml:space="preserve"> checks photo</w:t>
      </w:r>
      <w:r w:rsidRPr="00383746">
        <w:t xml:space="preserve"> identification of the requestor and view</w:t>
      </w:r>
      <w:r w:rsidRPr="00383746" w:rsidR="00B7204F">
        <w:t>s</w:t>
      </w:r>
      <w:r w:rsidRPr="00383746">
        <w:t xml:space="preserve"> documentation demonstrating where </w:t>
      </w:r>
      <w:r w:rsidRPr="00383746" w:rsidR="00B7204F">
        <w:t xml:space="preserve">the requestor </w:t>
      </w:r>
      <w:r w:rsidRPr="00383746">
        <w:t>lives (for those who are requesting</w:t>
      </w:r>
      <w:r w:rsidRPr="00383746" w:rsidR="004C681E">
        <w:t xml:space="preserve"> OCA information on</w:t>
      </w:r>
      <w:r w:rsidRPr="00383746">
        <w:t xml:space="preserve"> local stationary sources at </w:t>
      </w:r>
      <w:r w:rsidRPr="00383746" w:rsidR="00B7204F">
        <w:t>F</w:t>
      </w:r>
      <w:r w:rsidRPr="00383746">
        <w:t>ederal reading rooms</w:t>
      </w:r>
      <w:r w:rsidRPr="00383746" w:rsidR="00B7204F">
        <w:t>). Individuals who</w:t>
      </w:r>
      <w:r w:rsidRPr="00383746">
        <w:t xml:space="preserve"> contact the central office will be asked </w:t>
      </w:r>
      <w:r w:rsidR="00B052A5">
        <w:t>for</w:t>
      </w:r>
      <w:r w:rsidRPr="00383746">
        <w:t xml:space="preserve"> their name, telephone number, residential address, and names of the stationary sources for which they wish to view the OCA information. This ICR also covers the collection of written requests from </w:t>
      </w:r>
      <w:r w:rsidR="00FE410F">
        <w:t>S</w:t>
      </w:r>
      <w:r w:rsidRPr="00383746">
        <w:t xml:space="preserve">tate and local officials for OCA information. </w:t>
      </w:r>
      <w:r w:rsidR="00FE410F">
        <w:t xml:space="preserve">The ICR also </w:t>
      </w:r>
      <w:r w:rsidRPr="00383746">
        <w:t xml:space="preserve">governs the maintenance and disclosure of the OCA information by </w:t>
      </w:r>
      <w:r w:rsidR="004D43C6">
        <w:t>S</w:t>
      </w:r>
      <w:r w:rsidRPr="00383746">
        <w:t>tate and local entities for public use, as authorized and encouraged by CSISSFRRA and codified in 40 CFR Part 1400.</w:t>
      </w:r>
    </w:p>
    <w:p w:rsidR="0020388A" w:rsidRPr="00383746" w14:paraId="553956F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13CA2A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rPr>
          <w:b/>
          <w:bCs/>
        </w:rPr>
        <w:t>2(b)</w:t>
      </w:r>
      <w:r w:rsidRPr="00383746">
        <w:rPr>
          <w:b/>
          <w:bCs/>
        </w:rPr>
        <w:tab/>
        <w:t>Practical Utility/Users of the Information</w:t>
      </w:r>
    </w:p>
    <w:p w:rsidR="0020388A" w:rsidRPr="00383746" w14:paraId="4DCF67D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28CFB6A4" w14:textId="47E09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 xml:space="preserve">The information collected from the public </w:t>
      </w:r>
      <w:r w:rsidRPr="00383746" w:rsidR="00B7204F">
        <w:t xml:space="preserve">under this ICR </w:t>
      </w:r>
      <w:r w:rsidRPr="00383746">
        <w:t>assure</w:t>
      </w:r>
      <w:r w:rsidRPr="00383746" w:rsidR="00626921">
        <w:t>s</w:t>
      </w:r>
      <w:r w:rsidRPr="00383746">
        <w:t xml:space="preserve"> compliance with</w:t>
      </w:r>
      <w:r w:rsidRPr="00383746" w:rsidR="00383307">
        <w:t xml:space="preserve"> the requirement to provide public access to paper copies of off-site consequence analysis information</w:t>
      </w:r>
      <w:r w:rsidRPr="00383746">
        <w:t xml:space="preserve"> </w:t>
      </w:r>
      <w:r w:rsidRPr="00383746" w:rsidR="00383307">
        <w:t>(</w:t>
      </w:r>
      <w:r w:rsidRPr="00383746">
        <w:t>40 CFR 1400.3</w:t>
      </w:r>
      <w:r w:rsidRPr="00383746" w:rsidR="00382A0A">
        <w:t xml:space="preserve">) for </w:t>
      </w:r>
      <w:r w:rsidRPr="00383746" w:rsidR="009F32EE">
        <w:t>no more than 10 stationary sources in a calendar month</w:t>
      </w:r>
      <w:r w:rsidRPr="00383746" w:rsidR="00382A0A">
        <w:t>.</w:t>
      </w:r>
    </w:p>
    <w:p w:rsidR="0020388A" w:rsidRPr="00383746" w14:paraId="439E7E0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20388A" w:rsidRPr="00383746" w14:paraId="24067866" w14:textId="0739F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 xml:space="preserve">The </w:t>
      </w:r>
      <w:r w:rsidRPr="00383746" w:rsidR="00AC41FE">
        <w:t xml:space="preserve">requirements that individuals </w:t>
      </w:r>
      <w:r w:rsidRPr="00383746">
        <w:t xml:space="preserve">show </w:t>
      </w:r>
      <w:r w:rsidRPr="00383746" w:rsidR="00372114">
        <w:t xml:space="preserve">photo identification and residence documentation </w:t>
      </w:r>
      <w:r w:rsidRPr="00383746" w:rsidR="00AC41FE">
        <w:t xml:space="preserve">to the </w:t>
      </w:r>
      <w:r w:rsidR="00ED3355">
        <w:t xml:space="preserve">Federal </w:t>
      </w:r>
      <w:r w:rsidRPr="00383746" w:rsidR="00AC41FE">
        <w:t>reading room staff prior to obtaining OCA information</w:t>
      </w:r>
      <w:r w:rsidRPr="00383746" w:rsidR="00173711">
        <w:t xml:space="preserve"> </w:t>
      </w:r>
      <w:r w:rsidRPr="00383746">
        <w:t>significantly reduce</w:t>
      </w:r>
      <w:r w:rsidRPr="00383746" w:rsidR="00626921">
        <w:t>s</w:t>
      </w:r>
      <w:r w:rsidRPr="00383746">
        <w:t xml:space="preserve"> the risk that </w:t>
      </w:r>
      <w:r w:rsidR="009D7776">
        <w:t xml:space="preserve">individuals </w:t>
      </w:r>
      <w:r w:rsidRPr="00383746">
        <w:t xml:space="preserve">will attempt to use </w:t>
      </w:r>
      <w:r w:rsidRPr="00383746" w:rsidR="00626921">
        <w:t xml:space="preserve">fraudulent </w:t>
      </w:r>
      <w:r w:rsidRPr="00383746">
        <w:t>identification</w:t>
      </w:r>
      <w:r w:rsidRPr="00383746" w:rsidR="00AC41FE">
        <w:t xml:space="preserve"> and </w:t>
      </w:r>
      <w:r w:rsidRPr="00383746">
        <w:t>assure</w:t>
      </w:r>
      <w:r w:rsidR="008F3425">
        <w:t>s</w:t>
      </w:r>
      <w:r w:rsidRPr="00383746">
        <w:t xml:space="preserve"> that the</w:t>
      </w:r>
      <w:r w:rsidR="009D7776">
        <w:t xml:space="preserve">y </w:t>
      </w:r>
      <w:r w:rsidRPr="00383746">
        <w:t xml:space="preserve">will </w:t>
      </w:r>
      <w:r w:rsidRPr="00383746" w:rsidR="00173711">
        <w:t>be provide</w:t>
      </w:r>
      <w:r w:rsidR="009D7776">
        <w:t>d</w:t>
      </w:r>
      <w:r w:rsidR="00AE23F1">
        <w:t xml:space="preserve"> with</w:t>
      </w:r>
      <w:r w:rsidRPr="00383746" w:rsidR="00173711">
        <w:t xml:space="preserve"> only </w:t>
      </w:r>
      <w:r w:rsidRPr="00383746">
        <w:t>the OCA information to which</w:t>
      </w:r>
      <w:r w:rsidRPr="00383746" w:rsidR="00FA7048">
        <w:t xml:space="preserve"> they are</w:t>
      </w:r>
      <w:r w:rsidRPr="00383746">
        <w:t xml:space="preserve"> entitled.</w:t>
      </w:r>
    </w:p>
    <w:p w:rsidR="0020388A" w:rsidRPr="00383746" w14:paraId="2745971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20388A" w:rsidRPr="00383746" w14:paraId="33C1B2AF" w14:textId="776F1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The requirement that requestors provide</w:t>
      </w:r>
      <w:r w:rsidRPr="00383746">
        <w:t xml:space="preserve"> </w:t>
      </w:r>
      <w:r w:rsidRPr="00383746" w:rsidR="00FA7048">
        <w:t xml:space="preserve">their </w:t>
      </w:r>
      <w:r w:rsidRPr="00383746">
        <w:t>name, telephone number, and the names of the stationary sources for which OCA information are being requested</w:t>
      </w:r>
      <w:r w:rsidRPr="00383746">
        <w:t xml:space="preserve"> when calling the central office to </w:t>
      </w:r>
      <w:r w:rsidRPr="00383746">
        <w:t>schedule an appointment at a reading room</w:t>
      </w:r>
      <w:r w:rsidRPr="00383746">
        <w:t xml:space="preserve"> enables the staff to</w:t>
      </w:r>
      <w:r w:rsidRPr="00383746">
        <w:t xml:space="preserve"> relay the requested copies of OCA information to that reading room, and, if necessary, contact the requestor. </w:t>
      </w:r>
    </w:p>
    <w:p w:rsidR="0020388A" w:rsidRPr="00383746" w:rsidP="00AC41FE" w14:paraId="28F0A3F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32CE0927" w14:textId="0736D5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 xml:space="preserve">This </w:t>
      </w:r>
      <w:r w:rsidR="005817CB">
        <w:t xml:space="preserve">information </w:t>
      </w:r>
      <w:r w:rsidRPr="00383746">
        <w:t xml:space="preserve">collection also covers the letters of request sent by </w:t>
      </w:r>
      <w:r w:rsidRPr="00383746" w:rsidR="00173711">
        <w:t>S</w:t>
      </w:r>
      <w:r w:rsidRPr="00383746">
        <w:t>tate and local agencies for OCA information either for their own use</w:t>
      </w:r>
      <w:r w:rsidR="00C0437D">
        <w:t xml:space="preserve">, e.g., </w:t>
      </w:r>
      <w:r w:rsidRPr="00383746">
        <w:t>emergency planning</w:t>
      </w:r>
      <w:r w:rsidR="00C0437D">
        <w:t>,</w:t>
      </w:r>
      <w:r w:rsidRPr="00383746">
        <w:t xml:space="preserve"> and/or to provide read-only access to the public. State and local officials who </w:t>
      </w:r>
      <w:r w:rsidRPr="00383746" w:rsidR="00AC41FE">
        <w:t>request</w:t>
      </w:r>
      <w:r w:rsidRPr="00383746">
        <w:t xml:space="preserve"> </w:t>
      </w:r>
      <w:r w:rsidRPr="00383746">
        <w:t xml:space="preserve">OCA information for their official use must send a request on their official letterhead to EPA certifying that they are covered persons under P.L. 106-40 and that they will use the information for official </w:t>
      </w:r>
      <w:r w:rsidRPr="00383746" w:rsidR="00173711">
        <w:t>purposes</w:t>
      </w:r>
      <w:r w:rsidRPr="00383746">
        <w:t xml:space="preserve"> only.  </w:t>
      </w:r>
    </w:p>
    <w:p w:rsidR="0020388A" w:rsidRPr="00383746" w14:paraId="2541E44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20388A" w:rsidRPr="00383746" w14:paraId="6BDF39B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720" w:hanging="720"/>
        <w:rPr>
          <w:b/>
          <w:bCs/>
        </w:rPr>
      </w:pPr>
      <w:r w:rsidRPr="00383746">
        <w:rPr>
          <w:b/>
          <w:bCs/>
        </w:rPr>
        <w:t xml:space="preserve">3. </w:t>
      </w:r>
      <w:r w:rsidRPr="00383746">
        <w:rPr>
          <w:b/>
          <w:bCs/>
        </w:rPr>
        <w:tab/>
        <w:t xml:space="preserve"> NON-DUPLICATION, CONSULTATIONS, AND OTHER COLLECTION CRITERIA</w:t>
      </w:r>
    </w:p>
    <w:p w:rsidR="0020388A" w:rsidRPr="00383746" w14:paraId="6DB68EC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rPr>
      </w:pPr>
    </w:p>
    <w:p w:rsidR="0020388A" w:rsidRPr="00383746" w14:paraId="0F904C07" w14:textId="716B06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pPr>
      <w:r w:rsidRPr="00383746">
        <w:rPr>
          <w:b/>
          <w:bCs/>
        </w:rPr>
        <w:t>3(a)</w:t>
      </w:r>
      <w:r w:rsidRPr="00383746">
        <w:rPr>
          <w:b/>
          <w:bCs/>
        </w:rPr>
        <w:tab/>
        <w:t>Non</w:t>
      </w:r>
      <w:r w:rsidR="00382696">
        <w:rPr>
          <w:b/>
          <w:bCs/>
        </w:rPr>
        <w:t>d</w:t>
      </w:r>
      <w:r w:rsidRPr="00383746">
        <w:rPr>
          <w:b/>
          <w:bCs/>
        </w:rPr>
        <w:t>uplicatio</w:t>
      </w:r>
      <w:r w:rsidR="00D54ADD">
        <w:rPr>
          <w:b/>
          <w:bCs/>
        </w:rPr>
        <w:t>n</w:t>
      </w:r>
    </w:p>
    <w:p w:rsidR="0020388A" w:rsidRPr="00383746" w14:paraId="2DC1530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rsidP="00B22E42" w14:paraId="134EDAEC" w14:textId="4F7CE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The information coll</w:t>
      </w:r>
      <w:r w:rsidRPr="00383746" w:rsidR="0074620A">
        <w:t xml:space="preserve">ected under </w:t>
      </w:r>
      <w:r w:rsidRPr="00383746" w:rsidR="0039630E">
        <w:t>this ICR i</w:t>
      </w:r>
      <w:r w:rsidRPr="00383746" w:rsidR="0074620A">
        <w:t>ncludes</w:t>
      </w:r>
      <w:r w:rsidRPr="00383746">
        <w:t xml:space="preserve"> signature</w:t>
      </w:r>
      <w:r w:rsidRPr="00383746" w:rsidR="0074620A">
        <w:t>s</w:t>
      </w:r>
      <w:r w:rsidRPr="00383746">
        <w:t>, certification</w:t>
      </w:r>
      <w:r w:rsidRPr="00383746" w:rsidR="0074620A">
        <w:t xml:space="preserve">s, </w:t>
      </w:r>
      <w:r w:rsidRPr="00383746">
        <w:t>personal identification data and names of the stationary sources</w:t>
      </w:r>
      <w:r w:rsidR="00A80B8F">
        <w:t xml:space="preserve"> included in the OCA data </w:t>
      </w:r>
      <w:r w:rsidR="009E6AEA">
        <w:t>request</w:t>
      </w:r>
      <w:r w:rsidRPr="00383746">
        <w:t>.</w:t>
      </w:r>
      <w:r w:rsidRPr="00383746" w:rsidR="0038159B">
        <w:t xml:space="preserve"> EPA also</w:t>
      </w:r>
      <w:r w:rsidR="00196E3D">
        <w:t xml:space="preserve"> c</w:t>
      </w:r>
      <w:r w:rsidRPr="00383746" w:rsidR="0038159B">
        <w:t>ollects le</w:t>
      </w:r>
      <w:r w:rsidRPr="00383746">
        <w:t xml:space="preserve">tters from </w:t>
      </w:r>
      <w:r w:rsidR="009E6AEA">
        <w:t>S</w:t>
      </w:r>
      <w:r w:rsidRPr="00383746">
        <w:t>tate or local officials requesting OCA information.</w:t>
      </w:r>
      <w:r w:rsidR="009E6AEA">
        <w:t xml:space="preserve"> This information collection</w:t>
      </w:r>
      <w:r w:rsidRPr="00383746">
        <w:t xml:space="preserve"> does not duplicate any other </w:t>
      </w:r>
      <w:r w:rsidRPr="00383746" w:rsidR="002811FA">
        <w:t>F</w:t>
      </w:r>
      <w:r w:rsidRPr="00383746">
        <w:t xml:space="preserve">ederal collection </w:t>
      </w:r>
      <w:r w:rsidR="00A80B8F">
        <w:t>because</w:t>
      </w:r>
      <w:r w:rsidRPr="00383746">
        <w:t xml:space="preserve"> it is specific to this rule and necessary to ensure that the rule can be implemented.  </w:t>
      </w:r>
    </w:p>
    <w:p w:rsidR="0020388A" w:rsidRPr="00383746" w14:paraId="5331577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26F45D5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rPr>
          <w:b/>
          <w:bCs/>
        </w:rPr>
        <w:t>3(</w:t>
      </w:r>
      <w:r w:rsidRPr="00383746" w:rsidR="00E31BCA">
        <w:rPr>
          <w:b/>
          <w:bCs/>
        </w:rPr>
        <w:t>b</w:t>
      </w:r>
      <w:r w:rsidRPr="00383746">
        <w:rPr>
          <w:b/>
          <w:bCs/>
        </w:rPr>
        <w:t>) Public Notice</w:t>
      </w:r>
    </w:p>
    <w:p w:rsidR="0020388A" w:rsidRPr="00383746" w14:paraId="07AEDEC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5AA45267" w14:textId="7385A7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 xml:space="preserve">In compliance with the Paperwork Reduction Act (44 U.S.C. 3501 </w:t>
      </w:r>
      <w:r w:rsidRPr="00383746">
        <w:rPr>
          <w:u w:val="single"/>
        </w:rPr>
        <w:t>et seq</w:t>
      </w:r>
      <w:r w:rsidRPr="00383746">
        <w:t xml:space="preserve">.), the Agency notified the public through a </w:t>
      </w:r>
      <w:r w:rsidRPr="00383746">
        <w:rPr>
          <w:i/>
          <w:iCs/>
        </w:rPr>
        <w:t xml:space="preserve">Federal Register </w:t>
      </w:r>
      <w:r w:rsidRPr="00383746">
        <w:t>notice on the re</w:t>
      </w:r>
      <w:r w:rsidRPr="00383746" w:rsidR="006161B0">
        <w:t>newal</w:t>
      </w:r>
      <w:r w:rsidRPr="00383746">
        <w:t xml:space="preserve"> of this ICR on</w:t>
      </w:r>
      <w:r w:rsidRPr="00383746" w:rsidR="006161B0">
        <w:t xml:space="preserve"> March 1, 2022 (87 FR 11425)</w:t>
      </w:r>
      <w:r w:rsidR="00DC2ACE">
        <w:t>. EPA received no</w:t>
      </w:r>
      <w:r w:rsidRPr="00DC2ACE">
        <w:t xml:space="preserve"> comments</w:t>
      </w:r>
      <w:r w:rsidR="00DC2ACE">
        <w:t xml:space="preserve"> on this Notice</w:t>
      </w:r>
      <w:r w:rsidRPr="00DC2ACE">
        <w:t>.</w:t>
      </w:r>
      <w:r w:rsidRPr="00383746">
        <w:t xml:space="preserve">     </w:t>
      </w:r>
    </w:p>
    <w:p w:rsidR="0020388A" w:rsidRPr="00383746" w14:paraId="6CFA0D69" w14:textId="637AD9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B33BD8" w:rsidRPr="00383746" w:rsidP="00B33BD8" w14:paraId="0F32E3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rPr>
      </w:pPr>
      <w:r w:rsidRPr="00383746">
        <w:rPr>
          <w:b/>
        </w:rPr>
        <w:t>3(c) Consultations</w:t>
      </w:r>
    </w:p>
    <w:p w:rsidR="00B33BD8" w:rsidRPr="00383746" w:rsidP="00B33BD8" w14:paraId="2E554A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rPr>
      </w:pPr>
    </w:p>
    <w:p w:rsidR="002A37E4" w:rsidP="00B33BD8" w14:paraId="65DC9708" w14:textId="03F2E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383746">
        <w:t>EPA con</w:t>
      </w:r>
      <w:r w:rsidRPr="00383746">
        <w:t xml:space="preserve">tacted </w:t>
      </w:r>
      <w:r w:rsidR="00D113B6">
        <w:t>the EPA Regions</w:t>
      </w:r>
      <w:r w:rsidR="00FD722E">
        <w:t xml:space="preserve"> and the </w:t>
      </w:r>
      <w:r w:rsidRPr="00383746" w:rsidR="00FD722E">
        <w:t>EPA HQ Docket Center</w:t>
      </w:r>
      <w:r w:rsidR="00D113B6">
        <w:t xml:space="preserve"> in November 2021 and received information and received burden estimates from </w:t>
      </w:r>
      <w:r w:rsidRPr="00383746" w:rsidR="00EB4D4B">
        <w:t xml:space="preserve">seven </w:t>
      </w:r>
      <w:r w:rsidR="005D6ABD">
        <w:t xml:space="preserve">EPA </w:t>
      </w:r>
      <w:r w:rsidRPr="00383746">
        <w:t xml:space="preserve">Regions </w:t>
      </w:r>
      <w:r w:rsidR="009E6AEA">
        <w:t xml:space="preserve">(Regions 1,3, 4, 6, 7, 8 and 9) </w:t>
      </w:r>
      <w:r w:rsidRPr="00383746" w:rsidR="00EB4D4B">
        <w:t>and</w:t>
      </w:r>
      <w:r w:rsidRPr="00383746" w:rsidR="00173711">
        <w:t xml:space="preserve"> the</w:t>
      </w:r>
      <w:r w:rsidRPr="00383746" w:rsidR="00EB4D4B">
        <w:t xml:space="preserve"> EPA HQ Docket Center</w:t>
      </w:r>
      <w:r w:rsidRPr="00383746">
        <w:t>. As a result of the consultation effort, EPA has made changes to selected burden estimates. A summary of the information obtained from each contact can be found in Appendix A.</w:t>
      </w:r>
    </w:p>
    <w:p w:rsidR="00546AC5" w:rsidP="00B33BD8" w14:paraId="3D7A94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546AC5" w:rsidRPr="00A2635B" w:rsidP="00546AC5" w14:paraId="35AF690F" w14:textId="7B3F2D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A2635B">
        <w:t xml:space="preserve">EPA contacted </w:t>
      </w:r>
      <w:r w:rsidR="00AC60DE">
        <w:t>also contacted selected S</w:t>
      </w:r>
      <w:r w:rsidRPr="00A2635B">
        <w:t>tate and local agencies that receive OCA data to determine how many members of the public visited a reading room over the previous ICR period</w:t>
      </w:r>
      <w:bookmarkStart w:id="0" w:name="_Hlk113516755"/>
      <w:r w:rsidRPr="00A2635B">
        <w:t>.</w:t>
      </w:r>
      <w:bookmarkStart w:id="1" w:name="_Hlk531611871"/>
      <w:r w:rsidRPr="00A2635B">
        <w:t xml:space="preserve"> Given the total number of </w:t>
      </w:r>
      <w:r w:rsidR="00AC60DE">
        <w:t>S</w:t>
      </w:r>
      <w:r w:rsidRPr="00A2635B">
        <w:t xml:space="preserve">tate and local agencies (52 </w:t>
      </w:r>
      <w:r w:rsidR="00AC60DE">
        <w:t>S</w:t>
      </w:r>
      <w:r w:rsidRPr="00A2635B">
        <w:t xml:space="preserve">tates offices and 3,000 LEPCs), the number of visits for read-only access to OCA data was very low in the previous ICR period, and with the establishment of the website, </w:t>
      </w:r>
      <w:hyperlink r:id="rId10" w:history="1">
        <w:r w:rsidRPr="00A2635B">
          <w:rPr>
            <w:rStyle w:val="Hyperlink"/>
          </w:rPr>
          <w:t>http://www.rtk.net</w:t>
        </w:r>
      </w:hyperlink>
      <w:r w:rsidRPr="00A2635B">
        <w:t xml:space="preserve">, (rtk is the acronym for Right to Know), reading room visits are expected to continue to become largely unnecessary. </w:t>
      </w:r>
      <w:r w:rsidR="00870F90">
        <w:t xml:space="preserve">Of the </w:t>
      </w:r>
      <w:r w:rsidRPr="00A2635B">
        <w:t xml:space="preserve">several </w:t>
      </w:r>
      <w:r w:rsidR="00870F90">
        <w:t>S</w:t>
      </w:r>
      <w:r w:rsidRPr="00A2635B">
        <w:t>tate</w:t>
      </w:r>
      <w:r w:rsidR="00870F90">
        <w:t xml:space="preserve"> and local</w:t>
      </w:r>
      <w:r w:rsidRPr="00A2635B">
        <w:t xml:space="preserve"> agencies </w:t>
      </w:r>
      <w:r w:rsidR="00870F90">
        <w:t xml:space="preserve">EPA contacted, </w:t>
      </w:r>
      <w:r w:rsidRPr="00A2635B">
        <w:t xml:space="preserve">none had recorded even a single reading room visit. To err on the conservative side, EPA is assuming five reading room visits annually to all </w:t>
      </w:r>
      <w:r w:rsidR="00870F90">
        <w:t>S</w:t>
      </w:r>
      <w:r w:rsidRPr="00A2635B">
        <w:t>tate and local agency reading rooms (15 for three years).</w:t>
      </w:r>
    </w:p>
    <w:p w:rsidR="00546AC5" w:rsidRPr="00D919DB" w:rsidP="00546AC5" w14:paraId="255E268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bookmarkEnd w:id="0"/>
    <w:p w:rsidR="00546AC5" w:rsidRPr="00383746" w:rsidP="00264655" w14:paraId="495AA66C" w14:textId="1052AA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firstLine="720"/>
      </w:pPr>
      <w:r w:rsidRPr="00D919DB">
        <w:t xml:space="preserve">Most OCA reading room visits occur at the reading room operated by EPA Headquarters in Washington, DC. </w:t>
      </w:r>
      <w:bookmarkEnd w:id="1"/>
      <w:r w:rsidRPr="00D919DB">
        <w:t xml:space="preserve">During the previous ICR period of 2016-2018, the number of reading room visits was 76, or 25 per year, which declined from 227 for the ICR period prior to that. Based on </w:t>
      </w:r>
      <w:r w:rsidR="00FF48BA">
        <w:t xml:space="preserve">information received from </w:t>
      </w:r>
      <w:r w:rsidR="00D919DB">
        <w:t>seven</w:t>
      </w:r>
      <w:r w:rsidRPr="00D919DB">
        <w:t xml:space="preserve"> EPA Regions</w:t>
      </w:r>
      <w:r w:rsidR="00264655">
        <w:t xml:space="preserve"> and EPA Headquarters, the average </w:t>
      </w:r>
      <w:r w:rsidRPr="00D919DB">
        <w:t xml:space="preserve">number of </w:t>
      </w:r>
      <w:r w:rsidR="00823F4A">
        <w:t xml:space="preserve">reading room visits </w:t>
      </w:r>
      <w:r w:rsidRPr="00A64A05">
        <w:t>for the previous ICR</w:t>
      </w:r>
      <w:r w:rsidRPr="00A64A05" w:rsidR="00264655">
        <w:t xml:space="preserve"> </w:t>
      </w:r>
      <w:r w:rsidRPr="00A64A05">
        <w:t>period</w:t>
      </w:r>
      <w:r w:rsidRPr="00A64A05" w:rsidR="00264655">
        <w:t xml:space="preserve"> was 10 per year, or </w:t>
      </w:r>
      <w:r w:rsidRPr="00A64A05" w:rsidR="00D919DB">
        <w:t>3</w:t>
      </w:r>
      <w:r w:rsidRPr="00A64A05">
        <w:t>0 visits for three years</w:t>
      </w:r>
      <w:r w:rsidR="00823F4A">
        <w:t>, which EPA assumes will be th</w:t>
      </w:r>
      <w:r w:rsidR="00264655">
        <w:t xml:space="preserve">e </w:t>
      </w:r>
      <w:r w:rsidR="00823F4A">
        <w:t>number</w:t>
      </w:r>
      <w:r w:rsidR="00FF48BA">
        <w:t xml:space="preserve"> of visits </w:t>
      </w:r>
      <w:r w:rsidR="00264655">
        <w:t>for th</w:t>
      </w:r>
      <w:r w:rsidR="00A64A05">
        <w:t>is</w:t>
      </w:r>
      <w:r w:rsidR="00264655">
        <w:t xml:space="preserve"> ICR renewal period.</w:t>
      </w:r>
    </w:p>
    <w:p w:rsidR="00B33BD8" w:rsidRPr="00383746" w14:paraId="7B04ED1E" w14:textId="07097F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4FE166BC" w14:textId="0653286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r w:rsidRPr="00383746">
        <w:rPr>
          <w:b/>
          <w:bCs/>
        </w:rPr>
        <w:t>3(</w:t>
      </w:r>
      <w:r w:rsidRPr="00383746" w:rsidR="00B33BD8">
        <w:rPr>
          <w:b/>
          <w:bCs/>
        </w:rPr>
        <w:t>d</w:t>
      </w:r>
      <w:r w:rsidRPr="00383746">
        <w:rPr>
          <w:b/>
          <w:bCs/>
        </w:rPr>
        <w:t>)</w:t>
      </w:r>
      <w:r w:rsidRPr="00383746">
        <w:rPr>
          <w:b/>
          <w:bCs/>
        </w:rPr>
        <w:tab/>
        <w:t>Effects of Less Frequent Collection</w:t>
      </w:r>
    </w:p>
    <w:p w:rsidR="0020388A" w:rsidRPr="00383746" w14:paraId="152F223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4C40BC13" w14:textId="2DEE85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This section is not applicable. The only data being collected are the signatures and self-certification</w:t>
      </w:r>
      <w:r w:rsidR="00A80B8F">
        <w:t xml:space="preserve">, which are </w:t>
      </w:r>
      <w:r w:rsidRPr="00383746">
        <w:t xml:space="preserve">collected at the time of </w:t>
      </w:r>
      <w:r w:rsidR="00A80B8F">
        <w:t xml:space="preserve">the reading room </w:t>
      </w:r>
      <w:r w:rsidRPr="00383746">
        <w:t xml:space="preserve">visit.   </w:t>
      </w:r>
    </w:p>
    <w:p w:rsidR="0020388A" w:rsidRPr="00383746" w14:paraId="6A7BF6C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30B7DE68" w14:textId="3CDCB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rPr>
          <w:b/>
          <w:bCs/>
        </w:rPr>
        <w:t>3(</w:t>
      </w:r>
      <w:r w:rsidRPr="00383746" w:rsidR="00B33BD8">
        <w:rPr>
          <w:b/>
          <w:bCs/>
        </w:rPr>
        <w:t>e</w:t>
      </w:r>
      <w:r w:rsidRPr="00383746">
        <w:rPr>
          <w:b/>
          <w:bCs/>
        </w:rPr>
        <w:t>)</w:t>
      </w:r>
      <w:r w:rsidRPr="00383746">
        <w:rPr>
          <w:b/>
          <w:bCs/>
        </w:rPr>
        <w:tab/>
        <w:t>General Guidelines</w:t>
      </w:r>
    </w:p>
    <w:p w:rsidR="0020388A" w:rsidRPr="00383746" w14:paraId="18DBFD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20388A" w:rsidRPr="00383746" w14:paraId="4A9E6F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This section is not applicable.</w:t>
      </w:r>
    </w:p>
    <w:p w:rsidR="0020388A" w:rsidRPr="00383746" w14:paraId="3B348CB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6A069ED1" w14:textId="74A661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rPr>
          <w:b/>
          <w:bCs/>
        </w:rPr>
        <w:t>3(</w:t>
      </w:r>
      <w:r w:rsidRPr="00383746" w:rsidR="00B33BD8">
        <w:rPr>
          <w:b/>
          <w:bCs/>
        </w:rPr>
        <w:t>f</w:t>
      </w:r>
      <w:r w:rsidRPr="00383746">
        <w:rPr>
          <w:b/>
          <w:bCs/>
        </w:rPr>
        <w:t>)</w:t>
      </w:r>
      <w:r w:rsidRPr="00383746">
        <w:rPr>
          <w:b/>
          <w:bCs/>
        </w:rPr>
        <w:tab/>
        <w:t>Confidentiality</w:t>
      </w:r>
    </w:p>
    <w:p w:rsidR="0020388A" w:rsidRPr="00383746" w14:paraId="1B07B86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123B1B25" w14:textId="287193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 xml:space="preserve">The </w:t>
      </w:r>
      <w:r w:rsidRPr="00383746" w:rsidR="00092AD4">
        <w:t>s</w:t>
      </w:r>
      <w:r w:rsidRPr="00383746">
        <w:t xml:space="preserve">ignatures and </w:t>
      </w:r>
      <w:r w:rsidRPr="00383746" w:rsidR="00145846">
        <w:t>self-certification</w:t>
      </w:r>
      <w:r w:rsidRPr="00383746" w:rsidR="00092AD4">
        <w:t>s collect</w:t>
      </w:r>
      <w:r w:rsidRPr="00383746" w:rsidR="00543872">
        <w:t xml:space="preserve">ed </w:t>
      </w:r>
      <w:r w:rsidRPr="00383746" w:rsidR="00092AD4">
        <w:t>are not</w:t>
      </w:r>
      <w:r w:rsidRPr="00383746">
        <w:t xml:space="preserve"> confidential</w:t>
      </w:r>
      <w:r w:rsidRPr="00383746" w:rsidR="00092AD4">
        <w:t xml:space="preserve"> information</w:t>
      </w:r>
      <w:r w:rsidRPr="00383746" w:rsidR="00543872">
        <w:t>.</w:t>
      </w:r>
    </w:p>
    <w:p w:rsidR="0020388A" w:rsidRPr="00383746" w14:paraId="008D235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4191DD0E" w14:textId="1EE6E8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rPr>
          <w:b/>
          <w:bCs/>
        </w:rPr>
        <w:t>3(</w:t>
      </w:r>
      <w:r w:rsidRPr="00383746" w:rsidR="00B33BD8">
        <w:rPr>
          <w:b/>
          <w:bCs/>
        </w:rPr>
        <w:t>g</w:t>
      </w:r>
      <w:r w:rsidRPr="00383746">
        <w:rPr>
          <w:b/>
          <w:bCs/>
        </w:rPr>
        <w:t>)</w:t>
      </w:r>
      <w:r w:rsidRPr="00383746">
        <w:rPr>
          <w:b/>
          <w:bCs/>
        </w:rPr>
        <w:tab/>
        <w:t>Sensitive Questions</w:t>
      </w:r>
    </w:p>
    <w:p w:rsidR="0020388A" w:rsidRPr="00383746" w14:paraId="13DA461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37C0BEA5" w14:textId="4512E8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Th</w:t>
      </w:r>
      <w:r w:rsidRPr="00383746" w:rsidR="00101740">
        <w:t xml:space="preserve">ere </w:t>
      </w:r>
      <w:r w:rsidR="00A80B8F">
        <w:t xml:space="preserve">are </w:t>
      </w:r>
      <w:r w:rsidRPr="00383746" w:rsidR="00101740">
        <w:t>no sensitive questions in this information collection.</w:t>
      </w:r>
    </w:p>
    <w:p w:rsidR="0020388A" w:rsidRPr="00383746" w14:paraId="785EA04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rPr>
      </w:pPr>
    </w:p>
    <w:p w:rsidR="0020388A" w:rsidRPr="00383746" w14:paraId="61387413" w14:textId="77777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rsidRPr="00383746">
        <w:rPr>
          <w:b/>
          <w:bCs/>
        </w:rPr>
        <w:t>4.</w:t>
      </w:r>
      <w:r w:rsidRPr="00383746">
        <w:rPr>
          <w:b/>
          <w:bCs/>
        </w:rPr>
        <w:tab/>
        <w:t>THE RESPONDENTS AND THE INFORMATION REQUESTED</w:t>
      </w:r>
    </w:p>
    <w:p w:rsidR="0020388A" w:rsidRPr="00383746" w14:paraId="4DC9EF78" w14:textId="77777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56F49E04" w14:textId="77777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rPr>
          <w:b/>
          <w:bCs/>
        </w:rPr>
        <w:t>4(a)</w:t>
      </w:r>
      <w:r w:rsidRPr="00383746">
        <w:rPr>
          <w:b/>
          <w:bCs/>
        </w:rPr>
        <w:tab/>
        <w:t>Respondents/NAICS Codes</w:t>
      </w:r>
    </w:p>
    <w:p w:rsidR="0020388A" w:rsidRPr="00383746" w14:paraId="015EEDFA" w14:textId="77777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31DC403A" w14:textId="41FAB3F7">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 xml:space="preserve">The respondent universe for this rule is </w:t>
      </w:r>
      <w:r w:rsidRPr="00383746" w:rsidR="00101740">
        <w:t>S</w:t>
      </w:r>
      <w:r w:rsidRPr="00383746">
        <w:t xml:space="preserve">tate and local officials </w:t>
      </w:r>
      <w:r w:rsidR="000A6671">
        <w:t>(</w:t>
      </w:r>
      <w:r w:rsidRPr="00383746" w:rsidR="000A6671">
        <w:t>NAICS code 92111)</w:t>
      </w:r>
      <w:r w:rsidR="000A6671">
        <w:t xml:space="preserve"> </w:t>
      </w:r>
      <w:r w:rsidRPr="00383746">
        <w:t>and members of the public</w:t>
      </w:r>
      <w:r w:rsidR="000A6671">
        <w:t>.</w:t>
      </w:r>
    </w:p>
    <w:p w:rsidR="0020388A" w:rsidRPr="00383746" w14:paraId="6998B19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21E1958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r w:rsidRPr="00383746">
        <w:rPr>
          <w:b/>
          <w:bCs/>
        </w:rPr>
        <w:t>4(b)</w:t>
      </w:r>
      <w:r w:rsidRPr="00383746">
        <w:rPr>
          <w:b/>
          <w:bCs/>
        </w:rPr>
        <w:tab/>
        <w:t>Information Requested</w:t>
      </w:r>
    </w:p>
    <w:p w:rsidR="0020388A" w:rsidRPr="00383746" w14:paraId="66324FE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8640"/>
      </w:pPr>
    </w:p>
    <w:p w:rsidR="0020388A" w:rsidRPr="00383746" w14:paraId="7DA27FC3" w14:textId="47B88D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rPr>
          <w:b/>
          <w:bCs/>
        </w:rPr>
        <w:t>(i)</w:t>
      </w:r>
      <w:r w:rsidRPr="00383746">
        <w:rPr>
          <w:b/>
          <w:bCs/>
        </w:rPr>
        <w:tab/>
        <w:t>Data Elements</w:t>
      </w:r>
    </w:p>
    <w:p w:rsidR="005B55B3" w:rsidRPr="00383746" w14:paraId="7547C42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101740" w:rsidRPr="00383746" w:rsidP="00B41FD4" w14:paraId="3A6C0BAA" w14:textId="63D89C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Most reading rooms can be visited by appointment</w:t>
      </w:r>
      <w:r w:rsidR="00631450">
        <w:t xml:space="preserve"> only</w:t>
      </w:r>
      <w:r w:rsidR="00FF48BA">
        <w:t xml:space="preserve">; </w:t>
      </w:r>
      <w:r w:rsidR="003A4B51">
        <w:t xml:space="preserve">only </w:t>
      </w:r>
      <w:r w:rsidRPr="00383746">
        <w:t xml:space="preserve">a few are walk-in. Members of the public are required to </w:t>
      </w:r>
      <w:r w:rsidR="00730382">
        <w:t>provide</w:t>
      </w:r>
      <w:r w:rsidRPr="00383746">
        <w:t xml:space="preserve"> their name, telephone number, and the names of the stationary sources for which OCA information is being requested when they contact the central office to schedule an appointment to view OCA information. </w:t>
      </w:r>
      <w:r w:rsidR="00730382">
        <w:t xml:space="preserve">They are </w:t>
      </w:r>
      <w:r w:rsidRPr="00383746">
        <w:t xml:space="preserve">required to sign-in </w:t>
      </w:r>
      <w:r w:rsidR="00730382">
        <w:t xml:space="preserve">at the reading room </w:t>
      </w:r>
      <w:r w:rsidRPr="00383746">
        <w:t>and self-certify that they have not viewed OCA information for more than 10 stationary sources during that calendar month. Individuals wishing to view OCA information that their LEPC is authorized to provide will also be asked to sign-in and display documentation demonstrating that they live or work in that LEPC jurisdiction.</w:t>
      </w:r>
    </w:p>
    <w:p w:rsidR="00101740" w:rsidRPr="00383746" w:rsidP="00B41FD4" w14:paraId="7D4D6C2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B41FD4" w:rsidRPr="00383746" w:rsidP="00B41FD4" w14:paraId="24F304E8" w14:textId="6EF144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State and local agencies</w:t>
      </w:r>
      <w:r w:rsidR="000F33E1">
        <w:t xml:space="preserve"> requesting OCA information</w:t>
      </w:r>
      <w:r w:rsidRPr="00383746">
        <w:t xml:space="preserve"> are required to send a written request to EPA on their official letterhead certifying that they are covered persons under P. L. 106-40 and that they will use the </w:t>
      </w:r>
      <w:r w:rsidR="000F33E1">
        <w:t>information</w:t>
      </w:r>
      <w:r w:rsidRPr="00383746">
        <w:t xml:space="preserve"> for official </w:t>
      </w:r>
      <w:r w:rsidRPr="00383746" w:rsidR="000D5A4F">
        <w:t>purposes</w:t>
      </w:r>
      <w:r w:rsidRPr="00383746">
        <w:t xml:space="preserve"> only.</w:t>
      </w:r>
    </w:p>
    <w:p w:rsidR="00543872" w:rsidRPr="00383746" w:rsidP="00B41FD4" w14:paraId="22B53F28" w14:textId="6D75E3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20388A" w:rsidRPr="00383746" w14:paraId="0BC4FD0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rPr>
          <w:b/>
          <w:bCs/>
        </w:rPr>
        <w:t>(ii)</w:t>
      </w:r>
      <w:r w:rsidRPr="00383746">
        <w:rPr>
          <w:b/>
          <w:bCs/>
        </w:rPr>
        <w:tab/>
        <w:t>Respondent Activities</w:t>
      </w:r>
    </w:p>
    <w:p w:rsidR="0020388A" w:rsidRPr="00383746" w14:paraId="1F2A8FA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20388A" w:rsidRPr="00383746" w14:paraId="0D61733C" w14:textId="56D9C6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t xml:space="preserve">For the public: </w:t>
      </w:r>
    </w:p>
    <w:p w:rsidR="0020388A" w:rsidRPr="00383746" w14:paraId="6E8E7C77" w14:textId="0317F0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20388A" w:rsidRPr="00383746" w:rsidP="00B66EF8" w14:paraId="6B49DFDB" w14:textId="542D87D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pPr>
      <w:r w:rsidRPr="00383746">
        <w:t>Call the central office to make an appointment at a reading room</w:t>
      </w:r>
      <w:r w:rsidRPr="00383746" w:rsidR="008855EB">
        <w:t xml:space="preserve"> </w:t>
      </w:r>
      <w:r w:rsidRPr="00383746" w:rsidR="002E14F8">
        <w:t xml:space="preserve">and </w:t>
      </w:r>
      <w:r w:rsidRPr="00383746">
        <w:t>provid</w:t>
      </w:r>
      <w:r w:rsidR="00806E0B">
        <w:t>e</w:t>
      </w:r>
      <w:r w:rsidRPr="00383746">
        <w:t xml:space="preserve"> </w:t>
      </w:r>
      <w:r w:rsidRPr="00383746" w:rsidR="000D5A4F">
        <w:t xml:space="preserve">their </w:t>
      </w:r>
      <w:r w:rsidRPr="00383746">
        <w:t>name, phone number, and the names of the stationary sources for which OCA information is requested</w:t>
      </w:r>
      <w:r w:rsidRPr="00383746" w:rsidR="00101740">
        <w:t>.</w:t>
      </w:r>
    </w:p>
    <w:p w:rsidR="00101740" w:rsidRPr="00383746" w:rsidP="00B66EF8" w14:paraId="7F8D6EB6" w14:textId="087F126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pPr>
      <w:r w:rsidRPr="00383746">
        <w:t>Display a photo identification at reading rooms and proof of place of residence or employment</w:t>
      </w:r>
      <w:r w:rsidR="007751F0">
        <w:t>.</w:t>
      </w:r>
    </w:p>
    <w:p w:rsidR="0020388A" w:rsidRPr="00383746" w:rsidP="00101740" w14:paraId="0C1DD3DE" w14:textId="1858D102">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pPr>
      <w:r w:rsidRPr="00383746">
        <w:t>S</w:t>
      </w:r>
      <w:r w:rsidRPr="00383746">
        <w:t>ign-in and certify that they have not viewed OCA information for more than 10 stationary sources during that calendar month.</w:t>
      </w:r>
    </w:p>
    <w:p w:rsidR="0020388A" w:rsidRPr="00383746" w:rsidP="00B66EF8" w14:paraId="6F559023" w14:textId="78AF6F20">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pPr>
      <w:r w:rsidRPr="00383746">
        <w:t>Submit a request for information from the vulnerable zone indicator system (VZIS) by Internet or mail</w:t>
      </w:r>
      <w:r w:rsidRPr="00383746" w:rsidR="00F543CF">
        <w:t>.</w:t>
      </w:r>
    </w:p>
    <w:p w:rsidR="0020388A" w:rsidRPr="00383746" w:rsidP="00B66EF8" w14:paraId="40877A2A" w14:textId="56E3E39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pPr>
      <w:r w:rsidRPr="00383746">
        <w:t>Mak</w:t>
      </w:r>
      <w:r w:rsidR="000F33E1">
        <w:t>e</w:t>
      </w:r>
      <w:r w:rsidRPr="00383746">
        <w:t xml:space="preserve"> follow-up calls or contacts to obtain additional information on stationary sources that may affect them.</w:t>
      </w:r>
    </w:p>
    <w:p w:rsidR="000D5A4F" w:rsidRPr="00383746" w:rsidP="000D5A4F" w14:paraId="62B44C3D" w14:textId="39DD98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pPr>
    </w:p>
    <w:p w:rsidR="000D5A4F" w:rsidRPr="00383746" w:rsidP="000D5A4F" w14:paraId="72D76EBB" w14:textId="1537FC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t>F</w:t>
      </w:r>
      <w:r w:rsidRPr="00383746">
        <w:t xml:space="preserve">or </w:t>
      </w:r>
      <w:r w:rsidRPr="00383746" w:rsidR="00101740">
        <w:t>S</w:t>
      </w:r>
      <w:r w:rsidRPr="00383746">
        <w:t>tate and local agencies:</w:t>
      </w:r>
    </w:p>
    <w:p w:rsidR="000D5A4F" w:rsidRPr="00383746" w:rsidP="000D5A4F" w14:paraId="4DBFEA2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0D5A4F" w:rsidRPr="00383746" w:rsidP="000D5A4F" w14:paraId="5686BB80" w14:textId="08F680B0">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pPr>
      <w:r w:rsidRPr="00383746">
        <w:t xml:space="preserve">Read and understand the Security Notice to Federal, </w:t>
      </w:r>
      <w:r w:rsidR="00865723">
        <w:t>S</w:t>
      </w:r>
      <w:r w:rsidRPr="00383746">
        <w:t>tate, and local officials and researchers</w:t>
      </w:r>
      <w:r w:rsidRPr="00383746" w:rsidR="00F543CF">
        <w:t>.</w:t>
      </w:r>
    </w:p>
    <w:p w:rsidR="000D5A4F" w:rsidRPr="00383746" w:rsidP="000D5A4F" w14:paraId="09D3F578" w14:textId="72B3A5EC">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pPr>
      <w:r w:rsidRPr="00383746">
        <w:t>Submit a written request to EPA for OCA information</w:t>
      </w:r>
      <w:r w:rsidRPr="00383746" w:rsidR="00F543CF">
        <w:t>.</w:t>
      </w:r>
    </w:p>
    <w:p w:rsidR="000D5A4F" w:rsidRPr="00383746" w:rsidP="000D5A4F" w14:paraId="237CB983" w14:textId="0E492D3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pPr>
      <w:r w:rsidRPr="00383746">
        <w:t>Provid</w:t>
      </w:r>
      <w:r w:rsidR="00865723">
        <w:t>e</w:t>
      </w:r>
      <w:r w:rsidRPr="00383746">
        <w:t xml:space="preserve"> a location for the public to review OCA information for local stationary sources</w:t>
      </w:r>
      <w:r w:rsidRPr="00383746" w:rsidR="00F543CF">
        <w:t>.</w:t>
      </w:r>
    </w:p>
    <w:p w:rsidR="000D5A4F" w:rsidRPr="00383746" w:rsidP="000D5A4F" w14:paraId="02E5A3EB" w14:textId="04FEA8E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pPr>
      <w:r w:rsidRPr="00383746">
        <w:t>Ensur</w:t>
      </w:r>
      <w:r w:rsidR="00865723">
        <w:t>e</w:t>
      </w:r>
      <w:r w:rsidRPr="00383746">
        <w:t xml:space="preserve"> that members of the public do not remove or copy OCA information they review</w:t>
      </w:r>
      <w:r w:rsidRPr="00383746" w:rsidR="00F543CF">
        <w:t>.</w:t>
      </w:r>
    </w:p>
    <w:p w:rsidR="000D5A4F" w:rsidRPr="00383746" w:rsidP="000D5A4F" w14:paraId="3ECE333B" w14:textId="56F6C49E">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pPr>
      <w:r w:rsidRPr="00383746">
        <w:t>Mak</w:t>
      </w:r>
      <w:r w:rsidR="00865723">
        <w:t>e</w:t>
      </w:r>
      <w:r w:rsidRPr="00383746">
        <w:t xml:space="preserve"> OCA information available in formats other than </w:t>
      </w:r>
      <w:r w:rsidRPr="00383746" w:rsidR="00F543CF">
        <w:t>S</w:t>
      </w:r>
      <w:r w:rsidRPr="00383746">
        <w:t>ections 2 through 5 of the RMP.</w:t>
      </w:r>
    </w:p>
    <w:p w:rsidR="00ED334A" w:rsidRPr="00383746" w:rsidP="00ED334A" w14:paraId="576FBDB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pPr>
    </w:p>
    <w:p w:rsidR="0020388A" w:rsidRPr="00383746" w14:paraId="7AF16E69" w14:textId="5CC877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Lo</w:t>
      </w:r>
      <w:r w:rsidRPr="00383746">
        <w:t xml:space="preserve">cal agencies </w:t>
      </w:r>
      <w:r w:rsidRPr="00383746">
        <w:t xml:space="preserve">are not required </w:t>
      </w:r>
      <w:r w:rsidRPr="00383746">
        <w:t>to ask the public to show any identification to gain access to the information. State agencies</w:t>
      </w:r>
      <w:r w:rsidRPr="00383746" w:rsidR="00CA36EA">
        <w:t xml:space="preserve"> must </w:t>
      </w:r>
      <w:r w:rsidRPr="00383746">
        <w:t>verify that a person seeking information for an area lives or works in the area.</w:t>
      </w:r>
    </w:p>
    <w:p w:rsidR="0020388A" w:rsidRPr="00383746" w14:paraId="2D28021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p>
    <w:p w:rsidR="0020388A" w:rsidRPr="00383746" w14:paraId="72E4F21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720" w:hanging="720"/>
      </w:pPr>
      <w:r w:rsidRPr="00383746">
        <w:rPr>
          <w:b/>
          <w:bCs/>
        </w:rPr>
        <w:t>5.</w:t>
      </w:r>
      <w:r w:rsidRPr="00383746">
        <w:rPr>
          <w:b/>
          <w:bCs/>
        </w:rPr>
        <w:tab/>
        <w:t>THE INFORMATION COLLECTED — AGENCY ACTIVITIES, COLLECTION METHODOLOGY, AND INFORMATION MANAGEMENT</w:t>
      </w:r>
    </w:p>
    <w:p w:rsidR="0020388A" w:rsidRPr="00383746" w14:paraId="5429207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48D07995" w14:textId="490D6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r w:rsidRPr="00383746">
        <w:rPr>
          <w:b/>
          <w:bCs/>
        </w:rPr>
        <w:t>5(a)</w:t>
      </w:r>
      <w:r w:rsidRPr="00383746">
        <w:rPr>
          <w:b/>
          <w:bCs/>
        </w:rPr>
        <w:tab/>
      </w:r>
      <w:r w:rsidRPr="00383746" w:rsidR="00681A17">
        <w:rPr>
          <w:b/>
          <w:bCs/>
        </w:rPr>
        <w:t xml:space="preserve">Agency </w:t>
      </w:r>
      <w:r w:rsidRPr="00383746">
        <w:rPr>
          <w:b/>
          <w:bCs/>
        </w:rPr>
        <w:t>Activities</w:t>
      </w:r>
    </w:p>
    <w:p w:rsidR="0020388A" w:rsidRPr="00383746" w14:paraId="00D533FB" w14:textId="65A955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6332B" w:rsidRPr="00383746" w:rsidP="0026332B" w14:paraId="3DEE85E5" w14:textId="64D33D72">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r w:rsidRPr="00383746">
        <w:rPr>
          <w:b/>
          <w:bCs/>
          <w:u w:val="single"/>
        </w:rPr>
        <w:t>Federal Government</w:t>
      </w:r>
    </w:p>
    <w:p w:rsidR="0026332B" w:rsidRPr="00383746" w:rsidP="0026332B" w14:paraId="02936F12" w14:textId="77777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6332B" w:rsidRPr="00383746" w:rsidP="0026332B" w14:paraId="2C4549DD" w14:textId="08A326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rsidRPr="00383746">
        <w:tab/>
        <w:t xml:space="preserve">The Federal government operates the </w:t>
      </w:r>
      <w:r w:rsidRPr="00383746" w:rsidR="009C2EEA">
        <w:t xml:space="preserve">Federal </w:t>
      </w:r>
      <w:r w:rsidRPr="00383746">
        <w:t xml:space="preserve">reading rooms, maintains the VZIS software, and provides the </w:t>
      </w:r>
      <w:r w:rsidRPr="00383746" w:rsidR="00E0020B">
        <w:t>S</w:t>
      </w:r>
      <w:r w:rsidRPr="00383746">
        <w:t>tate and local agencies with OCA information and technical support</w:t>
      </w:r>
      <w:r w:rsidR="00F2473D">
        <w:t xml:space="preserve"> upon request</w:t>
      </w:r>
      <w:r w:rsidRPr="00383746">
        <w:t xml:space="preserve">. The </w:t>
      </w:r>
      <w:r w:rsidR="006A1A06">
        <w:t xml:space="preserve">Federal </w:t>
      </w:r>
      <w:r w:rsidRPr="00383746">
        <w:t>government may also engage in other activities to provide access to OCA information.</w:t>
      </w:r>
    </w:p>
    <w:p w:rsidR="0026332B" w:rsidRPr="00383746" w14:paraId="2B5383A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0E37D869" w14:textId="33EDF1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u w:val="single"/>
        </w:rPr>
      </w:pPr>
      <w:r w:rsidRPr="00383746">
        <w:rPr>
          <w:b/>
          <w:bCs/>
          <w:u w:val="single"/>
        </w:rPr>
        <w:t xml:space="preserve">State and Local Agencies and </w:t>
      </w:r>
      <w:r w:rsidRPr="00383746" w:rsidR="00251FA8">
        <w:rPr>
          <w:b/>
          <w:bCs/>
          <w:u w:val="single"/>
        </w:rPr>
        <w:t>LEPC</w:t>
      </w:r>
      <w:r w:rsidRPr="00383746">
        <w:rPr>
          <w:b/>
          <w:bCs/>
          <w:u w:val="single"/>
        </w:rPr>
        <w:t>s</w:t>
      </w:r>
    </w:p>
    <w:p w:rsidR="003112DE" w:rsidRPr="00383746" w:rsidP="00DE1FB3" w14:paraId="6B10D0D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3112DE" w:rsidRPr="00383746" w:rsidP="003112DE" w14:paraId="4FCF9EED" w14:textId="388CFB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State government agencies (such as emergency management, environmental protection, health, and natural resources departments) can request OCA data from EPA for all facilities in the</w:t>
      </w:r>
      <w:r w:rsidR="00AF7B9B">
        <w:t>ir</w:t>
      </w:r>
      <w:r w:rsidRPr="00383746">
        <w:t xml:space="preserve"> state. States are authorized </w:t>
      </w:r>
      <w:r w:rsidR="00354704">
        <w:t xml:space="preserve">and encouraged by the rule </w:t>
      </w:r>
      <w:r w:rsidRPr="00383746">
        <w:t xml:space="preserve">to make the OCA information available for reading, but not copying mechanically, </w:t>
      </w:r>
      <w:r w:rsidR="00354704">
        <w:t xml:space="preserve">in public reading rooms </w:t>
      </w:r>
      <w:r w:rsidRPr="00383746">
        <w:t>for the same stationary sources as the LEPC in whose jurisdiction the person lives or works and must verify the person’s address or place of employment</w:t>
      </w:r>
      <w:r w:rsidRPr="00383746" w:rsidR="00DE1FB3">
        <w:t>.</w:t>
      </w:r>
    </w:p>
    <w:p w:rsidR="003112DE" w:rsidRPr="00383746" w:rsidP="003112DE" w14:paraId="7CB031F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130F9C" w:rsidRPr="00383746" w:rsidP="00130F9C" w14:paraId="4B7E59B8" w14:textId="08EE5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 xml:space="preserve">LEPCs and related local government agencies (such as police, fire, emergency management and planning departments) </w:t>
      </w:r>
      <w:r w:rsidR="00354704">
        <w:t xml:space="preserve">also </w:t>
      </w:r>
      <w:r w:rsidRPr="00383746" w:rsidR="00CA36EA">
        <w:t>are authorized</w:t>
      </w:r>
      <w:r w:rsidR="00354704">
        <w:t xml:space="preserve"> and encouraged</w:t>
      </w:r>
      <w:r w:rsidRPr="00383746" w:rsidR="00CA36EA">
        <w:t xml:space="preserve"> </w:t>
      </w:r>
      <w:r w:rsidR="00354704">
        <w:t>by the rule</w:t>
      </w:r>
      <w:r w:rsidRPr="00383746">
        <w:t xml:space="preserve"> provide read-only access to OCA sections of RMPs for sources located within the jurisdiction of the LEPC and for any other stationary sources with vulnerability zones extending into the LEPC’s jurisdiction</w:t>
      </w:r>
      <w:r w:rsidR="00354704">
        <w:t xml:space="preserve"> in public reading rooms</w:t>
      </w:r>
      <w:r w:rsidRPr="00383746" w:rsidR="00341A6F">
        <w:t xml:space="preserve">. They </w:t>
      </w:r>
      <w:r w:rsidRPr="00383746">
        <w:t>are not required to limit the number of stationary sources for which a person can gain access, ascertain a person’s identity or place of re</w:t>
      </w:r>
      <w:r w:rsidRPr="00383746" w:rsidR="009C1CB1">
        <w:t>s</w:t>
      </w:r>
      <w:r w:rsidRPr="00383746">
        <w:t xml:space="preserve">idence or work, or keep records of public access provided. </w:t>
      </w:r>
      <w:r w:rsidRPr="00383746" w:rsidR="008A0665">
        <w:t>While</w:t>
      </w:r>
      <w:r w:rsidRPr="00383746" w:rsidR="009137D7">
        <w:t xml:space="preserve"> </w:t>
      </w:r>
      <w:r w:rsidRPr="00383746" w:rsidR="00371346">
        <w:t>l</w:t>
      </w:r>
      <w:r w:rsidRPr="00383746">
        <w:t>ocal agencies are authorized and encouraged to provide public access to OCA sections of RMPs</w:t>
      </w:r>
      <w:r w:rsidRPr="00383746" w:rsidR="008A0665">
        <w:t>, they are not required to do so</w:t>
      </w:r>
      <w:r w:rsidRPr="00383746">
        <w:t xml:space="preserve">.  </w:t>
      </w:r>
    </w:p>
    <w:p w:rsidR="005B554B" w:rsidRPr="00383746" w:rsidP="00681A17" w14:paraId="7A100FEF" w14:textId="6E1D6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p>
    <w:p w:rsidR="0020388A" w:rsidRPr="00383746" w:rsidP="00BA06D3" w14:paraId="3CBBD3F9" w14:textId="11ABBE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State and local government officials can also obtain OCA information for their official use</w:t>
      </w:r>
      <w:r w:rsidRPr="00383746" w:rsidR="001C2C0C">
        <w:t xml:space="preserve"> by </w:t>
      </w:r>
      <w:r w:rsidRPr="00383746">
        <w:t>send</w:t>
      </w:r>
      <w:r w:rsidRPr="00383746" w:rsidR="001C2C0C">
        <w:t>ing</w:t>
      </w:r>
      <w:r w:rsidRPr="00383746">
        <w:t xml:space="preserve"> a request on their official letterhead to certify that they are covered persons under P.L. 106-40, and that they will use the data for official </w:t>
      </w:r>
      <w:r w:rsidRPr="00383746" w:rsidR="001C2C0C">
        <w:t>purposes</w:t>
      </w:r>
      <w:r w:rsidRPr="00383746">
        <w:t xml:space="preserve"> only</w:t>
      </w:r>
      <w:r w:rsidRPr="00383746" w:rsidR="001C2C0C">
        <w:t>. Once</w:t>
      </w:r>
      <w:r w:rsidRPr="00383746" w:rsidR="00E2285C">
        <w:t xml:space="preserve"> </w:t>
      </w:r>
      <w:r w:rsidRPr="00383746" w:rsidR="00E13D3E">
        <w:t xml:space="preserve">EPA </w:t>
      </w:r>
      <w:r w:rsidRPr="00383746" w:rsidR="00E2285C">
        <w:t>approv</w:t>
      </w:r>
      <w:r w:rsidRPr="00383746" w:rsidR="001C2C0C">
        <w:t>e</w:t>
      </w:r>
      <w:r w:rsidRPr="00383746" w:rsidR="00E13D3E">
        <w:t xml:space="preserve">s </w:t>
      </w:r>
      <w:r w:rsidRPr="00383746" w:rsidR="00D22DA0">
        <w:t>the</w:t>
      </w:r>
      <w:r w:rsidRPr="00383746" w:rsidR="00E2285C">
        <w:t xml:space="preserve"> request, </w:t>
      </w:r>
      <w:r w:rsidRPr="00383746" w:rsidR="00441FB7">
        <w:t>EPA can provide</w:t>
      </w:r>
      <w:r w:rsidRPr="00383746" w:rsidR="00BA06D3">
        <w:t xml:space="preserve"> the</w:t>
      </w:r>
      <w:r w:rsidRPr="00383746" w:rsidR="00441FB7">
        <w:t xml:space="preserve"> OCA information in one of three ways</w:t>
      </w:r>
      <w:r w:rsidRPr="00383746" w:rsidR="00BA06D3">
        <w:t xml:space="preserve">: </w:t>
      </w:r>
      <w:r w:rsidRPr="00383746" w:rsidR="00C2083F">
        <w:t>on a</w:t>
      </w:r>
      <w:r w:rsidRPr="00383746" w:rsidR="00E13D3E">
        <w:t xml:space="preserve"> CD</w:t>
      </w:r>
      <w:r w:rsidR="001822A0">
        <w:t xml:space="preserve"> by mail,</w:t>
      </w:r>
      <w:r w:rsidRPr="00383746" w:rsidR="00C2083F">
        <w:t xml:space="preserve"> </w:t>
      </w:r>
      <w:r w:rsidRPr="00383746" w:rsidR="00D80D67">
        <w:t xml:space="preserve">transmitted </w:t>
      </w:r>
      <w:r w:rsidRPr="00383746" w:rsidR="00E2285C">
        <w:t>via the EPA Central Data Exchange (CDX) system (i.e., over the Internet</w:t>
      </w:r>
      <w:r w:rsidRPr="00383746" w:rsidR="00BA06D3">
        <w:t>, which requires registration with CDX</w:t>
      </w:r>
      <w:r w:rsidRPr="00383746" w:rsidR="00E2285C">
        <w:t xml:space="preserve">), or </w:t>
      </w:r>
      <w:r w:rsidRPr="00383746">
        <w:t xml:space="preserve">EPA </w:t>
      </w:r>
      <w:r w:rsidRPr="00383746" w:rsidR="00E2285C">
        <w:t xml:space="preserve">can </w:t>
      </w:r>
      <w:r w:rsidRPr="00383746">
        <w:t xml:space="preserve">provide paper copies of RMPs to </w:t>
      </w:r>
      <w:r w:rsidR="00197183">
        <w:t>S</w:t>
      </w:r>
      <w:r w:rsidRPr="00383746" w:rsidR="00E2285C">
        <w:t xml:space="preserve">tate and local </w:t>
      </w:r>
      <w:r w:rsidRPr="00383746">
        <w:t xml:space="preserve">agencies </w:t>
      </w:r>
      <w:r w:rsidR="00197183">
        <w:t>up</w:t>
      </w:r>
      <w:r w:rsidRPr="00383746">
        <w:t xml:space="preserve">on request. </w:t>
      </w:r>
    </w:p>
    <w:p w:rsidR="0020388A" w:rsidRPr="00383746" w14:paraId="0CBFD81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20388A" w:rsidRPr="00383746" w14:paraId="158BFCB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20388A" w:rsidRPr="00383746" w14:paraId="1055FCFD" w14:textId="77777777">
      <w:pPr>
        <w:widowControl w:val="0"/>
        <w:tabs>
          <w:tab w:val="left" w:pos="720"/>
          <w:tab w:val="left" w:pos="1440"/>
          <w:tab w:val="left" w:pos="2160"/>
          <w:tab w:val="left" w:pos="2880"/>
          <w:tab w:val="left" w:pos="3600"/>
          <w:tab w:val="left" w:pos="4320"/>
          <w:tab w:val="left" w:pos="5040"/>
          <w:tab w:val="left" w:pos="5760"/>
          <w:tab w:val="left" w:pos="6484"/>
        </w:tabs>
        <w:autoSpaceDE w:val="0"/>
        <w:autoSpaceDN w:val="0"/>
        <w:adjustRightInd w:val="0"/>
        <w:ind w:left="1440" w:hanging="720"/>
      </w:pPr>
      <w:r w:rsidRPr="00383746">
        <w:rPr>
          <w:b/>
          <w:bCs/>
        </w:rPr>
        <w:t>5(b)</w:t>
      </w:r>
      <w:r w:rsidRPr="00383746">
        <w:rPr>
          <w:b/>
          <w:bCs/>
        </w:rPr>
        <w:tab/>
        <w:t>Collection Methodology and Management</w:t>
      </w:r>
    </w:p>
    <w:p w:rsidR="0020388A" w:rsidRPr="00383746" w14:paraId="4DD737C6" w14:textId="593739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1C20CD" w:rsidRPr="00383746" w:rsidP="001C20CD" w14:paraId="5D6C3834" w14:textId="77777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r w:rsidRPr="00383746">
        <w:rPr>
          <w:b/>
          <w:bCs/>
          <w:u w:val="single"/>
        </w:rPr>
        <w:t>Federal Government</w:t>
      </w:r>
    </w:p>
    <w:p w:rsidR="001C20CD" w:rsidRPr="00383746" w14:paraId="36B51ED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2D8B8977" w14:textId="38E155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 xml:space="preserve">The </w:t>
      </w:r>
      <w:r w:rsidRPr="00383746" w:rsidR="000344B0">
        <w:t>F</w:t>
      </w:r>
      <w:r w:rsidRPr="00383746">
        <w:t xml:space="preserve">ederal reading rooms </w:t>
      </w:r>
      <w:r w:rsidRPr="00383746" w:rsidR="00CD4BEB">
        <w:t>m</w:t>
      </w:r>
      <w:r w:rsidRPr="00383746">
        <w:t>aintain records of reading room use and certifications in accordance with procedures established by the Administrator and the Attorney General</w:t>
      </w:r>
      <w:r w:rsidR="00AE3497">
        <w:t>, which</w:t>
      </w:r>
      <w:r w:rsidRPr="00383746">
        <w:t xml:space="preserve"> </w:t>
      </w:r>
      <w:r w:rsidRPr="00383746" w:rsidR="00D95148">
        <w:t>must be</w:t>
      </w:r>
      <w:r w:rsidRPr="00383746">
        <w:t xml:space="preserve"> retained for </w:t>
      </w:r>
      <w:r w:rsidRPr="00383746" w:rsidR="00D95148">
        <w:t xml:space="preserve">up to </w:t>
      </w:r>
      <w:r w:rsidRPr="00383746">
        <w:t xml:space="preserve">three years. The </w:t>
      </w:r>
      <w:r w:rsidRPr="00383746" w:rsidR="00CD4BEB">
        <w:t>F</w:t>
      </w:r>
      <w:r w:rsidRPr="00383746">
        <w:t>eder</w:t>
      </w:r>
      <w:r w:rsidRPr="00383746" w:rsidR="00036AE0">
        <w:t>a</w:t>
      </w:r>
      <w:r w:rsidRPr="00383746">
        <w:t>l reading room staff view the photo identification of requestors</w:t>
      </w:r>
      <w:r w:rsidRPr="00383746" w:rsidR="00CD4BEB">
        <w:t xml:space="preserve"> </w:t>
      </w:r>
      <w:r w:rsidRPr="00383746" w:rsidR="00D95148">
        <w:t>to d</w:t>
      </w:r>
      <w:r w:rsidRPr="00383746">
        <w:t xml:space="preserve">ecrease the likelihood that OCA information </w:t>
      </w:r>
      <w:r w:rsidRPr="00383746" w:rsidR="00CD4BEB">
        <w:t xml:space="preserve">is </w:t>
      </w:r>
      <w:r w:rsidRPr="00383746">
        <w:t xml:space="preserve">obtained by individuals seeking it for criminal purposes.   </w:t>
      </w:r>
    </w:p>
    <w:p w:rsidR="0020388A" w:rsidRPr="00383746" w14:paraId="5D25745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00EE27B3" w14:textId="1286A5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The reading room staff also view proof of residence</w:t>
      </w:r>
      <w:r w:rsidR="000A1E9D">
        <w:t xml:space="preserve"> and </w:t>
      </w:r>
      <w:r w:rsidRPr="00383746">
        <w:t>provide access to OCA information only to individuals who have signed a certification that they have not exceeded their allotment</w:t>
      </w:r>
      <w:r w:rsidRPr="00383746" w:rsidR="00FE027A">
        <w:t>.</w:t>
      </w:r>
      <w:r w:rsidRPr="00383746">
        <w:t xml:space="preserve"> The information recorded on sign-in sheets may be used by law enforcement in the event of a duly authorized investigation of a violation of civil or criminal law. Therefore, these sign-in sheets </w:t>
      </w:r>
      <w:r w:rsidRPr="00383746" w:rsidR="00FE027A">
        <w:t>are</w:t>
      </w:r>
      <w:r w:rsidRPr="00383746">
        <w:t xml:space="preserve"> retained for three years.</w:t>
      </w:r>
    </w:p>
    <w:p w:rsidR="0020388A" w:rsidRPr="00383746" w14:paraId="4B75A09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7A9DD0C3" w14:textId="3CF57D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The information collected during telephone call</w:t>
      </w:r>
      <w:r w:rsidRPr="00383746" w:rsidR="00E2285C">
        <w:t>s</w:t>
      </w:r>
      <w:r w:rsidRPr="00383746">
        <w:t xml:space="preserve"> received by the central office from a requestor of OCA information will enable the central office to schedule an appointment for the requestor at a reading room, relay the requested copies of OCA information to that reading room, and, if necessary, contact the requestor.</w:t>
      </w:r>
      <w:r w:rsidRPr="00383746" w:rsidR="003A297D">
        <w:t xml:space="preserve"> </w:t>
      </w:r>
      <w:r w:rsidRPr="00383746">
        <w:t xml:space="preserve">This </w:t>
      </w:r>
      <w:r w:rsidRPr="00383746">
        <w:t xml:space="preserve">information </w:t>
      </w:r>
      <w:r w:rsidRPr="00383746" w:rsidR="003A297D">
        <w:t xml:space="preserve">is </w:t>
      </w:r>
      <w:r w:rsidRPr="00383746">
        <w:t xml:space="preserve">not retained beyond the requestor’s appointment date.  </w:t>
      </w:r>
    </w:p>
    <w:p w:rsidR="0020388A" w:rsidRPr="00383746" w14:paraId="135EB85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33D27982" w14:textId="67B192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 xml:space="preserve">The requests from </w:t>
      </w:r>
      <w:r w:rsidRPr="00383746" w:rsidR="001827D5">
        <w:t>S</w:t>
      </w:r>
      <w:r w:rsidRPr="00383746">
        <w:t xml:space="preserve">tate and local officials for OCA information also </w:t>
      </w:r>
      <w:r w:rsidR="00782C94">
        <w:t xml:space="preserve">must </w:t>
      </w:r>
      <w:r w:rsidRPr="00383746">
        <w:t xml:space="preserve">be retained for three years.  </w:t>
      </w:r>
    </w:p>
    <w:p w:rsidR="00D86E86" w:rsidRPr="00383746" w14:paraId="3694F721" w14:textId="0BD97C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D86E86" w:rsidRPr="00383746" w:rsidP="00D86E86" w14:paraId="4D4730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r w:rsidRPr="00383746">
        <w:rPr>
          <w:b/>
          <w:bCs/>
          <w:u w:val="single"/>
        </w:rPr>
        <w:t xml:space="preserve">State and Local Agencies, and LEPCs </w:t>
      </w:r>
    </w:p>
    <w:p w:rsidR="00D86E86" w:rsidRPr="00383746" w:rsidP="00D86E86" w14:paraId="3F2A00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D86E86" w:rsidRPr="00383746" w:rsidP="00D86E86" w14:paraId="49733761" w14:textId="633EC774">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tab/>
      </w:r>
      <w:r w:rsidRPr="00383746">
        <w:t>State and local agencies, and LEPCs do not collect any information from the public.</w:t>
      </w:r>
    </w:p>
    <w:p w:rsidR="00D86E86" w:rsidRPr="00383746" w:rsidP="00D86E86" w14:paraId="64205A8E" w14:textId="77777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1CAEE39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rPr>
          <w:b/>
          <w:bCs/>
        </w:rPr>
        <w:t>5(c)</w:t>
      </w:r>
      <w:r w:rsidRPr="00383746">
        <w:rPr>
          <w:b/>
          <w:bCs/>
        </w:rPr>
        <w:tab/>
        <w:t>Small Entity Flexibility</w:t>
      </w:r>
    </w:p>
    <w:p w:rsidR="0020388A" w:rsidRPr="00383746" w14:paraId="7C5E426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4725E00D" w14:textId="73042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The rule does not require small entities, such as local emergency planning committees or related local government agencies, to provide public access to OCA information</w:t>
      </w:r>
      <w:r w:rsidR="002C29C4">
        <w:t>;</w:t>
      </w:r>
      <w:r w:rsidRPr="00383746">
        <w:t xml:space="preserve"> hence</w:t>
      </w:r>
      <w:r w:rsidR="002C29C4">
        <w:t>,</w:t>
      </w:r>
      <w:r w:rsidRPr="00383746">
        <w:t xml:space="preserve"> no special requirements are needed for small entities. </w:t>
      </w:r>
    </w:p>
    <w:p w:rsidR="0020388A" w:rsidRPr="00383746" w14:paraId="131137F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20388A" w:rsidRPr="00383746" w14:paraId="169C4E54" w14:textId="6330ABC0">
      <w:pPr>
        <w:widowControl w:val="0"/>
        <w:tabs>
          <w:tab w:val="left" w:pos="720"/>
          <w:tab w:val="left" w:pos="1440"/>
          <w:tab w:val="left" w:pos="2160"/>
          <w:tab w:val="left" w:pos="2880"/>
          <w:tab w:val="left" w:pos="3600"/>
          <w:tab w:val="left" w:pos="4320"/>
          <w:tab w:val="left" w:pos="5040"/>
          <w:tab w:val="left" w:pos="5760"/>
          <w:tab w:val="left" w:pos="6484"/>
        </w:tabs>
        <w:autoSpaceDE w:val="0"/>
        <w:autoSpaceDN w:val="0"/>
        <w:adjustRightInd w:val="0"/>
        <w:ind w:left="1440" w:hanging="720"/>
      </w:pPr>
      <w:r w:rsidRPr="00383746">
        <w:rPr>
          <w:b/>
          <w:bCs/>
        </w:rPr>
        <w:t>5(d)</w:t>
      </w:r>
      <w:r w:rsidRPr="00383746">
        <w:rPr>
          <w:b/>
          <w:bCs/>
        </w:rPr>
        <w:tab/>
        <w:t>Collection Sc</w:t>
      </w:r>
      <w:r w:rsidR="00B00659">
        <w:rPr>
          <w:b/>
          <w:bCs/>
        </w:rPr>
        <w:t>h</w:t>
      </w:r>
      <w:r w:rsidRPr="00383746">
        <w:rPr>
          <w:b/>
          <w:bCs/>
        </w:rPr>
        <w:t>edule</w:t>
      </w:r>
    </w:p>
    <w:p w:rsidR="0020388A" w:rsidRPr="00383746" w14:paraId="0575B95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rsidRPr="00383746">
        <w:t xml:space="preserve">  </w:t>
      </w:r>
    </w:p>
    <w:p w:rsidR="0020388A" w:rsidRPr="00383746" w14:paraId="1053393D" w14:textId="34BB6B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 xml:space="preserve">    The information collect</w:t>
      </w:r>
      <w:r w:rsidRPr="00383746" w:rsidR="00690BA6">
        <w:t xml:space="preserve">ion at </w:t>
      </w:r>
      <w:r w:rsidRPr="00383746">
        <w:t xml:space="preserve">the </w:t>
      </w:r>
      <w:r w:rsidRPr="00383746" w:rsidR="00690BA6">
        <w:t>F</w:t>
      </w:r>
      <w:r w:rsidRPr="00383746">
        <w:t xml:space="preserve">ederal reading rooms occurs only when an individual requests OCA information. </w:t>
      </w:r>
    </w:p>
    <w:p w:rsidR="0020388A" w:rsidRPr="00383746" w14:paraId="63C780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7793B018" w14:textId="0D6260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rsidRPr="00383746">
        <w:rPr>
          <w:b/>
          <w:bCs/>
        </w:rPr>
        <w:t>6.</w:t>
      </w:r>
      <w:r w:rsidRPr="00383746">
        <w:rPr>
          <w:b/>
          <w:bCs/>
        </w:rPr>
        <w:tab/>
        <w:t xml:space="preserve">ESTIMATING BURDEN AND COST </w:t>
      </w:r>
    </w:p>
    <w:p w:rsidR="0020388A" w:rsidRPr="00383746" w14:paraId="77D779C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14:paraId="2067F19B" w14:textId="2B4711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r w:rsidRPr="00383746">
        <w:rPr>
          <w:b/>
          <w:bCs/>
        </w:rPr>
        <w:t>6(a)</w:t>
      </w:r>
      <w:r w:rsidRPr="00383746">
        <w:rPr>
          <w:b/>
          <w:bCs/>
        </w:rPr>
        <w:tab/>
      </w:r>
      <w:r w:rsidR="007A5B53">
        <w:rPr>
          <w:b/>
          <w:bCs/>
        </w:rPr>
        <w:t xml:space="preserve">Estimating </w:t>
      </w:r>
      <w:r w:rsidRPr="00383746">
        <w:rPr>
          <w:b/>
          <w:bCs/>
        </w:rPr>
        <w:t>Respondent Burden</w:t>
      </w:r>
    </w:p>
    <w:p w:rsidR="00007D80" w14:paraId="2F0818F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p>
    <w:p w:rsidR="00007D80" w:rsidRPr="00264655" w:rsidP="00007D80" w14:paraId="6681840B" w14:textId="37E761E6">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Cs/>
        </w:rPr>
      </w:pPr>
      <w:bookmarkStart w:id="2" w:name="_Hlk109739703"/>
      <w:r w:rsidRPr="00A64A05">
        <w:rPr>
          <w:bCs/>
          <w:sz w:val="22"/>
          <w:szCs w:val="22"/>
        </w:rPr>
        <w:tab/>
      </w:r>
      <w:r w:rsidRPr="00A64A05">
        <w:rPr>
          <w:bCs/>
        </w:rPr>
        <w:t xml:space="preserve">The annual respondent universe for this ICR is 315 </w:t>
      </w:r>
      <w:r w:rsidR="00E77D36">
        <w:rPr>
          <w:bCs/>
        </w:rPr>
        <w:t>S</w:t>
      </w:r>
      <w:r w:rsidRPr="00A64A05">
        <w:rPr>
          <w:bCs/>
        </w:rPr>
        <w:t xml:space="preserve">tate and local agencies, LEPCs and individuals (public). The total includes 15 </w:t>
      </w:r>
      <w:r w:rsidR="00D6604F">
        <w:rPr>
          <w:bCs/>
        </w:rPr>
        <w:t>S</w:t>
      </w:r>
      <w:r w:rsidRPr="00A64A05">
        <w:rPr>
          <w:bCs/>
        </w:rPr>
        <w:t xml:space="preserve">tate agencies and three LEPCs that send letters of request for OCA data, five </w:t>
      </w:r>
      <w:r w:rsidR="00D6604F">
        <w:rPr>
          <w:bCs/>
        </w:rPr>
        <w:t>S</w:t>
      </w:r>
      <w:r w:rsidRPr="00A64A05">
        <w:rPr>
          <w:bCs/>
        </w:rPr>
        <w:t xml:space="preserve">tates that experience reading room visits, </w:t>
      </w:r>
      <w:r w:rsidR="00C210DE">
        <w:rPr>
          <w:bCs/>
        </w:rPr>
        <w:t xml:space="preserve">and </w:t>
      </w:r>
      <w:r w:rsidR="00F13DD9">
        <w:rPr>
          <w:bCs/>
        </w:rPr>
        <w:t>three</w:t>
      </w:r>
      <w:r w:rsidRPr="00C210DE">
        <w:rPr>
          <w:bCs/>
        </w:rPr>
        <w:t xml:space="preserve"> LEPCs that</w:t>
      </w:r>
      <w:r w:rsidRPr="00A64A05">
        <w:rPr>
          <w:bCs/>
        </w:rPr>
        <w:t xml:space="preserve"> hold </w:t>
      </w:r>
      <w:r w:rsidR="00F13DD9">
        <w:rPr>
          <w:bCs/>
        </w:rPr>
        <w:t>five</w:t>
      </w:r>
      <w:r w:rsidRPr="00A64A05">
        <w:rPr>
          <w:bCs/>
        </w:rPr>
        <w:t xml:space="preserve"> public meeting</w:t>
      </w:r>
      <w:r w:rsidR="00C210DE">
        <w:rPr>
          <w:bCs/>
        </w:rPr>
        <w:t>s</w:t>
      </w:r>
      <w:r w:rsidRPr="00A64A05">
        <w:rPr>
          <w:bCs/>
        </w:rPr>
        <w:t xml:space="preserve">; the public component of the total includes </w:t>
      </w:r>
      <w:r w:rsidR="00C210DE">
        <w:rPr>
          <w:bCs/>
        </w:rPr>
        <w:t xml:space="preserve">15 </w:t>
      </w:r>
      <w:r w:rsidRPr="00A64A05">
        <w:rPr>
          <w:bCs/>
        </w:rPr>
        <w:t xml:space="preserve">individuals who visit </w:t>
      </w:r>
      <w:r w:rsidR="00D6604F">
        <w:rPr>
          <w:bCs/>
        </w:rPr>
        <w:t>F</w:t>
      </w:r>
      <w:r w:rsidRPr="00A64A05">
        <w:rPr>
          <w:bCs/>
        </w:rPr>
        <w:t xml:space="preserve">ederal and </w:t>
      </w:r>
      <w:r w:rsidR="00D6604F">
        <w:rPr>
          <w:bCs/>
        </w:rPr>
        <w:t>S</w:t>
      </w:r>
      <w:r w:rsidRPr="00A64A05">
        <w:rPr>
          <w:bCs/>
        </w:rPr>
        <w:t>tate reading rooms and 262 individuals who request VZIS data. The three LEPCs that hold public meetings are assumed to be the same three LEPCs that send letters of request for OCA data. All other respondents are assumed to be unique.</w:t>
      </w:r>
      <w:r w:rsidRPr="00264655">
        <w:rPr>
          <w:bCs/>
        </w:rPr>
        <w:t xml:space="preserve"> </w:t>
      </w:r>
      <w:bookmarkEnd w:id="2"/>
    </w:p>
    <w:p w:rsidR="00007D80" w14:paraId="38566C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p>
    <w:p w:rsidR="006E60A2" w14:paraId="404AA958" w14:textId="0EE01D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Cs w:val="28"/>
        </w:rPr>
      </w:pPr>
      <w:r w:rsidRPr="00A67996">
        <w:rPr>
          <w:szCs w:val="28"/>
        </w:rPr>
        <w:t xml:space="preserve">This section presents estimates of the </w:t>
      </w:r>
      <w:r w:rsidR="00A84D39">
        <w:rPr>
          <w:szCs w:val="28"/>
        </w:rPr>
        <w:t xml:space="preserve">cost and </w:t>
      </w:r>
      <w:r w:rsidRPr="00A67996">
        <w:rPr>
          <w:szCs w:val="28"/>
        </w:rPr>
        <w:t xml:space="preserve">burden </w:t>
      </w:r>
      <w:r w:rsidR="00A84D39">
        <w:rPr>
          <w:szCs w:val="28"/>
        </w:rPr>
        <w:t xml:space="preserve">for both </w:t>
      </w:r>
      <w:r w:rsidRPr="00A67996">
        <w:rPr>
          <w:szCs w:val="28"/>
        </w:rPr>
        <w:t xml:space="preserve">respondents </w:t>
      </w:r>
      <w:r w:rsidR="00A84D39">
        <w:rPr>
          <w:szCs w:val="28"/>
        </w:rPr>
        <w:t xml:space="preserve">and the Agency. </w:t>
      </w:r>
      <w:r w:rsidR="00A84D39">
        <w:t>Includes individual costs per respondent and aggregate cost for the entire respondent universe and the Agency on an annual basis and over the entire period covered by the ICR</w:t>
      </w:r>
      <w:r w:rsidR="007248C9">
        <w:rPr>
          <w:szCs w:val="28"/>
        </w:rPr>
        <w:t>.</w:t>
      </w:r>
    </w:p>
    <w:p w:rsidR="0098269A" w14:paraId="77C3970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p>
    <w:p w:rsidR="006E60A2" w:rsidRPr="005B23D0" w:rsidP="006E60A2" w14:paraId="1E850CA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u w:val="single"/>
        </w:rPr>
      </w:pPr>
      <w:r w:rsidRPr="005B23D0">
        <w:rPr>
          <w:b/>
          <w:bCs/>
          <w:u w:val="single"/>
        </w:rPr>
        <w:t>Public (Individuals)</w:t>
      </w:r>
    </w:p>
    <w:p w:rsidR="006E60A2" w:rsidRPr="00383746" w:rsidP="006E60A2" w14:paraId="7143DD2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6E60A2" w:rsidRPr="00383746" w:rsidP="00BA3585" w14:paraId="5388039F" w14:textId="052AF2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 xml:space="preserve">EPA estimates that each member of the public spends </w:t>
      </w:r>
      <w:r w:rsidRPr="006E60A2">
        <w:t xml:space="preserve">approximately one hour to sign-in and certify; call the central office to give his/her name, address, telephone number, names of the stationary sources for which OCA information is requested, display documentation demonstrating proof of residence and employment, and view OCA information for local facilities at a </w:t>
      </w:r>
      <w:r w:rsidR="00797A40">
        <w:t>F</w:t>
      </w:r>
      <w:r w:rsidRPr="006E60A2">
        <w:t xml:space="preserve">ederal reading room. Based on the information </w:t>
      </w:r>
      <w:r w:rsidR="00000568">
        <w:t xml:space="preserve">EPA </w:t>
      </w:r>
      <w:r w:rsidR="004B6BB5">
        <w:t>collected</w:t>
      </w:r>
      <w:r w:rsidRPr="006E60A2">
        <w:t xml:space="preserve"> for the last three years</w:t>
      </w:r>
      <w:r w:rsidRPr="00632CD6">
        <w:t>, EPA assum</w:t>
      </w:r>
      <w:r w:rsidRPr="00632CD6" w:rsidR="004B6BB5">
        <w:t>e</w:t>
      </w:r>
      <w:r w:rsidRPr="00632CD6">
        <w:t xml:space="preserve">s that </w:t>
      </w:r>
      <w:r w:rsidRPr="00632CD6" w:rsidR="004B6BB5">
        <w:t xml:space="preserve">10 </w:t>
      </w:r>
      <w:r w:rsidRPr="00632CD6">
        <w:t>individual</w:t>
      </w:r>
      <w:r w:rsidRPr="00632CD6" w:rsidR="005044BE">
        <w:t xml:space="preserve">s will </w:t>
      </w:r>
      <w:r w:rsidRPr="00632CD6">
        <w:t>visit the Federal reading rooms</w:t>
      </w:r>
      <w:r w:rsidRPr="00632CD6" w:rsidR="001D2804">
        <w:t xml:space="preserve"> </w:t>
      </w:r>
      <w:r w:rsidRPr="00632CD6" w:rsidR="00BA3585">
        <w:t>annually in the three years covered by this IC</w:t>
      </w:r>
      <w:r w:rsidRPr="00632CD6" w:rsidR="005044BE">
        <w:t>R</w:t>
      </w:r>
      <w:r w:rsidRPr="00632CD6" w:rsidR="00BA3585">
        <w:t>. See Appendix A for details.</w:t>
      </w:r>
      <w:r w:rsidRPr="00632CD6" w:rsidR="005044BE">
        <w:t xml:space="preserve"> State and local agency read</w:t>
      </w:r>
      <w:r w:rsidRPr="005044BE" w:rsidR="005044BE">
        <w:t>ing rooms contacted by EPA</w:t>
      </w:r>
      <w:r w:rsidR="00A4165F">
        <w:t xml:space="preserve"> for the</w:t>
      </w:r>
      <w:r w:rsidR="005044BE">
        <w:t xml:space="preserve"> two </w:t>
      </w:r>
      <w:r w:rsidR="00A4165F">
        <w:t xml:space="preserve">previous </w:t>
      </w:r>
      <w:r w:rsidR="005044BE">
        <w:t xml:space="preserve">ICR renewals </w:t>
      </w:r>
      <w:r w:rsidRPr="005044BE" w:rsidR="005044BE">
        <w:t xml:space="preserve">reported not a single visit to a reading room from a member of the public. </w:t>
      </w:r>
      <w:r w:rsidR="005044BE">
        <w:t xml:space="preserve">EPA </w:t>
      </w:r>
      <w:r w:rsidRPr="005044BE" w:rsidR="005044BE">
        <w:t>err</w:t>
      </w:r>
      <w:r w:rsidR="005044BE">
        <w:t>ed</w:t>
      </w:r>
      <w:r w:rsidRPr="005044BE" w:rsidR="005044BE">
        <w:t xml:space="preserve"> on the conservative side</w:t>
      </w:r>
      <w:r w:rsidR="005044BE">
        <w:t xml:space="preserve"> and </w:t>
      </w:r>
      <w:r w:rsidRPr="005044BE" w:rsidR="005044BE">
        <w:t>assum</w:t>
      </w:r>
      <w:r w:rsidR="005044BE">
        <w:t xml:space="preserve">ed </w:t>
      </w:r>
      <w:r w:rsidRPr="005044BE" w:rsidR="005044BE">
        <w:t>that five public visitors to state and local reading rooms</w:t>
      </w:r>
      <w:r w:rsidR="005044BE">
        <w:t xml:space="preserve"> annually in the previous ICR renewal. EPA is maintaining that assumption for this ICR renewal</w:t>
      </w:r>
      <w:r w:rsidRPr="005044BE" w:rsidR="005044BE">
        <w:t xml:space="preserve"> (15 visits over three years).</w:t>
      </w:r>
      <w:r w:rsidRPr="005044BE" w:rsidR="00BA3585">
        <w:t xml:space="preserve"> </w:t>
      </w:r>
      <w:r w:rsidRPr="005044BE">
        <w:t xml:space="preserve">Therefore, </w:t>
      </w:r>
      <w:r w:rsidRPr="005044BE" w:rsidR="005044BE">
        <w:t xml:space="preserve">15 </w:t>
      </w:r>
      <w:r w:rsidRPr="005044BE">
        <w:t>individuals are assumed to visit Federal, State</w:t>
      </w:r>
      <w:r w:rsidRPr="005044BE" w:rsidR="005E786A">
        <w:t>,</w:t>
      </w:r>
      <w:r w:rsidRPr="005044BE">
        <w:t xml:space="preserve"> and local reading rooms annually.</w:t>
      </w:r>
      <w:r w:rsidRPr="00383746">
        <w:t xml:space="preserve"> </w:t>
      </w:r>
    </w:p>
    <w:p w:rsidR="006E60A2" w:rsidP="006E60A2" w14:paraId="23FFDEAE" w14:textId="763119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6E60A2" w:rsidP="006E60A2" w14:paraId="2A0E6C9D" w14:textId="60E907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color w:val="000000"/>
        </w:rPr>
      </w:pPr>
      <w:r w:rsidRPr="00C63E7C">
        <w:t xml:space="preserve">Additionally, EPA assumes that the public will use the vulnerable zone indicator system (VZIS). In the previous ICR period, the EPA </w:t>
      </w:r>
      <w:r w:rsidR="00000568">
        <w:t>R</w:t>
      </w:r>
      <w:r w:rsidRPr="00C63E7C">
        <w:t xml:space="preserve">eporting </w:t>
      </w:r>
      <w:r w:rsidR="00000568">
        <w:t>C</w:t>
      </w:r>
      <w:r w:rsidRPr="00C63E7C">
        <w:t>enter received 720 VZIS inquiries total, or an average of 240 annually</w:t>
      </w:r>
      <w:r w:rsidR="00F47FF9">
        <w:t>,</w:t>
      </w:r>
      <w:r w:rsidRPr="00C63E7C">
        <w:t xml:space="preserve"> from the public</w:t>
      </w:r>
      <w:r w:rsidR="005F7057">
        <w:t>, which was lower than the previous ICR estimate of 240 inquiries by 22 per year</w:t>
      </w:r>
      <w:r w:rsidRPr="00C63E7C">
        <w:t xml:space="preserve">. The VZIS system was </w:t>
      </w:r>
      <w:r w:rsidR="001E6A50">
        <w:t>not available</w:t>
      </w:r>
      <w:r w:rsidRPr="00C63E7C">
        <w:t xml:space="preserve"> for two months in 2021, so the number was lower (349 in 2019, 295 in 2020, and 76 in 2021). Therefore, EPA estimates </w:t>
      </w:r>
      <w:r w:rsidRPr="00F47FF9">
        <w:t>that the Agency will receive approximately 322 VZIS inquiries from the public for each year covered</w:t>
      </w:r>
      <w:r w:rsidRPr="00C63E7C">
        <w:t xml:space="preserve"> by this ICR, assuming that with the VZIS fully function</w:t>
      </w:r>
      <w:r w:rsidR="001E6A50">
        <w:t>ing</w:t>
      </w:r>
      <w:r w:rsidRPr="00C63E7C">
        <w:t xml:space="preserve">, the average number of inquiries for each of the next three years would be the average of 2019 and 2020. EPA estimates that an individual </w:t>
      </w:r>
      <w:r w:rsidR="00C66B25">
        <w:t>will spend</w:t>
      </w:r>
      <w:r w:rsidRPr="00C63E7C">
        <w:t xml:space="preserve"> approximately one hour to submit a request for the VZIS. </w:t>
      </w:r>
      <w:r w:rsidR="00C66B25">
        <w:t>Exhibit 1 shows t</w:t>
      </w:r>
      <w:r w:rsidRPr="00C63E7C">
        <w:t xml:space="preserve">he total burden to the public for signing in at the </w:t>
      </w:r>
      <w:r w:rsidRPr="00D82F91">
        <w:t>reading room</w:t>
      </w:r>
      <w:r w:rsidRPr="00D82F91" w:rsidR="00C66B25">
        <w:t xml:space="preserve"> (</w:t>
      </w:r>
      <w:r w:rsidRPr="00D82F91" w:rsidR="00D82F91">
        <w:t xml:space="preserve">15 </w:t>
      </w:r>
      <w:r w:rsidRPr="00D82F91" w:rsidR="00C66B25">
        <w:t>hours)</w:t>
      </w:r>
      <w:r w:rsidRPr="00D82F91">
        <w:t xml:space="preserve"> and making</w:t>
      </w:r>
      <w:r w:rsidRPr="00C63E7C">
        <w:t xml:space="preserve"> VZIS inquiries</w:t>
      </w:r>
      <w:r w:rsidR="00C66B25">
        <w:t xml:space="preserve"> (322 hours)</w:t>
      </w:r>
      <w:r w:rsidRPr="00C63E7C">
        <w:t xml:space="preserve"> is estimated to be </w:t>
      </w:r>
      <w:r w:rsidR="00D82F91">
        <w:t>337</w:t>
      </w:r>
      <w:r w:rsidRPr="00C63E7C">
        <w:t xml:space="preserve"> hours annually (</w:t>
      </w:r>
      <w:r w:rsidR="00D82F91">
        <w:t>1,011</w:t>
      </w:r>
      <w:r w:rsidRPr="00C63E7C">
        <w:t xml:space="preserve"> hours over three years)</w:t>
      </w:r>
      <w:r w:rsidR="0065088B">
        <w:t>.</w:t>
      </w:r>
    </w:p>
    <w:p w:rsidR="00A85F0E" w:rsidP="00A85F0E" w14:paraId="5793E214" w14:textId="75673E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color w:val="000000"/>
        </w:rPr>
      </w:pPr>
    </w:p>
    <w:p w:rsidR="00A85F0E" w:rsidP="00A85F0E" w14:paraId="4A5A1F4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color w:val="000000"/>
        </w:rPr>
      </w:pPr>
      <w:r w:rsidRPr="005248BE">
        <w:rPr>
          <w:b/>
          <w:bCs/>
          <w:color w:val="000000"/>
        </w:rPr>
        <w:t>Exhibit 1</w:t>
      </w:r>
    </w:p>
    <w:p w:rsidR="00A85F0E" w:rsidP="00A85F0E" w14:paraId="14D85C28" w14:textId="3C48D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color w:val="000000"/>
        </w:rPr>
      </w:pPr>
      <w:r>
        <w:rPr>
          <w:b/>
          <w:bCs/>
          <w:color w:val="000000"/>
        </w:rPr>
        <w:t xml:space="preserve">Public </w:t>
      </w:r>
      <w:r>
        <w:rPr>
          <w:b/>
          <w:bCs/>
          <w:color w:val="000000"/>
        </w:rPr>
        <w:t>Burden Hours</w:t>
      </w:r>
      <w:r w:rsidR="00303089">
        <w:rPr>
          <w:b/>
          <w:bCs/>
          <w:color w:val="000000"/>
        </w:rPr>
        <w:t xml:space="preserve"> for Reading Room Visitations and VZIS Inquiries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1412"/>
        <w:gridCol w:w="1490"/>
        <w:gridCol w:w="1085"/>
        <w:gridCol w:w="1403"/>
      </w:tblGrid>
      <w:tr w14:paraId="6BFE44E6" w14:textId="77777777" w:rsidTr="005B23D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1902" w:type="pct"/>
            <w:shd w:val="clear" w:color="auto" w:fill="auto"/>
            <w:vAlign w:val="center"/>
            <w:hideMark/>
          </w:tcPr>
          <w:p w:rsidR="00A85F0E" w:rsidP="00C343C2" w14:paraId="2582AC88" w14:textId="4C676270">
            <w:pPr>
              <w:jc w:val="center"/>
              <w:rPr>
                <w:b/>
                <w:bCs/>
                <w:color w:val="000000"/>
                <w:sz w:val="22"/>
                <w:szCs w:val="22"/>
              </w:rPr>
            </w:pPr>
            <w:r>
              <w:rPr>
                <w:b/>
                <w:bCs/>
                <w:color w:val="000000"/>
                <w:sz w:val="22"/>
                <w:szCs w:val="22"/>
              </w:rPr>
              <w:t>Burden Activity</w:t>
            </w:r>
          </w:p>
        </w:tc>
        <w:tc>
          <w:tcPr>
            <w:tcW w:w="843" w:type="pct"/>
            <w:shd w:val="clear" w:color="auto" w:fill="auto"/>
            <w:vAlign w:val="center"/>
            <w:hideMark/>
          </w:tcPr>
          <w:p w:rsidR="00A85F0E" w:rsidP="00C343C2" w14:paraId="212192C2" w14:textId="77777777">
            <w:pPr>
              <w:jc w:val="center"/>
              <w:rPr>
                <w:b/>
                <w:bCs/>
                <w:color w:val="000000"/>
                <w:sz w:val="22"/>
                <w:szCs w:val="22"/>
              </w:rPr>
            </w:pPr>
            <w:r>
              <w:rPr>
                <w:b/>
                <w:bCs/>
                <w:color w:val="000000"/>
                <w:sz w:val="22"/>
                <w:szCs w:val="22"/>
              </w:rPr>
              <w:t>Hours per Person</w:t>
            </w:r>
          </w:p>
        </w:tc>
        <w:tc>
          <w:tcPr>
            <w:tcW w:w="888" w:type="pct"/>
            <w:shd w:val="clear" w:color="auto" w:fill="auto"/>
            <w:vAlign w:val="center"/>
            <w:hideMark/>
          </w:tcPr>
          <w:p w:rsidR="00A85F0E" w:rsidP="00C343C2" w14:paraId="2007DC8B" w14:textId="10C3DE26">
            <w:pPr>
              <w:jc w:val="center"/>
              <w:rPr>
                <w:b/>
                <w:bCs/>
                <w:color w:val="000000"/>
                <w:sz w:val="22"/>
                <w:szCs w:val="22"/>
              </w:rPr>
            </w:pPr>
            <w:r>
              <w:rPr>
                <w:b/>
                <w:bCs/>
                <w:color w:val="000000"/>
                <w:sz w:val="22"/>
                <w:szCs w:val="22"/>
              </w:rPr>
              <w:t>Annual Activity Count</w:t>
            </w:r>
          </w:p>
        </w:tc>
        <w:tc>
          <w:tcPr>
            <w:tcW w:w="530" w:type="pct"/>
            <w:shd w:val="clear" w:color="auto" w:fill="auto"/>
            <w:vAlign w:val="center"/>
          </w:tcPr>
          <w:p w:rsidR="00A85F0E" w:rsidP="00C343C2" w14:paraId="68A47F95" w14:textId="2E264BA3">
            <w:pPr>
              <w:jc w:val="center"/>
              <w:rPr>
                <w:b/>
                <w:bCs/>
                <w:color w:val="000000"/>
                <w:sz w:val="22"/>
                <w:szCs w:val="22"/>
              </w:rPr>
            </w:pPr>
            <w:r>
              <w:rPr>
                <w:b/>
                <w:bCs/>
                <w:color w:val="000000"/>
                <w:sz w:val="22"/>
                <w:szCs w:val="22"/>
              </w:rPr>
              <w:t xml:space="preserve"> Hours </w:t>
            </w:r>
            <w:r>
              <w:rPr>
                <w:b/>
                <w:bCs/>
                <w:color w:val="000000"/>
                <w:sz w:val="22"/>
                <w:szCs w:val="22"/>
              </w:rPr>
              <w:t>Annual</w:t>
            </w:r>
            <w:r>
              <w:rPr>
                <w:b/>
                <w:bCs/>
                <w:color w:val="000000"/>
                <w:sz w:val="22"/>
                <w:szCs w:val="22"/>
              </w:rPr>
              <w:t>ly</w:t>
            </w:r>
          </w:p>
        </w:tc>
        <w:tc>
          <w:tcPr>
            <w:tcW w:w="838" w:type="pct"/>
            <w:shd w:val="clear" w:color="auto" w:fill="auto"/>
            <w:vAlign w:val="center"/>
            <w:hideMark/>
          </w:tcPr>
          <w:p w:rsidR="00A85F0E" w:rsidP="00C343C2" w14:paraId="09BF7516" w14:textId="72EE7C19">
            <w:pPr>
              <w:jc w:val="center"/>
              <w:rPr>
                <w:b/>
                <w:bCs/>
                <w:color w:val="000000"/>
                <w:sz w:val="22"/>
                <w:szCs w:val="22"/>
              </w:rPr>
            </w:pPr>
            <w:r>
              <w:rPr>
                <w:b/>
                <w:bCs/>
                <w:color w:val="000000"/>
                <w:sz w:val="22"/>
                <w:szCs w:val="22"/>
              </w:rPr>
              <w:t>Three-Year Total</w:t>
            </w:r>
            <w:r w:rsidR="005B23D0">
              <w:rPr>
                <w:b/>
                <w:bCs/>
                <w:color w:val="000000"/>
                <w:sz w:val="22"/>
                <w:szCs w:val="22"/>
              </w:rPr>
              <w:t xml:space="preserve"> Hours</w:t>
            </w:r>
          </w:p>
        </w:tc>
      </w:tr>
      <w:tr w14:paraId="3E07D977" w14:textId="77777777" w:rsidTr="005B23D0">
        <w:tblPrEx>
          <w:tblW w:w="5000" w:type="pct"/>
          <w:tblLook w:val="04A0"/>
        </w:tblPrEx>
        <w:trPr>
          <w:trHeight w:val="20"/>
        </w:trPr>
        <w:tc>
          <w:tcPr>
            <w:tcW w:w="1902" w:type="pct"/>
            <w:shd w:val="clear" w:color="auto" w:fill="auto"/>
            <w:vAlign w:val="center"/>
            <w:hideMark/>
          </w:tcPr>
          <w:p w:rsidR="00A85F0E" w14:paraId="1D6D96E5" w14:textId="77777777">
            <w:pPr>
              <w:rPr>
                <w:color w:val="000000"/>
                <w:sz w:val="22"/>
                <w:szCs w:val="22"/>
              </w:rPr>
            </w:pPr>
            <w:r>
              <w:rPr>
                <w:color w:val="000000"/>
                <w:sz w:val="22"/>
                <w:szCs w:val="22"/>
              </w:rPr>
              <w:t>Reading Rooms - Federal</w:t>
            </w:r>
          </w:p>
        </w:tc>
        <w:tc>
          <w:tcPr>
            <w:tcW w:w="843" w:type="pct"/>
            <w:shd w:val="clear" w:color="auto" w:fill="auto"/>
            <w:vAlign w:val="center"/>
            <w:hideMark/>
          </w:tcPr>
          <w:p w:rsidR="00A85F0E" w14:paraId="1042922E" w14:textId="77777777">
            <w:pPr>
              <w:jc w:val="center"/>
              <w:rPr>
                <w:color w:val="000000"/>
                <w:sz w:val="22"/>
                <w:szCs w:val="22"/>
              </w:rPr>
            </w:pPr>
            <w:r>
              <w:rPr>
                <w:color w:val="000000"/>
                <w:sz w:val="22"/>
                <w:szCs w:val="22"/>
              </w:rPr>
              <w:t>1</w:t>
            </w:r>
          </w:p>
        </w:tc>
        <w:tc>
          <w:tcPr>
            <w:tcW w:w="888" w:type="pct"/>
            <w:shd w:val="clear" w:color="auto" w:fill="auto"/>
            <w:vAlign w:val="center"/>
            <w:hideMark/>
          </w:tcPr>
          <w:p w:rsidR="00A85F0E" w14:paraId="64EEB105" w14:textId="7BB95860">
            <w:pPr>
              <w:jc w:val="center"/>
              <w:rPr>
                <w:color w:val="000000"/>
                <w:sz w:val="22"/>
                <w:szCs w:val="22"/>
              </w:rPr>
            </w:pPr>
            <w:r>
              <w:rPr>
                <w:color w:val="000000"/>
                <w:sz w:val="22"/>
                <w:szCs w:val="22"/>
              </w:rPr>
              <w:t>10</w:t>
            </w:r>
          </w:p>
        </w:tc>
        <w:tc>
          <w:tcPr>
            <w:tcW w:w="530" w:type="pct"/>
            <w:shd w:val="clear" w:color="auto" w:fill="auto"/>
            <w:vAlign w:val="center"/>
          </w:tcPr>
          <w:p w:rsidR="00A85F0E" w14:paraId="340A0381" w14:textId="353FCD26">
            <w:pPr>
              <w:jc w:val="center"/>
              <w:rPr>
                <w:color w:val="000000"/>
                <w:sz w:val="22"/>
                <w:szCs w:val="22"/>
              </w:rPr>
            </w:pPr>
            <w:r>
              <w:rPr>
                <w:color w:val="000000"/>
                <w:sz w:val="22"/>
                <w:szCs w:val="22"/>
              </w:rPr>
              <w:t>10</w:t>
            </w:r>
          </w:p>
        </w:tc>
        <w:tc>
          <w:tcPr>
            <w:tcW w:w="838" w:type="pct"/>
            <w:shd w:val="clear" w:color="auto" w:fill="auto"/>
            <w:vAlign w:val="center"/>
            <w:hideMark/>
          </w:tcPr>
          <w:p w:rsidR="00A85F0E" w14:paraId="7F353AE9" w14:textId="7A299329">
            <w:pPr>
              <w:jc w:val="center"/>
              <w:rPr>
                <w:color w:val="000000"/>
                <w:sz w:val="22"/>
                <w:szCs w:val="22"/>
              </w:rPr>
            </w:pPr>
            <w:r>
              <w:rPr>
                <w:color w:val="000000"/>
                <w:sz w:val="22"/>
                <w:szCs w:val="22"/>
              </w:rPr>
              <w:t>30</w:t>
            </w:r>
          </w:p>
        </w:tc>
      </w:tr>
      <w:tr w14:paraId="548E6F20" w14:textId="77777777" w:rsidTr="005B23D0">
        <w:tblPrEx>
          <w:tblW w:w="5000" w:type="pct"/>
          <w:tblLook w:val="04A0"/>
        </w:tblPrEx>
        <w:trPr>
          <w:trHeight w:val="20"/>
        </w:trPr>
        <w:tc>
          <w:tcPr>
            <w:tcW w:w="1902" w:type="pct"/>
            <w:shd w:val="clear" w:color="auto" w:fill="auto"/>
            <w:vAlign w:val="center"/>
            <w:hideMark/>
          </w:tcPr>
          <w:p w:rsidR="00A85F0E" w14:paraId="08CE9B1A" w14:textId="77777777">
            <w:pPr>
              <w:rPr>
                <w:color w:val="000000"/>
                <w:sz w:val="22"/>
                <w:szCs w:val="22"/>
              </w:rPr>
            </w:pPr>
            <w:r>
              <w:rPr>
                <w:color w:val="000000"/>
                <w:sz w:val="22"/>
                <w:szCs w:val="22"/>
              </w:rPr>
              <w:t>Reading Rooms - State and Local</w:t>
            </w:r>
          </w:p>
        </w:tc>
        <w:tc>
          <w:tcPr>
            <w:tcW w:w="843" w:type="pct"/>
            <w:shd w:val="clear" w:color="auto" w:fill="auto"/>
            <w:vAlign w:val="center"/>
            <w:hideMark/>
          </w:tcPr>
          <w:p w:rsidR="00A85F0E" w14:paraId="7920DAA8" w14:textId="77777777">
            <w:pPr>
              <w:jc w:val="center"/>
              <w:rPr>
                <w:color w:val="000000"/>
                <w:sz w:val="22"/>
                <w:szCs w:val="22"/>
              </w:rPr>
            </w:pPr>
            <w:r>
              <w:rPr>
                <w:color w:val="000000"/>
                <w:sz w:val="22"/>
                <w:szCs w:val="22"/>
              </w:rPr>
              <w:t>1</w:t>
            </w:r>
          </w:p>
        </w:tc>
        <w:tc>
          <w:tcPr>
            <w:tcW w:w="888" w:type="pct"/>
            <w:shd w:val="clear" w:color="auto" w:fill="auto"/>
            <w:vAlign w:val="center"/>
            <w:hideMark/>
          </w:tcPr>
          <w:p w:rsidR="00A85F0E" w14:paraId="7C71514B" w14:textId="62E7AAE3">
            <w:pPr>
              <w:jc w:val="center"/>
              <w:rPr>
                <w:color w:val="000000"/>
                <w:sz w:val="22"/>
                <w:szCs w:val="22"/>
              </w:rPr>
            </w:pPr>
            <w:r>
              <w:rPr>
                <w:color w:val="000000"/>
                <w:sz w:val="22"/>
                <w:szCs w:val="22"/>
              </w:rPr>
              <w:t>5</w:t>
            </w:r>
          </w:p>
        </w:tc>
        <w:tc>
          <w:tcPr>
            <w:tcW w:w="530" w:type="pct"/>
            <w:shd w:val="clear" w:color="auto" w:fill="auto"/>
            <w:vAlign w:val="center"/>
          </w:tcPr>
          <w:p w:rsidR="00A85F0E" w14:paraId="2248AA9A" w14:textId="0DF86469">
            <w:pPr>
              <w:jc w:val="center"/>
              <w:rPr>
                <w:color w:val="000000"/>
                <w:sz w:val="22"/>
                <w:szCs w:val="22"/>
              </w:rPr>
            </w:pPr>
            <w:r>
              <w:rPr>
                <w:color w:val="000000"/>
                <w:sz w:val="22"/>
                <w:szCs w:val="22"/>
              </w:rPr>
              <w:t>5</w:t>
            </w:r>
          </w:p>
        </w:tc>
        <w:tc>
          <w:tcPr>
            <w:tcW w:w="838" w:type="pct"/>
            <w:shd w:val="clear" w:color="auto" w:fill="auto"/>
            <w:vAlign w:val="center"/>
            <w:hideMark/>
          </w:tcPr>
          <w:p w:rsidR="00A85F0E" w14:paraId="58C58F44" w14:textId="039BB536">
            <w:pPr>
              <w:jc w:val="center"/>
              <w:rPr>
                <w:color w:val="000000"/>
                <w:sz w:val="22"/>
                <w:szCs w:val="22"/>
              </w:rPr>
            </w:pPr>
            <w:r>
              <w:rPr>
                <w:color w:val="000000"/>
                <w:sz w:val="22"/>
                <w:szCs w:val="22"/>
              </w:rPr>
              <w:t>15</w:t>
            </w:r>
          </w:p>
        </w:tc>
      </w:tr>
      <w:tr w14:paraId="38D7C67A" w14:textId="77777777" w:rsidTr="005B23D0">
        <w:tblPrEx>
          <w:tblW w:w="5000" w:type="pct"/>
          <w:tblLook w:val="04A0"/>
        </w:tblPrEx>
        <w:trPr>
          <w:trHeight w:val="20"/>
        </w:trPr>
        <w:tc>
          <w:tcPr>
            <w:tcW w:w="1902" w:type="pct"/>
            <w:shd w:val="clear" w:color="auto" w:fill="auto"/>
            <w:vAlign w:val="center"/>
            <w:hideMark/>
          </w:tcPr>
          <w:p w:rsidR="00A85F0E" w14:paraId="1C6A7225" w14:textId="77777777">
            <w:pPr>
              <w:rPr>
                <w:color w:val="000000"/>
                <w:sz w:val="22"/>
                <w:szCs w:val="22"/>
              </w:rPr>
            </w:pPr>
            <w:r>
              <w:rPr>
                <w:color w:val="000000"/>
                <w:sz w:val="22"/>
                <w:szCs w:val="22"/>
              </w:rPr>
              <w:t>Vulnerable Zone Indicator System (VZIS) Inquiries</w:t>
            </w:r>
          </w:p>
        </w:tc>
        <w:tc>
          <w:tcPr>
            <w:tcW w:w="843" w:type="pct"/>
            <w:shd w:val="clear" w:color="auto" w:fill="auto"/>
            <w:vAlign w:val="center"/>
            <w:hideMark/>
          </w:tcPr>
          <w:p w:rsidR="00A85F0E" w14:paraId="3AA9BA87" w14:textId="77777777">
            <w:pPr>
              <w:jc w:val="center"/>
              <w:rPr>
                <w:color w:val="000000"/>
                <w:sz w:val="22"/>
                <w:szCs w:val="22"/>
              </w:rPr>
            </w:pPr>
            <w:r>
              <w:rPr>
                <w:color w:val="000000"/>
                <w:sz w:val="22"/>
                <w:szCs w:val="22"/>
              </w:rPr>
              <w:t>1</w:t>
            </w:r>
          </w:p>
        </w:tc>
        <w:tc>
          <w:tcPr>
            <w:tcW w:w="888" w:type="pct"/>
            <w:shd w:val="clear" w:color="auto" w:fill="auto"/>
            <w:vAlign w:val="center"/>
            <w:hideMark/>
          </w:tcPr>
          <w:p w:rsidR="00A85F0E" w:rsidRPr="00172ABE" w14:paraId="1C6592A7" w14:textId="77777777">
            <w:pPr>
              <w:jc w:val="center"/>
              <w:rPr>
                <w:color w:val="000000"/>
                <w:sz w:val="22"/>
                <w:szCs w:val="22"/>
              </w:rPr>
            </w:pPr>
            <w:r w:rsidRPr="00172ABE">
              <w:rPr>
                <w:color w:val="000000"/>
                <w:sz w:val="22"/>
                <w:szCs w:val="22"/>
              </w:rPr>
              <w:t>322</w:t>
            </w:r>
          </w:p>
        </w:tc>
        <w:tc>
          <w:tcPr>
            <w:tcW w:w="530" w:type="pct"/>
            <w:shd w:val="clear" w:color="auto" w:fill="auto"/>
            <w:vAlign w:val="center"/>
          </w:tcPr>
          <w:p w:rsidR="00A85F0E" w:rsidRPr="00172ABE" w14:paraId="7FB7E0B0" w14:textId="42642E51">
            <w:pPr>
              <w:jc w:val="center"/>
              <w:rPr>
                <w:color w:val="000000"/>
                <w:sz w:val="22"/>
                <w:szCs w:val="22"/>
              </w:rPr>
            </w:pPr>
            <w:r w:rsidRPr="00172ABE">
              <w:rPr>
                <w:bCs/>
                <w:color w:val="000000"/>
                <w:sz w:val="22"/>
                <w:szCs w:val="22"/>
              </w:rPr>
              <w:t>322</w:t>
            </w:r>
          </w:p>
        </w:tc>
        <w:tc>
          <w:tcPr>
            <w:tcW w:w="838" w:type="pct"/>
            <w:shd w:val="clear" w:color="auto" w:fill="auto"/>
            <w:vAlign w:val="center"/>
            <w:hideMark/>
          </w:tcPr>
          <w:p w:rsidR="00A85F0E" w:rsidRPr="00172ABE" w14:paraId="4C33BFD7" w14:textId="77777777">
            <w:pPr>
              <w:jc w:val="center"/>
              <w:rPr>
                <w:color w:val="000000"/>
                <w:sz w:val="22"/>
                <w:szCs w:val="22"/>
              </w:rPr>
            </w:pPr>
            <w:r w:rsidRPr="00172ABE">
              <w:rPr>
                <w:bCs/>
                <w:color w:val="000000"/>
                <w:sz w:val="22"/>
                <w:szCs w:val="22"/>
              </w:rPr>
              <w:t>966</w:t>
            </w:r>
          </w:p>
        </w:tc>
      </w:tr>
      <w:tr w14:paraId="439CAA66" w14:textId="77777777" w:rsidTr="005B23D0">
        <w:tblPrEx>
          <w:tblW w:w="5000" w:type="pct"/>
          <w:tblLook w:val="04A0"/>
        </w:tblPrEx>
        <w:trPr>
          <w:trHeight w:val="20"/>
        </w:trPr>
        <w:tc>
          <w:tcPr>
            <w:tcW w:w="1902" w:type="pct"/>
            <w:shd w:val="clear" w:color="auto" w:fill="auto"/>
            <w:vAlign w:val="center"/>
            <w:hideMark/>
          </w:tcPr>
          <w:p w:rsidR="00A85F0E" w14:paraId="35163573" w14:textId="77777777">
            <w:pPr>
              <w:rPr>
                <w:b/>
                <w:bCs/>
                <w:color w:val="000000"/>
                <w:sz w:val="22"/>
                <w:szCs w:val="22"/>
              </w:rPr>
            </w:pPr>
            <w:r>
              <w:rPr>
                <w:b/>
                <w:bCs/>
                <w:color w:val="000000"/>
                <w:sz w:val="22"/>
                <w:szCs w:val="22"/>
              </w:rPr>
              <w:t>Total</w:t>
            </w:r>
          </w:p>
        </w:tc>
        <w:tc>
          <w:tcPr>
            <w:tcW w:w="843" w:type="pct"/>
            <w:shd w:val="clear" w:color="auto" w:fill="auto"/>
            <w:vAlign w:val="center"/>
            <w:hideMark/>
          </w:tcPr>
          <w:p w:rsidR="00A85F0E" w14:paraId="300D4589" w14:textId="0D1E1A3B">
            <w:pPr>
              <w:jc w:val="center"/>
              <w:rPr>
                <w:b/>
                <w:bCs/>
                <w:color w:val="000000"/>
                <w:sz w:val="22"/>
                <w:szCs w:val="22"/>
              </w:rPr>
            </w:pPr>
            <w:r>
              <w:rPr>
                <w:b/>
                <w:bCs/>
                <w:color w:val="000000"/>
                <w:sz w:val="22"/>
                <w:szCs w:val="22"/>
              </w:rPr>
              <w:t>3</w:t>
            </w:r>
          </w:p>
        </w:tc>
        <w:tc>
          <w:tcPr>
            <w:tcW w:w="888" w:type="pct"/>
            <w:shd w:val="clear" w:color="auto" w:fill="auto"/>
            <w:vAlign w:val="center"/>
            <w:hideMark/>
          </w:tcPr>
          <w:p w:rsidR="00A85F0E" w14:paraId="08315A8F" w14:textId="1ADB7D75">
            <w:pPr>
              <w:jc w:val="center"/>
              <w:rPr>
                <w:b/>
                <w:bCs/>
                <w:color w:val="000000"/>
                <w:sz w:val="22"/>
                <w:szCs w:val="22"/>
              </w:rPr>
            </w:pPr>
            <w:r>
              <w:rPr>
                <w:b/>
                <w:bCs/>
                <w:color w:val="000000"/>
                <w:sz w:val="22"/>
                <w:szCs w:val="22"/>
              </w:rPr>
              <w:t>337</w:t>
            </w:r>
          </w:p>
        </w:tc>
        <w:tc>
          <w:tcPr>
            <w:tcW w:w="530" w:type="pct"/>
            <w:shd w:val="clear" w:color="auto" w:fill="auto"/>
            <w:vAlign w:val="center"/>
          </w:tcPr>
          <w:p w:rsidR="00A85F0E" w14:paraId="686BE5DB" w14:textId="74217B6D">
            <w:pPr>
              <w:jc w:val="center"/>
              <w:rPr>
                <w:b/>
                <w:bCs/>
                <w:color w:val="000000"/>
                <w:sz w:val="22"/>
                <w:szCs w:val="22"/>
              </w:rPr>
            </w:pPr>
            <w:r>
              <w:rPr>
                <w:b/>
                <w:bCs/>
                <w:color w:val="000000"/>
                <w:sz w:val="22"/>
                <w:szCs w:val="22"/>
              </w:rPr>
              <w:t>337</w:t>
            </w:r>
          </w:p>
        </w:tc>
        <w:tc>
          <w:tcPr>
            <w:tcW w:w="838" w:type="pct"/>
            <w:shd w:val="clear" w:color="auto" w:fill="auto"/>
            <w:vAlign w:val="center"/>
            <w:hideMark/>
          </w:tcPr>
          <w:p w:rsidR="00A85F0E" w14:paraId="0E5DEE75" w14:textId="44DE07D4">
            <w:pPr>
              <w:jc w:val="center"/>
              <w:rPr>
                <w:b/>
                <w:bCs/>
                <w:color w:val="000000"/>
                <w:sz w:val="22"/>
                <w:szCs w:val="22"/>
              </w:rPr>
            </w:pPr>
            <w:r>
              <w:rPr>
                <w:b/>
                <w:bCs/>
                <w:color w:val="000000"/>
                <w:sz w:val="22"/>
                <w:szCs w:val="22"/>
              </w:rPr>
              <w:t>1,011</w:t>
            </w:r>
          </w:p>
        </w:tc>
      </w:tr>
    </w:tbl>
    <w:p w:rsidR="00AC6B66" w:rsidRPr="00383746" w:rsidP="00AC6B66" w14:paraId="7582631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rPr>
      </w:pPr>
    </w:p>
    <w:p w:rsidR="006E60A2" w:rsidRPr="00383746" w14:paraId="0312991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p>
    <w:p w:rsidR="0020388A" w:rsidRPr="00303089" w14:paraId="4EF14903" w14:textId="2AEF70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u w:val="single"/>
        </w:rPr>
      </w:pPr>
      <w:r w:rsidRPr="00303089">
        <w:rPr>
          <w:b/>
          <w:bCs/>
          <w:u w:val="single"/>
        </w:rPr>
        <w:t>State</w:t>
      </w:r>
      <w:r w:rsidRPr="00303089" w:rsidR="00E27B87">
        <w:rPr>
          <w:b/>
          <w:bCs/>
          <w:u w:val="single"/>
        </w:rPr>
        <w:t xml:space="preserve"> and </w:t>
      </w:r>
      <w:r w:rsidRPr="00303089">
        <w:rPr>
          <w:b/>
          <w:bCs/>
          <w:u w:val="single"/>
        </w:rPr>
        <w:t>Local Agencies</w:t>
      </w:r>
      <w:r w:rsidRPr="00303089" w:rsidR="00E27B87">
        <w:rPr>
          <w:b/>
          <w:bCs/>
          <w:u w:val="single"/>
        </w:rPr>
        <w:t xml:space="preserve"> and LEPCs</w:t>
      </w:r>
    </w:p>
    <w:p w:rsidR="0020388A" w:rsidRPr="00383746" w14:paraId="198AD4EE" w14:textId="05CAEB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BC3627" w:rsidRPr="00383746" w:rsidP="00BC3627" w14:paraId="5FCE88F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rPr>
      </w:pPr>
      <w:r w:rsidRPr="00383746">
        <w:rPr>
          <w:i/>
        </w:rPr>
        <w:t>OCA Data Requests and CDX Registration</w:t>
      </w:r>
    </w:p>
    <w:p w:rsidR="00BC3627" w:rsidRPr="00383746" w:rsidP="00BC3627" w14:paraId="1169F1A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695510" w:rsidP="00616F6F" w14:paraId="4B693ABD" w14:textId="77756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State</w:t>
      </w:r>
      <w:r w:rsidR="00126775">
        <w:t xml:space="preserve"> and local government agencies</w:t>
      </w:r>
      <w:r w:rsidR="00704E45">
        <w:t>,</w:t>
      </w:r>
      <w:r w:rsidRPr="00383746">
        <w:t xml:space="preserve"> and LEPCs can obtain OCA data by CD, </w:t>
      </w:r>
      <w:r w:rsidR="00754CCD">
        <w:t>via</w:t>
      </w:r>
      <w:r w:rsidRPr="00383746">
        <w:t xml:space="preserve"> RMP*Info and via RMP Dataset Download. They must send a written request to EPA </w:t>
      </w:r>
      <w:r w:rsidR="006272D1">
        <w:t xml:space="preserve">so that EPA can </w:t>
      </w:r>
      <w:r w:rsidRPr="00383746">
        <w:t>ensure that they a</w:t>
      </w:r>
      <w:r w:rsidR="00A770DE">
        <w:t>re a</w:t>
      </w:r>
      <w:r w:rsidRPr="00383746">
        <w:t xml:space="preserve"> covered person and entitled to receive the data. </w:t>
      </w:r>
      <w:r>
        <w:t xml:space="preserve">Exhibit </w:t>
      </w:r>
      <w:r w:rsidR="00554EE3">
        <w:t>2</w:t>
      </w:r>
      <w:r w:rsidR="000802A3">
        <w:t xml:space="preserve"> shows the numbers of CDs EPA</w:t>
      </w:r>
      <w:r w:rsidR="00F1359F">
        <w:t xml:space="preserve"> mailed during the previous ICR period</w:t>
      </w:r>
      <w:r w:rsidRPr="00383746" w:rsidR="00870082">
        <w:t>,</w:t>
      </w:r>
      <w:r w:rsidRPr="00383746" w:rsidR="00242BEB">
        <w:t xml:space="preserve"> based on</w:t>
      </w:r>
      <w:r w:rsidR="00805479">
        <w:t xml:space="preserve"> </w:t>
      </w:r>
      <w:r w:rsidRPr="00383746" w:rsidR="00776A64">
        <w:t xml:space="preserve">19 standing </w:t>
      </w:r>
      <w:r w:rsidRPr="00383746" w:rsidR="00242BEB">
        <w:t xml:space="preserve">requests from </w:t>
      </w:r>
      <w:r w:rsidRPr="00383746" w:rsidR="005F0EB9">
        <w:t xml:space="preserve">the </w:t>
      </w:r>
      <w:r w:rsidR="00805479">
        <w:t>prior thre</w:t>
      </w:r>
      <w:r w:rsidRPr="00383746" w:rsidR="005F0EB9">
        <w:t>e</w:t>
      </w:r>
      <w:r w:rsidR="00695AAA">
        <w:t>-</w:t>
      </w:r>
      <w:r w:rsidRPr="00383746" w:rsidR="00C70B41">
        <w:t>year</w:t>
      </w:r>
      <w:r w:rsidR="00695AAA">
        <w:t xml:space="preserve"> period</w:t>
      </w:r>
      <w:r w:rsidR="00805479">
        <w:t>.</w:t>
      </w:r>
      <w:r w:rsidR="009B5858">
        <w:t xml:space="preserve"> EPA assumes it will receive </w:t>
      </w:r>
      <w:r w:rsidR="00126775">
        <w:t xml:space="preserve">the same </w:t>
      </w:r>
      <w:r w:rsidR="00D8354F">
        <w:t xml:space="preserve">average </w:t>
      </w:r>
      <w:r w:rsidR="00126775">
        <w:t xml:space="preserve">number of </w:t>
      </w:r>
      <w:r w:rsidR="009B5858">
        <w:t xml:space="preserve">requests </w:t>
      </w:r>
      <w:r w:rsidR="00126775">
        <w:t>for</w:t>
      </w:r>
      <w:r w:rsidR="009B5858">
        <w:t xml:space="preserve"> CD</w:t>
      </w:r>
      <w:r w:rsidR="00182F42">
        <w:t>s – 110 pe</w:t>
      </w:r>
      <w:r w:rsidR="00151DD2">
        <w:t>r</w:t>
      </w:r>
      <w:r w:rsidR="00182F42">
        <w:t xml:space="preserve"> year – </w:t>
      </w:r>
      <w:r w:rsidR="009B5858">
        <w:t>in the new ICR period</w:t>
      </w:r>
      <w:r w:rsidR="00FE2F4A">
        <w:t xml:space="preserve"> of 2022</w:t>
      </w:r>
      <w:r w:rsidR="009E733B">
        <w:t>−</w:t>
      </w:r>
      <w:r w:rsidR="00FE2F4A">
        <w:t xml:space="preserve">2024. </w:t>
      </w:r>
    </w:p>
    <w:p w:rsidR="00FE2F4A" w:rsidP="00EA456C" w14:paraId="4C8F19CF" w14:textId="5F672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jc w:val="center"/>
      </w:pPr>
    </w:p>
    <w:p w:rsidR="00887514" w:rsidP="00EA456C" w14:paraId="13D1DA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jc w:val="center"/>
      </w:pPr>
    </w:p>
    <w:p w:rsidR="00303089" w:rsidP="00EA456C" w14:paraId="7DC0221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Pr>
          <w:b/>
          <w:bCs/>
        </w:rPr>
        <w:t xml:space="preserve">Exhibit </w:t>
      </w:r>
      <w:r w:rsidR="00554EE3">
        <w:rPr>
          <w:b/>
          <w:bCs/>
        </w:rPr>
        <w:t>2</w:t>
      </w:r>
    </w:p>
    <w:p w:rsidR="00616F6F" w:rsidRPr="00F1359F" w:rsidP="00EA456C" w14:paraId="79EA436E" w14:textId="7DE3B7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F1359F">
        <w:rPr>
          <w:b/>
          <w:bCs/>
        </w:rPr>
        <w:t>OCA Data Requests by CD</w:t>
      </w:r>
    </w:p>
    <w:tbl>
      <w:tblPr>
        <w:tblStyle w:val="TableGrid"/>
        <w:tblW w:w="5000" w:type="pct"/>
        <w:tblLook w:val="04A0"/>
      </w:tblPr>
      <w:tblGrid>
        <w:gridCol w:w="1584"/>
        <w:gridCol w:w="1231"/>
        <w:gridCol w:w="1231"/>
        <w:gridCol w:w="1232"/>
        <w:gridCol w:w="1548"/>
        <w:gridCol w:w="1804"/>
      </w:tblGrid>
      <w:tr w14:paraId="2417DBA9" w14:textId="6E113074" w:rsidTr="00EA456C">
        <w:tblPrEx>
          <w:tblW w:w="5000" w:type="pct"/>
          <w:tblLook w:val="04A0"/>
        </w:tblPrEx>
        <w:tc>
          <w:tcPr>
            <w:tcW w:w="918" w:type="pct"/>
          </w:tcPr>
          <w:p w:rsidR="00EA456C" w:rsidP="00046C40" w14:paraId="2C8A77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tc>
        <w:tc>
          <w:tcPr>
            <w:tcW w:w="713" w:type="pct"/>
          </w:tcPr>
          <w:p w:rsidR="00EA456C" w:rsidRPr="00616F6F" w:rsidP="00616F6F" w14:paraId="5706EF8A" w14:textId="125E76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616F6F">
              <w:rPr>
                <w:b/>
                <w:bCs/>
              </w:rPr>
              <w:t>2019</w:t>
            </w:r>
          </w:p>
        </w:tc>
        <w:tc>
          <w:tcPr>
            <w:tcW w:w="713" w:type="pct"/>
          </w:tcPr>
          <w:p w:rsidR="00EA456C" w:rsidRPr="00616F6F" w:rsidP="00616F6F" w14:paraId="60E07801" w14:textId="5F73C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616F6F">
              <w:rPr>
                <w:b/>
                <w:bCs/>
              </w:rPr>
              <w:t>2020</w:t>
            </w:r>
          </w:p>
        </w:tc>
        <w:tc>
          <w:tcPr>
            <w:tcW w:w="714" w:type="pct"/>
          </w:tcPr>
          <w:p w:rsidR="00EA456C" w:rsidRPr="00616F6F" w:rsidP="00616F6F" w14:paraId="40206097" w14:textId="0493E3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616F6F">
              <w:rPr>
                <w:b/>
                <w:bCs/>
              </w:rPr>
              <w:t>2021</w:t>
            </w:r>
          </w:p>
        </w:tc>
        <w:tc>
          <w:tcPr>
            <w:tcW w:w="897" w:type="pct"/>
          </w:tcPr>
          <w:p w:rsidR="00EA456C" w:rsidP="001D1A2F" w14:paraId="6B7F2284" w14:textId="6E6F4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Pr>
                <w:b/>
                <w:bCs/>
              </w:rPr>
              <w:t xml:space="preserve"> Annual Average</w:t>
            </w:r>
          </w:p>
        </w:tc>
        <w:tc>
          <w:tcPr>
            <w:tcW w:w="1045" w:type="pct"/>
          </w:tcPr>
          <w:p w:rsidR="00EA456C" w:rsidRPr="001D1A2F" w:rsidP="001D1A2F" w14:paraId="35266A6E" w14:textId="2532BE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Pr>
                <w:b/>
                <w:bCs/>
              </w:rPr>
              <w:t xml:space="preserve">Three-Year </w:t>
            </w:r>
            <w:r w:rsidRPr="001D1A2F">
              <w:rPr>
                <w:b/>
                <w:bCs/>
              </w:rPr>
              <w:t>Total</w:t>
            </w:r>
          </w:p>
        </w:tc>
      </w:tr>
      <w:tr w14:paraId="4ABA531C" w14:textId="5D1BD082" w:rsidTr="00EA456C">
        <w:tblPrEx>
          <w:tblW w:w="5000" w:type="pct"/>
          <w:tblLook w:val="04A0"/>
        </w:tblPrEx>
        <w:tc>
          <w:tcPr>
            <w:tcW w:w="918" w:type="pct"/>
          </w:tcPr>
          <w:p w:rsidR="00EA456C" w:rsidP="00046C40" w14:paraId="4252A3A8" w14:textId="561504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t>CDs</w:t>
            </w:r>
          </w:p>
        </w:tc>
        <w:tc>
          <w:tcPr>
            <w:tcW w:w="713" w:type="pct"/>
          </w:tcPr>
          <w:p w:rsidR="00EA456C" w:rsidP="00554EE3" w14:paraId="775D45E2" w14:textId="4B6B42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t>112</w:t>
            </w:r>
          </w:p>
        </w:tc>
        <w:tc>
          <w:tcPr>
            <w:tcW w:w="713" w:type="pct"/>
          </w:tcPr>
          <w:p w:rsidR="00EA456C" w:rsidP="00554EE3" w14:paraId="530C98B5" w14:textId="18C49C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t>133</w:t>
            </w:r>
          </w:p>
        </w:tc>
        <w:tc>
          <w:tcPr>
            <w:tcW w:w="714" w:type="pct"/>
          </w:tcPr>
          <w:p w:rsidR="00EA456C" w:rsidP="00554EE3" w14:paraId="504EF7D8" w14:textId="6DBED4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t>85</w:t>
            </w:r>
          </w:p>
        </w:tc>
        <w:tc>
          <w:tcPr>
            <w:tcW w:w="897" w:type="pct"/>
          </w:tcPr>
          <w:p w:rsidR="00EA456C" w:rsidRPr="000802A3" w:rsidP="00554EE3" w14:paraId="72D6BE73" w14:textId="0A829F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Pr>
                <w:b/>
                <w:bCs/>
              </w:rPr>
              <w:t>110</w:t>
            </w:r>
          </w:p>
        </w:tc>
        <w:tc>
          <w:tcPr>
            <w:tcW w:w="1045" w:type="pct"/>
          </w:tcPr>
          <w:p w:rsidR="00EA456C" w:rsidRPr="000802A3" w:rsidP="00554EE3" w14:paraId="00870658" w14:textId="23F113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0802A3">
              <w:rPr>
                <w:b/>
                <w:bCs/>
              </w:rPr>
              <w:t>3</w:t>
            </w:r>
            <w:r>
              <w:rPr>
                <w:b/>
                <w:bCs/>
              </w:rPr>
              <w:t>3</w:t>
            </w:r>
            <w:r w:rsidRPr="000802A3">
              <w:rPr>
                <w:b/>
                <w:bCs/>
              </w:rPr>
              <w:t>0</w:t>
            </w:r>
          </w:p>
        </w:tc>
      </w:tr>
    </w:tbl>
    <w:p w:rsidR="008C37A2" w:rsidP="00046C40" w14:paraId="2E1B6A7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7C4213" w:rsidP="00872C20" w14:paraId="35ED155D" w14:textId="2CA7B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tab/>
      </w:r>
      <w:r w:rsidR="00B73DCF">
        <w:t xml:space="preserve">Exhibit 3 </w:t>
      </w:r>
      <w:r w:rsidR="00B7152C">
        <w:t xml:space="preserve">shows the numbers of CDX registrations </w:t>
      </w:r>
      <w:r w:rsidR="00B73DCF">
        <w:t xml:space="preserve">by State and local </w:t>
      </w:r>
      <w:r w:rsidR="002152A5">
        <w:t xml:space="preserve">government </w:t>
      </w:r>
      <w:r w:rsidR="00B73DCF">
        <w:t xml:space="preserve">agencies </w:t>
      </w:r>
      <w:r w:rsidR="00B7152C">
        <w:t>during the previous three-year ICR period</w:t>
      </w:r>
      <w:r>
        <w:t>.</w:t>
      </w:r>
      <w:r w:rsidRPr="00383746" w:rsidR="00872C20">
        <w:t xml:space="preserve"> </w:t>
      </w:r>
      <w:r w:rsidRPr="00B6398D" w:rsidR="00B73DCF">
        <w:t>I</w:t>
      </w:r>
      <w:r w:rsidR="00B73DCF">
        <w:t xml:space="preserve">n addition, </w:t>
      </w:r>
      <w:r w:rsidRPr="00B6398D" w:rsidR="00B73DCF">
        <w:t>LEPCs can</w:t>
      </w:r>
      <w:r w:rsidRPr="00383746" w:rsidR="00B73DCF">
        <w:t xml:space="preserve"> request OCA information from </w:t>
      </w:r>
      <w:r w:rsidRPr="00B6398D" w:rsidR="00B73DCF">
        <w:t>EPA for their own use</w:t>
      </w:r>
      <w:r w:rsidR="00B73DCF">
        <w:t>,</w:t>
      </w:r>
      <w:r w:rsidRPr="00B6398D" w:rsidR="00B73DCF">
        <w:t xml:space="preserve"> such as emergency planning</w:t>
      </w:r>
      <w:r w:rsidR="00314862">
        <w:t>,</w:t>
      </w:r>
      <w:r w:rsidRPr="00B6398D" w:rsidR="00B73DCF">
        <w:t xml:space="preserve"> and some of these LEPCs may also provide public read-only</w:t>
      </w:r>
      <w:r w:rsidRPr="00383746" w:rsidR="00B73DCF">
        <w:t xml:space="preserve"> access.</w:t>
      </w:r>
      <w:r w:rsidR="00B73DCF">
        <w:t xml:space="preserve"> </w:t>
      </w:r>
      <w:r w:rsidRPr="00695AAA" w:rsidR="00842465">
        <w:t xml:space="preserve">This ICR assumes the same number </w:t>
      </w:r>
      <w:r w:rsidR="00314862">
        <w:t xml:space="preserve">of State and local agencies </w:t>
      </w:r>
      <w:r w:rsidRPr="00695AAA" w:rsidR="00842465">
        <w:t>will register for OCA data access via CDX during this ICR renewal period, or</w:t>
      </w:r>
      <w:r w:rsidR="00B73DCF">
        <w:t xml:space="preserve"> a total of</w:t>
      </w:r>
      <w:r w:rsidRPr="00695AAA" w:rsidR="00842465">
        <w:t xml:space="preserve"> </w:t>
      </w:r>
      <w:r w:rsidR="00DF7727">
        <w:t>21</w:t>
      </w:r>
      <w:r w:rsidRPr="00695AAA" w:rsidR="00842465">
        <w:t xml:space="preserve"> per year. </w:t>
      </w:r>
      <w:r w:rsidRPr="00383746" w:rsidR="00842465">
        <w:t xml:space="preserve">State and local </w:t>
      </w:r>
      <w:r w:rsidR="002152A5">
        <w:t xml:space="preserve">government </w:t>
      </w:r>
      <w:r w:rsidRPr="00383746" w:rsidR="00842465">
        <w:t>agencies requesting OCA data include members of SERCs, environmental protection agencies, emergency management agencies, etc.</w:t>
      </w:r>
    </w:p>
    <w:p w:rsidR="00B6398D" w:rsidP="00872C20" w14:paraId="5BF608D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EA456C" w:rsidP="00EA456C" w14:paraId="3235D011" w14:textId="0085F99D">
      <w:pPr>
        <w:widowControl w:val="0"/>
        <w:tabs>
          <w:tab w:val="left" w:pos="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695510">
        <w:rPr>
          <w:b/>
          <w:bCs/>
        </w:rPr>
        <w:t xml:space="preserve">Exhibit </w:t>
      </w:r>
      <w:r w:rsidR="00FE2F4A">
        <w:rPr>
          <w:b/>
          <w:bCs/>
        </w:rPr>
        <w:t>3</w:t>
      </w:r>
    </w:p>
    <w:p w:rsidR="00B70E6C" w:rsidRPr="00F1359F" w:rsidP="00182F42" w14:paraId="2619E403" w14:textId="01D3D5A6">
      <w:pPr>
        <w:widowControl w:val="0"/>
        <w:tabs>
          <w:tab w:val="left" w:pos="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695510">
        <w:rPr>
          <w:b/>
          <w:bCs/>
        </w:rPr>
        <w:t>CDX</w:t>
      </w:r>
      <w:r>
        <w:rPr>
          <w:b/>
          <w:bCs/>
        </w:rPr>
        <w:t xml:space="preserve"> Registrations</w:t>
      </w:r>
      <w:r w:rsidR="003E5B13">
        <w:rPr>
          <w:b/>
          <w:bCs/>
        </w:rPr>
        <w:t xml:space="preserve"> by State and Local </w:t>
      </w:r>
      <w:r w:rsidR="002152A5">
        <w:rPr>
          <w:b/>
          <w:bCs/>
        </w:rPr>
        <w:t xml:space="preserve">Government </w:t>
      </w:r>
      <w:r w:rsidR="003E5B13">
        <w:rPr>
          <w:b/>
          <w:bCs/>
        </w:rPr>
        <w:t>Agencies</w:t>
      </w:r>
      <w:r w:rsidRPr="00F1359F">
        <w:rPr>
          <w:b/>
          <w:bCs/>
        </w:rPr>
        <w:t>,</w:t>
      </w:r>
      <w:r w:rsidR="00EA456C">
        <w:rPr>
          <w:b/>
          <w:bCs/>
        </w:rPr>
        <w:t xml:space="preserve"> </w:t>
      </w:r>
      <w:r w:rsidR="00B6398D">
        <w:rPr>
          <w:b/>
          <w:bCs/>
        </w:rPr>
        <w:t>and LEPCs</w:t>
      </w:r>
      <w:r w:rsidR="00A95784">
        <w:rPr>
          <w:b/>
          <w:bCs/>
        </w:rPr>
        <w:t>*</w:t>
      </w:r>
    </w:p>
    <w:tbl>
      <w:tblPr>
        <w:tblStyle w:val="TableGrid"/>
        <w:tblW w:w="5000" w:type="pct"/>
        <w:tblLook w:val="04A0"/>
      </w:tblPr>
      <w:tblGrid>
        <w:gridCol w:w="2533"/>
        <w:gridCol w:w="872"/>
        <w:gridCol w:w="870"/>
        <w:gridCol w:w="870"/>
        <w:gridCol w:w="1743"/>
        <w:gridCol w:w="1742"/>
      </w:tblGrid>
      <w:tr w14:paraId="29C337A9" w14:textId="77777777" w:rsidTr="00182F42">
        <w:tblPrEx>
          <w:tblW w:w="5000" w:type="pct"/>
          <w:tblLook w:val="04A0"/>
        </w:tblPrEx>
        <w:tc>
          <w:tcPr>
            <w:tcW w:w="1468" w:type="pct"/>
          </w:tcPr>
          <w:p w:rsidR="00182F42" w:rsidP="00182F42" w14:paraId="4A4CFE3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p>
        </w:tc>
        <w:tc>
          <w:tcPr>
            <w:tcW w:w="505" w:type="pct"/>
            <w:vAlign w:val="center"/>
          </w:tcPr>
          <w:p w:rsidR="00182F42" w:rsidRPr="00616F6F" w:rsidP="00182F42" w14:paraId="06C238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616F6F">
              <w:rPr>
                <w:b/>
                <w:bCs/>
              </w:rPr>
              <w:t>2019</w:t>
            </w:r>
          </w:p>
        </w:tc>
        <w:tc>
          <w:tcPr>
            <w:tcW w:w="504" w:type="pct"/>
            <w:vAlign w:val="center"/>
          </w:tcPr>
          <w:p w:rsidR="00182F42" w:rsidRPr="00616F6F" w:rsidP="00182F42" w14:paraId="63EB9A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616F6F">
              <w:rPr>
                <w:b/>
                <w:bCs/>
              </w:rPr>
              <w:t>2020</w:t>
            </w:r>
          </w:p>
        </w:tc>
        <w:tc>
          <w:tcPr>
            <w:tcW w:w="504" w:type="pct"/>
            <w:vAlign w:val="center"/>
          </w:tcPr>
          <w:p w:rsidR="00182F42" w:rsidRPr="00616F6F" w:rsidP="00182F42" w14:paraId="608DC25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616F6F">
              <w:rPr>
                <w:b/>
                <w:bCs/>
              </w:rPr>
              <w:t>2021</w:t>
            </w:r>
          </w:p>
        </w:tc>
        <w:tc>
          <w:tcPr>
            <w:tcW w:w="1010" w:type="pct"/>
          </w:tcPr>
          <w:p w:rsidR="00182F42" w:rsidP="00182F42" w14:paraId="0331B33A" w14:textId="0D29A9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Pr>
                <w:b/>
                <w:bCs/>
              </w:rPr>
              <w:t>Annual Average</w:t>
            </w:r>
          </w:p>
        </w:tc>
        <w:tc>
          <w:tcPr>
            <w:tcW w:w="1009" w:type="pct"/>
          </w:tcPr>
          <w:p w:rsidR="00182F42" w:rsidRPr="001D1A2F" w:rsidP="00182F42" w14:paraId="39666F29" w14:textId="492257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Pr>
                <w:b/>
                <w:bCs/>
              </w:rPr>
              <w:t xml:space="preserve">Three-Year </w:t>
            </w:r>
            <w:r w:rsidRPr="001D1A2F">
              <w:rPr>
                <w:b/>
                <w:bCs/>
              </w:rPr>
              <w:t>Total</w:t>
            </w:r>
          </w:p>
        </w:tc>
      </w:tr>
      <w:tr w14:paraId="68C86DB9" w14:textId="77777777" w:rsidTr="00182F42">
        <w:tblPrEx>
          <w:tblW w:w="5000" w:type="pct"/>
          <w:tblLook w:val="04A0"/>
        </w:tblPrEx>
        <w:tc>
          <w:tcPr>
            <w:tcW w:w="1468" w:type="pct"/>
          </w:tcPr>
          <w:p w:rsidR="00182F42" w:rsidP="00182F42" w14:paraId="413B17F9" w14:textId="7F850E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t>State and Local Agencies</w:t>
            </w:r>
          </w:p>
        </w:tc>
        <w:tc>
          <w:tcPr>
            <w:tcW w:w="505" w:type="pct"/>
          </w:tcPr>
          <w:p w:rsidR="00182F42" w:rsidP="00182F42" w14:paraId="13139389" w14:textId="0CE8F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t>19</w:t>
            </w:r>
          </w:p>
        </w:tc>
        <w:tc>
          <w:tcPr>
            <w:tcW w:w="504" w:type="pct"/>
          </w:tcPr>
          <w:p w:rsidR="00182F42" w:rsidP="00182F42" w14:paraId="710FADB5" w14:textId="4DD377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t>20</w:t>
            </w:r>
          </w:p>
        </w:tc>
        <w:tc>
          <w:tcPr>
            <w:tcW w:w="504" w:type="pct"/>
          </w:tcPr>
          <w:p w:rsidR="00182F42" w:rsidP="00182F42" w14:paraId="0187E8C7" w14:textId="2F93A2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t>14</w:t>
            </w:r>
          </w:p>
        </w:tc>
        <w:tc>
          <w:tcPr>
            <w:tcW w:w="1010" w:type="pct"/>
          </w:tcPr>
          <w:p w:rsidR="00182F42" w:rsidRPr="00EA456C" w:rsidP="00182F42" w14:paraId="5C0BCCA4" w14:textId="3D591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t>18</w:t>
            </w:r>
          </w:p>
        </w:tc>
        <w:tc>
          <w:tcPr>
            <w:tcW w:w="1009" w:type="pct"/>
          </w:tcPr>
          <w:p w:rsidR="00182F42" w:rsidRPr="00EA456C" w:rsidP="00182F42" w14:paraId="55F9BCAF" w14:textId="24B558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rsidRPr="00EA456C">
              <w:t>53</w:t>
            </w:r>
          </w:p>
        </w:tc>
      </w:tr>
      <w:tr w14:paraId="096E322F" w14:textId="77777777" w:rsidTr="00182F42">
        <w:tblPrEx>
          <w:tblW w:w="5000" w:type="pct"/>
          <w:tblLook w:val="04A0"/>
        </w:tblPrEx>
        <w:tc>
          <w:tcPr>
            <w:tcW w:w="1468" w:type="pct"/>
          </w:tcPr>
          <w:p w:rsidR="00182F42" w:rsidP="00182F42" w14:paraId="4F37F850" w14:textId="4C9222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t>LECPs</w:t>
            </w:r>
          </w:p>
        </w:tc>
        <w:tc>
          <w:tcPr>
            <w:tcW w:w="505" w:type="pct"/>
          </w:tcPr>
          <w:p w:rsidR="00182F42" w:rsidP="00182F42" w14:paraId="313DF2B9" w14:textId="304723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t>3</w:t>
            </w:r>
          </w:p>
        </w:tc>
        <w:tc>
          <w:tcPr>
            <w:tcW w:w="504" w:type="pct"/>
          </w:tcPr>
          <w:p w:rsidR="00182F42" w:rsidP="00182F42" w14:paraId="30957EFF" w14:textId="34246F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t>3</w:t>
            </w:r>
          </w:p>
        </w:tc>
        <w:tc>
          <w:tcPr>
            <w:tcW w:w="504" w:type="pct"/>
          </w:tcPr>
          <w:p w:rsidR="00182F42" w:rsidP="00182F42" w14:paraId="7235C3AA" w14:textId="74DDA9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t>3</w:t>
            </w:r>
          </w:p>
        </w:tc>
        <w:tc>
          <w:tcPr>
            <w:tcW w:w="1010" w:type="pct"/>
          </w:tcPr>
          <w:p w:rsidR="00182F42" w:rsidRPr="00EA456C" w:rsidP="00182F42" w14:paraId="3543F9B9" w14:textId="4F40F1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t>3</w:t>
            </w:r>
          </w:p>
        </w:tc>
        <w:tc>
          <w:tcPr>
            <w:tcW w:w="1009" w:type="pct"/>
          </w:tcPr>
          <w:p w:rsidR="00182F42" w:rsidRPr="00EA456C" w:rsidP="00182F42" w14:paraId="13A05875" w14:textId="4BB68C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rsidRPr="00EA456C">
              <w:t>9</w:t>
            </w:r>
          </w:p>
        </w:tc>
      </w:tr>
      <w:tr w14:paraId="02BCE23D" w14:textId="77777777" w:rsidTr="00182F42">
        <w:tblPrEx>
          <w:tblW w:w="5000" w:type="pct"/>
          <w:tblLook w:val="04A0"/>
        </w:tblPrEx>
        <w:tc>
          <w:tcPr>
            <w:tcW w:w="1468" w:type="pct"/>
          </w:tcPr>
          <w:p w:rsidR="00182F42" w:rsidRPr="00B6398D" w:rsidP="00182F42" w14:paraId="0D0399AC" w14:textId="4E7570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rPr>
            </w:pPr>
            <w:r>
              <w:rPr>
                <w:b/>
                <w:bCs/>
              </w:rPr>
              <w:t>Total</w:t>
            </w:r>
          </w:p>
        </w:tc>
        <w:tc>
          <w:tcPr>
            <w:tcW w:w="505" w:type="pct"/>
          </w:tcPr>
          <w:p w:rsidR="00182F42" w:rsidRPr="00EA456C" w:rsidP="00182F42" w14:paraId="5E2B2570" w14:textId="465BD3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EA456C">
              <w:rPr>
                <w:b/>
                <w:bCs/>
              </w:rPr>
              <w:t>22</w:t>
            </w:r>
          </w:p>
        </w:tc>
        <w:tc>
          <w:tcPr>
            <w:tcW w:w="504" w:type="pct"/>
          </w:tcPr>
          <w:p w:rsidR="00182F42" w:rsidRPr="00EA456C" w:rsidP="00182F42" w14:paraId="38481E3E" w14:textId="05F05C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EA456C">
              <w:rPr>
                <w:b/>
                <w:bCs/>
              </w:rPr>
              <w:t>23</w:t>
            </w:r>
          </w:p>
        </w:tc>
        <w:tc>
          <w:tcPr>
            <w:tcW w:w="504" w:type="pct"/>
          </w:tcPr>
          <w:p w:rsidR="00182F42" w:rsidRPr="00EA456C" w:rsidP="00182F42" w14:paraId="41BD0139" w14:textId="75AF4C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EA456C">
              <w:rPr>
                <w:b/>
                <w:bCs/>
              </w:rPr>
              <w:t>17</w:t>
            </w:r>
          </w:p>
        </w:tc>
        <w:tc>
          <w:tcPr>
            <w:tcW w:w="1010" w:type="pct"/>
          </w:tcPr>
          <w:p w:rsidR="00182F42" w:rsidRPr="00EA456C" w:rsidP="00182F42" w14:paraId="47B49BD0" w14:textId="2346DF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Pr>
                <w:b/>
                <w:bCs/>
              </w:rPr>
              <w:t>21</w:t>
            </w:r>
          </w:p>
        </w:tc>
        <w:tc>
          <w:tcPr>
            <w:tcW w:w="1009" w:type="pct"/>
          </w:tcPr>
          <w:p w:rsidR="00182F42" w:rsidRPr="00EA456C" w:rsidP="00182F42" w14:paraId="0AE4B33D" w14:textId="70F684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EA456C">
              <w:rPr>
                <w:b/>
                <w:bCs/>
              </w:rPr>
              <w:t>62</w:t>
            </w:r>
          </w:p>
        </w:tc>
      </w:tr>
    </w:tbl>
    <w:p w:rsidR="00B70E6C" w:rsidRPr="00A95784" w:rsidP="00872C20" w14:paraId="69EF8DA5" w14:textId="114FC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0"/>
          <w:szCs w:val="20"/>
        </w:rPr>
      </w:pPr>
      <w:r w:rsidRPr="00A95784">
        <w:rPr>
          <w:sz w:val="20"/>
          <w:szCs w:val="20"/>
        </w:rPr>
        <w:t>* Totals may not sum due to rounding</w:t>
      </w:r>
    </w:p>
    <w:p w:rsidR="00DF0567" w:rsidRPr="00383746" w:rsidP="005E786A" w14:paraId="04BABCE9" w14:textId="13597F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rsidRPr="00383746">
        <w:tab/>
      </w:r>
    </w:p>
    <w:p w:rsidR="00705825" w:rsidRPr="00383746" w:rsidP="00705825" w14:paraId="16F64BB8" w14:textId="6296E6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 xml:space="preserve">The reading rooms temporarily altered operations because of COVID remote work practices in the spring and summer of 2020. However, the temporary operations changes will not impact access to OCA information in the long term and are reflected in the overall number of requests from 2020 to the present. The OCA data requests reported in this document include both pre-COVID operations prior to 2020 and operations during the period affected by the COVID restrictions. </w:t>
      </w:r>
    </w:p>
    <w:p w:rsidR="00B85580" w:rsidP="00614123" w14:paraId="0869D8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highlight w:val="yellow"/>
        </w:rPr>
      </w:pPr>
    </w:p>
    <w:p w:rsidR="00614123" w:rsidRPr="00383746" w:rsidP="003D7EA2" w14:paraId="3AC4DF71" w14:textId="1A0EC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416"/>
          <w:tab w:val="left" w:pos="7922"/>
        </w:tabs>
        <w:autoSpaceDE w:val="0"/>
        <w:autoSpaceDN w:val="0"/>
        <w:adjustRightInd w:val="0"/>
        <w:ind w:firstLine="720"/>
      </w:pPr>
      <w:r w:rsidRPr="005248BE">
        <w:t xml:space="preserve">EPA contacted a subset of </w:t>
      </w:r>
      <w:r w:rsidRPr="005248BE" w:rsidR="006922ED">
        <w:t>S</w:t>
      </w:r>
      <w:r w:rsidRPr="005248BE">
        <w:t xml:space="preserve">tate and local agencies that receive OCA data to </w:t>
      </w:r>
      <w:r w:rsidRPr="005248BE" w:rsidR="006254B4">
        <w:t xml:space="preserve">obtain numbers of </w:t>
      </w:r>
      <w:r w:rsidRPr="005248BE">
        <w:t>public visit</w:t>
      </w:r>
      <w:r w:rsidRPr="005248BE" w:rsidR="006254B4">
        <w:t>s to</w:t>
      </w:r>
      <w:r w:rsidRPr="005248BE">
        <w:t xml:space="preserve"> </w:t>
      </w:r>
      <w:r w:rsidRPr="005248BE" w:rsidR="006922ED">
        <w:t>S</w:t>
      </w:r>
      <w:r w:rsidRPr="005248BE">
        <w:t>tate and local reading rooms over the previous ICR period. Based on tho</w:t>
      </w:r>
      <w:r w:rsidRPr="005248BE" w:rsidR="00B2665A">
        <w:t xml:space="preserve">se contacts, </w:t>
      </w:r>
      <w:r w:rsidRPr="005248BE" w:rsidR="003D35B7">
        <w:t xml:space="preserve">EPA found that the majority of </w:t>
      </w:r>
      <w:r w:rsidRPr="005248BE" w:rsidR="00B2665A">
        <w:t xml:space="preserve">OCA public visits occur </w:t>
      </w:r>
      <w:r w:rsidRPr="005248BE" w:rsidR="00885702">
        <w:t>at</w:t>
      </w:r>
      <w:r w:rsidRPr="005248BE" w:rsidR="00B2665A">
        <w:t xml:space="preserve"> the reading room o</w:t>
      </w:r>
      <w:r w:rsidRPr="005248BE" w:rsidR="006922ED">
        <w:t>p</w:t>
      </w:r>
      <w:r w:rsidRPr="005248BE" w:rsidR="00B2665A">
        <w:t>erated by EPA Headquarters in Washington</w:t>
      </w:r>
      <w:r w:rsidRPr="005248BE" w:rsidR="00E84882">
        <w:t xml:space="preserve">. </w:t>
      </w:r>
      <w:r w:rsidRPr="005248BE" w:rsidR="00AA2898">
        <w:t>T</w:t>
      </w:r>
      <w:r w:rsidRPr="005248BE" w:rsidR="0020388A">
        <w:t>he</w:t>
      </w:r>
      <w:r w:rsidRPr="005248BE" w:rsidR="006254B4">
        <w:t xml:space="preserve"> S</w:t>
      </w:r>
      <w:r w:rsidRPr="005248BE" w:rsidR="0020388A">
        <w:t xml:space="preserve">tate and local agencies are assumed to spend </w:t>
      </w:r>
      <w:r w:rsidR="009206FC">
        <w:t>three</w:t>
      </w:r>
      <w:r w:rsidRPr="005248BE" w:rsidR="0020388A">
        <w:t xml:space="preserve"> hours </w:t>
      </w:r>
      <w:r w:rsidRPr="005248BE" w:rsidR="007F36EE">
        <w:t xml:space="preserve">preparing and </w:t>
      </w:r>
      <w:r w:rsidRPr="005248BE" w:rsidR="0020388A">
        <w:t>providing information to the public</w:t>
      </w:r>
      <w:r w:rsidRPr="005248BE" w:rsidR="00AA2898">
        <w:t xml:space="preserve"> during each visit</w:t>
      </w:r>
      <w:r w:rsidRPr="005248BE" w:rsidR="0020388A">
        <w:t xml:space="preserve">. </w:t>
      </w:r>
      <w:r w:rsidRPr="005248BE" w:rsidR="00885702">
        <w:t>State and local reading</w:t>
      </w:r>
      <w:r w:rsidRPr="005248BE">
        <w:t xml:space="preserve"> room staff will also spend one hour learning how to handle O</w:t>
      </w:r>
      <w:r w:rsidRPr="00D919DB">
        <w:t>CA information securely</w:t>
      </w:r>
      <w:r w:rsidRPr="00C63E7C">
        <w:t xml:space="preserve">. </w:t>
      </w:r>
      <w:r w:rsidRPr="00C63E7C" w:rsidR="008922E8">
        <w:t>These figures include both pre</w:t>
      </w:r>
      <w:r w:rsidRPr="00C63E7C" w:rsidR="00381B2E">
        <w:t>-</w:t>
      </w:r>
      <w:r w:rsidRPr="00C63E7C" w:rsidR="008922E8">
        <w:t xml:space="preserve"> and post</w:t>
      </w:r>
      <w:r w:rsidRPr="00C63E7C" w:rsidR="00381B2E">
        <w:t>-C</w:t>
      </w:r>
      <w:r w:rsidRPr="00C63E7C" w:rsidR="008922E8">
        <w:t>OVID operations. The reading rooms</w:t>
      </w:r>
      <w:r w:rsidRPr="00C63E7C" w:rsidR="006922ED">
        <w:t xml:space="preserve"> </w:t>
      </w:r>
      <w:r w:rsidRPr="00C63E7C" w:rsidR="008922E8">
        <w:t>temporarily altered operations at the onset of the COVID pandemic but access to the OCA remained available during the ICR period.</w:t>
      </w:r>
      <w:r w:rsidRPr="00383746" w:rsidR="008922E8">
        <w:t xml:space="preserve"> </w:t>
      </w:r>
      <w:r w:rsidR="009206FC">
        <w:t xml:space="preserve">Based on an estimated </w:t>
      </w:r>
      <w:r w:rsidR="009C70AF">
        <w:t>five</w:t>
      </w:r>
      <w:r w:rsidR="009206FC">
        <w:t xml:space="preserve"> visits to State and local reading rooms per year, </w:t>
      </w:r>
      <w:r w:rsidR="0008670B">
        <w:t xml:space="preserve">State and local agency staff are estimated to spend 15 hours annually, or 45 hours over three years, to prepare and provide information to the public for reading room visits. </w:t>
      </w:r>
    </w:p>
    <w:p w:rsidR="00614123" w:rsidRPr="00383746" w:rsidP="00614123" w14:paraId="2DBCC27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182F42" w:rsidP="00BB04EA" w14:paraId="1D491608" w14:textId="373E1F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tab/>
      </w:r>
      <w:r w:rsidRPr="00695AAA">
        <w:t>The</w:t>
      </w:r>
      <w:r w:rsidRPr="00383746">
        <w:t xml:space="preserve"> ICR accounts for the burden associated with submitting letters of request to EPA and registering within CDX.</w:t>
      </w:r>
      <w:r>
        <w:t xml:space="preserve"> </w:t>
      </w:r>
      <w:r w:rsidRPr="00383746">
        <w:t xml:space="preserve">For purposes of estimating the burden associated with these activities, EPA assumes that a </w:t>
      </w:r>
      <w:r>
        <w:t>S</w:t>
      </w:r>
      <w:r w:rsidRPr="00383746">
        <w:t xml:space="preserve">tate </w:t>
      </w:r>
      <w:r>
        <w:t>or</w:t>
      </w:r>
      <w:r w:rsidRPr="00383746">
        <w:t xml:space="preserve"> local agency</w:t>
      </w:r>
      <w:r>
        <w:t>,</w:t>
      </w:r>
      <w:r w:rsidRPr="00383746">
        <w:t xml:space="preserve"> or LEPC will spend one hour preparing and submitting a request letter, and one hour registering within CDX for on-line access to OCA data.</w:t>
      </w:r>
    </w:p>
    <w:p w:rsidR="00A93ACF" w:rsidP="003E11CC" w14:paraId="42FDA96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P="003E11CC" w14:paraId="3D7C8BCC" w14:textId="64693F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tab/>
      </w:r>
      <w:r w:rsidR="00A308B1">
        <w:t>Three</w:t>
      </w:r>
      <w:r w:rsidR="004A0573">
        <w:t xml:space="preserve"> </w:t>
      </w:r>
      <w:r w:rsidRPr="00FE2F4A" w:rsidR="005E253D">
        <w:t xml:space="preserve">LEPCs </w:t>
      </w:r>
      <w:r w:rsidRPr="00FE2F4A">
        <w:t>are</w:t>
      </w:r>
      <w:r w:rsidRPr="00FE2F4A" w:rsidR="00DC6FB1">
        <w:t xml:space="preserve"> also</w:t>
      </w:r>
      <w:r w:rsidRPr="00FE2F4A">
        <w:t xml:space="preserve"> assumed to hold</w:t>
      </w:r>
      <w:r w:rsidR="00A01513">
        <w:t xml:space="preserve"> five</w:t>
      </w:r>
      <w:r w:rsidRPr="00FE2F4A">
        <w:t xml:space="preserve"> public meetings </w:t>
      </w:r>
      <w:r w:rsidR="004A0573">
        <w:t xml:space="preserve">each year </w:t>
      </w:r>
      <w:r w:rsidRPr="00FE2F4A">
        <w:t>in the three years covered by this IC</w:t>
      </w:r>
      <w:r w:rsidR="004A0573">
        <w:t>R (15 LEPCs over three years)</w:t>
      </w:r>
      <w:r w:rsidRPr="00FE2F4A">
        <w:t xml:space="preserve">, which would </w:t>
      </w:r>
      <w:r w:rsidRPr="00FE2F4A" w:rsidR="00AA2898">
        <w:t>require</w:t>
      </w:r>
      <w:r w:rsidRPr="00FE2F4A">
        <w:t xml:space="preserve"> eight hours each for prepara</w:t>
      </w:r>
      <w:r w:rsidRPr="00FE2F4A" w:rsidR="00407AF9">
        <w:t>tion and to hold the meeting.</w:t>
      </w:r>
      <w:r w:rsidRPr="00FE2F4A">
        <w:t xml:space="preserve"> </w:t>
      </w:r>
      <w:r w:rsidRPr="00FE2F4A" w:rsidR="007A6777">
        <w:t>T</w:t>
      </w:r>
      <w:r w:rsidRPr="00FE2F4A" w:rsidR="006254B4">
        <w:t>h</w:t>
      </w:r>
      <w:r w:rsidRPr="00FE2F4A" w:rsidR="007A6777">
        <w:t xml:space="preserve">e total burden hours for </w:t>
      </w:r>
      <w:r w:rsidRPr="00FE2F4A" w:rsidR="006254B4">
        <w:t>Sta</w:t>
      </w:r>
      <w:r w:rsidRPr="00FE2F4A" w:rsidR="007A6777">
        <w:t xml:space="preserve">te and local agencies are estimated to be </w:t>
      </w:r>
      <w:r w:rsidR="009206FC">
        <w:t>326</w:t>
      </w:r>
      <w:r w:rsidRPr="00FE2F4A" w:rsidR="003C080C">
        <w:t xml:space="preserve"> </w:t>
      </w:r>
      <w:r w:rsidRPr="00FE2F4A" w:rsidR="007A6777">
        <w:t>hours annually (</w:t>
      </w:r>
      <w:r w:rsidR="009206FC">
        <w:t>977</w:t>
      </w:r>
      <w:r w:rsidRPr="00FE2F4A" w:rsidR="003C080C">
        <w:t xml:space="preserve"> </w:t>
      </w:r>
      <w:r w:rsidRPr="00FE2F4A" w:rsidR="007A6777">
        <w:t>hours for three years)</w:t>
      </w:r>
      <w:r w:rsidRPr="00FE2F4A" w:rsidR="007A6777">
        <w:rPr>
          <w:color w:val="000000"/>
        </w:rPr>
        <w:t>.</w:t>
      </w:r>
      <w:r w:rsidRPr="00383746">
        <w:t xml:space="preserve"> </w:t>
      </w:r>
      <w:r w:rsidR="00630165">
        <w:t>See Exhibit 4.</w:t>
      </w:r>
    </w:p>
    <w:p w:rsidR="00F52BDA" w:rsidP="003E11CC" w14:paraId="5D6EF627" w14:textId="0F0B3F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F52BDA" w:rsidP="00F52BDA" w14:paraId="2AF9BA37" w14:textId="64BB1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color w:val="000000"/>
        </w:rPr>
      </w:pPr>
      <w:r>
        <w:rPr>
          <w:b/>
          <w:bCs/>
          <w:color w:val="000000"/>
        </w:rPr>
        <w:t>Exhibit 4</w:t>
      </w:r>
    </w:p>
    <w:p w:rsidR="00F52BDA" w:rsidP="00F52BDA" w14:paraId="3D814554" w14:textId="6BA54C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rPr>
          <w:b/>
          <w:bCs/>
          <w:color w:val="000000"/>
        </w:rPr>
        <w:t>State and Local Agencies and LEPCs Estimated Burden Hours</w:t>
      </w:r>
      <w:r w:rsidR="00297DB4">
        <w:rPr>
          <w:b/>
          <w:bCs/>
          <w:color w:val="000000"/>
        </w:rPr>
        <w:t>*</w:t>
      </w:r>
    </w:p>
    <w:tbl>
      <w:tblPr>
        <w:tblW w:w="8640" w:type="dxa"/>
        <w:tblInd w:w="-5" w:type="dxa"/>
        <w:tblLook w:val="04A0"/>
      </w:tblPr>
      <w:tblGrid>
        <w:gridCol w:w="3780"/>
        <w:gridCol w:w="803"/>
        <w:gridCol w:w="1807"/>
        <w:gridCol w:w="932"/>
        <w:gridCol w:w="1318"/>
      </w:tblGrid>
      <w:tr w14:paraId="32F22BBE" w14:textId="77777777" w:rsidTr="00F52BDA">
        <w:tblPrEx>
          <w:tblW w:w="8640" w:type="dxa"/>
          <w:tblInd w:w="-5" w:type="dxa"/>
          <w:tblLook w:val="04A0"/>
        </w:tblPrEx>
        <w:trPr>
          <w:trHeight w:val="20"/>
        </w:trPr>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2BDA" w:rsidP="00F52BDA" w14:paraId="33F0AF96" w14:textId="4BA3911F">
            <w:pPr>
              <w:jc w:val="center"/>
              <w:rPr>
                <w:b/>
                <w:bCs/>
                <w:color w:val="000000"/>
                <w:sz w:val="22"/>
                <w:szCs w:val="22"/>
              </w:rPr>
            </w:pPr>
            <w:r>
              <w:rPr>
                <w:b/>
                <w:bCs/>
                <w:color w:val="000000"/>
                <w:sz w:val="22"/>
                <w:szCs w:val="22"/>
              </w:rPr>
              <w:t>Burden Activity</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F52BDA" w:rsidP="00F52BDA" w14:paraId="338CCC8C" w14:textId="77777777">
            <w:pPr>
              <w:jc w:val="center"/>
              <w:rPr>
                <w:b/>
                <w:bCs/>
                <w:color w:val="000000"/>
                <w:sz w:val="22"/>
                <w:szCs w:val="22"/>
              </w:rPr>
            </w:pPr>
            <w:r>
              <w:rPr>
                <w:b/>
                <w:bCs/>
                <w:color w:val="000000"/>
                <w:sz w:val="22"/>
                <w:szCs w:val="22"/>
              </w:rPr>
              <w:t>Hours</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F52BDA" w:rsidP="00F52BDA" w14:paraId="3B8FD7C9" w14:textId="6A951399">
            <w:pPr>
              <w:jc w:val="center"/>
              <w:rPr>
                <w:b/>
                <w:bCs/>
                <w:color w:val="000000"/>
                <w:sz w:val="22"/>
                <w:szCs w:val="22"/>
              </w:rPr>
            </w:pPr>
            <w:r>
              <w:rPr>
                <w:b/>
                <w:bCs/>
                <w:color w:val="000000"/>
                <w:sz w:val="22"/>
                <w:szCs w:val="22"/>
              </w:rPr>
              <w:t xml:space="preserve">Annual Average </w:t>
            </w:r>
            <w:r w:rsidR="00C96B34">
              <w:rPr>
                <w:b/>
                <w:bCs/>
                <w:color w:val="000000"/>
                <w:sz w:val="22"/>
                <w:szCs w:val="22"/>
              </w:rPr>
              <w:t>Number</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F52BDA" w:rsidP="00F52BDA" w14:paraId="18560FB4" w14:textId="77777777">
            <w:pPr>
              <w:jc w:val="center"/>
              <w:rPr>
                <w:b/>
                <w:bCs/>
                <w:color w:val="000000"/>
                <w:sz w:val="22"/>
                <w:szCs w:val="22"/>
              </w:rPr>
            </w:pPr>
            <w:r>
              <w:rPr>
                <w:b/>
                <w:bCs/>
                <w:color w:val="000000"/>
                <w:sz w:val="22"/>
                <w:szCs w:val="22"/>
              </w:rPr>
              <w:t>Annual Hours</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F52BDA" w:rsidP="00F52BDA" w14:paraId="38A527BC" w14:textId="77777777">
            <w:pPr>
              <w:jc w:val="center"/>
              <w:rPr>
                <w:b/>
                <w:bCs/>
                <w:color w:val="000000"/>
                <w:sz w:val="22"/>
                <w:szCs w:val="22"/>
              </w:rPr>
            </w:pPr>
            <w:r>
              <w:rPr>
                <w:b/>
                <w:bCs/>
                <w:color w:val="000000"/>
                <w:sz w:val="22"/>
                <w:szCs w:val="22"/>
              </w:rPr>
              <w:t>Three-Year Total</w:t>
            </w:r>
          </w:p>
        </w:tc>
      </w:tr>
      <w:tr w14:paraId="3ABF398B" w14:textId="77777777" w:rsidTr="00F52BDA">
        <w:tblPrEx>
          <w:tblW w:w="8640" w:type="dxa"/>
          <w:tblInd w:w="-5" w:type="dxa"/>
          <w:tblLook w:val="04A0"/>
        </w:tblPrEx>
        <w:trPr>
          <w:trHeight w:val="20"/>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F52BDA" w14:paraId="0F84E6B4" w14:textId="77777777">
            <w:pPr>
              <w:rPr>
                <w:color w:val="000000"/>
                <w:sz w:val="22"/>
                <w:szCs w:val="22"/>
              </w:rPr>
            </w:pPr>
            <w:r>
              <w:rPr>
                <w:color w:val="000000"/>
                <w:sz w:val="22"/>
                <w:szCs w:val="22"/>
              </w:rPr>
              <w:t>Covered Person Request and Submitting a Request Letter for a CD</w:t>
            </w:r>
          </w:p>
        </w:tc>
        <w:tc>
          <w:tcPr>
            <w:tcW w:w="803" w:type="dxa"/>
            <w:tcBorders>
              <w:top w:val="nil"/>
              <w:left w:val="nil"/>
              <w:bottom w:val="single" w:sz="4" w:space="0" w:color="auto"/>
              <w:right w:val="single" w:sz="4" w:space="0" w:color="auto"/>
            </w:tcBorders>
            <w:shd w:val="clear" w:color="auto" w:fill="auto"/>
            <w:vAlign w:val="center"/>
            <w:hideMark/>
          </w:tcPr>
          <w:p w:rsidR="00F52BDA" w14:paraId="78933039" w14:textId="77777777">
            <w:pPr>
              <w:jc w:val="center"/>
              <w:rPr>
                <w:color w:val="000000"/>
                <w:sz w:val="22"/>
                <w:szCs w:val="22"/>
              </w:rPr>
            </w:pPr>
            <w:r>
              <w:rPr>
                <w:color w:val="000000"/>
                <w:sz w:val="22"/>
                <w:szCs w:val="22"/>
              </w:rPr>
              <w:t>1</w:t>
            </w:r>
          </w:p>
        </w:tc>
        <w:tc>
          <w:tcPr>
            <w:tcW w:w="1807" w:type="dxa"/>
            <w:tcBorders>
              <w:top w:val="nil"/>
              <w:left w:val="nil"/>
              <w:bottom w:val="single" w:sz="4" w:space="0" w:color="auto"/>
              <w:right w:val="single" w:sz="4" w:space="0" w:color="auto"/>
            </w:tcBorders>
            <w:shd w:val="clear" w:color="auto" w:fill="auto"/>
            <w:vAlign w:val="center"/>
            <w:hideMark/>
          </w:tcPr>
          <w:p w:rsidR="00F52BDA" w14:paraId="41ADFAAF" w14:textId="3567AEF5">
            <w:pPr>
              <w:jc w:val="center"/>
              <w:rPr>
                <w:color w:val="000000"/>
                <w:sz w:val="22"/>
                <w:szCs w:val="22"/>
              </w:rPr>
            </w:pPr>
            <w:r>
              <w:rPr>
                <w:color w:val="000000"/>
                <w:sz w:val="22"/>
                <w:szCs w:val="22"/>
              </w:rPr>
              <w:t>1</w:t>
            </w:r>
            <w:r w:rsidR="00430822">
              <w:rPr>
                <w:color w:val="000000"/>
                <w:sz w:val="22"/>
                <w:szCs w:val="22"/>
              </w:rPr>
              <w:t>10</w:t>
            </w:r>
          </w:p>
        </w:tc>
        <w:tc>
          <w:tcPr>
            <w:tcW w:w="932" w:type="dxa"/>
            <w:tcBorders>
              <w:top w:val="nil"/>
              <w:left w:val="nil"/>
              <w:bottom w:val="single" w:sz="4" w:space="0" w:color="auto"/>
              <w:right w:val="single" w:sz="4" w:space="0" w:color="auto"/>
            </w:tcBorders>
            <w:shd w:val="clear" w:color="auto" w:fill="auto"/>
            <w:vAlign w:val="center"/>
            <w:hideMark/>
          </w:tcPr>
          <w:p w:rsidR="00F52BDA" w14:paraId="4A76EEB4" w14:textId="72C39C1A">
            <w:pPr>
              <w:jc w:val="center"/>
              <w:rPr>
                <w:color w:val="000000"/>
                <w:sz w:val="22"/>
                <w:szCs w:val="22"/>
              </w:rPr>
            </w:pPr>
            <w:r>
              <w:rPr>
                <w:color w:val="000000"/>
                <w:sz w:val="22"/>
                <w:szCs w:val="22"/>
              </w:rPr>
              <w:t>1</w:t>
            </w:r>
            <w:r w:rsidR="00430822">
              <w:rPr>
                <w:color w:val="000000"/>
                <w:sz w:val="22"/>
                <w:szCs w:val="22"/>
              </w:rPr>
              <w:t>10</w:t>
            </w:r>
          </w:p>
        </w:tc>
        <w:tc>
          <w:tcPr>
            <w:tcW w:w="1318" w:type="dxa"/>
            <w:tcBorders>
              <w:top w:val="nil"/>
              <w:left w:val="nil"/>
              <w:bottom w:val="single" w:sz="4" w:space="0" w:color="auto"/>
              <w:right w:val="single" w:sz="4" w:space="0" w:color="auto"/>
            </w:tcBorders>
            <w:shd w:val="clear" w:color="auto" w:fill="auto"/>
            <w:vAlign w:val="center"/>
            <w:hideMark/>
          </w:tcPr>
          <w:p w:rsidR="00F52BDA" w14:paraId="4FB05525" w14:textId="65405CF5">
            <w:pPr>
              <w:jc w:val="center"/>
              <w:rPr>
                <w:color w:val="000000"/>
                <w:sz w:val="22"/>
                <w:szCs w:val="22"/>
              </w:rPr>
            </w:pPr>
            <w:r>
              <w:rPr>
                <w:color w:val="000000"/>
                <w:sz w:val="22"/>
                <w:szCs w:val="22"/>
              </w:rPr>
              <w:t>3</w:t>
            </w:r>
            <w:r w:rsidR="00430822">
              <w:rPr>
                <w:color w:val="000000"/>
                <w:sz w:val="22"/>
                <w:szCs w:val="22"/>
              </w:rPr>
              <w:t>30</w:t>
            </w:r>
          </w:p>
        </w:tc>
      </w:tr>
      <w:tr w14:paraId="793BCB04" w14:textId="77777777" w:rsidTr="00F52BDA">
        <w:tblPrEx>
          <w:tblW w:w="8640" w:type="dxa"/>
          <w:tblInd w:w="-5" w:type="dxa"/>
          <w:tblLook w:val="04A0"/>
        </w:tblPrEx>
        <w:trPr>
          <w:trHeight w:val="20"/>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F52BDA" w14:paraId="550F5FD0" w14:textId="77777777">
            <w:pPr>
              <w:rPr>
                <w:color w:val="000000"/>
                <w:sz w:val="22"/>
                <w:szCs w:val="22"/>
              </w:rPr>
            </w:pPr>
            <w:r>
              <w:rPr>
                <w:color w:val="000000"/>
                <w:sz w:val="22"/>
                <w:szCs w:val="22"/>
              </w:rPr>
              <w:t>Registering within CDX</w:t>
            </w:r>
          </w:p>
        </w:tc>
        <w:tc>
          <w:tcPr>
            <w:tcW w:w="803" w:type="dxa"/>
            <w:tcBorders>
              <w:top w:val="nil"/>
              <w:left w:val="nil"/>
              <w:bottom w:val="single" w:sz="4" w:space="0" w:color="auto"/>
              <w:right w:val="single" w:sz="4" w:space="0" w:color="auto"/>
            </w:tcBorders>
            <w:shd w:val="clear" w:color="auto" w:fill="auto"/>
            <w:vAlign w:val="center"/>
            <w:hideMark/>
          </w:tcPr>
          <w:p w:rsidR="00F52BDA" w14:paraId="49DB91FE" w14:textId="77777777">
            <w:pPr>
              <w:jc w:val="center"/>
              <w:rPr>
                <w:color w:val="000000"/>
                <w:sz w:val="22"/>
                <w:szCs w:val="22"/>
              </w:rPr>
            </w:pPr>
            <w:r>
              <w:rPr>
                <w:color w:val="000000"/>
                <w:sz w:val="22"/>
                <w:szCs w:val="22"/>
              </w:rPr>
              <w:t>1</w:t>
            </w:r>
          </w:p>
        </w:tc>
        <w:tc>
          <w:tcPr>
            <w:tcW w:w="1807" w:type="dxa"/>
            <w:tcBorders>
              <w:top w:val="nil"/>
              <w:left w:val="nil"/>
              <w:bottom w:val="single" w:sz="4" w:space="0" w:color="auto"/>
              <w:right w:val="single" w:sz="4" w:space="0" w:color="auto"/>
            </w:tcBorders>
            <w:shd w:val="clear" w:color="auto" w:fill="auto"/>
            <w:vAlign w:val="center"/>
            <w:hideMark/>
          </w:tcPr>
          <w:p w:rsidR="00F52BDA" w14:paraId="077C988A" w14:textId="77777777">
            <w:pPr>
              <w:jc w:val="center"/>
              <w:rPr>
                <w:color w:val="000000"/>
                <w:sz w:val="22"/>
                <w:szCs w:val="22"/>
              </w:rPr>
            </w:pPr>
            <w:r>
              <w:rPr>
                <w:color w:val="000000"/>
                <w:sz w:val="22"/>
                <w:szCs w:val="22"/>
              </w:rPr>
              <w:t>21</w:t>
            </w:r>
          </w:p>
        </w:tc>
        <w:tc>
          <w:tcPr>
            <w:tcW w:w="932" w:type="dxa"/>
            <w:tcBorders>
              <w:top w:val="nil"/>
              <w:left w:val="nil"/>
              <w:bottom w:val="single" w:sz="4" w:space="0" w:color="auto"/>
              <w:right w:val="single" w:sz="4" w:space="0" w:color="auto"/>
            </w:tcBorders>
            <w:shd w:val="clear" w:color="auto" w:fill="auto"/>
            <w:vAlign w:val="center"/>
            <w:hideMark/>
          </w:tcPr>
          <w:p w:rsidR="00F52BDA" w14:paraId="51F4A2C0" w14:textId="77777777">
            <w:pPr>
              <w:jc w:val="center"/>
              <w:rPr>
                <w:color w:val="000000"/>
                <w:sz w:val="22"/>
                <w:szCs w:val="22"/>
              </w:rPr>
            </w:pPr>
            <w:r>
              <w:rPr>
                <w:color w:val="000000"/>
                <w:sz w:val="22"/>
                <w:szCs w:val="22"/>
              </w:rPr>
              <w:t>21</w:t>
            </w:r>
          </w:p>
        </w:tc>
        <w:tc>
          <w:tcPr>
            <w:tcW w:w="1318" w:type="dxa"/>
            <w:tcBorders>
              <w:top w:val="nil"/>
              <w:left w:val="nil"/>
              <w:bottom w:val="single" w:sz="4" w:space="0" w:color="auto"/>
              <w:right w:val="single" w:sz="4" w:space="0" w:color="auto"/>
            </w:tcBorders>
            <w:shd w:val="clear" w:color="auto" w:fill="auto"/>
            <w:vAlign w:val="center"/>
            <w:hideMark/>
          </w:tcPr>
          <w:p w:rsidR="00F52BDA" w14:paraId="31147791" w14:textId="469E65C8">
            <w:pPr>
              <w:jc w:val="center"/>
              <w:rPr>
                <w:color w:val="000000"/>
                <w:sz w:val="22"/>
                <w:szCs w:val="22"/>
              </w:rPr>
            </w:pPr>
            <w:r>
              <w:rPr>
                <w:color w:val="000000"/>
                <w:sz w:val="22"/>
                <w:szCs w:val="22"/>
              </w:rPr>
              <w:t>6</w:t>
            </w:r>
            <w:r w:rsidR="00430822">
              <w:rPr>
                <w:color w:val="000000"/>
                <w:sz w:val="22"/>
                <w:szCs w:val="22"/>
              </w:rPr>
              <w:t>2</w:t>
            </w:r>
          </w:p>
        </w:tc>
      </w:tr>
      <w:tr w14:paraId="4F3E319B" w14:textId="77777777" w:rsidTr="00F52BDA">
        <w:tblPrEx>
          <w:tblW w:w="8640" w:type="dxa"/>
          <w:tblInd w:w="-5" w:type="dxa"/>
          <w:tblLook w:val="04A0"/>
        </w:tblPrEx>
        <w:trPr>
          <w:trHeight w:val="20"/>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F52BDA" w14:paraId="05E85463" w14:textId="77777777">
            <w:pPr>
              <w:rPr>
                <w:color w:val="000000"/>
                <w:sz w:val="22"/>
                <w:szCs w:val="22"/>
              </w:rPr>
            </w:pPr>
            <w:r>
              <w:rPr>
                <w:color w:val="000000"/>
                <w:sz w:val="22"/>
                <w:szCs w:val="22"/>
              </w:rPr>
              <w:t xml:space="preserve">Reading Room </w:t>
            </w:r>
          </w:p>
        </w:tc>
        <w:tc>
          <w:tcPr>
            <w:tcW w:w="803" w:type="dxa"/>
            <w:tcBorders>
              <w:top w:val="nil"/>
              <w:left w:val="nil"/>
              <w:bottom w:val="single" w:sz="4" w:space="0" w:color="auto"/>
              <w:right w:val="single" w:sz="4" w:space="0" w:color="auto"/>
            </w:tcBorders>
            <w:shd w:val="clear" w:color="auto" w:fill="auto"/>
            <w:vAlign w:val="center"/>
            <w:hideMark/>
          </w:tcPr>
          <w:p w:rsidR="00F52BDA" w14:paraId="3CFA1E3A" w14:textId="1D1F30FC">
            <w:pPr>
              <w:jc w:val="center"/>
              <w:rPr>
                <w:color w:val="000000"/>
                <w:sz w:val="22"/>
                <w:szCs w:val="22"/>
              </w:rPr>
            </w:pPr>
            <w:r>
              <w:rPr>
                <w:color w:val="000000"/>
                <w:sz w:val="22"/>
                <w:szCs w:val="22"/>
              </w:rPr>
              <w:t>3</w:t>
            </w:r>
          </w:p>
        </w:tc>
        <w:tc>
          <w:tcPr>
            <w:tcW w:w="1807" w:type="dxa"/>
            <w:tcBorders>
              <w:top w:val="nil"/>
              <w:left w:val="nil"/>
              <w:bottom w:val="single" w:sz="4" w:space="0" w:color="auto"/>
              <w:right w:val="single" w:sz="4" w:space="0" w:color="auto"/>
            </w:tcBorders>
            <w:shd w:val="clear" w:color="auto" w:fill="auto"/>
            <w:vAlign w:val="center"/>
            <w:hideMark/>
          </w:tcPr>
          <w:p w:rsidR="00F52BDA" w14:paraId="62665CC0" w14:textId="764344B0">
            <w:pPr>
              <w:jc w:val="center"/>
              <w:rPr>
                <w:color w:val="000000"/>
                <w:sz w:val="22"/>
                <w:szCs w:val="22"/>
              </w:rPr>
            </w:pPr>
            <w:r>
              <w:rPr>
                <w:color w:val="000000"/>
                <w:sz w:val="22"/>
                <w:szCs w:val="22"/>
              </w:rPr>
              <w:t>5</w:t>
            </w:r>
          </w:p>
        </w:tc>
        <w:tc>
          <w:tcPr>
            <w:tcW w:w="932" w:type="dxa"/>
            <w:tcBorders>
              <w:top w:val="nil"/>
              <w:left w:val="nil"/>
              <w:bottom w:val="single" w:sz="4" w:space="0" w:color="auto"/>
              <w:right w:val="single" w:sz="4" w:space="0" w:color="auto"/>
            </w:tcBorders>
            <w:shd w:val="clear" w:color="auto" w:fill="auto"/>
            <w:vAlign w:val="center"/>
            <w:hideMark/>
          </w:tcPr>
          <w:p w:rsidR="00F52BDA" w14:paraId="0C012F1C" w14:textId="6D43AC35">
            <w:pPr>
              <w:jc w:val="center"/>
              <w:rPr>
                <w:color w:val="000000"/>
                <w:sz w:val="22"/>
                <w:szCs w:val="22"/>
              </w:rPr>
            </w:pPr>
            <w:r>
              <w:rPr>
                <w:color w:val="000000"/>
                <w:sz w:val="22"/>
                <w:szCs w:val="22"/>
              </w:rPr>
              <w:t>15</w:t>
            </w:r>
          </w:p>
        </w:tc>
        <w:tc>
          <w:tcPr>
            <w:tcW w:w="1318" w:type="dxa"/>
            <w:tcBorders>
              <w:top w:val="nil"/>
              <w:left w:val="nil"/>
              <w:bottom w:val="single" w:sz="4" w:space="0" w:color="auto"/>
              <w:right w:val="single" w:sz="4" w:space="0" w:color="auto"/>
            </w:tcBorders>
            <w:shd w:val="clear" w:color="auto" w:fill="auto"/>
            <w:vAlign w:val="center"/>
            <w:hideMark/>
          </w:tcPr>
          <w:p w:rsidR="00F52BDA" w14:paraId="2478F43B" w14:textId="3532F618">
            <w:pPr>
              <w:jc w:val="center"/>
              <w:rPr>
                <w:color w:val="000000"/>
                <w:sz w:val="22"/>
                <w:szCs w:val="22"/>
              </w:rPr>
            </w:pPr>
            <w:r>
              <w:rPr>
                <w:color w:val="000000"/>
                <w:sz w:val="22"/>
                <w:szCs w:val="22"/>
              </w:rPr>
              <w:t>45</w:t>
            </w:r>
          </w:p>
        </w:tc>
      </w:tr>
      <w:tr w14:paraId="48FAF2B6" w14:textId="77777777" w:rsidTr="00A93ACF">
        <w:tblPrEx>
          <w:tblW w:w="8640" w:type="dxa"/>
          <w:tblInd w:w="-5" w:type="dxa"/>
          <w:tblLook w:val="04A0"/>
        </w:tblPrEx>
        <w:trPr>
          <w:trHeight w:val="20"/>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F52BDA" w:rsidRPr="00A2635B" w14:paraId="2001EDAA" w14:textId="77777777">
            <w:pPr>
              <w:rPr>
                <w:color w:val="000000"/>
                <w:sz w:val="22"/>
                <w:szCs w:val="22"/>
              </w:rPr>
            </w:pPr>
            <w:r w:rsidRPr="00A2635B">
              <w:rPr>
                <w:color w:val="000000"/>
                <w:sz w:val="22"/>
                <w:szCs w:val="22"/>
              </w:rPr>
              <w:t>Train State and Local Reading Room Staff on OCA</w:t>
            </w:r>
          </w:p>
        </w:tc>
        <w:tc>
          <w:tcPr>
            <w:tcW w:w="803" w:type="dxa"/>
            <w:tcBorders>
              <w:top w:val="nil"/>
              <w:left w:val="nil"/>
              <w:bottom w:val="single" w:sz="4" w:space="0" w:color="auto"/>
              <w:right w:val="single" w:sz="4" w:space="0" w:color="auto"/>
            </w:tcBorders>
            <w:shd w:val="clear" w:color="auto" w:fill="auto"/>
            <w:vAlign w:val="center"/>
            <w:hideMark/>
          </w:tcPr>
          <w:p w:rsidR="00F52BDA" w:rsidRPr="00A2635B" w14:paraId="05074AE2" w14:textId="77777777">
            <w:pPr>
              <w:jc w:val="center"/>
              <w:rPr>
                <w:color w:val="000000"/>
                <w:sz w:val="22"/>
                <w:szCs w:val="22"/>
              </w:rPr>
            </w:pPr>
            <w:r w:rsidRPr="00A2635B">
              <w:rPr>
                <w:color w:val="000000"/>
                <w:sz w:val="22"/>
                <w:szCs w:val="22"/>
              </w:rPr>
              <w:t>1</w:t>
            </w:r>
          </w:p>
        </w:tc>
        <w:tc>
          <w:tcPr>
            <w:tcW w:w="1807" w:type="dxa"/>
            <w:tcBorders>
              <w:top w:val="nil"/>
              <w:left w:val="nil"/>
              <w:bottom w:val="single" w:sz="4" w:space="0" w:color="auto"/>
              <w:right w:val="single" w:sz="4" w:space="0" w:color="auto"/>
            </w:tcBorders>
            <w:shd w:val="clear" w:color="auto" w:fill="auto"/>
            <w:vAlign w:val="center"/>
            <w:hideMark/>
          </w:tcPr>
          <w:p w:rsidR="00F52BDA" w:rsidRPr="00A2635B" w14:paraId="03D07574" w14:textId="77777777">
            <w:pPr>
              <w:jc w:val="center"/>
              <w:rPr>
                <w:color w:val="000000"/>
                <w:sz w:val="22"/>
                <w:szCs w:val="22"/>
              </w:rPr>
            </w:pPr>
            <w:r w:rsidRPr="00A2635B">
              <w:rPr>
                <w:color w:val="000000"/>
                <w:sz w:val="22"/>
                <w:szCs w:val="22"/>
              </w:rPr>
              <w:t>60</w:t>
            </w:r>
          </w:p>
        </w:tc>
        <w:tc>
          <w:tcPr>
            <w:tcW w:w="932" w:type="dxa"/>
            <w:tcBorders>
              <w:top w:val="nil"/>
              <w:left w:val="nil"/>
              <w:bottom w:val="single" w:sz="4" w:space="0" w:color="auto"/>
              <w:right w:val="single" w:sz="4" w:space="0" w:color="auto"/>
            </w:tcBorders>
            <w:shd w:val="clear" w:color="auto" w:fill="auto"/>
            <w:vAlign w:val="center"/>
            <w:hideMark/>
          </w:tcPr>
          <w:p w:rsidR="00F52BDA" w:rsidRPr="00A2635B" w14:paraId="6F36A334" w14:textId="77777777">
            <w:pPr>
              <w:jc w:val="center"/>
              <w:rPr>
                <w:color w:val="000000"/>
                <w:sz w:val="22"/>
                <w:szCs w:val="22"/>
              </w:rPr>
            </w:pPr>
            <w:r w:rsidRPr="00A2635B">
              <w:rPr>
                <w:color w:val="000000"/>
                <w:sz w:val="22"/>
                <w:szCs w:val="22"/>
              </w:rPr>
              <w:t>60</w:t>
            </w:r>
          </w:p>
        </w:tc>
        <w:tc>
          <w:tcPr>
            <w:tcW w:w="1318" w:type="dxa"/>
            <w:tcBorders>
              <w:top w:val="nil"/>
              <w:left w:val="nil"/>
              <w:bottom w:val="single" w:sz="4" w:space="0" w:color="auto"/>
              <w:right w:val="single" w:sz="4" w:space="0" w:color="auto"/>
            </w:tcBorders>
            <w:shd w:val="clear" w:color="auto" w:fill="auto"/>
            <w:vAlign w:val="center"/>
            <w:hideMark/>
          </w:tcPr>
          <w:p w:rsidR="00F52BDA" w:rsidRPr="00A2635B" w14:paraId="1E1FE759" w14:textId="77777777">
            <w:pPr>
              <w:jc w:val="center"/>
              <w:rPr>
                <w:color w:val="000000"/>
                <w:sz w:val="22"/>
                <w:szCs w:val="22"/>
              </w:rPr>
            </w:pPr>
            <w:r w:rsidRPr="00A2635B">
              <w:rPr>
                <w:color w:val="000000"/>
                <w:sz w:val="22"/>
                <w:szCs w:val="22"/>
              </w:rPr>
              <w:t>180</w:t>
            </w:r>
          </w:p>
        </w:tc>
      </w:tr>
      <w:tr w14:paraId="6085FC01" w14:textId="77777777" w:rsidTr="00F52BDA">
        <w:tblPrEx>
          <w:tblW w:w="8640" w:type="dxa"/>
          <w:tblInd w:w="-5" w:type="dxa"/>
          <w:tblLook w:val="04A0"/>
        </w:tblPrEx>
        <w:trPr>
          <w:trHeight w:val="20"/>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F52BDA" w:rsidRPr="00A93ACF" w14:paraId="5E3DFE7E" w14:textId="1E5ADE37">
            <w:pPr>
              <w:rPr>
                <w:color w:val="000000"/>
                <w:sz w:val="22"/>
                <w:szCs w:val="22"/>
              </w:rPr>
            </w:pPr>
            <w:r w:rsidRPr="00A93ACF">
              <w:rPr>
                <w:color w:val="000000"/>
                <w:sz w:val="22"/>
                <w:szCs w:val="22"/>
              </w:rPr>
              <w:t>Public Meetings</w:t>
            </w:r>
          </w:p>
        </w:tc>
        <w:tc>
          <w:tcPr>
            <w:tcW w:w="803" w:type="dxa"/>
            <w:tcBorders>
              <w:top w:val="nil"/>
              <w:left w:val="nil"/>
              <w:bottom w:val="single" w:sz="4" w:space="0" w:color="auto"/>
              <w:right w:val="single" w:sz="4" w:space="0" w:color="auto"/>
            </w:tcBorders>
            <w:shd w:val="clear" w:color="auto" w:fill="auto"/>
            <w:vAlign w:val="center"/>
            <w:hideMark/>
          </w:tcPr>
          <w:p w:rsidR="00F52BDA" w:rsidRPr="00A93ACF" w14:paraId="0B590177" w14:textId="77777777">
            <w:pPr>
              <w:jc w:val="center"/>
              <w:rPr>
                <w:color w:val="000000"/>
                <w:sz w:val="22"/>
                <w:szCs w:val="22"/>
              </w:rPr>
            </w:pPr>
            <w:r w:rsidRPr="00A93ACF">
              <w:rPr>
                <w:color w:val="000000"/>
                <w:sz w:val="22"/>
                <w:szCs w:val="22"/>
              </w:rPr>
              <w:t>8</w:t>
            </w:r>
          </w:p>
        </w:tc>
        <w:tc>
          <w:tcPr>
            <w:tcW w:w="1807" w:type="dxa"/>
            <w:tcBorders>
              <w:top w:val="nil"/>
              <w:left w:val="nil"/>
              <w:bottom w:val="single" w:sz="4" w:space="0" w:color="auto"/>
              <w:right w:val="single" w:sz="4" w:space="0" w:color="auto"/>
            </w:tcBorders>
            <w:shd w:val="clear" w:color="auto" w:fill="auto"/>
            <w:vAlign w:val="center"/>
            <w:hideMark/>
          </w:tcPr>
          <w:p w:rsidR="00F52BDA" w:rsidRPr="00A93ACF" w14:paraId="7099F5F7" w14:textId="77777777">
            <w:pPr>
              <w:jc w:val="center"/>
              <w:rPr>
                <w:color w:val="000000"/>
                <w:sz w:val="22"/>
                <w:szCs w:val="22"/>
              </w:rPr>
            </w:pPr>
            <w:r w:rsidRPr="00A93ACF">
              <w:rPr>
                <w:color w:val="000000"/>
                <w:sz w:val="22"/>
                <w:szCs w:val="22"/>
              </w:rPr>
              <w:t>15</w:t>
            </w:r>
          </w:p>
        </w:tc>
        <w:tc>
          <w:tcPr>
            <w:tcW w:w="932" w:type="dxa"/>
            <w:tcBorders>
              <w:top w:val="nil"/>
              <w:left w:val="nil"/>
              <w:bottom w:val="single" w:sz="4" w:space="0" w:color="auto"/>
              <w:right w:val="single" w:sz="4" w:space="0" w:color="auto"/>
            </w:tcBorders>
            <w:shd w:val="clear" w:color="auto" w:fill="auto"/>
            <w:vAlign w:val="center"/>
            <w:hideMark/>
          </w:tcPr>
          <w:p w:rsidR="00F52BDA" w:rsidRPr="00A93ACF" w14:paraId="5D7DE65C" w14:textId="77777777">
            <w:pPr>
              <w:jc w:val="center"/>
              <w:rPr>
                <w:color w:val="000000"/>
                <w:sz w:val="22"/>
                <w:szCs w:val="22"/>
              </w:rPr>
            </w:pPr>
            <w:r w:rsidRPr="00A93ACF">
              <w:rPr>
                <w:color w:val="000000"/>
                <w:sz w:val="22"/>
                <w:szCs w:val="22"/>
              </w:rPr>
              <w:t>120</w:t>
            </w:r>
          </w:p>
        </w:tc>
        <w:tc>
          <w:tcPr>
            <w:tcW w:w="1318" w:type="dxa"/>
            <w:tcBorders>
              <w:top w:val="nil"/>
              <w:left w:val="nil"/>
              <w:bottom w:val="single" w:sz="4" w:space="0" w:color="auto"/>
              <w:right w:val="single" w:sz="4" w:space="0" w:color="auto"/>
            </w:tcBorders>
            <w:shd w:val="clear" w:color="auto" w:fill="auto"/>
            <w:vAlign w:val="center"/>
            <w:hideMark/>
          </w:tcPr>
          <w:p w:rsidR="00F52BDA" w:rsidRPr="00A93ACF" w14:paraId="41FB4B56" w14:textId="77777777">
            <w:pPr>
              <w:jc w:val="center"/>
              <w:rPr>
                <w:color w:val="000000"/>
                <w:sz w:val="22"/>
                <w:szCs w:val="22"/>
              </w:rPr>
            </w:pPr>
            <w:r w:rsidRPr="00A93ACF">
              <w:rPr>
                <w:color w:val="000000"/>
                <w:sz w:val="22"/>
                <w:szCs w:val="22"/>
              </w:rPr>
              <w:t>360</w:t>
            </w:r>
          </w:p>
        </w:tc>
      </w:tr>
      <w:tr w14:paraId="3FEC6124" w14:textId="77777777" w:rsidTr="00F52BDA">
        <w:tblPrEx>
          <w:tblW w:w="8640" w:type="dxa"/>
          <w:tblInd w:w="-5" w:type="dxa"/>
          <w:tblLook w:val="04A0"/>
        </w:tblPrEx>
        <w:trPr>
          <w:trHeight w:val="20"/>
        </w:trPr>
        <w:tc>
          <w:tcPr>
            <w:tcW w:w="3780" w:type="dxa"/>
            <w:tcBorders>
              <w:top w:val="nil"/>
              <w:left w:val="single" w:sz="4" w:space="0" w:color="auto"/>
              <w:bottom w:val="single" w:sz="4" w:space="0" w:color="auto"/>
              <w:right w:val="single" w:sz="4" w:space="0" w:color="auto"/>
            </w:tcBorders>
            <w:shd w:val="clear" w:color="auto" w:fill="auto"/>
            <w:vAlign w:val="center"/>
          </w:tcPr>
          <w:p w:rsidR="00A93ACF" w:rsidRPr="00A93ACF" w:rsidP="00A93ACF" w14:paraId="3702A16C" w14:textId="09DB3922">
            <w:pPr>
              <w:rPr>
                <w:color w:val="000000"/>
                <w:sz w:val="22"/>
                <w:szCs w:val="22"/>
              </w:rPr>
            </w:pPr>
            <w:r w:rsidRPr="00A93ACF">
              <w:rPr>
                <w:b/>
                <w:bCs/>
                <w:color w:val="000000"/>
                <w:sz w:val="22"/>
                <w:szCs w:val="22"/>
              </w:rPr>
              <w:t>Total</w:t>
            </w:r>
          </w:p>
        </w:tc>
        <w:tc>
          <w:tcPr>
            <w:tcW w:w="803" w:type="dxa"/>
            <w:tcBorders>
              <w:top w:val="nil"/>
              <w:left w:val="nil"/>
              <w:bottom w:val="single" w:sz="4" w:space="0" w:color="auto"/>
              <w:right w:val="single" w:sz="4" w:space="0" w:color="auto"/>
            </w:tcBorders>
            <w:shd w:val="clear" w:color="auto" w:fill="auto"/>
            <w:vAlign w:val="center"/>
          </w:tcPr>
          <w:p w:rsidR="00A93ACF" w:rsidRPr="00A93ACF" w:rsidP="00A93ACF" w14:paraId="7AF77DFA" w14:textId="5EB9598D">
            <w:pPr>
              <w:jc w:val="center"/>
              <w:rPr>
                <w:color w:val="000000"/>
                <w:sz w:val="22"/>
                <w:szCs w:val="22"/>
              </w:rPr>
            </w:pPr>
            <w:r w:rsidRPr="00A93ACF">
              <w:rPr>
                <w:b/>
                <w:bCs/>
                <w:color w:val="000000"/>
                <w:sz w:val="22"/>
                <w:szCs w:val="22"/>
              </w:rPr>
              <w:t>1</w:t>
            </w:r>
            <w:r w:rsidR="00E1381D">
              <w:rPr>
                <w:b/>
                <w:bCs/>
                <w:color w:val="000000"/>
                <w:sz w:val="22"/>
                <w:szCs w:val="22"/>
              </w:rPr>
              <w:t>4</w:t>
            </w:r>
          </w:p>
        </w:tc>
        <w:tc>
          <w:tcPr>
            <w:tcW w:w="1807" w:type="dxa"/>
            <w:tcBorders>
              <w:top w:val="nil"/>
              <w:left w:val="nil"/>
              <w:bottom w:val="single" w:sz="4" w:space="0" w:color="auto"/>
              <w:right w:val="single" w:sz="4" w:space="0" w:color="auto"/>
            </w:tcBorders>
            <w:shd w:val="clear" w:color="auto" w:fill="auto"/>
            <w:vAlign w:val="center"/>
          </w:tcPr>
          <w:p w:rsidR="00A93ACF" w:rsidRPr="001E3DC5" w:rsidP="00A93ACF" w14:paraId="03A8E68C" w14:textId="571ED725">
            <w:pPr>
              <w:jc w:val="center"/>
              <w:rPr>
                <w:b/>
                <w:bCs/>
                <w:color w:val="000000"/>
                <w:sz w:val="22"/>
                <w:szCs w:val="22"/>
              </w:rPr>
            </w:pPr>
            <w:r w:rsidRPr="001E3DC5">
              <w:rPr>
                <w:b/>
                <w:bCs/>
                <w:color w:val="000000"/>
                <w:sz w:val="22"/>
                <w:szCs w:val="22"/>
              </w:rPr>
              <w:t>211</w:t>
            </w:r>
          </w:p>
        </w:tc>
        <w:tc>
          <w:tcPr>
            <w:tcW w:w="932" w:type="dxa"/>
            <w:tcBorders>
              <w:top w:val="nil"/>
              <w:left w:val="nil"/>
              <w:bottom w:val="single" w:sz="4" w:space="0" w:color="auto"/>
              <w:right w:val="single" w:sz="4" w:space="0" w:color="auto"/>
            </w:tcBorders>
            <w:shd w:val="clear" w:color="auto" w:fill="auto"/>
            <w:vAlign w:val="center"/>
          </w:tcPr>
          <w:p w:rsidR="00A93ACF" w:rsidRPr="001E3DC5" w:rsidP="00A93ACF" w14:paraId="01A12CC1" w14:textId="6BFDDFF6">
            <w:pPr>
              <w:jc w:val="center"/>
              <w:rPr>
                <w:b/>
                <w:bCs/>
                <w:color w:val="000000"/>
                <w:sz w:val="22"/>
                <w:szCs w:val="22"/>
              </w:rPr>
            </w:pPr>
            <w:r w:rsidRPr="001E3DC5">
              <w:rPr>
                <w:b/>
                <w:bCs/>
                <w:color w:val="000000"/>
                <w:sz w:val="22"/>
                <w:szCs w:val="22"/>
              </w:rPr>
              <w:t>326</w:t>
            </w:r>
          </w:p>
        </w:tc>
        <w:tc>
          <w:tcPr>
            <w:tcW w:w="1318" w:type="dxa"/>
            <w:tcBorders>
              <w:top w:val="nil"/>
              <w:left w:val="nil"/>
              <w:bottom w:val="single" w:sz="4" w:space="0" w:color="auto"/>
              <w:right w:val="single" w:sz="4" w:space="0" w:color="auto"/>
            </w:tcBorders>
            <w:shd w:val="clear" w:color="auto" w:fill="auto"/>
            <w:vAlign w:val="center"/>
          </w:tcPr>
          <w:p w:rsidR="00A93ACF" w:rsidRPr="00427C1F" w:rsidP="00A93ACF" w14:paraId="1F3E9BD1" w14:textId="510B8C82">
            <w:pPr>
              <w:jc w:val="center"/>
              <w:rPr>
                <w:b/>
                <w:bCs/>
                <w:color w:val="000000"/>
                <w:sz w:val="22"/>
                <w:szCs w:val="22"/>
              </w:rPr>
            </w:pPr>
            <w:r w:rsidRPr="00427C1F">
              <w:rPr>
                <w:b/>
                <w:bCs/>
                <w:color w:val="000000"/>
                <w:sz w:val="22"/>
                <w:szCs w:val="22"/>
              </w:rPr>
              <w:t>977</w:t>
            </w:r>
          </w:p>
        </w:tc>
      </w:tr>
    </w:tbl>
    <w:p w:rsidR="00FE2F4A" w:rsidRPr="005E786A" w:rsidP="00A93ACF" w14:paraId="76381518" w14:textId="2D73A3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0"/>
          <w:szCs w:val="20"/>
        </w:rPr>
      </w:pPr>
      <w:r w:rsidRPr="00A93ACF">
        <w:rPr>
          <w:sz w:val="20"/>
          <w:szCs w:val="20"/>
        </w:rPr>
        <w:t>*Totals may not sum due to rounding.</w:t>
      </w:r>
    </w:p>
    <w:p w:rsidR="00FE2F4A" w14:paraId="73DA62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20388A" w:rsidRPr="00C63E7C" w14:paraId="6828C6F5" w14:textId="77777777">
      <w:pPr>
        <w:widowControl w:val="0"/>
        <w:autoSpaceDE w:val="0"/>
        <w:autoSpaceDN w:val="0"/>
        <w:adjustRightInd w:val="0"/>
        <w:jc w:val="center"/>
      </w:pPr>
    </w:p>
    <w:p w:rsidR="0020388A" w14:paraId="7F65850F" w14:textId="0E04F56E">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r w:rsidRPr="00C63E7C">
        <w:rPr>
          <w:b/>
          <w:bCs/>
        </w:rPr>
        <w:t>6(b)</w:t>
      </w:r>
      <w:r w:rsidRPr="00C63E7C">
        <w:rPr>
          <w:b/>
          <w:bCs/>
        </w:rPr>
        <w:tab/>
        <w:t>Estimating Respondent Costs</w:t>
      </w:r>
    </w:p>
    <w:p w:rsidR="007A5B53" w14:paraId="6F4827BE" w14:textId="7CD1317D">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p>
    <w:p w:rsidR="007A5B53" w:rsidRPr="00C63E7C" w14:paraId="006475E2" w14:textId="6CFBF71E">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Pr>
          <w:b/>
          <w:bCs/>
        </w:rPr>
        <w:t>(i)</w:t>
      </w:r>
      <w:r>
        <w:rPr>
          <w:b/>
          <w:bCs/>
        </w:rPr>
        <w:tab/>
        <w:t xml:space="preserve">Estimating Labor Costs </w:t>
      </w:r>
    </w:p>
    <w:p w:rsidR="0020388A" w14:paraId="74AE8B67" w14:textId="77777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775CF" w:rsidP="0014329F" w14:paraId="76C68763" w14:textId="33A640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E11CC">
        <w:t>The value of the public’s time is estimated to be $3</w:t>
      </w:r>
      <w:r w:rsidRPr="003E11CC" w:rsidR="00D0535D">
        <w:t>6</w:t>
      </w:r>
      <w:r w:rsidRPr="003E11CC">
        <w:t>.</w:t>
      </w:r>
      <w:r w:rsidRPr="003E11CC" w:rsidR="00776BD3">
        <w:t>64</w:t>
      </w:r>
      <w:r w:rsidRPr="003E11CC">
        <w:t xml:space="preserve"> per hour, the average hourly </w:t>
      </w:r>
      <w:r w:rsidRPr="003E11CC" w:rsidR="00776BD3">
        <w:t xml:space="preserve">total compensation </w:t>
      </w:r>
      <w:r w:rsidRPr="003E11CC">
        <w:t xml:space="preserve">of </w:t>
      </w:r>
      <w:r w:rsidRPr="003E11CC" w:rsidR="00776BD3">
        <w:t>private industry workers</w:t>
      </w:r>
      <w:r w:rsidRPr="003E11CC">
        <w:t xml:space="preserve"> (Bureau of Labor Statistics</w:t>
      </w:r>
      <w:r w:rsidR="00362E71">
        <w:t xml:space="preserve"> (BLS) </w:t>
      </w:r>
      <w:r w:rsidRPr="003E11CC">
        <w:t>2021).</w:t>
      </w:r>
      <w:r>
        <w:rPr>
          <w:rStyle w:val="FootnoteReference"/>
          <w:sz w:val="20"/>
          <w:szCs w:val="20"/>
          <w:vertAlign w:val="superscript"/>
        </w:rPr>
        <w:footnoteReference w:id="3"/>
      </w:r>
      <w:r w:rsidRPr="003E11CC">
        <w:rPr>
          <w:b/>
          <w:bCs/>
          <w:sz w:val="20"/>
          <w:szCs w:val="20"/>
          <w:vertAlign w:val="superscript"/>
        </w:rPr>
        <w:t xml:space="preserve"> </w:t>
      </w:r>
      <w:r w:rsidR="002C495C">
        <w:t>The S</w:t>
      </w:r>
      <w:r w:rsidRPr="003E11CC" w:rsidR="0020388A">
        <w:t xml:space="preserve">tate and local </w:t>
      </w:r>
      <w:r w:rsidRPr="003E11CC" w:rsidR="00630165">
        <w:t>government employee a</w:t>
      </w:r>
      <w:r w:rsidRPr="003E11CC">
        <w:t xml:space="preserve">verage hourly, fully loaded wage rate </w:t>
      </w:r>
      <w:r w:rsidRPr="003E11CC" w:rsidR="00630165">
        <w:t xml:space="preserve">is </w:t>
      </w:r>
      <w:r w:rsidRPr="003E11CC">
        <w:t>$</w:t>
      </w:r>
      <w:r w:rsidRPr="003E11CC" w:rsidR="00D0535D">
        <w:t>53.59</w:t>
      </w:r>
      <w:r w:rsidRPr="003E11CC" w:rsidR="00630165">
        <w:t xml:space="preserve"> (</w:t>
      </w:r>
      <w:r w:rsidR="00756D6C">
        <w:t>BLS</w:t>
      </w:r>
      <w:r w:rsidR="0014329F">
        <w:t xml:space="preserve"> </w:t>
      </w:r>
      <w:r w:rsidRPr="00780E3F" w:rsidR="00630165">
        <w:t>202</w:t>
      </w:r>
      <w:r w:rsidR="00630165">
        <w:t>1</w:t>
      </w:r>
      <w:r w:rsidR="00A362AF">
        <w:t>)</w:t>
      </w:r>
      <w:r w:rsidRPr="00C813E7">
        <w:t>.</w:t>
      </w:r>
      <w:r>
        <w:rPr>
          <w:rStyle w:val="FootnoteReference"/>
          <w:vertAlign w:val="superscript"/>
        </w:rPr>
        <w:footnoteReference w:id="4"/>
      </w:r>
      <w:r w:rsidR="003E11CC">
        <w:t xml:space="preserve"> See Exhibit 5.</w:t>
      </w:r>
    </w:p>
    <w:p w:rsidR="00D4790D" w:rsidP="00E17642" w14:paraId="5A6839C8" w14:textId="0D347027">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t xml:space="preserve"> </w:t>
      </w:r>
    </w:p>
    <w:p w:rsidR="003E11CC" w:rsidP="003E11CC" w14:paraId="3CB033D3" w14:textId="77777777">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3E11CC">
        <w:rPr>
          <w:b/>
          <w:bCs/>
        </w:rPr>
        <w:t>Exhibit 5</w:t>
      </w:r>
    </w:p>
    <w:p w:rsidR="003E11CC" w:rsidRPr="003E11CC" w:rsidP="003E11CC" w14:paraId="0B1FA2D9" w14:textId="7B61A266">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3E11CC">
        <w:rPr>
          <w:b/>
          <w:bCs/>
        </w:rPr>
        <w:t>Average Hourly Labor Rates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2"/>
        <w:gridCol w:w="4068"/>
      </w:tblGrid>
      <w:tr w14:paraId="0B1E298E" w14:textId="77777777" w:rsidTr="003E11C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2643" w:type="pct"/>
            <w:shd w:val="clear" w:color="auto" w:fill="auto"/>
            <w:vAlign w:val="center"/>
            <w:hideMark/>
          </w:tcPr>
          <w:p w:rsidR="00D4790D" w:rsidRPr="00D4790D" w14:paraId="3D75E2D6" w14:textId="77777777">
            <w:pPr>
              <w:jc w:val="center"/>
              <w:rPr>
                <w:rFonts w:asciiTheme="majorBidi" w:hAnsiTheme="majorBidi" w:cstheme="majorBidi"/>
                <w:b/>
                <w:bCs/>
                <w:color w:val="000000"/>
                <w:sz w:val="22"/>
                <w:szCs w:val="22"/>
              </w:rPr>
            </w:pPr>
            <w:r w:rsidRPr="00D4790D">
              <w:rPr>
                <w:rFonts w:asciiTheme="majorBidi" w:hAnsiTheme="majorBidi" w:cstheme="majorBidi"/>
                <w:b/>
                <w:bCs/>
                <w:color w:val="000000"/>
                <w:sz w:val="22"/>
                <w:szCs w:val="22"/>
              </w:rPr>
              <w:t>Labor Category</w:t>
            </w:r>
          </w:p>
        </w:tc>
        <w:tc>
          <w:tcPr>
            <w:tcW w:w="2357" w:type="pct"/>
            <w:shd w:val="clear" w:color="auto" w:fill="auto"/>
            <w:noWrap/>
            <w:vAlign w:val="center"/>
            <w:hideMark/>
          </w:tcPr>
          <w:p w:rsidR="00D4790D" w:rsidRPr="00D4790D" w14:paraId="6E8BFAB7" w14:textId="77777777">
            <w:pPr>
              <w:jc w:val="center"/>
              <w:rPr>
                <w:rFonts w:asciiTheme="majorBidi" w:hAnsiTheme="majorBidi" w:cstheme="majorBidi"/>
                <w:b/>
                <w:bCs/>
                <w:color w:val="000000"/>
                <w:sz w:val="22"/>
                <w:szCs w:val="22"/>
              </w:rPr>
            </w:pPr>
            <w:r w:rsidRPr="00D4790D">
              <w:rPr>
                <w:rFonts w:asciiTheme="majorBidi" w:hAnsiTheme="majorBidi" w:cstheme="majorBidi"/>
                <w:b/>
                <w:bCs/>
                <w:color w:val="000000"/>
                <w:sz w:val="22"/>
                <w:szCs w:val="22"/>
              </w:rPr>
              <w:t>Fully Loaded Labor Rate ($/hr)*</w:t>
            </w:r>
          </w:p>
        </w:tc>
      </w:tr>
      <w:tr w14:paraId="59303DBA" w14:textId="77777777" w:rsidTr="003E11CC">
        <w:tblPrEx>
          <w:tblW w:w="5000" w:type="pct"/>
          <w:tblLook w:val="04A0"/>
        </w:tblPrEx>
        <w:trPr>
          <w:trHeight w:val="320"/>
        </w:trPr>
        <w:tc>
          <w:tcPr>
            <w:tcW w:w="2643" w:type="pct"/>
            <w:shd w:val="clear" w:color="auto" w:fill="auto"/>
            <w:noWrap/>
            <w:vAlign w:val="bottom"/>
            <w:hideMark/>
          </w:tcPr>
          <w:p w:rsidR="00D4790D" w:rsidRPr="00D4790D" w14:paraId="1F2CF5CB" w14:textId="5A4190D6">
            <w:pPr>
              <w:rPr>
                <w:rFonts w:asciiTheme="majorBidi" w:hAnsiTheme="majorBidi" w:cstheme="majorBidi"/>
                <w:color w:val="183061"/>
                <w:sz w:val="22"/>
                <w:szCs w:val="22"/>
              </w:rPr>
            </w:pPr>
            <w:r w:rsidRPr="00A93ACF">
              <w:rPr>
                <w:rFonts w:asciiTheme="majorBidi" w:hAnsiTheme="majorBidi" w:cstheme="majorBidi"/>
                <w:sz w:val="22"/>
                <w:szCs w:val="22"/>
              </w:rPr>
              <w:t>Private Industry Workers</w:t>
            </w:r>
          </w:p>
        </w:tc>
        <w:tc>
          <w:tcPr>
            <w:tcW w:w="2357" w:type="pct"/>
            <w:shd w:val="clear" w:color="auto" w:fill="auto"/>
            <w:noWrap/>
            <w:vAlign w:val="center"/>
            <w:hideMark/>
          </w:tcPr>
          <w:p w:rsidR="00D4790D" w:rsidRPr="00D4790D" w14:paraId="1ADE31FC" w14:textId="77777777">
            <w:pPr>
              <w:jc w:val="right"/>
              <w:rPr>
                <w:rFonts w:asciiTheme="majorBidi" w:hAnsiTheme="majorBidi" w:cstheme="majorBidi"/>
                <w:color w:val="000000"/>
                <w:sz w:val="22"/>
                <w:szCs w:val="22"/>
              </w:rPr>
            </w:pPr>
            <w:r w:rsidRPr="00D4790D">
              <w:rPr>
                <w:rFonts w:asciiTheme="majorBidi" w:hAnsiTheme="majorBidi" w:cstheme="majorBidi"/>
                <w:color w:val="000000"/>
                <w:sz w:val="22"/>
                <w:szCs w:val="22"/>
              </w:rPr>
              <w:t xml:space="preserve">$36.64 </w:t>
            </w:r>
          </w:p>
        </w:tc>
      </w:tr>
      <w:tr w14:paraId="0D2AEEB0" w14:textId="77777777" w:rsidTr="00D4790D">
        <w:tblPrEx>
          <w:tblW w:w="5000" w:type="pct"/>
          <w:tblLook w:val="04A0"/>
        </w:tblPrEx>
        <w:trPr>
          <w:trHeight w:val="300"/>
        </w:trPr>
        <w:tc>
          <w:tcPr>
            <w:tcW w:w="2643" w:type="pct"/>
            <w:tcBorders>
              <w:bottom w:val="single" w:sz="4" w:space="0" w:color="auto"/>
            </w:tcBorders>
            <w:shd w:val="clear" w:color="auto" w:fill="auto"/>
            <w:noWrap/>
            <w:vAlign w:val="center"/>
            <w:hideMark/>
          </w:tcPr>
          <w:p w:rsidR="00D4790D" w:rsidRPr="00D4790D" w14:paraId="2ABCF6B7" w14:textId="279C9136">
            <w:pPr>
              <w:rPr>
                <w:rFonts w:asciiTheme="majorBidi" w:hAnsiTheme="majorBidi" w:cstheme="majorBidi"/>
                <w:color w:val="000000"/>
                <w:sz w:val="22"/>
                <w:szCs w:val="22"/>
              </w:rPr>
            </w:pPr>
            <w:r w:rsidRPr="00D4790D">
              <w:rPr>
                <w:rFonts w:asciiTheme="majorBidi" w:hAnsiTheme="majorBidi" w:cstheme="majorBidi"/>
                <w:color w:val="000000"/>
                <w:sz w:val="22"/>
                <w:szCs w:val="22"/>
              </w:rPr>
              <w:t xml:space="preserve">State and </w:t>
            </w:r>
            <w:r>
              <w:rPr>
                <w:rFonts w:asciiTheme="majorBidi" w:hAnsiTheme="majorBidi" w:cstheme="majorBidi"/>
                <w:color w:val="000000"/>
                <w:sz w:val="22"/>
                <w:szCs w:val="22"/>
              </w:rPr>
              <w:t>L</w:t>
            </w:r>
            <w:r w:rsidRPr="00D4790D">
              <w:rPr>
                <w:rFonts w:asciiTheme="majorBidi" w:hAnsiTheme="majorBidi" w:cstheme="majorBidi"/>
                <w:color w:val="000000"/>
                <w:sz w:val="22"/>
                <w:szCs w:val="22"/>
              </w:rPr>
              <w:t xml:space="preserve">ocal </w:t>
            </w:r>
            <w:r>
              <w:rPr>
                <w:rFonts w:asciiTheme="majorBidi" w:hAnsiTheme="majorBidi" w:cstheme="majorBidi"/>
                <w:color w:val="000000"/>
                <w:sz w:val="22"/>
                <w:szCs w:val="22"/>
              </w:rPr>
              <w:t>G</w:t>
            </w:r>
            <w:r w:rsidRPr="00D4790D">
              <w:rPr>
                <w:rFonts w:asciiTheme="majorBidi" w:hAnsiTheme="majorBidi" w:cstheme="majorBidi"/>
                <w:color w:val="000000"/>
                <w:sz w:val="22"/>
                <w:szCs w:val="22"/>
              </w:rPr>
              <w:t xml:space="preserve">overnment </w:t>
            </w:r>
            <w:r>
              <w:rPr>
                <w:rFonts w:asciiTheme="majorBidi" w:hAnsiTheme="majorBidi" w:cstheme="majorBidi"/>
                <w:color w:val="000000"/>
                <w:sz w:val="22"/>
                <w:szCs w:val="22"/>
              </w:rPr>
              <w:t>E</w:t>
            </w:r>
            <w:r w:rsidRPr="00D4790D">
              <w:rPr>
                <w:rFonts w:asciiTheme="majorBidi" w:hAnsiTheme="majorBidi" w:cstheme="majorBidi"/>
                <w:color w:val="000000"/>
                <w:sz w:val="22"/>
                <w:szCs w:val="22"/>
              </w:rPr>
              <w:t>mployee</w:t>
            </w:r>
            <w:r>
              <w:rPr>
                <w:rFonts w:asciiTheme="majorBidi" w:hAnsiTheme="majorBidi" w:cstheme="majorBidi"/>
                <w:color w:val="000000"/>
                <w:sz w:val="22"/>
                <w:szCs w:val="22"/>
              </w:rPr>
              <w:t>s</w:t>
            </w:r>
            <w:r w:rsidRPr="00D4790D">
              <w:rPr>
                <w:rFonts w:asciiTheme="majorBidi" w:hAnsiTheme="majorBidi" w:cstheme="majorBidi"/>
                <w:color w:val="000000"/>
                <w:sz w:val="22"/>
                <w:szCs w:val="22"/>
              </w:rPr>
              <w:t xml:space="preserve"> </w:t>
            </w:r>
          </w:p>
        </w:tc>
        <w:tc>
          <w:tcPr>
            <w:tcW w:w="2357" w:type="pct"/>
            <w:tcBorders>
              <w:bottom w:val="single" w:sz="4" w:space="0" w:color="auto"/>
            </w:tcBorders>
            <w:shd w:val="clear" w:color="auto" w:fill="auto"/>
            <w:noWrap/>
            <w:vAlign w:val="center"/>
            <w:hideMark/>
          </w:tcPr>
          <w:p w:rsidR="00D4790D" w:rsidRPr="00D4790D" w14:paraId="2E51A4C5" w14:textId="77777777">
            <w:pPr>
              <w:jc w:val="right"/>
              <w:rPr>
                <w:rFonts w:asciiTheme="majorBidi" w:hAnsiTheme="majorBidi" w:cstheme="majorBidi"/>
                <w:color w:val="000000"/>
                <w:sz w:val="22"/>
                <w:szCs w:val="22"/>
              </w:rPr>
            </w:pPr>
            <w:r w:rsidRPr="00D4790D">
              <w:rPr>
                <w:rFonts w:asciiTheme="majorBidi" w:hAnsiTheme="majorBidi" w:cstheme="majorBidi"/>
                <w:color w:val="000000"/>
                <w:sz w:val="22"/>
                <w:szCs w:val="22"/>
              </w:rPr>
              <w:t xml:space="preserve">$53.59 </w:t>
            </w:r>
          </w:p>
        </w:tc>
      </w:tr>
      <w:tr w14:paraId="6185626B" w14:textId="77777777" w:rsidTr="00D4790D">
        <w:tblPrEx>
          <w:tblW w:w="5000" w:type="pct"/>
          <w:tblLook w:val="04A0"/>
        </w:tblPrEx>
        <w:trPr>
          <w:trHeight w:val="290"/>
        </w:trPr>
        <w:tc>
          <w:tcPr>
            <w:tcW w:w="5000" w:type="pct"/>
            <w:gridSpan w:val="2"/>
            <w:tcBorders>
              <w:top w:val="single" w:sz="4" w:space="0" w:color="auto"/>
              <w:left w:val="nil"/>
              <w:bottom w:val="nil"/>
              <w:right w:val="nil"/>
            </w:tcBorders>
            <w:shd w:val="clear" w:color="auto" w:fill="auto"/>
            <w:noWrap/>
            <w:vAlign w:val="center"/>
            <w:hideMark/>
          </w:tcPr>
          <w:p w:rsidR="00D4790D" w:rsidRPr="00245DFF" w14:paraId="4313969A" w14:textId="77777777">
            <w:pPr>
              <w:rPr>
                <w:rFonts w:asciiTheme="majorBidi" w:hAnsiTheme="majorBidi" w:cstheme="majorBidi"/>
                <w:color w:val="000000"/>
                <w:sz w:val="22"/>
                <w:szCs w:val="22"/>
              </w:rPr>
            </w:pPr>
            <w:r w:rsidRPr="00245DFF">
              <w:rPr>
                <w:rFonts w:asciiTheme="majorBidi" w:hAnsiTheme="majorBidi" w:cstheme="majorBidi"/>
                <w:color w:val="000000"/>
                <w:sz w:val="22"/>
                <w:szCs w:val="22"/>
              </w:rPr>
              <w:t>*Fully Loaded Labor Rate includes wages and salaries as well as benefits.</w:t>
            </w:r>
          </w:p>
        </w:tc>
      </w:tr>
      <w:tr w14:paraId="67BEDE5B" w14:textId="77777777" w:rsidTr="00D4790D">
        <w:tblPrEx>
          <w:tblW w:w="5000" w:type="pct"/>
          <w:tblLook w:val="04A0"/>
        </w:tblPrEx>
        <w:trPr>
          <w:trHeight w:val="300"/>
        </w:trPr>
        <w:tc>
          <w:tcPr>
            <w:tcW w:w="5000" w:type="pct"/>
            <w:gridSpan w:val="2"/>
            <w:tcBorders>
              <w:top w:val="nil"/>
              <w:left w:val="nil"/>
              <w:bottom w:val="nil"/>
              <w:right w:val="nil"/>
            </w:tcBorders>
            <w:shd w:val="clear" w:color="auto" w:fill="auto"/>
            <w:noWrap/>
            <w:vAlign w:val="center"/>
            <w:hideMark/>
          </w:tcPr>
          <w:p w:rsidR="00D4790D" w:rsidRPr="00D4790D" w14:paraId="551D7FDB" w14:textId="09714A78">
            <w:pPr>
              <w:rPr>
                <w:rFonts w:asciiTheme="majorBidi" w:hAnsiTheme="majorBidi" w:cstheme="majorBidi"/>
                <w:color w:val="000000"/>
                <w:sz w:val="22"/>
                <w:szCs w:val="22"/>
              </w:rPr>
            </w:pPr>
            <w:r w:rsidRPr="00D4790D">
              <w:rPr>
                <w:rFonts w:asciiTheme="majorBidi" w:hAnsiTheme="majorBidi" w:cstheme="majorBidi"/>
                <w:color w:val="000000"/>
                <w:sz w:val="22"/>
                <w:szCs w:val="22"/>
              </w:rPr>
              <w:t xml:space="preserve">Source: </w:t>
            </w:r>
            <w:r w:rsidR="005076B2">
              <w:rPr>
                <w:rFonts w:asciiTheme="majorBidi" w:hAnsiTheme="majorBidi" w:cstheme="majorBidi"/>
                <w:color w:val="000000"/>
                <w:sz w:val="22"/>
                <w:szCs w:val="22"/>
              </w:rPr>
              <w:t>BLS</w:t>
            </w:r>
            <w:r w:rsidRPr="00D4790D">
              <w:rPr>
                <w:rFonts w:asciiTheme="majorBidi" w:hAnsiTheme="majorBidi" w:cstheme="majorBidi"/>
                <w:color w:val="000000"/>
                <w:sz w:val="22"/>
                <w:szCs w:val="22"/>
              </w:rPr>
              <w:t xml:space="preserve"> (2021)</w:t>
            </w:r>
          </w:p>
        </w:tc>
      </w:tr>
    </w:tbl>
    <w:p w:rsidR="00D4790D" w:rsidP="00E17642" w14:paraId="17B139E9" w14:textId="70223FE1">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9C00AC" w:rsidP="00E17642" w14:paraId="6CF9898E" w14:textId="1F44D50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t>EPA estimated public respondent cost by a</w:t>
      </w:r>
      <w:r>
        <w:t xml:space="preserve">pplying the fully loaded labor rates to the public </w:t>
      </w:r>
      <w:r w:rsidR="00311ED8">
        <w:t>burden estimates from Exhibit 2</w:t>
      </w:r>
      <w:r>
        <w:t xml:space="preserve">. Total </w:t>
      </w:r>
      <w:r w:rsidR="00E56CB5">
        <w:t xml:space="preserve">estimated </w:t>
      </w:r>
      <w:r>
        <w:t xml:space="preserve">costs to the public are </w:t>
      </w:r>
      <w:r>
        <w:t>$</w:t>
      </w:r>
      <w:r w:rsidR="002C018A">
        <w:t>12,348</w:t>
      </w:r>
      <w:r>
        <w:t xml:space="preserve"> annually (</w:t>
      </w:r>
      <w:r w:rsidR="002C018A">
        <w:t>$37,043</w:t>
      </w:r>
      <w:r>
        <w:t xml:space="preserve"> for three years). See Exhibit 6.</w:t>
      </w:r>
    </w:p>
    <w:p w:rsidR="009C00AC" w:rsidP="00E17642" w14:paraId="4DAA7F0C" w14:textId="77777777">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9C00AC" w:rsidP="009C00AC" w14:paraId="450F2CA4" w14:textId="77777777">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color w:val="000000"/>
        </w:rPr>
      </w:pPr>
      <w:r>
        <w:rPr>
          <w:b/>
          <w:bCs/>
          <w:color w:val="000000"/>
        </w:rPr>
        <w:t>Exhibit 6</w:t>
      </w:r>
    </w:p>
    <w:p w:rsidR="009C00AC" w:rsidP="009C00AC" w14:paraId="53720503" w14:textId="5641B769">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rPr>
          <w:b/>
          <w:bCs/>
          <w:color w:val="000000"/>
        </w:rPr>
        <w:t>Public Estimated Burden and Costs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922"/>
        <w:gridCol w:w="827"/>
        <w:gridCol w:w="958"/>
        <w:gridCol w:w="893"/>
        <w:gridCol w:w="1034"/>
      </w:tblGrid>
      <w:tr w14:paraId="56CB65AF" w14:textId="77777777" w:rsidTr="00A93ACF">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20"/>
        </w:trPr>
        <w:tc>
          <w:tcPr>
            <w:tcW w:w="2850" w:type="pct"/>
            <w:vMerge w:val="restart"/>
            <w:shd w:val="clear" w:color="auto" w:fill="auto"/>
            <w:vAlign w:val="center"/>
            <w:hideMark/>
          </w:tcPr>
          <w:p w:rsidR="009C00AC" w14:paraId="05893BE3" w14:textId="77777777">
            <w:pPr>
              <w:rPr>
                <w:b/>
                <w:bCs/>
                <w:color w:val="000000"/>
                <w:sz w:val="22"/>
                <w:szCs w:val="22"/>
              </w:rPr>
            </w:pPr>
            <w:r>
              <w:rPr>
                <w:b/>
                <w:bCs/>
                <w:color w:val="000000"/>
                <w:sz w:val="22"/>
                <w:szCs w:val="22"/>
              </w:rPr>
              <w:t>Burden Activity</w:t>
            </w:r>
            <w:r>
              <w:rPr>
                <w:color w:val="000000"/>
                <w:sz w:val="16"/>
                <w:szCs w:val="16"/>
              </w:rPr>
              <w:t> </w:t>
            </w:r>
          </w:p>
        </w:tc>
        <w:tc>
          <w:tcPr>
            <w:tcW w:w="1034" w:type="pct"/>
            <w:gridSpan w:val="2"/>
            <w:shd w:val="clear" w:color="auto" w:fill="auto"/>
            <w:vAlign w:val="center"/>
            <w:hideMark/>
          </w:tcPr>
          <w:p w:rsidR="009C00AC" w14:paraId="7CCB26A3" w14:textId="77777777">
            <w:pPr>
              <w:jc w:val="center"/>
              <w:rPr>
                <w:b/>
                <w:bCs/>
                <w:color w:val="000000"/>
                <w:sz w:val="22"/>
                <w:szCs w:val="22"/>
              </w:rPr>
            </w:pPr>
            <w:r>
              <w:rPr>
                <w:b/>
                <w:bCs/>
                <w:color w:val="000000"/>
                <w:sz w:val="22"/>
                <w:szCs w:val="22"/>
              </w:rPr>
              <w:t>Annual</w:t>
            </w:r>
          </w:p>
        </w:tc>
        <w:tc>
          <w:tcPr>
            <w:tcW w:w="1116" w:type="pct"/>
            <w:gridSpan w:val="2"/>
            <w:shd w:val="clear" w:color="auto" w:fill="auto"/>
            <w:vAlign w:val="center"/>
            <w:hideMark/>
          </w:tcPr>
          <w:p w:rsidR="009C00AC" w14:paraId="18963DBE" w14:textId="77777777">
            <w:pPr>
              <w:jc w:val="center"/>
              <w:rPr>
                <w:b/>
                <w:bCs/>
                <w:color w:val="000000"/>
                <w:sz w:val="22"/>
                <w:szCs w:val="22"/>
              </w:rPr>
            </w:pPr>
            <w:r>
              <w:rPr>
                <w:b/>
                <w:bCs/>
                <w:color w:val="000000"/>
                <w:sz w:val="22"/>
                <w:szCs w:val="22"/>
              </w:rPr>
              <w:t>Three-Year Total</w:t>
            </w:r>
          </w:p>
        </w:tc>
      </w:tr>
      <w:tr w14:paraId="2028831C" w14:textId="77777777" w:rsidTr="00A93ACF">
        <w:tblPrEx>
          <w:tblW w:w="5000" w:type="pct"/>
          <w:tblLook w:val="04A0"/>
        </w:tblPrEx>
        <w:trPr>
          <w:trHeight w:val="20"/>
        </w:trPr>
        <w:tc>
          <w:tcPr>
            <w:tcW w:w="2850" w:type="pct"/>
            <w:vMerge/>
            <w:vAlign w:val="center"/>
            <w:hideMark/>
          </w:tcPr>
          <w:p w:rsidR="009C00AC" w14:paraId="5408C53D" w14:textId="77777777">
            <w:pPr>
              <w:rPr>
                <w:b/>
                <w:bCs/>
                <w:color w:val="000000"/>
                <w:sz w:val="22"/>
                <w:szCs w:val="22"/>
              </w:rPr>
            </w:pPr>
          </w:p>
        </w:tc>
        <w:tc>
          <w:tcPr>
            <w:tcW w:w="479" w:type="pct"/>
            <w:shd w:val="clear" w:color="auto" w:fill="auto"/>
            <w:vAlign w:val="center"/>
            <w:hideMark/>
          </w:tcPr>
          <w:p w:rsidR="009C00AC" w14:paraId="6F8386C1" w14:textId="77777777">
            <w:pPr>
              <w:jc w:val="center"/>
              <w:rPr>
                <w:b/>
                <w:bCs/>
                <w:color w:val="000000"/>
                <w:sz w:val="22"/>
                <w:szCs w:val="22"/>
              </w:rPr>
            </w:pPr>
            <w:r>
              <w:rPr>
                <w:b/>
                <w:bCs/>
                <w:color w:val="000000"/>
                <w:sz w:val="22"/>
                <w:szCs w:val="22"/>
              </w:rPr>
              <w:t>Hours</w:t>
            </w:r>
          </w:p>
        </w:tc>
        <w:tc>
          <w:tcPr>
            <w:tcW w:w="555" w:type="pct"/>
            <w:shd w:val="clear" w:color="auto" w:fill="auto"/>
            <w:vAlign w:val="center"/>
            <w:hideMark/>
          </w:tcPr>
          <w:p w:rsidR="009C00AC" w14:paraId="23D592E6" w14:textId="77777777">
            <w:pPr>
              <w:jc w:val="center"/>
              <w:rPr>
                <w:b/>
                <w:bCs/>
                <w:color w:val="000000"/>
                <w:sz w:val="22"/>
                <w:szCs w:val="22"/>
              </w:rPr>
            </w:pPr>
            <w:r>
              <w:rPr>
                <w:b/>
                <w:bCs/>
                <w:color w:val="000000"/>
                <w:sz w:val="22"/>
                <w:szCs w:val="22"/>
              </w:rPr>
              <w:t>Cost</w:t>
            </w:r>
          </w:p>
        </w:tc>
        <w:tc>
          <w:tcPr>
            <w:tcW w:w="517" w:type="pct"/>
            <w:shd w:val="clear" w:color="auto" w:fill="auto"/>
            <w:vAlign w:val="center"/>
            <w:hideMark/>
          </w:tcPr>
          <w:p w:rsidR="009C00AC" w14:paraId="537153E6" w14:textId="77777777">
            <w:pPr>
              <w:jc w:val="center"/>
              <w:rPr>
                <w:b/>
                <w:bCs/>
                <w:color w:val="000000"/>
                <w:sz w:val="22"/>
                <w:szCs w:val="22"/>
              </w:rPr>
            </w:pPr>
            <w:r>
              <w:rPr>
                <w:b/>
                <w:bCs/>
                <w:color w:val="000000"/>
                <w:sz w:val="22"/>
                <w:szCs w:val="22"/>
              </w:rPr>
              <w:t>Hours</w:t>
            </w:r>
          </w:p>
        </w:tc>
        <w:tc>
          <w:tcPr>
            <w:tcW w:w="599" w:type="pct"/>
            <w:shd w:val="clear" w:color="auto" w:fill="auto"/>
            <w:vAlign w:val="center"/>
            <w:hideMark/>
          </w:tcPr>
          <w:p w:rsidR="009C00AC" w14:paraId="3DAC904C" w14:textId="77777777">
            <w:pPr>
              <w:jc w:val="center"/>
              <w:rPr>
                <w:b/>
                <w:bCs/>
                <w:color w:val="000000"/>
                <w:sz w:val="22"/>
                <w:szCs w:val="22"/>
              </w:rPr>
            </w:pPr>
            <w:r>
              <w:rPr>
                <w:b/>
                <w:bCs/>
                <w:color w:val="000000"/>
                <w:sz w:val="22"/>
                <w:szCs w:val="22"/>
              </w:rPr>
              <w:t>Cost</w:t>
            </w:r>
          </w:p>
        </w:tc>
      </w:tr>
      <w:tr w14:paraId="0A45B32A" w14:textId="77777777" w:rsidTr="00A93ACF">
        <w:tblPrEx>
          <w:tblW w:w="5000" w:type="pct"/>
          <w:tblLook w:val="04A0"/>
        </w:tblPrEx>
        <w:trPr>
          <w:trHeight w:val="20"/>
        </w:trPr>
        <w:tc>
          <w:tcPr>
            <w:tcW w:w="2850" w:type="pct"/>
            <w:shd w:val="clear" w:color="auto" w:fill="auto"/>
            <w:vAlign w:val="center"/>
            <w:hideMark/>
          </w:tcPr>
          <w:p w:rsidR="009C00AC" w14:paraId="4D3A984C" w14:textId="77777777">
            <w:pPr>
              <w:rPr>
                <w:color w:val="000000"/>
                <w:sz w:val="22"/>
                <w:szCs w:val="22"/>
              </w:rPr>
            </w:pPr>
            <w:r>
              <w:rPr>
                <w:color w:val="000000"/>
                <w:sz w:val="22"/>
                <w:szCs w:val="22"/>
              </w:rPr>
              <w:t>Reading Rooms - Federal</w:t>
            </w:r>
          </w:p>
        </w:tc>
        <w:tc>
          <w:tcPr>
            <w:tcW w:w="479" w:type="pct"/>
            <w:shd w:val="clear" w:color="auto" w:fill="auto"/>
            <w:vAlign w:val="center"/>
            <w:hideMark/>
          </w:tcPr>
          <w:p w:rsidR="009C00AC" w14:paraId="5BF16E41" w14:textId="61AAB6FB">
            <w:pPr>
              <w:jc w:val="center"/>
              <w:rPr>
                <w:color w:val="000000"/>
                <w:sz w:val="22"/>
                <w:szCs w:val="22"/>
              </w:rPr>
            </w:pPr>
            <w:r>
              <w:rPr>
                <w:color w:val="000000"/>
                <w:sz w:val="22"/>
                <w:szCs w:val="22"/>
              </w:rPr>
              <w:t>10</w:t>
            </w:r>
          </w:p>
        </w:tc>
        <w:tc>
          <w:tcPr>
            <w:tcW w:w="555" w:type="pct"/>
            <w:shd w:val="clear" w:color="auto" w:fill="auto"/>
            <w:vAlign w:val="center"/>
            <w:hideMark/>
          </w:tcPr>
          <w:p w:rsidR="009C00AC" w14:paraId="581F9ADD" w14:textId="01045205">
            <w:pPr>
              <w:jc w:val="center"/>
              <w:rPr>
                <w:color w:val="000000"/>
                <w:sz w:val="22"/>
                <w:szCs w:val="22"/>
              </w:rPr>
            </w:pPr>
            <w:r>
              <w:rPr>
                <w:color w:val="000000"/>
                <w:sz w:val="22"/>
                <w:szCs w:val="22"/>
              </w:rPr>
              <w:t>$</w:t>
            </w:r>
            <w:r w:rsidR="00631640">
              <w:rPr>
                <w:color w:val="000000"/>
                <w:sz w:val="22"/>
                <w:szCs w:val="22"/>
              </w:rPr>
              <w:t>366</w:t>
            </w:r>
          </w:p>
        </w:tc>
        <w:tc>
          <w:tcPr>
            <w:tcW w:w="517" w:type="pct"/>
            <w:shd w:val="clear" w:color="auto" w:fill="auto"/>
            <w:vAlign w:val="center"/>
            <w:hideMark/>
          </w:tcPr>
          <w:p w:rsidR="009C00AC" w14:paraId="4F84F5AA" w14:textId="1D16BF2E">
            <w:pPr>
              <w:jc w:val="center"/>
              <w:rPr>
                <w:color w:val="000000"/>
                <w:sz w:val="22"/>
                <w:szCs w:val="22"/>
              </w:rPr>
            </w:pPr>
            <w:r>
              <w:rPr>
                <w:color w:val="000000"/>
                <w:sz w:val="22"/>
                <w:szCs w:val="22"/>
              </w:rPr>
              <w:t>30</w:t>
            </w:r>
          </w:p>
        </w:tc>
        <w:tc>
          <w:tcPr>
            <w:tcW w:w="599" w:type="pct"/>
            <w:shd w:val="clear" w:color="auto" w:fill="auto"/>
            <w:vAlign w:val="center"/>
            <w:hideMark/>
          </w:tcPr>
          <w:p w:rsidR="009C00AC" w14:paraId="3AD14B62" w14:textId="7C2889F0">
            <w:pPr>
              <w:jc w:val="center"/>
              <w:rPr>
                <w:color w:val="000000"/>
                <w:sz w:val="22"/>
                <w:szCs w:val="22"/>
              </w:rPr>
            </w:pPr>
            <w:r>
              <w:rPr>
                <w:color w:val="000000"/>
                <w:sz w:val="22"/>
                <w:szCs w:val="22"/>
              </w:rPr>
              <w:t>$</w:t>
            </w:r>
            <w:r w:rsidR="00F95995">
              <w:rPr>
                <w:color w:val="000000"/>
                <w:sz w:val="22"/>
                <w:szCs w:val="22"/>
              </w:rPr>
              <w:t>1,099</w:t>
            </w:r>
            <w:r>
              <w:rPr>
                <w:color w:val="000000"/>
                <w:sz w:val="22"/>
                <w:szCs w:val="22"/>
              </w:rPr>
              <w:t xml:space="preserve"> </w:t>
            </w:r>
          </w:p>
        </w:tc>
      </w:tr>
      <w:tr w14:paraId="032F3F6B" w14:textId="77777777" w:rsidTr="00A93ACF">
        <w:tblPrEx>
          <w:tblW w:w="5000" w:type="pct"/>
          <w:tblLook w:val="04A0"/>
        </w:tblPrEx>
        <w:trPr>
          <w:trHeight w:val="20"/>
        </w:trPr>
        <w:tc>
          <w:tcPr>
            <w:tcW w:w="2850" w:type="pct"/>
            <w:shd w:val="clear" w:color="auto" w:fill="auto"/>
            <w:vAlign w:val="center"/>
            <w:hideMark/>
          </w:tcPr>
          <w:p w:rsidR="009C00AC" w:rsidRPr="00A9536D" w14:paraId="2EF70D74" w14:textId="77777777">
            <w:pPr>
              <w:rPr>
                <w:color w:val="000000"/>
                <w:sz w:val="22"/>
                <w:szCs w:val="22"/>
              </w:rPr>
            </w:pPr>
            <w:r w:rsidRPr="00A9536D">
              <w:rPr>
                <w:color w:val="000000"/>
                <w:sz w:val="22"/>
                <w:szCs w:val="22"/>
              </w:rPr>
              <w:t>Reading Rooms - State and Local</w:t>
            </w:r>
          </w:p>
        </w:tc>
        <w:tc>
          <w:tcPr>
            <w:tcW w:w="479" w:type="pct"/>
            <w:shd w:val="clear" w:color="auto" w:fill="auto"/>
            <w:vAlign w:val="center"/>
            <w:hideMark/>
          </w:tcPr>
          <w:p w:rsidR="009C00AC" w:rsidRPr="00A9536D" w14:paraId="56CBE1A6" w14:textId="301A1A8F">
            <w:pPr>
              <w:jc w:val="center"/>
              <w:rPr>
                <w:color w:val="000000"/>
                <w:sz w:val="22"/>
                <w:szCs w:val="22"/>
              </w:rPr>
            </w:pPr>
            <w:r w:rsidRPr="00A9536D">
              <w:rPr>
                <w:color w:val="000000"/>
                <w:sz w:val="22"/>
                <w:szCs w:val="22"/>
              </w:rPr>
              <w:t>5</w:t>
            </w:r>
          </w:p>
        </w:tc>
        <w:tc>
          <w:tcPr>
            <w:tcW w:w="555" w:type="pct"/>
            <w:shd w:val="clear" w:color="auto" w:fill="auto"/>
            <w:vAlign w:val="center"/>
            <w:hideMark/>
          </w:tcPr>
          <w:p w:rsidR="009C00AC" w:rsidRPr="00A9536D" w14:paraId="669C7438" w14:textId="7FF51FEF">
            <w:pPr>
              <w:jc w:val="center"/>
              <w:rPr>
                <w:color w:val="000000"/>
                <w:sz w:val="22"/>
                <w:szCs w:val="22"/>
              </w:rPr>
            </w:pPr>
            <w:r w:rsidRPr="00A9536D">
              <w:rPr>
                <w:color w:val="000000"/>
                <w:sz w:val="22"/>
                <w:szCs w:val="22"/>
              </w:rPr>
              <w:t>$</w:t>
            </w:r>
            <w:r w:rsidRPr="00A9536D" w:rsidR="00631640">
              <w:rPr>
                <w:color w:val="000000"/>
                <w:sz w:val="22"/>
                <w:szCs w:val="22"/>
              </w:rPr>
              <w:t>183</w:t>
            </w:r>
          </w:p>
        </w:tc>
        <w:tc>
          <w:tcPr>
            <w:tcW w:w="517" w:type="pct"/>
            <w:shd w:val="clear" w:color="auto" w:fill="auto"/>
            <w:vAlign w:val="center"/>
            <w:hideMark/>
          </w:tcPr>
          <w:p w:rsidR="009C00AC" w:rsidRPr="00A9536D" w14:paraId="1B237D29" w14:textId="6660D065">
            <w:pPr>
              <w:jc w:val="center"/>
              <w:rPr>
                <w:color w:val="000000"/>
                <w:sz w:val="22"/>
                <w:szCs w:val="22"/>
              </w:rPr>
            </w:pPr>
            <w:r w:rsidRPr="00A9536D">
              <w:rPr>
                <w:color w:val="000000"/>
                <w:sz w:val="22"/>
                <w:szCs w:val="22"/>
              </w:rPr>
              <w:t>15</w:t>
            </w:r>
          </w:p>
        </w:tc>
        <w:tc>
          <w:tcPr>
            <w:tcW w:w="599" w:type="pct"/>
            <w:shd w:val="clear" w:color="auto" w:fill="auto"/>
            <w:vAlign w:val="center"/>
            <w:hideMark/>
          </w:tcPr>
          <w:p w:rsidR="009C00AC" w:rsidRPr="00A9536D" w14:paraId="3B854830" w14:textId="4EDCEABB">
            <w:pPr>
              <w:jc w:val="center"/>
              <w:rPr>
                <w:color w:val="000000"/>
                <w:sz w:val="22"/>
                <w:szCs w:val="22"/>
              </w:rPr>
            </w:pPr>
            <w:r w:rsidRPr="00A9536D">
              <w:rPr>
                <w:color w:val="000000"/>
                <w:sz w:val="22"/>
                <w:szCs w:val="22"/>
              </w:rPr>
              <w:t>$</w:t>
            </w:r>
            <w:r w:rsidRPr="00A9536D" w:rsidR="00F95995">
              <w:rPr>
                <w:color w:val="000000"/>
                <w:sz w:val="22"/>
                <w:szCs w:val="22"/>
              </w:rPr>
              <w:t>550</w:t>
            </w:r>
            <w:r w:rsidRPr="00A9536D">
              <w:rPr>
                <w:color w:val="000000"/>
                <w:sz w:val="22"/>
                <w:szCs w:val="22"/>
              </w:rPr>
              <w:t xml:space="preserve"> </w:t>
            </w:r>
          </w:p>
        </w:tc>
      </w:tr>
      <w:tr w14:paraId="64A18173" w14:textId="77777777" w:rsidTr="00A93ACF">
        <w:tblPrEx>
          <w:tblW w:w="5000" w:type="pct"/>
          <w:tblLook w:val="04A0"/>
        </w:tblPrEx>
        <w:trPr>
          <w:trHeight w:val="20"/>
        </w:trPr>
        <w:tc>
          <w:tcPr>
            <w:tcW w:w="2850" w:type="pct"/>
            <w:shd w:val="clear" w:color="auto" w:fill="auto"/>
            <w:vAlign w:val="center"/>
            <w:hideMark/>
          </w:tcPr>
          <w:p w:rsidR="009C00AC" w14:paraId="46A0A784" w14:textId="77777777">
            <w:pPr>
              <w:rPr>
                <w:color w:val="000000"/>
                <w:sz w:val="22"/>
                <w:szCs w:val="22"/>
              </w:rPr>
            </w:pPr>
            <w:r>
              <w:rPr>
                <w:color w:val="000000"/>
                <w:sz w:val="22"/>
                <w:szCs w:val="22"/>
              </w:rPr>
              <w:t>Vulnerable Zone Indicator System (VZIS) Inquiries</w:t>
            </w:r>
          </w:p>
        </w:tc>
        <w:tc>
          <w:tcPr>
            <w:tcW w:w="479" w:type="pct"/>
            <w:shd w:val="clear" w:color="auto" w:fill="auto"/>
            <w:vAlign w:val="center"/>
            <w:hideMark/>
          </w:tcPr>
          <w:p w:rsidR="009C00AC" w14:paraId="1C473CEA" w14:textId="77777777">
            <w:pPr>
              <w:jc w:val="center"/>
              <w:rPr>
                <w:color w:val="000000"/>
                <w:sz w:val="22"/>
                <w:szCs w:val="22"/>
              </w:rPr>
            </w:pPr>
            <w:r>
              <w:rPr>
                <w:bCs/>
                <w:color w:val="000000"/>
                <w:sz w:val="22"/>
                <w:szCs w:val="22"/>
              </w:rPr>
              <w:t>322</w:t>
            </w:r>
          </w:p>
        </w:tc>
        <w:tc>
          <w:tcPr>
            <w:tcW w:w="555" w:type="pct"/>
            <w:shd w:val="clear" w:color="auto" w:fill="auto"/>
            <w:vAlign w:val="center"/>
            <w:hideMark/>
          </w:tcPr>
          <w:p w:rsidR="009C00AC" w14:paraId="73F88BD6" w14:textId="77777777">
            <w:pPr>
              <w:jc w:val="center"/>
              <w:rPr>
                <w:color w:val="000000"/>
                <w:sz w:val="22"/>
                <w:szCs w:val="22"/>
              </w:rPr>
            </w:pPr>
            <w:r>
              <w:rPr>
                <w:color w:val="000000"/>
                <w:sz w:val="22"/>
                <w:szCs w:val="22"/>
              </w:rPr>
              <w:t xml:space="preserve">$11,798 </w:t>
            </w:r>
          </w:p>
        </w:tc>
        <w:tc>
          <w:tcPr>
            <w:tcW w:w="517" w:type="pct"/>
            <w:shd w:val="clear" w:color="auto" w:fill="auto"/>
            <w:vAlign w:val="center"/>
            <w:hideMark/>
          </w:tcPr>
          <w:p w:rsidR="009C00AC" w14:paraId="21197EBD" w14:textId="77777777">
            <w:pPr>
              <w:jc w:val="center"/>
              <w:rPr>
                <w:color w:val="000000"/>
                <w:sz w:val="22"/>
                <w:szCs w:val="22"/>
              </w:rPr>
            </w:pPr>
            <w:r>
              <w:rPr>
                <w:bCs/>
                <w:color w:val="000000"/>
                <w:sz w:val="22"/>
                <w:szCs w:val="22"/>
              </w:rPr>
              <w:t>966</w:t>
            </w:r>
          </w:p>
        </w:tc>
        <w:tc>
          <w:tcPr>
            <w:tcW w:w="599" w:type="pct"/>
            <w:shd w:val="clear" w:color="auto" w:fill="auto"/>
            <w:vAlign w:val="center"/>
            <w:hideMark/>
          </w:tcPr>
          <w:p w:rsidR="009C00AC" w14:paraId="6A1FE503" w14:textId="77777777">
            <w:pPr>
              <w:jc w:val="center"/>
              <w:rPr>
                <w:color w:val="000000"/>
                <w:sz w:val="22"/>
                <w:szCs w:val="22"/>
              </w:rPr>
            </w:pPr>
            <w:r>
              <w:rPr>
                <w:color w:val="000000"/>
                <w:sz w:val="22"/>
                <w:szCs w:val="22"/>
              </w:rPr>
              <w:t xml:space="preserve">$35,394 </w:t>
            </w:r>
          </w:p>
        </w:tc>
      </w:tr>
      <w:tr w14:paraId="51A565C9" w14:textId="77777777" w:rsidTr="00A93ACF">
        <w:tblPrEx>
          <w:tblW w:w="5000" w:type="pct"/>
          <w:tblLook w:val="04A0"/>
        </w:tblPrEx>
        <w:trPr>
          <w:trHeight w:val="20"/>
        </w:trPr>
        <w:tc>
          <w:tcPr>
            <w:tcW w:w="2850" w:type="pct"/>
            <w:shd w:val="clear" w:color="auto" w:fill="auto"/>
            <w:vAlign w:val="center"/>
            <w:hideMark/>
          </w:tcPr>
          <w:p w:rsidR="009C00AC" w14:paraId="22EFFF0E" w14:textId="77777777">
            <w:pPr>
              <w:rPr>
                <w:b/>
                <w:bCs/>
                <w:color w:val="000000"/>
                <w:sz w:val="22"/>
                <w:szCs w:val="22"/>
              </w:rPr>
            </w:pPr>
            <w:r>
              <w:rPr>
                <w:b/>
                <w:bCs/>
                <w:color w:val="000000"/>
                <w:sz w:val="22"/>
                <w:szCs w:val="22"/>
              </w:rPr>
              <w:t>Total</w:t>
            </w:r>
          </w:p>
        </w:tc>
        <w:tc>
          <w:tcPr>
            <w:tcW w:w="479" w:type="pct"/>
            <w:shd w:val="clear" w:color="auto" w:fill="auto"/>
            <w:vAlign w:val="center"/>
            <w:hideMark/>
          </w:tcPr>
          <w:p w:rsidR="009C00AC" w14:paraId="6C18939A" w14:textId="6CCF2981">
            <w:pPr>
              <w:jc w:val="center"/>
              <w:rPr>
                <w:b/>
                <w:bCs/>
                <w:color w:val="000000"/>
                <w:sz w:val="22"/>
                <w:szCs w:val="22"/>
              </w:rPr>
            </w:pPr>
            <w:r>
              <w:rPr>
                <w:b/>
                <w:bCs/>
                <w:color w:val="000000"/>
                <w:sz w:val="22"/>
                <w:szCs w:val="22"/>
              </w:rPr>
              <w:t>337</w:t>
            </w:r>
          </w:p>
        </w:tc>
        <w:tc>
          <w:tcPr>
            <w:tcW w:w="555" w:type="pct"/>
            <w:shd w:val="clear" w:color="auto" w:fill="auto"/>
            <w:vAlign w:val="center"/>
            <w:hideMark/>
          </w:tcPr>
          <w:p w:rsidR="009C00AC" w14:paraId="05E35AC8" w14:textId="04F8E0BA">
            <w:pPr>
              <w:jc w:val="center"/>
              <w:rPr>
                <w:b/>
                <w:bCs/>
                <w:color w:val="000000"/>
                <w:sz w:val="22"/>
                <w:szCs w:val="22"/>
              </w:rPr>
            </w:pPr>
            <w:r>
              <w:rPr>
                <w:b/>
                <w:bCs/>
                <w:color w:val="000000"/>
                <w:sz w:val="22"/>
                <w:szCs w:val="22"/>
              </w:rPr>
              <w:t>$</w:t>
            </w:r>
            <w:r w:rsidR="00631640">
              <w:rPr>
                <w:b/>
                <w:bCs/>
                <w:color w:val="000000"/>
                <w:sz w:val="22"/>
                <w:szCs w:val="22"/>
              </w:rPr>
              <w:t>12,348</w:t>
            </w:r>
          </w:p>
        </w:tc>
        <w:tc>
          <w:tcPr>
            <w:tcW w:w="517" w:type="pct"/>
            <w:shd w:val="clear" w:color="auto" w:fill="auto"/>
            <w:vAlign w:val="center"/>
            <w:hideMark/>
          </w:tcPr>
          <w:p w:rsidR="009C00AC" w14:paraId="7E1E6A6B" w14:textId="3745A05B">
            <w:pPr>
              <w:jc w:val="center"/>
              <w:rPr>
                <w:b/>
                <w:bCs/>
                <w:color w:val="000000"/>
                <w:sz w:val="22"/>
                <w:szCs w:val="22"/>
              </w:rPr>
            </w:pPr>
            <w:r>
              <w:rPr>
                <w:b/>
                <w:bCs/>
                <w:color w:val="000000"/>
                <w:sz w:val="22"/>
                <w:szCs w:val="22"/>
              </w:rPr>
              <w:t>1,011</w:t>
            </w:r>
          </w:p>
        </w:tc>
        <w:tc>
          <w:tcPr>
            <w:tcW w:w="599" w:type="pct"/>
            <w:shd w:val="clear" w:color="auto" w:fill="auto"/>
            <w:vAlign w:val="center"/>
            <w:hideMark/>
          </w:tcPr>
          <w:p w:rsidR="009C00AC" w14:paraId="6FE57AD0" w14:textId="4B708BC7">
            <w:pPr>
              <w:jc w:val="center"/>
              <w:rPr>
                <w:b/>
                <w:bCs/>
                <w:color w:val="000000"/>
                <w:sz w:val="22"/>
                <w:szCs w:val="22"/>
              </w:rPr>
            </w:pPr>
            <w:r>
              <w:rPr>
                <w:b/>
                <w:bCs/>
                <w:color w:val="000000"/>
                <w:sz w:val="22"/>
                <w:szCs w:val="22"/>
              </w:rPr>
              <w:t>$</w:t>
            </w:r>
            <w:r w:rsidR="00F95995">
              <w:rPr>
                <w:b/>
                <w:bCs/>
                <w:color w:val="000000"/>
                <w:sz w:val="22"/>
                <w:szCs w:val="22"/>
              </w:rPr>
              <w:t>37,043</w:t>
            </w:r>
          </w:p>
        </w:tc>
      </w:tr>
    </w:tbl>
    <w:p w:rsidR="009C00AC" w:rsidP="00E17642" w14:paraId="0DB43C9F" w14:textId="77777777">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9C00AC" w:rsidP="009C00AC" w14:paraId="5F485F2E" w14:textId="4C2DDAF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7E472F">
        <w:t xml:space="preserve">EPA estimated the cost for </w:t>
      </w:r>
      <w:r w:rsidRPr="007E472F">
        <w:t xml:space="preserve">State and local government employees </w:t>
      </w:r>
      <w:r w:rsidRPr="007E472F">
        <w:t xml:space="preserve">by applying the fully loaded labor rates to the </w:t>
      </w:r>
      <w:r w:rsidRPr="007E472F" w:rsidR="007E472F">
        <w:t xml:space="preserve">State and local agency </w:t>
      </w:r>
      <w:r w:rsidRPr="007E472F">
        <w:t>burden estimates</w:t>
      </w:r>
      <w:r>
        <w:t xml:space="preserve">, which results in a cost of </w:t>
      </w:r>
      <w:r>
        <w:t>$</w:t>
      </w:r>
      <w:r w:rsidR="00EF7018">
        <w:t>17,452</w:t>
      </w:r>
      <w:r w:rsidR="007E472F">
        <w:t xml:space="preserve"> </w:t>
      </w:r>
      <w:r>
        <w:t>annually (</w:t>
      </w:r>
      <w:r w:rsidRPr="00C343C2" w:rsidR="00C343C2">
        <w:t>$</w:t>
      </w:r>
      <w:r w:rsidR="00EF7018">
        <w:t>52,357</w:t>
      </w:r>
      <w:r w:rsidR="00C343C2">
        <w:t xml:space="preserve"> </w:t>
      </w:r>
      <w:r>
        <w:t>for three years)</w:t>
      </w:r>
      <w:r w:rsidR="00B34223">
        <w:t xml:space="preserve"> (</w:t>
      </w:r>
      <w:r>
        <w:t>See Exhibit 7</w:t>
      </w:r>
      <w:r w:rsidR="00B34223">
        <w:t>)</w:t>
      </w:r>
      <w:r>
        <w:t>.</w:t>
      </w:r>
    </w:p>
    <w:p w:rsidR="0091088E" w:rsidP="00E17642" w14:paraId="4074F8E2" w14:textId="185B68A3">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C343C2" w:rsidP="00430822" w14:paraId="4A1C966D" w14:textId="77777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color w:val="000000"/>
        </w:rPr>
      </w:pPr>
      <w:r>
        <w:rPr>
          <w:b/>
          <w:bCs/>
          <w:color w:val="000000"/>
        </w:rPr>
        <w:t>Exhibit 7</w:t>
      </w:r>
    </w:p>
    <w:p w:rsidR="00C343C2" w:rsidP="00430822" w14:paraId="05C9E83F" w14:textId="741D353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rPr>
          <w:b/>
          <w:bCs/>
          <w:color w:val="000000"/>
        </w:rPr>
        <w:t>State and Local Agencies Estimated Burden and Costs</w:t>
      </w:r>
      <w:r w:rsidR="003D5B1C">
        <w:rPr>
          <w:b/>
          <w:bCs/>
          <w:color w:val="00000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875"/>
        <w:gridCol w:w="805"/>
        <w:gridCol w:w="932"/>
        <w:gridCol w:w="979"/>
        <w:gridCol w:w="1043"/>
      </w:tblGrid>
      <w:tr w14:paraId="7A010309" w14:textId="77777777" w:rsidTr="00A93ACF">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20"/>
          <w:tblHeader/>
        </w:trPr>
        <w:tc>
          <w:tcPr>
            <w:tcW w:w="2823" w:type="pct"/>
            <w:shd w:val="clear" w:color="auto" w:fill="auto"/>
            <w:vAlign w:val="center"/>
            <w:hideMark/>
          </w:tcPr>
          <w:p w:rsidR="00C343C2" w14:paraId="17718ACE" w14:textId="77777777">
            <w:pPr>
              <w:jc w:val="center"/>
              <w:rPr>
                <w:color w:val="000000"/>
                <w:sz w:val="22"/>
                <w:szCs w:val="22"/>
              </w:rPr>
            </w:pPr>
            <w:r>
              <w:rPr>
                <w:color w:val="000000"/>
                <w:sz w:val="22"/>
                <w:szCs w:val="22"/>
              </w:rPr>
              <w:t> </w:t>
            </w:r>
          </w:p>
        </w:tc>
        <w:tc>
          <w:tcPr>
            <w:tcW w:w="1006" w:type="pct"/>
            <w:gridSpan w:val="2"/>
            <w:shd w:val="clear" w:color="auto" w:fill="auto"/>
            <w:vAlign w:val="center"/>
            <w:hideMark/>
          </w:tcPr>
          <w:p w:rsidR="00C343C2" w14:paraId="79E6CE29" w14:textId="77777777">
            <w:pPr>
              <w:jc w:val="center"/>
              <w:rPr>
                <w:b/>
                <w:bCs/>
                <w:color w:val="000000"/>
                <w:sz w:val="22"/>
                <w:szCs w:val="22"/>
              </w:rPr>
            </w:pPr>
            <w:r>
              <w:rPr>
                <w:b/>
                <w:bCs/>
                <w:color w:val="000000"/>
                <w:sz w:val="22"/>
                <w:szCs w:val="22"/>
              </w:rPr>
              <w:t>Annual</w:t>
            </w:r>
          </w:p>
        </w:tc>
        <w:tc>
          <w:tcPr>
            <w:tcW w:w="1171" w:type="pct"/>
            <w:gridSpan w:val="2"/>
            <w:shd w:val="clear" w:color="auto" w:fill="auto"/>
            <w:vAlign w:val="center"/>
            <w:hideMark/>
          </w:tcPr>
          <w:p w:rsidR="00C343C2" w14:paraId="267FE61E" w14:textId="77777777">
            <w:pPr>
              <w:jc w:val="center"/>
              <w:rPr>
                <w:b/>
                <w:bCs/>
                <w:color w:val="000000"/>
                <w:sz w:val="22"/>
                <w:szCs w:val="22"/>
              </w:rPr>
            </w:pPr>
            <w:r>
              <w:rPr>
                <w:b/>
                <w:bCs/>
                <w:color w:val="000000"/>
                <w:sz w:val="22"/>
                <w:szCs w:val="22"/>
              </w:rPr>
              <w:t>Three-Year Totals</w:t>
            </w:r>
          </w:p>
        </w:tc>
      </w:tr>
      <w:tr w14:paraId="705C1B24" w14:textId="77777777" w:rsidTr="00A93ACF">
        <w:tblPrEx>
          <w:tblW w:w="5000" w:type="pct"/>
          <w:tblLook w:val="04A0"/>
        </w:tblPrEx>
        <w:trPr>
          <w:trHeight w:val="20"/>
          <w:tblHeader/>
        </w:trPr>
        <w:tc>
          <w:tcPr>
            <w:tcW w:w="2823" w:type="pct"/>
            <w:shd w:val="clear" w:color="auto" w:fill="auto"/>
            <w:vAlign w:val="center"/>
            <w:hideMark/>
          </w:tcPr>
          <w:p w:rsidR="00C343C2" w14:paraId="445836FD" w14:textId="77777777">
            <w:pPr>
              <w:jc w:val="center"/>
              <w:rPr>
                <w:color w:val="000000"/>
                <w:sz w:val="22"/>
                <w:szCs w:val="22"/>
              </w:rPr>
            </w:pPr>
            <w:r>
              <w:rPr>
                <w:color w:val="000000"/>
                <w:sz w:val="22"/>
                <w:szCs w:val="22"/>
              </w:rPr>
              <w:t> </w:t>
            </w:r>
          </w:p>
        </w:tc>
        <w:tc>
          <w:tcPr>
            <w:tcW w:w="466" w:type="pct"/>
            <w:shd w:val="clear" w:color="auto" w:fill="auto"/>
            <w:vAlign w:val="center"/>
            <w:hideMark/>
          </w:tcPr>
          <w:p w:rsidR="00C343C2" w14:paraId="07425C35" w14:textId="77777777">
            <w:pPr>
              <w:jc w:val="center"/>
              <w:rPr>
                <w:b/>
                <w:bCs/>
                <w:color w:val="000000"/>
                <w:sz w:val="22"/>
                <w:szCs w:val="22"/>
              </w:rPr>
            </w:pPr>
            <w:r>
              <w:rPr>
                <w:b/>
                <w:bCs/>
                <w:color w:val="000000"/>
                <w:sz w:val="22"/>
                <w:szCs w:val="22"/>
              </w:rPr>
              <w:t>Hours</w:t>
            </w:r>
          </w:p>
        </w:tc>
        <w:tc>
          <w:tcPr>
            <w:tcW w:w="540" w:type="pct"/>
            <w:shd w:val="clear" w:color="auto" w:fill="auto"/>
            <w:vAlign w:val="center"/>
            <w:hideMark/>
          </w:tcPr>
          <w:p w:rsidR="00C343C2" w14:paraId="17D81DFF" w14:textId="77777777">
            <w:pPr>
              <w:jc w:val="center"/>
              <w:rPr>
                <w:b/>
                <w:bCs/>
                <w:color w:val="000000"/>
                <w:sz w:val="22"/>
                <w:szCs w:val="22"/>
              </w:rPr>
            </w:pPr>
            <w:r>
              <w:rPr>
                <w:b/>
                <w:bCs/>
                <w:color w:val="000000"/>
                <w:sz w:val="22"/>
                <w:szCs w:val="22"/>
              </w:rPr>
              <w:t>Cost</w:t>
            </w:r>
          </w:p>
        </w:tc>
        <w:tc>
          <w:tcPr>
            <w:tcW w:w="567" w:type="pct"/>
            <w:shd w:val="clear" w:color="auto" w:fill="auto"/>
            <w:vAlign w:val="center"/>
            <w:hideMark/>
          </w:tcPr>
          <w:p w:rsidR="00C343C2" w14:paraId="590370B7" w14:textId="77777777">
            <w:pPr>
              <w:jc w:val="center"/>
              <w:rPr>
                <w:b/>
                <w:bCs/>
                <w:color w:val="000000"/>
                <w:sz w:val="22"/>
                <w:szCs w:val="22"/>
              </w:rPr>
            </w:pPr>
            <w:r>
              <w:rPr>
                <w:b/>
                <w:bCs/>
                <w:color w:val="000000"/>
                <w:sz w:val="22"/>
                <w:szCs w:val="22"/>
              </w:rPr>
              <w:t>Hours</w:t>
            </w:r>
          </w:p>
        </w:tc>
        <w:tc>
          <w:tcPr>
            <w:tcW w:w="604" w:type="pct"/>
            <w:shd w:val="clear" w:color="auto" w:fill="auto"/>
            <w:vAlign w:val="center"/>
            <w:hideMark/>
          </w:tcPr>
          <w:p w:rsidR="00C343C2" w14:paraId="7407F558" w14:textId="77777777">
            <w:pPr>
              <w:jc w:val="center"/>
              <w:rPr>
                <w:b/>
                <w:bCs/>
                <w:color w:val="000000"/>
                <w:sz w:val="22"/>
                <w:szCs w:val="22"/>
              </w:rPr>
            </w:pPr>
            <w:r>
              <w:rPr>
                <w:b/>
                <w:bCs/>
                <w:color w:val="000000"/>
                <w:sz w:val="22"/>
                <w:szCs w:val="22"/>
              </w:rPr>
              <w:t>Cost</w:t>
            </w:r>
          </w:p>
        </w:tc>
      </w:tr>
      <w:tr w14:paraId="1DD60269" w14:textId="77777777" w:rsidTr="00A93ACF">
        <w:tblPrEx>
          <w:tblW w:w="5000" w:type="pct"/>
          <w:tblLook w:val="04A0"/>
        </w:tblPrEx>
        <w:trPr>
          <w:trHeight w:val="20"/>
        </w:trPr>
        <w:tc>
          <w:tcPr>
            <w:tcW w:w="2823" w:type="pct"/>
            <w:shd w:val="clear" w:color="auto" w:fill="auto"/>
            <w:vAlign w:val="center"/>
            <w:hideMark/>
          </w:tcPr>
          <w:p w:rsidR="00C343C2" w14:paraId="188A1CC1" w14:textId="77777777">
            <w:pPr>
              <w:rPr>
                <w:color w:val="000000"/>
                <w:sz w:val="22"/>
                <w:szCs w:val="22"/>
              </w:rPr>
            </w:pPr>
            <w:r>
              <w:rPr>
                <w:color w:val="000000"/>
                <w:sz w:val="22"/>
                <w:szCs w:val="22"/>
              </w:rPr>
              <w:t>Covered Person Request and Submitting a Request Letter for a CD</w:t>
            </w:r>
          </w:p>
        </w:tc>
        <w:tc>
          <w:tcPr>
            <w:tcW w:w="466" w:type="pct"/>
            <w:shd w:val="clear" w:color="auto" w:fill="auto"/>
            <w:vAlign w:val="center"/>
            <w:hideMark/>
          </w:tcPr>
          <w:p w:rsidR="00C343C2" w14:paraId="057DE884" w14:textId="26AFD1D1">
            <w:pPr>
              <w:jc w:val="center"/>
              <w:rPr>
                <w:color w:val="000000"/>
                <w:sz w:val="22"/>
                <w:szCs w:val="22"/>
              </w:rPr>
            </w:pPr>
            <w:r>
              <w:rPr>
                <w:color w:val="000000"/>
                <w:sz w:val="22"/>
                <w:szCs w:val="22"/>
              </w:rPr>
              <w:t>1</w:t>
            </w:r>
            <w:r w:rsidR="00430822">
              <w:rPr>
                <w:color w:val="000000"/>
                <w:sz w:val="22"/>
                <w:szCs w:val="22"/>
              </w:rPr>
              <w:t>10</w:t>
            </w:r>
          </w:p>
        </w:tc>
        <w:tc>
          <w:tcPr>
            <w:tcW w:w="540" w:type="pct"/>
            <w:shd w:val="clear" w:color="auto" w:fill="auto"/>
            <w:vAlign w:val="center"/>
            <w:hideMark/>
          </w:tcPr>
          <w:p w:rsidR="00C343C2" w14:paraId="4A4DBF9B" w14:textId="0CE3A106">
            <w:pPr>
              <w:jc w:val="center"/>
              <w:rPr>
                <w:color w:val="000000"/>
                <w:sz w:val="22"/>
                <w:szCs w:val="22"/>
              </w:rPr>
            </w:pPr>
            <w:r>
              <w:rPr>
                <w:color w:val="000000"/>
                <w:sz w:val="22"/>
                <w:szCs w:val="22"/>
              </w:rPr>
              <w:t>$5,</w:t>
            </w:r>
            <w:r w:rsidR="00430822">
              <w:rPr>
                <w:color w:val="000000"/>
                <w:sz w:val="22"/>
                <w:szCs w:val="22"/>
              </w:rPr>
              <w:t>895</w:t>
            </w:r>
            <w:r>
              <w:rPr>
                <w:color w:val="000000"/>
                <w:sz w:val="22"/>
                <w:szCs w:val="22"/>
              </w:rPr>
              <w:t xml:space="preserve"> </w:t>
            </w:r>
          </w:p>
        </w:tc>
        <w:tc>
          <w:tcPr>
            <w:tcW w:w="567" w:type="pct"/>
            <w:shd w:val="clear" w:color="auto" w:fill="auto"/>
            <w:vAlign w:val="center"/>
            <w:hideMark/>
          </w:tcPr>
          <w:p w:rsidR="00C343C2" w14:paraId="23BC8B3B" w14:textId="21BFA20B">
            <w:pPr>
              <w:jc w:val="center"/>
              <w:rPr>
                <w:color w:val="000000"/>
                <w:sz w:val="22"/>
                <w:szCs w:val="22"/>
              </w:rPr>
            </w:pPr>
            <w:r>
              <w:rPr>
                <w:color w:val="000000"/>
                <w:sz w:val="22"/>
                <w:szCs w:val="22"/>
              </w:rPr>
              <w:t>3</w:t>
            </w:r>
            <w:r w:rsidR="00430822">
              <w:rPr>
                <w:color w:val="000000"/>
                <w:sz w:val="22"/>
                <w:szCs w:val="22"/>
              </w:rPr>
              <w:t>30</w:t>
            </w:r>
          </w:p>
        </w:tc>
        <w:tc>
          <w:tcPr>
            <w:tcW w:w="604" w:type="pct"/>
            <w:shd w:val="clear" w:color="auto" w:fill="auto"/>
            <w:vAlign w:val="center"/>
            <w:hideMark/>
          </w:tcPr>
          <w:p w:rsidR="00C343C2" w14:paraId="13361BD2" w14:textId="67C8DE82">
            <w:pPr>
              <w:jc w:val="center"/>
              <w:rPr>
                <w:color w:val="000000"/>
                <w:sz w:val="22"/>
                <w:szCs w:val="22"/>
              </w:rPr>
            </w:pPr>
            <w:r>
              <w:rPr>
                <w:color w:val="000000"/>
                <w:sz w:val="22"/>
                <w:szCs w:val="22"/>
              </w:rPr>
              <w:t>$1</w:t>
            </w:r>
            <w:r w:rsidR="00430822">
              <w:rPr>
                <w:color w:val="000000"/>
                <w:sz w:val="22"/>
                <w:szCs w:val="22"/>
              </w:rPr>
              <w:t>7,685</w:t>
            </w:r>
          </w:p>
        </w:tc>
      </w:tr>
      <w:tr w14:paraId="73905523" w14:textId="77777777" w:rsidTr="00A93ACF">
        <w:tblPrEx>
          <w:tblW w:w="5000" w:type="pct"/>
          <w:tblLook w:val="04A0"/>
        </w:tblPrEx>
        <w:trPr>
          <w:trHeight w:val="20"/>
        </w:trPr>
        <w:tc>
          <w:tcPr>
            <w:tcW w:w="2823" w:type="pct"/>
            <w:shd w:val="clear" w:color="auto" w:fill="auto"/>
            <w:vAlign w:val="center"/>
            <w:hideMark/>
          </w:tcPr>
          <w:p w:rsidR="00C343C2" w14:paraId="362735AF" w14:textId="77777777">
            <w:pPr>
              <w:rPr>
                <w:color w:val="000000"/>
                <w:sz w:val="22"/>
                <w:szCs w:val="22"/>
              </w:rPr>
            </w:pPr>
            <w:r>
              <w:rPr>
                <w:color w:val="000000"/>
                <w:sz w:val="22"/>
                <w:szCs w:val="22"/>
              </w:rPr>
              <w:t>Registering within CDX</w:t>
            </w:r>
          </w:p>
        </w:tc>
        <w:tc>
          <w:tcPr>
            <w:tcW w:w="466" w:type="pct"/>
            <w:shd w:val="clear" w:color="auto" w:fill="auto"/>
            <w:vAlign w:val="center"/>
            <w:hideMark/>
          </w:tcPr>
          <w:p w:rsidR="00C343C2" w14:paraId="1943559D" w14:textId="77777777">
            <w:pPr>
              <w:jc w:val="center"/>
              <w:rPr>
                <w:color w:val="000000"/>
                <w:sz w:val="22"/>
                <w:szCs w:val="22"/>
              </w:rPr>
            </w:pPr>
            <w:r>
              <w:rPr>
                <w:color w:val="000000"/>
                <w:sz w:val="22"/>
                <w:szCs w:val="22"/>
              </w:rPr>
              <w:t>21</w:t>
            </w:r>
          </w:p>
        </w:tc>
        <w:tc>
          <w:tcPr>
            <w:tcW w:w="540" w:type="pct"/>
            <w:shd w:val="clear" w:color="auto" w:fill="auto"/>
            <w:vAlign w:val="center"/>
            <w:hideMark/>
          </w:tcPr>
          <w:p w:rsidR="00C343C2" w14:paraId="4738361C" w14:textId="26789EA2">
            <w:pPr>
              <w:jc w:val="center"/>
              <w:rPr>
                <w:color w:val="000000"/>
                <w:sz w:val="22"/>
                <w:szCs w:val="22"/>
              </w:rPr>
            </w:pPr>
            <w:r>
              <w:rPr>
                <w:color w:val="000000"/>
                <w:sz w:val="22"/>
                <w:szCs w:val="22"/>
              </w:rPr>
              <w:t>$1,1</w:t>
            </w:r>
            <w:r w:rsidR="00517A9D">
              <w:rPr>
                <w:color w:val="000000"/>
                <w:sz w:val="22"/>
                <w:szCs w:val="22"/>
              </w:rPr>
              <w:t>08</w:t>
            </w:r>
            <w:r>
              <w:rPr>
                <w:color w:val="000000"/>
                <w:sz w:val="22"/>
                <w:szCs w:val="22"/>
              </w:rPr>
              <w:t xml:space="preserve"> </w:t>
            </w:r>
          </w:p>
        </w:tc>
        <w:tc>
          <w:tcPr>
            <w:tcW w:w="567" w:type="pct"/>
            <w:shd w:val="clear" w:color="auto" w:fill="auto"/>
            <w:vAlign w:val="center"/>
            <w:hideMark/>
          </w:tcPr>
          <w:p w:rsidR="00C343C2" w14:paraId="5280B45A" w14:textId="6C80A821">
            <w:pPr>
              <w:jc w:val="center"/>
              <w:rPr>
                <w:color w:val="000000"/>
                <w:sz w:val="22"/>
                <w:szCs w:val="22"/>
              </w:rPr>
            </w:pPr>
            <w:r>
              <w:rPr>
                <w:color w:val="000000"/>
                <w:sz w:val="22"/>
                <w:szCs w:val="22"/>
              </w:rPr>
              <w:t>6</w:t>
            </w:r>
            <w:r w:rsidR="00430822">
              <w:rPr>
                <w:color w:val="000000"/>
                <w:sz w:val="22"/>
                <w:szCs w:val="22"/>
              </w:rPr>
              <w:t>2</w:t>
            </w:r>
          </w:p>
        </w:tc>
        <w:tc>
          <w:tcPr>
            <w:tcW w:w="604" w:type="pct"/>
            <w:shd w:val="clear" w:color="auto" w:fill="auto"/>
            <w:vAlign w:val="center"/>
            <w:hideMark/>
          </w:tcPr>
          <w:p w:rsidR="00C343C2" w14:paraId="2E93B4EB" w14:textId="25BD54F7">
            <w:pPr>
              <w:jc w:val="center"/>
              <w:rPr>
                <w:color w:val="000000"/>
                <w:sz w:val="22"/>
                <w:szCs w:val="22"/>
              </w:rPr>
            </w:pPr>
            <w:r>
              <w:rPr>
                <w:color w:val="000000"/>
                <w:sz w:val="22"/>
                <w:szCs w:val="22"/>
              </w:rPr>
              <w:t>$3,3</w:t>
            </w:r>
            <w:r w:rsidR="00430822">
              <w:rPr>
                <w:color w:val="000000"/>
                <w:sz w:val="22"/>
                <w:szCs w:val="22"/>
              </w:rPr>
              <w:t>23</w:t>
            </w:r>
            <w:r>
              <w:rPr>
                <w:color w:val="000000"/>
                <w:sz w:val="22"/>
                <w:szCs w:val="22"/>
              </w:rPr>
              <w:t xml:space="preserve"> </w:t>
            </w:r>
          </w:p>
        </w:tc>
      </w:tr>
      <w:tr w14:paraId="4639C395" w14:textId="77777777" w:rsidTr="00A93ACF">
        <w:tblPrEx>
          <w:tblW w:w="5000" w:type="pct"/>
          <w:tblLook w:val="04A0"/>
        </w:tblPrEx>
        <w:trPr>
          <w:trHeight w:val="20"/>
        </w:trPr>
        <w:tc>
          <w:tcPr>
            <w:tcW w:w="2823" w:type="pct"/>
            <w:shd w:val="clear" w:color="auto" w:fill="auto"/>
            <w:vAlign w:val="center"/>
            <w:hideMark/>
          </w:tcPr>
          <w:p w:rsidR="00C343C2" w14:paraId="031F21A5" w14:textId="77777777">
            <w:pPr>
              <w:rPr>
                <w:color w:val="000000"/>
                <w:sz w:val="22"/>
                <w:szCs w:val="22"/>
              </w:rPr>
            </w:pPr>
            <w:r w:rsidRPr="001324E7">
              <w:rPr>
                <w:color w:val="000000"/>
                <w:sz w:val="22"/>
                <w:szCs w:val="22"/>
              </w:rPr>
              <w:t>Reading Room</w:t>
            </w:r>
            <w:r>
              <w:rPr>
                <w:color w:val="000000"/>
                <w:sz w:val="22"/>
                <w:szCs w:val="22"/>
              </w:rPr>
              <w:t xml:space="preserve"> </w:t>
            </w:r>
          </w:p>
        </w:tc>
        <w:tc>
          <w:tcPr>
            <w:tcW w:w="466" w:type="pct"/>
            <w:shd w:val="clear" w:color="auto" w:fill="auto"/>
            <w:vAlign w:val="center"/>
            <w:hideMark/>
          </w:tcPr>
          <w:p w:rsidR="00C343C2" w14:paraId="5C5A6938" w14:textId="554FB213">
            <w:pPr>
              <w:jc w:val="center"/>
              <w:rPr>
                <w:color w:val="000000"/>
                <w:sz w:val="22"/>
                <w:szCs w:val="22"/>
              </w:rPr>
            </w:pPr>
            <w:r>
              <w:rPr>
                <w:color w:val="000000"/>
                <w:sz w:val="22"/>
                <w:szCs w:val="22"/>
              </w:rPr>
              <w:t>15</w:t>
            </w:r>
          </w:p>
        </w:tc>
        <w:tc>
          <w:tcPr>
            <w:tcW w:w="540" w:type="pct"/>
            <w:shd w:val="clear" w:color="auto" w:fill="auto"/>
            <w:vAlign w:val="center"/>
            <w:hideMark/>
          </w:tcPr>
          <w:p w:rsidR="00C343C2" w14:paraId="13835E9E" w14:textId="09702A6A">
            <w:pPr>
              <w:jc w:val="center"/>
              <w:rPr>
                <w:color w:val="000000"/>
                <w:sz w:val="22"/>
                <w:szCs w:val="22"/>
              </w:rPr>
            </w:pPr>
            <w:r>
              <w:rPr>
                <w:color w:val="000000"/>
                <w:sz w:val="22"/>
                <w:szCs w:val="22"/>
              </w:rPr>
              <w:t>$</w:t>
            </w:r>
            <w:r w:rsidR="00042687">
              <w:rPr>
                <w:color w:val="000000"/>
                <w:sz w:val="22"/>
                <w:szCs w:val="22"/>
              </w:rPr>
              <w:t>804</w:t>
            </w:r>
          </w:p>
        </w:tc>
        <w:tc>
          <w:tcPr>
            <w:tcW w:w="567" w:type="pct"/>
            <w:shd w:val="clear" w:color="auto" w:fill="auto"/>
            <w:vAlign w:val="center"/>
            <w:hideMark/>
          </w:tcPr>
          <w:p w:rsidR="00C343C2" w14:paraId="31D192A4" w14:textId="60068622">
            <w:pPr>
              <w:jc w:val="center"/>
              <w:rPr>
                <w:color w:val="000000"/>
                <w:sz w:val="22"/>
                <w:szCs w:val="22"/>
              </w:rPr>
            </w:pPr>
            <w:r>
              <w:rPr>
                <w:color w:val="000000"/>
                <w:sz w:val="22"/>
                <w:szCs w:val="22"/>
              </w:rPr>
              <w:t>45</w:t>
            </w:r>
          </w:p>
        </w:tc>
        <w:tc>
          <w:tcPr>
            <w:tcW w:w="604" w:type="pct"/>
            <w:shd w:val="clear" w:color="auto" w:fill="auto"/>
            <w:vAlign w:val="center"/>
            <w:hideMark/>
          </w:tcPr>
          <w:p w:rsidR="00C343C2" w14:paraId="4FF35CBE" w14:textId="69B3A2AA">
            <w:pPr>
              <w:jc w:val="center"/>
              <w:rPr>
                <w:color w:val="000000"/>
                <w:sz w:val="22"/>
                <w:szCs w:val="22"/>
              </w:rPr>
            </w:pPr>
            <w:r>
              <w:rPr>
                <w:color w:val="000000"/>
                <w:sz w:val="22"/>
                <w:szCs w:val="22"/>
              </w:rPr>
              <w:t>$</w:t>
            </w:r>
            <w:r w:rsidR="004414B0">
              <w:rPr>
                <w:color w:val="000000"/>
                <w:sz w:val="22"/>
                <w:szCs w:val="22"/>
              </w:rPr>
              <w:t>2,412</w:t>
            </w:r>
            <w:r>
              <w:rPr>
                <w:color w:val="000000"/>
                <w:sz w:val="22"/>
                <w:szCs w:val="22"/>
              </w:rPr>
              <w:t xml:space="preserve"> </w:t>
            </w:r>
          </w:p>
        </w:tc>
      </w:tr>
      <w:tr w14:paraId="6FBCEF72" w14:textId="77777777" w:rsidTr="00A2635B">
        <w:tblPrEx>
          <w:tblW w:w="5000" w:type="pct"/>
          <w:tblLook w:val="04A0"/>
        </w:tblPrEx>
        <w:trPr>
          <w:trHeight w:val="20"/>
        </w:trPr>
        <w:tc>
          <w:tcPr>
            <w:tcW w:w="2823" w:type="pct"/>
            <w:shd w:val="clear" w:color="auto" w:fill="auto"/>
            <w:vAlign w:val="center"/>
          </w:tcPr>
          <w:p w:rsidR="00C343C2" w14:paraId="31110DD0" w14:textId="2718138E">
            <w:pPr>
              <w:rPr>
                <w:color w:val="000000"/>
                <w:sz w:val="22"/>
                <w:szCs w:val="22"/>
              </w:rPr>
            </w:pPr>
            <w:r>
              <w:rPr>
                <w:color w:val="000000"/>
                <w:sz w:val="22"/>
                <w:szCs w:val="22"/>
              </w:rPr>
              <w:t>Train State and Local Reading Room Staff on OCA</w:t>
            </w:r>
          </w:p>
        </w:tc>
        <w:tc>
          <w:tcPr>
            <w:tcW w:w="466" w:type="pct"/>
            <w:shd w:val="clear" w:color="auto" w:fill="auto"/>
            <w:vAlign w:val="center"/>
          </w:tcPr>
          <w:p w:rsidR="00C343C2" w14:paraId="764BA081" w14:textId="07216478">
            <w:pPr>
              <w:jc w:val="center"/>
              <w:rPr>
                <w:color w:val="000000"/>
                <w:sz w:val="22"/>
                <w:szCs w:val="22"/>
              </w:rPr>
            </w:pPr>
            <w:r>
              <w:rPr>
                <w:color w:val="000000"/>
                <w:sz w:val="22"/>
                <w:szCs w:val="22"/>
              </w:rPr>
              <w:t>60</w:t>
            </w:r>
          </w:p>
        </w:tc>
        <w:tc>
          <w:tcPr>
            <w:tcW w:w="540" w:type="pct"/>
            <w:shd w:val="clear" w:color="auto" w:fill="auto"/>
            <w:vAlign w:val="center"/>
          </w:tcPr>
          <w:p w:rsidR="00C343C2" w14:paraId="4E595AB1" w14:textId="12DB6E41">
            <w:pPr>
              <w:jc w:val="center"/>
              <w:rPr>
                <w:color w:val="000000"/>
                <w:sz w:val="22"/>
                <w:szCs w:val="22"/>
              </w:rPr>
            </w:pPr>
            <w:r>
              <w:rPr>
                <w:color w:val="000000"/>
                <w:sz w:val="22"/>
                <w:szCs w:val="22"/>
              </w:rPr>
              <w:t xml:space="preserve">$3,215 </w:t>
            </w:r>
          </w:p>
        </w:tc>
        <w:tc>
          <w:tcPr>
            <w:tcW w:w="567" w:type="pct"/>
            <w:shd w:val="clear" w:color="auto" w:fill="auto"/>
            <w:vAlign w:val="center"/>
          </w:tcPr>
          <w:p w:rsidR="00C343C2" w14:paraId="54F90C72" w14:textId="243B5292">
            <w:pPr>
              <w:jc w:val="center"/>
              <w:rPr>
                <w:color w:val="000000"/>
                <w:sz w:val="22"/>
                <w:szCs w:val="22"/>
              </w:rPr>
            </w:pPr>
            <w:r>
              <w:rPr>
                <w:color w:val="000000"/>
                <w:sz w:val="22"/>
                <w:szCs w:val="22"/>
              </w:rPr>
              <w:t>180</w:t>
            </w:r>
          </w:p>
        </w:tc>
        <w:tc>
          <w:tcPr>
            <w:tcW w:w="604" w:type="pct"/>
            <w:shd w:val="clear" w:color="auto" w:fill="auto"/>
            <w:vAlign w:val="center"/>
          </w:tcPr>
          <w:p w:rsidR="00C343C2" w14:paraId="715F4A93" w14:textId="7F4564DC">
            <w:pPr>
              <w:jc w:val="center"/>
              <w:rPr>
                <w:color w:val="000000"/>
                <w:sz w:val="22"/>
                <w:szCs w:val="22"/>
              </w:rPr>
            </w:pPr>
            <w:r>
              <w:rPr>
                <w:color w:val="000000"/>
                <w:sz w:val="22"/>
                <w:szCs w:val="22"/>
              </w:rPr>
              <w:t xml:space="preserve">$9,646 </w:t>
            </w:r>
          </w:p>
        </w:tc>
      </w:tr>
      <w:tr w14:paraId="43F46EB5" w14:textId="77777777" w:rsidTr="00A93ACF">
        <w:tblPrEx>
          <w:tblW w:w="5000" w:type="pct"/>
          <w:tblLook w:val="04A0"/>
        </w:tblPrEx>
        <w:trPr>
          <w:trHeight w:val="20"/>
        </w:trPr>
        <w:tc>
          <w:tcPr>
            <w:tcW w:w="2823" w:type="pct"/>
            <w:shd w:val="clear" w:color="auto" w:fill="auto"/>
            <w:vAlign w:val="center"/>
            <w:hideMark/>
          </w:tcPr>
          <w:p w:rsidR="00C343C2" w14:paraId="3E3AE6F8" w14:textId="77777777">
            <w:pPr>
              <w:rPr>
                <w:color w:val="000000"/>
                <w:sz w:val="22"/>
                <w:szCs w:val="22"/>
              </w:rPr>
            </w:pPr>
            <w:r>
              <w:rPr>
                <w:color w:val="000000"/>
                <w:sz w:val="22"/>
                <w:szCs w:val="22"/>
              </w:rPr>
              <w:t>Public Meeting</w:t>
            </w:r>
          </w:p>
        </w:tc>
        <w:tc>
          <w:tcPr>
            <w:tcW w:w="466" w:type="pct"/>
            <w:shd w:val="clear" w:color="auto" w:fill="auto"/>
            <w:vAlign w:val="center"/>
            <w:hideMark/>
          </w:tcPr>
          <w:p w:rsidR="00C343C2" w14:paraId="74BB89FD" w14:textId="77777777">
            <w:pPr>
              <w:jc w:val="center"/>
              <w:rPr>
                <w:color w:val="000000"/>
                <w:sz w:val="22"/>
                <w:szCs w:val="22"/>
              </w:rPr>
            </w:pPr>
            <w:r>
              <w:rPr>
                <w:color w:val="000000"/>
                <w:sz w:val="22"/>
                <w:szCs w:val="22"/>
              </w:rPr>
              <w:t>120</w:t>
            </w:r>
          </w:p>
        </w:tc>
        <w:tc>
          <w:tcPr>
            <w:tcW w:w="540" w:type="pct"/>
            <w:shd w:val="clear" w:color="auto" w:fill="auto"/>
            <w:vAlign w:val="center"/>
            <w:hideMark/>
          </w:tcPr>
          <w:p w:rsidR="00C343C2" w14:paraId="59A99D34" w14:textId="77777777">
            <w:pPr>
              <w:jc w:val="center"/>
              <w:rPr>
                <w:color w:val="000000"/>
                <w:sz w:val="22"/>
                <w:szCs w:val="22"/>
              </w:rPr>
            </w:pPr>
            <w:r>
              <w:rPr>
                <w:color w:val="000000"/>
                <w:sz w:val="22"/>
                <w:szCs w:val="22"/>
              </w:rPr>
              <w:t xml:space="preserve">$6,431 </w:t>
            </w:r>
          </w:p>
        </w:tc>
        <w:tc>
          <w:tcPr>
            <w:tcW w:w="567" w:type="pct"/>
            <w:shd w:val="clear" w:color="auto" w:fill="auto"/>
            <w:vAlign w:val="center"/>
            <w:hideMark/>
          </w:tcPr>
          <w:p w:rsidR="00C343C2" w14:paraId="5B00BC1D" w14:textId="77777777">
            <w:pPr>
              <w:jc w:val="center"/>
              <w:rPr>
                <w:color w:val="000000"/>
                <w:sz w:val="22"/>
                <w:szCs w:val="22"/>
              </w:rPr>
            </w:pPr>
            <w:r>
              <w:rPr>
                <w:color w:val="000000"/>
                <w:sz w:val="22"/>
                <w:szCs w:val="22"/>
              </w:rPr>
              <w:t>360</w:t>
            </w:r>
          </w:p>
        </w:tc>
        <w:tc>
          <w:tcPr>
            <w:tcW w:w="604" w:type="pct"/>
            <w:shd w:val="clear" w:color="auto" w:fill="auto"/>
            <w:vAlign w:val="center"/>
            <w:hideMark/>
          </w:tcPr>
          <w:p w:rsidR="00C343C2" w14:paraId="463D97C6" w14:textId="77777777">
            <w:pPr>
              <w:jc w:val="center"/>
              <w:rPr>
                <w:color w:val="000000"/>
                <w:sz w:val="22"/>
                <w:szCs w:val="22"/>
              </w:rPr>
            </w:pPr>
            <w:r>
              <w:rPr>
                <w:color w:val="000000"/>
                <w:sz w:val="22"/>
                <w:szCs w:val="22"/>
              </w:rPr>
              <w:t xml:space="preserve">$19,292 </w:t>
            </w:r>
          </w:p>
        </w:tc>
      </w:tr>
      <w:tr w14:paraId="0CC00816" w14:textId="77777777" w:rsidTr="00A93ACF">
        <w:tblPrEx>
          <w:tblW w:w="5000" w:type="pct"/>
          <w:tblLook w:val="04A0"/>
        </w:tblPrEx>
        <w:trPr>
          <w:trHeight w:val="20"/>
        </w:trPr>
        <w:tc>
          <w:tcPr>
            <w:tcW w:w="2823" w:type="pct"/>
            <w:shd w:val="clear" w:color="auto" w:fill="auto"/>
            <w:vAlign w:val="center"/>
            <w:hideMark/>
          </w:tcPr>
          <w:p w:rsidR="00C343C2" w14:paraId="1347DF30" w14:textId="77777777">
            <w:pPr>
              <w:rPr>
                <w:b/>
                <w:bCs/>
                <w:color w:val="000000"/>
                <w:sz w:val="22"/>
                <w:szCs w:val="22"/>
              </w:rPr>
            </w:pPr>
            <w:r>
              <w:rPr>
                <w:b/>
                <w:bCs/>
                <w:color w:val="000000"/>
                <w:sz w:val="22"/>
                <w:szCs w:val="22"/>
              </w:rPr>
              <w:t>Total</w:t>
            </w:r>
          </w:p>
        </w:tc>
        <w:tc>
          <w:tcPr>
            <w:tcW w:w="466" w:type="pct"/>
            <w:shd w:val="clear" w:color="auto" w:fill="auto"/>
            <w:vAlign w:val="center"/>
            <w:hideMark/>
          </w:tcPr>
          <w:p w:rsidR="00C343C2" w14:paraId="4749E836" w14:textId="7BE24758">
            <w:pPr>
              <w:jc w:val="center"/>
              <w:rPr>
                <w:b/>
                <w:bCs/>
                <w:color w:val="000000"/>
                <w:sz w:val="22"/>
                <w:szCs w:val="22"/>
              </w:rPr>
            </w:pPr>
            <w:r>
              <w:rPr>
                <w:b/>
                <w:bCs/>
                <w:color w:val="000000"/>
                <w:sz w:val="22"/>
                <w:szCs w:val="22"/>
              </w:rPr>
              <w:t>326</w:t>
            </w:r>
          </w:p>
        </w:tc>
        <w:tc>
          <w:tcPr>
            <w:tcW w:w="540" w:type="pct"/>
            <w:shd w:val="clear" w:color="auto" w:fill="auto"/>
            <w:vAlign w:val="center"/>
            <w:hideMark/>
          </w:tcPr>
          <w:p w:rsidR="00C343C2" w14:paraId="795E4D29" w14:textId="013924FB">
            <w:pPr>
              <w:jc w:val="center"/>
              <w:rPr>
                <w:b/>
                <w:bCs/>
                <w:color w:val="000000"/>
                <w:sz w:val="22"/>
                <w:szCs w:val="22"/>
              </w:rPr>
            </w:pPr>
            <w:r>
              <w:rPr>
                <w:b/>
                <w:bCs/>
                <w:color w:val="000000"/>
                <w:sz w:val="22"/>
                <w:szCs w:val="22"/>
              </w:rPr>
              <w:t>$</w:t>
            </w:r>
            <w:r w:rsidR="001E7D78">
              <w:rPr>
                <w:b/>
                <w:bCs/>
                <w:color w:val="000000"/>
                <w:sz w:val="22"/>
                <w:szCs w:val="22"/>
              </w:rPr>
              <w:t>17</w:t>
            </w:r>
            <w:r w:rsidR="00D43A5B">
              <w:rPr>
                <w:b/>
                <w:bCs/>
                <w:color w:val="000000"/>
                <w:sz w:val="22"/>
                <w:szCs w:val="22"/>
              </w:rPr>
              <w:t>,452</w:t>
            </w:r>
          </w:p>
        </w:tc>
        <w:tc>
          <w:tcPr>
            <w:tcW w:w="567" w:type="pct"/>
            <w:shd w:val="clear" w:color="auto" w:fill="auto"/>
            <w:vAlign w:val="center"/>
            <w:hideMark/>
          </w:tcPr>
          <w:p w:rsidR="00C343C2" w14:paraId="31C30D2A" w14:textId="67F37F08">
            <w:pPr>
              <w:jc w:val="center"/>
              <w:rPr>
                <w:b/>
                <w:bCs/>
                <w:color w:val="000000"/>
                <w:sz w:val="22"/>
                <w:szCs w:val="22"/>
              </w:rPr>
            </w:pPr>
            <w:r>
              <w:rPr>
                <w:b/>
                <w:bCs/>
                <w:color w:val="000000"/>
                <w:sz w:val="22"/>
                <w:szCs w:val="22"/>
              </w:rPr>
              <w:t>977</w:t>
            </w:r>
            <w:r>
              <w:rPr>
                <w:b/>
                <w:bCs/>
                <w:color w:val="000000"/>
                <w:sz w:val="22"/>
                <w:szCs w:val="22"/>
              </w:rPr>
              <w:t xml:space="preserve"> </w:t>
            </w:r>
          </w:p>
        </w:tc>
        <w:tc>
          <w:tcPr>
            <w:tcW w:w="604" w:type="pct"/>
            <w:shd w:val="clear" w:color="auto" w:fill="auto"/>
            <w:vAlign w:val="center"/>
            <w:hideMark/>
          </w:tcPr>
          <w:p w:rsidR="00C343C2" w14:paraId="22DCD40F" w14:textId="34E5B847">
            <w:pPr>
              <w:jc w:val="center"/>
              <w:rPr>
                <w:b/>
                <w:bCs/>
                <w:color w:val="000000"/>
                <w:sz w:val="22"/>
                <w:szCs w:val="22"/>
              </w:rPr>
            </w:pPr>
            <w:r>
              <w:rPr>
                <w:b/>
                <w:bCs/>
                <w:color w:val="000000"/>
                <w:sz w:val="22"/>
                <w:szCs w:val="22"/>
              </w:rPr>
              <w:t>$</w:t>
            </w:r>
            <w:r w:rsidR="00D43A5B">
              <w:rPr>
                <w:b/>
                <w:bCs/>
                <w:color w:val="000000"/>
                <w:sz w:val="22"/>
                <w:szCs w:val="22"/>
              </w:rPr>
              <w:t>52,357</w:t>
            </w:r>
          </w:p>
        </w:tc>
      </w:tr>
    </w:tbl>
    <w:p w:rsidR="003D5B1C" w:rsidRPr="003D5B1C" w:rsidP="003D5B1C" w14:paraId="7811167F" w14:textId="30BF7EC0">
      <w:pPr>
        <w:rPr>
          <w:color w:val="000000"/>
          <w:sz w:val="20"/>
          <w:szCs w:val="20"/>
        </w:rPr>
      </w:pPr>
      <w:r w:rsidRPr="003D5B1C">
        <w:rPr>
          <w:color w:val="000000"/>
          <w:sz w:val="20"/>
          <w:szCs w:val="20"/>
        </w:rPr>
        <w:t>*Totals may not sum due to rounding</w:t>
      </w:r>
      <w:r w:rsidR="007104F4">
        <w:rPr>
          <w:color w:val="000000"/>
          <w:sz w:val="20"/>
          <w:szCs w:val="20"/>
        </w:rPr>
        <w:t>.</w:t>
      </w:r>
    </w:p>
    <w:p w:rsidR="00C343C2" w:rsidP="003D5B1C" w14:paraId="5A438119" w14:textId="1F5E8EB2">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3D5B1C" w:rsidP="00E17642" w14:paraId="099510E5" w14:textId="77777777">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7A5B53" w:rsidP="007A5B53" w14:paraId="59125979" w14:textId="5CAF9F6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r>
        <w:rPr>
          <w:b/>
          <w:bCs/>
        </w:rPr>
        <w:t>(ii)</w:t>
      </w:r>
      <w:r>
        <w:rPr>
          <w:b/>
          <w:bCs/>
        </w:rPr>
        <w:tab/>
        <w:t xml:space="preserve">Estimating Operations and Maintenance Costs </w:t>
      </w:r>
    </w:p>
    <w:p w:rsidR="0098269A" w:rsidP="007A5B53" w14:paraId="5CBCDDDA" w14:textId="1799648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p>
    <w:p w:rsidR="00525D56" w:rsidP="007A5B53" w14:paraId="511B9A5C" w14:textId="3B5BD5B8">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t>As described above, to</w:t>
      </w:r>
      <w:r w:rsidRPr="00383746">
        <w:t xml:space="preserve"> obtain OCA data by CD </w:t>
      </w:r>
      <w:r>
        <w:t>via</w:t>
      </w:r>
      <w:r w:rsidRPr="00383746">
        <w:t xml:space="preserve"> RMP*Info and via RMP Dataset Download</w:t>
      </w:r>
      <w:r w:rsidR="004B792F">
        <w:t>,</w:t>
      </w:r>
      <w:r w:rsidRPr="00383746" w:rsidR="004B792F">
        <w:t xml:space="preserve"> State </w:t>
      </w:r>
      <w:r w:rsidR="004B792F">
        <w:t>and local</w:t>
      </w:r>
      <w:r w:rsidRPr="00383746" w:rsidR="004B792F">
        <w:t xml:space="preserve"> agencies</w:t>
      </w:r>
      <w:r w:rsidR="004B792F">
        <w:t>,</w:t>
      </w:r>
      <w:r w:rsidRPr="00383746" w:rsidR="004B792F">
        <w:t xml:space="preserve"> and LEPCs</w:t>
      </w:r>
      <w:r>
        <w:t>,</w:t>
      </w:r>
      <w:r w:rsidRPr="00383746">
        <w:t xml:space="preserve"> must send a written request to EPA </w:t>
      </w:r>
      <w:r>
        <w:t xml:space="preserve">so that EPA can </w:t>
      </w:r>
      <w:r w:rsidRPr="00383746">
        <w:t>ensure that they a</w:t>
      </w:r>
      <w:r>
        <w:t>re a</w:t>
      </w:r>
      <w:r w:rsidRPr="00383746">
        <w:t xml:space="preserve"> covered person and entitled to receive the data.</w:t>
      </w:r>
      <w:r>
        <w:t xml:space="preserve"> </w:t>
      </w:r>
      <w:r>
        <w:t>The current price of a U</w:t>
      </w:r>
      <w:r w:rsidR="00300A7B">
        <w:t>.</w:t>
      </w:r>
      <w:r>
        <w:t>S</w:t>
      </w:r>
      <w:r w:rsidR="00300A7B">
        <w:t>.</w:t>
      </w:r>
      <w:r>
        <w:t xml:space="preserve"> Postal Service Forever stamp is 60 cents.</w:t>
      </w:r>
      <w:r>
        <w:rPr>
          <w:rStyle w:val="FootnoteReference"/>
          <w:vertAlign w:val="superscript"/>
        </w:rPr>
        <w:footnoteReference w:id="5"/>
      </w:r>
      <w:r>
        <w:t xml:space="preserve"> </w:t>
      </w:r>
    </w:p>
    <w:p w:rsidR="00525D56" w:rsidP="007A5B53" w14:paraId="6B0E1939" w14:textId="20645698">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7A5B53" w:rsidP="00BF7FBB" w14:paraId="69AA12E2" w14:textId="135B9A3E">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rPr>
      </w:pPr>
      <w:r>
        <w:tab/>
      </w:r>
      <w:r w:rsidR="003A1483">
        <w:t>One r</w:t>
      </w:r>
      <w:r w:rsidRPr="00383746" w:rsidR="003A1483">
        <w:t>eading room staff activit</w:t>
      </w:r>
      <w:r w:rsidR="007B415A">
        <w:t>y</w:t>
      </w:r>
      <w:r w:rsidRPr="00383746" w:rsidR="003A1483">
        <w:t xml:space="preserve"> </w:t>
      </w:r>
      <w:r w:rsidR="00305B69">
        <w:t xml:space="preserve">is </w:t>
      </w:r>
      <w:r w:rsidRPr="00383746" w:rsidR="003A1483">
        <w:t>print</w:t>
      </w:r>
      <w:r w:rsidR="003A1483">
        <w:t>ing</w:t>
      </w:r>
      <w:r w:rsidRPr="00383746" w:rsidR="003A1483">
        <w:t xml:space="preserve"> the requested RMPs</w:t>
      </w:r>
      <w:r w:rsidR="003A1483">
        <w:t>.</w:t>
      </w:r>
      <w:r w:rsidR="008B411D">
        <w:t xml:space="preserve"> EPA assumes that </w:t>
      </w:r>
      <w:r w:rsidRPr="00630165" w:rsidR="008B411D">
        <w:t>a ream of recycled copy paper</w:t>
      </w:r>
      <w:r w:rsidR="008B411D">
        <w:t xml:space="preserve"> costs $7.</w:t>
      </w:r>
      <w:r w:rsidR="000136A0">
        <w:t>5</w:t>
      </w:r>
      <w:r w:rsidR="008B411D">
        <w:t>0</w:t>
      </w:r>
      <w:r w:rsidR="000136A0">
        <w:t xml:space="preserve"> </w:t>
      </w:r>
      <w:r w:rsidRPr="009951C2" w:rsidR="000136A0">
        <w:t>(from GSA Advantage website)</w:t>
      </w:r>
      <w:r w:rsidR="008B411D">
        <w:t>.</w:t>
      </w:r>
      <w:r>
        <w:rPr>
          <w:rStyle w:val="FootnoteReference"/>
          <w:vertAlign w:val="superscript"/>
        </w:rPr>
        <w:footnoteReference w:id="6"/>
      </w:r>
      <w:r w:rsidR="008B411D">
        <w:t xml:space="preserve"> EPA estimates that</w:t>
      </w:r>
      <w:r w:rsidRPr="008B411D" w:rsidR="008B411D">
        <w:t xml:space="preserve"> </w:t>
      </w:r>
      <w:r w:rsidRPr="00630165" w:rsidR="008B411D">
        <w:t>each visit</w:t>
      </w:r>
      <w:r w:rsidR="008B411D">
        <w:t>or to</w:t>
      </w:r>
      <w:r w:rsidRPr="00630165" w:rsidR="008B411D">
        <w:t xml:space="preserve"> a reading room reviews</w:t>
      </w:r>
      <w:r w:rsidR="008B411D">
        <w:t xml:space="preserve"> </w:t>
      </w:r>
      <w:r w:rsidRPr="00630165" w:rsidR="008B411D">
        <w:t>10 RMPs</w:t>
      </w:r>
      <w:r w:rsidRPr="008B411D" w:rsidR="008B411D">
        <w:t xml:space="preserve"> </w:t>
      </w:r>
      <w:r w:rsidRPr="009951C2" w:rsidR="008B411D">
        <w:t>of 20 pages each</w:t>
      </w:r>
      <w:r w:rsidR="008B411D">
        <w:t>.</w:t>
      </w:r>
    </w:p>
    <w:p w:rsidR="0098269A" w:rsidP="007A5B53" w14:paraId="249E5162" w14:textId="777C047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p>
    <w:p w:rsidR="008215E9" w:rsidP="008215E9" w14:paraId="063BD080" w14:textId="42838D5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630165">
        <w:t>The total annual O&amp;M cost for State and local agencies and LEPCs to mail letters to EPA requesting OCA information is approximately $</w:t>
      </w:r>
      <w:r w:rsidR="00BF7FBB">
        <w:t>66</w:t>
      </w:r>
      <w:r w:rsidRPr="00630165">
        <w:t>.00</w:t>
      </w:r>
      <w:r w:rsidR="0087697B">
        <w:t xml:space="preserve"> ($198 for three years)</w:t>
      </w:r>
      <w:r w:rsidRPr="00630165">
        <w:t>. Assuming a cost of $7.</w:t>
      </w:r>
      <w:r w:rsidR="000136A0">
        <w:t>5</w:t>
      </w:r>
      <w:r w:rsidRPr="00630165">
        <w:t xml:space="preserve">0 for a ream of recycled copy paper, </w:t>
      </w:r>
      <w:r w:rsidRPr="009951C2" w:rsidR="004C62EC">
        <w:t xml:space="preserve">and </w:t>
      </w:r>
      <w:r w:rsidR="00676FF4">
        <w:t>that</w:t>
      </w:r>
      <w:r w:rsidRPr="009951C2" w:rsidR="004C62EC">
        <w:t xml:space="preserve"> each person visiting a reading room reviews 10 RMPs of 20 pages each, the paper cost per visit is $</w:t>
      </w:r>
      <w:r w:rsidR="004C62EC">
        <w:t>3.00</w:t>
      </w:r>
      <w:r w:rsidRPr="009951C2" w:rsidR="004C62EC">
        <w:t xml:space="preserve">. Assuming </w:t>
      </w:r>
      <w:r w:rsidR="00652F00">
        <w:t>five</w:t>
      </w:r>
      <w:r w:rsidR="00D87625">
        <w:t xml:space="preserve"> </w:t>
      </w:r>
      <w:r w:rsidRPr="009951C2" w:rsidR="004C62EC">
        <w:t xml:space="preserve">visits to </w:t>
      </w:r>
      <w:r w:rsidRPr="004C62EC" w:rsidR="004C62EC">
        <w:t xml:space="preserve">State and </w:t>
      </w:r>
      <w:r w:rsidR="004C62EC">
        <w:t>l</w:t>
      </w:r>
      <w:r w:rsidRPr="004C62EC" w:rsidR="004C62EC">
        <w:t>ocal</w:t>
      </w:r>
      <w:r w:rsidR="004C62EC">
        <w:t xml:space="preserve"> </w:t>
      </w:r>
      <w:r w:rsidRPr="009951C2" w:rsidR="004C62EC">
        <w:t xml:space="preserve">reading rooms </w:t>
      </w:r>
      <w:r w:rsidR="00652F00">
        <w:t>annually</w:t>
      </w:r>
      <w:r w:rsidRPr="009951C2" w:rsidR="004C62EC">
        <w:t xml:space="preserve"> (</w:t>
      </w:r>
      <w:r w:rsidR="00D87625">
        <w:t>15</w:t>
      </w:r>
      <w:r w:rsidRPr="009951C2" w:rsidR="004C62EC">
        <w:t xml:space="preserve"> visits for three years), the paper cost is $</w:t>
      </w:r>
      <w:r w:rsidR="00D87625">
        <w:t>15</w:t>
      </w:r>
      <w:r w:rsidRPr="009951C2" w:rsidR="004C62EC">
        <w:t xml:space="preserve"> annually ($</w:t>
      </w:r>
      <w:r w:rsidR="00D87625">
        <w:t>45</w:t>
      </w:r>
      <w:r w:rsidRPr="009951C2" w:rsidR="004C62EC">
        <w:t xml:space="preserve"> for three years).</w:t>
      </w:r>
      <w:r w:rsidRPr="008215E9">
        <w:t xml:space="preserve"> </w:t>
      </w:r>
      <w:r w:rsidR="00652F00">
        <w:t xml:space="preserve">Total O&amp;M costs are estimated to be $81 annually ($243 for three years). </w:t>
      </w:r>
      <w:r>
        <w:t>See Exhibit 8.</w:t>
      </w:r>
    </w:p>
    <w:p w:rsidR="004C62EC" w:rsidP="0087697B" w14:paraId="6D673C72" w14:textId="3FBA7041">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98269A" w:rsidP="0098269A" w14:paraId="35598EC7" w14:textId="18F9A33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B120E4" w:rsidP="004C62EC" w14:paraId="1F89B961" w14:textId="77777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color w:val="000000"/>
        </w:rPr>
      </w:pPr>
      <w:r>
        <w:rPr>
          <w:b/>
          <w:bCs/>
          <w:color w:val="000000"/>
        </w:rPr>
        <w:t>Exhibit 8</w:t>
      </w:r>
    </w:p>
    <w:p w:rsidR="00BF7FBB" w:rsidRPr="00676FF4" w:rsidP="004C62EC" w14:paraId="501B7016" w14:textId="5460C59B">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color w:val="000000"/>
        </w:rPr>
      </w:pPr>
      <w:r>
        <w:rPr>
          <w:b/>
          <w:bCs/>
          <w:color w:val="000000"/>
        </w:rPr>
        <w:t xml:space="preserve">  </w:t>
      </w:r>
      <w:r>
        <w:rPr>
          <w:b/>
          <w:bCs/>
          <w:color w:val="000000"/>
        </w:rPr>
        <w:t>O&amp;M Costs</w:t>
      </w:r>
      <w:r w:rsidR="003062A4">
        <w:rPr>
          <w:b/>
          <w:bCs/>
          <w:color w:val="000000"/>
        </w:rPr>
        <w:t xml:space="preserve"> for State and Local Agencies and LECPs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316"/>
        <w:gridCol w:w="1305"/>
        <w:gridCol w:w="822"/>
        <w:gridCol w:w="1259"/>
        <w:gridCol w:w="932"/>
      </w:tblGrid>
      <w:tr w14:paraId="7BE267DF" w14:textId="77777777" w:rsidTr="00A93ACF">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20"/>
          <w:tblHeader/>
        </w:trPr>
        <w:tc>
          <w:tcPr>
            <w:tcW w:w="2499" w:type="pct"/>
            <w:shd w:val="clear" w:color="auto" w:fill="auto"/>
            <w:vAlign w:val="center"/>
            <w:hideMark/>
          </w:tcPr>
          <w:p w:rsidR="00BF7FBB" w14:paraId="054E8B03" w14:textId="77777777">
            <w:pPr>
              <w:jc w:val="center"/>
              <w:rPr>
                <w:color w:val="000000"/>
                <w:sz w:val="22"/>
                <w:szCs w:val="22"/>
              </w:rPr>
            </w:pPr>
            <w:r>
              <w:rPr>
                <w:color w:val="000000"/>
                <w:sz w:val="22"/>
                <w:szCs w:val="22"/>
              </w:rPr>
              <w:t> </w:t>
            </w:r>
          </w:p>
        </w:tc>
        <w:tc>
          <w:tcPr>
            <w:tcW w:w="1231" w:type="pct"/>
            <w:gridSpan w:val="2"/>
            <w:shd w:val="clear" w:color="auto" w:fill="auto"/>
            <w:vAlign w:val="center"/>
            <w:hideMark/>
          </w:tcPr>
          <w:p w:rsidR="00BF7FBB" w14:paraId="31379DED" w14:textId="77777777">
            <w:pPr>
              <w:jc w:val="center"/>
              <w:rPr>
                <w:b/>
                <w:bCs/>
                <w:color w:val="000000"/>
                <w:sz w:val="22"/>
                <w:szCs w:val="22"/>
              </w:rPr>
            </w:pPr>
            <w:r>
              <w:rPr>
                <w:b/>
                <w:bCs/>
                <w:color w:val="000000"/>
                <w:sz w:val="22"/>
                <w:szCs w:val="22"/>
              </w:rPr>
              <w:t>Annual</w:t>
            </w:r>
          </w:p>
        </w:tc>
        <w:tc>
          <w:tcPr>
            <w:tcW w:w="1269" w:type="pct"/>
            <w:gridSpan w:val="2"/>
            <w:shd w:val="clear" w:color="auto" w:fill="auto"/>
            <w:vAlign w:val="center"/>
            <w:hideMark/>
          </w:tcPr>
          <w:p w:rsidR="00BF7FBB" w14:paraId="3DB24A8A" w14:textId="77777777">
            <w:pPr>
              <w:jc w:val="center"/>
              <w:rPr>
                <w:b/>
                <w:bCs/>
                <w:color w:val="000000"/>
                <w:sz w:val="22"/>
                <w:szCs w:val="22"/>
              </w:rPr>
            </w:pPr>
            <w:r>
              <w:rPr>
                <w:b/>
                <w:bCs/>
                <w:color w:val="000000"/>
                <w:sz w:val="22"/>
                <w:szCs w:val="22"/>
              </w:rPr>
              <w:t>Three-Year Totals</w:t>
            </w:r>
          </w:p>
        </w:tc>
      </w:tr>
      <w:tr w14:paraId="4C635BFA" w14:textId="77777777" w:rsidTr="00A93ACF">
        <w:tblPrEx>
          <w:tblW w:w="5000" w:type="pct"/>
          <w:tblLook w:val="04A0"/>
        </w:tblPrEx>
        <w:trPr>
          <w:trHeight w:val="20"/>
          <w:tblHeader/>
        </w:trPr>
        <w:tc>
          <w:tcPr>
            <w:tcW w:w="2499" w:type="pct"/>
            <w:shd w:val="clear" w:color="auto" w:fill="auto"/>
            <w:vAlign w:val="center"/>
            <w:hideMark/>
          </w:tcPr>
          <w:p w:rsidR="00BF7FBB" w14:paraId="37B7CAC0" w14:textId="77777777">
            <w:pPr>
              <w:jc w:val="center"/>
              <w:rPr>
                <w:color w:val="000000"/>
                <w:sz w:val="22"/>
                <w:szCs w:val="22"/>
              </w:rPr>
            </w:pPr>
            <w:r>
              <w:rPr>
                <w:color w:val="000000"/>
                <w:sz w:val="22"/>
                <w:szCs w:val="22"/>
              </w:rPr>
              <w:t> </w:t>
            </w:r>
          </w:p>
        </w:tc>
        <w:tc>
          <w:tcPr>
            <w:tcW w:w="755" w:type="pct"/>
            <w:shd w:val="clear" w:color="auto" w:fill="auto"/>
            <w:vAlign w:val="center"/>
            <w:hideMark/>
          </w:tcPr>
          <w:p w:rsidR="00BF7FBB" w14:paraId="20EA0197" w14:textId="77777777">
            <w:pPr>
              <w:jc w:val="center"/>
              <w:rPr>
                <w:b/>
                <w:bCs/>
                <w:color w:val="000000"/>
                <w:sz w:val="22"/>
                <w:szCs w:val="22"/>
              </w:rPr>
            </w:pPr>
            <w:r>
              <w:rPr>
                <w:b/>
                <w:bCs/>
                <w:color w:val="000000"/>
                <w:sz w:val="22"/>
                <w:szCs w:val="22"/>
              </w:rPr>
              <w:t>Count</w:t>
            </w:r>
          </w:p>
        </w:tc>
        <w:tc>
          <w:tcPr>
            <w:tcW w:w="476" w:type="pct"/>
            <w:shd w:val="clear" w:color="auto" w:fill="auto"/>
            <w:vAlign w:val="center"/>
            <w:hideMark/>
          </w:tcPr>
          <w:p w:rsidR="00BF7FBB" w14:paraId="4C4BCF87" w14:textId="77777777">
            <w:pPr>
              <w:jc w:val="center"/>
              <w:rPr>
                <w:b/>
                <w:bCs/>
                <w:color w:val="000000"/>
                <w:sz w:val="22"/>
                <w:szCs w:val="22"/>
              </w:rPr>
            </w:pPr>
            <w:r>
              <w:rPr>
                <w:b/>
                <w:bCs/>
                <w:color w:val="000000"/>
                <w:sz w:val="22"/>
                <w:szCs w:val="22"/>
              </w:rPr>
              <w:t>Cost</w:t>
            </w:r>
          </w:p>
        </w:tc>
        <w:tc>
          <w:tcPr>
            <w:tcW w:w="729" w:type="pct"/>
            <w:shd w:val="clear" w:color="auto" w:fill="auto"/>
            <w:vAlign w:val="center"/>
            <w:hideMark/>
          </w:tcPr>
          <w:p w:rsidR="00BF7FBB" w14:paraId="1365476F" w14:textId="77777777">
            <w:pPr>
              <w:jc w:val="center"/>
              <w:rPr>
                <w:b/>
                <w:bCs/>
                <w:color w:val="000000"/>
                <w:sz w:val="22"/>
                <w:szCs w:val="22"/>
              </w:rPr>
            </w:pPr>
            <w:r>
              <w:rPr>
                <w:b/>
                <w:bCs/>
                <w:color w:val="000000"/>
                <w:sz w:val="22"/>
                <w:szCs w:val="22"/>
              </w:rPr>
              <w:t>Count</w:t>
            </w:r>
          </w:p>
        </w:tc>
        <w:tc>
          <w:tcPr>
            <w:tcW w:w="540" w:type="pct"/>
            <w:shd w:val="clear" w:color="auto" w:fill="auto"/>
            <w:vAlign w:val="center"/>
            <w:hideMark/>
          </w:tcPr>
          <w:p w:rsidR="00BF7FBB" w14:paraId="2F723B8D" w14:textId="77777777">
            <w:pPr>
              <w:jc w:val="center"/>
              <w:rPr>
                <w:b/>
                <w:bCs/>
                <w:color w:val="000000"/>
                <w:sz w:val="22"/>
                <w:szCs w:val="22"/>
              </w:rPr>
            </w:pPr>
            <w:r>
              <w:rPr>
                <w:b/>
                <w:bCs/>
                <w:color w:val="000000"/>
                <w:sz w:val="22"/>
                <w:szCs w:val="22"/>
              </w:rPr>
              <w:t>Cost</w:t>
            </w:r>
          </w:p>
        </w:tc>
      </w:tr>
      <w:tr w14:paraId="5EC846C5" w14:textId="77777777" w:rsidTr="00A93ACF">
        <w:tblPrEx>
          <w:tblW w:w="5000" w:type="pct"/>
          <w:tblLook w:val="04A0"/>
        </w:tblPrEx>
        <w:trPr>
          <w:trHeight w:val="20"/>
        </w:trPr>
        <w:tc>
          <w:tcPr>
            <w:tcW w:w="2499" w:type="pct"/>
            <w:shd w:val="clear" w:color="auto" w:fill="auto"/>
            <w:vAlign w:val="center"/>
            <w:hideMark/>
          </w:tcPr>
          <w:p w:rsidR="00BF7FBB" w:rsidRPr="006B4E83" w14:paraId="1ACC51CD" w14:textId="77777777">
            <w:pPr>
              <w:rPr>
                <w:color w:val="000000"/>
                <w:sz w:val="22"/>
                <w:szCs w:val="22"/>
              </w:rPr>
            </w:pPr>
            <w:r w:rsidRPr="006B4E83">
              <w:rPr>
                <w:color w:val="000000"/>
                <w:sz w:val="22"/>
                <w:szCs w:val="22"/>
              </w:rPr>
              <w:t>Postage for Submitted Letters Requesting Coverage and a CD</w:t>
            </w:r>
          </w:p>
        </w:tc>
        <w:tc>
          <w:tcPr>
            <w:tcW w:w="755" w:type="pct"/>
            <w:shd w:val="clear" w:color="auto" w:fill="auto"/>
            <w:vAlign w:val="center"/>
            <w:hideMark/>
          </w:tcPr>
          <w:p w:rsidR="00BF7FBB" w14:paraId="2B6ADFFE" w14:textId="77777777">
            <w:pPr>
              <w:jc w:val="center"/>
              <w:rPr>
                <w:color w:val="000000"/>
                <w:sz w:val="22"/>
                <w:szCs w:val="22"/>
              </w:rPr>
            </w:pPr>
            <w:r>
              <w:rPr>
                <w:color w:val="000000"/>
                <w:sz w:val="22"/>
                <w:szCs w:val="22"/>
              </w:rPr>
              <w:t>110</w:t>
            </w:r>
          </w:p>
        </w:tc>
        <w:tc>
          <w:tcPr>
            <w:tcW w:w="476" w:type="pct"/>
            <w:shd w:val="clear" w:color="auto" w:fill="auto"/>
            <w:vAlign w:val="center"/>
            <w:hideMark/>
          </w:tcPr>
          <w:p w:rsidR="00BF7FBB" w14:paraId="3E1FE7CB" w14:textId="4697ECC9">
            <w:pPr>
              <w:jc w:val="center"/>
              <w:rPr>
                <w:color w:val="000000"/>
                <w:sz w:val="22"/>
                <w:szCs w:val="22"/>
              </w:rPr>
            </w:pPr>
            <w:r>
              <w:rPr>
                <w:color w:val="000000"/>
                <w:sz w:val="22"/>
                <w:szCs w:val="22"/>
              </w:rPr>
              <w:t xml:space="preserve">$66 </w:t>
            </w:r>
          </w:p>
        </w:tc>
        <w:tc>
          <w:tcPr>
            <w:tcW w:w="729" w:type="pct"/>
            <w:shd w:val="clear" w:color="auto" w:fill="auto"/>
            <w:vAlign w:val="center"/>
            <w:hideMark/>
          </w:tcPr>
          <w:p w:rsidR="00BF7FBB" w14:paraId="690C2C63" w14:textId="77777777">
            <w:pPr>
              <w:jc w:val="center"/>
              <w:rPr>
                <w:color w:val="000000"/>
                <w:sz w:val="22"/>
                <w:szCs w:val="22"/>
              </w:rPr>
            </w:pPr>
            <w:r>
              <w:rPr>
                <w:color w:val="000000"/>
                <w:sz w:val="22"/>
                <w:szCs w:val="22"/>
              </w:rPr>
              <w:t>330</w:t>
            </w:r>
          </w:p>
        </w:tc>
        <w:tc>
          <w:tcPr>
            <w:tcW w:w="540" w:type="pct"/>
            <w:shd w:val="clear" w:color="auto" w:fill="auto"/>
            <w:vAlign w:val="center"/>
            <w:hideMark/>
          </w:tcPr>
          <w:p w:rsidR="00BF7FBB" w14:paraId="130FC369" w14:textId="509908C6">
            <w:pPr>
              <w:jc w:val="center"/>
              <w:rPr>
                <w:color w:val="000000"/>
                <w:sz w:val="22"/>
                <w:szCs w:val="22"/>
              </w:rPr>
            </w:pPr>
            <w:r>
              <w:rPr>
                <w:color w:val="000000"/>
                <w:sz w:val="22"/>
                <w:szCs w:val="22"/>
              </w:rPr>
              <w:t xml:space="preserve">$198 </w:t>
            </w:r>
          </w:p>
        </w:tc>
      </w:tr>
      <w:tr w14:paraId="01879E16" w14:textId="77777777" w:rsidTr="00A93ACF">
        <w:tblPrEx>
          <w:tblW w:w="5000" w:type="pct"/>
          <w:tblLook w:val="04A0"/>
        </w:tblPrEx>
        <w:trPr>
          <w:trHeight w:val="20"/>
        </w:trPr>
        <w:tc>
          <w:tcPr>
            <w:tcW w:w="2499" w:type="pct"/>
            <w:shd w:val="clear" w:color="auto" w:fill="auto"/>
            <w:vAlign w:val="center"/>
            <w:hideMark/>
          </w:tcPr>
          <w:p w:rsidR="004C62EC" w:rsidRPr="006B4E83" w:rsidP="004C62EC" w14:paraId="444FD32D" w14:textId="2FC75433">
            <w:pPr>
              <w:rPr>
                <w:color w:val="000000"/>
                <w:sz w:val="22"/>
                <w:szCs w:val="22"/>
              </w:rPr>
            </w:pPr>
            <w:r w:rsidRPr="006B4E83">
              <w:rPr>
                <w:color w:val="000000"/>
                <w:sz w:val="22"/>
                <w:szCs w:val="22"/>
              </w:rPr>
              <w:t>Paper for the Reading Room (pages)</w:t>
            </w:r>
          </w:p>
        </w:tc>
        <w:tc>
          <w:tcPr>
            <w:tcW w:w="755" w:type="pct"/>
            <w:shd w:val="clear" w:color="auto" w:fill="auto"/>
            <w:vAlign w:val="center"/>
            <w:hideMark/>
          </w:tcPr>
          <w:p w:rsidR="004C62EC" w:rsidP="004C62EC" w14:paraId="4565367F" w14:textId="4B2E44ED">
            <w:pPr>
              <w:jc w:val="center"/>
              <w:rPr>
                <w:color w:val="000000"/>
                <w:sz w:val="22"/>
                <w:szCs w:val="22"/>
              </w:rPr>
            </w:pPr>
            <w:r>
              <w:rPr>
                <w:color w:val="000000"/>
                <w:sz w:val="22"/>
                <w:szCs w:val="22"/>
              </w:rPr>
              <w:t>1</w:t>
            </w:r>
            <w:r>
              <w:rPr>
                <w:color w:val="000000"/>
                <w:sz w:val="22"/>
                <w:szCs w:val="22"/>
              </w:rPr>
              <w:t>,000</w:t>
            </w:r>
          </w:p>
        </w:tc>
        <w:tc>
          <w:tcPr>
            <w:tcW w:w="476" w:type="pct"/>
            <w:shd w:val="clear" w:color="auto" w:fill="auto"/>
            <w:vAlign w:val="center"/>
            <w:hideMark/>
          </w:tcPr>
          <w:p w:rsidR="004C62EC" w:rsidP="004C62EC" w14:paraId="56E8751C" w14:textId="714AB38D">
            <w:pPr>
              <w:jc w:val="center"/>
              <w:rPr>
                <w:color w:val="000000"/>
                <w:sz w:val="22"/>
                <w:szCs w:val="22"/>
              </w:rPr>
            </w:pPr>
            <w:r>
              <w:rPr>
                <w:color w:val="000000"/>
                <w:sz w:val="22"/>
                <w:szCs w:val="22"/>
              </w:rPr>
              <w:t>$</w:t>
            </w:r>
            <w:r w:rsidR="00753982">
              <w:rPr>
                <w:color w:val="000000"/>
                <w:sz w:val="22"/>
                <w:szCs w:val="22"/>
              </w:rPr>
              <w:t>15</w:t>
            </w:r>
          </w:p>
        </w:tc>
        <w:tc>
          <w:tcPr>
            <w:tcW w:w="729" w:type="pct"/>
            <w:shd w:val="clear" w:color="auto" w:fill="auto"/>
            <w:vAlign w:val="center"/>
            <w:hideMark/>
          </w:tcPr>
          <w:p w:rsidR="004C62EC" w:rsidP="004C62EC" w14:paraId="2EE19E3F" w14:textId="76095BB2">
            <w:pPr>
              <w:jc w:val="center"/>
              <w:rPr>
                <w:color w:val="000000"/>
                <w:sz w:val="22"/>
                <w:szCs w:val="22"/>
              </w:rPr>
            </w:pPr>
            <w:r>
              <w:rPr>
                <w:color w:val="000000"/>
                <w:sz w:val="22"/>
                <w:szCs w:val="22"/>
              </w:rPr>
              <w:t>3</w:t>
            </w:r>
            <w:r>
              <w:rPr>
                <w:color w:val="000000"/>
                <w:sz w:val="22"/>
                <w:szCs w:val="22"/>
              </w:rPr>
              <w:t>,000</w:t>
            </w:r>
          </w:p>
        </w:tc>
        <w:tc>
          <w:tcPr>
            <w:tcW w:w="540" w:type="pct"/>
            <w:shd w:val="clear" w:color="auto" w:fill="auto"/>
            <w:vAlign w:val="center"/>
            <w:hideMark/>
          </w:tcPr>
          <w:p w:rsidR="004C62EC" w:rsidP="004C62EC" w14:paraId="2080A005" w14:textId="3D6A2285">
            <w:pPr>
              <w:jc w:val="center"/>
              <w:rPr>
                <w:color w:val="000000"/>
                <w:sz w:val="22"/>
                <w:szCs w:val="22"/>
              </w:rPr>
            </w:pPr>
            <w:r>
              <w:rPr>
                <w:color w:val="000000"/>
                <w:sz w:val="22"/>
                <w:szCs w:val="22"/>
              </w:rPr>
              <w:t>$</w:t>
            </w:r>
            <w:r w:rsidR="00753982">
              <w:rPr>
                <w:color w:val="000000"/>
                <w:sz w:val="22"/>
                <w:szCs w:val="22"/>
              </w:rPr>
              <w:t>45</w:t>
            </w:r>
            <w:r>
              <w:rPr>
                <w:color w:val="000000"/>
                <w:sz w:val="22"/>
                <w:szCs w:val="22"/>
              </w:rPr>
              <w:t xml:space="preserve"> </w:t>
            </w:r>
          </w:p>
        </w:tc>
      </w:tr>
      <w:tr w14:paraId="22D79FE6" w14:textId="77777777" w:rsidTr="00A93ACF">
        <w:tblPrEx>
          <w:tblW w:w="5000" w:type="pct"/>
          <w:tblLook w:val="04A0"/>
        </w:tblPrEx>
        <w:trPr>
          <w:trHeight w:val="20"/>
        </w:trPr>
        <w:tc>
          <w:tcPr>
            <w:tcW w:w="2499" w:type="pct"/>
            <w:shd w:val="clear" w:color="auto" w:fill="auto"/>
            <w:vAlign w:val="center"/>
            <w:hideMark/>
          </w:tcPr>
          <w:p w:rsidR="0087697B" w:rsidRPr="00B34223" w14:paraId="4900B37F" w14:textId="77777777">
            <w:pPr>
              <w:rPr>
                <w:b/>
                <w:bCs/>
                <w:color w:val="000000"/>
                <w:sz w:val="22"/>
                <w:szCs w:val="22"/>
              </w:rPr>
            </w:pPr>
            <w:r w:rsidRPr="00B34223">
              <w:rPr>
                <w:b/>
                <w:bCs/>
                <w:color w:val="000000"/>
                <w:sz w:val="22"/>
                <w:szCs w:val="22"/>
              </w:rPr>
              <w:t>Total</w:t>
            </w:r>
          </w:p>
        </w:tc>
        <w:tc>
          <w:tcPr>
            <w:tcW w:w="755" w:type="pct"/>
            <w:shd w:val="clear" w:color="auto" w:fill="auto"/>
            <w:vAlign w:val="center"/>
            <w:hideMark/>
          </w:tcPr>
          <w:p w:rsidR="0087697B" w:rsidRPr="00B34223" w:rsidP="0087697B" w14:paraId="3AF2FC15" w14:textId="77777777">
            <w:pPr>
              <w:jc w:val="center"/>
              <w:rPr>
                <w:b/>
                <w:bCs/>
                <w:color w:val="000000"/>
                <w:sz w:val="22"/>
                <w:szCs w:val="22"/>
              </w:rPr>
            </w:pPr>
          </w:p>
        </w:tc>
        <w:tc>
          <w:tcPr>
            <w:tcW w:w="476" w:type="pct"/>
            <w:shd w:val="clear" w:color="auto" w:fill="auto"/>
            <w:vAlign w:val="center"/>
            <w:hideMark/>
          </w:tcPr>
          <w:p w:rsidR="0087697B" w:rsidRPr="00B34223" w14:paraId="16BD8F84" w14:textId="7D8B5A4E">
            <w:pPr>
              <w:jc w:val="center"/>
              <w:rPr>
                <w:b/>
                <w:bCs/>
                <w:color w:val="000000"/>
                <w:sz w:val="22"/>
                <w:szCs w:val="22"/>
              </w:rPr>
            </w:pPr>
            <w:r w:rsidRPr="00B34223">
              <w:rPr>
                <w:b/>
                <w:bCs/>
                <w:color w:val="000000"/>
                <w:sz w:val="22"/>
                <w:szCs w:val="22"/>
              </w:rPr>
              <w:t>$</w:t>
            </w:r>
            <w:r w:rsidR="00753982">
              <w:rPr>
                <w:b/>
                <w:bCs/>
                <w:color w:val="000000"/>
                <w:sz w:val="22"/>
                <w:szCs w:val="22"/>
              </w:rPr>
              <w:t>81</w:t>
            </w:r>
          </w:p>
        </w:tc>
        <w:tc>
          <w:tcPr>
            <w:tcW w:w="729" w:type="pct"/>
            <w:shd w:val="clear" w:color="auto" w:fill="auto"/>
            <w:vAlign w:val="center"/>
            <w:hideMark/>
          </w:tcPr>
          <w:p w:rsidR="0087697B" w:rsidRPr="00B34223" w14:paraId="01378549" w14:textId="77777777">
            <w:pPr>
              <w:jc w:val="center"/>
              <w:rPr>
                <w:b/>
                <w:bCs/>
                <w:color w:val="000000"/>
                <w:sz w:val="22"/>
                <w:szCs w:val="22"/>
              </w:rPr>
            </w:pPr>
            <w:r w:rsidRPr="00B34223">
              <w:rPr>
                <w:b/>
                <w:bCs/>
                <w:color w:val="000000"/>
                <w:sz w:val="22"/>
                <w:szCs w:val="22"/>
              </w:rPr>
              <w:t> </w:t>
            </w:r>
          </w:p>
        </w:tc>
        <w:tc>
          <w:tcPr>
            <w:tcW w:w="540" w:type="pct"/>
            <w:shd w:val="clear" w:color="auto" w:fill="auto"/>
            <w:vAlign w:val="center"/>
            <w:hideMark/>
          </w:tcPr>
          <w:p w:rsidR="0087697B" w:rsidRPr="00B34223" w14:paraId="4A00FC30" w14:textId="3F5B5C35">
            <w:pPr>
              <w:jc w:val="center"/>
              <w:rPr>
                <w:b/>
                <w:bCs/>
                <w:color w:val="000000"/>
                <w:sz w:val="22"/>
                <w:szCs w:val="22"/>
              </w:rPr>
            </w:pPr>
            <w:r w:rsidRPr="00B34223">
              <w:rPr>
                <w:b/>
                <w:bCs/>
                <w:color w:val="000000"/>
                <w:sz w:val="22"/>
                <w:szCs w:val="22"/>
              </w:rPr>
              <w:t>$</w:t>
            </w:r>
            <w:r w:rsidR="00D87625">
              <w:rPr>
                <w:b/>
                <w:bCs/>
                <w:color w:val="000000"/>
                <w:sz w:val="22"/>
                <w:szCs w:val="22"/>
              </w:rPr>
              <w:t>243</w:t>
            </w:r>
          </w:p>
        </w:tc>
      </w:tr>
    </w:tbl>
    <w:p w:rsidR="007A5B53" w14:paraId="373C68FF" w14:textId="77777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p>
    <w:p w:rsidR="007A5B53" w:rsidRPr="00C63E7C" w:rsidP="007A5B53" w14:paraId="11D8A86E" w14:textId="436DBF19">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Pr>
          <w:b/>
          <w:bCs/>
        </w:rPr>
        <w:t>(i</w:t>
      </w:r>
      <w:r w:rsidR="007B415A">
        <w:rPr>
          <w:b/>
          <w:bCs/>
        </w:rPr>
        <w:t>ii</w:t>
      </w:r>
      <w:r>
        <w:rPr>
          <w:b/>
          <w:bCs/>
        </w:rPr>
        <w:t>)</w:t>
      </w:r>
      <w:r>
        <w:rPr>
          <w:b/>
          <w:bCs/>
        </w:rPr>
        <w:tab/>
      </w:r>
      <w:r w:rsidRPr="007A5B53">
        <w:rPr>
          <w:b/>
          <w:bCs/>
        </w:rPr>
        <w:t>Capital Costs</w:t>
      </w:r>
    </w:p>
    <w:p w:rsidR="007A5B53" w14:paraId="4073E2C5" w14:textId="161326EC">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p>
    <w:p w:rsidR="007A5B53" w14:paraId="2FFB060D" w14:textId="2955AAA6">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r>
        <w:t>There are no capital costs associated with this information collection.</w:t>
      </w:r>
    </w:p>
    <w:p w:rsidR="005A72AE" w14:paraId="7442DB9C" w14:textId="77777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p>
    <w:p w:rsidR="00525660" w14:paraId="112C00E8" w14:textId="77777777">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20388A" w:rsidRPr="00383746" w:rsidP="00702B3C" w14:paraId="2F9866AE" w14:textId="47CBF1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rPr>
          <w:b/>
          <w:bCs/>
        </w:rPr>
        <w:t>6(</w:t>
      </w:r>
      <w:r w:rsidR="00673B9C">
        <w:rPr>
          <w:b/>
          <w:bCs/>
        </w:rPr>
        <w:t>c</w:t>
      </w:r>
      <w:r w:rsidRPr="00383746">
        <w:rPr>
          <w:b/>
          <w:bCs/>
        </w:rPr>
        <w:t>)</w:t>
      </w:r>
      <w:r w:rsidRPr="00383746">
        <w:rPr>
          <w:b/>
          <w:bCs/>
        </w:rPr>
        <w:tab/>
        <w:t xml:space="preserve">Estimating </w:t>
      </w:r>
      <w:r w:rsidRPr="00383746" w:rsidR="00702B3C">
        <w:rPr>
          <w:b/>
          <w:bCs/>
        </w:rPr>
        <w:t xml:space="preserve">Agency Burden and </w:t>
      </w:r>
      <w:r w:rsidRPr="00383746">
        <w:rPr>
          <w:b/>
          <w:bCs/>
        </w:rPr>
        <w:t>Cost</w:t>
      </w:r>
      <w:r w:rsidRPr="00383746" w:rsidR="00702B3C">
        <w:rPr>
          <w:b/>
          <w:bCs/>
        </w:rPr>
        <w:t xml:space="preserve"> </w:t>
      </w:r>
    </w:p>
    <w:p w:rsidR="000516A3" w:rsidP="000516A3" w14:paraId="04E44783" w14:textId="79FF7D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673B9C" w:rsidP="00673B9C" w14:paraId="6A41EC9D" w14:textId="18B4314D">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r>
        <w:rPr>
          <w:b/>
          <w:bCs/>
        </w:rPr>
        <w:t>Agency Labor Costs</w:t>
      </w:r>
    </w:p>
    <w:p w:rsidR="00673B9C" w:rsidRPr="00383746" w:rsidP="00673B9C" w14:paraId="7E1F41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673B9C" w:rsidRPr="008215E9" w:rsidP="00673B9C" w14:paraId="1012D075" w14:textId="06E80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5A72AE">
        <w:t xml:space="preserve">Federal </w:t>
      </w:r>
      <w:r w:rsidR="00CE66EC">
        <w:t xml:space="preserve">agency </w:t>
      </w:r>
      <w:r w:rsidRPr="005A72AE">
        <w:t xml:space="preserve">costs were estimated based on </w:t>
      </w:r>
      <w:r w:rsidRPr="00C123A0" w:rsidR="00C123A0">
        <w:t>U.S. O</w:t>
      </w:r>
      <w:r w:rsidR="00C123A0">
        <w:t>ffice of Personnel Management’s (</w:t>
      </w:r>
      <w:r>
        <w:t>OPM</w:t>
      </w:r>
      <w:r w:rsidR="00C123A0">
        <w:t>)</w:t>
      </w:r>
      <w:r>
        <w:t xml:space="preserve"> </w:t>
      </w:r>
      <w:r w:rsidRPr="005A72AE">
        <w:t xml:space="preserve">2021 </w:t>
      </w:r>
      <w:r w:rsidR="00C123A0">
        <w:t>General Schedule (</w:t>
      </w:r>
      <w:r w:rsidRPr="005A72AE">
        <w:t>GS</w:t>
      </w:r>
      <w:r w:rsidR="00C123A0">
        <w:t>)</w:t>
      </w:r>
      <w:r w:rsidRPr="005A72AE">
        <w:t xml:space="preserve"> wage schedule for the Washington-Baltimore-Northern Virginia locality using a GS-9, step 5</w:t>
      </w:r>
      <w:r w:rsidR="008215E9">
        <w:t>. The</w:t>
      </w:r>
      <w:r w:rsidRPr="005A72AE">
        <w:t xml:space="preserve"> fully loaded hourly wage rate </w:t>
      </w:r>
      <w:r w:rsidR="008215E9">
        <w:t>is estimated to be</w:t>
      </w:r>
      <w:r w:rsidRPr="005A72AE">
        <w:t xml:space="preserve"> $52.24 (base wage rate of $32.65 x</w:t>
      </w:r>
      <w:r w:rsidR="00712D40">
        <w:t xml:space="preserve"> </w:t>
      </w:r>
      <w:r w:rsidR="00676FF4">
        <w:t>1.6 (</w:t>
      </w:r>
      <w:r w:rsidR="00712D40">
        <w:t>the standard Federal wage overhead rate</w:t>
      </w:r>
      <w:r w:rsidRPr="005A72AE">
        <w:t xml:space="preserve">) </w:t>
      </w:r>
      <w:r>
        <w:t xml:space="preserve">for reading room activities </w:t>
      </w:r>
      <w:r w:rsidRPr="009951C2">
        <w:t>and a GS-13,</w:t>
      </w:r>
      <w:r w:rsidRPr="005A72AE">
        <w:t xml:space="preserve"> step 5 fully loaded </w:t>
      </w:r>
      <w:r>
        <w:t xml:space="preserve">for </w:t>
      </w:r>
      <w:r w:rsidRPr="004F4FB5">
        <w:t xml:space="preserve">VZIS </w:t>
      </w:r>
      <w:r w:rsidRPr="004F4FB5">
        <w:t>operation and preparation of data</w:t>
      </w:r>
      <w:r w:rsidRPr="005A72AE">
        <w:t>.</w:t>
      </w:r>
      <w:r>
        <w:rPr>
          <w:rStyle w:val="FootnoteReference"/>
          <w:vertAlign w:val="superscript"/>
        </w:rPr>
        <w:footnoteReference w:id="7"/>
      </w:r>
      <w:r w:rsidR="00093648">
        <w:rPr>
          <w:vertAlign w:val="superscript"/>
        </w:rPr>
        <w:t xml:space="preserve"> </w:t>
      </w:r>
      <w:r w:rsidRPr="008215E9" w:rsidR="008215E9">
        <w:t xml:space="preserve">See Exhibit </w:t>
      </w:r>
      <w:r w:rsidR="008215E9">
        <w:t>9</w:t>
      </w:r>
      <w:r w:rsidRPr="008215E9" w:rsidR="008215E9">
        <w:t>.</w:t>
      </w:r>
    </w:p>
    <w:p w:rsidR="00C123A0" w:rsidP="00673B9C" w14:paraId="3FD46B1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C123A0" w:rsidP="00C123A0" w14:paraId="3B6AE0E2" w14:textId="761BB27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color w:val="000000"/>
        </w:rPr>
      </w:pPr>
      <w:r>
        <w:rPr>
          <w:b/>
          <w:bCs/>
          <w:color w:val="000000"/>
        </w:rPr>
        <w:t xml:space="preserve">Exhibit </w:t>
      </w:r>
      <w:r w:rsidR="008215E9">
        <w:rPr>
          <w:b/>
          <w:bCs/>
          <w:color w:val="000000"/>
        </w:rPr>
        <w:t>9</w:t>
      </w:r>
    </w:p>
    <w:p w:rsidR="00C123A0" w:rsidP="00C123A0" w14:paraId="7346D312" w14:textId="3A71D0F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rPr>
          <w:b/>
          <w:bCs/>
          <w:color w:val="000000"/>
        </w:rPr>
        <w:t>Agency Estimated Labor Rates (2021$)</w:t>
      </w:r>
    </w:p>
    <w:tbl>
      <w:tblPr>
        <w:tblW w:w="5000" w:type="pct"/>
        <w:tblLook w:val="04A0"/>
      </w:tblPr>
      <w:tblGrid>
        <w:gridCol w:w="2875"/>
        <w:gridCol w:w="1980"/>
        <w:gridCol w:w="2249"/>
        <w:gridCol w:w="1526"/>
      </w:tblGrid>
      <w:tr w14:paraId="64376BB4" w14:textId="77777777" w:rsidTr="0050437F">
        <w:tblPrEx>
          <w:tblW w:w="5000" w:type="pct"/>
          <w:tblLook w:val="04A0"/>
        </w:tblPrEx>
        <w:trPr>
          <w:trHeight w:val="20"/>
          <w:tblHead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23A0" w:rsidRPr="00C123A0" w14:paraId="2AB81B6E" w14:textId="20CAA42A">
            <w:pPr>
              <w:rPr>
                <w:b/>
                <w:bCs/>
                <w:color w:val="000000"/>
                <w:sz w:val="22"/>
                <w:szCs w:val="22"/>
              </w:rPr>
            </w:pPr>
            <w:r w:rsidRPr="00C123A0">
              <w:rPr>
                <w:b/>
                <w:bCs/>
                <w:color w:val="000000"/>
                <w:sz w:val="22"/>
                <w:szCs w:val="22"/>
              </w:rPr>
              <w:t>Federal wage</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rsidR="00C123A0" w:rsidRPr="00C123A0" w14:paraId="740105C7" w14:textId="77777777">
            <w:pPr>
              <w:rPr>
                <w:b/>
                <w:bCs/>
                <w:color w:val="000000"/>
                <w:sz w:val="22"/>
                <w:szCs w:val="22"/>
              </w:rPr>
            </w:pPr>
            <w:r w:rsidRPr="00C123A0">
              <w:rPr>
                <w:b/>
                <w:bCs/>
                <w:color w:val="000000"/>
                <w:sz w:val="22"/>
                <w:szCs w:val="22"/>
              </w:rPr>
              <w:t>Hourly Wage Rate</w:t>
            </w:r>
          </w:p>
        </w:tc>
        <w:tc>
          <w:tcPr>
            <w:tcW w:w="1303" w:type="pct"/>
            <w:tcBorders>
              <w:top w:val="single" w:sz="4" w:space="0" w:color="auto"/>
              <w:left w:val="nil"/>
              <w:bottom w:val="single" w:sz="4" w:space="0" w:color="auto"/>
              <w:right w:val="single" w:sz="4" w:space="0" w:color="auto"/>
            </w:tcBorders>
            <w:shd w:val="clear" w:color="auto" w:fill="auto"/>
            <w:vAlign w:val="center"/>
            <w:hideMark/>
          </w:tcPr>
          <w:p w:rsidR="00C123A0" w:rsidRPr="00C123A0" w14:paraId="664793AF" w14:textId="295374BF">
            <w:pPr>
              <w:rPr>
                <w:b/>
                <w:bCs/>
                <w:color w:val="000000"/>
                <w:sz w:val="22"/>
                <w:szCs w:val="22"/>
              </w:rPr>
            </w:pPr>
            <w:r w:rsidRPr="00C123A0">
              <w:rPr>
                <w:b/>
                <w:bCs/>
                <w:color w:val="000000"/>
                <w:sz w:val="22"/>
                <w:szCs w:val="22"/>
              </w:rPr>
              <w:t>Fully Loaded Wage</w:t>
            </w:r>
            <w:r w:rsidR="008E6DD1">
              <w:rPr>
                <w:b/>
                <w:bCs/>
                <w:color w:val="000000"/>
                <w:sz w:val="22"/>
                <w:szCs w:val="22"/>
              </w:rPr>
              <w:t>*</w:t>
            </w:r>
          </w:p>
        </w:tc>
        <w:tc>
          <w:tcPr>
            <w:tcW w:w="884" w:type="pct"/>
            <w:tcBorders>
              <w:top w:val="single" w:sz="4" w:space="0" w:color="auto"/>
              <w:left w:val="nil"/>
              <w:bottom w:val="single" w:sz="4" w:space="0" w:color="auto"/>
              <w:right w:val="single" w:sz="4" w:space="0" w:color="auto"/>
            </w:tcBorders>
            <w:shd w:val="clear" w:color="auto" w:fill="auto"/>
            <w:vAlign w:val="center"/>
            <w:hideMark/>
          </w:tcPr>
          <w:p w:rsidR="00C123A0" w:rsidRPr="00C123A0" w14:paraId="62F98C18" w14:textId="77777777">
            <w:pPr>
              <w:rPr>
                <w:b/>
                <w:bCs/>
                <w:color w:val="000000"/>
                <w:sz w:val="22"/>
                <w:szCs w:val="22"/>
              </w:rPr>
            </w:pPr>
            <w:r w:rsidRPr="00C123A0">
              <w:rPr>
                <w:b/>
                <w:bCs/>
                <w:color w:val="000000"/>
                <w:sz w:val="22"/>
                <w:szCs w:val="22"/>
              </w:rPr>
              <w:t>GS</w:t>
            </w:r>
          </w:p>
        </w:tc>
      </w:tr>
      <w:tr w14:paraId="6E33E7EB" w14:textId="77777777" w:rsidTr="0050437F">
        <w:tblPrEx>
          <w:tblW w:w="5000" w:type="pct"/>
          <w:tblLook w:val="04A0"/>
        </w:tblPrEx>
        <w:trPr>
          <w:trHeight w:val="20"/>
        </w:trPr>
        <w:tc>
          <w:tcPr>
            <w:tcW w:w="1666" w:type="pct"/>
            <w:tcBorders>
              <w:top w:val="nil"/>
              <w:left w:val="single" w:sz="4" w:space="0" w:color="auto"/>
              <w:bottom w:val="single" w:sz="4" w:space="0" w:color="auto"/>
              <w:right w:val="single" w:sz="4" w:space="0" w:color="auto"/>
            </w:tcBorders>
            <w:shd w:val="clear" w:color="auto" w:fill="auto"/>
            <w:vAlign w:val="center"/>
            <w:hideMark/>
          </w:tcPr>
          <w:p w:rsidR="008E6DD1" w:rsidP="008E6DD1" w14:paraId="4B158A4C" w14:textId="77777777">
            <w:pPr>
              <w:rPr>
                <w:color w:val="000000"/>
                <w:sz w:val="22"/>
                <w:szCs w:val="22"/>
              </w:rPr>
            </w:pPr>
            <w:r>
              <w:rPr>
                <w:color w:val="000000"/>
                <w:sz w:val="22"/>
                <w:szCs w:val="22"/>
              </w:rPr>
              <w:t xml:space="preserve">Reading Room </w:t>
            </w:r>
          </w:p>
        </w:tc>
        <w:tc>
          <w:tcPr>
            <w:tcW w:w="1147" w:type="pct"/>
            <w:tcBorders>
              <w:top w:val="nil"/>
              <w:left w:val="nil"/>
              <w:bottom w:val="single" w:sz="4" w:space="0" w:color="auto"/>
              <w:right w:val="single" w:sz="4" w:space="0" w:color="auto"/>
            </w:tcBorders>
            <w:shd w:val="clear" w:color="auto" w:fill="auto"/>
            <w:vAlign w:val="center"/>
            <w:hideMark/>
          </w:tcPr>
          <w:p w:rsidR="008E6DD1" w:rsidP="008E6DD1" w14:paraId="14675F87" w14:textId="7559ABA8">
            <w:pPr>
              <w:jc w:val="center"/>
              <w:rPr>
                <w:color w:val="000000"/>
                <w:sz w:val="22"/>
                <w:szCs w:val="22"/>
              </w:rPr>
            </w:pPr>
            <w:r>
              <w:rPr>
                <w:color w:val="000000"/>
                <w:sz w:val="22"/>
                <w:szCs w:val="22"/>
              </w:rPr>
              <w:t>$32.65</w:t>
            </w:r>
          </w:p>
        </w:tc>
        <w:tc>
          <w:tcPr>
            <w:tcW w:w="1303" w:type="pct"/>
            <w:tcBorders>
              <w:top w:val="nil"/>
              <w:left w:val="nil"/>
              <w:bottom w:val="single" w:sz="4" w:space="0" w:color="auto"/>
              <w:right w:val="single" w:sz="4" w:space="0" w:color="auto"/>
            </w:tcBorders>
            <w:shd w:val="clear" w:color="auto" w:fill="auto"/>
            <w:vAlign w:val="center"/>
            <w:hideMark/>
          </w:tcPr>
          <w:p w:rsidR="008E6DD1" w:rsidP="008E6DD1" w14:paraId="5CC87052" w14:textId="2B213F76">
            <w:pPr>
              <w:jc w:val="center"/>
              <w:rPr>
                <w:color w:val="000000"/>
                <w:sz w:val="22"/>
                <w:szCs w:val="22"/>
              </w:rPr>
            </w:pPr>
            <w:r>
              <w:rPr>
                <w:color w:val="000000"/>
                <w:sz w:val="22"/>
                <w:szCs w:val="22"/>
              </w:rPr>
              <w:t>$5</w:t>
            </w:r>
            <w:r w:rsidR="003062A4">
              <w:rPr>
                <w:color w:val="000000"/>
                <w:sz w:val="22"/>
                <w:szCs w:val="22"/>
              </w:rPr>
              <w:t>2.24</w:t>
            </w:r>
            <w:r>
              <w:rPr>
                <w:color w:val="000000"/>
                <w:sz w:val="22"/>
                <w:szCs w:val="22"/>
              </w:rPr>
              <w:t xml:space="preserve"> </w:t>
            </w:r>
          </w:p>
        </w:tc>
        <w:tc>
          <w:tcPr>
            <w:tcW w:w="884" w:type="pct"/>
            <w:tcBorders>
              <w:top w:val="nil"/>
              <w:left w:val="nil"/>
              <w:bottom w:val="single" w:sz="4" w:space="0" w:color="auto"/>
              <w:right w:val="single" w:sz="4" w:space="0" w:color="auto"/>
            </w:tcBorders>
            <w:shd w:val="clear" w:color="auto" w:fill="auto"/>
            <w:vAlign w:val="center"/>
            <w:hideMark/>
          </w:tcPr>
          <w:p w:rsidR="008E6DD1" w:rsidP="008E6DD1" w14:paraId="1089CF10" w14:textId="77777777">
            <w:pPr>
              <w:rPr>
                <w:color w:val="000000"/>
                <w:sz w:val="22"/>
                <w:szCs w:val="22"/>
              </w:rPr>
            </w:pPr>
            <w:r>
              <w:rPr>
                <w:color w:val="000000"/>
                <w:sz w:val="22"/>
                <w:szCs w:val="22"/>
              </w:rPr>
              <w:t>GS-9, Step 5</w:t>
            </w:r>
          </w:p>
        </w:tc>
      </w:tr>
      <w:tr w14:paraId="1D64A93B" w14:textId="77777777" w:rsidTr="0050437F">
        <w:tblPrEx>
          <w:tblW w:w="5000" w:type="pct"/>
          <w:tblLook w:val="04A0"/>
        </w:tblPrEx>
        <w:trPr>
          <w:trHeight w:val="20"/>
        </w:trPr>
        <w:tc>
          <w:tcPr>
            <w:tcW w:w="1666" w:type="pct"/>
            <w:tcBorders>
              <w:top w:val="nil"/>
              <w:left w:val="single" w:sz="4" w:space="0" w:color="auto"/>
              <w:bottom w:val="single" w:sz="4" w:space="0" w:color="auto"/>
              <w:right w:val="single" w:sz="4" w:space="0" w:color="auto"/>
            </w:tcBorders>
            <w:shd w:val="clear" w:color="auto" w:fill="auto"/>
            <w:vAlign w:val="center"/>
            <w:hideMark/>
          </w:tcPr>
          <w:p w:rsidR="008E6DD1" w:rsidP="008E6DD1" w14:paraId="56A157F4" w14:textId="77777777">
            <w:pPr>
              <w:rPr>
                <w:color w:val="000000"/>
                <w:sz w:val="22"/>
                <w:szCs w:val="22"/>
              </w:rPr>
            </w:pPr>
            <w:r>
              <w:rPr>
                <w:color w:val="000000"/>
                <w:sz w:val="22"/>
                <w:szCs w:val="22"/>
              </w:rPr>
              <w:t>Vulnerable Zone Indicator System (VZIS) Inquiries</w:t>
            </w:r>
          </w:p>
        </w:tc>
        <w:tc>
          <w:tcPr>
            <w:tcW w:w="1147" w:type="pct"/>
            <w:tcBorders>
              <w:top w:val="nil"/>
              <w:left w:val="nil"/>
              <w:bottom w:val="single" w:sz="4" w:space="0" w:color="auto"/>
              <w:right w:val="single" w:sz="4" w:space="0" w:color="auto"/>
            </w:tcBorders>
            <w:shd w:val="clear" w:color="auto" w:fill="auto"/>
            <w:vAlign w:val="center"/>
            <w:hideMark/>
          </w:tcPr>
          <w:p w:rsidR="008E6DD1" w:rsidP="008E6DD1" w14:paraId="06B80961" w14:textId="62917817">
            <w:pPr>
              <w:jc w:val="center"/>
              <w:rPr>
                <w:color w:val="000000"/>
                <w:sz w:val="22"/>
                <w:szCs w:val="22"/>
              </w:rPr>
            </w:pPr>
            <w:r>
              <w:rPr>
                <w:color w:val="000000"/>
                <w:sz w:val="22"/>
                <w:szCs w:val="22"/>
              </w:rPr>
              <w:t>$56.31</w:t>
            </w:r>
          </w:p>
        </w:tc>
        <w:tc>
          <w:tcPr>
            <w:tcW w:w="1303" w:type="pct"/>
            <w:tcBorders>
              <w:top w:val="nil"/>
              <w:left w:val="nil"/>
              <w:bottom w:val="single" w:sz="4" w:space="0" w:color="auto"/>
              <w:right w:val="single" w:sz="4" w:space="0" w:color="auto"/>
            </w:tcBorders>
            <w:shd w:val="clear" w:color="auto" w:fill="auto"/>
            <w:vAlign w:val="center"/>
            <w:hideMark/>
          </w:tcPr>
          <w:p w:rsidR="008E6DD1" w:rsidP="008E6DD1" w14:paraId="5D4C8AA1" w14:textId="6BF08B1F">
            <w:pPr>
              <w:jc w:val="center"/>
              <w:rPr>
                <w:color w:val="000000"/>
                <w:sz w:val="22"/>
                <w:szCs w:val="22"/>
              </w:rPr>
            </w:pPr>
            <w:r>
              <w:rPr>
                <w:color w:val="000000"/>
                <w:sz w:val="22"/>
                <w:szCs w:val="22"/>
              </w:rPr>
              <w:t>$9</w:t>
            </w:r>
            <w:r w:rsidR="00D3283B">
              <w:rPr>
                <w:color w:val="000000"/>
                <w:sz w:val="22"/>
                <w:szCs w:val="22"/>
              </w:rPr>
              <w:t>0.10</w:t>
            </w:r>
            <w:r>
              <w:rPr>
                <w:color w:val="000000"/>
                <w:sz w:val="22"/>
                <w:szCs w:val="22"/>
              </w:rPr>
              <w:t xml:space="preserve"> </w:t>
            </w:r>
          </w:p>
        </w:tc>
        <w:tc>
          <w:tcPr>
            <w:tcW w:w="884" w:type="pct"/>
            <w:tcBorders>
              <w:top w:val="nil"/>
              <w:left w:val="nil"/>
              <w:bottom w:val="single" w:sz="4" w:space="0" w:color="auto"/>
              <w:right w:val="single" w:sz="4" w:space="0" w:color="auto"/>
            </w:tcBorders>
            <w:shd w:val="clear" w:color="auto" w:fill="auto"/>
            <w:vAlign w:val="center"/>
            <w:hideMark/>
          </w:tcPr>
          <w:p w:rsidR="008E6DD1" w:rsidP="008E6DD1" w14:paraId="5C6F2BC3" w14:textId="77777777">
            <w:pPr>
              <w:rPr>
                <w:color w:val="000000"/>
                <w:sz w:val="22"/>
                <w:szCs w:val="22"/>
              </w:rPr>
            </w:pPr>
            <w:r>
              <w:rPr>
                <w:color w:val="000000"/>
                <w:sz w:val="22"/>
                <w:szCs w:val="22"/>
              </w:rPr>
              <w:t>GS-13, Step 5</w:t>
            </w:r>
          </w:p>
        </w:tc>
      </w:tr>
      <w:tr w14:paraId="0894800D" w14:textId="77777777" w:rsidTr="00C123A0">
        <w:tblPrEx>
          <w:tblW w:w="5000" w:type="pct"/>
          <w:tblLook w:val="04A0"/>
        </w:tblPrEx>
        <w:trPr>
          <w:trHeight w:val="20"/>
        </w:trPr>
        <w:tc>
          <w:tcPr>
            <w:tcW w:w="5000" w:type="pct"/>
            <w:gridSpan w:val="4"/>
            <w:tcBorders>
              <w:top w:val="nil"/>
              <w:left w:val="nil"/>
              <w:bottom w:val="nil"/>
              <w:right w:val="nil"/>
            </w:tcBorders>
            <w:shd w:val="clear" w:color="auto" w:fill="auto"/>
            <w:vAlign w:val="center"/>
            <w:hideMark/>
          </w:tcPr>
          <w:p w:rsidR="008E6DD1" w14:paraId="3B98A1CD" w14:textId="7C94CAF4">
            <w:pPr>
              <w:rPr>
                <w:color w:val="000000"/>
                <w:sz w:val="22"/>
                <w:szCs w:val="22"/>
              </w:rPr>
            </w:pPr>
            <w:r w:rsidRPr="00950A98">
              <w:rPr>
                <w:color w:val="000000"/>
                <w:sz w:val="20"/>
                <w:szCs w:val="20"/>
              </w:rPr>
              <w:t xml:space="preserve">* </w:t>
            </w:r>
            <w:r w:rsidRPr="00950A98" w:rsidR="00D3283B">
              <w:rPr>
                <w:color w:val="000000"/>
                <w:sz w:val="20"/>
                <w:szCs w:val="20"/>
              </w:rPr>
              <w:t>Based on the standard government overhead factor of 1.6</w:t>
            </w:r>
            <w:r w:rsidR="00676FF4">
              <w:rPr>
                <w:color w:val="000000"/>
                <w:sz w:val="22"/>
                <w:szCs w:val="22"/>
              </w:rPr>
              <w:t>.</w:t>
            </w:r>
          </w:p>
          <w:p w:rsidR="00C123A0" w:rsidRPr="00950A98" w14:paraId="606E753D" w14:textId="1AD3B129">
            <w:pPr>
              <w:rPr>
                <w:sz w:val="20"/>
                <w:szCs w:val="20"/>
              </w:rPr>
            </w:pPr>
            <w:r w:rsidRPr="00950A98">
              <w:rPr>
                <w:color w:val="000000"/>
                <w:sz w:val="20"/>
                <w:szCs w:val="20"/>
              </w:rPr>
              <w:t>Sources: OPM (2021)</w:t>
            </w:r>
          </w:p>
        </w:tc>
      </w:tr>
    </w:tbl>
    <w:p w:rsidR="00C123A0" w:rsidRPr="00383746" w:rsidP="00673B9C" w14:paraId="2E8B12F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0516A3" w:rsidRPr="00383746" w:rsidP="000516A3" w14:paraId="449829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rPr>
      </w:pPr>
      <w:r w:rsidRPr="00383746">
        <w:rPr>
          <w:i/>
        </w:rPr>
        <w:t>Reading Rooms</w:t>
      </w:r>
    </w:p>
    <w:p w:rsidR="000516A3" w:rsidRPr="00383746" w:rsidP="000516A3" w14:paraId="1C85CD2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0516A3" w:rsidRPr="00383746" w:rsidP="000516A3" w14:paraId="541CA31E" w14:textId="31DF6F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bookmarkStart w:id="3" w:name="_Hlk530404173"/>
      <w:r w:rsidRPr="00383746">
        <w:t xml:space="preserve">EPA and DOJ currently operate 55 reading rooms located at </w:t>
      </w:r>
      <w:r w:rsidR="009B205B">
        <w:t>F</w:t>
      </w:r>
      <w:r w:rsidRPr="00383746">
        <w:t>ederal buildings. The EPA Headquarters reading room is operated on a walk-in basis and the others are by appointment only.</w:t>
      </w:r>
      <w:r w:rsidRPr="00383746" w:rsidR="00BB7421">
        <w:t xml:space="preserve"> </w:t>
      </w:r>
    </w:p>
    <w:bookmarkEnd w:id="3"/>
    <w:p w:rsidR="00570ACF" w:rsidP="000516A3" w14:paraId="74C08A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0516A3" w:rsidRPr="00383746" w:rsidP="000516A3" w14:paraId="3305CDD5" w14:textId="7ABDB8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 xml:space="preserve">Reading room staff activities </w:t>
      </w:r>
      <w:r w:rsidR="00A77CCA">
        <w:t>include</w:t>
      </w:r>
      <w:r w:rsidRPr="00383746">
        <w:t xml:space="preserve"> tak</w:t>
      </w:r>
      <w:r w:rsidR="00A77CCA">
        <w:t>ing</w:t>
      </w:r>
      <w:r w:rsidRPr="00383746">
        <w:t xml:space="preserve"> phone calls from the public, schedul</w:t>
      </w:r>
      <w:r w:rsidR="009B205B">
        <w:t>ing</w:t>
      </w:r>
      <w:r w:rsidRPr="00383746">
        <w:t xml:space="preserve"> appointments for use of the reading rooms, print</w:t>
      </w:r>
      <w:r w:rsidR="009B205B">
        <w:t>ing</w:t>
      </w:r>
      <w:r w:rsidRPr="00383746">
        <w:t xml:space="preserve"> the requested RMPs, review</w:t>
      </w:r>
      <w:r w:rsidR="009B205B">
        <w:t>ing</w:t>
      </w:r>
      <w:r w:rsidRPr="00383746">
        <w:t xml:space="preserve"> the identification presented, monitor</w:t>
      </w:r>
      <w:r w:rsidR="009B205B">
        <w:t>ing</w:t>
      </w:r>
      <w:r w:rsidRPr="00383746">
        <w:t xml:space="preserve"> the use of the RMPs to ensure that they are not mechanically copied, and shred</w:t>
      </w:r>
      <w:r w:rsidR="009B205B">
        <w:t>ding</w:t>
      </w:r>
      <w:r w:rsidRPr="00383746">
        <w:t xml:space="preserve"> them when the user is finished. Federal reading room staff are assumed to spend two hours performing these activities for each reading room visit by a member of the public. Reading room staff will also spend one hour </w:t>
      </w:r>
      <w:r w:rsidR="009B205B">
        <w:t xml:space="preserve">in training </w:t>
      </w:r>
      <w:r w:rsidRPr="00383746">
        <w:t>to handle OCA information securely. However, reading room usage has declined significantly with the public availability of RMP data through</w:t>
      </w:r>
      <w:r w:rsidR="003C3DD6">
        <w:t xml:space="preserve"> www.</w:t>
      </w:r>
      <w:r w:rsidRPr="00383746">
        <w:t>rtk.net.</w:t>
      </w:r>
    </w:p>
    <w:p w:rsidR="000516A3" w:rsidRPr="00383746" w:rsidP="000516A3" w14:paraId="00B630E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0516A3" w:rsidRPr="00383746" w:rsidP="000516A3" w14:paraId="687E1309" w14:textId="3B717A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F53FC5">
        <w:t xml:space="preserve">EPA Headquarters and EPA Region reading rooms logged a total of </w:t>
      </w:r>
      <w:r w:rsidRPr="00F53FC5" w:rsidR="00F53FC5">
        <w:t>10</w:t>
      </w:r>
      <w:r w:rsidRPr="00F53FC5" w:rsidR="00696A90">
        <w:t xml:space="preserve"> v</w:t>
      </w:r>
      <w:r w:rsidRPr="00F53FC5">
        <w:t>isits per year during the previous ICR renewal period</w:t>
      </w:r>
      <w:r w:rsidRPr="00F53FC5" w:rsidR="00696A90">
        <w:t>.</w:t>
      </w:r>
      <w:r w:rsidR="00696A90">
        <w:t xml:space="preserve"> </w:t>
      </w:r>
      <w:r w:rsidRPr="007C59EE">
        <w:t>EPA is maintaining that estimate for this ICR renewal period. Therefore, EPA staff will spend t</w:t>
      </w:r>
      <w:r w:rsidR="00795F27">
        <w:t>wo</w:t>
      </w:r>
      <w:r w:rsidRPr="007C59EE">
        <w:t xml:space="preserve"> hours per reading room visit, or </w:t>
      </w:r>
      <w:r w:rsidR="00F53FC5">
        <w:t xml:space="preserve">20 </w:t>
      </w:r>
      <w:r w:rsidRPr="007C59EE">
        <w:t>hours annually (</w:t>
      </w:r>
      <w:r w:rsidR="00F53FC5">
        <w:t>6</w:t>
      </w:r>
      <w:r w:rsidR="00795F27">
        <w:t>0</w:t>
      </w:r>
      <w:r w:rsidRPr="007C59EE">
        <w:t xml:space="preserve"> hours for three years), at a cost of $</w:t>
      </w:r>
      <w:r w:rsidR="00AE3FFF">
        <w:t>1,045</w:t>
      </w:r>
      <w:r w:rsidR="0026524B">
        <w:t xml:space="preserve"> </w:t>
      </w:r>
      <w:r w:rsidRPr="007C59EE">
        <w:t>an</w:t>
      </w:r>
      <w:r w:rsidR="00197B59">
        <w:t>n</w:t>
      </w:r>
      <w:r w:rsidRPr="007C59EE">
        <w:t>ually ($</w:t>
      </w:r>
      <w:r w:rsidR="00AE3FFF">
        <w:t>3,1</w:t>
      </w:r>
      <w:r w:rsidR="004F69D1">
        <w:t>3</w:t>
      </w:r>
      <w:r w:rsidR="00AE3FFF">
        <w:t>4</w:t>
      </w:r>
      <w:r w:rsidRPr="007C59EE">
        <w:t xml:space="preserve"> for three years).</w:t>
      </w:r>
      <w:r w:rsidR="00795F27">
        <w:t xml:space="preserve"> In addition, the cost for one hour of training for 55 staff is $2,873 annually ($8,620 for three years).</w:t>
      </w:r>
      <w:r w:rsidRPr="007C59EE">
        <w:t xml:space="preserve"> </w:t>
      </w:r>
      <w:r w:rsidRPr="007C59EE" w:rsidR="008922E8">
        <w:t xml:space="preserve">Operations prior and during the </w:t>
      </w:r>
      <w:r w:rsidRPr="007C59EE" w:rsidR="00604A1A">
        <w:t>COVID pandemic remain the same for ICR estimates.</w:t>
      </w:r>
      <w:r w:rsidRPr="00383746" w:rsidR="00604A1A">
        <w:t xml:space="preserve"> </w:t>
      </w:r>
    </w:p>
    <w:p w:rsidR="000516A3" w:rsidRPr="00383746" w:rsidP="000516A3" w14:paraId="47AD1E4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0516A3" w:rsidRPr="00383746" w:rsidP="000516A3" w14:paraId="57707A10" w14:textId="0EF4FC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rPr>
      </w:pPr>
      <w:r w:rsidRPr="00383746">
        <w:rPr>
          <w:i/>
        </w:rPr>
        <w:t xml:space="preserve">VZIS </w:t>
      </w:r>
      <w:r w:rsidRPr="00080EE7" w:rsidR="00080EE7">
        <w:rPr>
          <w:i/>
        </w:rPr>
        <w:t>Inquiries</w:t>
      </w:r>
      <w:r w:rsidR="00080EE7">
        <w:rPr>
          <w:i/>
        </w:rPr>
        <w:t xml:space="preserve"> </w:t>
      </w:r>
    </w:p>
    <w:p w:rsidR="000516A3" w:rsidRPr="00383746" w:rsidP="000516A3" w14:paraId="1107AEF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u w:val="single"/>
        </w:rPr>
      </w:pPr>
    </w:p>
    <w:p w:rsidR="002E4780" w:rsidP="00874EB6" w14:paraId="26555642" w14:textId="2D8106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A76BDF">
        <w:t xml:space="preserve">EPA </w:t>
      </w:r>
      <w:r w:rsidR="0029194D">
        <w:t>also</w:t>
      </w:r>
      <w:r w:rsidRPr="00A76BDF">
        <w:t xml:space="preserve"> operate</w:t>
      </w:r>
      <w:r w:rsidR="0029194D">
        <w:t>s</w:t>
      </w:r>
      <w:r w:rsidRPr="00A76BDF">
        <w:t xml:space="preserve"> the VZIS system, prepare</w:t>
      </w:r>
      <w:r w:rsidR="0029194D">
        <w:t>s</w:t>
      </w:r>
      <w:r w:rsidRPr="00A76BDF">
        <w:t xml:space="preserve"> and mail</w:t>
      </w:r>
      <w:r w:rsidR="0029194D">
        <w:t>s</w:t>
      </w:r>
      <w:r w:rsidRPr="00A76BDF">
        <w:t xml:space="preserve"> data CDs, create</w:t>
      </w:r>
      <w:r w:rsidR="0029194D">
        <w:t>s</w:t>
      </w:r>
      <w:r w:rsidRPr="00A76BDF">
        <w:t xml:space="preserve"> CDX accounts, and respond</w:t>
      </w:r>
      <w:r w:rsidR="0029194D">
        <w:t>s</w:t>
      </w:r>
      <w:r w:rsidRPr="00A76BDF">
        <w:t xml:space="preserve"> to queries</w:t>
      </w:r>
      <w:r w:rsidRPr="00080EE7" w:rsidR="00080EE7">
        <w:t xml:space="preserve"> </w:t>
      </w:r>
      <w:r w:rsidRPr="00383746" w:rsidR="00080EE7">
        <w:t>through the RMP Reporting Center</w:t>
      </w:r>
      <w:r w:rsidRPr="00A76BDF">
        <w:t xml:space="preserve">. EPA staff are estimated to spend 15 minutes responding to each VZIS query and an equal amount of time answering follow up calls for VZIS queries. </w:t>
      </w:r>
      <w:r w:rsidR="00984BC2">
        <w:t>Thus, EPA estimates that EPA staff will spend 0.5 hours per VZIS i</w:t>
      </w:r>
      <w:r w:rsidRPr="002E4780" w:rsidR="00984BC2">
        <w:t>nquir</w:t>
      </w:r>
      <w:r w:rsidR="00984BC2">
        <w:t xml:space="preserve">y, or </w:t>
      </w:r>
      <w:r w:rsidRPr="00984BC2" w:rsidR="00984BC2">
        <w:t>$14,</w:t>
      </w:r>
      <w:r w:rsidR="00384205">
        <w:t>50</w:t>
      </w:r>
      <w:r w:rsidR="00312EC9">
        <w:t>5</w:t>
      </w:r>
      <w:r w:rsidR="00984BC2">
        <w:t xml:space="preserve"> per year</w:t>
      </w:r>
      <w:r w:rsidR="00820E99">
        <w:t xml:space="preserve"> ($</w:t>
      </w:r>
      <w:r w:rsidR="00C34128">
        <w:t>43,516 for 3 years)</w:t>
      </w:r>
      <w:r w:rsidR="00984BC2">
        <w:t xml:space="preserve"> (322 public inquiries per year x 0.5 hours x $9</w:t>
      </w:r>
      <w:r w:rsidR="00384205">
        <w:t>0.10</w:t>
      </w:r>
      <w:r w:rsidR="00984BC2">
        <w:t>).</w:t>
      </w:r>
    </w:p>
    <w:p w:rsidR="000516A3" w:rsidRPr="00383746" w:rsidP="000516A3" w14:paraId="2772EF3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0516A3" w:rsidRPr="00383746" w:rsidP="000516A3" w14:paraId="7F510B2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rPr>
      </w:pPr>
      <w:r w:rsidRPr="00383746">
        <w:rPr>
          <w:i/>
        </w:rPr>
        <w:t>RMP Reporting Center Costs for OCA Data</w:t>
      </w:r>
    </w:p>
    <w:p w:rsidR="000516A3" w:rsidRPr="00383746" w:rsidP="000516A3" w14:paraId="63255A5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0516A3" w:rsidRPr="00383746" w:rsidP="00C3320D" w14:paraId="2B06A12E" w14:textId="2B9CF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 xml:space="preserve">EPA’s RMP Reporting Center maintains OCA data, processes OCA data requests, creates OCA databases, burns CDs and generates CD labels and performs quality control activities. </w:t>
      </w:r>
      <w:r w:rsidR="00873DC9">
        <w:t>RMP Reporting</w:t>
      </w:r>
      <w:r w:rsidR="003E4F3C">
        <w:t xml:space="preserve"> Center</w:t>
      </w:r>
      <w:r w:rsidRPr="009951C2" w:rsidR="00C3320D">
        <w:t xml:space="preserve"> staff require approximately 1 hour to prepare and mail each data CD and 0.5 hours to establish each CDX account</w:t>
      </w:r>
      <w:r w:rsidRPr="002D47AF" w:rsidR="00C3320D">
        <w:t xml:space="preserve">. </w:t>
      </w:r>
      <w:r w:rsidRPr="004E4643">
        <w:t>The RMP Reporting Center spends $</w:t>
      </w:r>
      <w:r w:rsidRPr="004E4643" w:rsidR="00384205">
        <w:t>10,8</w:t>
      </w:r>
      <w:r w:rsidRPr="004E4643" w:rsidR="00F32811">
        <w:t>4</w:t>
      </w:r>
      <w:r w:rsidRPr="004E4643" w:rsidR="00384205">
        <w:t>2</w:t>
      </w:r>
      <w:r w:rsidRPr="004E4643">
        <w:t xml:space="preserve"> per year ($</w:t>
      </w:r>
      <w:r w:rsidRPr="004E4643" w:rsidR="00F32811">
        <w:t>32,525</w:t>
      </w:r>
      <w:r w:rsidRPr="004E4643">
        <w:t xml:space="preserve"> for three years) on these activities.</w:t>
      </w:r>
    </w:p>
    <w:p w:rsidR="000516A3" w:rsidRPr="00383746" w:rsidP="000516A3" w14:paraId="38622DB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0516A3" w:rsidRPr="008545F2" w:rsidP="0050437F" w14:paraId="297F99D2" w14:textId="453D92F5">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u w:val="single"/>
        </w:rPr>
      </w:pPr>
      <w:r w:rsidRPr="008545F2">
        <w:rPr>
          <w:b/>
          <w:bCs/>
          <w:u w:val="single"/>
        </w:rPr>
        <w:t xml:space="preserve">Agency </w:t>
      </w:r>
      <w:r w:rsidR="0029194D">
        <w:rPr>
          <w:b/>
          <w:bCs/>
          <w:u w:val="single"/>
        </w:rPr>
        <w:t xml:space="preserve">Capital and </w:t>
      </w:r>
      <w:r w:rsidRPr="008545F2">
        <w:rPr>
          <w:b/>
          <w:bCs/>
          <w:u w:val="single"/>
        </w:rPr>
        <w:t>O&amp;M Costs</w:t>
      </w:r>
    </w:p>
    <w:p w:rsidR="000516A3" w:rsidRPr="00383746" w:rsidP="000516A3" w14:paraId="1F3CE1C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9F0A94" w:rsidRPr="00383746" w:rsidP="009F0A94" w14:paraId="2A89CDF5" w14:textId="721CC1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t>In previous ICRs, reading rooms were assumed to have a computer, monitor, printer, and shredder. The cost for this equipment was calculated in previous ICRs and was assumed to be depreciated over five years. This equipment is standard office equipment that is now expected to be available in all government offices. Therefore, in this ICR, EPA did not calculate the costs for this equipment</w:t>
      </w:r>
      <w:r w:rsidR="00746B32">
        <w:t xml:space="preserve"> and</w:t>
      </w:r>
      <w:r w:rsidR="0029194D">
        <w:t xml:space="preserve"> this ICR does not include capital costs.</w:t>
      </w:r>
    </w:p>
    <w:p w:rsidR="009F0A94" w:rsidP="000516A3" w14:paraId="5C6E078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0516A3" w:rsidRPr="00383746" w:rsidP="000516A3" w14:paraId="7DAF97D7" w14:textId="111DEF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color w:val="FF0000"/>
        </w:rPr>
      </w:pPr>
      <w:r w:rsidRPr="00383746">
        <w:t>The RMP Reporting Center spends $400 to purchase CDs and $400</w:t>
      </w:r>
      <w:r w:rsidR="003D37EA">
        <w:t xml:space="preserve"> on postage</w:t>
      </w:r>
      <w:r w:rsidRPr="00383746">
        <w:t xml:space="preserve"> to mail CDs with OCA data each year. The total cost to purchase and mail data CDs therefore is estimated to be $800 annually ($2,400 for three years).</w:t>
      </w:r>
    </w:p>
    <w:p w:rsidR="000516A3" w:rsidRPr="00383746" w:rsidP="000516A3" w14:paraId="546104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color w:val="FF0000"/>
          <w:highlight w:val="yellow"/>
        </w:rPr>
      </w:pPr>
    </w:p>
    <w:p w:rsidR="000516A3" w:rsidRPr="004F4FB5" w:rsidP="000516A3" w14:paraId="28F84900" w14:textId="067D604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rsidRPr="00383746">
        <w:tab/>
        <w:t xml:space="preserve">In addition, EPA reading rooms (Headquarters and EPA Regions) print paper copies of RMPs. Using a </w:t>
      </w:r>
      <w:r w:rsidRPr="001A6E7B">
        <w:t xml:space="preserve">cost </w:t>
      </w:r>
      <w:r w:rsidRPr="008545F2">
        <w:t>of $7.</w:t>
      </w:r>
      <w:r w:rsidR="008634AC">
        <w:t>50</w:t>
      </w:r>
      <w:r w:rsidRPr="003D5B1C">
        <w:t xml:space="preserve"> for a ream of recycled copy paper and assuming each person visiting a reading room reviews 10 RMPs </w:t>
      </w:r>
      <w:r w:rsidRPr="008545F2">
        <w:t>of 20 pages each, the paper cost per visit is $</w:t>
      </w:r>
      <w:r w:rsidR="008634AC">
        <w:t>3</w:t>
      </w:r>
      <w:r w:rsidRPr="005E786A">
        <w:t>.</w:t>
      </w:r>
      <w:r w:rsidR="008634AC">
        <w:t>0</w:t>
      </w:r>
      <w:r w:rsidRPr="005E786A">
        <w:t>0.</w:t>
      </w:r>
      <w:r>
        <w:rPr>
          <w:rStyle w:val="FootnoteReference"/>
          <w:vertAlign w:val="superscript"/>
        </w:rPr>
        <w:footnoteReference w:id="8"/>
      </w:r>
      <w:r w:rsidRPr="008545F2">
        <w:t xml:space="preserve"> Assuming </w:t>
      </w:r>
      <w:r w:rsidR="0071075D">
        <w:t>10</w:t>
      </w:r>
      <w:r w:rsidRPr="008545F2" w:rsidR="00F21D24">
        <w:t xml:space="preserve"> </w:t>
      </w:r>
      <w:r w:rsidRPr="008545F2">
        <w:t xml:space="preserve">visits to EPA </w:t>
      </w:r>
      <w:r w:rsidRPr="008545F2" w:rsidR="00F21D24">
        <w:t>F</w:t>
      </w:r>
      <w:r w:rsidRPr="008545F2">
        <w:t>ederal reading rooms per year (</w:t>
      </w:r>
      <w:r w:rsidR="0071075D">
        <w:t xml:space="preserve">30 </w:t>
      </w:r>
      <w:r w:rsidRPr="008545F2">
        <w:t>visits for three years), the paper cost is $</w:t>
      </w:r>
      <w:r w:rsidR="00060E44">
        <w:t>30</w:t>
      </w:r>
      <w:r w:rsidRPr="008545F2" w:rsidR="001815EE">
        <w:t xml:space="preserve"> </w:t>
      </w:r>
      <w:r w:rsidRPr="008545F2">
        <w:t>annually ($</w:t>
      </w:r>
      <w:r w:rsidR="00060E44">
        <w:t>90</w:t>
      </w:r>
      <w:r w:rsidRPr="005E786A">
        <w:t xml:space="preserve"> for three years).</w:t>
      </w:r>
    </w:p>
    <w:p w:rsidR="000516A3" w:rsidRPr="004F4FB5" w:rsidP="000516A3" w14:paraId="58154C2E" w14:textId="77777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0516A3" w:rsidRPr="004F4FB5" w:rsidP="000516A3" w14:paraId="44186FFB" w14:textId="2AC5025E">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rsidRPr="004F4FB5">
        <w:tab/>
        <w:t xml:space="preserve">The total O&amp;M cost for the </w:t>
      </w:r>
      <w:r w:rsidR="00673D19">
        <w:t>F</w:t>
      </w:r>
      <w:r w:rsidRPr="004F4FB5">
        <w:t xml:space="preserve">ederal government, for </w:t>
      </w:r>
      <w:r w:rsidR="006C5A3A">
        <w:t xml:space="preserve">printing RMPs for requestors visiting the </w:t>
      </w:r>
      <w:r w:rsidRPr="004F4FB5">
        <w:t>reading room</w:t>
      </w:r>
      <w:r w:rsidR="006C5A3A">
        <w:t>s</w:t>
      </w:r>
      <w:r w:rsidRPr="004F4FB5">
        <w:t xml:space="preserve"> and </w:t>
      </w:r>
      <w:r w:rsidR="006C5A3A">
        <w:t xml:space="preserve">for the </w:t>
      </w:r>
      <w:r w:rsidRPr="004F4FB5">
        <w:t>CDs</w:t>
      </w:r>
      <w:r w:rsidR="00491C59">
        <w:t>,</w:t>
      </w:r>
      <w:r w:rsidRPr="004F4FB5">
        <w:t xml:space="preserve"> is estimated </w:t>
      </w:r>
      <w:r w:rsidRPr="00874EB6">
        <w:t>at $</w:t>
      </w:r>
      <w:r w:rsidR="008F308E">
        <w:t>830</w:t>
      </w:r>
      <w:r w:rsidRPr="00874EB6" w:rsidR="00F44DBC">
        <w:t xml:space="preserve"> </w:t>
      </w:r>
      <w:r w:rsidRPr="00874EB6">
        <w:t>annually</w:t>
      </w:r>
      <w:r w:rsidRPr="004F4FB5">
        <w:t xml:space="preserve"> ($</w:t>
      </w:r>
      <w:r w:rsidR="008F308E">
        <w:t>2,49</w:t>
      </w:r>
      <w:r w:rsidR="00F44DBC">
        <w:t>0</w:t>
      </w:r>
      <w:r w:rsidRPr="004F4FB5">
        <w:t xml:space="preserve"> for three years).</w:t>
      </w:r>
    </w:p>
    <w:p w:rsidR="000516A3" w:rsidRPr="004F4FB5" w:rsidP="000516A3" w14:paraId="788CBFE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0516A3" w14:paraId="792A367A" w14:textId="447E2E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8545F2">
        <w:t xml:space="preserve">The combined annual labor and O&amp;M cost to the </w:t>
      </w:r>
      <w:r w:rsidRPr="008545F2" w:rsidR="002E02CD">
        <w:t>F</w:t>
      </w:r>
      <w:r w:rsidRPr="008545F2">
        <w:t xml:space="preserve">ederal government is thus estimated to </w:t>
      </w:r>
      <w:r w:rsidR="00F21B39">
        <w:t xml:space="preserve">be </w:t>
      </w:r>
      <w:r w:rsidRPr="00874EB6" w:rsidR="0050437F">
        <w:t>$</w:t>
      </w:r>
      <w:r w:rsidR="003D37EA">
        <w:t>30,095</w:t>
      </w:r>
      <w:r w:rsidR="00DF5C64">
        <w:t xml:space="preserve"> </w:t>
      </w:r>
      <w:r w:rsidRPr="005E786A">
        <w:t xml:space="preserve">annually </w:t>
      </w:r>
      <w:r w:rsidR="008545F2">
        <w:t>(</w:t>
      </w:r>
      <w:r w:rsidRPr="00874EB6" w:rsidR="0050437F">
        <w:t>$</w:t>
      </w:r>
      <w:r w:rsidR="003D37EA">
        <w:t>90,285</w:t>
      </w:r>
      <w:r w:rsidR="00DF5C64">
        <w:t xml:space="preserve"> </w:t>
      </w:r>
      <w:r w:rsidRPr="005E786A">
        <w:t>for three years)</w:t>
      </w:r>
      <w:r w:rsidR="00DF5C64">
        <w:t xml:space="preserve">. </w:t>
      </w:r>
      <w:r w:rsidRPr="00874EB6" w:rsidR="00F44DBC">
        <w:t>See</w:t>
      </w:r>
      <w:r w:rsidR="00F44DBC">
        <w:t xml:space="preserve"> Exhibit 10</w:t>
      </w:r>
      <w:r w:rsidR="00373154">
        <w:t>)</w:t>
      </w:r>
      <w:r w:rsidR="00F44DBC">
        <w:t>.</w:t>
      </w:r>
    </w:p>
    <w:p w:rsidR="005C78AB" w14:paraId="5F0E62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50437F" w:rsidP="0050437F" w14:paraId="6F269B06" w14:textId="414A2A2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color w:val="000000"/>
        </w:rPr>
      </w:pPr>
      <w:r>
        <w:rPr>
          <w:b/>
          <w:bCs/>
          <w:color w:val="000000"/>
        </w:rPr>
        <w:t>E</w:t>
      </w:r>
      <w:r>
        <w:rPr>
          <w:b/>
          <w:bCs/>
          <w:color w:val="000000"/>
        </w:rPr>
        <w:t>xhibit 10</w:t>
      </w:r>
    </w:p>
    <w:p w:rsidR="00F44DBC" w:rsidP="0050437F" w14:paraId="44364543" w14:textId="20FF657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rPr>
          <w:b/>
          <w:bCs/>
          <w:color w:val="000000"/>
        </w:rPr>
        <w:t>Agency Labor and O&amp;M Costs</w:t>
      </w:r>
      <w:r w:rsidR="00297DB4">
        <w:rPr>
          <w:b/>
          <w:bCs/>
          <w:color w:val="000000"/>
        </w:rPr>
        <w:t>*</w:t>
      </w:r>
    </w:p>
    <w:tbl>
      <w:tblPr>
        <w:tblW w:w="5000" w:type="pct"/>
        <w:tblLook w:val="04A0"/>
      </w:tblPr>
      <w:tblGrid>
        <w:gridCol w:w="4062"/>
        <w:gridCol w:w="803"/>
        <w:gridCol w:w="1426"/>
        <w:gridCol w:w="803"/>
        <w:gridCol w:w="1536"/>
      </w:tblGrid>
      <w:tr w14:paraId="65F30AE2" w14:textId="77777777" w:rsidTr="003202D4">
        <w:tblPrEx>
          <w:tblW w:w="5000" w:type="pct"/>
          <w:tblLook w:val="04A0"/>
        </w:tblPrEx>
        <w:trPr>
          <w:trHeight w:val="20"/>
        </w:trPr>
        <w:tc>
          <w:tcPr>
            <w:tcW w:w="2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437F" w14:paraId="05D29BB0" w14:textId="77777777">
            <w:pPr>
              <w:jc w:val="center"/>
              <w:rPr>
                <w:color w:val="000000"/>
                <w:sz w:val="22"/>
                <w:szCs w:val="22"/>
              </w:rPr>
            </w:pPr>
            <w:r>
              <w:rPr>
                <w:color w:val="000000"/>
                <w:sz w:val="22"/>
                <w:szCs w:val="22"/>
              </w:rPr>
              <w:t> </w:t>
            </w:r>
          </w:p>
        </w:tc>
        <w:tc>
          <w:tcPr>
            <w:tcW w:w="1291" w:type="pct"/>
            <w:gridSpan w:val="2"/>
            <w:tcBorders>
              <w:top w:val="single" w:sz="4" w:space="0" w:color="auto"/>
              <w:left w:val="nil"/>
              <w:bottom w:val="single" w:sz="4" w:space="0" w:color="auto"/>
              <w:right w:val="single" w:sz="4" w:space="0" w:color="auto"/>
            </w:tcBorders>
            <w:shd w:val="clear" w:color="auto" w:fill="auto"/>
            <w:vAlign w:val="center"/>
            <w:hideMark/>
          </w:tcPr>
          <w:p w:rsidR="0050437F" w14:paraId="7BAB73CB" w14:textId="77777777">
            <w:pPr>
              <w:jc w:val="center"/>
              <w:rPr>
                <w:b/>
                <w:bCs/>
                <w:color w:val="000000"/>
                <w:sz w:val="22"/>
                <w:szCs w:val="22"/>
              </w:rPr>
            </w:pPr>
            <w:r>
              <w:rPr>
                <w:b/>
                <w:bCs/>
                <w:color w:val="000000"/>
                <w:sz w:val="22"/>
                <w:szCs w:val="22"/>
              </w:rPr>
              <w:t>Annual</w:t>
            </w:r>
          </w:p>
        </w:tc>
        <w:tc>
          <w:tcPr>
            <w:tcW w:w="1355" w:type="pct"/>
            <w:gridSpan w:val="2"/>
            <w:tcBorders>
              <w:top w:val="single" w:sz="4" w:space="0" w:color="auto"/>
              <w:left w:val="nil"/>
              <w:bottom w:val="single" w:sz="4" w:space="0" w:color="auto"/>
              <w:right w:val="single" w:sz="4" w:space="0" w:color="auto"/>
            </w:tcBorders>
            <w:shd w:val="clear" w:color="auto" w:fill="auto"/>
            <w:vAlign w:val="center"/>
            <w:hideMark/>
          </w:tcPr>
          <w:p w:rsidR="0050437F" w14:paraId="7B86302C" w14:textId="77777777">
            <w:pPr>
              <w:jc w:val="center"/>
              <w:rPr>
                <w:b/>
                <w:bCs/>
                <w:color w:val="000000"/>
                <w:sz w:val="22"/>
                <w:szCs w:val="22"/>
              </w:rPr>
            </w:pPr>
            <w:r>
              <w:rPr>
                <w:b/>
                <w:bCs/>
                <w:color w:val="000000"/>
                <w:sz w:val="22"/>
                <w:szCs w:val="22"/>
              </w:rPr>
              <w:t>Three-Year Totals</w:t>
            </w:r>
          </w:p>
        </w:tc>
      </w:tr>
      <w:tr w14:paraId="2F771D67" w14:textId="77777777" w:rsidTr="003202D4">
        <w:tblPrEx>
          <w:tblW w:w="5000" w:type="pct"/>
          <w:tblLook w:val="04A0"/>
        </w:tblPrEx>
        <w:trPr>
          <w:trHeight w:val="20"/>
        </w:trPr>
        <w:tc>
          <w:tcPr>
            <w:tcW w:w="2353" w:type="pct"/>
            <w:tcBorders>
              <w:top w:val="nil"/>
              <w:left w:val="single" w:sz="4" w:space="0" w:color="auto"/>
              <w:bottom w:val="single" w:sz="4" w:space="0" w:color="auto"/>
              <w:right w:val="single" w:sz="4" w:space="0" w:color="auto"/>
            </w:tcBorders>
            <w:shd w:val="clear" w:color="auto" w:fill="auto"/>
            <w:vAlign w:val="center"/>
            <w:hideMark/>
          </w:tcPr>
          <w:p w:rsidR="0050437F" w:rsidP="00746B32" w14:paraId="37F56688" w14:textId="77777777">
            <w:pPr>
              <w:rPr>
                <w:b/>
                <w:bCs/>
                <w:color w:val="000000"/>
                <w:sz w:val="22"/>
                <w:szCs w:val="22"/>
              </w:rPr>
            </w:pPr>
            <w:r>
              <w:rPr>
                <w:b/>
                <w:bCs/>
                <w:color w:val="000000"/>
                <w:sz w:val="22"/>
                <w:szCs w:val="22"/>
              </w:rPr>
              <w:t>Labor Costs</w:t>
            </w:r>
          </w:p>
        </w:tc>
        <w:tc>
          <w:tcPr>
            <w:tcW w:w="465" w:type="pct"/>
            <w:tcBorders>
              <w:top w:val="nil"/>
              <w:left w:val="nil"/>
              <w:bottom w:val="single" w:sz="4" w:space="0" w:color="auto"/>
              <w:right w:val="single" w:sz="4" w:space="0" w:color="auto"/>
            </w:tcBorders>
            <w:shd w:val="clear" w:color="auto" w:fill="auto"/>
            <w:vAlign w:val="center"/>
            <w:hideMark/>
          </w:tcPr>
          <w:p w:rsidR="0050437F" w14:paraId="5C6B2E7F" w14:textId="77777777">
            <w:pPr>
              <w:jc w:val="center"/>
              <w:rPr>
                <w:b/>
                <w:bCs/>
                <w:color w:val="000000"/>
                <w:sz w:val="22"/>
                <w:szCs w:val="22"/>
              </w:rPr>
            </w:pPr>
            <w:r>
              <w:rPr>
                <w:b/>
                <w:bCs/>
                <w:color w:val="000000"/>
                <w:sz w:val="22"/>
                <w:szCs w:val="22"/>
              </w:rPr>
              <w:t>Hours</w:t>
            </w:r>
          </w:p>
        </w:tc>
        <w:tc>
          <w:tcPr>
            <w:tcW w:w="826" w:type="pct"/>
            <w:tcBorders>
              <w:top w:val="nil"/>
              <w:left w:val="nil"/>
              <w:bottom w:val="single" w:sz="4" w:space="0" w:color="auto"/>
              <w:right w:val="single" w:sz="4" w:space="0" w:color="auto"/>
            </w:tcBorders>
            <w:shd w:val="clear" w:color="auto" w:fill="auto"/>
            <w:vAlign w:val="center"/>
            <w:hideMark/>
          </w:tcPr>
          <w:p w:rsidR="0050437F" w14:paraId="16E395BB" w14:textId="77777777">
            <w:pPr>
              <w:jc w:val="center"/>
              <w:rPr>
                <w:b/>
                <w:bCs/>
                <w:color w:val="000000"/>
                <w:sz w:val="22"/>
                <w:szCs w:val="22"/>
              </w:rPr>
            </w:pPr>
            <w:r>
              <w:rPr>
                <w:b/>
                <w:bCs/>
                <w:color w:val="000000"/>
                <w:sz w:val="22"/>
                <w:szCs w:val="22"/>
              </w:rPr>
              <w:t>Cost</w:t>
            </w:r>
          </w:p>
        </w:tc>
        <w:tc>
          <w:tcPr>
            <w:tcW w:w="465" w:type="pct"/>
            <w:tcBorders>
              <w:top w:val="nil"/>
              <w:left w:val="nil"/>
              <w:bottom w:val="single" w:sz="4" w:space="0" w:color="auto"/>
              <w:right w:val="single" w:sz="4" w:space="0" w:color="auto"/>
            </w:tcBorders>
            <w:shd w:val="clear" w:color="auto" w:fill="auto"/>
            <w:vAlign w:val="center"/>
            <w:hideMark/>
          </w:tcPr>
          <w:p w:rsidR="0050437F" w14:paraId="33F3E75F" w14:textId="77777777">
            <w:pPr>
              <w:jc w:val="center"/>
              <w:rPr>
                <w:b/>
                <w:bCs/>
                <w:color w:val="000000"/>
                <w:sz w:val="22"/>
                <w:szCs w:val="22"/>
              </w:rPr>
            </w:pPr>
            <w:r>
              <w:rPr>
                <w:b/>
                <w:bCs/>
                <w:color w:val="000000"/>
                <w:sz w:val="22"/>
                <w:szCs w:val="22"/>
              </w:rPr>
              <w:t>Hours</w:t>
            </w:r>
          </w:p>
        </w:tc>
        <w:tc>
          <w:tcPr>
            <w:tcW w:w="890" w:type="pct"/>
            <w:tcBorders>
              <w:top w:val="nil"/>
              <w:left w:val="nil"/>
              <w:bottom w:val="single" w:sz="4" w:space="0" w:color="auto"/>
              <w:right w:val="single" w:sz="4" w:space="0" w:color="auto"/>
            </w:tcBorders>
            <w:shd w:val="clear" w:color="auto" w:fill="auto"/>
            <w:vAlign w:val="center"/>
            <w:hideMark/>
          </w:tcPr>
          <w:p w:rsidR="0050437F" w14:paraId="2F000972" w14:textId="77777777">
            <w:pPr>
              <w:jc w:val="center"/>
              <w:rPr>
                <w:b/>
                <w:bCs/>
                <w:color w:val="000000"/>
                <w:sz w:val="22"/>
                <w:szCs w:val="22"/>
              </w:rPr>
            </w:pPr>
            <w:r>
              <w:rPr>
                <w:b/>
                <w:bCs/>
                <w:color w:val="000000"/>
                <w:sz w:val="22"/>
                <w:szCs w:val="22"/>
              </w:rPr>
              <w:t>Cost</w:t>
            </w:r>
          </w:p>
        </w:tc>
      </w:tr>
      <w:tr w14:paraId="653E6D5F" w14:textId="77777777" w:rsidTr="003202D4">
        <w:tblPrEx>
          <w:tblW w:w="5000" w:type="pct"/>
          <w:tblLook w:val="04A0"/>
        </w:tblPrEx>
        <w:trPr>
          <w:trHeight w:val="20"/>
        </w:trPr>
        <w:tc>
          <w:tcPr>
            <w:tcW w:w="2353" w:type="pct"/>
            <w:tcBorders>
              <w:top w:val="nil"/>
              <w:left w:val="single" w:sz="4" w:space="0" w:color="auto"/>
              <w:bottom w:val="single" w:sz="4" w:space="0" w:color="auto"/>
              <w:right w:val="single" w:sz="4" w:space="0" w:color="auto"/>
            </w:tcBorders>
            <w:shd w:val="clear" w:color="auto" w:fill="auto"/>
          </w:tcPr>
          <w:p w:rsidR="003202D4" w:rsidRPr="003202D4" w:rsidP="003202D4" w14:paraId="07AFBABC" w14:textId="77C02FCD">
            <w:pPr>
              <w:rPr>
                <w:color w:val="000000"/>
                <w:sz w:val="22"/>
                <w:szCs w:val="22"/>
              </w:rPr>
            </w:pPr>
            <w:r w:rsidRPr="003202D4">
              <w:rPr>
                <w:sz w:val="22"/>
                <w:szCs w:val="22"/>
              </w:rPr>
              <w:t>Reading Rooms</w:t>
            </w:r>
          </w:p>
        </w:tc>
        <w:tc>
          <w:tcPr>
            <w:tcW w:w="465" w:type="pct"/>
            <w:tcBorders>
              <w:top w:val="nil"/>
              <w:left w:val="nil"/>
              <w:bottom w:val="single" w:sz="4" w:space="0" w:color="auto"/>
              <w:right w:val="single" w:sz="4" w:space="0" w:color="auto"/>
            </w:tcBorders>
            <w:shd w:val="clear" w:color="auto" w:fill="auto"/>
            <w:vAlign w:val="center"/>
          </w:tcPr>
          <w:p w:rsidR="003202D4" w:rsidRPr="003202D4" w:rsidP="003202D4" w14:paraId="7B9B6841" w14:textId="3C4F919F">
            <w:pPr>
              <w:jc w:val="right"/>
              <w:rPr>
                <w:color w:val="000000"/>
                <w:sz w:val="22"/>
                <w:szCs w:val="22"/>
              </w:rPr>
            </w:pPr>
            <w:r>
              <w:rPr>
                <w:color w:val="000000"/>
                <w:sz w:val="22"/>
                <w:szCs w:val="22"/>
              </w:rPr>
              <w:t>20</w:t>
            </w:r>
          </w:p>
        </w:tc>
        <w:tc>
          <w:tcPr>
            <w:tcW w:w="826" w:type="pct"/>
            <w:tcBorders>
              <w:top w:val="nil"/>
              <w:left w:val="nil"/>
              <w:bottom w:val="single" w:sz="4" w:space="0" w:color="auto"/>
              <w:right w:val="single" w:sz="4" w:space="0" w:color="auto"/>
            </w:tcBorders>
            <w:shd w:val="clear" w:color="auto" w:fill="auto"/>
            <w:vAlign w:val="center"/>
          </w:tcPr>
          <w:p w:rsidR="003202D4" w:rsidRPr="003202D4" w:rsidP="003202D4" w14:paraId="13FB7B07" w14:textId="4B7C2ECF">
            <w:pPr>
              <w:jc w:val="right"/>
              <w:rPr>
                <w:color w:val="000000"/>
                <w:sz w:val="22"/>
                <w:szCs w:val="22"/>
              </w:rPr>
            </w:pPr>
            <w:r w:rsidRPr="003202D4">
              <w:rPr>
                <w:sz w:val="22"/>
                <w:szCs w:val="22"/>
              </w:rPr>
              <w:t>$</w:t>
            </w:r>
            <w:r w:rsidR="00DC170B">
              <w:rPr>
                <w:sz w:val="22"/>
                <w:szCs w:val="22"/>
              </w:rPr>
              <w:t>1,045</w:t>
            </w:r>
            <w:r w:rsidRPr="003202D4">
              <w:rPr>
                <w:sz w:val="22"/>
                <w:szCs w:val="22"/>
              </w:rPr>
              <w:t xml:space="preserve"> </w:t>
            </w:r>
          </w:p>
        </w:tc>
        <w:tc>
          <w:tcPr>
            <w:tcW w:w="465" w:type="pct"/>
            <w:tcBorders>
              <w:top w:val="nil"/>
              <w:left w:val="nil"/>
              <w:bottom w:val="single" w:sz="4" w:space="0" w:color="auto"/>
              <w:right w:val="single" w:sz="4" w:space="0" w:color="auto"/>
            </w:tcBorders>
            <w:shd w:val="clear" w:color="auto" w:fill="auto"/>
            <w:vAlign w:val="center"/>
          </w:tcPr>
          <w:p w:rsidR="003202D4" w:rsidRPr="003202D4" w:rsidP="003202D4" w14:paraId="31AB874C" w14:textId="4B8FC606">
            <w:pPr>
              <w:jc w:val="right"/>
              <w:rPr>
                <w:color w:val="000000"/>
                <w:sz w:val="22"/>
                <w:szCs w:val="22"/>
              </w:rPr>
            </w:pPr>
            <w:r>
              <w:rPr>
                <w:color w:val="000000"/>
                <w:sz w:val="22"/>
                <w:szCs w:val="22"/>
              </w:rPr>
              <w:t>60</w:t>
            </w:r>
          </w:p>
        </w:tc>
        <w:tc>
          <w:tcPr>
            <w:tcW w:w="890" w:type="pct"/>
            <w:tcBorders>
              <w:top w:val="nil"/>
              <w:left w:val="nil"/>
              <w:bottom w:val="single" w:sz="4" w:space="0" w:color="auto"/>
              <w:right w:val="single" w:sz="4" w:space="0" w:color="auto"/>
            </w:tcBorders>
            <w:shd w:val="clear" w:color="auto" w:fill="auto"/>
            <w:vAlign w:val="center"/>
          </w:tcPr>
          <w:p w:rsidR="003202D4" w:rsidRPr="003202D4" w:rsidP="003202D4" w14:paraId="1C723A97" w14:textId="5734EA92">
            <w:pPr>
              <w:jc w:val="right"/>
              <w:rPr>
                <w:color w:val="000000"/>
                <w:sz w:val="22"/>
                <w:szCs w:val="22"/>
              </w:rPr>
            </w:pPr>
            <w:r w:rsidRPr="003202D4">
              <w:rPr>
                <w:sz w:val="22"/>
                <w:szCs w:val="22"/>
              </w:rPr>
              <w:t>$</w:t>
            </w:r>
            <w:r w:rsidR="00F21B39">
              <w:rPr>
                <w:sz w:val="22"/>
                <w:szCs w:val="22"/>
              </w:rPr>
              <w:t>3,134</w:t>
            </w:r>
            <w:r w:rsidRPr="003202D4">
              <w:rPr>
                <w:sz w:val="22"/>
                <w:szCs w:val="22"/>
              </w:rPr>
              <w:t xml:space="preserve"> </w:t>
            </w:r>
          </w:p>
        </w:tc>
      </w:tr>
      <w:tr w14:paraId="33DDE652" w14:textId="77777777" w:rsidTr="003202D4">
        <w:tblPrEx>
          <w:tblW w:w="5000" w:type="pct"/>
          <w:tblLook w:val="04A0"/>
        </w:tblPrEx>
        <w:trPr>
          <w:trHeight w:val="20"/>
        </w:trPr>
        <w:tc>
          <w:tcPr>
            <w:tcW w:w="2353" w:type="pct"/>
            <w:tcBorders>
              <w:top w:val="nil"/>
              <w:left w:val="single" w:sz="4" w:space="0" w:color="auto"/>
              <w:bottom w:val="single" w:sz="4" w:space="0" w:color="auto"/>
              <w:right w:val="single" w:sz="4" w:space="0" w:color="auto"/>
            </w:tcBorders>
            <w:shd w:val="clear" w:color="auto" w:fill="auto"/>
          </w:tcPr>
          <w:p w:rsidR="003202D4" w:rsidRPr="003202D4" w:rsidP="003202D4" w14:paraId="2D5C1ACF" w14:textId="49B7FBC9">
            <w:pPr>
              <w:rPr>
                <w:color w:val="000000"/>
                <w:sz w:val="22"/>
                <w:szCs w:val="22"/>
              </w:rPr>
            </w:pPr>
            <w:r w:rsidRPr="003202D4">
              <w:rPr>
                <w:sz w:val="22"/>
                <w:szCs w:val="22"/>
              </w:rPr>
              <w:t>Train Reading Room Staff on OCA</w:t>
            </w:r>
          </w:p>
        </w:tc>
        <w:tc>
          <w:tcPr>
            <w:tcW w:w="465" w:type="pct"/>
            <w:tcBorders>
              <w:top w:val="nil"/>
              <w:left w:val="nil"/>
              <w:bottom w:val="single" w:sz="4" w:space="0" w:color="auto"/>
              <w:right w:val="single" w:sz="4" w:space="0" w:color="auto"/>
            </w:tcBorders>
            <w:shd w:val="clear" w:color="auto" w:fill="auto"/>
            <w:vAlign w:val="center"/>
          </w:tcPr>
          <w:p w:rsidR="003202D4" w:rsidRPr="003202D4" w:rsidP="003202D4" w14:paraId="417D3A2F" w14:textId="324327B6">
            <w:pPr>
              <w:jc w:val="right"/>
              <w:rPr>
                <w:color w:val="000000"/>
                <w:sz w:val="22"/>
                <w:szCs w:val="22"/>
              </w:rPr>
            </w:pPr>
            <w:r w:rsidRPr="003202D4">
              <w:rPr>
                <w:sz w:val="22"/>
                <w:szCs w:val="22"/>
              </w:rPr>
              <w:t>55</w:t>
            </w:r>
          </w:p>
        </w:tc>
        <w:tc>
          <w:tcPr>
            <w:tcW w:w="826" w:type="pct"/>
            <w:tcBorders>
              <w:top w:val="nil"/>
              <w:left w:val="nil"/>
              <w:bottom w:val="single" w:sz="4" w:space="0" w:color="auto"/>
              <w:right w:val="single" w:sz="4" w:space="0" w:color="auto"/>
            </w:tcBorders>
            <w:shd w:val="clear" w:color="auto" w:fill="auto"/>
            <w:vAlign w:val="center"/>
          </w:tcPr>
          <w:p w:rsidR="003202D4" w:rsidRPr="003202D4" w:rsidP="003202D4" w14:paraId="7C2E05BF" w14:textId="555734DA">
            <w:pPr>
              <w:jc w:val="right"/>
              <w:rPr>
                <w:color w:val="000000"/>
                <w:sz w:val="22"/>
                <w:szCs w:val="22"/>
              </w:rPr>
            </w:pPr>
            <w:r w:rsidRPr="003202D4">
              <w:rPr>
                <w:sz w:val="22"/>
                <w:szCs w:val="22"/>
              </w:rPr>
              <w:t xml:space="preserve">$2,873 </w:t>
            </w:r>
          </w:p>
        </w:tc>
        <w:tc>
          <w:tcPr>
            <w:tcW w:w="465" w:type="pct"/>
            <w:tcBorders>
              <w:top w:val="nil"/>
              <w:left w:val="nil"/>
              <w:bottom w:val="single" w:sz="4" w:space="0" w:color="auto"/>
              <w:right w:val="single" w:sz="4" w:space="0" w:color="auto"/>
            </w:tcBorders>
            <w:shd w:val="clear" w:color="auto" w:fill="auto"/>
            <w:vAlign w:val="center"/>
          </w:tcPr>
          <w:p w:rsidR="003202D4" w:rsidRPr="003202D4" w:rsidP="003202D4" w14:paraId="0C9F6714" w14:textId="0D9370D5">
            <w:pPr>
              <w:jc w:val="right"/>
              <w:rPr>
                <w:color w:val="000000"/>
                <w:sz w:val="22"/>
                <w:szCs w:val="22"/>
              </w:rPr>
            </w:pPr>
            <w:r w:rsidRPr="003202D4">
              <w:rPr>
                <w:sz w:val="22"/>
                <w:szCs w:val="22"/>
              </w:rPr>
              <w:t>165</w:t>
            </w:r>
          </w:p>
        </w:tc>
        <w:tc>
          <w:tcPr>
            <w:tcW w:w="890" w:type="pct"/>
            <w:tcBorders>
              <w:top w:val="nil"/>
              <w:left w:val="nil"/>
              <w:bottom w:val="single" w:sz="4" w:space="0" w:color="auto"/>
              <w:right w:val="single" w:sz="4" w:space="0" w:color="auto"/>
            </w:tcBorders>
            <w:shd w:val="clear" w:color="auto" w:fill="auto"/>
            <w:vAlign w:val="center"/>
          </w:tcPr>
          <w:p w:rsidR="003202D4" w:rsidRPr="003202D4" w:rsidP="003202D4" w14:paraId="5A4212F3" w14:textId="6C5C427D">
            <w:pPr>
              <w:jc w:val="right"/>
              <w:rPr>
                <w:color w:val="000000"/>
                <w:sz w:val="22"/>
                <w:szCs w:val="22"/>
              </w:rPr>
            </w:pPr>
            <w:r w:rsidRPr="003202D4">
              <w:rPr>
                <w:sz w:val="22"/>
                <w:szCs w:val="22"/>
              </w:rPr>
              <w:t xml:space="preserve">$8,620 </w:t>
            </w:r>
          </w:p>
        </w:tc>
      </w:tr>
      <w:tr w14:paraId="59D7A510" w14:textId="77777777" w:rsidTr="003202D4">
        <w:tblPrEx>
          <w:tblW w:w="5000" w:type="pct"/>
          <w:tblLook w:val="04A0"/>
        </w:tblPrEx>
        <w:trPr>
          <w:trHeight w:val="20"/>
        </w:trPr>
        <w:tc>
          <w:tcPr>
            <w:tcW w:w="2353" w:type="pct"/>
            <w:tcBorders>
              <w:top w:val="nil"/>
              <w:left w:val="single" w:sz="4" w:space="0" w:color="auto"/>
              <w:bottom w:val="single" w:sz="4" w:space="0" w:color="auto"/>
              <w:right w:val="single" w:sz="4" w:space="0" w:color="auto"/>
            </w:tcBorders>
            <w:shd w:val="clear" w:color="auto" w:fill="auto"/>
            <w:vAlign w:val="center"/>
            <w:hideMark/>
          </w:tcPr>
          <w:p w:rsidR="003202D4" w:rsidP="003202D4" w14:paraId="26F6D065" w14:textId="77777777">
            <w:pPr>
              <w:rPr>
                <w:color w:val="000000"/>
                <w:sz w:val="22"/>
                <w:szCs w:val="22"/>
              </w:rPr>
            </w:pPr>
            <w:r>
              <w:rPr>
                <w:color w:val="000000"/>
                <w:sz w:val="22"/>
                <w:szCs w:val="22"/>
              </w:rPr>
              <w:t>VZIS and Data Requests</w:t>
            </w:r>
          </w:p>
        </w:tc>
        <w:tc>
          <w:tcPr>
            <w:tcW w:w="465" w:type="pct"/>
            <w:tcBorders>
              <w:top w:val="nil"/>
              <w:left w:val="nil"/>
              <w:bottom w:val="single" w:sz="4" w:space="0" w:color="auto"/>
              <w:right w:val="single" w:sz="4" w:space="0" w:color="auto"/>
            </w:tcBorders>
            <w:shd w:val="clear" w:color="auto" w:fill="auto"/>
            <w:vAlign w:val="center"/>
            <w:hideMark/>
          </w:tcPr>
          <w:p w:rsidR="003202D4" w:rsidP="003202D4" w14:paraId="65A58855" w14:textId="77777777">
            <w:pPr>
              <w:jc w:val="right"/>
              <w:rPr>
                <w:color w:val="000000"/>
                <w:sz w:val="22"/>
                <w:szCs w:val="22"/>
              </w:rPr>
            </w:pPr>
            <w:r>
              <w:rPr>
                <w:color w:val="000000"/>
                <w:sz w:val="22"/>
                <w:szCs w:val="22"/>
              </w:rPr>
              <w:t>161</w:t>
            </w:r>
          </w:p>
        </w:tc>
        <w:tc>
          <w:tcPr>
            <w:tcW w:w="826" w:type="pct"/>
            <w:tcBorders>
              <w:top w:val="nil"/>
              <w:left w:val="nil"/>
              <w:bottom w:val="single" w:sz="4" w:space="0" w:color="auto"/>
              <w:right w:val="single" w:sz="4" w:space="0" w:color="auto"/>
            </w:tcBorders>
            <w:shd w:val="clear" w:color="auto" w:fill="auto"/>
            <w:vAlign w:val="center"/>
            <w:hideMark/>
          </w:tcPr>
          <w:p w:rsidR="003202D4" w:rsidP="003202D4" w14:paraId="1A6C1653" w14:textId="519FD2AA">
            <w:pPr>
              <w:jc w:val="right"/>
              <w:rPr>
                <w:color w:val="000000"/>
                <w:sz w:val="22"/>
                <w:szCs w:val="22"/>
              </w:rPr>
            </w:pPr>
            <w:r>
              <w:rPr>
                <w:color w:val="000000"/>
                <w:sz w:val="22"/>
                <w:szCs w:val="22"/>
              </w:rPr>
              <w:t xml:space="preserve">$14,505 </w:t>
            </w:r>
          </w:p>
        </w:tc>
        <w:tc>
          <w:tcPr>
            <w:tcW w:w="465" w:type="pct"/>
            <w:tcBorders>
              <w:top w:val="nil"/>
              <w:left w:val="nil"/>
              <w:bottom w:val="single" w:sz="4" w:space="0" w:color="auto"/>
              <w:right w:val="single" w:sz="4" w:space="0" w:color="auto"/>
            </w:tcBorders>
            <w:shd w:val="clear" w:color="auto" w:fill="auto"/>
            <w:vAlign w:val="center"/>
            <w:hideMark/>
          </w:tcPr>
          <w:p w:rsidR="003202D4" w:rsidP="003202D4" w14:paraId="3FA121C7" w14:textId="77777777">
            <w:pPr>
              <w:jc w:val="right"/>
              <w:rPr>
                <w:color w:val="000000"/>
                <w:sz w:val="22"/>
                <w:szCs w:val="22"/>
              </w:rPr>
            </w:pPr>
            <w:r>
              <w:rPr>
                <w:color w:val="000000"/>
                <w:sz w:val="22"/>
                <w:szCs w:val="22"/>
              </w:rPr>
              <w:t>483</w:t>
            </w:r>
          </w:p>
        </w:tc>
        <w:tc>
          <w:tcPr>
            <w:tcW w:w="890" w:type="pct"/>
            <w:tcBorders>
              <w:top w:val="nil"/>
              <w:left w:val="nil"/>
              <w:bottom w:val="single" w:sz="4" w:space="0" w:color="auto"/>
              <w:right w:val="single" w:sz="4" w:space="0" w:color="auto"/>
            </w:tcBorders>
            <w:shd w:val="clear" w:color="auto" w:fill="auto"/>
            <w:vAlign w:val="center"/>
            <w:hideMark/>
          </w:tcPr>
          <w:p w:rsidR="003202D4" w:rsidP="003202D4" w14:paraId="2399AEE7" w14:textId="391313FC">
            <w:pPr>
              <w:jc w:val="right"/>
              <w:rPr>
                <w:color w:val="000000"/>
                <w:sz w:val="22"/>
                <w:szCs w:val="22"/>
              </w:rPr>
            </w:pPr>
            <w:r>
              <w:rPr>
                <w:color w:val="000000"/>
                <w:sz w:val="22"/>
                <w:szCs w:val="22"/>
              </w:rPr>
              <w:t xml:space="preserve">$43,516 </w:t>
            </w:r>
          </w:p>
        </w:tc>
      </w:tr>
      <w:tr w14:paraId="47738E46" w14:textId="77777777" w:rsidTr="003202D4">
        <w:tblPrEx>
          <w:tblW w:w="5000" w:type="pct"/>
          <w:tblLook w:val="04A0"/>
        </w:tblPrEx>
        <w:trPr>
          <w:trHeight w:val="20"/>
        </w:trPr>
        <w:tc>
          <w:tcPr>
            <w:tcW w:w="2353" w:type="pct"/>
            <w:tcBorders>
              <w:top w:val="nil"/>
              <w:left w:val="single" w:sz="4" w:space="0" w:color="auto"/>
              <w:bottom w:val="single" w:sz="4" w:space="0" w:color="auto"/>
              <w:right w:val="single" w:sz="4" w:space="0" w:color="auto"/>
            </w:tcBorders>
            <w:shd w:val="clear" w:color="auto" w:fill="auto"/>
            <w:vAlign w:val="center"/>
            <w:hideMark/>
          </w:tcPr>
          <w:p w:rsidR="003202D4" w:rsidP="003202D4" w14:paraId="40E44C27" w14:textId="77777777">
            <w:pPr>
              <w:rPr>
                <w:color w:val="000000"/>
                <w:sz w:val="22"/>
                <w:szCs w:val="22"/>
              </w:rPr>
            </w:pPr>
            <w:r>
              <w:rPr>
                <w:color w:val="000000"/>
                <w:sz w:val="22"/>
                <w:szCs w:val="22"/>
              </w:rPr>
              <w:t>Responding to a Request Letter for a CD</w:t>
            </w:r>
          </w:p>
        </w:tc>
        <w:tc>
          <w:tcPr>
            <w:tcW w:w="465" w:type="pct"/>
            <w:tcBorders>
              <w:top w:val="nil"/>
              <w:left w:val="nil"/>
              <w:bottom w:val="single" w:sz="4" w:space="0" w:color="auto"/>
              <w:right w:val="single" w:sz="4" w:space="0" w:color="auto"/>
            </w:tcBorders>
            <w:shd w:val="clear" w:color="auto" w:fill="auto"/>
            <w:vAlign w:val="center"/>
            <w:hideMark/>
          </w:tcPr>
          <w:p w:rsidR="003202D4" w:rsidP="003202D4" w14:paraId="114A38E1" w14:textId="77777777">
            <w:pPr>
              <w:jc w:val="right"/>
              <w:rPr>
                <w:color w:val="000000"/>
                <w:sz w:val="22"/>
                <w:szCs w:val="22"/>
              </w:rPr>
            </w:pPr>
            <w:r>
              <w:rPr>
                <w:color w:val="000000"/>
                <w:sz w:val="22"/>
                <w:szCs w:val="22"/>
              </w:rPr>
              <w:t>110</w:t>
            </w:r>
          </w:p>
        </w:tc>
        <w:tc>
          <w:tcPr>
            <w:tcW w:w="826" w:type="pct"/>
            <w:tcBorders>
              <w:top w:val="nil"/>
              <w:left w:val="nil"/>
              <w:bottom w:val="single" w:sz="4" w:space="0" w:color="auto"/>
              <w:right w:val="single" w:sz="4" w:space="0" w:color="auto"/>
            </w:tcBorders>
            <w:shd w:val="clear" w:color="auto" w:fill="auto"/>
            <w:vAlign w:val="center"/>
            <w:hideMark/>
          </w:tcPr>
          <w:p w:rsidR="003202D4" w:rsidP="003202D4" w14:paraId="6774D8DE" w14:textId="05CB1A5A">
            <w:pPr>
              <w:jc w:val="right"/>
              <w:rPr>
                <w:color w:val="000000"/>
                <w:sz w:val="22"/>
                <w:szCs w:val="22"/>
              </w:rPr>
            </w:pPr>
            <w:r>
              <w:rPr>
                <w:color w:val="000000"/>
                <w:sz w:val="22"/>
                <w:szCs w:val="22"/>
              </w:rPr>
              <w:t xml:space="preserve">$9,911 </w:t>
            </w:r>
          </w:p>
        </w:tc>
        <w:tc>
          <w:tcPr>
            <w:tcW w:w="465" w:type="pct"/>
            <w:tcBorders>
              <w:top w:val="nil"/>
              <w:left w:val="nil"/>
              <w:bottom w:val="single" w:sz="4" w:space="0" w:color="auto"/>
              <w:right w:val="single" w:sz="4" w:space="0" w:color="auto"/>
            </w:tcBorders>
            <w:shd w:val="clear" w:color="auto" w:fill="auto"/>
            <w:vAlign w:val="center"/>
            <w:hideMark/>
          </w:tcPr>
          <w:p w:rsidR="003202D4" w:rsidP="003202D4" w14:paraId="08B0A148" w14:textId="77777777">
            <w:pPr>
              <w:jc w:val="right"/>
              <w:rPr>
                <w:color w:val="000000"/>
                <w:sz w:val="22"/>
                <w:szCs w:val="22"/>
              </w:rPr>
            </w:pPr>
            <w:r>
              <w:rPr>
                <w:color w:val="000000"/>
                <w:sz w:val="22"/>
                <w:szCs w:val="22"/>
              </w:rPr>
              <w:t>330</w:t>
            </w:r>
          </w:p>
        </w:tc>
        <w:tc>
          <w:tcPr>
            <w:tcW w:w="890" w:type="pct"/>
            <w:tcBorders>
              <w:top w:val="nil"/>
              <w:left w:val="nil"/>
              <w:bottom w:val="single" w:sz="4" w:space="0" w:color="auto"/>
              <w:right w:val="single" w:sz="4" w:space="0" w:color="auto"/>
            </w:tcBorders>
            <w:shd w:val="clear" w:color="auto" w:fill="auto"/>
            <w:vAlign w:val="center"/>
            <w:hideMark/>
          </w:tcPr>
          <w:p w:rsidR="003202D4" w:rsidP="003202D4" w14:paraId="7B27F875" w14:textId="2A357E78">
            <w:pPr>
              <w:jc w:val="right"/>
              <w:rPr>
                <w:color w:val="000000"/>
                <w:sz w:val="22"/>
                <w:szCs w:val="22"/>
              </w:rPr>
            </w:pPr>
            <w:r>
              <w:rPr>
                <w:color w:val="000000"/>
                <w:sz w:val="22"/>
                <w:szCs w:val="22"/>
              </w:rPr>
              <w:t xml:space="preserve">$29,732 </w:t>
            </w:r>
          </w:p>
        </w:tc>
      </w:tr>
      <w:tr w14:paraId="552F66D5" w14:textId="77777777" w:rsidTr="003202D4">
        <w:tblPrEx>
          <w:tblW w:w="5000" w:type="pct"/>
          <w:tblLook w:val="04A0"/>
        </w:tblPrEx>
        <w:trPr>
          <w:trHeight w:val="20"/>
        </w:trPr>
        <w:tc>
          <w:tcPr>
            <w:tcW w:w="2353" w:type="pct"/>
            <w:tcBorders>
              <w:top w:val="nil"/>
              <w:left w:val="single" w:sz="4" w:space="0" w:color="auto"/>
              <w:bottom w:val="single" w:sz="4" w:space="0" w:color="auto"/>
              <w:right w:val="single" w:sz="4" w:space="0" w:color="auto"/>
            </w:tcBorders>
            <w:shd w:val="clear" w:color="auto" w:fill="auto"/>
            <w:vAlign w:val="center"/>
            <w:hideMark/>
          </w:tcPr>
          <w:p w:rsidR="003202D4" w:rsidP="003202D4" w14:paraId="3725F151" w14:textId="77777777">
            <w:pPr>
              <w:rPr>
                <w:color w:val="000000"/>
                <w:sz w:val="22"/>
                <w:szCs w:val="22"/>
              </w:rPr>
            </w:pPr>
            <w:r>
              <w:rPr>
                <w:color w:val="000000"/>
                <w:sz w:val="22"/>
                <w:szCs w:val="22"/>
              </w:rPr>
              <w:t>Registering within CDX</w:t>
            </w:r>
          </w:p>
        </w:tc>
        <w:tc>
          <w:tcPr>
            <w:tcW w:w="465" w:type="pct"/>
            <w:tcBorders>
              <w:top w:val="nil"/>
              <w:left w:val="nil"/>
              <w:bottom w:val="single" w:sz="4" w:space="0" w:color="auto"/>
              <w:right w:val="single" w:sz="4" w:space="0" w:color="auto"/>
            </w:tcBorders>
            <w:shd w:val="clear" w:color="auto" w:fill="auto"/>
            <w:vAlign w:val="center"/>
            <w:hideMark/>
          </w:tcPr>
          <w:p w:rsidR="003202D4" w:rsidP="003202D4" w14:paraId="45A77AC1" w14:textId="77777777">
            <w:pPr>
              <w:jc w:val="right"/>
              <w:rPr>
                <w:color w:val="000000"/>
                <w:sz w:val="22"/>
                <w:szCs w:val="22"/>
              </w:rPr>
            </w:pPr>
            <w:r>
              <w:rPr>
                <w:color w:val="000000"/>
                <w:sz w:val="22"/>
                <w:szCs w:val="22"/>
              </w:rPr>
              <w:t>10</w:t>
            </w:r>
          </w:p>
        </w:tc>
        <w:tc>
          <w:tcPr>
            <w:tcW w:w="826" w:type="pct"/>
            <w:tcBorders>
              <w:top w:val="nil"/>
              <w:left w:val="nil"/>
              <w:bottom w:val="single" w:sz="4" w:space="0" w:color="auto"/>
              <w:right w:val="single" w:sz="4" w:space="0" w:color="auto"/>
            </w:tcBorders>
            <w:shd w:val="clear" w:color="auto" w:fill="auto"/>
            <w:vAlign w:val="center"/>
            <w:hideMark/>
          </w:tcPr>
          <w:p w:rsidR="003202D4" w:rsidP="003202D4" w14:paraId="451D1F25" w14:textId="5DF71BC0">
            <w:pPr>
              <w:jc w:val="right"/>
              <w:rPr>
                <w:color w:val="000000"/>
                <w:sz w:val="22"/>
                <w:szCs w:val="22"/>
              </w:rPr>
            </w:pPr>
            <w:r>
              <w:rPr>
                <w:color w:val="000000"/>
                <w:sz w:val="22"/>
                <w:szCs w:val="22"/>
              </w:rPr>
              <w:t xml:space="preserve">$931 </w:t>
            </w:r>
          </w:p>
        </w:tc>
        <w:tc>
          <w:tcPr>
            <w:tcW w:w="465" w:type="pct"/>
            <w:tcBorders>
              <w:top w:val="nil"/>
              <w:left w:val="nil"/>
              <w:bottom w:val="single" w:sz="4" w:space="0" w:color="auto"/>
              <w:right w:val="single" w:sz="4" w:space="0" w:color="auto"/>
            </w:tcBorders>
            <w:shd w:val="clear" w:color="auto" w:fill="auto"/>
            <w:vAlign w:val="center"/>
            <w:hideMark/>
          </w:tcPr>
          <w:p w:rsidR="003202D4" w:rsidP="003202D4" w14:paraId="0940B0E7" w14:textId="77777777">
            <w:pPr>
              <w:jc w:val="right"/>
              <w:rPr>
                <w:color w:val="000000"/>
                <w:sz w:val="22"/>
                <w:szCs w:val="22"/>
              </w:rPr>
            </w:pPr>
            <w:r>
              <w:rPr>
                <w:color w:val="000000"/>
                <w:sz w:val="22"/>
                <w:szCs w:val="22"/>
              </w:rPr>
              <w:t>31</w:t>
            </w:r>
          </w:p>
        </w:tc>
        <w:tc>
          <w:tcPr>
            <w:tcW w:w="890" w:type="pct"/>
            <w:tcBorders>
              <w:top w:val="nil"/>
              <w:left w:val="nil"/>
              <w:bottom w:val="single" w:sz="4" w:space="0" w:color="auto"/>
              <w:right w:val="single" w:sz="4" w:space="0" w:color="auto"/>
            </w:tcBorders>
            <w:shd w:val="clear" w:color="auto" w:fill="auto"/>
            <w:vAlign w:val="center"/>
            <w:hideMark/>
          </w:tcPr>
          <w:p w:rsidR="003202D4" w:rsidP="003202D4" w14:paraId="11CF34F5" w14:textId="0210AA21">
            <w:pPr>
              <w:jc w:val="right"/>
              <w:rPr>
                <w:color w:val="000000"/>
                <w:sz w:val="22"/>
                <w:szCs w:val="22"/>
              </w:rPr>
            </w:pPr>
            <w:r>
              <w:rPr>
                <w:color w:val="000000"/>
                <w:sz w:val="22"/>
                <w:szCs w:val="22"/>
              </w:rPr>
              <w:t xml:space="preserve">$2,793 </w:t>
            </w:r>
          </w:p>
        </w:tc>
      </w:tr>
      <w:tr w14:paraId="78749474" w14:textId="77777777" w:rsidTr="003202D4">
        <w:tblPrEx>
          <w:tblW w:w="5000" w:type="pct"/>
          <w:tblLook w:val="04A0"/>
        </w:tblPrEx>
        <w:trPr>
          <w:trHeight w:val="20"/>
        </w:trPr>
        <w:tc>
          <w:tcPr>
            <w:tcW w:w="2353" w:type="pct"/>
            <w:tcBorders>
              <w:top w:val="nil"/>
              <w:left w:val="single" w:sz="4" w:space="0" w:color="auto"/>
              <w:bottom w:val="single" w:sz="4" w:space="0" w:color="auto"/>
              <w:right w:val="single" w:sz="4" w:space="0" w:color="auto"/>
            </w:tcBorders>
            <w:shd w:val="clear" w:color="auto" w:fill="auto"/>
            <w:vAlign w:val="center"/>
            <w:hideMark/>
          </w:tcPr>
          <w:p w:rsidR="003202D4" w:rsidP="00746B32" w14:paraId="1688CC54" w14:textId="77777777">
            <w:pPr>
              <w:rPr>
                <w:b/>
                <w:bCs/>
                <w:color w:val="000000"/>
                <w:sz w:val="22"/>
                <w:szCs w:val="22"/>
              </w:rPr>
            </w:pPr>
            <w:r>
              <w:rPr>
                <w:b/>
                <w:bCs/>
                <w:color w:val="000000"/>
                <w:sz w:val="22"/>
                <w:szCs w:val="22"/>
              </w:rPr>
              <w:t>O&amp;M Costs</w:t>
            </w:r>
          </w:p>
        </w:tc>
        <w:tc>
          <w:tcPr>
            <w:tcW w:w="465" w:type="pct"/>
            <w:tcBorders>
              <w:top w:val="nil"/>
              <w:left w:val="nil"/>
              <w:bottom w:val="single" w:sz="4" w:space="0" w:color="auto"/>
              <w:right w:val="single" w:sz="4" w:space="0" w:color="auto"/>
            </w:tcBorders>
            <w:shd w:val="clear" w:color="auto" w:fill="auto"/>
            <w:vAlign w:val="center"/>
            <w:hideMark/>
          </w:tcPr>
          <w:p w:rsidR="003202D4" w:rsidP="003202D4" w14:paraId="191368EB" w14:textId="77777777">
            <w:pPr>
              <w:jc w:val="center"/>
              <w:rPr>
                <w:b/>
                <w:bCs/>
                <w:color w:val="000000"/>
                <w:sz w:val="22"/>
                <w:szCs w:val="22"/>
              </w:rPr>
            </w:pPr>
            <w:r>
              <w:rPr>
                <w:b/>
                <w:bCs/>
                <w:color w:val="000000"/>
                <w:sz w:val="22"/>
                <w:szCs w:val="22"/>
              </w:rPr>
              <w:t>Count</w:t>
            </w:r>
          </w:p>
        </w:tc>
        <w:tc>
          <w:tcPr>
            <w:tcW w:w="826" w:type="pct"/>
            <w:tcBorders>
              <w:top w:val="nil"/>
              <w:left w:val="nil"/>
              <w:bottom w:val="single" w:sz="4" w:space="0" w:color="auto"/>
              <w:right w:val="single" w:sz="4" w:space="0" w:color="auto"/>
            </w:tcBorders>
            <w:shd w:val="clear" w:color="auto" w:fill="auto"/>
            <w:vAlign w:val="center"/>
            <w:hideMark/>
          </w:tcPr>
          <w:p w:rsidR="003202D4" w:rsidP="003202D4" w14:paraId="18ACADE7" w14:textId="77777777">
            <w:pPr>
              <w:jc w:val="center"/>
              <w:rPr>
                <w:b/>
                <w:bCs/>
                <w:color w:val="000000"/>
                <w:sz w:val="22"/>
                <w:szCs w:val="22"/>
              </w:rPr>
            </w:pPr>
            <w:r>
              <w:rPr>
                <w:b/>
                <w:bCs/>
                <w:color w:val="000000"/>
                <w:sz w:val="22"/>
                <w:szCs w:val="22"/>
              </w:rPr>
              <w:t>Cost</w:t>
            </w:r>
          </w:p>
        </w:tc>
        <w:tc>
          <w:tcPr>
            <w:tcW w:w="465" w:type="pct"/>
            <w:tcBorders>
              <w:top w:val="nil"/>
              <w:left w:val="nil"/>
              <w:bottom w:val="single" w:sz="4" w:space="0" w:color="auto"/>
              <w:right w:val="single" w:sz="4" w:space="0" w:color="auto"/>
            </w:tcBorders>
            <w:shd w:val="clear" w:color="auto" w:fill="auto"/>
            <w:vAlign w:val="center"/>
            <w:hideMark/>
          </w:tcPr>
          <w:p w:rsidR="003202D4" w:rsidP="003202D4" w14:paraId="3398490A" w14:textId="77777777">
            <w:pPr>
              <w:jc w:val="center"/>
              <w:rPr>
                <w:b/>
                <w:bCs/>
                <w:color w:val="000000"/>
                <w:sz w:val="22"/>
                <w:szCs w:val="22"/>
              </w:rPr>
            </w:pPr>
            <w:r>
              <w:rPr>
                <w:b/>
                <w:bCs/>
                <w:color w:val="000000"/>
                <w:sz w:val="22"/>
                <w:szCs w:val="22"/>
              </w:rPr>
              <w:t>Count</w:t>
            </w:r>
          </w:p>
        </w:tc>
        <w:tc>
          <w:tcPr>
            <w:tcW w:w="890" w:type="pct"/>
            <w:tcBorders>
              <w:top w:val="nil"/>
              <w:left w:val="nil"/>
              <w:bottom w:val="single" w:sz="4" w:space="0" w:color="auto"/>
              <w:right w:val="single" w:sz="4" w:space="0" w:color="auto"/>
            </w:tcBorders>
            <w:shd w:val="clear" w:color="auto" w:fill="auto"/>
            <w:vAlign w:val="center"/>
            <w:hideMark/>
          </w:tcPr>
          <w:p w:rsidR="003202D4" w:rsidP="003202D4" w14:paraId="7436E177" w14:textId="77777777">
            <w:pPr>
              <w:jc w:val="center"/>
              <w:rPr>
                <w:b/>
                <w:bCs/>
                <w:color w:val="000000"/>
                <w:sz w:val="22"/>
                <w:szCs w:val="22"/>
              </w:rPr>
            </w:pPr>
            <w:r>
              <w:rPr>
                <w:b/>
                <w:bCs/>
                <w:color w:val="000000"/>
                <w:sz w:val="22"/>
                <w:szCs w:val="22"/>
              </w:rPr>
              <w:t>Cost</w:t>
            </w:r>
          </w:p>
        </w:tc>
      </w:tr>
      <w:tr w14:paraId="40782670" w14:textId="77777777" w:rsidTr="00A93ACF">
        <w:tblPrEx>
          <w:tblW w:w="5000" w:type="pct"/>
          <w:tblLook w:val="04A0"/>
        </w:tblPrEx>
        <w:trPr>
          <w:trHeight w:val="20"/>
        </w:trPr>
        <w:tc>
          <w:tcPr>
            <w:tcW w:w="2353" w:type="pct"/>
            <w:tcBorders>
              <w:top w:val="nil"/>
              <w:left w:val="single" w:sz="4" w:space="0" w:color="auto"/>
              <w:bottom w:val="single" w:sz="4" w:space="0" w:color="auto"/>
              <w:right w:val="single" w:sz="4" w:space="0" w:color="auto"/>
            </w:tcBorders>
            <w:shd w:val="clear" w:color="auto" w:fill="auto"/>
            <w:vAlign w:val="center"/>
            <w:hideMark/>
          </w:tcPr>
          <w:p w:rsidR="003202D4" w:rsidP="003202D4" w14:paraId="2B701AA8" w14:textId="77777777">
            <w:pPr>
              <w:rPr>
                <w:color w:val="000000"/>
                <w:sz w:val="22"/>
                <w:szCs w:val="22"/>
              </w:rPr>
            </w:pPr>
            <w:r>
              <w:rPr>
                <w:color w:val="000000"/>
                <w:sz w:val="22"/>
                <w:szCs w:val="22"/>
              </w:rPr>
              <w:t>CD Purchases and Postage to Mail CDs</w:t>
            </w:r>
          </w:p>
        </w:tc>
        <w:tc>
          <w:tcPr>
            <w:tcW w:w="465" w:type="pct"/>
            <w:tcBorders>
              <w:top w:val="nil"/>
              <w:left w:val="nil"/>
              <w:bottom w:val="single" w:sz="4" w:space="0" w:color="auto"/>
              <w:right w:val="single" w:sz="4" w:space="0" w:color="auto"/>
            </w:tcBorders>
            <w:shd w:val="clear" w:color="auto" w:fill="auto"/>
            <w:vAlign w:val="center"/>
            <w:hideMark/>
          </w:tcPr>
          <w:p w:rsidR="003202D4" w:rsidP="003202D4" w14:paraId="06BB63E5" w14:textId="77777777">
            <w:pPr>
              <w:jc w:val="right"/>
              <w:rPr>
                <w:color w:val="000000"/>
                <w:sz w:val="22"/>
                <w:szCs w:val="22"/>
              </w:rPr>
            </w:pPr>
            <w:r>
              <w:rPr>
                <w:color w:val="000000"/>
                <w:sz w:val="22"/>
                <w:szCs w:val="22"/>
              </w:rPr>
              <w:t> </w:t>
            </w:r>
          </w:p>
        </w:tc>
        <w:tc>
          <w:tcPr>
            <w:tcW w:w="826" w:type="pct"/>
            <w:tcBorders>
              <w:top w:val="nil"/>
              <w:left w:val="nil"/>
              <w:bottom w:val="single" w:sz="4" w:space="0" w:color="auto"/>
              <w:right w:val="single" w:sz="4" w:space="0" w:color="auto"/>
            </w:tcBorders>
            <w:shd w:val="clear" w:color="auto" w:fill="auto"/>
            <w:vAlign w:val="center"/>
            <w:hideMark/>
          </w:tcPr>
          <w:p w:rsidR="003202D4" w:rsidRPr="00A93ACF" w:rsidP="003202D4" w14:paraId="5DF3F8E5" w14:textId="77777777">
            <w:pPr>
              <w:jc w:val="right"/>
              <w:rPr>
                <w:color w:val="000000"/>
                <w:sz w:val="22"/>
                <w:szCs w:val="22"/>
              </w:rPr>
            </w:pPr>
            <w:r w:rsidRPr="00A93ACF">
              <w:rPr>
                <w:color w:val="000000"/>
                <w:sz w:val="22"/>
                <w:szCs w:val="22"/>
              </w:rPr>
              <w:t xml:space="preserve">$800 </w:t>
            </w:r>
          </w:p>
        </w:tc>
        <w:tc>
          <w:tcPr>
            <w:tcW w:w="465" w:type="pct"/>
            <w:tcBorders>
              <w:top w:val="nil"/>
              <w:left w:val="nil"/>
              <w:bottom w:val="single" w:sz="4" w:space="0" w:color="auto"/>
              <w:right w:val="single" w:sz="4" w:space="0" w:color="auto"/>
            </w:tcBorders>
            <w:shd w:val="clear" w:color="auto" w:fill="auto"/>
            <w:vAlign w:val="center"/>
            <w:hideMark/>
          </w:tcPr>
          <w:p w:rsidR="003202D4" w:rsidRPr="00A93ACF" w:rsidP="003202D4" w14:paraId="73A04593" w14:textId="77777777">
            <w:pPr>
              <w:jc w:val="right"/>
              <w:rPr>
                <w:color w:val="000000"/>
                <w:sz w:val="22"/>
                <w:szCs w:val="22"/>
              </w:rPr>
            </w:pPr>
            <w:r w:rsidRPr="00A93ACF">
              <w:rPr>
                <w:color w:val="000000"/>
                <w:sz w:val="22"/>
                <w:szCs w:val="22"/>
              </w:rPr>
              <w:t> </w:t>
            </w:r>
          </w:p>
        </w:tc>
        <w:tc>
          <w:tcPr>
            <w:tcW w:w="890" w:type="pct"/>
            <w:tcBorders>
              <w:top w:val="nil"/>
              <w:left w:val="nil"/>
              <w:bottom w:val="single" w:sz="4" w:space="0" w:color="auto"/>
              <w:right w:val="single" w:sz="4" w:space="0" w:color="auto"/>
            </w:tcBorders>
            <w:shd w:val="clear" w:color="auto" w:fill="auto"/>
            <w:vAlign w:val="center"/>
            <w:hideMark/>
          </w:tcPr>
          <w:p w:rsidR="003202D4" w:rsidP="003202D4" w14:paraId="669A172E" w14:textId="77777777">
            <w:pPr>
              <w:jc w:val="right"/>
              <w:rPr>
                <w:color w:val="000000"/>
                <w:sz w:val="22"/>
                <w:szCs w:val="22"/>
              </w:rPr>
            </w:pPr>
            <w:r>
              <w:rPr>
                <w:color w:val="000000"/>
                <w:sz w:val="22"/>
                <w:szCs w:val="22"/>
              </w:rPr>
              <w:t xml:space="preserve">$2,400 </w:t>
            </w:r>
          </w:p>
        </w:tc>
      </w:tr>
      <w:tr w14:paraId="60823194" w14:textId="77777777" w:rsidTr="003202D4">
        <w:tblPrEx>
          <w:tblW w:w="5000" w:type="pct"/>
          <w:tblLook w:val="04A0"/>
        </w:tblPrEx>
        <w:trPr>
          <w:trHeight w:val="20"/>
        </w:trPr>
        <w:tc>
          <w:tcPr>
            <w:tcW w:w="2353" w:type="pct"/>
            <w:tcBorders>
              <w:top w:val="nil"/>
              <w:left w:val="single" w:sz="4" w:space="0" w:color="auto"/>
              <w:bottom w:val="single" w:sz="4" w:space="0" w:color="auto"/>
              <w:right w:val="single" w:sz="4" w:space="0" w:color="auto"/>
            </w:tcBorders>
            <w:shd w:val="clear" w:color="auto" w:fill="auto"/>
            <w:vAlign w:val="center"/>
            <w:hideMark/>
          </w:tcPr>
          <w:p w:rsidR="003202D4" w:rsidP="003202D4" w14:paraId="5C6771A6" w14:textId="77777777">
            <w:pPr>
              <w:rPr>
                <w:color w:val="000000"/>
                <w:sz w:val="22"/>
                <w:szCs w:val="22"/>
              </w:rPr>
            </w:pPr>
            <w:r>
              <w:rPr>
                <w:color w:val="000000"/>
                <w:sz w:val="22"/>
                <w:szCs w:val="22"/>
              </w:rPr>
              <w:t>Paper for the Reading Room (visits)</w:t>
            </w:r>
          </w:p>
        </w:tc>
        <w:tc>
          <w:tcPr>
            <w:tcW w:w="465" w:type="pct"/>
            <w:tcBorders>
              <w:top w:val="nil"/>
              <w:left w:val="nil"/>
              <w:bottom w:val="single" w:sz="4" w:space="0" w:color="auto"/>
              <w:right w:val="single" w:sz="4" w:space="0" w:color="auto"/>
            </w:tcBorders>
            <w:shd w:val="clear" w:color="auto" w:fill="auto"/>
            <w:vAlign w:val="center"/>
            <w:hideMark/>
          </w:tcPr>
          <w:p w:rsidR="003202D4" w:rsidP="003202D4" w14:paraId="077FDAC7" w14:textId="01A42C2C">
            <w:pPr>
              <w:jc w:val="right"/>
              <w:rPr>
                <w:color w:val="000000"/>
                <w:sz w:val="22"/>
                <w:szCs w:val="22"/>
              </w:rPr>
            </w:pPr>
            <w:r>
              <w:rPr>
                <w:color w:val="000000"/>
                <w:sz w:val="22"/>
                <w:szCs w:val="22"/>
              </w:rPr>
              <w:t>10</w:t>
            </w:r>
          </w:p>
        </w:tc>
        <w:tc>
          <w:tcPr>
            <w:tcW w:w="826" w:type="pct"/>
            <w:tcBorders>
              <w:top w:val="nil"/>
              <w:left w:val="nil"/>
              <w:bottom w:val="single" w:sz="4" w:space="0" w:color="auto"/>
              <w:right w:val="single" w:sz="4" w:space="0" w:color="auto"/>
            </w:tcBorders>
            <w:shd w:val="clear" w:color="auto" w:fill="auto"/>
            <w:vAlign w:val="center"/>
            <w:hideMark/>
          </w:tcPr>
          <w:p w:rsidR="003202D4" w:rsidP="003202D4" w14:paraId="4EF8C63B" w14:textId="07AD5538">
            <w:pPr>
              <w:jc w:val="right"/>
              <w:rPr>
                <w:color w:val="000000"/>
                <w:sz w:val="22"/>
                <w:szCs w:val="22"/>
              </w:rPr>
            </w:pPr>
            <w:r>
              <w:rPr>
                <w:color w:val="000000"/>
                <w:sz w:val="22"/>
                <w:szCs w:val="22"/>
              </w:rPr>
              <w:t>$</w:t>
            </w:r>
            <w:r w:rsidR="003B6D5F">
              <w:rPr>
                <w:color w:val="000000"/>
                <w:sz w:val="22"/>
                <w:szCs w:val="22"/>
              </w:rPr>
              <w:t>30</w:t>
            </w:r>
            <w:r>
              <w:rPr>
                <w:color w:val="000000"/>
                <w:sz w:val="22"/>
                <w:szCs w:val="22"/>
              </w:rPr>
              <w:t xml:space="preserve"> </w:t>
            </w:r>
          </w:p>
        </w:tc>
        <w:tc>
          <w:tcPr>
            <w:tcW w:w="465" w:type="pct"/>
            <w:tcBorders>
              <w:top w:val="nil"/>
              <w:left w:val="nil"/>
              <w:bottom w:val="single" w:sz="4" w:space="0" w:color="auto"/>
              <w:right w:val="single" w:sz="4" w:space="0" w:color="auto"/>
            </w:tcBorders>
            <w:shd w:val="clear" w:color="auto" w:fill="auto"/>
            <w:vAlign w:val="center"/>
            <w:hideMark/>
          </w:tcPr>
          <w:p w:rsidR="003202D4" w:rsidP="003202D4" w14:paraId="38D99947" w14:textId="20CE5DE2">
            <w:pPr>
              <w:jc w:val="right"/>
              <w:rPr>
                <w:color w:val="000000"/>
                <w:sz w:val="22"/>
                <w:szCs w:val="22"/>
              </w:rPr>
            </w:pPr>
            <w:r>
              <w:rPr>
                <w:color w:val="000000"/>
                <w:sz w:val="22"/>
                <w:szCs w:val="22"/>
              </w:rPr>
              <w:t>30</w:t>
            </w:r>
          </w:p>
        </w:tc>
        <w:tc>
          <w:tcPr>
            <w:tcW w:w="890" w:type="pct"/>
            <w:tcBorders>
              <w:top w:val="nil"/>
              <w:left w:val="nil"/>
              <w:bottom w:val="single" w:sz="4" w:space="0" w:color="auto"/>
              <w:right w:val="single" w:sz="4" w:space="0" w:color="auto"/>
            </w:tcBorders>
            <w:shd w:val="clear" w:color="auto" w:fill="auto"/>
            <w:vAlign w:val="center"/>
            <w:hideMark/>
          </w:tcPr>
          <w:p w:rsidR="003202D4" w:rsidP="003202D4" w14:paraId="0EDA1C73" w14:textId="798CB8E6">
            <w:pPr>
              <w:jc w:val="right"/>
              <w:rPr>
                <w:color w:val="000000"/>
                <w:sz w:val="22"/>
                <w:szCs w:val="22"/>
              </w:rPr>
            </w:pPr>
            <w:r>
              <w:rPr>
                <w:color w:val="000000"/>
                <w:sz w:val="22"/>
                <w:szCs w:val="22"/>
              </w:rPr>
              <w:t>$</w:t>
            </w:r>
            <w:r w:rsidR="003B6D5F">
              <w:rPr>
                <w:color w:val="000000"/>
                <w:sz w:val="22"/>
                <w:szCs w:val="22"/>
              </w:rPr>
              <w:t>90</w:t>
            </w:r>
            <w:r>
              <w:rPr>
                <w:color w:val="000000"/>
                <w:sz w:val="22"/>
                <w:szCs w:val="22"/>
              </w:rPr>
              <w:t xml:space="preserve"> </w:t>
            </w:r>
          </w:p>
        </w:tc>
      </w:tr>
      <w:tr w14:paraId="0CE57FD4" w14:textId="77777777" w:rsidTr="003202D4">
        <w:tblPrEx>
          <w:tblW w:w="5000" w:type="pct"/>
          <w:tblLook w:val="04A0"/>
        </w:tblPrEx>
        <w:trPr>
          <w:trHeight w:val="20"/>
        </w:trPr>
        <w:tc>
          <w:tcPr>
            <w:tcW w:w="2353" w:type="pct"/>
            <w:tcBorders>
              <w:top w:val="nil"/>
              <w:left w:val="single" w:sz="4" w:space="0" w:color="auto"/>
              <w:bottom w:val="single" w:sz="4" w:space="0" w:color="auto"/>
              <w:right w:val="single" w:sz="4" w:space="0" w:color="auto"/>
            </w:tcBorders>
            <w:shd w:val="clear" w:color="auto" w:fill="auto"/>
            <w:vAlign w:val="center"/>
            <w:hideMark/>
          </w:tcPr>
          <w:p w:rsidR="003202D4" w:rsidP="003202D4" w14:paraId="7DB4F7BE" w14:textId="77777777">
            <w:pPr>
              <w:rPr>
                <w:b/>
                <w:bCs/>
                <w:color w:val="000000"/>
                <w:sz w:val="22"/>
                <w:szCs w:val="22"/>
              </w:rPr>
            </w:pPr>
            <w:r>
              <w:rPr>
                <w:b/>
                <w:bCs/>
                <w:color w:val="000000"/>
                <w:sz w:val="22"/>
                <w:szCs w:val="22"/>
              </w:rPr>
              <w:t>Total</w:t>
            </w:r>
          </w:p>
        </w:tc>
        <w:tc>
          <w:tcPr>
            <w:tcW w:w="465" w:type="pct"/>
            <w:tcBorders>
              <w:top w:val="nil"/>
              <w:left w:val="nil"/>
              <w:bottom w:val="single" w:sz="4" w:space="0" w:color="auto"/>
              <w:right w:val="single" w:sz="4" w:space="0" w:color="auto"/>
            </w:tcBorders>
            <w:shd w:val="clear" w:color="auto" w:fill="auto"/>
            <w:noWrap/>
            <w:vAlign w:val="center"/>
            <w:hideMark/>
          </w:tcPr>
          <w:p w:rsidR="003202D4" w:rsidP="003202D4" w14:paraId="22913354" w14:textId="77777777">
            <w:pPr>
              <w:jc w:val="right"/>
              <w:rPr>
                <w:rFonts w:ascii="Calibri" w:hAnsi="Calibri" w:cs="Calibri"/>
                <w:color w:val="000000"/>
                <w:sz w:val="22"/>
                <w:szCs w:val="22"/>
              </w:rPr>
            </w:pPr>
            <w:r>
              <w:rPr>
                <w:rFonts w:ascii="Calibri" w:hAnsi="Calibri" w:cs="Calibri"/>
                <w:color w:val="000000"/>
                <w:sz w:val="22"/>
                <w:szCs w:val="22"/>
              </w:rPr>
              <w:t> </w:t>
            </w:r>
          </w:p>
        </w:tc>
        <w:tc>
          <w:tcPr>
            <w:tcW w:w="826" w:type="pct"/>
            <w:tcBorders>
              <w:top w:val="nil"/>
              <w:left w:val="nil"/>
              <w:bottom w:val="single" w:sz="4" w:space="0" w:color="auto"/>
              <w:right w:val="single" w:sz="4" w:space="0" w:color="auto"/>
            </w:tcBorders>
            <w:shd w:val="clear" w:color="auto" w:fill="auto"/>
            <w:vAlign w:val="center"/>
            <w:hideMark/>
          </w:tcPr>
          <w:p w:rsidR="003202D4" w:rsidP="003202D4" w14:paraId="376AE85F" w14:textId="164EB1D1">
            <w:pPr>
              <w:jc w:val="right"/>
              <w:rPr>
                <w:b/>
                <w:bCs/>
                <w:color w:val="000000"/>
                <w:sz w:val="22"/>
                <w:szCs w:val="22"/>
              </w:rPr>
            </w:pPr>
            <w:r>
              <w:rPr>
                <w:b/>
                <w:bCs/>
                <w:color w:val="000000"/>
                <w:sz w:val="22"/>
                <w:szCs w:val="22"/>
              </w:rPr>
              <w:t>$</w:t>
            </w:r>
            <w:r w:rsidR="003B6D5F">
              <w:rPr>
                <w:b/>
                <w:bCs/>
                <w:color w:val="000000"/>
                <w:sz w:val="22"/>
                <w:szCs w:val="22"/>
              </w:rPr>
              <w:t>3</w:t>
            </w:r>
            <w:r w:rsidR="00995427">
              <w:rPr>
                <w:b/>
                <w:bCs/>
                <w:color w:val="000000"/>
                <w:sz w:val="22"/>
                <w:szCs w:val="22"/>
              </w:rPr>
              <w:t>0</w:t>
            </w:r>
            <w:r w:rsidR="003B6D5F">
              <w:rPr>
                <w:b/>
                <w:bCs/>
                <w:color w:val="000000"/>
                <w:sz w:val="22"/>
                <w:szCs w:val="22"/>
              </w:rPr>
              <w:t>,095</w:t>
            </w:r>
          </w:p>
        </w:tc>
        <w:tc>
          <w:tcPr>
            <w:tcW w:w="465" w:type="pct"/>
            <w:tcBorders>
              <w:top w:val="nil"/>
              <w:left w:val="nil"/>
              <w:bottom w:val="single" w:sz="4" w:space="0" w:color="auto"/>
              <w:right w:val="single" w:sz="4" w:space="0" w:color="auto"/>
            </w:tcBorders>
            <w:shd w:val="clear" w:color="auto" w:fill="auto"/>
            <w:vAlign w:val="center"/>
            <w:hideMark/>
          </w:tcPr>
          <w:p w:rsidR="003202D4" w:rsidP="003202D4" w14:paraId="1B614999" w14:textId="3385987B">
            <w:pPr>
              <w:jc w:val="right"/>
              <w:rPr>
                <w:b/>
                <w:bCs/>
                <w:color w:val="000000"/>
                <w:sz w:val="22"/>
                <w:szCs w:val="22"/>
              </w:rPr>
            </w:pPr>
            <w:r>
              <w:rPr>
                <w:b/>
                <w:bCs/>
                <w:color w:val="000000"/>
                <w:sz w:val="22"/>
                <w:szCs w:val="22"/>
              </w:rPr>
              <w:t> </w:t>
            </w:r>
          </w:p>
        </w:tc>
        <w:tc>
          <w:tcPr>
            <w:tcW w:w="890" w:type="pct"/>
            <w:tcBorders>
              <w:top w:val="nil"/>
              <w:left w:val="nil"/>
              <w:bottom w:val="single" w:sz="4" w:space="0" w:color="auto"/>
              <w:right w:val="single" w:sz="4" w:space="0" w:color="auto"/>
            </w:tcBorders>
            <w:shd w:val="clear" w:color="auto" w:fill="auto"/>
            <w:vAlign w:val="center"/>
            <w:hideMark/>
          </w:tcPr>
          <w:p w:rsidR="003202D4" w:rsidP="003202D4" w14:paraId="7E513830" w14:textId="68C63108">
            <w:pPr>
              <w:jc w:val="right"/>
              <w:rPr>
                <w:b/>
                <w:bCs/>
                <w:color w:val="000000"/>
                <w:sz w:val="22"/>
                <w:szCs w:val="22"/>
              </w:rPr>
            </w:pPr>
            <w:r>
              <w:rPr>
                <w:b/>
                <w:bCs/>
                <w:color w:val="000000"/>
                <w:sz w:val="22"/>
                <w:szCs w:val="22"/>
              </w:rPr>
              <w:t>$</w:t>
            </w:r>
            <w:r w:rsidR="00995427">
              <w:rPr>
                <w:b/>
                <w:bCs/>
                <w:color w:val="000000"/>
                <w:sz w:val="22"/>
                <w:szCs w:val="22"/>
              </w:rPr>
              <w:t>90,285</w:t>
            </w:r>
          </w:p>
        </w:tc>
      </w:tr>
    </w:tbl>
    <w:p w:rsidR="0020388A" w:rsidRPr="00383746" w:rsidP="003202D4" w14:paraId="2D01C129" w14:textId="77B6C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rsidRPr="00BE795B">
        <w:rPr>
          <w:sz w:val="20"/>
          <w:szCs w:val="20"/>
        </w:rPr>
        <w:t>*Totals may not sum due to rounding</w:t>
      </w:r>
    </w:p>
    <w:p w:rsidR="002F7681" w:rsidP="006F3692" w14:paraId="7F66DF40" w14:textId="4989990E">
      <w:pPr>
        <w:autoSpaceDE w:val="0"/>
        <w:autoSpaceDN w:val="0"/>
        <w:ind w:left="720"/>
        <w:rPr>
          <w:b/>
          <w:bCs/>
        </w:rPr>
      </w:pPr>
    </w:p>
    <w:p w:rsidR="002F7681" w:rsidP="00874EB6" w14:paraId="26D7B4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rsidR="00874EB6" w:rsidRPr="00E765BA" w:rsidP="00874EB6" w14:paraId="04A9DEE6" w14:textId="288F91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E765BA">
        <w:rPr>
          <w:b/>
          <w:bCs/>
        </w:rPr>
        <w:t xml:space="preserve">6(d) </w:t>
      </w:r>
      <w:r>
        <w:rPr>
          <w:b/>
          <w:bCs/>
        </w:rPr>
        <w:tab/>
      </w:r>
      <w:r w:rsidRPr="00E765BA">
        <w:rPr>
          <w:b/>
          <w:bCs/>
        </w:rPr>
        <w:t>Estimating the Respondent Universe and Total Burden and Costs</w:t>
      </w:r>
    </w:p>
    <w:p w:rsidR="00673B9C" w14:paraId="6D773A6A" w14:textId="0FC3C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673B9C" w:rsidRPr="00E765BA" w:rsidP="00AD71B4" w14:paraId="63D8F3E2" w14:textId="04B4B2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iCs/>
        </w:rPr>
      </w:pPr>
      <w:r w:rsidRPr="00E765BA">
        <w:rPr>
          <w:i/>
          <w:iCs/>
        </w:rPr>
        <w:t>Estimated Total Annual Burden and Costs for All Respondents</w:t>
      </w:r>
    </w:p>
    <w:p w:rsidR="00874EB6" w:rsidP="00AD71B4" w14:paraId="23238AC4" w14:textId="167BA3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874EB6" w:rsidP="00AD71B4" w14:paraId="20422BF7" w14:textId="75110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tab/>
      </w:r>
      <w:r w:rsidRPr="00E765BA" w:rsidR="00F91B04">
        <w:t xml:space="preserve">Respondents for this ICR are </w:t>
      </w:r>
      <w:r w:rsidR="002D6B60">
        <w:t>S</w:t>
      </w:r>
      <w:r w:rsidRPr="00E765BA" w:rsidR="00F91B04">
        <w:t xml:space="preserve">tate and local officials requesting OCA data from EPA and the members of the public visiting reading rooms and making inquiries on the VZIS. </w:t>
      </w:r>
      <w:r w:rsidRPr="008F685C" w:rsidR="00F91B04">
        <w:t xml:space="preserve">The total number of annual respondents </w:t>
      </w:r>
      <w:r w:rsidR="00752E78">
        <w:t>is 663.</w:t>
      </w:r>
      <w:r w:rsidR="00A27270">
        <w:t xml:space="preserve"> </w:t>
      </w:r>
      <w:r w:rsidRPr="009850A0">
        <w:t>The total burden of the information collection is the</w:t>
      </w:r>
      <w:r w:rsidRPr="00E7559D" w:rsidR="00E7559D">
        <w:t xml:space="preserve"> burden to the public for </w:t>
      </w:r>
      <w:r w:rsidR="00E7559D">
        <w:t xml:space="preserve">using </w:t>
      </w:r>
      <w:r w:rsidRPr="00E7559D" w:rsidR="00E7559D">
        <w:t>the reading room</w:t>
      </w:r>
      <w:r w:rsidR="0063595E">
        <w:t>s</w:t>
      </w:r>
      <w:r w:rsidRPr="00E7559D" w:rsidR="00E7559D">
        <w:t xml:space="preserve"> and making VZIS inquiries</w:t>
      </w:r>
      <w:r w:rsidR="00E7559D">
        <w:t xml:space="preserve"> (Exhibit 6)</w:t>
      </w:r>
      <w:r w:rsidR="0063595E">
        <w:t>,</w:t>
      </w:r>
      <w:r w:rsidR="00E7559D">
        <w:t xml:space="preserve"> in addition to the </w:t>
      </w:r>
      <w:r w:rsidRPr="00FE2F4A" w:rsidR="00E7559D">
        <w:t>burden for State and local agencies</w:t>
      </w:r>
      <w:r w:rsidR="00085507">
        <w:t xml:space="preserve"> to submit requests </w:t>
      </w:r>
      <w:r w:rsidR="0063595E">
        <w:t xml:space="preserve">as </w:t>
      </w:r>
      <w:r w:rsidR="00085507">
        <w:t>covered persons for CDs, register within CDX, do reading room training, help the public in the reading room, and hold public meetings</w:t>
      </w:r>
      <w:r w:rsidRPr="00FE2F4A" w:rsidR="00E7559D">
        <w:t xml:space="preserve"> </w:t>
      </w:r>
      <w:r w:rsidR="00E7559D">
        <w:t xml:space="preserve">(Exhibit 7). </w:t>
      </w:r>
      <w:r w:rsidRPr="00E7559D">
        <w:t xml:space="preserve">Total burden is calculated by multiplying unit burden estimates by the number of </w:t>
      </w:r>
      <w:r w:rsidRPr="00E765BA">
        <w:t>individuals</w:t>
      </w:r>
      <w:r w:rsidRPr="00E7559D">
        <w:t xml:space="preserve"> affected. Total cost is derived in a similar manner. The total burden and costs associated with the </w:t>
      </w:r>
      <w:r w:rsidRPr="00E765BA" w:rsidR="00E7559D">
        <w:t>ICR</w:t>
      </w:r>
      <w:r w:rsidRPr="00E7559D">
        <w:t xml:space="preserve"> </w:t>
      </w:r>
      <w:r w:rsidR="009D7B57">
        <w:t>a</w:t>
      </w:r>
      <w:r w:rsidRPr="00E7559D">
        <w:t xml:space="preserve">re shown </w:t>
      </w:r>
      <w:r w:rsidR="009D7B57">
        <w:t xml:space="preserve">below in Exhibit 11 (based on </w:t>
      </w:r>
      <w:r w:rsidRPr="00E7559D">
        <w:t xml:space="preserve">Exhibits </w:t>
      </w:r>
      <w:r w:rsidRPr="00E765BA">
        <w:t>6</w:t>
      </w:r>
      <w:r w:rsidR="00EC01AA">
        <w:t xml:space="preserve">, </w:t>
      </w:r>
      <w:r w:rsidRPr="00E765BA">
        <w:t>7</w:t>
      </w:r>
      <w:r w:rsidR="00EC01AA">
        <w:t>, and 8</w:t>
      </w:r>
      <w:r w:rsidR="009D7B57">
        <w:t>)</w:t>
      </w:r>
      <w:r w:rsidRPr="00E7559D">
        <w:t>.</w:t>
      </w:r>
    </w:p>
    <w:p w:rsidR="00874EB6" w:rsidP="00AD71B4" w14:paraId="31ABE20F" w14:textId="7B64E7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FF7056" w:rsidP="00DF5C64" w14:paraId="19107378" w14:textId="084BC014">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color w:val="000000"/>
        </w:rPr>
      </w:pPr>
      <w:r>
        <w:rPr>
          <w:b/>
          <w:bCs/>
          <w:color w:val="000000"/>
        </w:rPr>
        <w:t>Exhibit 11</w:t>
      </w:r>
    </w:p>
    <w:p w:rsidR="00FF7056" w:rsidP="00DF5C64" w14:paraId="272A75B2" w14:textId="372DE6DB">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rPr>
          <w:b/>
          <w:bCs/>
          <w:color w:val="000000"/>
        </w:rPr>
        <w:t xml:space="preserve">Total Respondent </w:t>
      </w:r>
      <w:r>
        <w:rPr>
          <w:b/>
          <w:bCs/>
          <w:color w:val="000000"/>
        </w:rPr>
        <w:t>Burden and Costs</w:t>
      </w:r>
    </w:p>
    <w:tbl>
      <w:tblPr>
        <w:tblW w:w="5000" w:type="pct"/>
        <w:tblLook w:val="04A0"/>
      </w:tblPr>
      <w:tblGrid>
        <w:gridCol w:w="2787"/>
        <w:gridCol w:w="926"/>
        <w:gridCol w:w="931"/>
        <w:gridCol w:w="833"/>
        <w:gridCol w:w="926"/>
        <w:gridCol w:w="1041"/>
        <w:gridCol w:w="1176"/>
      </w:tblGrid>
      <w:tr w14:paraId="099BBC8D" w14:textId="336C1F91" w:rsidTr="00DF5C64">
        <w:tblPrEx>
          <w:tblW w:w="5000" w:type="pct"/>
          <w:tblLook w:val="04A0"/>
        </w:tblPrEx>
        <w:trPr>
          <w:trHeight w:val="20"/>
          <w:tblHeader/>
        </w:trPr>
        <w:tc>
          <w:tcPr>
            <w:tcW w:w="161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96C78" w:rsidP="008F685C" w14:paraId="22F202DC" w14:textId="0D83ABF8">
            <w:pPr>
              <w:rPr>
                <w:b/>
                <w:bCs/>
                <w:color w:val="000000"/>
                <w:sz w:val="22"/>
                <w:szCs w:val="22"/>
              </w:rPr>
            </w:pPr>
            <w:r>
              <w:rPr>
                <w:b/>
                <w:bCs/>
                <w:color w:val="000000"/>
                <w:sz w:val="22"/>
                <w:szCs w:val="22"/>
              </w:rPr>
              <w:t>Respondent</w:t>
            </w:r>
          </w:p>
        </w:tc>
        <w:tc>
          <w:tcPr>
            <w:tcW w:w="1560" w:type="pct"/>
            <w:gridSpan w:val="3"/>
            <w:tcBorders>
              <w:top w:val="single" w:sz="8" w:space="0" w:color="000000"/>
              <w:left w:val="nil"/>
              <w:bottom w:val="single" w:sz="8" w:space="0" w:color="000000"/>
              <w:right w:val="single" w:sz="4" w:space="0" w:color="auto"/>
            </w:tcBorders>
            <w:shd w:val="clear" w:color="auto" w:fill="auto"/>
            <w:vAlign w:val="center"/>
            <w:hideMark/>
          </w:tcPr>
          <w:p w:rsidR="00E96C78" w:rsidP="008F685C" w14:paraId="650C3AF7" w14:textId="44C2D960">
            <w:pPr>
              <w:jc w:val="center"/>
              <w:rPr>
                <w:b/>
                <w:bCs/>
                <w:color w:val="000000"/>
                <w:sz w:val="22"/>
                <w:szCs w:val="22"/>
              </w:rPr>
            </w:pPr>
            <w:r>
              <w:rPr>
                <w:b/>
                <w:bCs/>
                <w:color w:val="000000"/>
                <w:sz w:val="22"/>
                <w:szCs w:val="22"/>
              </w:rPr>
              <w:t>Annual</w:t>
            </w:r>
          </w:p>
        </w:tc>
        <w:tc>
          <w:tcPr>
            <w:tcW w:w="1823" w:type="pct"/>
            <w:gridSpan w:val="3"/>
            <w:tcBorders>
              <w:top w:val="single" w:sz="8" w:space="0" w:color="000000"/>
              <w:left w:val="single" w:sz="4" w:space="0" w:color="auto"/>
              <w:bottom w:val="single" w:sz="8" w:space="0" w:color="000000"/>
              <w:right w:val="single" w:sz="8" w:space="0" w:color="000000"/>
            </w:tcBorders>
            <w:shd w:val="clear" w:color="auto" w:fill="auto"/>
            <w:vAlign w:val="center"/>
            <w:hideMark/>
          </w:tcPr>
          <w:p w:rsidR="00E96C78" w:rsidP="008F685C" w14:paraId="5603CAED" w14:textId="009054D7">
            <w:pPr>
              <w:jc w:val="center"/>
              <w:rPr>
                <w:b/>
                <w:bCs/>
                <w:color w:val="000000"/>
                <w:sz w:val="22"/>
                <w:szCs w:val="22"/>
              </w:rPr>
            </w:pPr>
            <w:r>
              <w:rPr>
                <w:b/>
                <w:bCs/>
                <w:color w:val="000000"/>
                <w:sz w:val="22"/>
                <w:szCs w:val="22"/>
              </w:rPr>
              <w:t>Three-Year Total</w:t>
            </w:r>
          </w:p>
        </w:tc>
      </w:tr>
      <w:tr w14:paraId="6FD01130" w14:textId="6A8CCA59" w:rsidTr="00DF5C64">
        <w:tblPrEx>
          <w:tblW w:w="5000" w:type="pct"/>
          <w:tblLook w:val="04A0"/>
        </w:tblPrEx>
        <w:trPr>
          <w:trHeight w:val="20"/>
          <w:tblHeader/>
        </w:trPr>
        <w:tc>
          <w:tcPr>
            <w:tcW w:w="1617" w:type="pct"/>
            <w:vMerge/>
            <w:tcBorders>
              <w:top w:val="single" w:sz="8" w:space="0" w:color="000000"/>
              <w:left w:val="single" w:sz="8" w:space="0" w:color="000000"/>
              <w:bottom w:val="single" w:sz="8" w:space="0" w:color="000000"/>
              <w:right w:val="single" w:sz="8" w:space="0" w:color="000000"/>
            </w:tcBorders>
            <w:vAlign w:val="center"/>
            <w:hideMark/>
          </w:tcPr>
          <w:p w:rsidR="00EC01AA" w:rsidP="00EC01AA" w14:paraId="369D2D23" w14:textId="77777777">
            <w:pPr>
              <w:rPr>
                <w:b/>
                <w:bCs/>
                <w:color w:val="000000"/>
                <w:sz w:val="22"/>
                <w:szCs w:val="22"/>
              </w:rPr>
            </w:pPr>
          </w:p>
        </w:tc>
        <w:tc>
          <w:tcPr>
            <w:tcW w:w="537" w:type="pct"/>
            <w:tcBorders>
              <w:top w:val="nil"/>
              <w:left w:val="nil"/>
              <w:bottom w:val="single" w:sz="8" w:space="0" w:color="000000"/>
              <w:right w:val="single" w:sz="8" w:space="0" w:color="000000"/>
            </w:tcBorders>
            <w:shd w:val="clear" w:color="auto" w:fill="auto"/>
            <w:vAlign w:val="center"/>
            <w:hideMark/>
          </w:tcPr>
          <w:p w:rsidR="00EC01AA" w:rsidP="00EC01AA" w14:paraId="46D96F3B" w14:textId="2EF0BFA3">
            <w:pPr>
              <w:jc w:val="center"/>
              <w:rPr>
                <w:b/>
                <w:bCs/>
                <w:color w:val="000000"/>
                <w:sz w:val="22"/>
                <w:szCs w:val="22"/>
              </w:rPr>
            </w:pPr>
            <w:r>
              <w:rPr>
                <w:b/>
                <w:bCs/>
                <w:color w:val="000000"/>
                <w:sz w:val="22"/>
                <w:szCs w:val="22"/>
              </w:rPr>
              <w:t>Burden Hours</w:t>
            </w:r>
          </w:p>
        </w:tc>
        <w:tc>
          <w:tcPr>
            <w:tcW w:w="540" w:type="pct"/>
            <w:tcBorders>
              <w:top w:val="nil"/>
              <w:left w:val="nil"/>
              <w:bottom w:val="single" w:sz="8" w:space="0" w:color="000000"/>
              <w:right w:val="single" w:sz="4" w:space="0" w:color="auto"/>
            </w:tcBorders>
            <w:shd w:val="clear" w:color="auto" w:fill="auto"/>
            <w:vAlign w:val="center"/>
            <w:hideMark/>
          </w:tcPr>
          <w:p w:rsidR="00EC01AA" w:rsidP="00EC01AA" w14:paraId="1E8D0A45" w14:textId="5347A726">
            <w:pPr>
              <w:jc w:val="center"/>
              <w:rPr>
                <w:b/>
                <w:bCs/>
                <w:color w:val="000000"/>
                <w:sz w:val="22"/>
                <w:szCs w:val="22"/>
              </w:rPr>
            </w:pPr>
            <w:r>
              <w:rPr>
                <w:b/>
                <w:bCs/>
                <w:color w:val="000000"/>
                <w:sz w:val="22"/>
                <w:szCs w:val="22"/>
              </w:rPr>
              <w:t>Labor Cost</w:t>
            </w:r>
          </w:p>
        </w:tc>
        <w:tc>
          <w:tcPr>
            <w:tcW w:w="483" w:type="pct"/>
            <w:tcBorders>
              <w:left w:val="single" w:sz="4" w:space="0" w:color="auto"/>
              <w:bottom w:val="single" w:sz="4" w:space="0" w:color="auto"/>
              <w:right w:val="single" w:sz="4" w:space="0" w:color="auto"/>
            </w:tcBorders>
          </w:tcPr>
          <w:p w:rsidR="00EC01AA" w:rsidP="00EC01AA" w14:paraId="073A1D0D" w14:textId="18511DC5">
            <w:pPr>
              <w:jc w:val="center"/>
              <w:rPr>
                <w:b/>
                <w:bCs/>
                <w:color w:val="000000"/>
                <w:sz w:val="22"/>
                <w:szCs w:val="22"/>
              </w:rPr>
            </w:pPr>
            <w:r>
              <w:rPr>
                <w:b/>
                <w:bCs/>
                <w:color w:val="000000"/>
                <w:sz w:val="22"/>
                <w:szCs w:val="22"/>
              </w:rPr>
              <w:t>O&amp;M Cost</w:t>
            </w:r>
          </w:p>
        </w:tc>
        <w:tc>
          <w:tcPr>
            <w:tcW w:w="537" w:type="pct"/>
            <w:tcBorders>
              <w:top w:val="nil"/>
              <w:left w:val="single" w:sz="4" w:space="0" w:color="auto"/>
              <w:bottom w:val="single" w:sz="8" w:space="0" w:color="000000"/>
              <w:right w:val="single" w:sz="8" w:space="0" w:color="000000"/>
            </w:tcBorders>
            <w:shd w:val="clear" w:color="auto" w:fill="auto"/>
            <w:vAlign w:val="center"/>
            <w:hideMark/>
          </w:tcPr>
          <w:p w:rsidR="00EC01AA" w:rsidP="00EC01AA" w14:paraId="23CFB8C2" w14:textId="140E1D7B">
            <w:pPr>
              <w:jc w:val="center"/>
              <w:rPr>
                <w:b/>
                <w:bCs/>
                <w:color w:val="000000"/>
                <w:sz w:val="22"/>
                <w:szCs w:val="22"/>
              </w:rPr>
            </w:pPr>
            <w:r>
              <w:rPr>
                <w:b/>
                <w:bCs/>
                <w:color w:val="000000"/>
                <w:sz w:val="22"/>
                <w:szCs w:val="22"/>
              </w:rPr>
              <w:t>Burden Hours</w:t>
            </w:r>
          </w:p>
        </w:tc>
        <w:tc>
          <w:tcPr>
            <w:tcW w:w="604" w:type="pct"/>
            <w:tcBorders>
              <w:top w:val="nil"/>
              <w:left w:val="nil"/>
              <w:bottom w:val="single" w:sz="8" w:space="0" w:color="000000"/>
              <w:right w:val="single" w:sz="8" w:space="0" w:color="000000"/>
            </w:tcBorders>
            <w:shd w:val="clear" w:color="auto" w:fill="auto"/>
            <w:vAlign w:val="center"/>
            <w:hideMark/>
          </w:tcPr>
          <w:p w:rsidR="00EC01AA" w:rsidP="00EC01AA" w14:paraId="72EFAD16" w14:textId="61849A38">
            <w:pPr>
              <w:jc w:val="center"/>
              <w:rPr>
                <w:b/>
                <w:bCs/>
                <w:color w:val="000000"/>
                <w:sz w:val="22"/>
                <w:szCs w:val="22"/>
              </w:rPr>
            </w:pPr>
            <w:r>
              <w:rPr>
                <w:b/>
                <w:bCs/>
                <w:color w:val="000000"/>
                <w:sz w:val="22"/>
                <w:szCs w:val="22"/>
              </w:rPr>
              <w:t>Labor Cost</w:t>
            </w:r>
          </w:p>
        </w:tc>
        <w:tc>
          <w:tcPr>
            <w:tcW w:w="682" w:type="pct"/>
            <w:tcBorders>
              <w:top w:val="nil"/>
              <w:left w:val="nil"/>
              <w:bottom w:val="single" w:sz="8" w:space="0" w:color="000000"/>
              <w:right w:val="single" w:sz="8" w:space="0" w:color="000000"/>
            </w:tcBorders>
          </w:tcPr>
          <w:p w:rsidR="00EC01AA" w:rsidP="00EC01AA" w14:paraId="363BB9E2" w14:textId="371D5127">
            <w:pPr>
              <w:jc w:val="center"/>
              <w:rPr>
                <w:b/>
                <w:bCs/>
                <w:color w:val="000000"/>
                <w:sz w:val="22"/>
                <w:szCs w:val="22"/>
              </w:rPr>
            </w:pPr>
            <w:r>
              <w:rPr>
                <w:b/>
                <w:bCs/>
                <w:color w:val="000000"/>
                <w:sz w:val="22"/>
                <w:szCs w:val="22"/>
              </w:rPr>
              <w:t>O&amp;M Cost</w:t>
            </w:r>
          </w:p>
        </w:tc>
      </w:tr>
      <w:tr w14:paraId="0BC8308F" w14:textId="2C56EF1D" w:rsidTr="00EC01AA">
        <w:tblPrEx>
          <w:tblW w:w="5000" w:type="pct"/>
          <w:tblLook w:val="04A0"/>
        </w:tblPrEx>
        <w:trPr>
          <w:trHeight w:val="20"/>
        </w:trPr>
        <w:tc>
          <w:tcPr>
            <w:tcW w:w="1617" w:type="pct"/>
            <w:tcBorders>
              <w:top w:val="nil"/>
              <w:left w:val="single" w:sz="8" w:space="0" w:color="000000"/>
              <w:bottom w:val="single" w:sz="8" w:space="0" w:color="000000"/>
              <w:right w:val="single" w:sz="8" w:space="0" w:color="000000"/>
            </w:tcBorders>
            <w:shd w:val="clear" w:color="auto" w:fill="auto"/>
            <w:vAlign w:val="center"/>
            <w:hideMark/>
          </w:tcPr>
          <w:p w:rsidR="00E96C78" w:rsidP="00E96C78" w14:paraId="1C30435E" w14:textId="43EA5942">
            <w:pPr>
              <w:rPr>
                <w:color w:val="000000"/>
                <w:sz w:val="22"/>
                <w:szCs w:val="22"/>
              </w:rPr>
            </w:pPr>
            <w:r>
              <w:rPr>
                <w:color w:val="000000"/>
                <w:sz w:val="22"/>
                <w:szCs w:val="22"/>
              </w:rPr>
              <w:t>Public</w:t>
            </w:r>
          </w:p>
        </w:tc>
        <w:tc>
          <w:tcPr>
            <w:tcW w:w="537" w:type="pct"/>
            <w:tcBorders>
              <w:top w:val="nil"/>
              <w:left w:val="nil"/>
              <w:bottom w:val="single" w:sz="8" w:space="0" w:color="000000"/>
              <w:right w:val="single" w:sz="8" w:space="0" w:color="000000"/>
            </w:tcBorders>
            <w:shd w:val="clear" w:color="auto" w:fill="auto"/>
            <w:vAlign w:val="center"/>
          </w:tcPr>
          <w:p w:rsidR="00E96C78" w:rsidRPr="00EC01AA" w:rsidP="00EC01AA" w14:paraId="02953A67" w14:textId="1CB8A73B">
            <w:pPr>
              <w:jc w:val="right"/>
              <w:rPr>
                <w:color w:val="000000"/>
                <w:sz w:val="22"/>
                <w:szCs w:val="22"/>
              </w:rPr>
            </w:pPr>
            <w:r>
              <w:rPr>
                <w:color w:val="000000"/>
                <w:sz w:val="22"/>
                <w:szCs w:val="22"/>
              </w:rPr>
              <w:t>337</w:t>
            </w:r>
          </w:p>
        </w:tc>
        <w:tc>
          <w:tcPr>
            <w:tcW w:w="540" w:type="pct"/>
            <w:tcBorders>
              <w:top w:val="nil"/>
              <w:left w:val="nil"/>
              <w:bottom w:val="single" w:sz="8" w:space="0" w:color="000000"/>
              <w:right w:val="single" w:sz="8" w:space="0" w:color="000000"/>
            </w:tcBorders>
            <w:shd w:val="clear" w:color="auto" w:fill="auto"/>
            <w:vAlign w:val="center"/>
          </w:tcPr>
          <w:p w:rsidR="00E96C78" w:rsidRPr="00EC01AA" w:rsidP="00EC01AA" w14:paraId="31EE3F4F" w14:textId="2A72C6DE">
            <w:pPr>
              <w:jc w:val="right"/>
              <w:rPr>
                <w:color w:val="000000"/>
                <w:sz w:val="22"/>
                <w:szCs w:val="22"/>
              </w:rPr>
            </w:pPr>
            <w:r w:rsidRPr="00EC01AA">
              <w:rPr>
                <w:color w:val="000000"/>
                <w:sz w:val="22"/>
                <w:szCs w:val="22"/>
              </w:rPr>
              <w:t>$</w:t>
            </w:r>
            <w:r w:rsidR="00214B8E">
              <w:rPr>
                <w:color w:val="000000"/>
                <w:sz w:val="22"/>
                <w:szCs w:val="22"/>
              </w:rPr>
              <w:t>12,348</w:t>
            </w:r>
          </w:p>
        </w:tc>
        <w:tc>
          <w:tcPr>
            <w:tcW w:w="483" w:type="pct"/>
            <w:tcBorders>
              <w:top w:val="single" w:sz="4" w:space="0" w:color="auto"/>
              <w:left w:val="nil"/>
              <w:bottom w:val="single" w:sz="8" w:space="0" w:color="000000"/>
              <w:right w:val="single" w:sz="4" w:space="0" w:color="auto"/>
            </w:tcBorders>
            <w:vAlign w:val="center"/>
          </w:tcPr>
          <w:p w:rsidR="00E96C78" w:rsidRPr="00EC01AA" w:rsidP="00EC01AA" w14:paraId="51E0F709" w14:textId="699B3E6D">
            <w:pPr>
              <w:jc w:val="right"/>
              <w:rPr>
                <w:color w:val="000000"/>
                <w:sz w:val="22"/>
                <w:szCs w:val="22"/>
              </w:rPr>
            </w:pPr>
            <w:r w:rsidRPr="00EC01AA">
              <w:rPr>
                <w:color w:val="000000"/>
                <w:sz w:val="22"/>
                <w:szCs w:val="22"/>
              </w:rPr>
              <w:t>$0</w:t>
            </w:r>
          </w:p>
        </w:tc>
        <w:tc>
          <w:tcPr>
            <w:tcW w:w="537" w:type="pct"/>
            <w:tcBorders>
              <w:top w:val="nil"/>
              <w:left w:val="single" w:sz="4" w:space="0" w:color="auto"/>
              <w:bottom w:val="single" w:sz="8" w:space="0" w:color="000000"/>
              <w:right w:val="single" w:sz="8" w:space="0" w:color="000000"/>
            </w:tcBorders>
            <w:shd w:val="clear" w:color="auto" w:fill="auto"/>
            <w:vAlign w:val="center"/>
          </w:tcPr>
          <w:p w:rsidR="00E96C78" w:rsidRPr="00EC01AA" w:rsidP="00EC01AA" w14:paraId="1BFF94E4" w14:textId="17ABCB64">
            <w:pPr>
              <w:jc w:val="right"/>
              <w:rPr>
                <w:color w:val="000000"/>
                <w:sz w:val="22"/>
                <w:szCs w:val="22"/>
              </w:rPr>
            </w:pPr>
            <w:r>
              <w:rPr>
                <w:color w:val="000000"/>
                <w:sz w:val="22"/>
                <w:szCs w:val="22"/>
              </w:rPr>
              <w:t>1,011</w:t>
            </w:r>
          </w:p>
        </w:tc>
        <w:tc>
          <w:tcPr>
            <w:tcW w:w="604" w:type="pct"/>
            <w:tcBorders>
              <w:top w:val="nil"/>
              <w:left w:val="nil"/>
              <w:bottom w:val="single" w:sz="8" w:space="0" w:color="000000"/>
              <w:right w:val="single" w:sz="8" w:space="0" w:color="000000"/>
            </w:tcBorders>
            <w:shd w:val="clear" w:color="auto" w:fill="auto"/>
            <w:vAlign w:val="center"/>
          </w:tcPr>
          <w:p w:rsidR="00E96C78" w:rsidRPr="00EC01AA" w:rsidP="00EC01AA" w14:paraId="36FFBB7B" w14:textId="696CDA7B">
            <w:pPr>
              <w:jc w:val="right"/>
              <w:rPr>
                <w:color w:val="000000"/>
                <w:sz w:val="22"/>
                <w:szCs w:val="22"/>
              </w:rPr>
            </w:pPr>
            <w:r w:rsidRPr="00EC01AA">
              <w:rPr>
                <w:color w:val="000000"/>
                <w:sz w:val="22"/>
                <w:szCs w:val="22"/>
              </w:rPr>
              <w:t>$</w:t>
            </w:r>
            <w:r w:rsidR="00D40263">
              <w:rPr>
                <w:color w:val="000000"/>
                <w:sz w:val="22"/>
                <w:szCs w:val="22"/>
              </w:rPr>
              <w:t>37,043</w:t>
            </w:r>
          </w:p>
        </w:tc>
        <w:tc>
          <w:tcPr>
            <w:tcW w:w="682" w:type="pct"/>
            <w:tcBorders>
              <w:top w:val="nil"/>
              <w:left w:val="nil"/>
              <w:bottom w:val="single" w:sz="8" w:space="0" w:color="000000"/>
              <w:right w:val="single" w:sz="8" w:space="0" w:color="000000"/>
            </w:tcBorders>
            <w:vAlign w:val="center"/>
          </w:tcPr>
          <w:p w:rsidR="00E96C78" w:rsidRPr="00EC01AA" w:rsidP="00EC01AA" w14:paraId="1E200779" w14:textId="13736CA2">
            <w:pPr>
              <w:jc w:val="right"/>
              <w:rPr>
                <w:color w:val="000000"/>
                <w:sz w:val="22"/>
                <w:szCs w:val="22"/>
              </w:rPr>
            </w:pPr>
            <w:r w:rsidRPr="00EC01AA">
              <w:rPr>
                <w:color w:val="000000"/>
                <w:sz w:val="22"/>
                <w:szCs w:val="22"/>
              </w:rPr>
              <w:t>$0</w:t>
            </w:r>
          </w:p>
        </w:tc>
      </w:tr>
      <w:tr w14:paraId="699185F7" w14:textId="4DCB81ED" w:rsidTr="00EC01AA">
        <w:tblPrEx>
          <w:tblW w:w="5000" w:type="pct"/>
          <w:tblLook w:val="04A0"/>
        </w:tblPrEx>
        <w:trPr>
          <w:trHeight w:val="20"/>
        </w:trPr>
        <w:tc>
          <w:tcPr>
            <w:tcW w:w="1617" w:type="pct"/>
            <w:tcBorders>
              <w:top w:val="nil"/>
              <w:left w:val="single" w:sz="8" w:space="0" w:color="000000"/>
              <w:bottom w:val="single" w:sz="8" w:space="0" w:color="000000"/>
              <w:right w:val="single" w:sz="8" w:space="0" w:color="000000"/>
            </w:tcBorders>
            <w:shd w:val="clear" w:color="auto" w:fill="auto"/>
            <w:vAlign w:val="center"/>
            <w:hideMark/>
          </w:tcPr>
          <w:p w:rsidR="00E96C78" w:rsidP="00E96C78" w14:paraId="19FB8D62" w14:textId="555BC510">
            <w:pPr>
              <w:rPr>
                <w:color w:val="000000"/>
                <w:sz w:val="22"/>
                <w:szCs w:val="22"/>
              </w:rPr>
            </w:pPr>
            <w:r>
              <w:rPr>
                <w:color w:val="000000"/>
                <w:sz w:val="22"/>
                <w:szCs w:val="22"/>
              </w:rPr>
              <w:t xml:space="preserve">State and local agencies and LEPCs </w:t>
            </w:r>
          </w:p>
        </w:tc>
        <w:tc>
          <w:tcPr>
            <w:tcW w:w="537" w:type="pct"/>
            <w:tcBorders>
              <w:top w:val="nil"/>
              <w:left w:val="nil"/>
              <w:bottom w:val="single" w:sz="8" w:space="0" w:color="000000"/>
              <w:right w:val="single" w:sz="8" w:space="0" w:color="000000"/>
            </w:tcBorders>
            <w:shd w:val="clear" w:color="auto" w:fill="auto"/>
            <w:vAlign w:val="center"/>
          </w:tcPr>
          <w:p w:rsidR="00E96C78" w:rsidRPr="00EC01AA" w:rsidP="00EC01AA" w14:paraId="626B9B40" w14:textId="19FE061C">
            <w:pPr>
              <w:jc w:val="right"/>
              <w:rPr>
                <w:color w:val="000000"/>
                <w:sz w:val="22"/>
                <w:szCs w:val="22"/>
              </w:rPr>
            </w:pPr>
            <w:r>
              <w:rPr>
                <w:color w:val="000000"/>
                <w:sz w:val="22"/>
                <w:szCs w:val="22"/>
              </w:rPr>
              <w:t>326</w:t>
            </w:r>
          </w:p>
        </w:tc>
        <w:tc>
          <w:tcPr>
            <w:tcW w:w="540" w:type="pct"/>
            <w:tcBorders>
              <w:top w:val="nil"/>
              <w:left w:val="nil"/>
              <w:bottom w:val="single" w:sz="8" w:space="0" w:color="000000"/>
              <w:right w:val="single" w:sz="8" w:space="0" w:color="000000"/>
            </w:tcBorders>
            <w:shd w:val="clear" w:color="auto" w:fill="auto"/>
            <w:vAlign w:val="center"/>
          </w:tcPr>
          <w:p w:rsidR="00E96C78" w:rsidRPr="00EC01AA" w:rsidP="00EC01AA" w14:paraId="552FDE5C" w14:textId="329BD881">
            <w:pPr>
              <w:jc w:val="right"/>
              <w:rPr>
                <w:color w:val="000000"/>
                <w:sz w:val="22"/>
                <w:szCs w:val="22"/>
              </w:rPr>
            </w:pPr>
            <w:r w:rsidRPr="00EC01AA">
              <w:rPr>
                <w:color w:val="000000"/>
                <w:sz w:val="22"/>
                <w:szCs w:val="22"/>
              </w:rPr>
              <w:t>$</w:t>
            </w:r>
            <w:r w:rsidR="00214B8E">
              <w:rPr>
                <w:color w:val="000000"/>
                <w:sz w:val="22"/>
                <w:szCs w:val="22"/>
              </w:rPr>
              <w:t>17,452</w:t>
            </w:r>
          </w:p>
        </w:tc>
        <w:tc>
          <w:tcPr>
            <w:tcW w:w="483" w:type="pct"/>
            <w:tcBorders>
              <w:top w:val="single" w:sz="8" w:space="0" w:color="000000"/>
              <w:left w:val="nil"/>
              <w:bottom w:val="single" w:sz="8" w:space="0" w:color="000000"/>
              <w:right w:val="single" w:sz="4" w:space="0" w:color="auto"/>
            </w:tcBorders>
            <w:vAlign w:val="center"/>
          </w:tcPr>
          <w:p w:rsidR="00E96C78" w:rsidRPr="00EC01AA" w:rsidP="00EC01AA" w14:paraId="368E79E7" w14:textId="57252723">
            <w:pPr>
              <w:jc w:val="right"/>
              <w:rPr>
                <w:color w:val="000000"/>
                <w:sz w:val="22"/>
                <w:szCs w:val="22"/>
              </w:rPr>
            </w:pPr>
            <w:r w:rsidRPr="00EC01AA">
              <w:rPr>
                <w:color w:val="000000"/>
                <w:sz w:val="22"/>
                <w:szCs w:val="22"/>
              </w:rPr>
              <w:t>$</w:t>
            </w:r>
            <w:r w:rsidR="00D40263">
              <w:rPr>
                <w:color w:val="000000"/>
                <w:sz w:val="22"/>
                <w:szCs w:val="22"/>
              </w:rPr>
              <w:t>81</w:t>
            </w:r>
          </w:p>
        </w:tc>
        <w:tc>
          <w:tcPr>
            <w:tcW w:w="537" w:type="pct"/>
            <w:tcBorders>
              <w:top w:val="nil"/>
              <w:left w:val="single" w:sz="4" w:space="0" w:color="auto"/>
              <w:bottom w:val="single" w:sz="8" w:space="0" w:color="000000"/>
              <w:right w:val="single" w:sz="8" w:space="0" w:color="000000"/>
            </w:tcBorders>
            <w:shd w:val="clear" w:color="auto" w:fill="auto"/>
            <w:vAlign w:val="center"/>
          </w:tcPr>
          <w:p w:rsidR="00E96C78" w:rsidRPr="00EC01AA" w:rsidP="00EC01AA" w14:paraId="28724FC8" w14:textId="5770133A">
            <w:pPr>
              <w:jc w:val="right"/>
              <w:rPr>
                <w:color w:val="000000"/>
                <w:sz w:val="22"/>
                <w:szCs w:val="22"/>
              </w:rPr>
            </w:pPr>
            <w:r>
              <w:rPr>
                <w:color w:val="000000"/>
                <w:sz w:val="22"/>
                <w:szCs w:val="22"/>
              </w:rPr>
              <w:t>977</w:t>
            </w:r>
            <w:r w:rsidRPr="00EC01AA">
              <w:rPr>
                <w:color w:val="000000"/>
                <w:sz w:val="22"/>
                <w:szCs w:val="22"/>
              </w:rPr>
              <w:t xml:space="preserve"> </w:t>
            </w:r>
          </w:p>
        </w:tc>
        <w:tc>
          <w:tcPr>
            <w:tcW w:w="604" w:type="pct"/>
            <w:tcBorders>
              <w:top w:val="nil"/>
              <w:left w:val="nil"/>
              <w:bottom w:val="single" w:sz="8" w:space="0" w:color="000000"/>
              <w:right w:val="single" w:sz="8" w:space="0" w:color="000000"/>
            </w:tcBorders>
            <w:shd w:val="clear" w:color="auto" w:fill="auto"/>
            <w:vAlign w:val="center"/>
          </w:tcPr>
          <w:p w:rsidR="00E96C78" w:rsidRPr="00EC01AA" w:rsidP="00EC01AA" w14:paraId="446B75C3" w14:textId="57156978">
            <w:pPr>
              <w:jc w:val="right"/>
              <w:rPr>
                <w:color w:val="000000"/>
                <w:sz w:val="22"/>
                <w:szCs w:val="22"/>
              </w:rPr>
            </w:pPr>
            <w:r w:rsidRPr="00EC01AA">
              <w:rPr>
                <w:color w:val="000000"/>
                <w:sz w:val="22"/>
                <w:szCs w:val="22"/>
              </w:rPr>
              <w:t>$</w:t>
            </w:r>
            <w:r w:rsidR="001D5438">
              <w:rPr>
                <w:color w:val="000000"/>
                <w:sz w:val="22"/>
                <w:szCs w:val="22"/>
              </w:rPr>
              <w:t>52,357</w:t>
            </w:r>
          </w:p>
        </w:tc>
        <w:tc>
          <w:tcPr>
            <w:tcW w:w="682" w:type="pct"/>
            <w:tcBorders>
              <w:top w:val="nil"/>
              <w:left w:val="nil"/>
              <w:bottom w:val="single" w:sz="8" w:space="0" w:color="000000"/>
              <w:right w:val="single" w:sz="8" w:space="0" w:color="000000"/>
            </w:tcBorders>
            <w:vAlign w:val="center"/>
          </w:tcPr>
          <w:p w:rsidR="00E96C78" w:rsidRPr="00EC01AA" w:rsidP="00EC01AA" w14:paraId="13443A31" w14:textId="57ED308F">
            <w:pPr>
              <w:jc w:val="right"/>
              <w:rPr>
                <w:color w:val="000000"/>
                <w:sz w:val="22"/>
                <w:szCs w:val="22"/>
              </w:rPr>
            </w:pPr>
            <w:r w:rsidRPr="00EC01AA">
              <w:rPr>
                <w:color w:val="000000"/>
                <w:sz w:val="22"/>
                <w:szCs w:val="22"/>
              </w:rPr>
              <w:t>$</w:t>
            </w:r>
            <w:r w:rsidR="001D5438">
              <w:rPr>
                <w:color w:val="000000"/>
                <w:sz w:val="22"/>
                <w:szCs w:val="22"/>
              </w:rPr>
              <w:t>243</w:t>
            </w:r>
          </w:p>
        </w:tc>
      </w:tr>
      <w:tr w14:paraId="46326B4A" w14:textId="3B791C27" w:rsidTr="00EC01AA">
        <w:tblPrEx>
          <w:tblW w:w="5000" w:type="pct"/>
          <w:tblLook w:val="04A0"/>
        </w:tblPrEx>
        <w:trPr>
          <w:trHeight w:val="20"/>
        </w:trPr>
        <w:tc>
          <w:tcPr>
            <w:tcW w:w="1617" w:type="pct"/>
            <w:tcBorders>
              <w:top w:val="nil"/>
              <w:left w:val="single" w:sz="8" w:space="0" w:color="000000"/>
              <w:bottom w:val="single" w:sz="8" w:space="0" w:color="000000"/>
              <w:right w:val="single" w:sz="8" w:space="0" w:color="000000"/>
            </w:tcBorders>
            <w:shd w:val="clear" w:color="auto" w:fill="auto"/>
            <w:vAlign w:val="center"/>
            <w:hideMark/>
          </w:tcPr>
          <w:p w:rsidR="00EC01AA" w:rsidP="00EC01AA" w14:paraId="7F8BAFF3" w14:textId="77777777">
            <w:pPr>
              <w:rPr>
                <w:b/>
                <w:bCs/>
                <w:color w:val="000000"/>
                <w:sz w:val="22"/>
                <w:szCs w:val="22"/>
              </w:rPr>
            </w:pPr>
            <w:r>
              <w:rPr>
                <w:b/>
                <w:bCs/>
                <w:color w:val="000000"/>
                <w:sz w:val="22"/>
                <w:szCs w:val="22"/>
              </w:rPr>
              <w:t>Total</w:t>
            </w:r>
          </w:p>
        </w:tc>
        <w:tc>
          <w:tcPr>
            <w:tcW w:w="537" w:type="pct"/>
            <w:tcBorders>
              <w:top w:val="nil"/>
              <w:left w:val="nil"/>
              <w:bottom w:val="single" w:sz="8" w:space="0" w:color="000000"/>
              <w:right w:val="single" w:sz="8" w:space="0" w:color="000000"/>
            </w:tcBorders>
            <w:shd w:val="clear" w:color="auto" w:fill="auto"/>
            <w:vAlign w:val="center"/>
          </w:tcPr>
          <w:p w:rsidR="00EC01AA" w:rsidP="00EC01AA" w14:paraId="2CEA0739" w14:textId="2BFA14B1">
            <w:pPr>
              <w:jc w:val="right"/>
              <w:rPr>
                <w:b/>
                <w:bCs/>
                <w:color w:val="000000"/>
                <w:sz w:val="22"/>
                <w:szCs w:val="22"/>
              </w:rPr>
            </w:pPr>
            <w:r>
              <w:rPr>
                <w:b/>
                <w:bCs/>
                <w:color w:val="000000"/>
                <w:sz w:val="22"/>
                <w:szCs w:val="22"/>
              </w:rPr>
              <w:t>663</w:t>
            </w:r>
          </w:p>
        </w:tc>
        <w:tc>
          <w:tcPr>
            <w:tcW w:w="540" w:type="pct"/>
            <w:tcBorders>
              <w:top w:val="nil"/>
              <w:left w:val="nil"/>
              <w:bottom w:val="single" w:sz="8" w:space="0" w:color="000000"/>
              <w:right w:val="single" w:sz="8" w:space="0" w:color="000000"/>
            </w:tcBorders>
            <w:shd w:val="clear" w:color="auto" w:fill="auto"/>
            <w:vAlign w:val="center"/>
          </w:tcPr>
          <w:p w:rsidR="00EC01AA" w:rsidP="00EC01AA" w14:paraId="2923D89F" w14:textId="0CC662DB">
            <w:pPr>
              <w:jc w:val="right"/>
              <w:rPr>
                <w:b/>
                <w:bCs/>
                <w:color w:val="000000"/>
                <w:sz w:val="22"/>
                <w:szCs w:val="22"/>
              </w:rPr>
            </w:pPr>
            <w:r>
              <w:rPr>
                <w:b/>
                <w:bCs/>
                <w:color w:val="000000"/>
                <w:sz w:val="22"/>
                <w:szCs w:val="22"/>
              </w:rPr>
              <w:t>$</w:t>
            </w:r>
            <w:r w:rsidR="00214B8E">
              <w:rPr>
                <w:b/>
                <w:bCs/>
                <w:color w:val="000000"/>
                <w:sz w:val="22"/>
                <w:szCs w:val="22"/>
              </w:rPr>
              <w:t>29,800</w:t>
            </w:r>
          </w:p>
        </w:tc>
        <w:tc>
          <w:tcPr>
            <w:tcW w:w="483" w:type="pct"/>
            <w:tcBorders>
              <w:top w:val="single" w:sz="8" w:space="0" w:color="000000"/>
              <w:left w:val="nil"/>
              <w:bottom w:val="single" w:sz="8" w:space="0" w:color="000000"/>
              <w:right w:val="single" w:sz="4" w:space="0" w:color="auto"/>
            </w:tcBorders>
            <w:vAlign w:val="center"/>
          </w:tcPr>
          <w:p w:rsidR="00EC01AA" w:rsidP="00EC01AA" w14:paraId="5022243B" w14:textId="4A71F928">
            <w:pPr>
              <w:jc w:val="right"/>
              <w:rPr>
                <w:b/>
                <w:bCs/>
                <w:color w:val="000000"/>
                <w:sz w:val="22"/>
                <w:szCs w:val="22"/>
              </w:rPr>
            </w:pPr>
            <w:r>
              <w:rPr>
                <w:b/>
                <w:bCs/>
                <w:color w:val="000000"/>
                <w:sz w:val="22"/>
                <w:szCs w:val="22"/>
              </w:rPr>
              <w:t>$</w:t>
            </w:r>
            <w:r w:rsidR="00D40263">
              <w:rPr>
                <w:b/>
                <w:bCs/>
                <w:color w:val="000000"/>
                <w:sz w:val="22"/>
                <w:szCs w:val="22"/>
              </w:rPr>
              <w:t>81</w:t>
            </w:r>
          </w:p>
        </w:tc>
        <w:tc>
          <w:tcPr>
            <w:tcW w:w="537" w:type="pct"/>
            <w:tcBorders>
              <w:top w:val="nil"/>
              <w:left w:val="single" w:sz="4" w:space="0" w:color="auto"/>
              <w:bottom w:val="single" w:sz="8" w:space="0" w:color="000000"/>
              <w:right w:val="single" w:sz="8" w:space="0" w:color="000000"/>
            </w:tcBorders>
            <w:shd w:val="clear" w:color="auto" w:fill="auto"/>
            <w:vAlign w:val="center"/>
          </w:tcPr>
          <w:p w:rsidR="00EC01AA" w:rsidP="00EC01AA" w14:paraId="5F3A071A" w14:textId="2755BB27">
            <w:pPr>
              <w:jc w:val="right"/>
              <w:rPr>
                <w:b/>
                <w:bCs/>
                <w:color w:val="000000"/>
                <w:sz w:val="22"/>
                <w:szCs w:val="22"/>
              </w:rPr>
            </w:pPr>
            <w:r>
              <w:rPr>
                <w:b/>
                <w:bCs/>
                <w:color w:val="000000"/>
                <w:sz w:val="22"/>
                <w:szCs w:val="22"/>
              </w:rPr>
              <w:t>1,988</w:t>
            </w:r>
          </w:p>
        </w:tc>
        <w:tc>
          <w:tcPr>
            <w:tcW w:w="604" w:type="pct"/>
            <w:tcBorders>
              <w:top w:val="nil"/>
              <w:left w:val="nil"/>
              <w:bottom w:val="single" w:sz="8" w:space="0" w:color="000000"/>
              <w:right w:val="single" w:sz="8" w:space="0" w:color="000000"/>
            </w:tcBorders>
            <w:shd w:val="clear" w:color="auto" w:fill="auto"/>
            <w:vAlign w:val="center"/>
          </w:tcPr>
          <w:p w:rsidR="00EC01AA" w:rsidP="00EC01AA" w14:paraId="502F6B41" w14:textId="0C19D6E3">
            <w:pPr>
              <w:jc w:val="right"/>
              <w:rPr>
                <w:b/>
                <w:bCs/>
                <w:color w:val="000000"/>
                <w:sz w:val="22"/>
                <w:szCs w:val="22"/>
              </w:rPr>
            </w:pPr>
            <w:r>
              <w:rPr>
                <w:b/>
                <w:bCs/>
                <w:color w:val="000000"/>
                <w:sz w:val="22"/>
                <w:szCs w:val="22"/>
              </w:rPr>
              <w:t>$</w:t>
            </w:r>
            <w:r w:rsidR="001D5438">
              <w:rPr>
                <w:b/>
                <w:bCs/>
                <w:color w:val="000000"/>
                <w:sz w:val="22"/>
                <w:szCs w:val="22"/>
              </w:rPr>
              <w:t>89,400</w:t>
            </w:r>
          </w:p>
        </w:tc>
        <w:tc>
          <w:tcPr>
            <w:tcW w:w="682" w:type="pct"/>
            <w:tcBorders>
              <w:top w:val="nil"/>
              <w:left w:val="nil"/>
              <w:bottom w:val="single" w:sz="8" w:space="0" w:color="000000"/>
              <w:right w:val="single" w:sz="8" w:space="0" w:color="000000"/>
            </w:tcBorders>
            <w:vAlign w:val="center"/>
          </w:tcPr>
          <w:p w:rsidR="00EC01AA" w:rsidP="00EC01AA" w14:paraId="3039E068" w14:textId="63D1E20F">
            <w:pPr>
              <w:jc w:val="right"/>
              <w:rPr>
                <w:b/>
                <w:bCs/>
                <w:color w:val="000000"/>
                <w:sz w:val="22"/>
                <w:szCs w:val="22"/>
              </w:rPr>
            </w:pPr>
            <w:r>
              <w:rPr>
                <w:b/>
                <w:bCs/>
                <w:color w:val="000000"/>
                <w:sz w:val="22"/>
                <w:szCs w:val="22"/>
              </w:rPr>
              <w:t>$</w:t>
            </w:r>
            <w:r w:rsidR="001D5438">
              <w:rPr>
                <w:b/>
                <w:bCs/>
                <w:color w:val="000000"/>
                <w:sz w:val="22"/>
                <w:szCs w:val="22"/>
              </w:rPr>
              <w:t>243</w:t>
            </w:r>
          </w:p>
        </w:tc>
      </w:tr>
    </w:tbl>
    <w:p w:rsidR="00FF7056" w:rsidP="00AD71B4" w14:paraId="691BA111" w14:textId="5182E7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FF7056" w:rsidP="00AD71B4" w14:paraId="25F4C44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874EB6" w:rsidRPr="00E765BA" w:rsidP="00E765BA" w14:paraId="072536C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iCs/>
        </w:rPr>
      </w:pPr>
      <w:r w:rsidRPr="00231876">
        <w:rPr>
          <w:i/>
          <w:iCs/>
        </w:rPr>
        <w:t>Estimated Total Annual Burden and Cost to EPA</w:t>
      </w:r>
    </w:p>
    <w:p w:rsidR="00874EB6" w:rsidRPr="00383746" w:rsidP="00E765BA" w14:paraId="5CBC3B1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14:paraId="65EC6FD8" w14:textId="15A118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5C78AB">
        <w:t xml:space="preserve">The Agency will incur burden to </w:t>
      </w:r>
      <w:r w:rsidR="004E0EAC">
        <w:t>assist in reading rooms, responding to VZIS and data requests</w:t>
      </w:r>
      <w:r w:rsidR="00B3749F">
        <w:t>, responding and filling requests for CDs, and registering others within CDX</w:t>
      </w:r>
      <w:r w:rsidRPr="005C78AB">
        <w:t>, as summarized in Exhibit 1</w:t>
      </w:r>
      <w:r>
        <w:t>0</w:t>
      </w:r>
      <w:r w:rsidRPr="005C78AB">
        <w:t>.</w:t>
      </w:r>
    </w:p>
    <w:p w:rsidR="005C78AB" w:rsidRPr="00383746" w14:paraId="05D7E3D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20388A" w:rsidRPr="00383746" w14:paraId="3A8B94C0" w14:textId="77777777">
      <w:pPr>
        <w:widowControl w:val="0"/>
        <w:tabs>
          <w:tab w:val="left" w:pos="720"/>
          <w:tab w:val="left" w:pos="1440"/>
          <w:tab w:val="left" w:pos="2160"/>
          <w:tab w:val="left" w:pos="2880"/>
          <w:tab w:val="left" w:pos="3600"/>
          <w:tab w:val="left" w:pos="4320"/>
          <w:tab w:val="left" w:pos="5044"/>
        </w:tabs>
        <w:autoSpaceDE w:val="0"/>
        <w:autoSpaceDN w:val="0"/>
        <w:adjustRightInd w:val="0"/>
        <w:ind w:firstLine="720"/>
      </w:pPr>
      <w:r w:rsidRPr="00383746">
        <w:rPr>
          <w:b/>
          <w:bCs/>
        </w:rPr>
        <w:t>6(e)</w:t>
      </w:r>
      <w:r w:rsidRPr="00383746">
        <w:rPr>
          <w:b/>
          <w:bCs/>
        </w:rPr>
        <w:tab/>
        <w:t>Bottom Line Burden Hours and Costs</w:t>
      </w:r>
    </w:p>
    <w:p w:rsidR="0020388A" w:rsidRPr="00383746" w14:paraId="17D6571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p>
    <w:p w:rsidR="0020388A" w14:paraId="4DD7D3B0" w14:textId="03D535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color w:val="000000"/>
        </w:rPr>
      </w:pPr>
      <w:r>
        <w:t>Exhibit 1</w:t>
      </w:r>
      <w:r w:rsidR="009D7B57">
        <w:t>2</w:t>
      </w:r>
      <w:r>
        <w:t xml:space="preserve"> summarizes the total estimated burden costs and O&amp;M costs. </w:t>
      </w:r>
      <w:r w:rsidRPr="00E765BA">
        <w:t>Total cost</w:t>
      </w:r>
      <w:r>
        <w:t>s</w:t>
      </w:r>
      <w:r w:rsidRPr="00E765BA">
        <w:t xml:space="preserve"> </w:t>
      </w:r>
      <w:r>
        <w:t>are</w:t>
      </w:r>
      <w:r w:rsidRPr="00E765BA">
        <w:t xml:space="preserve"> summarized for </w:t>
      </w:r>
      <w:r>
        <w:t xml:space="preserve">the public, </w:t>
      </w:r>
      <w:r w:rsidRPr="00E765BA">
        <w:t xml:space="preserve">State and </w:t>
      </w:r>
      <w:r>
        <w:t>l</w:t>
      </w:r>
      <w:r w:rsidRPr="00E765BA">
        <w:t xml:space="preserve">ocal </w:t>
      </w:r>
      <w:r>
        <w:t>a</w:t>
      </w:r>
      <w:r w:rsidRPr="00E765BA">
        <w:t>gencies</w:t>
      </w:r>
      <w:r>
        <w:t>, and the EPA</w:t>
      </w:r>
      <w:r w:rsidRPr="00E765BA">
        <w:t xml:space="preserve">. </w:t>
      </w:r>
      <w:bookmarkStart w:id="4" w:name="_Hlk109392654"/>
      <w:r w:rsidRPr="00E765BA" w:rsidR="003C080C">
        <w:t xml:space="preserve">The annual cost </w:t>
      </w:r>
      <w:r w:rsidR="009D7B57">
        <w:t xml:space="preserve">for </w:t>
      </w:r>
      <w:bookmarkEnd w:id="4"/>
      <w:r w:rsidR="009D7B57">
        <w:t>t</w:t>
      </w:r>
      <w:r w:rsidRPr="00E765BA" w:rsidR="003C080C">
        <w:t>his ICR is estimated to be</w:t>
      </w:r>
      <w:r w:rsidRPr="00E765BA" w:rsidR="00A87D4D">
        <w:t xml:space="preserve"> </w:t>
      </w:r>
      <w:r w:rsidRPr="00E765BA">
        <w:t>$</w:t>
      </w:r>
      <w:r w:rsidR="00113CC0">
        <w:t>59,976</w:t>
      </w:r>
      <w:r w:rsidRPr="00E765BA">
        <w:t xml:space="preserve"> ($</w:t>
      </w:r>
      <w:r w:rsidR="00113CC0">
        <w:t>179,928</w:t>
      </w:r>
      <w:r w:rsidRPr="00E765BA">
        <w:t xml:space="preserve"> for three years)</w:t>
      </w:r>
      <w:r w:rsidRPr="005E786A">
        <w:rPr>
          <w:color w:val="000000"/>
        </w:rPr>
        <w:t>.</w:t>
      </w:r>
    </w:p>
    <w:p w:rsidR="00241FB4" w14:paraId="489688A4" w14:textId="1653F0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color w:val="FF0000"/>
        </w:rPr>
      </w:pPr>
    </w:p>
    <w:p w:rsidR="00995427" w14:paraId="2D3F1EBF" w14:textId="698B45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color w:val="FF0000"/>
        </w:rPr>
      </w:pPr>
    </w:p>
    <w:p w:rsidR="00995427" w14:paraId="1EF9F1F9" w14:textId="75C4AC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color w:val="FF0000"/>
        </w:rPr>
      </w:pPr>
    </w:p>
    <w:p w:rsidR="00995427" w14:paraId="15264264" w14:textId="77CDAB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color w:val="FF0000"/>
        </w:rPr>
      </w:pPr>
    </w:p>
    <w:p w:rsidR="00995427" w14:paraId="2826137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color w:val="FF0000"/>
        </w:rPr>
      </w:pPr>
    </w:p>
    <w:p w:rsidR="00241FB4" w:rsidP="00E765BA" w14:paraId="5309ACEC" w14:textId="4E8FC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color w:val="000000"/>
        </w:rPr>
      </w:pPr>
      <w:r>
        <w:rPr>
          <w:b/>
          <w:bCs/>
          <w:color w:val="000000"/>
        </w:rPr>
        <w:t>Exhibit 1</w:t>
      </w:r>
      <w:r w:rsidR="00F11D2C">
        <w:rPr>
          <w:b/>
          <w:bCs/>
          <w:color w:val="000000"/>
        </w:rPr>
        <w:t>2</w:t>
      </w:r>
    </w:p>
    <w:p w:rsidR="00241FB4" w:rsidP="00E765BA" w14:paraId="2744F87A" w14:textId="055992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color w:val="FF0000"/>
        </w:rPr>
      </w:pPr>
      <w:r>
        <w:rPr>
          <w:b/>
          <w:bCs/>
          <w:color w:val="000000"/>
        </w:rPr>
        <w:t>Total Burden and Cost Estimates</w:t>
      </w:r>
    </w:p>
    <w:tbl>
      <w:tblPr>
        <w:tblW w:w="5000" w:type="pct"/>
        <w:tblLook w:val="04A0"/>
      </w:tblPr>
      <w:tblGrid>
        <w:gridCol w:w="1401"/>
        <w:gridCol w:w="931"/>
        <w:gridCol w:w="779"/>
        <w:gridCol w:w="1464"/>
        <w:gridCol w:w="1151"/>
        <w:gridCol w:w="1041"/>
        <w:gridCol w:w="822"/>
        <w:gridCol w:w="1041"/>
      </w:tblGrid>
      <w:tr w14:paraId="41241C2F" w14:textId="77777777" w:rsidTr="00F11D2C">
        <w:tblPrEx>
          <w:tblW w:w="5000" w:type="pct"/>
          <w:tblLook w:val="04A0"/>
        </w:tblPrEx>
        <w:trPr>
          <w:trHeight w:val="290"/>
        </w:trPr>
        <w:tc>
          <w:tcPr>
            <w:tcW w:w="812" w:type="pct"/>
            <w:vMerge w:val="restart"/>
            <w:tcBorders>
              <w:top w:val="single" w:sz="4" w:space="0" w:color="auto"/>
              <w:left w:val="single" w:sz="4" w:space="0" w:color="auto"/>
              <w:bottom w:val="nil"/>
              <w:right w:val="nil"/>
            </w:tcBorders>
            <w:shd w:val="clear" w:color="auto" w:fill="auto"/>
            <w:vAlign w:val="center"/>
            <w:hideMark/>
          </w:tcPr>
          <w:p w:rsidR="00241FB4" w:rsidRPr="00E765BA" w14:paraId="3271B6EA" w14:textId="77777777">
            <w:pPr>
              <w:jc w:val="center"/>
              <w:rPr>
                <w:b/>
                <w:bCs/>
                <w:color w:val="000000"/>
                <w:sz w:val="22"/>
                <w:szCs w:val="22"/>
              </w:rPr>
            </w:pPr>
            <w:r w:rsidRPr="00E765BA">
              <w:rPr>
                <w:b/>
                <w:bCs/>
                <w:color w:val="000000"/>
                <w:sz w:val="22"/>
                <w:szCs w:val="22"/>
              </w:rPr>
              <w:t>Period</w:t>
            </w:r>
          </w:p>
        </w:tc>
        <w:tc>
          <w:tcPr>
            <w:tcW w:w="99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41FB4" w:rsidRPr="00E765BA" w14:paraId="4F83064C" w14:textId="77777777">
            <w:pPr>
              <w:jc w:val="center"/>
              <w:rPr>
                <w:b/>
                <w:bCs/>
                <w:color w:val="000000"/>
                <w:sz w:val="22"/>
                <w:szCs w:val="22"/>
              </w:rPr>
            </w:pPr>
            <w:r w:rsidRPr="00E765BA">
              <w:rPr>
                <w:b/>
                <w:bCs/>
                <w:color w:val="000000"/>
                <w:sz w:val="22"/>
                <w:szCs w:val="22"/>
              </w:rPr>
              <w:t>Public Costs</w:t>
            </w:r>
          </w:p>
        </w:tc>
        <w:tc>
          <w:tcPr>
            <w:tcW w:w="1515" w:type="pct"/>
            <w:gridSpan w:val="2"/>
            <w:tcBorders>
              <w:top w:val="single" w:sz="4" w:space="0" w:color="auto"/>
              <w:left w:val="nil"/>
              <w:bottom w:val="single" w:sz="4" w:space="0" w:color="auto"/>
              <w:right w:val="single" w:sz="4" w:space="0" w:color="000000"/>
            </w:tcBorders>
            <w:shd w:val="clear" w:color="auto" w:fill="auto"/>
            <w:vAlign w:val="center"/>
            <w:hideMark/>
          </w:tcPr>
          <w:p w:rsidR="00241FB4" w:rsidRPr="00E765BA" w14:paraId="709582E6" w14:textId="77777777">
            <w:pPr>
              <w:jc w:val="center"/>
              <w:rPr>
                <w:b/>
                <w:bCs/>
                <w:color w:val="000000"/>
                <w:sz w:val="22"/>
                <w:szCs w:val="22"/>
              </w:rPr>
            </w:pPr>
            <w:r w:rsidRPr="00E765BA">
              <w:rPr>
                <w:b/>
                <w:bCs/>
                <w:color w:val="000000"/>
                <w:sz w:val="22"/>
                <w:szCs w:val="22"/>
              </w:rPr>
              <w:t>Costs to State and Local Agencies</w:t>
            </w:r>
          </w:p>
        </w:tc>
        <w:tc>
          <w:tcPr>
            <w:tcW w:w="1079" w:type="pct"/>
            <w:gridSpan w:val="2"/>
            <w:tcBorders>
              <w:top w:val="single" w:sz="4" w:space="0" w:color="auto"/>
              <w:left w:val="nil"/>
              <w:bottom w:val="single" w:sz="4" w:space="0" w:color="auto"/>
              <w:right w:val="single" w:sz="4" w:space="0" w:color="000000"/>
            </w:tcBorders>
            <w:shd w:val="clear" w:color="auto" w:fill="auto"/>
            <w:vAlign w:val="center"/>
            <w:hideMark/>
          </w:tcPr>
          <w:p w:rsidR="00241FB4" w:rsidRPr="00E765BA" w14:paraId="32CBA3F9" w14:textId="77777777">
            <w:pPr>
              <w:jc w:val="center"/>
              <w:rPr>
                <w:b/>
                <w:bCs/>
                <w:color w:val="000000"/>
                <w:sz w:val="22"/>
                <w:szCs w:val="22"/>
              </w:rPr>
            </w:pPr>
            <w:r w:rsidRPr="00E765BA">
              <w:rPr>
                <w:b/>
                <w:bCs/>
                <w:color w:val="000000"/>
                <w:sz w:val="22"/>
                <w:szCs w:val="22"/>
              </w:rPr>
              <w:t>Agency Costs</w:t>
            </w:r>
          </w:p>
        </w:tc>
        <w:tc>
          <w:tcPr>
            <w:tcW w:w="60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1FB4" w:rsidRPr="00241FB4" w14:paraId="495E4905" w14:textId="77777777">
            <w:pPr>
              <w:jc w:val="center"/>
              <w:rPr>
                <w:b/>
                <w:bCs/>
                <w:color w:val="000000"/>
                <w:sz w:val="22"/>
                <w:szCs w:val="22"/>
              </w:rPr>
            </w:pPr>
            <w:r w:rsidRPr="00241FB4">
              <w:rPr>
                <w:b/>
                <w:bCs/>
                <w:color w:val="000000"/>
                <w:sz w:val="22"/>
                <w:szCs w:val="22"/>
              </w:rPr>
              <w:t>Total</w:t>
            </w:r>
          </w:p>
        </w:tc>
      </w:tr>
      <w:tr w14:paraId="06D7B106" w14:textId="77777777" w:rsidTr="00F11D2C">
        <w:tblPrEx>
          <w:tblW w:w="5000" w:type="pct"/>
          <w:tblLook w:val="04A0"/>
        </w:tblPrEx>
        <w:trPr>
          <w:trHeight w:val="290"/>
        </w:trPr>
        <w:tc>
          <w:tcPr>
            <w:tcW w:w="812" w:type="pct"/>
            <w:vMerge/>
            <w:tcBorders>
              <w:top w:val="single" w:sz="4" w:space="0" w:color="auto"/>
              <w:left w:val="single" w:sz="4" w:space="0" w:color="auto"/>
              <w:bottom w:val="nil"/>
              <w:right w:val="nil"/>
            </w:tcBorders>
            <w:vAlign w:val="center"/>
            <w:hideMark/>
          </w:tcPr>
          <w:p w:rsidR="00241FB4" w:rsidRPr="005E786A" w14:paraId="215A08F9" w14:textId="77777777">
            <w:pPr>
              <w:rPr>
                <w:b/>
                <w:bCs/>
                <w:color w:val="000000"/>
                <w:sz w:val="22"/>
                <w:szCs w:val="22"/>
              </w:rPr>
            </w:pPr>
          </w:p>
        </w:tc>
        <w:tc>
          <w:tcPr>
            <w:tcW w:w="539" w:type="pct"/>
            <w:tcBorders>
              <w:top w:val="nil"/>
              <w:left w:val="single" w:sz="4" w:space="0" w:color="auto"/>
              <w:bottom w:val="single" w:sz="4" w:space="0" w:color="auto"/>
              <w:right w:val="single" w:sz="4" w:space="0" w:color="auto"/>
            </w:tcBorders>
            <w:shd w:val="clear" w:color="auto" w:fill="auto"/>
            <w:vAlign w:val="center"/>
            <w:hideMark/>
          </w:tcPr>
          <w:p w:rsidR="00241FB4" w:rsidRPr="005E786A" w14:paraId="16170064" w14:textId="77777777">
            <w:pPr>
              <w:jc w:val="center"/>
              <w:rPr>
                <w:b/>
                <w:bCs/>
                <w:color w:val="000000"/>
                <w:sz w:val="22"/>
                <w:szCs w:val="22"/>
              </w:rPr>
            </w:pPr>
            <w:r w:rsidRPr="005E786A">
              <w:rPr>
                <w:b/>
                <w:bCs/>
                <w:color w:val="000000"/>
                <w:sz w:val="22"/>
                <w:szCs w:val="22"/>
              </w:rPr>
              <w:t>Labor</w:t>
            </w:r>
          </w:p>
        </w:tc>
        <w:tc>
          <w:tcPr>
            <w:tcW w:w="451" w:type="pct"/>
            <w:tcBorders>
              <w:top w:val="nil"/>
              <w:left w:val="nil"/>
              <w:bottom w:val="single" w:sz="4" w:space="0" w:color="auto"/>
              <w:right w:val="single" w:sz="4" w:space="0" w:color="auto"/>
            </w:tcBorders>
            <w:shd w:val="clear" w:color="auto" w:fill="auto"/>
            <w:vAlign w:val="center"/>
            <w:hideMark/>
          </w:tcPr>
          <w:p w:rsidR="00241FB4" w:rsidRPr="005E786A" w14:paraId="0B76BE32" w14:textId="77777777">
            <w:pPr>
              <w:jc w:val="center"/>
              <w:rPr>
                <w:b/>
                <w:bCs/>
                <w:color w:val="000000"/>
                <w:sz w:val="22"/>
                <w:szCs w:val="22"/>
              </w:rPr>
            </w:pPr>
            <w:r w:rsidRPr="005E786A">
              <w:rPr>
                <w:b/>
                <w:bCs/>
                <w:color w:val="000000"/>
                <w:sz w:val="22"/>
                <w:szCs w:val="22"/>
              </w:rPr>
              <w:t>O&amp;M</w:t>
            </w:r>
          </w:p>
        </w:tc>
        <w:tc>
          <w:tcPr>
            <w:tcW w:w="848" w:type="pct"/>
            <w:tcBorders>
              <w:top w:val="nil"/>
              <w:left w:val="nil"/>
              <w:bottom w:val="single" w:sz="4" w:space="0" w:color="auto"/>
              <w:right w:val="single" w:sz="4" w:space="0" w:color="auto"/>
            </w:tcBorders>
            <w:shd w:val="clear" w:color="auto" w:fill="auto"/>
            <w:vAlign w:val="center"/>
            <w:hideMark/>
          </w:tcPr>
          <w:p w:rsidR="00241FB4" w:rsidRPr="005E786A" w14:paraId="656B2AAD" w14:textId="77777777">
            <w:pPr>
              <w:jc w:val="center"/>
              <w:rPr>
                <w:b/>
                <w:bCs/>
                <w:color w:val="000000"/>
                <w:sz w:val="22"/>
                <w:szCs w:val="22"/>
              </w:rPr>
            </w:pPr>
            <w:r w:rsidRPr="005E786A">
              <w:rPr>
                <w:b/>
                <w:bCs/>
                <w:color w:val="000000"/>
                <w:sz w:val="22"/>
                <w:szCs w:val="22"/>
              </w:rPr>
              <w:t>Labor</w:t>
            </w:r>
          </w:p>
        </w:tc>
        <w:tc>
          <w:tcPr>
            <w:tcW w:w="667" w:type="pct"/>
            <w:tcBorders>
              <w:top w:val="nil"/>
              <w:left w:val="nil"/>
              <w:bottom w:val="single" w:sz="4" w:space="0" w:color="auto"/>
              <w:right w:val="single" w:sz="4" w:space="0" w:color="auto"/>
            </w:tcBorders>
            <w:shd w:val="clear" w:color="auto" w:fill="auto"/>
            <w:vAlign w:val="center"/>
            <w:hideMark/>
          </w:tcPr>
          <w:p w:rsidR="00241FB4" w:rsidRPr="005E786A" w14:paraId="5B51169F" w14:textId="77777777">
            <w:pPr>
              <w:jc w:val="center"/>
              <w:rPr>
                <w:b/>
                <w:bCs/>
                <w:color w:val="000000"/>
                <w:sz w:val="22"/>
                <w:szCs w:val="22"/>
              </w:rPr>
            </w:pPr>
            <w:r w:rsidRPr="005E786A">
              <w:rPr>
                <w:b/>
                <w:bCs/>
                <w:color w:val="000000"/>
                <w:sz w:val="22"/>
                <w:szCs w:val="22"/>
              </w:rPr>
              <w:t>O&amp;M</w:t>
            </w:r>
          </w:p>
        </w:tc>
        <w:tc>
          <w:tcPr>
            <w:tcW w:w="603" w:type="pct"/>
            <w:tcBorders>
              <w:top w:val="nil"/>
              <w:left w:val="nil"/>
              <w:bottom w:val="single" w:sz="4" w:space="0" w:color="auto"/>
              <w:right w:val="single" w:sz="4" w:space="0" w:color="auto"/>
            </w:tcBorders>
            <w:shd w:val="clear" w:color="auto" w:fill="auto"/>
            <w:vAlign w:val="center"/>
            <w:hideMark/>
          </w:tcPr>
          <w:p w:rsidR="00241FB4" w:rsidRPr="005E786A" w14:paraId="50DDC18E" w14:textId="77777777">
            <w:pPr>
              <w:jc w:val="center"/>
              <w:rPr>
                <w:b/>
                <w:bCs/>
                <w:color w:val="000000"/>
                <w:sz w:val="22"/>
                <w:szCs w:val="22"/>
              </w:rPr>
            </w:pPr>
            <w:r w:rsidRPr="005E786A">
              <w:rPr>
                <w:b/>
                <w:bCs/>
                <w:color w:val="000000"/>
                <w:sz w:val="22"/>
                <w:szCs w:val="22"/>
              </w:rPr>
              <w:t>Labor</w:t>
            </w:r>
          </w:p>
        </w:tc>
        <w:tc>
          <w:tcPr>
            <w:tcW w:w="476" w:type="pct"/>
            <w:tcBorders>
              <w:top w:val="nil"/>
              <w:left w:val="nil"/>
              <w:bottom w:val="single" w:sz="4" w:space="0" w:color="auto"/>
              <w:right w:val="single" w:sz="4" w:space="0" w:color="auto"/>
            </w:tcBorders>
            <w:shd w:val="clear" w:color="auto" w:fill="auto"/>
            <w:vAlign w:val="center"/>
            <w:hideMark/>
          </w:tcPr>
          <w:p w:rsidR="00241FB4" w:rsidRPr="005E786A" w14:paraId="66573EB9" w14:textId="77777777">
            <w:pPr>
              <w:jc w:val="center"/>
              <w:rPr>
                <w:b/>
                <w:bCs/>
                <w:color w:val="000000"/>
                <w:sz w:val="22"/>
                <w:szCs w:val="22"/>
              </w:rPr>
            </w:pPr>
            <w:r w:rsidRPr="005E786A">
              <w:rPr>
                <w:b/>
                <w:bCs/>
                <w:color w:val="000000"/>
                <w:sz w:val="22"/>
                <w:szCs w:val="22"/>
              </w:rPr>
              <w:t>O&amp;M</w:t>
            </w:r>
          </w:p>
        </w:tc>
        <w:tc>
          <w:tcPr>
            <w:tcW w:w="603" w:type="pct"/>
            <w:vMerge/>
            <w:tcBorders>
              <w:top w:val="single" w:sz="4" w:space="0" w:color="auto"/>
              <w:left w:val="single" w:sz="4" w:space="0" w:color="auto"/>
              <w:bottom w:val="single" w:sz="4" w:space="0" w:color="000000"/>
              <w:right w:val="single" w:sz="4" w:space="0" w:color="auto"/>
            </w:tcBorders>
            <w:vAlign w:val="center"/>
            <w:hideMark/>
          </w:tcPr>
          <w:p w:rsidR="00241FB4" w:rsidRPr="00241FB4" w14:paraId="3C0E2CC1" w14:textId="77777777">
            <w:pPr>
              <w:rPr>
                <w:b/>
                <w:bCs/>
                <w:color w:val="000000"/>
                <w:sz w:val="22"/>
                <w:szCs w:val="22"/>
              </w:rPr>
            </w:pPr>
          </w:p>
        </w:tc>
      </w:tr>
      <w:tr w14:paraId="1C84DDAC" w14:textId="77777777" w:rsidTr="00F11D2C">
        <w:tblPrEx>
          <w:tblW w:w="5000" w:type="pct"/>
          <w:tblLook w:val="04A0"/>
        </w:tblPrEx>
        <w:trPr>
          <w:trHeight w:val="290"/>
        </w:trPr>
        <w:tc>
          <w:tcPr>
            <w:tcW w:w="8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1B04" w:rsidP="00F91B04" w14:paraId="1BAEDC8B" w14:textId="77777777">
            <w:pPr>
              <w:rPr>
                <w:color w:val="000000"/>
                <w:sz w:val="22"/>
                <w:szCs w:val="22"/>
              </w:rPr>
            </w:pPr>
            <w:r>
              <w:rPr>
                <w:color w:val="000000"/>
                <w:sz w:val="22"/>
                <w:szCs w:val="22"/>
              </w:rPr>
              <w:t>Annual</w:t>
            </w:r>
          </w:p>
        </w:tc>
        <w:tc>
          <w:tcPr>
            <w:tcW w:w="539" w:type="pct"/>
            <w:tcBorders>
              <w:top w:val="nil"/>
              <w:left w:val="nil"/>
              <w:bottom w:val="single" w:sz="4" w:space="0" w:color="auto"/>
              <w:right w:val="single" w:sz="4" w:space="0" w:color="auto"/>
            </w:tcBorders>
            <w:shd w:val="clear" w:color="auto" w:fill="auto"/>
            <w:vAlign w:val="center"/>
            <w:hideMark/>
          </w:tcPr>
          <w:p w:rsidR="00F91B04" w:rsidP="00F91B04" w14:paraId="1E4F7E2A" w14:textId="138F3D2A">
            <w:pPr>
              <w:jc w:val="center"/>
              <w:rPr>
                <w:color w:val="000000"/>
                <w:sz w:val="22"/>
                <w:szCs w:val="22"/>
              </w:rPr>
            </w:pPr>
            <w:r>
              <w:rPr>
                <w:color w:val="000000"/>
                <w:sz w:val="22"/>
                <w:szCs w:val="22"/>
              </w:rPr>
              <w:t>$</w:t>
            </w:r>
            <w:r w:rsidR="00207731">
              <w:rPr>
                <w:color w:val="000000"/>
                <w:sz w:val="22"/>
                <w:szCs w:val="22"/>
              </w:rPr>
              <w:t>12,348</w:t>
            </w:r>
            <w:r>
              <w:rPr>
                <w:color w:val="000000"/>
                <w:sz w:val="22"/>
                <w:szCs w:val="22"/>
              </w:rPr>
              <w:t xml:space="preserve"> </w:t>
            </w:r>
          </w:p>
        </w:tc>
        <w:tc>
          <w:tcPr>
            <w:tcW w:w="451" w:type="pct"/>
            <w:tcBorders>
              <w:top w:val="nil"/>
              <w:left w:val="nil"/>
              <w:bottom w:val="single" w:sz="4" w:space="0" w:color="auto"/>
              <w:right w:val="single" w:sz="4" w:space="0" w:color="auto"/>
            </w:tcBorders>
            <w:shd w:val="clear" w:color="auto" w:fill="auto"/>
            <w:vAlign w:val="center"/>
            <w:hideMark/>
          </w:tcPr>
          <w:p w:rsidR="00F91B04" w:rsidP="00F91B04" w14:paraId="6AA7D78A" w14:textId="557A8953">
            <w:pPr>
              <w:jc w:val="center"/>
              <w:rPr>
                <w:color w:val="000000"/>
                <w:sz w:val="22"/>
                <w:szCs w:val="22"/>
              </w:rPr>
            </w:pPr>
            <w:r>
              <w:rPr>
                <w:color w:val="000000"/>
                <w:sz w:val="22"/>
                <w:szCs w:val="22"/>
              </w:rPr>
              <w:t>$0</w:t>
            </w:r>
          </w:p>
        </w:tc>
        <w:tc>
          <w:tcPr>
            <w:tcW w:w="848" w:type="pct"/>
            <w:tcBorders>
              <w:top w:val="nil"/>
              <w:left w:val="nil"/>
              <w:bottom w:val="single" w:sz="4" w:space="0" w:color="auto"/>
              <w:right w:val="single" w:sz="4" w:space="0" w:color="auto"/>
            </w:tcBorders>
            <w:shd w:val="clear" w:color="auto" w:fill="auto"/>
            <w:vAlign w:val="center"/>
            <w:hideMark/>
          </w:tcPr>
          <w:p w:rsidR="00F91B04" w:rsidP="00F91B04" w14:paraId="4404B182" w14:textId="616A1574">
            <w:pPr>
              <w:jc w:val="center"/>
              <w:rPr>
                <w:color w:val="000000"/>
                <w:sz w:val="22"/>
                <w:szCs w:val="22"/>
              </w:rPr>
            </w:pPr>
            <w:r>
              <w:rPr>
                <w:color w:val="000000"/>
                <w:sz w:val="22"/>
                <w:szCs w:val="22"/>
              </w:rPr>
              <w:t>$</w:t>
            </w:r>
            <w:r w:rsidR="007407F8">
              <w:rPr>
                <w:color w:val="000000"/>
                <w:sz w:val="22"/>
                <w:szCs w:val="22"/>
              </w:rPr>
              <w:t>17,452</w:t>
            </w:r>
            <w:r>
              <w:rPr>
                <w:color w:val="000000"/>
                <w:sz w:val="22"/>
                <w:szCs w:val="22"/>
              </w:rPr>
              <w:t xml:space="preserve"> </w:t>
            </w:r>
          </w:p>
        </w:tc>
        <w:tc>
          <w:tcPr>
            <w:tcW w:w="667" w:type="pct"/>
            <w:tcBorders>
              <w:top w:val="nil"/>
              <w:left w:val="nil"/>
              <w:bottom w:val="single" w:sz="4" w:space="0" w:color="auto"/>
              <w:right w:val="single" w:sz="4" w:space="0" w:color="auto"/>
            </w:tcBorders>
            <w:shd w:val="clear" w:color="auto" w:fill="auto"/>
            <w:vAlign w:val="center"/>
            <w:hideMark/>
          </w:tcPr>
          <w:p w:rsidR="00F91B04" w:rsidP="00F91B04" w14:paraId="031AA30B" w14:textId="151BC07D">
            <w:pPr>
              <w:jc w:val="center"/>
              <w:rPr>
                <w:color w:val="000000"/>
                <w:sz w:val="22"/>
                <w:szCs w:val="22"/>
              </w:rPr>
            </w:pPr>
            <w:r>
              <w:rPr>
                <w:color w:val="000000"/>
                <w:sz w:val="22"/>
                <w:szCs w:val="22"/>
              </w:rPr>
              <w:t>$</w:t>
            </w:r>
            <w:r w:rsidR="007407F8">
              <w:rPr>
                <w:color w:val="000000"/>
                <w:sz w:val="22"/>
                <w:szCs w:val="22"/>
              </w:rPr>
              <w:t>81</w:t>
            </w:r>
          </w:p>
        </w:tc>
        <w:tc>
          <w:tcPr>
            <w:tcW w:w="603" w:type="pct"/>
            <w:tcBorders>
              <w:top w:val="nil"/>
              <w:left w:val="nil"/>
              <w:bottom w:val="single" w:sz="4" w:space="0" w:color="auto"/>
              <w:right w:val="single" w:sz="4" w:space="0" w:color="auto"/>
            </w:tcBorders>
            <w:shd w:val="clear" w:color="auto" w:fill="auto"/>
            <w:vAlign w:val="center"/>
            <w:hideMark/>
          </w:tcPr>
          <w:p w:rsidR="00F91B04" w:rsidP="00F91B04" w14:paraId="2FED962B" w14:textId="75C08F56">
            <w:pPr>
              <w:jc w:val="center"/>
              <w:rPr>
                <w:color w:val="000000"/>
                <w:sz w:val="22"/>
                <w:szCs w:val="22"/>
              </w:rPr>
            </w:pPr>
            <w:r>
              <w:rPr>
                <w:color w:val="000000"/>
                <w:sz w:val="22"/>
                <w:szCs w:val="22"/>
              </w:rPr>
              <w:t>$</w:t>
            </w:r>
            <w:r w:rsidR="00066E48">
              <w:rPr>
                <w:color w:val="000000"/>
                <w:sz w:val="22"/>
                <w:szCs w:val="22"/>
              </w:rPr>
              <w:t>29,265</w:t>
            </w:r>
          </w:p>
        </w:tc>
        <w:tc>
          <w:tcPr>
            <w:tcW w:w="476" w:type="pct"/>
            <w:tcBorders>
              <w:top w:val="nil"/>
              <w:left w:val="nil"/>
              <w:bottom w:val="single" w:sz="4" w:space="0" w:color="auto"/>
              <w:right w:val="single" w:sz="4" w:space="0" w:color="auto"/>
            </w:tcBorders>
            <w:shd w:val="clear" w:color="auto" w:fill="auto"/>
            <w:vAlign w:val="center"/>
            <w:hideMark/>
          </w:tcPr>
          <w:p w:rsidR="00F91B04" w:rsidP="00F91B04" w14:paraId="48A6B9CD" w14:textId="58229092">
            <w:pPr>
              <w:jc w:val="center"/>
              <w:rPr>
                <w:color w:val="000000"/>
                <w:sz w:val="22"/>
                <w:szCs w:val="22"/>
              </w:rPr>
            </w:pPr>
            <w:r>
              <w:rPr>
                <w:color w:val="000000"/>
                <w:sz w:val="22"/>
                <w:szCs w:val="22"/>
              </w:rPr>
              <w:t>$830</w:t>
            </w:r>
            <w:r>
              <w:rPr>
                <w:color w:val="000000"/>
                <w:sz w:val="22"/>
                <w:szCs w:val="22"/>
              </w:rPr>
              <w:t xml:space="preserve"> </w:t>
            </w:r>
          </w:p>
        </w:tc>
        <w:tc>
          <w:tcPr>
            <w:tcW w:w="603" w:type="pct"/>
            <w:tcBorders>
              <w:top w:val="nil"/>
              <w:left w:val="nil"/>
              <w:bottom w:val="single" w:sz="4" w:space="0" w:color="auto"/>
              <w:right w:val="single" w:sz="4" w:space="0" w:color="auto"/>
            </w:tcBorders>
            <w:shd w:val="clear" w:color="auto" w:fill="auto"/>
            <w:vAlign w:val="center"/>
            <w:hideMark/>
          </w:tcPr>
          <w:p w:rsidR="00F91B04" w:rsidP="00F91B04" w14:paraId="3F32D792" w14:textId="7676AB0C">
            <w:pPr>
              <w:jc w:val="center"/>
              <w:rPr>
                <w:b/>
                <w:bCs/>
                <w:color w:val="000000"/>
                <w:sz w:val="22"/>
                <w:szCs w:val="22"/>
              </w:rPr>
            </w:pPr>
            <w:r>
              <w:rPr>
                <w:b/>
                <w:bCs/>
                <w:color w:val="000000"/>
                <w:sz w:val="22"/>
                <w:szCs w:val="22"/>
              </w:rPr>
              <w:t>$</w:t>
            </w:r>
            <w:r w:rsidR="001B60D1">
              <w:rPr>
                <w:b/>
                <w:bCs/>
                <w:color w:val="000000"/>
                <w:sz w:val="22"/>
                <w:szCs w:val="22"/>
              </w:rPr>
              <w:t>59,976</w:t>
            </w:r>
            <w:r>
              <w:rPr>
                <w:b/>
                <w:bCs/>
                <w:color w:val="000000"/>
                <w:sz w:val="22"/>
                <w:szCs w:val="22"/>
              </w:rPr>
              <w:t xml:space="preserve"> </w:t>
            </w:r>
          </w:p>
        </w:tc>
      </w:tr>
      <w:tr w14:paraId="3DAE6CFB" w14:textId="77777777" w:rsidTr="00F11D2C">
        <w:tblPrEx>
          <w:tblW w:w="5000" w:type="pct"/>
          <w:tblLook w:val="04A0"/>
        </w:tblPrEx>
        <w:trPr>
          <w:trHeight w:val="290"/>
        </w:trPr>
        <w:tc>
          <w:tcPr>
            <w:tcW w:w="812" w:type="pct"/>
            <w:tcBorders>
              <w:top w:val="nil"/>
              <w:left w:val="single" w:sz="4" w:space="0" w:color="auto"/>
              <w:bottom w:val="single" w:sz="4" w:space="0" w:color="auto"/>
              <w:right w:val="single" w:sz="4" w:space="0" w:color="auto"/>
            </w:tcBorders>
            <w:shd w:val="clear" w:color="auto" w:fill="auto"/>
            <w:vAlign w:val="center"/>
            <w:hideMark/>
          </w:tcPr>
          <w:p w:rsidR="00F91B04" w:rsidP="00F91B04" w14:paraId="3038DCF6" w14:textId="77777777">
            <w:pPr>
              <w:rPr>
                <w:color w:val="000000"/>
                <w:sz w:val="22"/>
                <w:szCs w:val="22"/>
              </w:rPr>
            </w:pPr>
            <w:r>
              <w:rPr>
                <w:color w:val="000000"/>
                <w:sz w:val="22"/>
                <w:szCs w:val="22"/>
              </w:rPr>
              <w:t>Three-Year Totals</w:t>
            </w:r>
          </w:p>
        </w:tc>
        <w:tc>
          <w:tcPr>
            <w:tcW w:w="539" w:type="pct"/>
            <w:tcBorders>
              <w:top w:val="nil"/>
              <w:left w:val="nil"/>
              <w:bottom w:val="single" w:sz="4" w:space="0" w:color="auto"/>
              <w:right w:val="single" w:sz="4" w:space="0" w:color="auto"/>
            </w:tcBorders>
            <w:shd w:val="clear" w:color="auto" w:fill="auto"/>
            <w:vAlign w:val="center"/>
            <w:hideMark/>
          </w:tcPr>
          <w:p w:rsidR="00F91B04" w:rsidP="00F91B04" w14:paraId="10819C2B" w14:textId="28E38242">
            <w:pPr>
              <w:jc w:val="center"/>
              <w:rPr>
                <w:color w:val="000000"/>
                <w:sz w:val="22"/>
                <w:szCs w:val="22"/>
              </w:rPr>
            </w:pPr>
            <w:r>
              <w:rPr>
                <w:color w:val="000000"/>
                <w:sz w:val="22"/>
                <w:szCs w:val="22"/>
              </w:rPr>
              <w:t>$</w:t>
            </w:r>
            <w:r w:rsidR="00207731">
              <w:rPr>
                <w:color w:val="000000"/>
                <w:sz w:val="22"/>
                <w:szCs w:val="22"/>
              </w:rPr>
              <w:t>37,043</w:t>
            </w:r>
          </w:p>
        </w:tc>
        <w:tc>
          <w:tcPr>
            <w:tcW w:w="451" w:type="pct"/>
            <w:tcBorders>
              <w:top w:val="nil"/>
              <w:left w:val="nil"/>
              <w:bottom w:val="single" w:sz="4" w:space="0" w:color="auto"/>
              <w:right w:val="single" w:sz="4" w:space="0" w:color="auto"/>
            </w:tcBorders>
            <w:shd w:val="clear" w:color="auto" w:fill="auto"/>
            <w:vAlign w:val="center"/>
            <w:hideMark/>
          </w:tcPr>
          <w:p w:rsidR="00F91B04" w:rsidP="00F91B04" w14:paraId="5750C615" w14:textId="5318F343">
            <w:pPr>
              <w:jc w:val="center"/>
              <w:rPr>
                <w:color w:val="000000"/>
                <w:sz w:val="22"/>
                <w:szCs w:val="22"/>
              </w:rPr>
            </w:pPr>
            <w:r>
              <w:rPr>
                <w:color w:val="000000"/>
                <w:sz w:val="22"/>
                <w:szCs w:val="22"/>
              </w:rPr>
              <w:t>$0</w:t>
            </w:r>
          </w:p>
        </w:tc>
        <w:tc>
          <w:tcPr>
            <w:tcW w:w="848" w:type="pct"/>
            <w:tcBorders>
              <w:top w:val="nil"/>
              <w:left w:val="nil"/>
              <w:bottom w:val="single" w:sz="4" w:space="0" w:color="auto"/>
              <w:right w:val="single" w:sz="4" w:space="0" w:color="auto"/>
            </w:tcBorders>
            <w:shd w:val="clear" w:color="auto" w:fill="auto"/>
            <w:vAlign w:val="center"/>
            <w:hideMark/>
          </w:tcPr>
          <w:p w:rsidR="00F91B04" w:rsidP="00F91B04" w14:paraId="50CBF0C4" w14:textId="41770212">
            <w:pPr>
              <w:jc w:val="center"/>
              <w:rPr>
                <w:color w:val="000000"/>
                <w:sz w:val="22"/>
                <w:szCs w:val="22"/>
              </w:rPr>
            </w:pPr>
            <w:r>
              <w:rPr>
                <w:color w:val="000000"/>
                <w:sz w:val="22"/>
                <w:szCs w:val="22"/>
              </w:rPr>
              <w:t>$</w:t>
            </w:r>
            <w:r w:rsidR="007407F8">
              <w:rPr>
                <w:color w:val="000000"/>
                <w:sz w:val="22"/>
                <w:szCs w:val="22"/>
              </w:rPr>
              <w:t>52,357</w:t>
            </w:r>
            <w:r>
              <w:rPr>
                <w:color w:val="000000"/>
                <w:sz w:val="22"/>
                <w:szCs w:val="22"/>
              </w:rPr>
              <w:t xml:space="preserve"> </w:t>
            </w:r>
          </w:p>
        </w:tc>
        <w:tc>
          <w:tcPr>
            <w:tcW w:w="667" w:type="pct"/>
            <w:tcBorders>
              <w:top w:val="nil"/>
              <w:left w:val="nil"/>
              <w:bottom w:val="single" w:sz="4" w:space="0" w:color="auto"/>
              <w:right w:val="single" w:sz="4" w:space="0" w:color="auto"/>
            </w:tcBorders>
            <w:shd w:val="clear" w:color="auto" w:fill="auto"/>
            <w:vAlign w:val="center"/>
            <w:hideMark/>
          </w:tcPr>
          <w:p w:rsidR="00F91B04" w:rsidP="00F91B04" w14:paraId="3AE06093" w14:textId="6E097304">
            <w:pPr>
              <w:jc w:val="center"/>
              <w:rPr>
                <w:color w:val="000000"/>
                <w:sz w:val="22"/>
                <w:szCs w:val="22"/>
              </w:rPr>
            </w:pPr>
            <w:r>
              <w:rPr>
                <w:color w:val="000000"/>
                <w:sz w:val="22"/>
                <w:szCs w:val="22"/>
              </w:rPr>
              <w:t>$</w:t>
            </w:r>
            <w:r w:rsidR="007407F8">
              <w:rPr>
                <w:color w:val="000000"/>
                <w:sz w:val="22"/>
                <w:szCs w:val="22"/>
              </w:rPr>
              <w:t>243</w:t>
            </w:r>
          </w:p>
        </w:tc>
        <w:tc>
          <w:tcPr>
            <w:tcW w:w="603" w:type="pct"/>
            <w:tcBorders>
              <w:top w:val="nil"/>
              <w:left w:val="nil"/>
              <w:bottom w:val="single" w:sz="4" w:space="0" w:color="auto"/>
              <w:right w:val="single" w:sz="4" w:space="0" w:color="auto"/>
            </w:tcBorders>
            <w:shd w:val="clear" w:color="auto" w:fill="auto"/>
            <w:vAlign w:val="center"/>
            <w:hideMark/>
          </w:tcPr>
          <w:p w:rsidR="00F91B04" w:rsidP="00F91B04" w14:paraId="4CE5CB48" w14:textId="3F22446B">
            <w:pPr>
              <w:jc w:val="center"/>
              <w:rPr>
                <w:color w:val="000000"/>
                <w:sz w:val="22"/>
                <w:szCs w:val="22"/>
              </w:rPr>
            </w:pPr>
            <w:r>
              <w:rPr>
                <w:color w:val="000000"/>
                <w:sz w:val="22"/>
                <w:szCs w:val="22"/>
              </w:rPr>
              <w:t>$</w:t>
            </w:r>
            <w:r w:rsidR="00066E48">
              <w:rPr>
                <w:color w:val="000000"/>
                <w:sz w:val="22"/>
                <w:szCs w:val="22"/>
              </w:rPr>
              <w:t>87</w:t>
            </w:r>
            <w:r w:rsidR="00AF3179">
              <w:rPr>
                <w:color w:val="000000"/>
                <w:sz w:val="22"/>
                <w:szCs w:val="22"/>
              </w:rPr>
              <w:t>,795</w:t>
            </w:r>
            <w:r>
              <w:rPr>
                <w:color w:val="000000"/>
                <w:sz w:val="22"/>
                <w:szCs w:val="22"/>
              </w:rPr>
              <w:t xml:space="preserve"> </w:t>
            </w:r>
          </w:p>
        </w:tc>
        <w:tc>
          <w:tcPr>
            <w:tcW w:w="476" w:type="pct"/>
            <w:tcBorders>
              <w:top w:val="nil"/>
              <w:left w:val="nil"/>
              <w:bottom w:val="single" w:sz="4" w:space="0" w:color="auto"/>
              <w:right w:val="single" w:sz="4" w:space="0" w:color="auto"/>
            </w:tcBorders>
            <w:shd w:val="clear" w:color="auto" w:fill="auto"/>
            <w:vAlign w:val="center"/>
            <w:hideMark/>
          </w:tcPr>
          <w:p w:rsidR="00F91B04" w:rsidP="00F91B04" w14:paraId="26B467DE" w14:textId="5EFC4210">
            <w:pPr>
              <w:jc w:val="center"/>
              <w:rPr>
                <w:color w:val="000000"/>
                <w:sz w:val="22"/>
                <w:szCs w:val="22"/>
              </w:rPr>
            </w:pPr>
            <w:r>
              <w:rPr>
                <w:color w:val="000000"/>
                <w:sz w:val="22"/>
                <w:szCs w:val="22"/>
              </w:rPr>
              <w:t>$</w:t>
            </w:r>
            <w:r w:rsidR="001B60D1">
              <w:rPr>
                <w:color w:val="000000"/>
                <w:sz w:val="22"/>
                <w:szCs w:val="22"/>
              </w:rPr>
              <w:t>2,490</w:t>
            </w:r>
            <w:r>
              <w:rPr>
                <w:color w:val="000000"/>
                <w:sz w:val="22"/>
                <w:szCs w:val="22"/>
              </w:rPr>
              <w:t xml:space="preserve"> </w:t>
            </w:r>
          </w:p>
        </w:tc>
        <w:tc>
          <w:tcPr>
            <w:tcW w:w="603" w:type="pct"/>
            <w:tcBorders>
              <w:top w:val="nil"/>
              <w:left w:val="nil"/>
              <w:bottom w:val="single" w:sz="4" w:space="0" w:color="auto"/>
              <w:right w:val="single" w:sz="4" w:space="0" w:color="auto"/>
            </w:tcBorders>
            <w:shd w:val="clear" w:color="auto" w:fill="auto"/>
            <w:vAlign w:val="center"/>
            <w:hideMark/>
          </w:tcPr>
          <w:p w:rsidR="00F91B04" w:rsidP="00F91B04" w14:paraId="720179E6" w14:textId="09AF1AE7">
            <w:pPr>
              <w:jc w:val="center"/>
              <w:rPr>
                <w:b/>
                <w:bCs/>
                <w:color w:val="000000"/>
                <w:sz w:val="22"/>
                <w:szCs w:val="22"/>
              </w:rPr>
            </w:pPr>
            <w:r>
              <w:rPr>
                <w:b/>
                <w:bCs/>
                <w:color w:val="000000"/>
                <w:sz w:val="22"/>
                <w:szCs w:val="22"/>
              </w:rPr>
              <w:t>$</w:t>
            </w:r>
            <w:r w:rsidR="00000703">
              <w:rPr>
                <w:b/>
                <w:bCs/>
                <w:color w:val="000000"/>
                <w:sz w:val="22"/>
                <w:szCs w:val="22"/>
              </w:rPr>
              <w:t>179,928</w:t>
            </w:r>
            <w:r>
              <w:rPr>
                <w:b/>
                <w:bCs/>
                <w:color w:val="000000"/>
                <w:sz w:val="22"/>
                <w:szCs w:val="22"/>
              </w:rPr>
              <w:t xml:space="preserve"> </w:t>
            </w:r>
          </w:p>
        </w:tc>
      </w:tr>
    </w:tbl>
    <w:p w:rsidR="00241FB4" w14:paraId="29BF73ED" w14:textId="04FBA8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color w:val="FF0000"/>
        </w:rPr>
      </w:pPr>
    </w:p>
    <w:p w:rsidR="0020388A" w:rsidRPr="00383746" w14:paraId="6BE0DF5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RPr="00383746" w14:paraId="2CE5666C" w14:textId="77777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pPr>
      <w:r w:rsidRPr="00383746">
        <w:rPr>
          <w:b/>
          <w:bCs/>
        </w:rPr>
        <w:t>6(f)</w:t>
      </w:r>
      <w:r w:rsidRPr="00383746">
        <w:rPr>
          <w:b/>
          <w:bCs/>
        </w:rPr>
        <w:tab/>
        <w:t>Reasons for Change in Burden</w:t>
      </w:r>
    </w:p>
    <w:p w:rsidR="0020388A" w:rsidRPr="00383746" w14:paraId="77971845" w14:textId="77777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388A" w:rsidP="00431366" w14:paraId="539B4A08" w14:textId="49A09D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tab/>
      </w:r>
      <w:r w:rsidRPr="0036284B">
        <w:t>EPA estimates a slight increase in the burden to respondents for this renewal compared to the previous ICR renewal. Even though reading room visits were greatly reduced, if not stopped altogether because of COVID 19 restrictions during the previous ICR period and reading room visits had been declining prior to the COVID restrictions because of the increased use of the website www.rtk.net.</w:t>
      </w:r>
    </w:p>
    <w:p w:rsidR="0036284B" w:rsidRPr="000322A3" w:rsidP="00431366" w14:paraId="2B91D9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rPr>
      </w:pPr>
    </w:p>
    <w:p w:rsidR="0020388A" w14:paraId="0773F3C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r w:rsidRPr="000322A3">
        <w:rPr>
          <w:b/>
          <w:bCs/>
        </w:rPr>
        <w:t>6(g)</w:t>
      </w:r>
      <w:r w:rsidRPr="000322A3">
        <w:rPr>
          <w:b/>
          <w:bCs/>
        </w:rPr>
        <w:tab/>
        <w:t>Burden Statement</w:t>
      </w:r>
    </w:p>
    <w:p w:rsidR="00B66EF8" w:rsidRPr="000322A3" w14:paraId="065B7E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rPr>
      </w:pPr>
    </w:p>
    <w:p w:rsidR="00CA7BC8" w:rsidRPr="00383746" w:rsidP="00B66EF8" w14:paraId="5158C008" w14:textId="7E8C5B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322A3">
        <w:tab/>
      </w:r>
      <w:r w:rsidRPr="004B5384" w:rsidR="006C07DC">
        <w:t xml:space="preserve">The annual public reporting and recordkeeping burden for this collection of information is estimated </w:t>
      </w:r>
      <w:r w:rsidRPr="00283A59" w:rsidR="006C07DC">
        <w:t xml:space="preserve">to average approximately </w:t>
      </w:r>
      <w:r w:rsidRPr="00283A59" w:rsidR="00283A59">
        <w:t>1.26</w:t>
      </w:r>
      <w:r w:rsidRPr="00283A59" w:rsidR="006C07DC">
        <w:t xml:space="preserve"> hours per response</w:t>
      </w:r>
      <w:r w:rsidR="00283A59">
        <w:t xml:space="preserve"> calculated as a weighted average of public and State and local, and LEPC agency responses</w:t>
      </w:r>
      <w:r w:rsidRPr="00283A59" w:rsidR="006C07DC">
        <w:t>.</w:t>
      </w:r>
      <w:r w:rsidRPr="000322A3" w:rsidR="006C07DC">
        <w:t xml:space="preserve"> Burden means the total </w:t>
      </w:r>
      <w:r w:rsidRPr="00AF066D" w:rsidR="006C07DC">
        <w:t xml:space="preserve">time, effort, or financial resources expended by persons to generate, maintain, retain, or disclose or provide information to or for a Federal agency. This includes the time needed to review instructions; develop, acquire, install, and utilize technology </w:t>
      </w:r>
      <w:r w:rsidRPr="000322A3" w:rsidR="006C07DC">
        <w:t>and systems for the purposes of collecting, validating, and verifying information, processing and maintaining information, and disclosing and providing information; adjust the existing ways to comply with any</w:t>
      </w:r>
      <w:r w:rsidRPr="00383746" w:rsidR="006C07DC">
        <w:t xml:space="preserve"> previously applicable instructions and requirements; train personnel to be able to respond to a collection of information; search data sources; complete and review the collection of information; and transmit or otherwise disclose the information.</w:t>
      </w:r>
      <w:r w:rsidRPr="00383746" w:rsidR="00B66EF8">
        <w:rPr>
          <w:color w:val="000000"/>
        </w:rPr>
        <w:t xml:space="preserve">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B66EF8" w:rsidRPr="00383746" w:rsidP="00B66EF8" w14:paraId="7F0CBA82" w14:textId="74F0B4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383746">
        <w:rPr>
          <w:color w:val="000000"/>
        </w:rPr>
        <w:t xml:space="preserve"> </w:t>
      </w:r>
    </w:p>
    <w:p w:rsidR="0020388A" w:rsidRPr="00383746" w:rsidP="00DF5C64" w14:paraId="136CAF41" w14:textId="094E3E10">
      <w:pPr>
        <w:ind w:firstLine="720"/>
        <w:rPr>
          <w:b/>
          <w:bCs/>
        </w:rPr>
      </w:pPr>
      <w:r w:rsidRPr="0038374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EPA-HQ-OAR-2003-0073, which is available for online viewing at www.regulations.gov, or in person viewing at the </w:t>
      </w:r>
      <w:r w:rsidRPr="00383746" w:rsidR="009E54BB">
        <w:t>EPA Docket Center, WJC West, Room 3334, 1301 Constitution Ave., NW, Washington, DC.</w:t>
      </w:r>
      <w:r w:rsidRPr="00383746">
        <w:t xml:space="preserve">  The EPA Docket Center Public Reading Room is open from 8:30 a.m. to 4:30 p.m., Monday through Friday, excluding legal holidays. The telephone number for the Reading Room is (202) 566-1744. An electronic version of the public docket is available at www.regulations.gov.</w:t>
      </w:r>
      <w:r w:rsidRPr="00383746" w:rsidR="009E54BB">
        <w:t xml:space="preserve"> </w:t>
      </w:r>
      <w:r w:rsidRPr="00383746">
        <w:t xml:space="preserve">This site can be used to submit or view public comments, access the index listing of the contents of the public docket, and to access those documents in </w:t>
      </w:r>
      <w:r w:rsidRPr="00383746">
        <w:t>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EPA-HQ-OAR-2003-0073 and OMB Control Number 2050-0172 in any correspondence.</w:t>
      </w:r>
      <w:r w:rsidRPr="00383746" w:rsidR="00815C42">
        <w:t xml:space="preserve"> </w:t>
      </w:r>
      <w:r w:rsidRPr="00383746" w:rsidR="00541CC7">
        <w:rPr>
          <w:b/>
          <w:bCs/>
        </w:rPr>
        <w:br w:type="page"/>
      </w:r>
    </w:p>
    <w:p w:rsidR="0020388A" w:rsidRPr="00383746" w14:paraId="4B8BFEE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rPr>
      </w:pPr>
    </w:p>
    <w:p w:rsidR="00E140DE" w:rsidRPr="00383746" w:rsidP="00E15A04" w14:paraId="61FB05C6" w14:textId="119F06C5">
      <w:pPr>
        <w:widowControl w:val="0"/>
        <w:tabs>
          <w:tab w:val="left" w:pos="2880"/>
        </w:tabs>
        <w:autoSpaceDE w:val="0"/>
        <w:autoSpaceDN w:val="0"/>
        <w:adjustRightInd w:val="0"/>
        <w:rPr>
          <w:b/>
          <w:bCs/>
        </w:rPr>
      </w:pPr>
    </w:p>
    <w:p w:rsidR="006A0FF4" w:rsidRPr="00383746" w:rsidP="0027433C" w14:paraId="5A1627E4" w14:textId="3FBE7939">
      <w:pPr>
        <w:jc w:val="center"/>
        <w:rPr>
          <w:b/>
          <w:bCs/>
        </w:rPr>
      </w:pPr>
      <w:r w:rsidRPr="00383746">
        <w:rPr>
          <w:b/>
          <w:bCs/>
        </w:rPr>
        <w:t>APPENDIX A</w:t>
      </w:r>
    </w:p>
    <w:p w:rsidR="0027433C" w:rsidRPr="00383746" w:rsidP="0027433C" w14:paraId="1031CC38" w14:textId="7750E1BB">
      <w:pPr>
        <w:jc w:val="center"/>
        <w:rPr>
          <w:b/>
          <w:bCs/>
        </w:rPr>
      </w:pPr>
      <w:r w:rsidRPr="00383746">
        <w:rPr>
          <w:b/>
          <w:bCs/>
        </w:rPr>
        <w:t>Consultation</w:t>
      </w:r>
      <w:r w:rsidRPr="00383746" w:rsidR="00CA7BC8">
        <w:rPr>
          <w:b/>
          <w:bCs/>
        </w:rPr>
        <w:t xml:space="preserve"> Information</w:t>
      </w:r>
    </w:p>
    <w:p w:rsidR="0027433C" w:rsidRPr="00383746" w:rsidP="0027433C" w14:paraId="4BE8C655" w14:textId="77777777">
      <w:pPr>
        <w:jc w:val="center"/>
        <w:rPr>
          <w:b/>
          <w:bCs/>
        </w:rPr>
      </w:pPr>
    </w:p>
    <w:p w:rsidR="006A0FF4" w:rsidRPr="00383746" w:rsidP="006A0FF4" w14:paraId="01028C5E" w14:textId="164F5987">
      <w:r w:rsidRPr="00383746">
        <w:tab/>
        <w:t>EPA consulted by email with EPA staff in s</w:t>
      </w:r>
      <w:r w:rsidRPr="00383746" w:rsidR="00383A6B">
        <w:t>even</w:t>
      </w:r>
      <w:r w:rsidRPr="00383746">
        <w:t xml:space="preserve"> EPA Regions</w:t>
      </w:r>
      <w:r w:rsidRPr="00383746" w:rsidR="00F41D33">
        <w:t xml:space="preserve"> and the </w:t>
      </w:r>
      <w:r w:rsidR="00AF066D">
        <w:t>EPA</w:t>
      </w:r>
      <w:r w:rsidRPr="00383746" w:rsidR="00F41D33">
        <w:t xml:space="preserve">HQ Docket </w:t>
      </w:r>
      <w:r w:rsidRPr="00383746" w:rsidR="00383A6B">
        <w:t>Center</w:t>
      </w:r>
      <w:r w:rsidRPr="00383746">
        <w:t xml:space="preserve"> to </w:t>
      </w:r>
      <w:r w:rsidRPr="00383746" w:rsidR="008202F0">
        <w:t xml:space="preserve">obtain information on </w:t>
      </w:r>
      <w:r w:rsidRPr="00383746" w:rsidR="005666D5">
        <w:t xml:space="preserve">burden estimates and numbers of activities during the past three years. </w:t>
      </w:r>
      <w:r w:rsidRPr="00383746" w:rsidR="004846B3">
        <w:t xml:space="preserve">The responses have been edited for clarity and length. </w:t>
      </w:r>
    </w:p>
    <w:p w:rsidR="005666D5" w:rsidRPr="00383746" w:rsidP="006A0FF4" w14:paraId="29F1C015" w14:textId="77777777"/>
    <w:p w:rsidR="00E140DE" w:rsidRPr="00383746" w:rsidP="006A0FF4" w14:paraId="10C971A7" w14:textId="5D14C8C2">
      <w:r w:rsidRPr="00383746">
        <w:rPr>
          <w:b/>
          <w:bCs/>
        </w:rPr>
        <w:t xml:space="preserve">Question </w:t>
      </w:r>
      <w:r w:rsidRPr="00383746" w:rsidR="006A0FF4">
        <w:rPr>
          <w:b/>
          <w:bCs/>
        </w:rPr>
        <w:t>1</w:t>
      </w:r>
      <w:r w:rsidRPr="00383746">
        <w:t xml:space="preserve">: </w:t>
      </w:r>
      <w:r w:rsidRPr="00383746" w:rsidR="006A0FF4">
        <w:t xml:space="preserve"> </w:t>
      </w:r>
      <w:r w:rsidRPr="00383746">
        <w:t xml:space="preserve">Do you have any updates on the </w:t>
      </w:r>
      <w:r w:rsidRPr="00383746">
        <w:t xml:space="preserve">number </w:t>
      </w:r>
      <w:r w:rsidRPr="00383746">
        <w:t xml:space="preserve">of hours a member of the public would spend to sign-in and certify; call the central office to give </w:t>
      </w:r>
      <w:r w:rsidR="00EB4965">
        <w:t>their</w:t>
      </w:r>
      <w:r w:rsidRPr="00383746">
        <w:t xml:space="preserve"> name, address, telephone number, names of the stationary sources for which OCA information is requested, display documentation demonstrating proof of residence and employment, and view OCA information for local facilities at a federal reading room? If not, would you assume more than one hour onsite to go through the process?  </w:t>
      </w:r>
    </w:p>
    <w:p w:rsidR="00394013" w:rsidRPr="00383746" w:rsidP="00E140DE" w14:paraId="51E41E20" w14:textId="77777777">
      <w:pPr>
        <w:ind w:left="1125"/>
      </w:pPr>
    </w:p>
    <w:p w:rsidR="00D14B0E" w:rsidRPr="00383746" w:rsidP="00E140DE" w14:paraId="4CFA5076" w14:textId="05F62A49">
      <w:pPr>
        <w:rPr>
          <w:b/>
          <w:bCs/>
        </w:rPr>
      </w:pPr>
      <w:bookmarkStart w:id="5" w:name="_Hlk99539052"/>
      <w:r w:rsidRPr="00383746">
        <w:rPr>
          <w:b/>
          <w:bCs/>
        </w:rPr>
        <w:t>EPA</w:t>
      </w:r>
      <w:r w:rsidRPr="00383746" w:rsidR="00BE3D63">
        <w:rPr>
          <w:b/>
          <w:bCs/>
        </w:rPr>
        <w:t xml:space="preserve"> </w:t>
      </w:r>
      <w:r w:rsidRPr="00383746">
        <w:rPr>
          <w:b/>
          <w:bCs/>
        </w:rPr>
        <w:t>HQ</w:t>
      </w:r>
      <w:r w:rsidRPr="00383746" w:rsidR="00640920">
        <w:rPr>
          <w:b/>
          <w:bCs/>
        </w:rPr>
        <w:t xml:space="preserve"> Docket Center Staff</w:t>
      </w:r>
      <w:bookmarkEnd w:id="5"/>
      <w:r w:rsidRPr="00383746">
        <w:rPr>
          <w:b/>
          <w:bCs/>
        </w:rPr>
        <w:t xml:space="preserve">: </w:t>
      </w:r>
      <w:r w:rsidRPr="00383746">
        <w:t>Requests for OCA information are made by email.  All contact and facility information is contained in the email</w:t>
      </w:r>
      <w:r w:rsidRPr="00705825">
        <w:t xml:space="preserve">. </w:t>
      </w:r>
      <w:r w:rsidRPr="00705825" w:rsidR="000C667E">
        <w:t xml:space="preserve">The requester </w:t>
      </w:r>
      <w:r w:rsidRPr="00705825" w:rsidR="00221602">
        <w:t xml:space="preserve">usually </w:t>
      </w:r>
      <w:r w:rsidRPr="00705825" w:rsidR="000C667E">
        <w:t>spend</w:t>
      </w:r>
      <w:r w:rsidRPr="00705825" w:rsidR="00221602">
        <w:t>s</w:t>
      </w:r>
      <w:r w:rsidRPr="00705825">
        <w:t xml:space="preserve"> 2</w:t>
      </w:r>
      <w:r w:rsidR="00E4249C">
        <w:t xml:space="preserve"> to </w:t>
      </w:r>
      <w:r w:rsidRPr="00705825">
        <w:t xml:space="preserve">3 hours </w:t>
      </w:r>
      <w:r w:rsidRPr="00705825" w:rsidR="00090DA1">
        <w:t>re</w:t>
      </w:r>
      <w:r w:rsidRPr="00705825">
        <w:t>view</w:t>
      </w:r>
      <w:r w:rsidRPr="00705825" w:rsidR="00090DA1">
        <w:t>ing</w:t>
      </w:r>
      <w:r w:rsidRPr="00705825">
        <w:t xml:space="preserve"> the information.</w:t>
      </w:r>
    </w:p>
    <w:p w:rsidR="00D14B0E" w:rsidRPr="00383746" w:rsidP="00D14B0E" w14:paraId="39E21EEB" w14:textId="2D5E31F6">
      <w:bookmarkStart w:id="6" w:name="_Hlk99539603"/>
      <w:r w:rsidRPr="00705825">
        <w:rPr>
          <w:b/>
          <w:bCs/>
        </w:rPr>
        <w:t>Region 1</w:t>
      </w:r>
      <w:r w:rsidRPr="00705825" w:rsidR="00E279C7">
        <w:rPr>
          <w:b/>
          <w:bCs/>
        </w:rPr>
        <w:t xml:space="preserve"> Library Staff</w:t>
      </w:r>
      <w:bookmarkEnd w:id="6"/>
      <w:r w:rsidRPr="00705825">
        <w:t xml:space="preserve">: The </w:t>
      </w:r>
      <w:r w:rsidRPr="00705825" w:rsidR="00FB05DE">
        <w:t>requesters usually spend</w:t>
      </w:r>
      <w:r w:rsidRPr="00705825">
        <w:t xml:space="preserve"> 4</w:t>
      </w:r>
      <w:r w:rsidR="002E3E2B">
        <w:t xml:space="preserve"> to </w:t>
      </w:r>
      <w:r w:rsidRPr="00705825">
        <w:t>5 hours each</w:t>
      </w:r>
      <w:r w:rsidRPr="00705825" w:rsidR="009876ED">
        <w:t xml:space="preserve"> reviewing the </w:t>
      </w:r>
      <w:r w:rsidRPr="00705825" w:rsidR="00641909">
        <w:t>information</w:t>
      </w:r>
      <w:r w:rsidRPr="00705825" w:rsidR="007974F3">
        <w:t>.</w:t>
      </w:r>
      <w:r w:rsidRPr="00383746">
        <w:t xml:space="preserve"> </w:t>
      </w:r>
    </w:p>
    <w:p w:rsidR="00D14B0E" w:rsidRPr="00705825" w:rsidP="00D14B0E" w14:paraId="217FAB7A" w14:textId="372514D9">
      <w:pPr>
        <w:rPr>
          <w:b/>
          <w:bCs/>
        </w:rPr>
      </w:pPr>
      <w:r w:rsidRPr="00383746">
        <w:rPr>
          <w:b/>
          <w:bCs/>
        </w:rPr>
        <w:t xml:space="preserve">Region 3 </w:t>
      </w:r>
      <w:r w:rsidRPr="00383746" w:rsidR="00A14274">
        <w:rPr>
          <w:b/>
          <w:bCs/>
        </w:rPr>
        <w:t>Library Staff</w:t>
      </w:r>
      <w:r w:rsidRPr="00383746">
        <w:rPr>
          <w:b/>
          <w:bCs/>
        </w:rPr>
        <w:t>--</w:t>
      </w:r>
      <w:r w:rsidRPr="00383746">
        <w:t xml:space="preserve"> </w:t>
      </w:r>
      <w:r w:rsidRPr="00383746" w:rsidR="009524FD">
        <w:t>A</w:t>
      </w:r>
      <w:r w:rsidRPr="00383746">
        <w:t xml:space="preserve">ppointments for </w:t>
      </w:r>
      <w:r w:rsidR="002E3E2B">
        <w:t>the R</w:t>
      </w:r>
      <w:r w:rsidRPr="00383746">
        <w:t xml:space="preserve">MP Reading Room </w:t>
      </w:r>
      <w:r w:rsidRPr="00383746" w:rsidR="00F730FB">
        <w:t>are required</w:t>
      </w:r>
      <w:r w:rsidRPr="00383746">
        <w:t xml:space="preserve"> due to an upcoming office move. The new office space may not have room in the library for visitors to review the RMP information, so library staff will have to reserve meeting rooms ahead of time for such visits. If visitors let us know the facilities for which they wish to review OCA information when they call for the appointment, those reports can be printed and ready for them to view when they arrive</w:t>
      </w:r>
      <w:r w:rsidRPr="00705825">
        <w:t>. The amount of time they need to review OCA documents may be an hour or more, depending upon how many facilities they have requested and how many pieces of information they need to take notes on</w:t>
      </w:r>
      <w:r w:rsidR="002E3E2B">
        <w:t>.</w:t>
      </w:r>
    </w:p>
    <w:p w:rsidR="00E140DE" w:rsidRPr="00705825" w:rsidP="00E140DE" w14:paraId="4A2FC320" w14:textId="27D38644">
      <w:r w:rsidRPr="00705825">
        <w:rPr>
          <w:b/>
          <w:bCs/>
        </w:rPr>
        <w:t xml:space="preserve">Region </w:t>
      </w:r>
      <w:r w:rsidRPr="00705825" w:rsidR="008811A1">
        <w:rPr>
          <w:b/>
          <w:bCs/>
        </w:rPr>
        <w:t>4</w:t>
      </w:r>
      <w:r w:rsidRPr="00383746" w:rsidR="00A14274">
        <w:rPr>
          <w:b/>
          <w:bCs/>
        </w:rPr>
        <w:t xml:space="preserve"> Staff</w:t>
      </w:r>
      <w:r w:rsidRPr="00705825">
        <w:rPr>
          <w:b/>
          <w:bCs/>
        </w:rPr>
        <w:t>:</w:t>
      </w:r>
      <w:r w:rsidRPr="00705825">
        <w:t xml:space="preserve"> </w:t>
      </w:r>
      <w:r w:rsidRPr="00383746" w:rsidR="001B47FB">
        <w:t xml:space="preserve">There has been one request in the past </w:t>
      </w:r>
      <w:r w:rsidRPr="00383746" w:rsidR="005123D0">
        <w:t xml:space="preserve">three years and the review of OCA information was approximately </w:t>
      </w:r>
      <w:r w:rsidRPr="00383746" w:rsidR="00FF5747">
        <w:t xml:space="preserve">one hour. </w:t>
      </w:r>
    </w:p>
    <w:p w:rsidR="00D14B0E" w:rsidRPr="00383746" w:rsidP="00D14B0E" w14:paraId="3D0E8FC9" w14:textId="1F612060">
      <w:r w:rsidRPr="00383746">
        <w:rPr>
          <w:b/>
          <w:bCs/>
        </w:rPr>
        <w:t xml:space="preserve">Region 6: </w:t>
      </w:r>
      <w:r w:rsidRPr="00383746" w:rsidR="00FF5747">
        <w:t xml:space="preserve">Approximately </w:t>
      </w:r>
      <w:r w:rsidRPr="00383746">
        <w:t>on</w:t>
      </w:r>
      <w:r w:rsidRPr="00383746" w:rsidR="00FF5747">
        <w:t xml:space="preserve">e </w:t>
      </w:r>
      <w:r w:rsidRPr="00383746">
        <w:t>hour for processing</w:t>
      </w:r>
      <w:r w:rsidR="002E3E2B">
        <w:t>,</w:t>
      </w:r>
      <w:r w:rsidRPr="00383746">
        <w:t xml:space="preserve"> and </w:t>
      </w:r>
      <w:r w:rsidR="002E3E2B">
        <w:t xml:space="preserve">two to four hours </w:t>
      </w:r>
      <w:r w:rsidRPr="00383746">
        <w:t>to view OCA data</w:t>
      </w:r>
      <w:r w:rsidR="002E3E2B">
        <w:t xml:space="preserve">, </w:t>
      </w:r>
      <w:r w:rsidRPr="00383746">
        <w:t xml:space="preserve">depending </w:t>
      </w:r>
      <w:r w:rsidR="00DC23BE">
        <w:t xml:space="preserve">on </w:t>
      </w:r>
      <w:r w:rsidRPr="00383746">
        <w:t>the number of reports.</w:t>
      </w:r>
    </w:p>
    <w:p w:rsidR="00E140DE" w:rsidRPr="00705825" w:rsidP="00E140DE" w14:paraId="255D86A8" w14:textId="30A7516A">
      <w:r w:rsidRPr="00705825">
        <w:rPr>
          <w:b/>
          <w:bCs/>
        </w:rPr>
        <w:t xml:space="preserve">Region </w:t>
      </w:r>
      <w:r w:rsidRPr="00705825" w:rsidR="008811A1">
        <w:rPr>
          <w:b/>
          <w:bCs/>
        </w:rPr>
        <w:t>7</w:t>
      </w:r>
      <w:r w:rsidRPr="00705825">
        <w:rPr>
          <w:b/>
          <w:bCs/>
        </w:rPr>
        <w:t>:</w:t>
      </w:r>
      <w:r w:rsidRPr="00705825">
        <w:t xml:space="preserve"> </w:t>
      </w:r>
      <w:r w:rsidRPr="00705825">
        <w:t xml:space="preserve">We have not had a </w:t>
      </w:r>
      <w:r w:rsidR="002E3E2B">
        <w:t>F</w:t>
      </w:r>
      <w:r w:rsidRPr="00705825">
        <w:t>ederal reading room request in the past 3 years</w:t>
      </w:r>
      <w:r w:rsidRPr="00705825">
        <w:t xml:space="preserve">, or </w:t>
      </w:r>
      <w:r w:rsidRPr="00705825">
        <w:t xml:space="preserve">since the beginning of 2019. Based on prior experience, regarding length of time, the member of the public requesting to use the reading room spent approximately 15 minutes on the call to make the appointment (including providing necessary information about themselves, the requested facilities, and for </w:t>
      </w:r>
      <w:r w:rsidRPr="00705825">
        <w:t xml:space="preserve">EPA staff </w:t>
      </w:r>
      <w:r w:rsidRPr="00705825">
        <w:t>to provide the information on procedures for their reading room appointment). The visit to the office, once through security, varied depending on the number of RMPs the person wanted to view and whether they had questions about what fields in an RMP meant, as well as the complexity of the facilities in question.</w:t>
      </w:r>
    </w:p>
    <w:p w:rsidR="00D14B0E" w:rsidRPr="00383746" w:rsidP="00E140DE" w14:paraId="164630D7" w14:textId="612D0C47">
      <w:r w:rsidRPr="00705825">
        <w:rPr>
          <w:b/>
          <w:bCs/>
        </w:rPr>
        <w:t xml:space="preserve">Region 8: </w:t>
      </w:r>
      <w:r w:rsidRPr="00705825">
        <w:t xml:space="preserve"> </w:t>
      </w:r>
      <w:r w:rsidRPr="00383746" w:rsidR="00EE0044">
        <w:t xml:space="preserve">Approximately one </w:t>
      </w:r>
      <w:r w:rsidRPr="00705825">
        <w:t>hour</w:t>
      </w:r>
      <w:r w:rsidRPr="00383746">
        <w:t xml:space="preserve"> for the requestor to make the reading room request</w:t>
      </w:r>
      <w:r w:rsidR="00DC23BE">
        <w:t>.</w:t>
      </w:r>
    </w:p>
    <w:p w:rsidR="00E140DE" w:rsidRPr="00383746" w:rsidP="00E140DE" w14:paraId="1003A151" w14:textId="0C15E26F">
      <w:r w:rsidRPr="00705825">
        <w:rPr>
          <w:b/>
          <w:bCs/>
        </w:rPr>
        <w:t xml:space="preserve">Region </w:t>
      </w:r>
      <w:r w:rsidRPr="00705825" w:rsidR="008811A1">
        <w:rPr>
          <w:b/>
          <w:bCs/>
        </w:rPr>
        <w:t>9</w:t>
      </w:r>
      <w:r w:rsidRPr="00705825">
        <w:rPr>
          <w:b/>
          <w:bCs/>
        </w:rPr>
        <w:t xml:space="preserve">: </w:t>
      </w:r>
      <w:r w:rsidRPr="00705825">
        <w:t>The average time is approx</w:t>
      </w:r>
      <w:r w:rsidR="003874A7">
        <w:t>imately</w:t>
      </w:r>
      <w:r w:rsidRPr="00705825">
        <w:t xml:space="preserve"> 1 </w:t>
      </w:r>
      <w:r w:rsidR="00DC23BE">
        <w:t>to</w:t>
      </w:r>
      <w:r w:rsidRPr="00705825">
        <w:t xml:space="preserve"> 1.5 hours.  </w:t>
      </w:r>
      <w:r w:rsidRPr="00383746">
        <w:t xml:space="preserve"> </w:t>
      </w:r>
    </w:p>
    <w:p w:rsidR="00E140DE" w:rsidRPr="00383746" w:rsidP="00E140DE" w14:paraId="6ED7F9B5" w14:textId="77777777"/>
    <w:p w:rsidR="00E140DE" w:rsidRPr="00383746" w:rsidP="00E140DE" w14:paraId="6E9387C4" w14:textId="1EA33588">
      <w:r w:rsidRPr="00383746">
        <w:rPr>
          <w:b/>
          <w:bCs/>
        </w:rPr>
        <w:t xml:space="preserve">Question </w:t>
      </w:r>
      <w:r w:rsidRPr="00383746">
        <w:rPr>
          <w:b/>
          <w:bCs/>
        </w:rPr>
        <w:t>2</w:t>
      </w:r>
      <w:r w:rsidRPr="00383746">
        <w:rPr>
          <w:b/>
          <w:bCs/>
        </w:rPr>
        <w:t xml:space="preserve">: </w:t>
      </w:r>
      <w:r w:rsidRPr="00383746">
        <w:t xml:space="preserve"> </w:t>
      </w:r>
      <w:r w:rsidRPr="00383746">
        <w:t xml:space="preserve">Do you know </w:t>
      </w:r>
      <w:r w:rsidRPr="00705825">
        <w:t xml:space="preserve">the </w:t>
      </w:r>
      <w:r w:rsidRPr="00705825">
        <w:t>number</w:t>
      </w:r>
      <w:r w:rsidRPr="00705825">
        <w:t xml:space="preserve"> of RMP</w:t>
      </w:r>
      <w:r w:rsidR="005C33CB">
        <w:t>-</w:t>
      </w:r>
      <w:r w:rsidRPr="00705825">
        <w:t xml:space="preserve">related visits to </w:t>
      </w:r>
      <w:r w:rsidRPr="00705825">
        <w:t>F</w:t>
      </w:r>
      <w:r w:rsidRPr="00705825">
        <w:t>ederal reading rooms</w:t>
      </w:r>
      <w:r w:rsidRPr="00383746">
        <w:t xml:space="preserve"> within your </w:t>
      </w:r>
      <w:r w:rsidR="005C33CB">
        <w:t>R</w:t>
      </w:r>
      <w:r w:rsidRPr="00383746">
        <w:t xml:space="preserve">egion over the previous 3 years? </w:t>
      </w:r>
    </w:p>
    <w:p w:rsidR="00E140DE" w:rsidRPr="00383746" w:rsidP="00E140DE" w14:paraId="2CCC6383" w14:textId="00E63570"/>
    <w:p w:rsidR="00AF0E0D" w:rsidRPr="00383746" w:rsidP="00D14B0E" w14:paraId="2912895E" w14:textId="4B6AF4B5">
      <w:pPr>
        <w:rPr>
          <w:b/>
          <w:bCs/>
        </w:rPr>
      </w:pPr>
      <w:r w:rsidRPr="00383746">
        <w:rPr>
          <w:b/>
          <w:bCs/>
        </w:rPr>
        <w:t>EPA HQ Docket Center Staff</w:t>
      </w:r>
      <w:r w:rsidRPr="00705825" w:rsidR="00D14B0E">
        <w:rPr>
          <w:b/>
          <w:bCs/>
        </w:rPr>
        <w:t xml:space="preserve">: </w:t>
      </w:r>
    </w:p>
    <w:p w:rsidR="00AF0E0D" w:rsidRPr="00383746" w:rsidP="00D14B0E" w14:paraId="348B0C77" w14:textId="7A3C250F">
      <w:r w:rsidRPr="00705825">
        <w:t>FY19: 14 visits and 131 sites requested</w:t>
      </w:r>
      <w:r w:rsidR="005C33CB">
        <w:t>.</w:t>
      </w:r>
    </w:p>
    <w:p w:rsidR="00AF0E0D" w:rsidRPr="00383746" w:rsidP="00D14B0E" w14:paraId="5D0727F0" w14:textId="12A7DB14">
      <w:r w:rsidRPr="00705825">
        <w:t>FY20: 8 visits and 80 sites requested</w:t>
      </w:r>
      <w:r w:rsidR="003874A7">
        <w:t>.</w:t>
      </w:r>
      <w:r w:rsidRPr="00705825">
        <w:t xml:space="preserve"> </w:t>
      </w:r>
    </w:p>
    <w:p w:rsidR="00D14B0E" w:rsidRPr="00705825" w:rsidP="00D14B0E" w14:paraId="073A86A7" w14:textId="344053EE">
      <w:r w:rsidRPr="00705825">
        <w:t>FY21: 1 visit and 1 site requested</w:t>
      </w:r>
      <w:r w:rsidR="003874A7">
        <w:t>.</w:t>
      </w:r>
    </w:p>
    <w:p w:rsidR="00D14B0E" w:rsidRPr="00705825" w:rsidP="00D14B0E" w14:paraId="0A32DBF5" w14:textId="2CE72899">
      <w:r w:rsidRPr="00705825">
        <w:rPr>
          <w:b/>
          <w:bCs/>
        </w:rPr>
        <w:t xml:space="preserve">Region 1 </w:t>
      </w:r>
      <w:bookmarkStart w:id="7" w:name="_Hlk99547879"/>
      <w:r w:rsidRPr="00705825">
        <w:rPr>
          <w:b/>
          <w:bCs/>
        </w:rPr>
        <w:t>Library Staff</w:t>
      </w:r>
      <w:r w:rsidRPr="00705825">
        <w:rPr>
          <w:b/>
          <w:bCs/>
        </w:rPr>
        <w:t>:</w:t>
      </w:r>
      <w:r w:rsidRPr="00705825">
        <w:t xml:space="preserve"> </w:t>
      </w:r>
      <w:bookmarkEnd w:id="7"/>
      <w:r w:rsidRPr="00383746" w:rsidR="00AF0E0D">
        <w:t xml:space="preserve">Five requests in </w:t>
      </w:r>
      <w:r w:rsidRPr="00383746" w:rsidR="00CA4E18">
        <w:t>2019 and one request since March 2020.</w:t>
      </w:r>
      <w:r w:rsidRPr="00705825">
        <w:t xml:space="preserve"> </w:t>
      </w:r>
    </w:p>
    <w:p w:rsidR="00D14B0E" w:rsidRPr="00383746" w:rsidP="00D14B0E" w14:paraId="5C2CF954" w14:textId="53F9D0A0">
      <w:r w:rsidRPr="00705825">
        <w:rPr>
          <w:b/>
          <w:bCs/>
        </w:rPr>
        <w:t>Region 3</w:t>
      </w:r>
      <w:r w:rsidRPr="00383746" w:rsidR="00CA4E18">
        <w:rPr>
          <w:b/>
          <w:bCs/>
        </w:rPr>
        <w:t xml:space="preserve"> Library Staff</w:t>
      </w:r>
      <w:r w:rsidRPr="00705825">
        <w:rPr>
          <w:b/>
          <w:bCs/>
        </w:rPr>
        <w:t xml:space="preserve">: </w:t>
      </w:r>
      <w:r w:rsidRPr="00705825">
        <w:t>Since November 2018</w:t>
      </w:r>
      <w:r w:rsidR="005C33CB">
        <w:t>,</w:t>
      </w:r>
      <w:r w:rsidRPr="00705825">
        <w:t xml:space="preserve"> we have had five people visit the Reading Room</w:t>
      </w:r>
      <w:r w:rsidRPr="00383746" w:rsidR="00B739C3">
        <w:t xml:space="preserve">, all prior to </w:t>
      </w:r>
      <w:r w:rsidR="005C33CB">
        <w:t>Dec. 2</w:t>
      </w:r>
      <w:r w:rsidRPr="00383746" w:rsidR="00B739C3">
        <w:t>019.</w:t>
      </w:r>
    </w:p>
    <w:p w:rsidR="00E140DE" w:rsidRPr="00705825" w:rsidP="00E140DE" w14:paraId="3812756D" w14:textId="1434F506">
      <w:r w:rsidRPr="00705825">
        <w:rPr>
          <w:b/>
          <w:bCs/>
        </w:rPr>
        <w:t xml:space="preserve">Region </w:t>
      </w:r>
      <w:r w:rsidRPr="00705825" w:rsidR="00971903">
        <w:rPr>
          <w:b/>
          <w:bCs/>
        </w:rPr>
        <w:t>4</w:t>
      </w:r>
      <w:r w:rsidRPr="00705825">
        <w:t xml:space="preserve">: </w:t>
      </w:r>
      <w:r w:rsidRPr="00705825">
        <w:t>One</w:t>
      </w:r>
      <w:r w:rsidRPr="00383746" w:rsidR="00B739C3">
        <w:t xml:space="preserve"> </w:t>
      </w:r>
      <w:r w:rsidRPr="00383746" w:rsidR="006B747C">
        <w:t>request.</w:t>
      </w:r>
    </w:p>
    <w:p w:rsidR="007A08D0" w:rsidRPr="00383746" w:rsidP="007A08D0" w14:paraId="2F687C91" w14:textId="04043A07">
      <w:r w:rsidRPr="00383746">
        <w:rPr>
          <w:b/>
          <w:bCs/>
        </w:rPr>
        <w:t>Region 6</w:t>
      </w:r>
      <w:r w:rsidRPr="00383746">
        <w:t>: Within the past three (3) years, there ha</w:t>
      </w:r>
      <w:r w:rsidR="005C33CB">
        <w:t xml:space="preserve">ve </w:t>
      </w:r>
      <w:r w:rsidRPr="00383746">
        <w:t xml:space="preserve">been </w:t>
      </w:r>
      <w:r w:rsidR="005C33CB">
        <w:t xml:space="preserve">no </w:t>
      </w:r>
      <w:r w:rsidRPr="00383746">
        <w:t>visit</w:t>
      </w:r>
      <w:r w:rsidR="005C33CB">
        <w:t>s</w:t>
      </w:r>
      <w:r w:rsidRPr="00383746">
        <w:t xml:space="preserve"> to Region 6</w:t>
      </w:r>
      <w:r w:rsidR="005C33CB">
        <w:t>’s</w:t>
      </w:r>
      <w:r w:rsidRPr="00383746">
        <w:t xml:space="preserve"> Federal Reading Room. </w:t>
      </w:r>
    </w:p>
    <w:p w:rsidR="00E140DE" w:rsidRPr="00705825" w:rsidP="00E140DE" w14:paraId="372FB276" w14:textId="0708CBF9">
      <w:r w:rsidRPr="00705825">
        <w:rPr>
          <w:b/>
          <w:bCs/>
        </w:rPr>
        <w:t xml:space="preserve">Region </w:t>
      </w:r>
      <w:r w:rsidRPr="00705825" w:rsidR="00971903">
        <w:rPr>
          <w:b/>
          <w:bCs/>
        </w:rPr>
        <w:t>7</w:t>
      </w:r>
      <w:r w:rsidRPr="00705825">
        <w:rPr>
          <w:b/>
          <w:bCs/>
        </w:rPr>
        <w:t>:</w:t>
      </w:r>
      <w:r w:rsidRPr="00705825">
        <w:t xml:space="preserve"> </w:t>
      </w:r>
      <w:r w:rsidRPr="00705825">
        <w:t>No</w:t>
      </w:r>
      <w:r w:rsidRPr="00383746" w:rsidR="006B747C">
        <w:t xml:space="preserve">ne at EPA and unknown number at other </w:t>
      </w:r>
      <w:r w:rsidRPr="00383746" w:rsidR="00421895">
        <w:t xml:space="preserve">sites in the </w:t>
      </w:r>
      <w:r w:rsidR="005C33CB">
        <w:t>R</w:t>
      </w:r>
      <w:r w:rsidRPr="00383746" w:rsidR="00421895">
        <w:t>egion.</w:t>
      </w:r>
    </w:p>
    <w:p w:rsidR="005030A3" w:rsidRPr="00383746" w:rsidP="005030A3" w14:paraId="0C157161" w14:textId="2FF96C68">
      <w:r w:rsidRPr="00383746">
        <w:rPr>
          <w:b/>
          <w:bCs/>
        </w:rPr>
        <w:t xml:space="preserve">Region 8: </w:t>
      </w:r>
      <w:r w:rsidR="005C33CB">
        <w:t>Two</w:t>
      </w:r>
      <w:r w:rsidRPr="00705825">
        <w:t xml:space="preserve"> requests in 2021 and the last request was from 2019</w:t>
      </w:r>
      <w:r w:rsidRPr="00383746">
        <w:t xml:space="preserve">.  </w:t>
      </w:r>
    </w:p>
    <w:p w:rsidR="00E140DE" w:rsidRPr="00705825" w:rsidP="00E140DE" w14:paraId="3BDE26DE" w14:textId="6DDFE69F">
      <w:r w:rsidRPr="00705825">
        <w:rPr>
          <w:b/>
          <w:bCs/>
        </w:rPr>
        <w:t xml:space="preserve">Region </w:t>
      </w:r>
      <w:r w:rsidRPr="00705825" w:rsidR="00971903">
        <w:rPr>
          <w:b/>
          <w:bCs/>
        </w:rPr>
        <w:t>9</w:t>
      </w:r>
      <w:r w:rsidRPr="00705825">
        <w:rPr>
          <w:b/>
          <w:bCs/>
        </w:rPr>
        <w:t xml:space="preserve">: </w:t>
      </w:r>
      <w:r w:rsidRPr="00705825">
        <w:t>Our reading room has been closed during the pandemi</w:t>
      </w:r>
      <w:r w:rsidRPr="00705825">
        <w:t xml:space="preserve">c, but </w:t>
      </w:r>
      <w:r w:rsidRPr="00383746" w:rsidR="008B46A5">
        <w:t>typically receive</w:t>
      </w:r>
      <w:r w:rsidR="003874A7">
        <w:t>s</w:t>
      </w:r>
      <w:r w:rsidRPr="00383746" w:rsidR="008B46A5">
        <w:t xml:space="preserve"> 1</w:t>
      </w:r>
      <w:r w:rsidR="005C33CB">
        <w:t xml:space="preserve"> to </w:t>
      </w:r>
      <w:r w:rsidRPr="00383746" w:rsidR="008B46A5">
        <w:t xml:space="preserve">2 </w:t>
      </w:r>
      <w:r w:rsidRPr="00383746" w:rsidR="002C17C3">
        <w:t xml:space="preserve">requests each year. </w:t>
      </w:r>
    </w:p>
    <w:p w:rsidR="005F7057" w:rsidP="00E140DE" w14:paraId="048B56E5" w14:textId="78475BF8">
      <w:pPr>
        <w:rPr>
          <w:b/>
          <w:bCs/>
        </w:rPr>
      </w:pPr>
    </w:p>
    <w:p w:rsidR="00E140DE" w:rsidRPr="00383746" w:rsidP="00E140DE" w14:paraId="58A37767" w14:textId="19787E2C">
      <w:r w:rsidRPr="00383746">
        <w:rPr>
          <w:b/>
          <w:bCs/>
        </w:rPr>
        <w:t xml:space="preserve">Question </w:t>
      </w:r>
      <w:r w:rsidRPr="00383746">
        <w:rPr>
          <w:b/>
          <w:bCs/>
        </w:rPr>
        <w:t>3</w:t>
      </w:r>
      <w:r w:rsidRPr="00383746">
        <w:rPr>
          <w:b/>
          <w:bCs/>
        </w:rPr>
        <w:t>:</w:t>
      </w:r>
      <w:r w:rsidRPr="00383746">
        <w:t xml:space="preserve">  Do you </w:t>
      </w:r>
      <w:r w:rsidRPr="00705825">
        <w:t xml:space="preserve">know how many </w:t>
      </w:r>
      <w:r w:rsidR="005C33CB">
        <w:t>S</w:t>
      </w:r>
      <w:r w:rsidRPr="00705825">
        <w:t>tate and local agency reading rooms were visited</w:t>
      </w:r>
      <w:r w:rsidRPr="00383746">
        <w:t xml:space="preserve"> for RMP information in the last three years? </w:t>
      </w:r>
    </w:p>
    <w:p w:rsidR="00E140DE" w:rsidRPr="00383746" w:rsidP="00E140DE" w14:paraId="12288C34" w14:textId="4D27CE37">
      <w:pPr>
        <w:rPr>
          <w:b/>
          <w:bCs/>
        </w:rPr>
      </w:pPr>
    </w:p>
    <w:p w:rsidR="005030A3" w:rsidRPr="00383746" w:rsidP="005030A3" w14:paraId="08249E03" w14:textId="0DF7D12E">
      <w:r w:rsidRPr="00383746">
        <w:rPr>
          <w:b/>
          <w:bCs/>
        </w:rPr>
        <w:t>Region 3</w:t>
      </w:r>
      <w:r w:rsidRPr="00383746" w:rsidR="009A624F">
        <w:rPr>
          <w:b/>
          <w:bCs/>
        </w:rPr>
        <w:t xml:space="preserve"> Library Staff</w:t>
      </w:r>
      <w:r w:rsidRPr="00383746">
        <w:rPr>
          <w:b/>
          <w:bCs/>
        </w:rPr>
        <w:t xml:space="preserve">: </w:t>
      </w:r>
      <w:r w:rsidRPr="00705825" w:rsidR="002920C1">
        <w:t>Unknown.</w:t>
      </w:r>
    </w:p>
    <w:p w:rsidR="00E140DE" w:rsidRPr="00705825" w:rsidP="00E140DE" w14:paraId="38975BF1" w14:textId="34F01C21">
      <w:r w:rsidRPr="00705825">
        <w:rPr>
          <w:b/>
          <w:bCs/>
        </w:rPr>
        <w:t xml:space="preserve">Region </w:t>
      </w:r>
      <w:r w:rsidRPr="00705825" w:rsidR="009F3702">
        <w:rPr>
          <w:b/>
          <w:bCs/>
        </w:rPr>
        <w:t>4</w:t>
      </w:r>
      <w:r w:rsidRPr="00705825">
        <w:rPr>
          <w:b/>
          <w:bCs/>
        </w:rPr>
        <w:t xml:space="preserve">: </w:t>
      </w:r>
      <w:r w:rsidRPr="00705825" w:rsidR="002920C1">
        <w:t>Unknown.</w:t>
      </w:r>
    </w:p>
    <w:p w:rsidR="005030A3" w:rsidRPr="00383746" w:rsidP="005030A3" w14:paraId="7FAE217E" w14:textId="0D3E5C4C">
      <w:r w:rsidRPr="00383746">
        <w:rPr>
          <w:b/>
          <w:bCs/>
        </w:rPr>
        <w:t>Region 6</w:t>
      </w:r>
      <w:r w:rsidRPr="00383746">
        <w:t xml:space="preserve">:  No information on other States or </w:t>
      </w:r>
      <w:r w:rsidR="005C33CB">
        <w:t>lo</w:t>
      </w:r>
      <w:r w:rsidRPr="00383746">
        <w:t xml:space="preserve">cal </w:t>
      </w:r>
      <w:r w:rsidR="005C33CB">
        <w:t>a</w:t>
      </w:r>
      <w:r w:rsidRPr="00383746">
        <w:t>genc</w:t>
      </w:r>
      <w:r w:rsidR="005C33CB">
        <w:t>ie</w:t>
      </w:r>
      <w:r w:rsidRPr="00383746">
        <w:t>s</w:t>
      </w:r>
      <w:r w:rsidR="005C33CB">
        <w:t>’</w:t>
      </w:r>
      <w:r w:rsidRPr="00383746">
        <w:t xml:space="preserve"> reading rooms</w:t>
      </w:r>
    </w:p>
    <w:p w:rsidR="00E140DE" w:rsidRPr="00705825" w:rsidP="00E140DE" w14:paraId="21AEF71B" w14:textId="4BF1E8F7">
      <w:r w:rsidRPr="00705825">
        <w:rPr>
          <w:b/>
          <w:bCs/>
        </w:rPr>
        <w:t xml:space="preserve">Region </w:t>
      </w:r>
      <w:r w:rsidRPr="00705825" w:rsidR="009F3702">
        <w:rPr>
          <w:b/>
          <w:bCs/>
        </w:rPr>
        <w:t>7</w:t>
      </w:r>
      <w:r w:rsidRPr="00705825">
        <w:rPr>
          <w:b/>
          <w:bCs/>
        </w:rPr>
        <w:t xml:space="preserve">: </w:t>
      </w:r>
      <w:r w:rsidRPr="00705825">
        <w:t>There are no state or local agency reading rooms for RMP information in the four Region 7 states</w:t>
      </w:r>
      <w:r w:rsidRPr="00705825" w:rsidR="009A624F">
        <w:t>.</w:t>
      </w:r>
    </w:p>
    <w:p w:rsidR="00E140DE" w:rsidP="00E140DE" w14:paraId="504A9662" w14:textId="707E190B">
      <w:r w:rsidRPr="00705825">
        <w:rPr>
          <w:b/>
          <w:bCs/>
        </w:rPr>
        <w:t xml:space="preserve">Region </w:t>
      </w:r>
      <w:r w:rsidRPr="00705825" w:rsidR="009F3702">
        <w:rPr>
          <w:b/>
          <w:bCs/>
        </w:rPr>
        <w:t>9</w:t>
      </w:r>
      <w:r w:rsidRPr="00705825">
        <w:rPr>
          <w:b/>
          <w:bCs/>
        </w:rPr>
        <w:t xml:space="preserve">: </w:t>
      </w:r>
      <w:r w:rsidRPr="00705825" w:rsidR="009A624F">
        <w:t>W</w:t>
      </w:r>
      <w:r w:rsidRPr="00705825">
        <w:t>e do</w:t>
      </w:r>
      <w:r w:rsidR="005C33CB">
        <w:t xml:space="preserve"> not </w:t>
      </w:r>
      <w:r w:rsidRPr="00705825">
        <w:t xml:space="preserve">track the </w:t>
      </w:r>
      <w:r w:rsidR="005C33CB">
        <w:t>S</w:t>
      </w:r>
      <w:r w:rsidRPr="00705825">
        <w:t xml:space="preserve">tate and local agency reading room visits.  </w:t>
      </w:r>
    </w:p>
    <w:p w:rsidR="000D148F" w:rsidRPr="00383746" w:rsidP="00E140DE" w14:paraId="3093A7A5" w14:textId="77777777"/>
    <w:p w:rsidR="00E140DE" w:rsidRPr="00383746" w:rsidP="00E140DE" w14:paraId="221F2311" w14:textId="3C1A6205">
      <w:r w:rsidRPr="00383746">
        <w:rPr>
          <w:b/>
          <w:bCs/>
        </w:rPr>
        <w:t xml:space="preserve">Question </w:t>
      </w:r>
      <w:r w:rsidRPr="00383746">
        <w:rPr>
          <w:b/>
          <w:bCs/>
        </w:rPr>
        <w:t>4</w:t>
      </w:r>
      <w:r w:rsidRPr="00383746">
        <w:rPr>
          <w:b/>
          <w:bCs/>
        </w:rPr>
        <w:t xml:space="preserve">: </w:t>
      </w:r>
      <w:r w:rsidRPr="00383746">
        <w:t>H</w:t>
      </w:r>
      <w:r w:rsidRPr="00383746">
        <w:t xml:space="preserve">ow </w:t>
      </w:r>
      <w:r w:rsidRPr="00705825">
        <w:t xml:space="preserve">many RMPs does the typical person request, up to 10, per visit at the </w:t>
      </w:r>
      <w:r w:rsidRPr="00705825">
        <w:t>F</w:t>
      </w:r>
      <w:r w:rsidRPr="00705825">
        <w:t>ederal reading rooms?</w:t>
      </w:r>
      <w:r w:rsidRPr="00383746">
        <w:t xml:space="preserve"> </w:t>
      </w:r>
    </w:p>
    <w:p w:rsidR="005030A3" w:rsidRPr="00383746" w:rsidP="00E140DE" w14:paraId="157445BE" w14:textId="77777777">
      <w:pPr>
        <w:rPr>
          <w:b/>
          <w:bCs/>
        </w:rPr>
      </w:pPr>
    </w:p>
    <w:p w:rsidR="005030A3" w:rsidRPr="00705825" w:rsidP="005030A3" w14:paraId="078FF9B9" w14:textId="0A087ADA">
      <w:r w:rsidRPr="00705825">
        <w:rPr>
          <w:b/>
          <w:bCs/>
        </w:rPr>
        <w:t>EPA</w:t>
      </w:r>
      <w:r w:rsidRPr="00705825" w:rsidR="009A624F">
        <w:rPr>
          <w:b/>
          <w:bCs/>
        </w:rPr>
        <w:t xml:space="preserve"> </w:t>
      </w:r>
      <w:r w:rsidRPr="00705825">
        <w:rPr>
          <w:b/>
          <w:bCs/>
        </w:rPr>
        <w:t>HQ</w:t>
      </w:r>
      <w:r w:rsidRPr="00705825" w:rsidR="009A624F">
        <w:rPr>
          <w:b/>
          <w:bCs/>
        </w:rPr>
        <w:t xml:space="preserve"> Docket Center</w:t>
      </w:r>
      <w:r w:rsidRPr="00383746">
        <w:t xml:space="preserve"> -- </w:t>
      </w:r>
      <w:r w:rsidRPr="00705825">
        <w:t>Based on our statistics, usually 9</w:t>
      </w:r>
      <w:r w:rsidR="005C33CB">
        <w:t xml:space="preserve"> or 1</w:t>
      </w:r>
      <w:r w:rsidRPr="00705825">
        <w:t xml:space="preserve">0 sites </w:t>
      </w:r>
      <w:r w:rsidR="005C33CB">
        <w:t>are r</w:t>
      </w:r>
      <w:r w:rsidRPr="00705825">
        <w:t>equested.</w:t>
      </w:r>
    </w:p>
    <w:p w:rsidR="005030A3" w:rsidRPr="00705825" w:rsidP="005030A3" w14:paraId="0B560BF4" w14:textId="38665AD2">
      <w:r w:rsidRPr="00705825">
        <w:rPr>
          <w:b/>
          <w:bCs/>
        </w:rPr>
        <w:t>Region 1 Library Staff</w:t>
      </w:r>
      <w:r w:rsidRPr="00383746">
        <w:rPr>
          <w:b/>
          <w:bCs/>
        </w:rPr>
        <w:t xml:space="preserve">: </w:t>
      </w:r>
      <w:r w:rsidRPr="00705825" w:rsidR="00395337">
        <w:t xml:space="preserve">Ranges </w:t>
      </w:r>
      <w:r w:rsidRPr="00705825">
        <w:t xml:space="preserve">from 1 </w:t>
      </w:r>
      <w:r w:rsidR="005C33CB">
        <w:t>to</w:t>
      </w:r>
      <w:r w:rsidRPr="00705825">
        <w:t xml:space="preserve"> 9 RMPs.</w:t>
      </w:r>
    </w:p>
    <w:p w:rsidR="005030A3" w:rsidRPr="00383746" w:rsidP="005030A3" w14:paraId="7F15528C" w14:textId="51D7A570">
      <w:r w:rsidRPr="00383746">
        <w:rPr>
          <w:b/>
          <w:bCs/>
        </w:rPr>
        <w:t>Region 3</w:t>
      </w:r>
      <w:r w:rsidRPr="00383746" w:rsidR="006D1CEA">
        <w:rPr>
          <w:b/>
          <w:bCs/>
        </w:rPr>
        <w:t xml:space="preserve"> Library Staff</w:t>
      </w:r>
      <w:r w:rsidRPr="00383746">
        <w:rPr>
          <w:b/>
          <w:bCs/>
        </w:rPr>
        <w:t xml:space="preserve">: </w:t>
      </w:r>
      <w:r w:rsidRPr="00383746">
        <w:t xml:space="preserve">The typical request is </w:t>
      </w:r>
      <w:r w:rsidRPr="00705825">
        <w:t xml:space="preserve">for </w:t>
      </w:r>
      <w:r w:rsidR="005C33CB">
        <w:t>2 to 4 RMPs.</w:t>
      </w:r>
    </w:p>
    <w:p w:rsidR="00E140DE" w:rsidRPr="00705825" w:rsidP="00E140DE" w14:paraId="1886C881" w14:textId="085798B7">
      <w:r w:rsidRPr="00383746">
        <w:rPr>
          <w:b/>
          <w:bCs/>
        </w:rPr>
        <w:t xml:space="preserve">Region </w:t>
      </w:r>
      <w:r w:rsidRPr="00383746" w:rsidR="00296E8A">
        <w:rPr>
          <w:b/>
          <w:bCs/>
        </w:rPr>
        <w:t>4</w:t>
      </w:r>
      <w:r w:rsidRPr="00383746">
        <w:rPr>
          <w:b/>
          <w:bCs/>
        </w:rPr>
        <w:t xml:space="preserve">: </w:t>
      </w:r>
      <w:r w:rsidRPr="00705825">
        <w:t xml:space="preserve">The one </w:t>
      </w:r>
      <w:r w:rsidRPr="00383746" w:rsidR="00161FE0">
        <w:t xml:space="preserve">reading room request was for three </w:t>
      </w:r>
      <w:r w:rsidRPr="00705825">
        <w:t>different RMPs</w:t>
      </w:r>
      <w:r w:rsidRPr="00383746" w:rsidR="006D1CEA">
        <w:t>.</w:t>
      </w:r>
    </w:p>
    <w:p w:rsidR="005030A3" w:rsidRPr="00383746" w:rsidP="005030A3" w14:paraId="25A0778D" w14:textId="3AE557EF">
      <w:pPr>
        <w:rPr>
          <w:b/>
          <w:bCs/>
        </w:rPr>
      </w:pPr>
      <w:r w:rsidRPr="00383746">
        <w:rPr>
          <w:b/>
          <w:bCs/>
        </w:rPr>
        <w:t xml:space="preserve">Region 6: </w:t>
      </w:r>
      <w:r w:rsidRPr="00705825" w:rsidR="009F4827">
        <w:t xml:space="preserve">Anywhere </w:t>
      </w:r>
      <w:r w:rsidRPr="00705825" w:rsidR="00B5519B">
        <w:t>up to 10 reports are</w:t>
      </w:r>
      <w:r w:rsidRPr="00383746" w:rsidR="00B5519B">
        <w:rPr>
          <w:b/>
          <w:bCs/>
        </w:rPr>
        <w:t xml:space="preserve"> </w:t>
      </w:r>
      <w:r w:rsidRPr="00383746">
        <w:t>request</w:t>
      </w:r>
      <w:r w:rsidRPr="00383746" w:rsidR="00B5519B">
        <w:t>ed.</w:t>
      </w:r>
      <w:r w:rsidRPr="00383746">
        <w:t xml:space="preserve"> </w:t>
      </w:r>
    </w:p>
    <w:p w:rsidR="00E140DE" w:rsidRPr="00705825" w:rsidP="00E140DE" w14:paraId="05C6C34D" w14:textId="61AB388E">
      <w:r w:rsidRPr="00383746">
        <w:rPr>
          <w:b/>
          <w:bCs/>
        </w:rPr>
        <w:t xml:space="preserve">Region </w:t>
      </w:r>
      <w:r w:rsidRPr="00383746" w:rsidR="00296E8A">
        <w:rPr>
          <w:b/>
          <w:bCs/>
        </w:rPr>
        <w:t>7</w:t>
      </w:r>
      <w:r w:rsidRPr="00383746">
        <w:rPr>
          <w:b/>
          <w:bCs/>
        </w:rPr>
        <w:t xml:space="preserve">: </w:t>
      </w:r>
      <w:r w:rsidR="005C33CB">
        <w:t>One to four.</w:t>
      </w:r>
    </w:p>
    <w:p w:rsidR="00E140DE" w:rsidRPr="00383746" w:rsidP="00E140DE" w14:paraId="4E84E285" w14:textId="04328E0F">
      <w:r w:rsidRPr="00383746">
        <w:rPr>
          <w:b/>
          <w:bCs/>
        </w:rPr>
        <w:t xml:space="preserve">Region </w:t>
      </w:r>
      <w:r w:rsidRPr="00383746" w:rsidR="00296E8A">
        <w:rPr>
          <w:b/>
          <w:bCs/>
        </w:rPr>
        <w:t>8</w:t>
      </w:r>
      <w:r w:rsidRPr="00383746">
        <w:rPr>
          <w:b/>
          <w:bCs/>
        </w:rPr>
        <w:t xml:space="preserve">: </w:t>
      </w:r>
      <w:r w:rsidR="005C33CB">
        <w:t>The 2 requests we received were for o</w:t>
      </w:r>
      <w:r w:rsidRPr="00705825">
        <w:t xml:space="preserve">ne facility </w:t>
      </w:r>
      <w:r w:rsidR="005C33CB">
        <w:t>each</w:t>
      </w:r>
      <w:r w:rsidRPr="00705825">
        <w:t>.</w:t>
      </w:r>
      <w:r w:rsidRPr="00383746">
        <w:t xml:space="preserve"> Usually someone is interested in a particular facility rather than area.</w:t>
      </w:r>
    </w:p>
    <w:p w:rsidR="005030A3" w:rsidRPr="00705825" w:rsidP="005030A3" w14:paraId="10741A4E" w14:textId="0B6B51BB">
      <w:pPr>
        <w:rPr>
          <w:b/>
          <w:bCs/>
        </w:rPr>
      </w:pPr>
      <w:r w:rsidRPr="00383746">
        <w:rPr>
          <w:b/>
          <w:bCs/>
        </w:rPr>
        <w:t xml:space="preserve">Region 9: </w:t>
      </w:r>
      <w:r w:rsidRPr="00705825" w:rsidR="006D1CEA">
        <w:t>O</w:t>
      </w:r>
      <w:r w:rsidRPr="00705825">
        <w:t>ne RMP with OCA per person during the last 3 years.</w:t>
      </w:r>
    </w:p>
    <w:p w:rsidR="009D0248" w:rsidRPr="00383746" w:rsidP="00E140DE" w14:paraId="76B7D0F4" w14:textId="77777777"/>
    <w:p w:rsidR="00E140DE" w:rsidRPr="00383746" w:rsidP="00E140DE" w14:paraId="6CA56316" w14:textId="321BB4B6">
      <w:r w:rsidRPr="00383746">
        <w:rPr>
          <w:b/>
          <w:bCs/>
        </w:rPr>
        <w:t xml:space="preserve">Question </w:t>
      </w:r>
      <w:r w:rsidRPr="00383746">
        <w:rPr>
          <w:b/>
          <w:bCs/>
        </w:rPr>
        <w:t>5</w:t>
      </w:r>
      <w:r w:rsidRPr="00383746">
        <w:rPr>
          <w:b/>
          <w:bCs/>
        </w:rPr>
        <w:t>:</w:t>
      </w:r>
      <w:r w:rsidRPr="00383746">
        <w:t xml:space="preserve"> Do you know </w:t>
      </w:r>
      <w:r w:rsidRPr="00383746">
        <w:t xml:space="preserve">whether </w:t>
      </w:r>
      <w:r w:rsidRPr="00383746">
        <w:t xml:space="preserve">any of the </w:t>
      </w:r>
      <w:r w:rsidRPr="00705825">
        <w:t xml:space="preserve">respective DOJ reading rooms in your </w:t>
      </w:r>
      <w:r w:rsidR="005C33CB">
        <w:t>Re</w:t>
      </w:r>
      <w:r w:rsidRPr="00705825">
        <w:t>gion are open during COVID and are they walk-ins or by appointment only</w:t>
      </w:r>
      <w:r w:rsidRPr="00383746">
        <w:t xml:space="preserve">? </w:t>
      </w:r>
    </w:p>
    <w:p w:rsidR="002A1C1F" w:rsidRPr="00383746" w:rsidP="00E140DE" w14:paraId="506306F7" w14:textId="1F57CDA1"/>
    <w:p w:rsidR="002A1C1F" w:rsidRPr="00383746" w:rsidP="002A1C1F" w14:paraId="51C2BF2B" w14:textId="3AB18917">
      <w:r w:rsidRPr="00383746">
        <w:rPr>
          <w:b/>
          <w:bCs/>
        </w:rPr>
        <w:t>EPA</w:t>
      </w:r>
      <w:r w:rsidRPr="00383746" w:rsidR="00FB472F">
        <w:rPr>
          <w:b/>
          <w:bCs/>
        </w:rPr>
        <w:t xml:space="preserve"> </w:t>
      </w:r>
      <w:r w:rsidRPr="00383746">
        <w:rPr>
          <w:b/>
          <w:bCs/>
        </w:rPr>
        <w:t>HQ</w:t>
      </w:r>
      <w:r w:rsidRPr="00383746" w:rsidR="00FB472F">
        <w:rPr>
          <w:b/>
          <w:bCs/>
        </w:rPr>
        <w:t xml:space="preserve"> Docket Center</w:t>
      </w:r>
      <w:r w:rsidRPr="00383746">
        <w:rPr>
          <w:b/>
          <w:bCs/>
        </w:rPr>
        <w:t xml:space="preserve">: </w:t>
      </w:r>
      <w:r w:rsidRPr="00705825">
        <w:t xml:space="preserve">We </w:t>
      </w:r>
      <w:r w:rsidR="005C33CB">
        <w:t>have no</w:t>
      </w:r>
      <w:r w:rsidRPr="00705825">
        <w:t xml:space="preserve"> information on this.</w:t>
      </w:r>
    </w:p>
    <w:p w:rsidR="002A1C1F" w:rsidRPr="00705825" w:rsidP="002A1C1F" w14:paraId="1D55E308" w14:textId="53CED891">
      <w:pPr>
        <w:rPr>
          <w:b/>
          <w:bCs/>
        </w:rPr>
      </w:pPr>
      <w:r w:rsidRPr="00705825">
        <w:rPr>
          <w:b/>
          <w:bCs/>
        </w:rPr>
        <w:t>Region 1 Library Staff</w:t>
      </w:r>
      <w:r w:rsidRPr="00383746">
        <w:rPr>
          <w:b/>
          <w:bCs/>
        </w:rPr>
        <w:t>:</w:t>
      </w:r>
      <w:r w:rsidRPr="00383746">
        <w:t>  </w:t>
      </w:r>
      <w:r w:rsidRPr="00383746" w:rsidR="00FB472F">
        <w:t>Unknown.</w:t>
      </w:r>
    </w:p>
    <w:p w:rsidR="002A1C1F" w:rsidRPr="00383746" w:rsidP="002A1C1F" w14:paraId="63B0F4D3" w14:textId="415706E5">
      <w:r w:rsidRPr="00383746">
        <w:rPr>
          <w:b/>
          <w:bCs/>
        </w:rPr>
        <w:t>Region 3</w:t>
      </w:r>
      <w:r w:rsidRPr="00383746" w:rsidR="004D5A88">
        <w:rPr>
          <w:b/>
          <w:bCs/>
        </w:rPr>
        <w:t xml:space="preserve"> Library Staff</w:t>
      </w:r>
      <w:r w:rsidRPr="00383746">
        <w:rPr>
          <w:b/>
          <w:bCs/>
        </w:rPr>
        <w:t xml:space="preserve">: </w:t>
      </w:r>
      <w:r w:rsidRPr="00705825">
        <w:t xml:space="preserve">According to their web site at </w:t>
      </w:r>
      <w:hyperlink r:id="rId11" w:history="1">
        <w:r w:rsidRPr="00705825">
          <w:rPr>
            <w:rStyle w:val="Hyperlink"/>
            <w:color w:val="auto"/>
          </w:rPr>
          <w:t>https://www.justice.gov/nsd/chemical-hazard-information</w:t>
        </w:r>
      </w:hyperlink>
      <w:r w:rsidRPr="00705825">
        <w:t>, all of the DOJ reading rooms are available by appointment only.</w:t>
      </w:r>
    </w:p>
    <w:p w:rsidR="00E140DE" w:rsidRPr="00705825" w:rsidP="00E140DE" w14:paraId="1D0C2B70" w14:textId="6EEC71B4">
      <w:r w:rsidRPr="00383746">
        <w:rPr>
          <w:b/>
          <w:bCs/>
        </w:rPr>
        <w:t xml:space="preserve">Region </w:t>
      </w:r>
      <w:r w:rsidRPr="00383746" w:rsidR="00296E8A">
        <w:rPr>
          <w:b/>
          <w:bCs/>
        </w:rPr>
        <w:t>4</w:t>
      </w:r>
      <w:r w:rsidRPr="00383746">
        <w:rPr>
          <w:b/>
          <w:bCs/>
        </w:rPr>
        <w:t xml:space="preserve">: </w:t>
      </w:r>
      <w:r w:rsidRPr="00383746">
        <w:t> </w:t>
      </w:r>
      <w:r w:rsidRPr="00705825">
        <w:t>I do not.</w:t>
      </w:r>
    </w:p>
    <w:p w:rsidR="002A1C1F" w:rsidRPr="00383746" w:rsidP="002A1C1F" w14:paraId="5D1B4DB0" w14:textId="77777777">
      <w:r w:rsidRPr="00383746">
        <w:rPr>
          <w:b/>
          <w:bCs/>
        </w:rPr>
        <w:t xml:space="preserve">Region 6: </w:t>
      </w:r>
      <w:r w:rsidRPr="00383746">
        <w:t>No information on respective DOJ reading room in Region 6 being open during COVID.</w:t>
      </w:r>
    </w:p>
    <w:p w:rsidR="00E140DE" w:rsidRPr="00705825" w:rsidP="00E140DE" w14:paraId="76EB2A12" w14:textId="150DFFE8">
      <w:r w:rsidRPr="00383746">
        <w:rPr>
          <w:b/>
          <w:bCs/>
        </w:rPr>
        <w:t xml:space="preserve">Region </w:t>
      </w:r>
      <w:r w:rsidRPr="00383746" w:rsidR="00296E8A">
        <w:rPr>
          <w:b/>
          <w:bCs/>
        </w:rPr>
        <w:t>7</w:t>
      </w:r>
      <w:r w:rsidRPr="00383746">
        <w:rPr>
          <w:b/>
          <w:bCs/>
        </w:rPr>
        <w:t xml:space="preserve">:  </w:t>
      </w:r>
      <w:r w:rsidRPr="00705825">
        <w:t>Per DOJ’s website, all DOJ Reading Rooms are operated on an “appointment only” basis.</w:t>
      </w:r>
    </w:p>
    <w:p w:rsidR="002A1C1F" w:rsidRPr="00383746" w:rsidP="002A1C1F" w14:paraId="242D2357" w14:textId="0345CEB8">
      <w:r w:rsidRPr="00383746">
        <w:rPr>
          <w:b/>
          <w:bCs/>
        </w:rPr>
        <w:t xml:space="preserve">Region 8:  </w:t>
      </w:r>
      <w:r w:rsidRPr="00705825" w:rsidR="006A750D">
        <w:t>Unknown.</w:t>
      </w:r>
    </w:p>
    <w:p w:rsidR="00375DB1" w:rsidRPr="00383746" w:rsidP="00E140DE" w14:paraId="6D49AE1C" w14:textId="6C70ADD9">
      <w:r w:rsidRPr="00383746">
        <w:rPr>
          <w:b/>
          <w:bCs/>
        </w:rPr>
        <w:t xml:space="preserve">Region </w:t>
      </w:r>
      <w:r w:rsidRPr="00383746" w:rsidR="00296E8A">
        <w:rPr>
          <w:b/>
          <w:bCs/>
        </w:rPr>
        <w:t>9</w:t>
      </w:r>
      <w:r w:rsidRPr="00383746">
        <w:rPr>
          <w:b/>
          <w:bCs/>
        </w:rPr>
        <w:t xml:space="preserve">:  </w:t>
      </w:r>
      <w:r w:rsidRPr="00705825" w:rsidR="006A750D">
        <w:t>Unknown.</w:t>
      </w:r>
    </w:p>
    <w:p w:rsidR="00375DB1" w:rsidRPr="00383746" w:rsidP="00E140DE" w14:paraId="0477B83B" w14:textId="77777777"/>
    <w:p w:rsidR="00E140DE" w:rsidRPr="00383746" w:rsidP="00E140DE" w14:paraId="19310C75" w14:textId="65373BDA">
      <w:r w:rsidRPr="00383746">
        <w:rPr>
          <w:b/>
          <w:bCs/>
        </w:rPr>
        <w:t xml:space="preserve">Question </w:t>
      </w:r>
      <w:r w:rsidRPr="00383746">
        <w:rPr>
          <w:b/>
          <w:bCs/>
        </w:rPr>
        <w:t>6</w:t>
      </w:r>
      <w:r w:rsidRPr="00383746">
        <w:rPr>
          <w:b/>
          <w:bCs/>
        </w:rPr>
        <w:t>:</w:t>
      </w:r>
      <w:r w:rsidRPr="00383746">
        <w:t xml:space="preserve">  </w:t>
      </w:r>
      <w:r w:rsidRPr="00383746">
        <w:t xml:space="preserve">Approximately </w:t>
      </w:r>
      <w:r w:rsidRPr="00705825">
        <w:t xml:space="preserve">how many </w:t>
      </w:r>
      <w:r w:rsidRPr="00705825">
        <w:t xml:space="preserve">staff </w:t>
      </w:r>
      <w:r w:rsidRPr="00705825">
        <w:t>hours per visit are spent preparing</w:t>
      </w:r>
      <w:r w:rsidR="00D22A64">
        <w:t xml:space="preserve"> the</w:t>
      </w:r>
      <w:r w:rsidRPr="00705825">
        <w:t xml:space="preserve"> reading room per visit? T</w:t>
      </w:r>
      <w:r w:rsidRPr="00383746">
        <w:t xml:space="preserve">his would include reading room staff activities to take phone calls from the public, schedule appointments for use of the reading rooms, print the requested RMPs, review the identification presented, monitor the use of the RMPs to ensure that they are not mechanically copied, and shred them when the user is finished. </w:t>
      </w:r>
    </w:p>
    <w:p w:rsidR="00E140DE" w:rsidRPr="00383746" w:rsidP="00E140DE" w14:paraId="09B7ABC4" w14:textId="62C12500"/>
    <w:p w:rsidR="002C6898" w:rsidRPr="00383746" w:rsidP="002C6898" w14:paraId="151E9F1B" w14:textId="0C7FE8B7">
      <w:r w:rsidRPr="00383746">
        <w:rPr>
          <w:b/>
          <w:bCs/>
        </w:rPr>
        <w:t>EPA</w:t>
      </w:r>
      <w:r w:rsidRPr="00383746" w:rsidR="002D666F">
        <w:rPr>
          <w:b/>
          <w:bCs/>
        </w:rPr>
        <w:t xml:space="preserve"> </w:t>
      </w:r>
      <w:r w:rsidRPr="00383746">
        <w:rPr>
          <w:b/>
          <w:bCs/>
        </w:rPr>
        <w:t>HQ</w:t>
      </w:r>
      <w:r w:rsidRPr="00383746" w:rsidR="002D666F">
        <w:rPr>
          <w:b/>
          <w:bCs/>
        </w:rPr>
        <w:t xml:space="preserve"> Docket Center</w:t>
      </w:r>
      <w:r w:rsidRPr="00383746">
        <w:rPr>
          <w:b/>
          <w:bCs/>
        </w:rPr>
        <w:t>:</w:t>
      </w:r>
      <w:r w:rsidRPr="00705825">
        <w:t xml:space="preserve"> Approximately 4</w:t>
      </w:r>
      <w:r w:rsidR="00D22A64">
        <w:t xml:space="preserve"> to</w:t>
      </w:r>
      <w:r w:rsidRPr="00705825">
        <w:t>5 hours for the EPA Headquarters Reading Room:  1</w:t>
      </w:r>
      <w:r w:rsidR="00D22A64">
        <w:t xml:space="preserve"> to </w:t>
      </w:r>
      <w:r w:rsidRPr="00705825">
        <w:t>1</w:t>
      </w:r>
      <w:r w:rsidR="00D22A64">
        <w:t xml:space="preserve">.5 </w:t>
      </w:r>
      <w:r w:rsidRPr="00705825">
        <w:t>hour to print the material and schedule the appointment, 2</w:t>
      </w:r>
      <w:r w:rsidR="00D22A64">
        <w:t xml:space="preserve"> to 3</w:t>
      </w:r>
      <w:r w:rsidRPr="00705825">
        <w:t xml:space="preserve"> hours of monitoring the customer and the use of the OCA material, and </w:t>
      </w:r>
      <w:r w:rsidR="00D22A64">
        <w:t xml:space="preserve">.5 </w:t>
      </w:r>
      <w:r w:rsidRPr="00705825">
        <w:t>hour to shred the material.</w:t>
      </w:r>
    </w:p>
    <w:p w:rsidR="002C6898" w:rsidRPr="00705825" w:rsidP="002C6898" w14:paraId="33CA210F" w14:textId="5A969497">
      <w:r w:rsidRPr="00705825">
        <w:rPr>
          <w:b/>
          <w:bCs/>
        </w:rPr>
        <w:t>Region 1 Library Staff</w:t>
      </w:r>
      <w:r w:rsidRPr="00383746">
        <w:rPr>
          <w:b/>
          <w:bCs/>
        </w:rPr>
        <w:t xml:space="preserve">: </w:t>
      </w:r>
      <w:r w:rsidRPr="00705825">
        <w:t>Time spent preparing for the appointments is approximately 1</w:t>
      </w:r>
      <w:r w:rsidR="00D22A64">
        <w:t xml:space="preserve"> to </w:t>
      </w:r>
      <w:r w:rsidRPr="00705825">
        <w:t xml:space="preserve">2 hours each (setting up the appointment with the patron, locating and printing the documents, and shredding the documents after). </w:t>
      </w:r>
    </w:p>
    <w:p w:rsidR="002C6898" w:rsidRPr="00383746" w:rsidP="002C6898" w14:paraId="6C62F8C4" w14:textId="6504EC87">
      <w:r w:rsidRPr="00383746">
        <w:rPr>
          <w:b/>
          <w:bCs/>
        </w:rPr>
        <w:t>Region 3</w:t>
      </w:r>
      <w:r w:rsidRPr="00383746" w:rsidR="00E370BD">
        <w:rPr>
          <w:b/>
          <w:bCs/>
        </w:rPr>
        <w:t xml:space="preserve"> Library Staff</w:t>
      </w:r>
      <w:r w:rsidRPr="00383746">
        <w:rPr>
          <w:b/>
          <w:bCs/>
        </w:rPr>
        <w:t xml:space="preserve">: </w:t>
      </w:r>
      <w:r w:rsidRPr="00383746">
        <w:t>I would estimate that reading room staff spend an average of five minutes arranging the appointment, ten to twenty minutes printing out the reports, five minutes to copy the visitor’s ID, and then anywhere from 30 minutes to over an hour monitoring the use of the RMPs, depending upon how many reports the visitor is reviewing and taking notes on</w:t>
      </w:r>
      <w:r w:rsidRPr="00383746" w:rsidR="000E1959">
        <w:t xml:space="preserve"> – approximately 1</w:t>
      </w:r>
      <w:r w:rsidR="00D22A64">
        <w:t xml:space="preserve"> to </w:t>
      </w:r>
      <w:r w:rsidRPr="00383746" w:rsidR="000E1959">
        <w:t>1.5 hours total.</w:t>
      </w:r>
    </w:p>
    <w:p w:rsidR="00E140DE" w:rsidRPr="00705825" w:rsidP="00E140DE" w14:paraId="664527B6" w14:textId="798B5643">
      <w:r w:rsidRPr="00383746">
        <w:rPr>
          <w:b/>
          <w:bCs/>
        </w:rPr>
        <w:t xml:space="preserve">Region </w:t>
      </w:r>
      <w:r w:rsidRPr="00383746" w:rsidR="004E3CD8">
        <w:rPr>
          <w:b/>
          <w:bCs/>
        </w:rPr>
        <w:t>4</w:t>
      </w:r>
      <w:r w:rsidRPr="00383746">
        <w:rPr>
          <w:b/>
          <w:bCs/>
        </w:rPr>
        <w:t xml:space="preserve">: </w:t>
      </w:r>
      <w:r w:rsidRPr="00705825">
        <w:t>Less than one</w:t>
      </w:r>
      <w:r w:rsidR="00D22A64">
        <w:t xml:space="preserve"> hour.</w:t>
      </w:r>
      <w:r w:rsidRPr="00705825">
        <w:t xml:space="preserve"> </w:t>
      </w:r>
    </w:p>
    <w:p w:rsidR="002C6898" w:rsidRPr="00383746" w:rsidP="002C6898" w14:paraId="772F1B39" w14:textId="77777777">
      <w:r w:rsidRPr="00383746">
        <w:rPr>
          <w:b/>
          <w:bCs/>
        </w:rPr>
        <w:t>Region 6:</w:t>
      </w:r>
      <w:r w:rsidRPr="00383746">
        <w:t xml:space="preserve">  No information on respective DOJ reading room in Region 6 being open during COVID.</w:t>
      </w:r>
    </w:p>
    <w:p w:rsidR="00E140DE" w:rsidRPr="00705825" w:rsidP="00E140DE" w14:paraId="06116316" w14:textId="64B16973">
      <w:r w:rsidRPr="00383746">
        <w:rPr>
          <w:b/>
          <w:bCs/>
        </w:rPr>
        <w:t xml:space="preserve">Region </w:t>
      </w:r>
      <w:r w:rsidRPr="00383746" w:rsidR="004E3CD8">
        <w:rPr>
          <w:b/>
          <w:bCs/>
        </w:rPr>
        <w:t>7</w:t>
      </w:r>
      <w:r w:rsidRPr="00383746">
        <w:rPr>
          <w:b/>
          <w:bCs/>
        </w:rPr>
        <w:t xml:space="preserve">: </w:t>
      </w:r>
      <w:r w:rsidRPr="00705825">
        <w:t>A</w:t>
      </w:r>
      <w:r w:rsidRPr="00705825" w:rsidR="00226252">
        <w:t xml:space="preserve">pproximately </w:t>
      </w:r>
      <w:r w:rsidRPr="00705825">
        <w:t>2</w:t>
      </w:r>
      <w:r w:rsidRPr="00383746" w:rsidR="00226252">
        <w:t xml:space="preserve"> hours</w:t>
      </w:r>
      <w:r w:rsidRPr="00705825">
        <w:t>. Depending on the number of RMPs, preparation leading up to the on-site review time takes 30</w:t>
      </w:r>
      <w:r w:rsidR="00D22A64">
        <w:t xml:space="preserve"> to </w:t>
      </w:r>
      <w:r w:rsidRPr="00705825">
        <w:t>45 minutes and closure/shredding takes 5</w:t>
      </w:r>
      <w:r w:rsidR="00D22A64">
        <w:t xml:space="preserve"> to </w:t>
      </w:r>
      <w:r w:rsidRPr="00705825">
        <w:t xml:space="preserve">15 minutes, plus the time that the person is on-site and needs to be monitored. In general, </w:t>
      </w:r>
      <w:r w:rsidR="00D22A64">
        <w:t xml:space="preserve">one </w:t>
      </w:r>
      <w:r w:rsidRPr="00705825">
        <w:t>hour of prep/administrative work plus the time the person spends on-site.</w:t>
      </w:r>
    </w:p>
    <w:p w:rsidR="00E140DE" w:rsidRPr="00383746" w:rsidP="00E140DE" w14:paraId="481B7908" w14:textId="359ED3AD">
      <w:r w:rsidRPr="00383746">
        <w:rPr>
          <w:b/>
          <w:bCs/>
        </w:rPr>
        <w:t xml:space="preserve">Region </w:t>
      </w:r>
      <w:r w:rsidRPr="00383746" w:rsidR="004E3CD8">
        <w:rPr>
          <w:b/>
          <w:bCs/>
        </w:rPr>
        <w:t xml:space="preserve">8:  </w:t>
      </w:r>
      <w:r w:rsidRPr="00383746">
        <w:t xml:space="preserve">The longer of my requests would have </w:t>
      </w:r>
      <w:r w:rsidRPr="00705825">
        <w:t xml:space="preserve">been about </w:t>
      </w:r>
      <w:r w:rsidR="00D22A64">
        <w:t>1.5 hours</w:t>
      </w:r>
      <w:r w:rsidRPr="00705825">
        <w:t xml:space="preserve"> for the visit and my time.  The shorter one was about </w:t>
      </w:r>
      <w:r w:rsidR="00D22A64">
        <w:t>1 hour</w:t>
      </w:r>
      <w:r w:rsidRPr="00383746">
        <w:t>.</w:t>
      </w:r>
    </w:p>
    <w:p w:rsidR="002C6898" w:rsidRPr="00383746" w:rsidP="002C6898" w14:paraId="5E646D59" w14:textId="77777777">
      <w:r w:rsidRPr="00383746">
        <w:rPr>
          <w:b/>
          <w:bCs/>
        </w:rPr>
        <w:t xml:space="preserve">Region 9: </w:t>
      </w:r>
      <w:r w:rsidRPr="00705825">
        <w:t>Average time is 1.5 hours including time for answering questions.</w:t>
      </w:r>
    </w:p>
    <w:p w:rsidR="00E95E01" w:rsidRPr="00383746" w:rsidP="00E140DE" w14:paraId="2D1BD57F" w14:textId="77777777">
      <w:pPr>
        <w:rPr>
          <w:b/>
          <w:bCs/>
        </w:rPr>
      </w:pPr>
    </w:p>
    <w:p w:rsidR="00E140DE" w:rsidRPr="00383746" w:rsidP="00E140DE" w14:paraId="50B46FBE" w14:textId="63C49CB2">
      <w:r w:rsidRPr="00383746">
        <w:rPr>
          <w:b/>
          <w:bCs/>
        </w:rPr>
        <w:t>Question 7:</w:t>
      </w:r>
      <w:r w:rsidRPr="00383746">
        <w:t xml:space="preserve">  Generally, in the last three years, are you aware of </w:t>
      </w:r>
      <w:r w:rsidRPr="00705825">
        <w:t xml:space="preserve">LEPCs holding meetings prior to COVID and to what extent </w:t>
      </w:r>
      <w:r w:rsidR="00D22A64">
        <w:t>have LEPCs</w:t>
      </w:r>
      <w:r w:rsidRPr="00705825">
        <w:t xml:space="preserve"> resumed the meetings after March 2020?</w:t>
      </w:r>
      <w:r w:rsidRPr="00383746">
        <w:t xml:space="preserve"> Please provide an estimat</w:t>
      </w:r>
      <w:r w:rsidRPr="00383746">
        <w:t xml:space="preserve">e </w:t>
      </w:r>
      <w:r w:rsidRPr="00383746">
        <w:t xml:space="preserve">of how many meetings were held and </w:t>
      </w:r>
      <w:r w:rsidR="00D22A64">
        <w:t xml:space="preserve">for LEPCs </w:t>
      </w:r>
      <w:r w:rsidRPr="00383746">
        <w:t>that hold public meetings</w:t>
      </w:r>
      <w:r w:rsidR="00D22A64">
        <w:t xml:space="preserve">, </w:t>
      </w:r>
      <w:r w:rsidRPr="00383746">
        <w:t xml:space="preserve">and how many hours per meeting? </w:t>
      </w:r>
    </w:p>
    <w:p w:rsidR="00E140DE" w:rsidRPr="00383746" w:rsidP="00E140DE" w14:paraId="352FAB68" w14:textId="4D0B9F2C"/>
    <w:p w:rsidR="00E140DE" w:rsidRPr="00705825" w:rsidP="00E140DE" w14:paraId="00CF9764" w14:textId="172FC201">
      <w:r w:rsidRPr="00383746">
        <w:rPr>
          <w:b/>
          <w:bCs/>
        </w:rPr>
        <w:t xml:space="preserve">Region </w:t>
      </w:r>
      <w:r w:rsidRPr="00383746" w:rsidR="006545A2">
        <w:rPr>
          <w:b/>
          <w:bCs/>
        </w:rPr>
        <w:t>4</w:t>
      </w:r>
      <w:r w:rsidRPr="00383746">
        <w:rPr>
          <w:b/>
          <w:bCs/>
        </w:rPr>
        <w:t xml:space="preserve">: </w:t>
      </w:r>
      <w:r w:rsidRPr="00705825" w:rsidR="00CC18DB">
        <w:t>Unknown.</w:t>
      </w:r>
    </w:p>
    <w:p w:rsidR="00AC69C7" w:rsidRPr="00383746" w:rsidP="00AC69C7" w14:paraId="12E022B2" w14:textId="77777777">
      <w:r w:rsidRPr="00383746">
        <w:rPr>
          <w:b/>
          <w:bCs/>
        </w:rPr>
        <w:t>Region 6:</w:t>
      </w:r>
      <w:r w:rsidRPr="00383746">
        <w:t xml:space="preserve"> Not aware of any LEPC meetings being held prior to COVID.</w:t>
      </w:r>
    </w:p>
    <w:p w:rsidR="00E140DE" w:rsidRPr="00705825" w:rsidP="00E140DE" w14:paraId="36EF8C4E" w14:textId="09A66C38">
      <w:r w:rsidRPr="00383746">
        <w:rPr>
          <w:b/>
          <w:bCs/>
        </w:rPr>
        <w:t xml:space="preserve">Region </w:t>
      </w:r>
      <w:r w:rsidRPr="00383746" w:rsidR="006545A2">
        <w:rPr>
          <w:b/>
          <w:bCs/>
        </w:rPr>
        <w:t>7</w:t>
      </w:r>
      <w:r w:rsidRPr="00383746">
        <w:rPr>
          <w:b/>
          <w:bCs/>
        </w:rPr>
        <w:t xml:space="preserve">: </w:t>
      </w:r>
      <w:r w:rsidRPr="00705825">
        <w:t xml:space="preserve">LEPCs hold meetings, though the frequency varies widely across the </w:t>
      </w:r>
      <w:r w:rsidR="00D22A64">
        <w:t>R</w:t>
      </w:r>
      <w:r w:rsidRPr="00705825">
        <w:t>egion. Some LEPCs do</w:t>
      </w:r>
      <w:r w:rsidR="00D22A64">
        <w:t xml:space="preserve"> no</w:t>
      </w:r>
      <w:r w:rsidRPr="00705825">
        <w:t>t meet (they</w:t>
      </w:r>
      <w:r w:rsidR="00D22A64">
        <w:t xml:space="preserve"> a</w:t>
      </w:r>
      <w:r w:rsidRPr="00705825">
        <w:t>re supposed to, but do</w:t>
      </w:r>
      <w:r w:rsidR="00D22A64">
        <w:t xml:space="preserve"> not</w:t>
      </w:r>
      <w:r w:rsidRPr="00705825">
        <w:t>)</w:t>
      </w:r>
      <w:r w:rsidR="00D22A64">
        <w:t>.</w:t>
      </w:r>
      <w:r w:rsidRPr="00705825">
        <w:t xml:space="preserve"> Some of ours meet regularly</w:t>
      </w:r>
      <w:r w:rsidR="00D22A64">
        <w:t>. T</w:t>
      </w:r>
      <w:r w:rsidRPr="00705825">
        <w:t>he norm for those that meet is either twice a year, quarterly, or every other month. Most did not cancel meetings during COVID, at least not more frequently than under normal circumstances,</w:t>
      </w:r>
      <w:r w:rsidRPr="00705825" w:rsidR="00577E2F">
        <w:t xml:space="preserve"> </w:t>
      </w:r>
      <w:r w:rsidRPr="00705825" w:rsidR="00FA56DB">
        <w:t xml:space="preserve">or moved to virtual. </w:t>
      </w:r>
      <w:r w:rsidRPr="00705825">
        <w:t xml:space="preserve">There’s a mix now, though I think most are back to meeting in person. That said, many are also continuing to utilize better virtual options to allow flexibility for participants. Regarding the specific number of meetings in our region, I </w:t>
      </w:r>
      <w:r w:rsidR="00D22A64">
        <w:t>do not know. W</w:t>
      </w:r>
      <w:r w:rsidRPr="00705825">
        <w:t xml:space="preserve">e have more than 300 LEPCs in our region. I think all LEPC meetings are technically required to be open to the public. In my experience, meetings </w:t>
      </w:r>
      <w:r w:rsidRPr="00383746" w:rsidR="00577E2F">
        <w:t>are approximately 1</w:t>
      </w:r>
      <w:r w:rsidR="00D22A64">
        <w:t xml:space="preserve"> to 2 </w:t>
      </w:r>
      <w:r w:rsidRPr="00383746" w:rsidR="00577E2F">
        <w:t>hours.</w:t>
      </w:r>
    </w:p>
    <w:p w:rsidR="00E140DE" w:rsidRPr="00383746" w:rsidP="00E140DE" w14:paraId="58239F87" w14:textId="1C89E417">
      <w:r w:rsidRPr="00383746">
        <w:rPr>
          <w:b/>
          <w:bCs/>
        </w:rPr>
        <w:t xml:space="preserve">Region </w:t>
      </w:r>
      <w:r w:rsidRPr="00383746" w:rsidR="00F71762">
        <w:rPr>
          <w:b/>
          <w:bCs/>
        </w:rPr>
        <w:t>8</w:t>
      </w:r>
      <w:r w:rsidRPr="00383746">
        <w:rPr>
          <w:b/>
          <w:bCs/>
        </w:rPr>
        <w:t>:</w:t>
      </w:r>
      <w:r w:rsidRPr="00383746" w:rsidR="00F71762">
        <w:rPr>
          <w:b/>
          <w:bCs/>
        </w:rPr>
        <w:t xml:space="preserve"> </w:t>
      </w:r>
      <w:r w:rsidRPr="00383746">
        <w:rPr>
          <w:b/>
          <w:bCs/>
        </w:rPr>
        <w:t xml:space="preserve"> </w:t>
      </w:r>
      <w:r w:rsidRPr="00383746">
        <w:t>Overall</w:t>
      </w:r>
      <w:r w:rsidR="00D22A64">
        <w:t>,</w:t>
      </w:r>
      <w:r w:rsidRPr="00383746">
        <w:t xml:space="preserve"> LEPCs had been </w:t>
      </w:r>
      <w:r w:rsidR="00FB5FBF">
        <w:t xml:space="preserve">meeting </w:t>
      </w:r>
      <w:r w:rsidRPr="00383746">
        <w:t>pretty regular</w:t>
      </w:r>
      <w:r w:rsidR="00FB5FBF">
        <w:t>ly</w:t>
      </w:r>
      <w:r w:rsidRPr="00383746">
        <w:t xml:space="preserve"> but Covid has hit the rural LEPCs hard.</w:t>
      </w:r>
      <w:r w:rsidRPr="00383746">
        <w:t xml:space="preserve"> </w:t>
      </w:r>
      <w:r w:rsidRPr="00383746">
        <w:t>They are the ones most overworked dealing with Covid-related issues so their focus on Haz Mat type things is minimal. Some transition</w:t>
      </w:r>
      <w:r w:rsidR="00FB5FBF">
        <w:t>ed</w:t>
      </w:r>
      <w:r w:rsidRPr="00383746">
        <w:t xml:space="preserve"> away from Covid issues for something different to do, others do not have that luxury right now. </w:t>
      </w:r>
      <w:r w:rsidRPr="00383746" w:rsidR="00871D24">
        <w:t>M</w:t>
      </w:r>
      <w:r w:rsidRPr="00383746">
        <w:t xml:space="preserve">ost of </w:t>
      </w:r>
      <w:r w:rsidRPr="00383746" w:rsidR="00871D24">
        <w:t>the</w:t>
      </w:r>
      <w:r w:rsidRPr="00383746">
        <w:t xml:space="preserve"> LEPCs are organized by county (we have two cities that have their own and a couple of counties that have banded together for one group).  There are roughly 290 counties in my region, but I know not quite all are active</w:t>
      </w:r>
      <w:r w:rsidRPr="00705825">
        <w:t xml:space="preserve">.  </w:t>
      </w:r>
      <w:r w:rsidRPr="00383746" w:rsidR="00FA56DB">
        <w:t xml:space="preserve">There are approximately </w:t>
      </w:r>
      <w:r w:rsidRPr="00705825">
        <w:t>275 LEPCs. Some meet monthly, most meet quarterly for about 2</w:t>
      </w:r>
      <w:r w:rsidR="00FB5FBF">
        <w:t xml:space="preserve"> to </w:t>
      </w:r>
      <w:r w:rsidRPr="00705825">
        <w:t>3 hours.  This is all pre-Covid</w:t>
      </w:r>
      <w:r w:rsidRPr="00383746">
        <w:t>. </w:t>
      </w:r>
    </w:p>
    <w:p w:rsidR="00AC69C7" w:rsidRPr="00705825" w:rsidP="00AC69C7" w14:paraId="6EEC16D4" w14:textId="1038D661">
      <w:r w:rsidRPr="00383746">
        <w:rPr>
          <w:b/>
          <w:bCs/>
        </w:rPr>
        <w:t xml:space="preserve">Region 9: </w:t>
      </w:r>
      <w:r w:rsidRPr="00705825">
        <w:t>All LEPC</w:t>
      </w:r>
      <w:r w:rsidRPr="00705825" w:rsidR="009627C8">
        <w:t>s</w:t>
      </w:r>
      <w:r w:rsidRPr="00705825">
        <w:t xml:space="preserve"> have been conducting virtual meetings on a quarterly basis.  </w:t>
      </w:r>
    </w:p>
    <w:p w:rsidR="000931CD" w:rsidRPr="00383746" w:rsidP="00E140DE" w14:paraId="6FA6DBD3" w14:textId="77777777"/>
    <w:p w:rsidR="00E140DE" w:rsidRPr="00383746" w:rsidP="00E140DE" w14:paraId="02C4B0EA" w14:textId="7ECEFE71">
      <w:pPr>
        <w:rPr>
          <w:color w:val="FF0000"/>
        </w:rPr>
      </w:pPr>
    </w:p>
    <w:p w:rsidR="00E53B82" w:rsidP="00E140DE" w14:paraId="66043FAB" w14:textId="4C0B5E75">
      <w:pPr>
        <w:rPr>
          <w:color w:val="FF0000"/>
        </w:rPr>
      </w:pPr>
    </w:p>
    <w:p w:rsidR="00E53B82" w:rsidP="00E140DE" w14:paraId="6B339873" w14:textId="356C6DD6">
      <w:pPr>
        <w:rPr>
          <w:color w:val="FF0000"/>
        </w:rPr>
      </w:pPr>
    </w:p>
    <w:p w:rsidR="00E53B82" w:rsidP="00E140DE" w14:paraId="1BBE808A" w14:textId="77777777">
      <w:pPr>
        <w:rPr>
          <w:color w:val="FF0000"/>
        </w:rPr>
      </w:pPr>
    </w:p>
    <w:p w:rsidR="00E53B82" w:rsidP="00E140DE" w14:paraId="10433EDB" w14:textId="77777777"/>
    <w:p w:rsidR="00066F8F" w:rsidP="00066F8F" w14:paraId="687EA4D3" w14:textId="77777777">
      <w:pPr>
        <w:spacing w:after="240"/>
      </w:pPr>
    </w:p>
    <w:p w:rsidR="00066F8F" w:rsidP="00066F8F" w14:paraId="5D861D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rsidR="00E140DE" w14:paraId="4A415A4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sectPr w:rsidSect="00E62AC4">
      <w:headerReference w:type="even" r:id="rId12"/>
      <w:headerReference w:type="default" r:id="rId13"/>
      <w:footerReference w:type="even" r:id="rId14"/>
      <w:footerReference w:type="default" r:id="rId15"/>
      <w:headerReference w:type="first" r:id="rId16"/>
      <w:footerReference w:type="first" r:id="rId17"/>
      <w:pgSz w:w="12240" w:h="15840" w:code="1"/>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5688" w14:paraId="52BBB0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505F" w:rsidP="009F757E" w14:paraId="6A6A7113" w14:textId="77570E5D">
    <w:pPr>
      <w:pStyle w:val="Footer"/>
      <w:jc w:val="center"/>
    </w:pPr>
    <w:r>
      <w:rPr>
        <w:rStyle w:val="PageNumber"/>
      </w:rPr>
      <w:fldChar w:fldCharType="begin"/>
    </w:r>
    <w:r>
      <w:rPr>
        <w:rStyle w:val="PageNumber"/>
      </w:rPr>
      <w:instrText xml:space="preserve"> PAGE </w:instrText>
    </w:r>
    <w:r>
      <w:rPr>
        <w:rStyle w:val="PageNumber"/>
      </w:rPr>
      <w:fldChar w:fldCharType="separate"/>
    </w:r>
    <w:r w:rsidR="000334BF">
      <w:rPr>
        <w:rStyle w:val="PageNumber"/>
        <w:noProof/>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5688" w14:paraId="6381B83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94A06" w14:paraId="1F9D2AAD" w14:textId="77777777">
      <w:r>
        <w:separator/>
      </w:r>
    </w:p>
  </w:footnote>
  <w:footnote w:type="continuationSeparator" w:id="1">
    <w:p w:rsidR="00B94A06" w14:paraId="694B6225" w14:textId="77777777">
      <w:r>
        <w:continuationSeparator/>
      </w:r>
    </w:p>
  </w:footnote>
  <w:footnote w:type="continuationNotice" w:id="2">
    <w:p w:rsidR="00B94A06" w14:paraId="1DC139A8" w14:textId="77777777"/>
  </w:footnote>
  <w:footnote w:id="3">
    <w:p w:rsidR="002955D3" w:rsidRPr="009A709B" w:rsidP="00756D6C" w14:paraId="2D666069" w14:textId="406F4F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0"/>
          <w:szCs w:val="20"/>
        </w:rPr>
      </w:pPr>
      <w:r w:rsidRPr="009A709B">
        <w:rPr>
          <w:rStyle w:val="FootnoteReference"/>
          <w:sz w:val="20"/>
          <w:szCs w:val="20"/>
          <w:vertAlign w:val="superscript"/>
        </w:rPr>
        <w:footnoteRef/>
      </w:r>
      <w:r w:rsidRPr="009A709B">
        <w:rPr>
          <w:sz w:val="20"/>
          <w:szCs w:val="20"/>
        </w:rPr>
        <w:t xml:space="preserve"> </w:t>
      </w:r>
      <w:r w:rsidRPr="009A709B" w:rsidR="008C12EF">
        <w:rPr>
          <w:sz w:val="20"/>
          <w:szCs w:val="20"/>
        </w:rPr>
        <w:t>Bureau of Labor Statistics</w:t>
      </w:r>
      <w:r w:rsidRPr="009A709B" w:rsidR="005076B2">
        <w:rPr>
          <w:sz w:val="20"/>
          <w:szCs w:val="20"/>
        </w:rPr>
        <w:t xml:space="preserve"> (BLS)</w:t>
      </w:r>
      <w:r w:rsidRPr="009A709B" w:rsidR="008C12EF">
        <w:rPr>
          <w:sz w:val="20"/>
          <w:szCs w:val="20"/>
        </w:rPr>
        <w:t xml:space="preserve">. </w:t>
      </w:r>
      <w:r w:rsidRPr="009A709B" w:rsidR="00776BD3">
        <w:rPr>
          <w:color w:val="000000"/>
          <w:sz w:val="20"/>
          <w:szCs w:val="20"/>
        </w:rPr>
        <w:t>2021. “Employer Costs for Employee Compensation News Release.” September 16, 2021. Available</w:t>
      </w:r>
      <w:r w:rsidR="00A96DA5">
        <w:rPr>
          <w:color w:val="000000"/>
          <w:sz w:val="20"/>
          <w:szCs w:val="20"/>
        </w:rPr>
        <w:t xml:space="preserve"> at</w:t>
      </w:r>
      <w:r w:rsidRPr="009A709B" w:rsidR="00776BD3">
        <w:rPr>
          <w:color w:val="000000"/>
          <w:sz w:val="20"/>
          <w:szCs w:val="20"/>
        </w:rPr>
        <w:t xml:space="preserve"> </w:t>
      </w:r>
      <w:hyperlink r:id="rId1" w:history="1">
        <w:r w:rsidRPr="00A96DA5" w:rsidR="00776BD3">
          <w:rPr>
            <w:rStyle w:val="Hyperlink"/>
            <w:sz w:val="20"/>
            <w:szCs w:val="20"/>
          </w:rPr>
          <w:t>https://www.bls.gov/news.release/archives/ecec_09162021.htm</w:t>
        </w:r>
      </w:hyperlink>
      <w:r w:rsidRPr="009A709B">
        <w:rPr>
          <w:color w:val="183061"/>
          <w:sz w:val="20"/>
          <w:szCs w:val="20"/>
        </w:rPr>
        <w:t>.</w:t>
      </w:r>
      <w:r w:rsidRPr="009A709B" w:rsidR="00776BD3">
        <w:rPr>
          <w:sz w:val="20"/>
          <w:szCs w:val="20"/>
        </w:rPr>
        <w:t xml:space="preserve"> Note, “Table 4. Employer Costs for Employee Compensation for private industry workers by occupational and industry group”</w:t>
      </w:r>
      <w:r w:rsidRPr="009A709B" w:rsidR="00776BD3">
        <w:rPr>
          <w:color w:val="000000"/>
          <w:sz w:val="20"/>
          <w:szCs w:val="20"/>
        </w:rPr>
        <w:t xml:space="preserve"> listed hourly compensation (wages and salaries plus fringe benefits)</w:t>
      </w:r>
      <w:r w:rsidRPr="009A709B" w:rsidR="00776BD3">
        <w:rPr>
          <w:sz w:val="20"/>
          <w:szCs w:val="20"/>
        </w:rPr>
        <w:t xml:space="preserve">. </w:t>
      </w:r>
      <w:r w:rsidRPr="009A709B" w:rsidR="00776BD3">
        <w:rPr>
          <w:color w:val="000000"/>
          <w:sz w:val="20"/>
          <w:szCs w:val="20"/>
        </w:rPr>
        <w:t>Therefore, the wage rates used in this ICR</w:t>
      </w:r>
      <w:r w:rsidRPr="009A709B" w:rsidR="00776BD3">
        <w:rPr>
          <w:sz w:val="20"/>
          <w:szCs w:val="20"/>
        </w:rPr>
        <w:t xml:space="preserve"> </w:t>
      </w:r>
      <w:r w:rsidRPr="009A709B" w:rsidR="00776BD3">
        <w:rPr>
          <w:color w:val="000000"/>
          <w:sz w:val="20"/>
          <w:szCs w:val="20"/>
        </w:rPr>
        <w:t>include salaries, fringe benefits, overhead costs and general and administrative costs as of June 2021.</w:t>
      </w:r>
      <w:r w:rsidRPr="009A709B" w:rsidR="00776BD3">
        <w:rPr>
          <w:sz w:val="20"/>
          <w:szCs w:val="20"/>
        </w:rPr>
        <w:t xml:space="preserve">  </w:t>
      </w:r>
    </w:p>
  </w:footnote>
  <w:footnote w:id="4">
    <w:p w:rsidR="002775CF" w:rsidP="002775CF" w14:paraId="7E2A5720" w14:textId="4E768139">
      <w:pPr>
        <w:pStyle w:val="FootnoteText"/>
      </w:pPr>
      <w:r w:rsidRPr="009A709B">
        <w:rPr>
          <w:rStyle w:val="FootnoteReference"/>
          <w:vertAlign w:val="superscript"/>
        </w:rPr>
        <w:footnoteRef/>
      </w:r>
      <w:r w:rsidRPr="009A709B">
        <w:t xml:space="preserve"> </w:t>
      </w:r>
      <w:r w:rsidRPr="009A709B">
        <w:rPr>
          <w:color w:val="000000"/>
        </w:rPr>
        <w:t>Bureau of Labor Statistics</w:t>
      </w:r>
      <w:r w:rsidRPr="009A709B" w:rsidR="005076B2">
        <w:rPr>
          <w:color w:val="000000"/>
        </w:rPr>
        <w:t xml:space="preserve"> (BLS)</w:t>
      </w:r>
      <w:r w:rsidRPr="009A709B" w:rsidR="00595C7E">
        <w:rPr>
          <w:color w:val="000000"/>
        </w:rPr>
        <w:t>. 2021. “Employer Costs for Employee Compensation News Release.” September 16, 2021. Available</w:t>
      </w:r>
      <w:hyperlink r:id="rId2" w:history="1">
        <w:r w:rsidRPr="00A96DA5" w:rsidR="00595C7E">
          <w:rPr>
            <w:rStyle w:val="Hyperlink"/>
          </w:rPr>
          <w:t>: https://www.bls.gov/news.release/archives/ecec_09162021.htm</w:t>
        </w:r>
      </w:hyperlink>
      <w:r w:rsidR="00A96DA5">
        <w:rPr>
          <w:color w:val="000000"/>
        </w:rPr>
        <w:t>.</w:t>
      </w:r>
      <w:r w:rsidRPr="009A709B">
        <w:rPr>
          <w:color w:val="000000"/>
        </w:rPr>
        <w:t xml:space="preserve"> </w:t>
      </w:r>
      <w:r w:rsidRPr="009A709B" w:rsidR="00D0535D">
        <w:t xml:space="preserve">Note, </w:t>
      </w:r>
      <w:r w:rsidRPr="009A709B" w:rsidR="00776BD3">
        <w:t>“</w:t>
      </w:r>
      <w:r w:rsidRPr="009A709B">
        <w:t>Table 3. Employer Costs for Employee Compensation for state and local government workers by occupational and industry group</w:t>
      </w:r>
      <w:r w:rsidRPr="009A709B" w:rsidR="00776BD3">
        <w:t>”</w:t>
      </w:r>
      <w:r w:rsidRPr="009A709B">
        <w:rPr>
          <w:color w:val="000000"/>
        </w:rPr>
        <w:t xml:space="preserve"> listed hourly compensation (wages and salaries plus fringe benefits)</w:t>
      </w:r>
      <w:r w:rsidRPr="009A709B">
        <w:t xml:space="preserve">, presents </w:t>
      </w:r>
      <w:r w:rsidRPr="009A709B">
        <w:rPr>
          <w:color w:val="000000"/>
        </w:rPr>
        <w:t>rates for state and local government managerial, technical, and clerical workers. Therefore, the wage rates used in this ICR</w:t>
      </w:r>
      <w:r w:rsidRPr="009A709B">
        <w:t xml:space="preserve"> </w:t>
      </w:r>
      <w:r w:rsidRPr="009A709B">
        <w:rPr>
          <w:color w:val="000000"/>
        </w:rPr>
        <w:t>include salaries, fringe benefits, overhead costs and general and administrative costs as of June 2021</w:t>
      </w:r>
      <w:r w:rsidRPr="00FC0796">
        <w:rPr>
          <w:color w:val="000000"/>
          <w:sz w:val="16"/>
          <w:szCs w:val="16"/>
        </w:rPr>
        <w:t>.</w:t>
      </w:r>
      <w:r w:rsidRPr="00FC0796">
        <w:rPr>
          <w:sz w:val="16"/>
          <w:szCs w:val="16"/>
        </w:rPr>
        <w:t xml:space="preserve"> </w:t>
      </w:r>
    </w:p>
  </w:footnote>
  <w:footnote w:id="5">
    <w:p w:rsidR="00525D56" w:rsidRPr="003062A4" w:rsidP="00525D56" w14:paraId="2BE9B7E3" w14:textId="132A06C5">
      <w:pPr>
        <w:rPr>
          <w:rFonts w:asciiTheme="majorBidi" w:hAnsiTheme="majorBidi" w:cstheme="majorBidi"/>
          <w:color w:val="000000"/>
          <w:sz w:val="20"/>
          <w:szCs w:val="20"/>
          <w:lang w:val="fr-FR"/>
        </w:rPr>
      </w:pPr>
      <w:r w:rsidRPr="00525D56">
        <w:rPr>
          <w:rStyle w:val="FootnoteReference"/>
          <w:rFonts w:asciiTheme="majorBidi" w:hAnsiTheme="majorBidi" w:cstheme="majorBidi"/>
          <w:sz w:val="20"/>
          <w:szCs w:val="20"/>
          <w:vertAlign w:val="superscript"/>
        </w:rPr>
        <w:footnoteRef/>
      </w:r>
      <w:r w:rsidRPr="00525D56">
        <w:rPr>
          <w:rFonts w:asciiTheme="majorBidi" w:hAnsiTheme="majorBidi" w:cstheme="majorBidi"/>
          <w:sz w:val="20"/>
          <w:szCs w:val="20"/>
          <w:vertAlign w:val="superscript"/>
        </w:rPr>
        <w:t xml:space="preserve"> </w:t>
      </w:r>
      <w:r w:rsidRPr="00525D56">
        <w:rPr>
          <w:rFonts w:asciiTheme="majorBidi" w:hAnsiTheme="majorBidi" w:cstheme="majorBidi"/>
          <w:color w:val="000000"/>
          <w:sz w:val="20"/>
          <w:szCs w:val="20"/>
        </w:rPr>
        <w:t>US Postal Service. 2022. The Postal Store.</w:t>
      </w:r>
      <w:r w:rsidRPr="003062A4">
        <w:rPr>
          <w:rFonts w:asciiTheme="majorBidi" w:hAnsiTheme="majorBidi" w:cstheme="majorBidi"/>
          <w:color w:val="000000"/>
          <w:sz w:val="20"/>
          <w:szCs w:val="20"/>
          <w:lang w:val="fr-FR"/>
        </w:rPr>
        <w:t xml:space="preserve"> </w:t>
      </w:r>
      <w:hyperlink r:id="rId3" w:history="1">
        <w:r w:rsidRPr="003F5D0C">
          <w:rPr>
            <w:rStyle w:val="Hyperlink"/>
            <w:rFonts w:asciiTheme="majorBidi" w:hAnsiTheme="majorBidi" w:cstheme="majorBidi"/>
            <w:sz w:val="20"/>
            <w:szCs w:val="20"/>
            <w:lang w:val="fr-FR"/>
          </w:rPr>
          <w:t>https://store.usps.com/store/results/stamps/_/N-9y93lv</w:t>
        </w:r>
      </w:hyperlink>
    </w:p>
  </w:footnote>
  <w:footnote w:id="6">
    <w:p w:rsidR="00BF7FBB" w:rsidRPr="003062A4" w14:paraId="26D55C57" w14:textId="2BCB6091">
      <w:pPr>
        <w:pStyle w:val="FootnoteText"/>
        <w:rPr>
          <w:lang w:val="fr-FR"/>
        </w:rPr>
      </w:pPr>
      <w:r w:rsidRPr="003062A4">
        <w:rPr>
          <w:rStyle w:val="FootnoteReference"/>
          <w:vertAlign w:val="superscript"/>
        </w:rPr>
        <w:footnoteRef/>
      </w:r>
      <w:r>
        <w:t xml:space="preserve"> </w:t>
      </w:r>
      <w:r w:rsidRPr="00BF7FBB">
        <w:t xml:space="preserve">GSA Advantage. 2020. Search Results - "Ream of Paper." </w:t>
      </w:r>
      <w:hyperlink r:id="rId4" w:history="1">
        <w:r w:rsidRPr="003E57F1" w:rsidR="006B4E83">
          <w:rPr>
            <w:rStyle w:val="Hyperlink"/>
            <w:lang w:val="fr-FR"/>
          </w:rPr>
          <w:t>https://www.gsaadvantage.gov/advantage/ws/search/advantage_search?q=0:8ream%20of%20paper&amp;db=0&amp;searchType=0</w:t>
        </w:r>
      </w:hyperlink>
    </w:p>
  </w:footnote>
  <w:footnote w:id="7">
    <w:p w:rsidR="008215E9" w14:paraId="2868861E" w14:textId="275A7216">
      <w:pPr>
        <w:pStyle w:val="FootnoteText"/>
      </w:pPr>
      <w:r w:rsidRPr="008215E9">
        <w:rPr>
          <w:rStyle w:val="FootnoteReference"/>
          <w:vertAlign w:val="superscript"/>
        </w:rPr>
        <w:footnoteRef/>
      </w:r>
      <w:r>
        <w:t xml:space="preserve"> </w:t>
      </w:r>
      <w:r w:rsidRPr="008215E9">
        <w:t>U.S. Office of Personnel Management</w:t>
      </w:r>
      <w:r>
        <w:t xml:space="preserve"> (OPM)</w:t>
      </w:r>
      <w:r w:rsidRPr="008215E9">
        <w:t>. 2021. SALARY TABLE 2021-DCB. January 2021. Retrieved from: https://www.opm.gov/policy-data-oversight/pay-leave/salaries-wages/salary-tables/pdf/2021/DCB_h.pdf</w:t>
      </w:r>
    </w:p>
  </w:footnote>
  <w:footnote w:id="8">
    <w:p w:rsidR="008634AC" w14:paraId="782665C3" w14:textId="6624F3B2">
      <w:pPr>
        <w:pStyle w:val="FootnoteText"/>
      </w:pPr>
      <w:r w:rsidRPr="008634AC">
        <w:rPr>
          <w:rStyle w:val="FootnoteReference"/>
          <w:vertAlign w:val="superscript"/>
        </w:rPr>
        <w:footnoteRef/>
      </w:r>
      <w:r>
        <w:t xml:space="preserve"> </w:t>
      </w:r>
      <w:r w:rsidRPr="00BF7FBB">
        <w:t>GSA Advantage</w:t>
      </w:r>
      <w:r>
        <w:t>, Op. cit.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5688" w14:paraId="7AED9C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5688" w14:paraId="22E87A5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5688" w14:paraId="430DE2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C7C0CDCE"/>
    <w:lvl w:ilvl="0">
      <w:start w:val="0"/>
      <w:numFmt w:val="bullet"/>
      <w:lvlText w:val="*"/>
      <w:lvlJc w:val="left"/>
    </w:lvl>
  </w:abstractNum>
  <w:abstractNum w:abstractNumId="1">
    <w:nsid w:val="3557159F"/>
    <w:multiLevelType w:val="hybridMultilevel"/>
    <w:tmpl w:val="37AAC01C"/>
    <w:lvl w:ilvl="0">
      <w:start w:val="1"/>
      <w:numFmt w:val="decimal"/>
      <w:lvlText w:val="%1."/>
      <w:lvlJc w:val="left"/>
      <w:pPr>
        <w:ind w:left="1125" w:hanging="76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8B86BF5"/>
    <w:multiLevelType w:val="hybridMultilevel"/>
    <w:tmpl w:val="4EB25AB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7BEA0378"/>
    <w:multiLevelType w:val="hybridMultilevel"/>
    <w:tmpl w:val="7A66F73A"/>
    <w:lvl w:ilvl="0">
      <w:start w:val="1"/>
      <w:numFmt w:val="lowerRoman"/>
      <w:lvlText w:val="(%1)"/>
      <w:lvlJc w:val="left"/>
      <w:pPr>
        <w:ind w:left="2160" w:hanging="720"/>
      </w:pPr>
      <w:rPr>
        <w:rFonts w:hint="default"/>
        <w:b w:val="0"/>
        <w:b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7D795BED"/>
    <w:multiLevelType w:val="hybridMultilevel"/>
    <w:tmpl w:val="37AAC01C"/>
    <w:lvl w:ilvl="0">
      <w:start w:val="1"/>
      <w:numFmt w:val="decimal"/>
      <w:lvlText w:val="%1."/>
      <w:lvlJc w:val="left"/>
      <w:pPr>
        <w:ind w:left="1125" w:hanging="76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lvl w:ilvl="0">
        <w:start w:val="0"/>
        <w:numFmt w:val="bullet"/>
        <w:lvlText w:val=""/>
        <w:legacy w:legacy="1" w:legacySpace="0" w:legacyIndent="720"/>
        <w:lvlJc w:val="left"/>
        <w:rPr>
          <w:rFonts w:ascii="Symbol" w:hAnsi="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F8"/>
    <w:rsid w:val="00000568"/>
    <w:rsid w:val="00000703"/>
    <w:rsid w:val="00001EF8"/>
    <w:rsid w:val="00006BE2"/>
    <w:rsid w:val="00007D80"/>
    <w:rsid w:val="00010FC9"/>
    <w:rsid w:val="00012D8E"/>
    <w:rsid w:val="000136A0"/>
    <w:rsid w:val="000322A3"/>
    <w:rsid w:val="000334BF"/>
    <w:rsid w:val="000344B0"/>
    <w:rsid w:val="00034F2F"/>
    <w:rsid w:val="00036AE0"/>
    <w:rsid w:val="00042687"/>
    <w:rsid w:val="000448F4"/>
    <w:rsid w:val="00046118"/>
    <w:rsid w:val="00046C40"/>
    <w:rsid w:val="00047A88"/>
    <w:rsid w:val="000516A3"/>
    <w:rsid w:val="00053626"/>
    <w:rsid w:val="0006012C"/>
    <w:rsid w:val="00060615"/>
    <w:rsid w:val="00060E44"/>
    <w:rsid w:val="000630C4"/>
    <w:rsid w:val="00063566"/>
    <w:rsid w:val="00066E48"/>
    <w:rsid w:val="00066F8F"/>
    <w:rsid w:val="00070B42"/>
    <w:rsid w:val="00074F72"/>
    <w:rsid w:val="000802A3"/>
    <w:rsid w:val="00080EE7"/>
    <w:rsid w:val="00085507"/>
    <w:rsid w:val="0008670B"/>
    <w:rsid w:val="00090DA1"/>
    <w:rsid w:val="00092AD4"/>
    <w:rsid w:val="000931CD"/>
    <w:rsid w:val="00093648"/>
    <w:rsid w:val="000A1E04"/>
    <w:rsid w:val="000A1E9D"/>
    <w:rsid w:val="000A2C89"/>
    <w:rsid w:val="000A4083"/>
    <w:rsid w:val="000A4D56"/>
    <w:rsid w:val="000A6671"/>
    <w:rsid w:val="000C505F"/>
    <w:rsid w:val="000C667E"/>
    <w:rsid w:val="000D148F"/>
    <w:rsid w:val="000D5A4F"/>
    <w:rsid w:val="000D6866"/>
    <w:rsid w:val="000D7D21"/>
    <w:rsid w:val="000E1959"/>
    <w:rsid w:val="000E2E11"/>
    <w:rsid w:val="000E2E72"/>
    <w:rsid w:val="000F33E1"/>
    <w:rsid w:val="000F5EE8"/>
    <w:rsid w:val="000F703D"/>
    <w:rsid w:val="00101740"/>
    <w:rsid w:val="00102563"/>
    <w:rsid w:val="00106E73"/>
    <w:rsid w:val="00110225"/>
    <w:rsid w:val="00113CC0"/>
    <w:rsid w:val="001164A8"/>
    <w:rsid w:val="00122F81"/>
    <w:rsid w:val="001243F5"/>
    <w:rsid w:val="001245A8"/>
    <w:rsid w:val="00125924"/>
    <w:rsid w:val="00126775"/>
    <w:rsid w:val="00130F9C"/>
    <w:rsid w:val="001324E7"/>
    <w:rsid w:val="001328CC"/>
    <w:rsid w:val="00134A69"/>
    <w:rsid w:val="00136CB4"/>
    <w:rsid w:val="0014195E"/>
    <w:rsid w:val="0014329F"/>
    <w:rsid w:val="001448A4"/>
    <w:rsid w:val="00145846"/>
    <w:rsid w:val="00146A30"/>
    <w:rsid w:val="00147709"/>
    <w:rsid w:val="00151A16"/>
    <w:rsid w:val="00151DD2"/>
    <w:rsid w:val="00161FE0"/>
    <w:rsid w:val="00172340"/>
    <w:rsid w:val="00172ABE"/>
    <w:rsid w:val="00172CA0"/>
    <w:rsid w:val="00173711"/>
    <w:rsid w:val="001738A5"/>
    <w:rsid w:val="001815EE"/>
    <w:rsid w:val="001822A0"/>
    <w:rsid w:val="001827D5"/>
    <w:rsid w:val="00182F42"/>
    <w:rsid w:val="001856AB"/>
    <w:rsid w:val="0018690F"/>
    <w:rsid w:val="00196E3D"/>
    <w:rsid w:val="00197183"/>
    <w:rsid w:val="00197B59"/>
    <w:rsid w:val="001A02EE"/>
    <w:rsid w:val="001A102D"/>
    <w:rsid w:val="001A19DA"/>
    <w:rsid w:val="001A306D"/>
    <w:rsid w:val="001A6140"/>
    <w:rsid w:val="001A6B6E"/>
    <w:rsid w:val="001A6E7B"/>
    <w:rsid w:val="001A7E11"/>
    <w:rsid w:val="001B095E"/>
    <w:rsid w:val="001B2406"/>
    <w:rsid w:val="001B47FB"/>
    <w:rsid w:val="001B60D1"/>
    <w:rsid w:val="001B6479"/>
    <w:rsid w:val="001B6859"/>
    <w:rsid w:val="001B7CC5"/>
    <w:rsid w:val="001C20CD"/>
    <w:rsid w:val="001C2C0C"/>
    <w:rsid w:val="001C6C6A"/>
    <w:rsid w:val="001C7FB0"/>
    <w:rsid w:val="001D1A2F"/>
    <w:rsid w:val="001D2804"/>
    <w:rsid w:val="001D38BA"/>
    <w:rsid w:val="001D5438"/>
    <w:rsid w:val="001D5B1E"/>
    <w:rsid w:val="001D7B95"/>
    <w:rsid w:val="001E0853"/>
    <w:rsid w:val="001E3DC5"/>
    <w:rsid w:val="001E564A"/>
    <w:rsid w:val="001E6A50"/>
    <w:rsid w:val="001E7D78"/>
    <w:rsid w:val="001F0389"/>
    <w:rsid w:val="001F3F78"/>
    <w:rsid w:val="001F4C6C"/>
    <w:rsid w:val="001F53C8"/>
    <w:rsid w:val="001F5F87"/>
    <w:rsid w:val="002015AA"/>
    <w:rsid w:val="0020388A"/>
    <w:rsid w:val="00204F9D"/>
    <w:rsid w:val="00205688"/>
    <w:rsid w:val="00207731"/>
    <w:rsid w:val="00214B8E"/>
    <w:rsid w:val="002152A5"/>
    <w:rsid w:val="00221602"/>
    <w:rsid w:val="00223382"/>
    <w:rsid w:val="00226252"/>
    <w:rsid w:val="00231876"/>
    <w:rsid w:val="00234378"/>
    <w:rsid w:val="002352A4"/>
    <w:rsid w:val="00241FB4"/>
    <w:rsid w:val="00242BEB"/>
    <w:rsid w:val="00245DFF"/>
    <w:rsid w:val="00247DFB"/>
    <w:rsid w:val="00251816"/>
    <w:rsid w:val="00251FA8"/>
    <w:rsid w:val="0025446D"/>
    <w:rsid w:val="00261A15"/>
    <w:rsid w:val="0026315A"/>
    <w:rsid w:val="0026332B"/>
    <w:rsid w:val="00264655"/>
    <w:rsid w:val="0026524B"/>
    <w:rsid w:val="00271E93"/>
    <w:rsid w:val="0027219C"/>
    <w:rsid w:val="0027433C"/>
    <w:rsid w:val="002775CF"/>
    <w:rsid w:val="00277709"/>
    <w:rsid w:val="002811FA"/>
    <w:rsid w:val="00282A71"/>
    <w:rsid w:val="00282BE8"/>
    <w:rsid w:val="00282F0C"/>
    <w:rsid w:val="00283A59"/>
    <w:rsid w:val="00283F71"/>
    <w:rsid w:val="00286C3C"/>
    <w:rsid w:val="00290E07"/>
    <w:rsid w:val="0029194D"/>
    <w:rsid w:val="002920C1"/>
    <w:rsid w:val="002955D3"/>
    <w:rsid w:val="00296E8A"/>
    <w:rsid w:val="00297DB4"/>
    <w:rsid w:val="002A0D69"/>
    <w:rsid w:val="002A1C1F"/>
    <w:rsid w:val="002A37E4"/>
    <w:rsid w:val="002A40B0"/>
    <w:rsid w:val="002A6689"/>
    <w:rsid w:val="002A672A"/>
    <w:rsid w:val="002B668B"/>
    <w:rsid w:val="002C018A"/>
    <w:rsid w:val="002C17C3"/>
    <w:rsid w:val="002C29C4"/>
    <w:rsid w:val="002C495C"/>
    <w:rsid w:val="002C58FC"/>
    <w:rsid w:val="002C6898"/>
    <w:rsid w:val="002D2265"/>
    <w:rsid w:val="002D3DA5"/>
    <w:rsid w:val="002D47AF"/>
    <w:rsid w:val="002D55FE"/>
    <w:rsid w:val="002D666F"/>
    <w:rsid w:val="002D6B60"/>
    <w:rsid w:val="002E02CD"/>
    <w:rsid w:val="002E14F8"/>
    <w:rsid w:val="002E1B36"/>
    <w:rsid w:val="002E3126"/>
    <w:rsid w:val="002E3C5C"/>
    <w:rsid w:val="002E3E2B"/>
    <w:rsid w:val="002E459B"/>
    <w:rsid w:val="002E46DB"/>
    <w:rsid w:val="002E4780"/>
    <w:rsid w:val="002F7681"/>
    <w:rsid w:val="00300A7B"/>
    <w:rsid w:val="00301EA0"/>
    <w:rsid w:val="00303089"/>
    <w:rsid w:val="00305B69"/>
    <w:rsid w:val="003062A4"/>
    <w:rsid w:val="003112DE"/>
    <w:rsid w:val="00311ED8"/>
    <w:rsid w:val="00312003"/>
    <w:rsid w:val="00312EC9"/>
    <w:rsid w:val="00313737"/>
    <w:rsid w:val="00314862"/>
    <w:rsid w:val="00316DEA"/>
    <w:rsid w:val="003202D4"/>
    <w:rsid w:val="00320932"/>
    <w:rsid w:val="00330960"/>
    <w:rsid w:val="00330E33"/>
    <w:rsid w:val="003368F4"/>
    <w:rsid w:val="00337D9B"/>
    <w:rsid w:val="00341A6F"/>
    <w:rsid w:val="003441AC"/>
    <w:rsid w:val="003446A9"/>
    <w:rsid w:val="003502B0"/>
    <w:rsid w:val="00350BA5"/>
    <w:rsid w:val="00350FA4"/>
    <w:rsid w:val="00353D24"/>
    <w:rsid w:val="00354704"/>
    <w:rsid w:val="00355D59"/>
    <w:rsid w:val="00361967"/>
    <w:rsid w:val="0036284B"/>
    <w:rsid w:val="00362E71"/>
    <w:rsid w:val="00367B70"/>
    <w:rsid w:val="0037054C"/>
    <w:rsid w:val="00371346"/>
    <w:rsid w:val="00372114"/>
    <w:rsid w:val="00372A01"/>
    <w:rsid w:val="00373154"/>
    <w:rsid w:val="0037317D"/>
    <w:rsid w:val="00375DB1"/>
    <w:rsid w:val="0038159B"/>
    <w:rsid w:val="00381B2E"/>
    <w:rsid w:val="00382696"/>
    <w:rsid w:val="00382A0A"/>
    <w:rsid w:val="00383307"/>
    <w:rsid w:val="00383746"/>
    <w:rsid w:val="00383A6B"/>
    <w:rsid w:val="00384205"/>
    <w:rsid w:val="003860FC"/>
    <w:rsid w:val="003874A7"/>
    <w:rsid w:val="00391F45"/>
    <w:rsid w:val="00394013"/>
    <w:rsid w:val="00395337"/>
    <w:rsid w:val="00395387"/>
    <w:rsid w:val="0039630E"/>
    <w:rsid w:val="003A1483"/>
    <w:rsid w:val="003A1B41"/>
    <w:rsid w:val="003A297D"/>
    <w:rsid w:val="003A4957"/>
    <w:rsid w:val="003A4B51"/>
    <w:rsid w:val="003A4DA2"/>
    <w:rsid w:val="003B6D5F"/>
    <w:rsid w:val="003B79DC"/>
    <w:rsid w:val="003C04DA"/>
    <w:rsid w:val="003C06F4"/>
    <w:rsid w:val="003C080C"/>
    <w:rsid w:val="003C3DD6"/>
    <w:rsid w:val="003C7C85"/>
    <w:rsid w:val="003D0B62"/>
    <w:rsid w:val="003D35B7"/>
    <w:rsid w:val="003D37EA"/>
    <w:rsid w:val="003D5B1C"/>
    <w:rsid w:val="003D7057"/>
    <w:rsid w:val="003D7EA2"/>
    <w:rsid w:val="003E11CC"/>
    <w:rsid w:val="003E1589"/>
    <w:rsid w:val="003E2881"/>
    <w:rsid w:val="003E4F3C"/>
    <w:rsid w:val="003E57F1"/>
    <w:rsid w:val="003E5B13"/>
    <w:rsid w:val="003E7618"/>
    <w:rsid w:val="003F082E"/>
    <w:rsid w:val="003F2E1F"/>
    <w:rsid w:val="003F5D0C"/>
    <w:rsid w:val="0040088C"/>
    <w:rsid w:val="00403080"/>
    <w:rsid w:val="00407AF9"/>
    <w:rsid w:val="00413EBA"/>
    <w:rsid w:val="00416119"/>
    <w:rsid w:val="00421895"/>
    <w:rsid w:val="00423A57"/>
    <w:rsid w:val="00427C1F"/>
    <w:rsid w:val="004303C8"/>
    <w:rsid w:val="00430822"/>
    <w:rsid w:val="00431366"/>
    <w:rsid w:val="0043292C"/>
    <w:rsid w:val="0043503A"/>
    <w:rsid w:val="004414B0"/>
    <w:rsid w:val="00441FB7"/>
    <w:rsid w:val="00442A06"/>
    <w:rsid w:val="00445330"/>
    <w:rsid w:val="004457EC"/>
    <w:rsid w:val="0045445B"/>
    <w:rsid w:val="00454982"/>
    <w:rsid w:val="004550CA"/>
    <w:rsid w:val="004557E6"/>
    <w:rsid w:val="00455BFB"/>
    <w:rsid w:val="00460972"/>
    <w:rsid w:val="004618BD"/>
    <w:rsid w:val="00462168"/>
    <w:rsid w:val="00462A57"/>
    <w:rsid w:val="00463EC1"/>
    <w:rsid w:val="00470631"/>
    <w:rsid w:val="00471702"/>
    <w:rsid w:val="004747CD"/>
    <w:rsid w:val="004761A1"/>
    <w:rsid w:val="0048324D"/>
    <w:rsid w:val="00483C6E"/>
    <w:rsid w:val="004846B3"/>
    <w:rsid w:val="00491888"/>
    <w:rsid w:val="00491C59"/>
    <w:rsid w:val="00493F94"/>
    <w:rsid w:val="0049513D"/>
    <w:rsid w:val="00497B3E"/>
    <w:rsid w:val="004A0573"/>
    <w:rsid w:val="004A20D8"/>
    <w:rsid w:val="004A7480"/>
    <w:rsid w:val="004B464A"/>
    <w:rsid w:val="004B4B22"/>
    <w:rsid w:val="004B4BCF"/>
    <w:rsid w:val="004B5384"/>
    <w:rsid w:val="004B6BB5"/>
    <w:rsid w:val="004B792F"/>
    <w:rsid w:val="004C42E4"/>
    <w:rsid w:val="004C62EC"/>
    <w:rsid w:val="004C681E"/>
    <w:rsid w:val="004D0279"/>
    <w:rsid w:val="004D0C01"/>
    <w:rsid w:val="004D2393"/>
    <w:rsid w:val="004D43C6"/>
    <w:rsid w:val="004D545F"/>
    <w:rsid w:val="004D5A88"/>
    <w:rsid w:val="004D5D2E"/>
    <w:rsid w:val="004D6C10"/>
    <w:rsid w:val="004E0EAC"/>
    <w:rsid w:val="004E3CD8"/>
    <w:rsid w:val="004E3E77"/>
    <w:rsid w:val="004E4643"/>
    <w:rsid w:val="004E68C4"/>
    <w:rsid w:val="004E699D"/>
    <w:rsid w:val="004F4A40"/>
    <w:rsid w:val="004F4FB5"/>
    <w:rsid w:val="004F5C13"/>
    <w:rsid w:val="004F69D1"/>
    <w:rsid w:val="00502E8A"/>
    <w:rsid w:val="005030A3"/>
    <w:rsid w:val="00503A6A"/>
    <w:rsid w:val="0050437F"/>
    <w:rsid w:val="005044BE"/>
    <w:rsid w:val="005076B2"/>
    <w:rsid w:val="005123D0"/>
    <w:rsid w:val="005134D2"/>
    <w:rsid w:val="00517A9D"/>
    <w:rsid w:val="005248BE"/>
    <w:rsid w:val="00525660"/>
    <w:rsid w:val="00525D56"/>
    <w:rsid w:val="00525DA7"/>
    <w:rsid w:val="005277C2"/>
    <w:rsid w:val="00527CFE"/>
    <w:rsid w:val="00536E56"/>
    <w:rsid w:val="00540062"/>
    <w:rsid w:val="00541CC7"/>
    <w:rsid w:val="00543872"/>
    <w:rsid w:val="00543A95"/>
    <w:rsid w:val="00546AC5"/>
    <w:rsid w:val="00547D58"/>
    <w:rsid w:val="00552B40"/>
    <w:rsid w:val="00554EE3"/>
    <w:rsid w:val="00557772"/>
    <w:rsid w:val="005666D5"/>
    <w:rsid w:val="00570ACF"/>
    <w:rsid w:val="0057440C"/>
    <w:rsid w:val="00577311"/>
    <w:rsid w:val="00577E2F"/>
    <w:rsid w:val="005817CB"/>
    <w:rsid w:val="005828D0"/>
    <w:rsid w:val="0058618F"/>
    <w:rsid w:val="00587EC2"/>
    <w:rsid w:val="005931B3"/>
    <w:rsid w:val="00595C7E"/>
    <w:rsid w:val="005A2E55"/>
    <w:rsid w:val="005A31BB"/>
    <w:rsid w:val="005A6E92"/>
    <w:rsid w:val="005A72AE"/>
    <w:rsid w:val="005B0953"/>
    <w:rsid w:val="005B23D0"/>
    <w:rsid w:val="005B554B"/>
    <w:rsid w:val="005B55B3"/>
    <w:rsid w:val="005B725D"/>
    <w:rsid w:val="005B7C51"/>
    <w:rsid w:val="005C16A9"/>
    <w:rsid w:val="005C33CB"/>
    <w:rsid w:val="005C608A"/>
    <w:rsid w:val="005C6296"/>
    <w:rsid w:val="005C71CB"/>
    <w:rsid w:val="005C78AB"/>
    <w:rsid w:val="005D14BA"/>
    <w:rsid w:val="005D23BA"/>
    <w:rsid w:val="005D5E58"/>
    <w:rsid w:val="005D6ABD"/>
    <w:rsid w:val="005D6F08"/>
    <w:rsid w:val="005E253D"/>
    <w:rsid w:val="005E331A"/>
    <w:rsid w:val="005E786A"/>
    <w:rsid w:val="005F0EB9"/>
    <w:rsid w:val="005F7057"/>
    <w:rsid w:val="005F748E"/>
    <w:rsid w:val="005F7BB0"/>
    <w:rsid w:val="0060312F"/>
    <w:rsid w:val="0060478E"/>
    <w:rsid w:val="00604A1A"/>
    <w:rsid w:val="00611FF5"/>
    <w:rsid w:val="00614123"/>
    <w:rsid w:val="006149CE"/>
    <w:rsid w:val="006161B0"/>
    <w:rsid w:val="006166FB"/>
    <w:rsid w:val="00616F6F"/>
    <w:rsid w:val="00617A14"/>
    <w:rsid w:val="006204F7"/>
    <w:rsid w:val="0062113E"/>
    <w:rsid w:val="0062299F"/>
    <w:rsid w:val="006254B4"/>
    <w:rsid w:val="00626921"/>
    <w:rsid w:val="006272D1"/>
    <w:rsid w:val="00630165"/>
    <w:rsid w:val="00631450"/>
    <w:rsid w:val="00631640"/>
    <w:rsid w:val="00632CD6"/>
    <w:rsid w:val="0063356F"/>
    <w:rsid w:val="00634A37"/>
    <w:rsid w:val="0063595E"/>
    <w:rsid w:val="00640920"/>
    <w:rsid w:val="0064153B"/>
    <w:rsid w:val="00641909"/>
    <w:rsid w:val="00641BAE"/>
    <w:rsid w:val="00643D81"/>
    <w:rsid w:val="00644A68"/>
    <w:rsid w:val="00646D41"/>
    <w:rsid w:val="0065088B"/>
    <w:rsid w:val="00651084"/>
    <w:rsid w:val="00652F00"/>
    <w:rsid w:val="006545A2"/>
    <w:rsid w:val="006626A2"/>
    <w:rsid w:val="00673B9C"/>
    <w:rsid w:val="00673D19"/>
    <w:rsid w:val="0067621E"/>
    <w:rsid w:val="00676FF4"/>
    <w:rsid w:val="00681A17"/>
    <w:rsid w:val="00686EEB"/>
    <w:rsid w:val="00690BA6"/>
    <w:rsid w:val="006922ED"/>
    <w:rsid w:val="00695510"/>
    <w:rsid w:val="00695AAA"/>
    <w:rsid w:val="00696A90"/>
    <w:rsid w:val="006A0FF4"/>
    <w:rsid w:val="006A1A06"/>
    <w:rsid w:val="006A429B"/>
    <w:rsid w:val="006A5446"/>
    <w:rsid w:val="006A693B"/>
    <w:rsid w:val="006A6B62"/>
    <w:rsid w:val="006A750D"/>
    <w:rsid w:val="006B1C7B"/>
    <w:rsid w:val="006B47F6"/>
    <w:rsid w:val="006B4E83"/>
    <w:rsid w:val="006B4FD5"/>
    <w:rsid w:val="006B611C"/>
    <w:rsid w:val="006B747C"/>
    <w:rsid w:val="006C07DC"/>
    <w:rsid w:val="006C104B"/>
    <w:rsid w:val="006C4B6B"/>
    <w:rsid w:val="006C5A3A"/>
    <w:rsid w:val="006C6A8A"/>
    <w:rsid w:val="006D0F93"/>
    <w:rsid w:val="006D1CEA"/>
    <w:rsid w:val="006D560A"/>
    <w:rsid w:val="006E29E6"/>
    <w:rsid w:val="006E2D8B"/>
    <w:rsid w:val="006E4763"/>
    <w:rsid w:val="006E60A2"/>
    <w:rsid w:val="006E6492"/>
    <w:rsid w:val="006F0ADB"/>
    <w:rsid w:val="006F0BC1"/>
    <w:rsid w:val="006F3692"/>
    <w:rsid w:val="006F65B3"/>
    <w:rsid w:val="00702B3C"/>
    <w:rsid w:val="00704E45"/>
    <w:rsid w:val="00705825"/>
    <w:rsid w:val="00706DCF"/>
    <w:rsid w:val="00707191"/>
    <w:rsid w:val="007104F4"/>
    <w:rsid w:val="0071075D"/>
    <w:rsid w:val="007128E1"/>
    <w:rsid w:val="00712D40"/>
    <w:rsid w:val="00720F76"/>
    <w:rsid w:val="00723E32"/>
    <w:rsid w:val="007248C9"/>
    <w:rsid w:val="0073025D"/>
    <w:rsid w:val="00730382"/>
    <w:rsid w:val="007404BF"/>
    <w:rsid w:val="007407F8"/>
    <w:rsid w:val="00742AA5"/>
    <w:rsid w:val="00743AA8"/>
    <w:rsid w:val="0074620A"/>
    <w:rsid w:val="00746B32"/>
    <w:rsid w:val="007510F1"/>
    <w:rsid w:val="007529EC"/>
    <w:rsid w:val="00752E78"/>
    <w:rsid w:val="00753982"/>
    <w:rsid w:val="00754CCD"/>
    <w:rsid w:val="00754FFD"/>
    <w:rsid w:val="00756AF0"/>
    <w:rsid w:val="00756D6C"/>
    <w:rsid w:val="00772291"/>
    <w:rsid w:val="007751F0"/>
    <w:rsid w:val="00776A64"/>
    <w:rsid w:val="00776BD3"/>
    <w:rsid w:val="00780E3F"/>
    <w:rsid w:val="00782C94"/>
    <w:rsid w:val="00785B7A"/>
    <w:rsid w:val="007922D3"/>
    <w:rsid w:val="00795F27"/>
    <w:rsid w:val="007974F3"/>
    <w:rsid w:val="00797A40"/>
    <w:rsid w:val="007A08D0"/>
    <w:rsid w:val="007A5B53"/>
    <w:rsid w:val="007A6777"/>
    <w:rsid w:val="007B0947"/>
    <w:rsid w:val="007B0DB3"/>
    <w:rsid w:val="007B204C"/>
    <w:rsid w:val="007B415A"/>
    <w:rsid w:val="007B702F"/>
    <w:rsid w:val="007C1D0B"/>
    <w:rsid w:val="007C2246"/>
    <w:rsid w:val="007C4213"/>
    <w:rsid w:val="007C59EE"/>
    <w:rsid w:val="007E0B5B"/>
    <w:rsid w:val="007E27BF"/>
    <w:rsid w:val="007E472F"/>
    <w:rsid w:val="007E70B6"/>
    <w:rsid w:val="007E73D0"/>
    <w:rsid w:val="007F36EE"/>
    <w:rsid w:val="007F3E25"/>
    <w:rsid w:val="007F602F"/>
    <w:rsid w:val="0080320C"/>
    <w:rsid w:val="00805479"/>
    <w:rsid w:val="00806E0B"/>
    <w:rsid w:val="00810258"/>
    <w:rsid w:val="008116E9"/>
    <w:rsid w:val="008143A2"/>
    <w:rsid w:val="00815C42"/>
    <w:rsid w:val="00817C57"/>
    <w:rsid w:val="008202F0"/>
    <w:rsid w:val="00820E99"/>
    <w:rsid w:val="008214AE"/>
    <w:rsid w:val="008215E9"/>
    <w:rsid w:val="00821B5F"/>
    <w:rsid w:val="00822C10"/>
    <w:rsid w:val="00823F4A"/>
    <w:rsid w:val="00824D27"/>
    <w:rsid w:val="00826237"/>
    <w:rsid w:val="0082644E"/>
    <w:rsid w:val="00831789"/>
    <w:rsid w:val="00834E25"/>
    <w:rsid w:val="00842465"/>
    <w:rsid w:val="00844926"/>
    <w:rsid w:val="00847141"/>
    <w:rsid w:val="00847B37"/>
    <w:rsid w:val="008545F2"/>
    <w:rsid w:val="00861772"/>
    <w:rsid w:val="008620CB"/>
    <w:rsid w:val="0086268E"/>
    <w:rsid w:val="00862FDD"/>
    <w:rsid w:val="008634AC"/>
    <w:rsid w:val="00865723"/>
    <w:rsid w:val="00865BD7"/>
    <w:rsid w:val="00867422"/>
    <w:rsid w:val="00870082"/>
    <w:rsid w:val="00870F90"/>
    <w:rsid w:val="00871D24"/>
    <w:rsid w:val="008728F2"/>
    <w:rsid w:val="00872C20"/>
    <w:rsid w:val="00872DAD"/>
    <w:rsid w:val="00873DC9"/>
    <w:rsid w:val="00874EB6"/>
    <w:rsid w:val="00876754"/>
    <w:rsid w:val="0087697B"/>
    <w:rsid w:val="0088107B"/>
    <w:rsid w:val="008811A1"/>
    <w:rsid w:val="008829BD"/>
    <w:rsid w:val="00885282"/>
    <w:rsid w:val="008855EB"/>
    <w:rsid w:val="00885702"/>
    <w:rsid w:val="00887514"/>
    <w:rsid w:val="00890C09"/>
    <w:rsid w:val="00891965"/>
    <w:rsid w:val="008922E8"/>
    <w:rsid w:val="00893AF3"/>
    <w:rsid w:val="00896B29"/>
    <w:rsid w:val="008A0665"/>
    <w:rsid w:val="008A1D5B"/>
    <w:rsid w:val="008A255C"/>
    <w:rsid w:val="008B06E4"/>
    <w:rsid w:val="008B411D"/>
    <w:rsid w:val="008B46A5"/>
    <w:rsid w:val="008C12EF"/>
    <w:rsid w:val="008C2026"/>
    <w:rsid w:val="008C37A2"/>
    <w:rsid w:val="008C4300"/>
    <w:rsid w:val="008C50F9"/>
    <w:rsid w:val="008C5228"/>
    <w:rsid w:val="008C5A9A"/>
    <w:rsid w:val="008D0FC4"/>
    <w:rsid w:val="008D2986"/>
    <w:rsid w:val="008D2C77"/>
    <w:rsid w:val="008D6EE2"/>
    <w:rsid w:val="008E408C"/>
    <w:rsid w:val="008E4761"/>
    <w:rsid w:val="008E509A"/>
    <w:rsid w:val="008E658E"/>
    <w:rsid w:val="008E6DD1"/>
    <w:rsid w:val="008F308E"/>
    <w:rsid w:val="008F3425"/>
    <w:rsid w:val="008F685C"/>
    <w:rsid w:val="00901915"/>
    <w:rsid w:val="00902CAB"/>
    <w:rsid w:val="00905521"/>
    <w:rsid w:val="00907B57"/>
    <w:rsid w:val="0091088E"/>
    <w:rsid w:val="0091228A"/>
    <w:rsid w:val="0091358C"/>
    <w:rsid w:val="009137D7"/>
    <w:rsid w:val="00920041"/>
    <w:rsid w:val="009206FC"/>
    <w:rsid w:val="00920CFA"/>
    <w:rsid w:val="00921FFC"/>
    <w:rsid w:val="009272FD"/>
    <w:rsid w:val="009403AA"/>
    <w:rsid w:val="009431F5"/>
    <w:rsid w:val="00943785"/>
    <w:rsid w:val="00950983"/>
    <w:rsid w:val="00950A98"/>
    <w:rsid w:val="0095228F"/>
    <w:rsid w:val="009524FD"/>
    <w:rsid w:val="0095613F"/>
    <w:rsid w:val="00960932"/>
    <w:rsid w:val="009609A5"/>
    <w:rsid w:val="009627C8"/>
    <w:rsid w:val="009640F9"/>
    <w:rsid w:val="00971903"/>
    <w:rsid w:val="0098269A"/>
    <w:rsid w:val="00984BC2"/>
    <w:rsid w:val="009850A0"/>
    <w:rsid w:val="0098574A"/>
    <w:rsid w:val="009876ED"/>
    <w:rsid w:val="00991333"/>
    <w:rsid w:val="00991D1A"/>
    <w:rsid w:val="00994785"/>
    <w:rsid w:val="009951C2"/>
    <w:rsid w:val="00995427"/>
    <w:rsid w:val="009A25D2"/>
    <w:rsid w:val="009A452A"/>
    <w:rsid w:val="009A624F"/>
    <w:rsid w:val="009A691A"/>
    <w:rsid w:val="009A709B"/>
    <w:rsid w:val="009A7DD0"/>
    <w:rsid w:val="009B205B"/>
    <w:rsid w:val="009B4E74"/>
    <w:rsid w:val="009B5858"/>
    <w:rsid w:val="009B5E69"/>
    <w:rsid w:val="009C00AC"/>
    <w:rsid w:val="009C094D"/>
    <w:rsid w:val="009C1CB1"/>
    <w:rsid w:val="009C2EEA"/>
    <w:rsid w:val="009C63CF"/>
    <w:rsid w:val="009C6460"/>
    <w:rsid w:val="009C70AF"/>
    <w:rsid w:val="009D0248"/>
    <w:rsid w:val="009D0C03"/>
    <w:rsid w:val="009D36DF"/>
    <w:rsid w:val="009D3CAB"/>
    <w:rsid w:val="009D7776"/>
    <w:rsid w:val="009D7B57"/>
    <w:rsid w:val="009E54BB"/>
    <w:rsid w:val="009E6AEA"/>
    <w:rsid w:val="009E733B"/>
    <w:rsid w:val="009F0A94"/>
    <w:rsid w:val="009F0B10"/>
    <w:rsid w:val="009F32EE"/>
    <w:rsid w:val="009F3702"/>
    <w:rsid w:val="009F4827"/>
    <w:rsid w:val="009F757E"/>
    <w:rsid w:val="009F7B9B"/>
    <w:rsid w:val="00A01513"/>
    <w:rsid w:val="00A05AC0"/>
    <w:rsid w:val="00A06A42"/>
    <w:rsid w:val="00A07684"/>
    <w:rsid w:val="00A10956"/>
    <w:rsid w:val="00A12FA7"/>
    <w:rsid w:val="00A14274"/>
    <w:rsid w:val="00A17974"/>
    <w:rsid w:val="00A23A80"/>
    <w:rsid w:val="00A2461D"/>
    <w:rsid w:val="00A2635B"/>
    <w:rsid w:val="00A27270"/>
    <w:rsid w:val="00A27637"/>
    <w:rsid w:val="00A308B1"/>
    <w:rsid w:val="00A322E8"/>
    <w:rsid w:val="00A35BEE"/>
    <w:rsid w:val="00A35FA0"/>
    <w:rsid w:val="00A362AF"/>
    <w:rsid w:val="00A371EB"/>
    <w:rsid w:val="00A4165F"/>
    <w:rsid w:val="00A52C30"/>
    <w:rsid w:val="00A53047"/>
    <w:rsid w:val="00A5589D"/>
    <w:rsid w:val="00A57828"/>
    <w:rsid w:val="00A63B5D"/>
    <w:rsid w:val="00A64A05"/>
    <w:rsid w:val="00A67996"/>
    <w:rsid w:val="00A720E0"/>
    <w:rsid w:val="00A76BDF"/>
    <w:rsid w:val="00A770DE"/>
    <w:rsid w:val="00A77CCA"/>
    <w:rsid w:val="00A80B8F"/>
    <w:rsid w:val="00A83C37"/>
    <w:rsid w:val="00A83CEF"/>
    <w:rsid w:val="00A84670"/>
    <w:rsid w:val="00A84D39"/>
    <w:rsid w:val="00A84EEF"/>
    <w:rsid w:val="00A85F0E"/>
    <w:rsid w:val="00A87D4D"/>
    <w:rsid w:val="00A90B7A"/>
    <w:rsid w:val="00A93ACF"/>
    <w:rsid w:val="00A9536D"/>
    <w:rsid w:val="00A95784"/>
    <w:rsid w:val="00A96DA5"/>
    <w:rsid w:val="00AA0CDD"/>
    <w:rsid w:val="00AA2898"/>
    <w:rsid w:val="00AB2169"/>
    <w:rsid w:val="00AB44EC"/>
    <w:rsid w:val="00AB4BCC"/>
    <w:rsid w:val="00AC173D"/>
    <w:rsid w:val="00AC41FE"/>
    <w:rsid w:val="00AC60DE"/>
    <w:rsid w:val="00AC69C7"/>
    <w:rsid w:val="00AC6B66"/>
    <w:rsid w:val="00AC792F"/>
    <w:rsid w:val="00AD343A"/>
    <w:rsid w:val="00AD71B4"/>
    <w:rsid w:val="00AE23F1"/>
    <w:rsid w:val="00AE3497"/>
    <w:rsid w:val="00AE3BF1"/>
    <w:rsid w:val="00AE3F1D"/>
    <w:rsid w:val="00AE3FFF"/>
    <w:rsid w:val="00AE7F3F"/>
    <w:rsid w:val="00AF066D"/>
    <w:rsid w:val="00AF0703"/>
    <w:rsid w:val="00AF0E0D"/>
    <w:rsid w:val="00AF2DC8"/>
    <w:rsid w:val="00AF3179"/>
    <w:rsid w:val="00AF3781"/>
    <w:rsid w:val="00AF431C"/>
    <w:rsid w:val="00AF7B9B"/>
    <w:rsid w:val="00B00659"/>
    <w:rsid w:val="00B00AEA"/>
    <w:rsid w:val="00B03125"/>
    <w:rsid w:val="00B0527B"/>
    <w:rsid w:val="00B052A5"/>
    <w:rsid w:val="00B0595E"/>
    <w:rsid w:val="00B10BD8"/>
    <w:rsid w:val="00B120E4"/>
    <w:rsid w:val="00B15FB6"/>
    <w:rsid w:val="00B22621"/>
    <w:rsid w:val="00B22E42"/>
    <w:rsid w:val="00B2665A"/>
    <w:rsid w:val="00B3257C"/>
    <w:rsid w:val="00B33BD8"/>
    <w:rsid w:val="00B34064"/>
    <w:rsid w:val="00B34223"/>
    <w:rsid w:val="00B3749F"/>
    <w:rsid w:val="00B41FD4"/>
    <w:rsid w:val="00B427DE"/>
    <w:rsid w:val="00B42E3C"/>
    <w:rsid w:val="00B475DA"/>
    <w:rsid w:val="00B52CA9"/>
    <w:rsid w:val="00B5519B"/>
    <w:rsid w:val="00B57460"/>
    <w:rsid w:val="00B62E15"/>
    <w:rsid w:val="00B6398D"/>
    <w:rsid w:val="00B64BED"/>
    <w:rsid w:val="00B66EF8"/>
    <w:rsid w:val="00B70E6C"/>
    <w:rsid w:val="00B7152C"/>
    <w:rsid w:val="00B7204F"/>
    <w:rsid w:val="00B739C3"/>
    <w:rsid w:val="00B73DCF"/>
    <w:rsid w:val="00B82FE3"/>
    <w:rsid w:val="00B85580"/>
    <w:rsid w:val="00B9205C"/>
    <w:rsid w:val="00B93A38"/>
    <w:rsid w:val="00B94A06"/>
    <w:rsid w:val="00BA069A"/>
    <w:rsid w:val="00BA06D3"/>
    <w:rsid w:val="00BA3585"/>
    <w:rsid w:val="00BA3B1D"/>
    <w:rsid w:val="00BA4339"/>
    <w:rsid w:val="00BB04EA"/>
    <w:rsid w:val="00BB255E"/>
    <w:rsid w:val="00BB32AF"/>
    <w:rsid w:val="00BB3CCA"/>
    <w:rsid w:val="00BB4EEB"/>
    <w:rsid w:val="00BB5365"/>
    <w:rsid w:val="00BB5627"/>
    <w:rsid w:val="00BB7421"/>
    <w:rsid w:val="00BC2339"/>
    <w:rsid w:val="00BC2646"/>
    <w:rsid w:val="00BC3627"/>
    <w:rsid w:val="00BD1121"/>
    <w:rsid w:val="00BD112E"/>
    <w:rsid w:val="00BD1A6C"/>
    <w:rsid w:val="00BD24E5"/>
    <w:rsid w:val="00BD3B99"/>
    <w:rsid w:val="00BD42ED"/>
    <w:rsid w:val="00BE3D63"/>
    <w:rsid w:val="00BE4E0C"/>
    <w:rsid w:val="00BE5C7E"/>
    <w:rsid w:val="00BE795B"/>
    <w:rsid w:val="00BF245E"/>
    <w:rsid w:val="00BF7FBB"/>
    <w:rsid w:val="00C0437D"/>
    <w:rsid w:val="00C11C2E"/>
    <w:rsid w:val="00C123A0"/>
    <w:rsid w:val="00C2083F"/>
    <w:rsid w:val="00C210DE"/>
    <w:rsid w:val="00C2373A"/>
    <w:rsid w:val="00C25088"/>
    <w:rsid w:val="00C250F7"/>
    <w:rsid w:val="00C25E43"/>
    <w:rsid w:val="00C2744A"/>
    <w:rsid w:val="00C31977"/>
    <w:rsid w:val="00C3320D"/>
    <w:rsid w:val="00C34128"/>
    <w:rsid w:val="00C343C2"/>
    <w:rsid w:val="00C3681C"/>
    <w:rsid w:val="00C36AFD"/>
    <w:rsid w:val="00C37BED"/>
    <w:rsid w:val="00C466D8"/>
    <w:rsid w:val="00C507F1"/>
    <w:rsid w:val="00C516D5"/>
    <w:rsid w:val="00C54486"/>
    <w:rsid w:val="00C55339"/>
    <w:rsid w:val="00C62897"/>
    <w:rsid w:val="00C63E7C"/>
    <w:rsid w:val="00C649FA"/>
    <w:rsid w:val="00C66201"/>
    <w:rsid w:val="00C66B25"/>
    <w:rsid w:val="00C70B24"/>
    <w:rsid w:val="00C70B41"/>
    <w:rsid w:val="00C74C40"/>
    <w:rsid w:val="00C813E7"/>
    <w:rsid w:val="00C85BEC"/>
    <w:rsid w:val="00C93A8E"/>
    <w:rsid w:val="00C93E6D"/>
    <w:rsid w:val="00C96B34"/>
    <w:rsid w:val="00CA1142"/>
    <w:rsid w:val="00CA2FFB"/>
    <w:rsid w:val="00CA36EA"/>
    <w:rsid w:val="00CA4E18"/>
    <w:rsid w:val="00CA7BC8"/>
    <w:rsid w:val="00CB23A1"/>
    <w:rsid w:val="00CB265E"/>
    <w:rsid w:val="00CB3AF1"/>
    <w:rsid w:val="00CC18DB"/>
    <w:rsid w:val="00CD3934"/>
    <w:rsid w:val="00CD4BEB"/>
    <w:rsid w:val="00CE66EC"/>
    <w:rsid w:val="00CF3B62"/>
    <w:rsid w:val="00D00D70"/>
    <w:rsid w:val="00D0535D"/>
    <w:rsid w:val="00D1100F"/>
    <w:rsid w:val="00D113B6"/>
    <w:rsid w:val="00D14B0E"/>
    <w:rsid w:val="00D20753"/>
    <w:rsid w:val="00D22A64"/>
    <w:rsid w:val="00D22DA0"/>
    <w:rsid w:val="00D23994"/>
    <w:rsid w:val="00D25DC9"/>
    <w:rsid w:val="00D261F0"/>
    <w:rsid w:val="00D31D1E"/>
    <w:rsid w:val="00D3283B"/>
    <w:rsid w:val="00D40263"/>
    <w:rsid w:val="00D42EB4"/>
    <w:rsid w:val="00D43602"/>
    <w:rsid w:val="00D43A5B"/>
    <w:rsid w:val="00D47612"/>
    <w:rsid w:val="00D4790D"/>
    <w:rsid w:val="00D5096F"/>
    <w:rsid w:val="00D53700"/>
    <w:rsid w:val="00D54ADD"/>
    <w:rsid w:val="00D6604F"/>
    <w:rsid w:val="00D70C10"/>
    <w:rsid w:val="00D72184"/>
    <w:rsid w:val="00D74695"/>
    <w:rsid w:val="00D80D67"/>
    <w:rsid w:val="00D82CEC"/>
    <w:rsid w:val="00D82F91"/>
    <w:rsid w:val="00D8354F"/>
    <w:rsid w:val="00D842B9"/>
    <w:rsid w:val="00D86E86"/>
    <w:rsid w:val="00D87625"/>
    <w:rsid w:val="00D919DB"/>
    <w:rsid w:val="00D95148"/>
    <w:rsid w:val="00D9531D"/>
    <w:rsid w:val="00DA0947"/>
    <w:rsid w:val="00DA2A5F"/>
    <w:rsid w:val="00DB0E28"/>
    <w:rsid w:val="00DB40CD"/>
    <w:rsid w:val="00DB48B3"/>
    <w:rsid w:val="00DC170B"/>
    <w:rsid w:val="00DC23BE"/>
    <w:rsid w:val="00DC2ACE"/>
    <w:rsid w:val="00DC2FEC"/>
    <w:rsid w:val="00DC6FB1"/>
    <w:rsid w:val="00DC7738"/>
    <w:rsid w:val="00DD2206"/>
    <w:rsid w:val="00DD583A"/>
    <w:rsid w:val="00DE11E3"/>
    <w:rsid w:val="00DE1FB3"/>
    <w:rsid w:val="00DE64C7"/>
    <w:rsid w:val="00DF0567"/>
    <w:rsid w:val="00DF46C6"/>
    <w:rsid w:val="00DF5C64"/>
    <w:rsid w:val="00DF7727"/>
    <w:rsid w:val="00E0016B"/>
    <w:rsid w:val="00E0020B"/>
    <w:rsid w:val="00E00604"/>
    <w:rsid w:val="00E042FC"/>
    <w:rsid w:val="00E12FFC"/>
    <w:rsid w:val="00E1381D"/>
    <w:rsid w:val="00E13D3E"/>
    <w:rsid w:val="00E140DE"/>
    <w:rsid w:val="00E15A04"/>
    <w:rsid w:val="00E17642"/>
    <w:rsid w:val="00E2285C"/>
    <w:rsid w:val="00E279C7"/>
    <w:rsid w:val="00E27B87"/>
    <w:rsid w:val="00E30234"/>
    <w:rsid w:val="00E31BCA"/>
    <w:rsid w:val="00E33CF0"/>
    <w:rsid w:val="00E37054"/>
    <w:rsid w:val="00E370BD"/>
    <w:rsid w:val="00E41E25"/>
    <w:rsid w:val="00E4249C"/>
    <w:rsid w:val="00E47239"/>
    <w:rsid w:val="00E474DB"/>
    <w:rsid w:val="00E500A1"/>
    <w:rsid w:val="00E5214A"/>
    <w:rsid w:val="00E53B82"/>
    <w:rsid w:val="00E56CB5"/>
    <w:rsid w:val="00E60819"/>
    <w:rsid w:val="00E62AC4"/>
    <w:rsid w:val="00E675E4"/>
    <w:rsid w:val="00E70BEF"/>
    <w:rsid w:val="00E71C3D"/>
    <w:rsid w:val="00E7559D"/>
    <w:rsid w:val="00E75F85"/>
    <w:rsid w:val="00E761E4"/>
    <w:rsid w:val="00E765BA"/>
    <w:rsid w:val="00E76C25"/>
    <w:rsid w:val="00E77D36"/>
    <w:rsid w:val="00E84851"/>
    <w:rsid w:val="00E84882"/>
    <w:rsid w:val="00E95E01"/>
    <w:rsid w:val="00E95F15"/>
    <w:rsid w:val="00E96C78"/>
    <w:rsid w:val="00EA456C"/>
    <w:rsid w:val="00EA6050"/>
    <w:rsid w:val="00EB0FB3"/>
    <w:rsid w:val="00EB3E92"/>
    <w:rsid w:val="00EB4965"/>
    <w:rsid w:val="00EB4D4B"/>
    <w:rsid w:val="00EC01AA"/>
    <w:rsid w:val="00ED334A"/>
    <w:rsid w:val="00ED3355"/>
    <w:rsid w:val="00ED6814"/>
    <w:rsid w:val="00EE0044"/>
    <w:rsid w:val="00EE0B80"/>
    <w:rsid w:val="00EE16B4"/>
    <w:rsid w:val="00EE5692"/>
    <w:rsid w:val="00EF101B"/>
    <w:rsid w:val="00EF146D"/>
    <w:rsid w:val="00EF7018"/>
    <w:rsid w:val="00F03EEC"/>
    <w:rsid w:val="00F11D2C"/>
    <w:rsid w:val="00F1359F"/>
    <w:rsid w:val="00F13DD9"/>
    <w:rsid w:val="00F21B39"/>
    <w:rsid w:val="00F21D24"/>
    <w:rsid w:val="00F2368A"/>
    <w:rsid w:val="00F2473D"/>
    <w:rsid w:val="00F318C9"/>
    <w:rsid w:val="00F32811"/>
    <w:rsid w:val="00F32D95"/>
    <w:rsid w:val="00F3501F"/>
    <w:rsid w:val="00F41D33"/>
    <w:rsid w:val="00F44DBC"/>
    <w:rsid w:val="00F47FF9"/>
    <w:rsid w:val="00F52BDA"/>
    <w:rsid w:val="00F535D8"/>
    <w:rsid w:val="00F53FC5"/>
    <w:rsid w:val="00F543CF"/>
    <w:rsid w:val="00F562B5"/>
    <w:rsid w:val="00F62D80"/>
    <w:rsid w:val="00F63B3A"/>
    <w:rsid w:val="00F64023"/>
    <w:rsid w:val="00F66790"/>
    <w:rsid w:val="00F71762"/>
    <w:rsid w:val="00F730FB"/>
    <w:rsid w:val="00F751AE"/>
    <w:rsid w:val="00F81DF1"/>
    <w:rsid w:val="00F90600"/>
    <w:rsid w:val="00F91B04"/>
    <w:rsid w:val="00F949E5"/>
    <w:rsid w:val="00F95995"/>
    <w:rsid w:val="00FA56DB"/>
    <w:rsid w:val="00FA7048"/>
    <w:rsid w:val="00FB05DE"/>
    <w:rsid w:val="00FB3C00"/>
    <w:rsid w:val="00FB472F"/>
    <w:rsid w:val="00FB5FBF"/>
    <w:rsid w:val="00FB6587"/>
    <w:rsid w:val="00FC0796"/>
    <w:rsid w:val="00FC3F15"/>
    <w:rsid w:val="00FD408C"/>
    <w:rsid w:val="00FD722E"/>
    <w:rsid w:val="00FE027A"/>
    <w:rsid w:val="00FE2F4A"/>
    <w:rsid w:val="00FE410F"/>
    <w:rsid w:val="00FE5A39"/>
    <w:rsid w:val="00FE5D0F"/>
    <w:rsid w:val="00FE62DE"/>
    <w:rsid w:val="00FF2756"/>
    <w:rsid w:val="00FF284E"/>
    <w:rsid w:val="00FF48BA"/>
    <w:rsid w:val="00FF5747"/>
    <w:rsid w:val="00FF70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82D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0BD8"/>
    <w:rPr>
      <w:sz w:val="24"/>
      <w:szCs w:val="24"/>
    </w:rPr>
  </w:style>
  <w:style w:type="paragraph" w:styleId="Heading1">
    <w:name w:val="heading 1"/>
    <w:basedOn w:val="Normal"/>
    <w:link w:val="Heading1Char"/>
    <w:uiPriority w:val="9"/>
    <w:qFormat/>
    <w:rsid w:val="002A6689"/>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874E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66EF8"/>
    <w:rPr>
      <w:color w:val="0000FF"/>
      <w:u w:val="single"/>
    </w:rPr>
  </w:style>
  <w:style w:type="paragraph" w:styleId="Header">
    <w:name w:val="header"/>
    <w:basedOn w:val="Normal"/>
    <w:rsid w:val="009F757E"/>
    <w:pPr>
      <w:tabs>
        <w:tab w:val="center" w:pos="4320"/>
        <w:tab w:val="right" w:pos="8640"/>
      </w:tabs>
    </w:pPr>
  </w:style>
  <w:style w:type="paragraph" w:styleId="Footer">
    <w:name w:val="footer"/>
    <w:basedOn w:val="Normal"/>
    <w:rsid w:val="009F757E"/>
    <w:pPr>
      <w:tabs>
        <w:tab w:val="center" w:pos="4320"/>
        <w:tab w:val="right" w:pos="8640"/>
      </w:tabs>
    </w:pPr>
  </w:style>
  <w:style w:type="character" w:styleId="PageNumber">
    <w:name w:val="page number"/>
    <w:basedOn w:val="DefaultParagraphFont"/>
    <w:rsid w:val="009F757E"/>
  </w:style>
  <w:style w:type="character" w:styleId="CommentReference">
    <w:name w:val="annotation reference"/>
    <w:basedOn w:val="DefaultParagraphFont"/>
    <w:rsid w:val="00053626"/>
    <w:rPr>
      <w:sz w:val="16"/>
      <w:szCs w:val="16"/>
    </w:rPr>
  </w:style>
  <w:style w:type="paragraph" w:styleId="CommentText">
    <w:name w:val="annotation text"/>
    <w:basedOn w:val="Normal"/>
    <w:link w:val="CommentTextChar"/>
    <w:rsid w:val="00053626"/>
    <w:rPr>
      <w:sz w:val="20"/>
      <w:szCs w:val="20"/>
    </w:rPr>
  </w:style>
  <w:style w:type="character" w:customStyle="1" w:styleId="CommentTextChar">
    <w:name w:val="Comment Text Char"/>
    <w:basedOn w:val="DefaultParagraphFont"/>
    <w:link w:val="CommentText"/>
    <w:rsid w:val="00053626"/>
  </w:style>
  <w:style w:type="paragraph" w:styleId="CommentSubject">
    <w:name w:val="annotation subject"/>
    <w:basedOn w:val="CommentText"/>
    <w:next w:val="CommentText"/>
    <w:link w:val="CommentSubjectChar"/>
    <w:rsid w:val="00053626"/>
    <w:rPr>
      <w:b/>
      <w:bCs/>
    </w:rPr>
  </w:style>
  <w:style w:type="character" w:customStyle="1" w:styleId="CommentSubjectChar">
    <w:name w:val="Comment Subject Char"/>
    <w:basedOn w:val="CommentTextChar"/>
    <w:link w:val="CommentSubject"/>
    <w:rsid w:val="00053626"/>
    <w:rPr>
      <w:b/>
      <w:bCs/>
    </w:rPr>
  </w:style>
  <w:style w:type="paragraph" w:styleId="BalloonText">
    <w:name w:val="Balloon Text"/>
    <w:basedOn w:val="Normal"/>
    <w:link w:val="BalloonTextChar"/>
    <w:rsid w:val="00053626"/>
    <w:rPr>
      <w:rFonts w:ascii="Tahoma" w:hAnsi="Tahoma" w:cs="Tahoma"/>
      <w:sz w:val="16"/>
      <w:szCs w:val="16"/>
    </w:rPr>
  </w:style>
  <w:style w:type="character" w:customStyle="1" w:styleId="BalloonTextChar">
    <w:name w:val="Balloon Text Char"/>
    <w:basedOn w:val="DefaultParagraphFont"/>
    <w:link w:val="BalloonText"/>
    <w:rsid w:val="00053626"/>
    <w:rPr>
      <w:rFonts w:ascii="Tahoma" w:hAnsi="Tahoma" w:cs="Tahoma"/>
      <w:sz w:val="16"/>
      <w:szCs w:val="16"/>
    </w:rPr>
  </w:style>
  <w:style w:type="paragraph" w:styleId="ListParagraph">
    <w:name w:val="List Paragraph"/>
    <w:basedOn w:val="Normal"/>
    <w:uiPriority w:val="34"/>
    <w:qFormat/>
    <w:rsid w:val="006A0FF4"/>
    <w:pPr>
      <w:ind w:left="720"/>
      <w:contextualSpacing/>
    </w:pPr>
  </w:style>
  <w:style w:type="character" w:styleId="FootnoteReference">
    <w:name w:val="footnote reference"/>
    <w:uiPriority w:val="99"/>
    <w:rsid w:val="003502B0"/>
    <w:rPr>
      <w:rFonts w:ascii="Times New Roman" w:hAnsi="Times New Roman" w:cs="Times New Roman"/>
    </w:rPr>
  </w:style>
  <w:style w:type="paragraph" w:styleId="FootnoteText">
    <w:name w:val="footnote text"/>
    <w:basedOn w:val="Normal"/>
    <w:link w:val="FootnoteTextChar"/>
    <w:uiPriority w:val="99"/>
    <w:semiHidden/>
    <w:rsid w:val="003502B0"/>
    <w:pPr>
      <w:widowControl w:val="0"/>
      <w:adjustRightInd w:val="0"/>
    </w:pPr>
    <w:rPr>
      <w:sz w:val="20"/>
      <w:szCs w:val="20"/>
    </w:rPr>
  </w:style>
  <w:style w:type="character" w:customStyle="1" w:styleId="FootnoteTextChar">
    <w:name w:val="Footnote Text Char"/>
    <w:basedOn w:val="DefaultParagraphFont"/>
    <w:link w:val="FootnoteText"/>
    <w:uiPriority w:val="99"/>
    <w:semiHidden/>
    <w:rsid w:val="003502B0"/>
  </w:style>
  <w:style w:type="table" w:styleId="TableGrid">
    <w:name w:val="Table Grid"/>
    <w:basedOn w:val="TableNormal"/>
    <w:rsid w:val="00350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1D5B"/>
    <w:rPr>
      <w:color w:val="605E5C"/>
      <w:shd w:val="clear" w:color="auto" w:fill="E1DFDD"/>
    </w:rPr>
  </w:style>
  <w:style w:type="character" w:customStyle="1" w:styleId="Heading1Char">
    <w:name w:val="Heading 1 Char"/>
    <w:basedOn w:val="DefaultParagraphFont"/>
    <w:link w:val="Heading1"/>
    <w:uiPriority w:val="9"/>
    <w:rsid w:val="002A6689"/>
    <w:rPr>
      <w:b/>
      <w:bCs/>
      <w:kern w:val="36"/>
      <w:sz w:val="48"/>
      <w:szCs w:val="48"/>
    </w:rPr>
  </w:style>
  <w:style w:type="paragraph" w:styleId="Revision">
    <w:name w:val="Revision"/>
    <w:hidden/>
    <w:uiPriority w:val="99"/>
    <w:semiHidden/>
    <w:rsid w:val="00205688"/>
    <w:rPr>
      <w:sz w:val="24"/>
      <w:szCs w:val="24"/>
    </w:rPr>
  </w:style>
  <w:style w:type="character" w:styleId="FollowedHyperlink">
    <w:name w:val="FollowedHyperlink"/>
    <w:basedOn w:val="DefaultParagraphFont"/>
    <w:semiHidden/>
    <w:unhideWhenUsed/>
    <w:rsid w:val="008C12EF"/>
    <w:rPr>
      <w:color w:val="800080" w:themeColor="followedHyperlink"/>
      <w:u w:val="single"/>
    </w:rPr>
  </w:style>
  <w:style w:type="character" w:customStyle="1" w:styleId="Heading3Char">
    <w:name w:val="Heading 3 Char"/>
    <w:basedOn w:val="DefaultParagraphFont"/>
    <w:link w:val="Heading3"/>
    <w:semiHidden/>
    <w:rsid w:val="00874EB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tk.net" TargetMode="External" /><Relationship Id="rId11" Type="http://schemas.openxmlformats.org/officeDocument/2006/relationships/hyperlink" Target="https://gcc02.safelinks.protection.outlook.com/?url=https%3A%2F%2Fwww.justice.gov%2Fnsd%2Fchemical-hazard-information&amp;data=04%7C01%7Cdouglas.mark%40epa.gov%7C8af2361221034e5ee7be08d9a9db8ee3%7C88b378b367484867acf976aacbeca6a7%7C0%7C0%7C637727582720504221%7CUnknown%7CTWFpbGZsb3d8eyJWIjoiMC4wLjAwMDAiLCJQIjoiV2luMzIiLCJBTiI6Ik1haWwiLCJXVCI6Mn0%3D%7C3000&amp;sdata=tnC0jc%2FGYHpv5oHQKJzs59Yx9CN6S%2FMwdnLx62Pj268%3D&amp;reserved=0"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9162021.htm" TargetMode="External" /><Relationship Id="rId2" Type="http://schemas.openxmlformats.org/officeDocument/2006/relationships/hyperlink" Target="https://usepa-my.sharepoint.com/personal/hoffman_wendy_epa_gov/Documents/Downloads/Documents/OEM/ICR%20RMP%20OCA/:%20https:/www.bls.gov/news.release/archives/ecec_09162021.htm" TargetMode="External" /><Relationship Id="rId3" Type="http://schemas.openxmlformats.org/officeDocument/2006/relationships/hyperlink" Target="https://store.usps.com/store/results/stamps/_/N-9y93lv" TargetMode="External" /><Relationship Id="rId4" Type="http://schemas.openxmlformats.org/officeDocument/2006/relationships/hyperlink" Target="https://www.gsaadvantage.gov/advantage/ws/search/advantage_search?q=0:8ream%20of%20paper&amp;db=0&amp;searchType=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2022-02-15T15:46:34+00:00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3C3EAF5D2CCA74484C3AAD1F8EFF3E9" ma:contentTypeVersion="2" ma:contentTypeDescription="Create a new document." ma:contentTypeScope="" ma:versionID="6aac5ea411f0515e1e2499cb09f05f0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fc136387-0347-421f-a5a4-e93f2d506f33" targetNamespace="http://schemas.microsoft.com/office/2006/metadata/properties" ma:root="true" ma:fieldsID="7dc743d6b06359f20b39a70bda1a71dc" ns1:_="" ns2:_="" ns3:_="" ns4:_="" ns5:_="">
    <xsd:import namespace="http://schemas.microsoft.com/sharepoint/v3"/>
    <xsd:import namespace="4ffa91fb-a0ff-4ac5-b2db-65c790d184a4"/>
    <xsd:import namespace="http://schemas.microsoft.com/sharepoint.v3"/>
    <xsd:import namespace="http://schemas.microsoft.com/sharepoint/v3/fields"/>
    <xsd:import namespace="fc136387-0347-421f-a5a4-e93f2d506f3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dedc83a-fe9e-430d-ba90-02dd9b27270c}" ma:internalName="TaxCatchAllLabel" ma:readOnly="true" ma:showField="CatchAllDataLabel" ma:web="c1cf889f-f08a-46cc-84ce-93c6f3c1e0c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dedc83a-fe9e-430d-ba90-02dd9b27270c}" ma:internalName="TaxCatchAll" ma:showField="CatchAllData" ma:web="c1cf889f-f08a-46cc-84ce-93c6f3c1e0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136387-0347-421f-a5a4-e93f2d506f3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83859-74B0-4C69-A73F-DA4E1FCAAB45}">
  <ds:schemaRefs>
    <ds:schemaRef ds:uri="Microsoft.SharePoint.Taxonomy.ContentTypeSync"/>
  </ds:schemaRefs>
</ds:datastoreItem>
</file>

<file path=customXml/itemProps2.xml><?xml version="1.0" encoding="utf-8"?>
<ds:datastoreItem xmlns:ds="http://schemas.openxmlformats.org/officeDocument/2006/customXml" ds:itemID="{82CFB51C-DD09-4FA0-8756-670FB7E46169}">
  <ds:schemaRefs>
    <ds:schemaRef ds:uri="http://schemas.microsoft.com/sharepoint/v3/contenttype/forms"/>
  </ds:schemaRefs>
</ds:datastoreItem>
</file>

<file path=customXml/itemProps3.xml><?xml version="1.0" encoding="utf-8"?>
<ds:datastoreItem xmlns:ds="http://schemas.openxmlformats.org/officeDocument/2006/customXml" ds:itemID="{4054DAC1-2036-40CC-9C9F-AF346AA1B15D}">
  <ds:schemaRefs>
    <ds:schemaRef ds:uri="http://schemas.openxmlformats.org/officeDocument/2006/bibliography"/>
  </ds:schemaRefs>
</ds:datastoreItem>
</file>

<file path=customXml/itemProps4.xml><?xml version="1.0" encoding="utf-8"?>
<ds:datastoreItem xmlns:ds="http://schemas.openxmlformats.org/officeDocument/2006/customXml" ds:itemID="{5871C49E-E635-4FB6-9504-64E3F3DE339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50B88D92-1B1C-4DEC-A754-2C9049BCC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c136387-0347-421f-a5a4-e93f2d506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7462</Words>
  <Characters>38967</Characters>
  <Application>Microsoft Office Word</Application>
  <DocSecurity>0</DocSecurity>
  <Lines>324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2022-09-16T14:24:00Z</dcterms:created>
  <dcterms:modified xsi:type="dcterms:W3CDTF">2022-09-22T18:16:00Z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0x010100E3C3EAF5D2CCA74484C3AAD1F8EFF3E9</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y fmtid="{D5CDD505-2E9C-101B-9397-08002B2CF9AE}" pid="8" name="_NewReviewCycle">
    <vt:lpwstr/>
  </property>
</Properties>
</file>