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F679C3" w:rsidRPr="00EE356F" w:rsidP="00F679C3" w14:paraId="53F897FA" w14:textId="33F0FC4C">
      <w:pPr>
        <w:rPr>
          <w:b/>
        </w:rPr>
      </w:pPr>
      <w:r w:rsidRPr="00EE356F">
        <w:rPr>
          <w:b/>
        </w:rPr>
        <w:t>Emission Guidelines for Existing Commercial and Industrial Solid Waste</w:t>
      </w:r>
      <w:r>
        <w:rPr>
          <w:b/>
        </w:rPr>
        <w:t xml:space="preserve"> </w:t>
      </w:r>
      <w:r w:rsidRPr="00EE356F">
        <w:rPr>
          <w:b/>
        </w:rPr>
        <w:t>Incineration</w:t>
      </w:r>
      <w:r>
        <w:rPr>
          <w:b/>
        </w:rPr>
        <w:t xml:space="preserve"> </w:t>
      </w:r>
      <w:r w:rsidRPr="00EE356F">
        <w:rPr>
          <w:b/>
        </w:rPr>
        <w:t>Units (40 CFR Part 60, Subpart DDDD)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F679C3" w:rsidP="002B29A5" w14:paraId="524FB0EB" w14:textId="29A2CF09">
      <w:pPr>
        <w:rPr>
          <w:bCs/>
        </w:rPr>
      </w:pPr>
      <w:r w:rsidRPr="00F679C3">
        <w:rPr>
          <w:bCs/>
        </w:rPr>
        <w:t xml:space="preserve">Emission Guidelines for </w:t>
      </w:r>
      <w:bookmarkStart w:id="0" w:name="_Hlk113003008"/>
      <w:r w:rsidRPr="00F679C3">
        <w:rPr>
          <w:bCs/>
        </w:rPr>
        <w:t xml:space="preserve">Existing Commercial and Industrial Solid Waste Incineration Units </w:t>
      </w:r>
      <w:r w:rsidR="00DE49DF">
        <w:rPr>
          <w:bCs/>
        </w:rPr>
        <w:t xml:space="preserve">   </w:t>
      </w:r>
      <w:bookmarkEnd w:id="0"/>
      <w:r w:rsidRPr="00F679C3">
        <w:rPr>
          <w:bCs/>
        </w:rPr>
        <w:t>(</w:t>
      </w:r>
      <w:r w:rsidRPr="00F679C3">
        <w:rPr>
          <w:bCs/>
        </w:rPr>
        <w:t>40 CFR Part 60, Subpart DDDD) (Renewal)</w:t>
      </w:r>
      <w:r w:rsidRPr="00F679C3" w:rsidR="002B29A5">
        <w:rPr>
          <w:bCs/>
        </w:rPr>
        <w:t xml:space="preserve">, EPA ICR Number </w:t>
      </w:r>
      <w:r w:rsidRPr="00F679C3">
        <w:rPr>
          <w:bCs/>
        </w:rPr>
        <w:t>1927.09</w:t>
      </w:r>
      <w:r w:rsidRPr="00F679C3" w:rsidR="002B29A5">
        <w:rPr>
          <w:bCs/>
        </w:rPr>
        <w:t>, OMB Control Number 2060-</w:t>
      </w:r>
      <w:r w:rsidRPr="00F679C3">
        <w:rPr>
          <w:bCs/>
        </w:rPr>
        <w:t>0451</w:t>
      </w:r>
      <w:r w:rsidRPr="00F679C3"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14:paraId="1ECD45DD" w14:textId="307593F0">
      <w:pPr>
        <w:ind w:firstLine="720"/>
        <w:rPr>
          <w:color w:val="000000"/>
        </w:rPr>
      </w:pPr>
      <w:r>
        <w:rPr>
          <w:color w:val="000000"/>
        </w:rPr>
        <w:t xml:space="preserve">The </w:t>
      </w:r>
      <w:r w:rsidRPr="00E05F8C" w:rsidR="00E05F8C">
        <w:t xml:space="preserve">Emission Guidelines </w:t>
      </w:r>
      <w:r>
        <w:rPr>
          <w:color w:val="000000"/>
        </w:rPr>
        <w:t>for</w:t>
      </w:r>
      <w:r w:rsidRPr="00DE49DF" w:rsidR="00DE49DF">
        <w:t xml:space="preserve"> </w:t>
      </w:r>
      <w:r w:rsidRPr="00DE49DF" w:rsidR="00DE49DF">
        <w:rPr>
          <w:color w:val="000000"/>
        </w:rPr>
        <w:t xml:space="preserve">Existing Commercial and Industrial Solid Waste Incineration Units </w:t>
      </w:r>
      <w:r w:rsidR="00DE49DF">
        <w:t>(</w:t>
      </w:r>
      <w:r w:rsidRPr="00E05F8C" w:rsidR="005E0A9B">
        <w:t>40 CFR Part 60</w:t>
      </w:r>
      <w:r w:rsidRPr="00E05F8C" w:rsidR="00E05F8C">
        <w:t xml:space="preserve">, </w:t>
      </w:r>
      <w:r w:rsidRPr="00E05F8C" w:rsidR="005E0A9B">
        <w:t xml:space="preserve">Subpart </w:t>
      </w:r>
      <w:r w:rsidRPr="00E05F8C" w:rsidR="00E05F8C">
        <w:t>DDDD</w:t>
      </w:r>
      <w:r w:rsidR="00DE49DF">
        <w:t>)</w:t>
      </w:r>
      <w:r w:rsidRPr="00E05F8C" w:rsidR="00E05F8C">
        <w:t xml:space="preserve"> </w:t>
      </w:r>
      <w:r w:rsidRPr="00E05F8C">
        <w:t>w</w:t>
      </w:r>
      <w:r>
        <w:rPr>
          <w:color w:val="000000"/>
        </w:rPr>
        <w:t xml:space="preserve">ere proposed on </w:t>
      </w:r>
      <w:r w:rsidRPr="00E05F8C" w:rsidR="00E05F8C">
        <w:rPr>
          <w:color w:val="000000"/>
        </w:rPr>
        <w:t>November 30, 1999</w:t>
      </w:r>
      <w:r w:rsidR="00DE49DF">
        <w:rPr>
          <w:color w:val="000000"/>
        </w:rPr>
        <w:t>;</w:t>
      </w:r>
      <w:r w:rsidRPr="00E05F8C" w:rsidR="00E05F8C">
        <w:rPr>
          <w:color w:val="000000"/>
        </w:rPr>
        <w:t xml:space="preserve"> and promulgated on </w:t>
      </w:r>
      <w:r w:rsidR="00E05F8C">
        <w:rPr>
          <w:color w:val="000000"/>
        </w:rPr>
        <w:t>December 1</w:t>
      </w:r>
      <w:r w:rsidRPr="00E05F8C" w:rsidR="00E05F8C">
        <w:rPr>
          <w:color w:val="000000"/>
        </w:rPr>
        <w:t>, 200</w:t>
      </w:r>
      <w:r w:rsidR="00F85DFC">
        <w:rPr>
          <w:color w:val="000000"/>
        </w:rPr>
        <w:t>0</w:t>
      </w:r>
      <w:r>
        <w:rPr>
          <w:color w:val="000000"/>
        </w:rPr>
        <w:t>.</w:t>
      </w:r>
      <w:r w:rsidR="00B06C0F">
        <w:rPr>
          <w:color w:val="000000"/>
        </w:rPr>
        <w:t xml:space="preserve"> </w:t>
      </w:r>
      <w:r w:rsidRPr="00B06C0F" w:rsidR="00B06C0F">
        <w:rPr>
          <w:color w:val="000000"/>
        </w:rPr>
        <w:t>The</w:t>
      </w:r>
      <w:r w:rsidR="00B06C0F">
        <w:rPr>
          <w:color w:val="000000"/>
        </w:rPr>
        <w:t xml:space="preserve"> </w:t>
      </w:r>
      <w:r w:rsidRPr="00B06C0F" w:rsidR="00B06C0F">
        <w:rPr>
          <w:color w:val="000000"/>
        </w:rPr>
        <w:t>emission guidelines were amended on February 7, 2013. The EPA later proposed</w:t>
      </w:r>
      <w:r w:rsidR="00B06C0F">
        <w:rPr>
          <w:color w:val="000000"/>
        </w:rPr>
        <w:t xml:space="preserve"> </w:t>
      </w:r>
      <w:r w:rsidRPr="00B06C0F" w:rsidR="00B06C0F">
        <w:rPr>
          <w:color w:val="000000"/>
        </w:rPr>
        <w:t xml:space="preserve">to reconsider provisions of the 2013 final revisions to the </w:t>
      </w:r>
      <w:r w:rsidR="00B06C0F">
        <w:rPr>
          <w:color w:val="000000"/>
        </w:rPr>
        <w:t>emission guidelines</w:t>
      </w:r>
      <w:r w:rsidRPr="00B06C0F" w:rsidR="00B06C0F">
        <w:rPr>
          <w:color w:val="000000"/>
        </w:rPr>
        <w:t xml:space="preserve"> for </w:t>
      </w:r>
      <w:r w:rsidRPr="00813A7B" w:rsidR="00C331FC">
        <w:t>commercial and industrial solid waste incineration (CISWI) units</w:t>
      </w:r>
      <w:r w:rsidRPr="00B06C0F" w:rsidR="00C331FC">
        <w:rPr>
          <w:color w:val="000000"/>
        </w:rPr>
        <w:t xml:space="preserve"> </w:t>
      </w:r>
      <w:r w:rsidRPr="00B06C0F" w:rsidR="00B06C0F">
        <w:rPr>
          <w:color w:val="000000"/>
        </w:rPr>
        <w:t>(80 FR 3018, January 21, 2015</w:t>
      </w:r>
      <w:r w:rsidR="00B06C0F">
        <w:rPr>
          <w:color w:val="000000"/>
        </w:rPr>
        <w:t>)</w:t>
      </w:r>
      <w:r w:rsidRPr="00B06C0F" w:rsidR="00B06C0F">
        <w:rPr>
          <w:color w:val="000000"/>
        </w:rPr>
        <w:t>, and took final action on that proposal on June 23, 2016 (81 FR 40956). Following promulgation of the 2016 CISWI rule, the EPA proposed to clarify various issues with implementation of these standards and certain testing and monitoring issues and inconsistencies within the rules. On June 15, 2018, the EPA proposed amendments to several provisions of the 2016 CISWI rule to address these issues (83 FR 28068). These revisions were published in the Federal Register on April 16, 2019 (84 FR 15846). Burdens</w:t>
      </w:r>
      <w:r w:rsidR="00B06C0F">
        <w:rPr>
          <w:color w:val="000000"/>
        </w:rPr>
        <w:t xml:space="preserve"> </w:t>
      </w:r>
      <w:r w:rsidRPr="00B06C0F" w:rsidR="00B06C0F">
        <w:rPr>
          <w:color w:val="000000"/>
        </w:rPr>
        <w:t>associated with the 2013, 2016, and 2019 standards are addressed separately under EPA ICR Number 2385.</w:t>
      </w:r>
      <w:r w:rsidRPr="00B06C0F" w:rsidR="00531190">
        <w:rPr>
          <w:color w:val="000000"/>
        </w:rPr>
        <w:t>0</w:t>
      </w:r>
      <w:r w:rsidR="00531190">
        <w:rPr>
          <w:color w:val="000000"/>
        </w:rPr>
        <w:t>8</w:t>
      </w:r>
      <w:r w:rsidRPr="00B06C0F" w:rsidR="00B06C0F">
        <w:rPr>
          <w:color w:val="000000"/>
        </w:rPr>
        <w:t xml:space="preserve">, and there is no additional burden associated with these revisions included in this ICR. This ICR applies only to those existing sources that have burdens under the 2000 standards. </w:t>
      </w:r>
      <w:r>
        <w:rPr>
          <w:color w:val="000000"/>
        </w:rPr>
        <w:t xml:space="preserve">These regulations apply </w:t>
      </w:r>
      <w:r w:rsidR="00724BC7">
        <w:rPr>
          <w:color w:val="000000"/>
        </w:rPr>
        <w:t>to</w:t>
      </w:r>
      <w:r w:rsidR="008E561B">
        <w:t xml:space="preserve"> </w:t>
      </w:r>
      <w:r w:rsidRPr="00B06C0F" w:rsidR="00B06C0F">
        <w:rPr>
          <w:color w:val="000000"/>
        </w:rPr>
        <w:t xml:space="preserve">sources commencing construction </w:t>
      </w:r>
      <w:r w:rsidR="00DE49DF">
        <w:rPr>
          <w:color w:val="000000"/>
        </w:rPr>
        <w:t xml:space="preserve">either </w:t>
      </w:r>
      <w:r w:rsidRPr="00B06C0F" w:rsidR="00B06C0F">
        <w:rPr>
          <w:color w:val="000000"/>
        </w:rPr>
        <w:t>on or before June 4, 2010</w:t>
      </w:r>
      <w:r w:rsidR="00DE49DF">
        <w:rPr>
          <w:color w:val="000000"/>
        </w:rPr>
        <w:t>,</w:t>
      </w:r>
      <w:r w:rsidRPr="00B06C0F" w:rsidR="00B06C0F">
        <w:rPr>
          <w:color w:val="000000"/>
        </w:rPr>
        <w:t xml:space="preserve"> or to sources commencing modification or reconstruction between June 1, 2001</w:t>
      </w:r>
      <w:r w:rsidR="00636CBA">
        <w:rPr>
          <w:color w:val="000000"/>
        </w:rPr>
        <w:t>,</w:t>
      </w:r>
      <w:r w:rsidRPr="00B06C0F" w:rsidR="00B06C0F">
        <w:rPr>
          <w:color w:val="000000"/>
        </w:rPr>
        <w:t xml:space="preserve"> and August 7, 2013. The guidelines do not apply directly to CISWI unit owners and operators, since they are implemented through state implementation plans (SIP). If a state does not develop, adopt, and submit an approved state plan, or if a state’s plan is not approved, the EPA must promulgate a </w:t>
      </w:r>
      <w:r w:rsidRPr="00B06C0F" w:rsidR="00B06C0F">
        <w:rPr>
          <w:color w:val="000000"/>
        </w:rPr>
        <w:t>Federal</w:t>
      </w:r>
      <w:r w:rsidRPr="00B06C0F" w:rsidR="00B06C0F">
        <w:rPr>
          <w:color w:val="000000"/>
        </w:rPr>
        <w:t xml:space="preserve"> implementation plan to implement the emission guidelines in a state without its own SIP. This information is being collected to assure compliance with 40 CFR Part 60, Subpart DDDD.</w:t>
      </w:r>
    </w:p>
    <w:p w:rsidR="00CA4CD6" w14:paraId="43FDF7BE" w14:textId="77777777">
      <w:pPr>
        <w:rPr>
          <w:color w:val="000000"/>
        </w:rPr>
      </w:pPr>
    </w:p>
    <w:p w:rsidR="00CA4CD6" w14:paraId="0116004E" w14:textId="29B937BA">
      <w:pPr>
        <w:ind w:firstLine="720"/>
        <w:rPr>
          <w:color w:val="000000"/>
        </w:rPr>
      </w:pPr>
      <w:r>
        <w:rPr>
          <w:color w:val="000000"/>
        </w:rPr>
        <w:t xml:space="preserve">In general, </w:t>
      </w:r>
      <w:r w:rsidRPr="007715B6">
        <w:t xml:space="preserve">all </w:t>
      </w:r>
      <w:r w:rsidRPr="007715B6" w:rsidR="007715B6">
        <w:t>emission guidelines</w:t>
      </w:r>
      <w:r w:rsidRPr="007715B6">
        <w:t xml:space="preserve">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7715B6">
        <w:t xml:space="preserve">to </w:t>
      </w:r>
      <w:r w:rsidRPr="007715B6" w:rsidR="007715B6">
        <w:t>emission guidelines</w:t>
      </w:r>
      <w:r w:rsidR="007715B6">
        <w:t>.</w:t>
      </w:r>
    </w:p>
    <w:p w:rsidR="00CA4CD6" w14:paraId="4416605D" w14:textId="77777777">
      <w:pPr>
        <w:rPr>
          <w:color w:val="000000"/>
        </w:rPr>
      </w:pPr>
    </w:p>
    <w:p w:rsidR="00CA4CD6" w14:paraId="297BBA30" w14:textId="419BB6B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7715B6">
        <w:t>five</w:t>
      </w:r>
      <w:r w:rsidR="007715B6">
        <w:rPr>
          <w:color w:val="FF0000"/>
        </w:rPr>
        <w:t xml:space="preser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w:t>
      </w:r>
      <w:r w:rsidRPr="00C2600C" w:rsidR="0095590C">
        <w:rPr>
          <w:shd w:val="clear" w:color="auto" w:fill="FFFFFF"/>
        </w:rPr>
        <w:t>In the event that</w:t>
      </w:r>
      <w:r w:rsidRPr="00C2600C" w:rsidR="0095590C">
        <w:rPr>
          <w:shd w:val="clear" w:color="auto" w:fill="FFFFFF"/>
        </w:rPr>
        <w:t xml:space="preserve"> there is no such delegated authority, the EPA regional office can review them.</w:t>
      </w:r>
      <w:r w:rsidR="006B63FA">
        <w:rPr>
          <w:shd w:val="clear" w:color="auto" w:fill="FFFFFF"/>
        </w:rPr>
        <w:t xml:space="preserve"> </w:t>
      </w:r>
      <w:r w:rsidRPr="00C2600C" w:rsidR="0095590C">
        <w:t>All other reports are s</w:t>
      </w:r>
      <w:r w:rsidRPr="00C2600C" w:rsidR="0095590C">
        <w:rPr>
          <w:shd w:val="clear" w:color="auto" w:fill="FFFFFF"/>
        </w:rPr>
        <w:t>ent to the delegated state or local authority. </w:t>
      </w:r>
      <w:r w:rsidRPr="00C2600C" w:rsidR="0095590C">
        <w:rPr>
          <w:shd w:val="clear" w:color="auto" w:fill="FFFFFF"/>
        </w:rPr>
        <w:t>In the event that</w:t>
      </w:r>
      <w:r w:rsidRPr="00C2600C"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2DC54906">
      <w:pPr>
        <w:pBdr>
          <w:top w:val="single" w:sz="6" w:space="0" w:color="FFFFFF"/>
          <w:left w:val="single" w:sz="6" w:space="0" w:color="FFFFFF"/>
          <w:bottom w:val="single" w:sz="6" w:space="0" w:color="FFFFFF"/>
          <w:right w:val="single" w:sz="6" w:space="0" w:color="FFFFFF"/>
        </w:pBdr>
        <w:ind w:firstLine="720"/>
        <w:rPr>
          <w:color w:val="000000"/>
        </w:rPr>
      </w:pPr>
      <w:r w:rsidRPr="007715B6">
        <w:t xml:space="preserve">The burden to the “Affected Public” may be found in Table 1: Annual Respondent Burden and Cost – </w:t>
      </w:r>
      <w:r w:rsidRPr="007715B6" w:rsidR="007715B6">
        <w:t>Emission Guidelines for Existing Commercial and Industrial Solid Waste Incineration Units (40 CFR Part 60, Subpart DDDD) (Renewal</w:t>
      </w:r>
      <w:r w:rsidRPr="00C331FC" w:rsidR="007715B6">
        <w:t>)</w:t>
      </w:r>
      <w:r w:rsidRPr="00C331FC">
        <w:t>.</w:t>
      </w:r>
      <w:r w:rsidRPr="00C331FC" w:rsidR="009C7E97">
        <w:t xml:space="preserve"> </w:t>
      </w:r>
      <w:r w:rsidRPr="00C331FC" w:rsidR="007715B6">
        <w:t>The</w:t>
      </w:r>
      <w:r w:rsidRPr="00C331FC">
        <w:t xml:space="preserve"> “Federal Government” burden is attributed entirely to work performed by federal employees or government contractors </w:t>
      </w:r>
      <w:r w:rsidRPr="00C331FC" w:rsidR="007715B6">
        <w:t>and may be found in</w:t>
      </w:r>
      <w:r w:rsidRPr="00C331FC">
        <w:t xml:space="preserve"> Table 2: Average Annual EPA Burden and Cost – </w:t>
      </w:r>
      <w:r w:rsidRPr="00C331FC" w:rsidR="007715B6">
        <w:t>Emission Guidelines for Existing Commercial and Industrial Solid Waste Incineration Units (40 CFR Part 60, Subpart DDDD) (Renewal)</w:t>
      </w:r>
      <w:r w:rsidRPr="00C331FC">
        <w:t xml:space="preserve">. </w:t>
      </w:r>
      <w:r>
        <w:rPr>
          <w:color w:val="000000"/>
        </w:rPr>
        <w:t xml:space="preserve">There are </w:t>
      </w:r>
      <w:r w:rsidRPr="00C331FC">
        <w:t xml:space="preserve">approximately </w:t>
      </w:r>
      <w:r w:rsidRPr="00C331FC" w:rsidR="00C331FC">
        <w:t>74 owners and operators of CISWI units,</w:t>
      </w:r>
      <w:r w:rsidRPr="00C331FC">
        <w:t xml:space="preserve"> which </w:t>
      </w:r>
      <w:r>
        <w:rPr>
          <w:color w:val="000000"/>
        </w:rPr>
        <w:t xml:space="preserve">are owned and operated by </w:t>
      </w:r>
      <w:r w:rsidR="00C331FC">
        <w:rPr>
          <w:color w:val="000000"/>
        </w:rPr>
        <w:t>private</w:t>
      </w:r>
      <w:r w:rsidRPr="00D91C34">
        <w:rPr>
          <w:color w:val="FF0000"/>
        </w:rPr>
        <w:t xml:space="preserve"> </w:t>
      </w:r>
      <w:r>
        <w:rPr>
          <w:color w:val="000000"/>
        </w:rPr>
        <w:t>industry.</w:t>
      </w:r>
      <w:r w:rsidR="009C7E97">
        <w:rPr>
          <w:color w:val="000000"/>
        </w:rPr>
        <w:t xml:space="preserve"> </w:t>
      </w:r>
      <w:r>
        <w:rPr>
          <w:color w:val="000000"/>
        </w:rPr>
        <w:t xml:space="preserve">None of the </w:t>
      </w:r>
      <w:r w:rsidR="00C331FC">
        <w:rPr>
          <w:color w:val="000000"/>
        </w:rPr>
        <w:t xml:space="preserve">74 </w:t>
      </w:r>
      <w:r>
        <w:rPr>
          <w:color w:val="000000"/>
        </w:rPr>
        <w:t>facilities in the United States are owned by 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9C7E97">
        <w:rPr>
          <w:color w:val="000000"/>
        </w:rPr>
        <w:t xml:space="preserve"> </w:t>
      </w:r>
    </w:p>
    <w:p w:rsidR="003E47DB" w:rsidRPr="00C331FC" w14:paraId="7BED0CFA" w14:textId="77777777">
      <w:pPr>
        <w:pBdr>
          <w:top w:val="single" w:sz="6" w:space="0" w:color="FFFFFF"/>
          <w:left w:val="single" w:sz="6" w:space="0" w:color="FFFFFF"/>
          <w:bottom w:val="single" w:sz="6" w:space="0" w:color="FFFFFF"/>
          <w:right w:val="single" w:sz="6" w:space="0" w:color="FFFFFF"/>
        </w:pBdr>
        <w:ind w:firstLine="720"/>
      </w:pPr>
    </w:p>
    <w:p w:rsidR="00CA4CD6" w14:paraId="1709118D" w14:textId="0393739B">
      <w:pPr>
        <w:pBdr>
          <w:top w:val="single" w:sz="6" w:space="0" w:color="FFFFFF"/>
          <w:left w:val="single" w:sz="6" w:space="0" w:color="FFFFFF"/>
          <w:bottom w:val="single" w:sz="6" w:space="0" w:color="FFFFFF"/>
          <w:right w:val="single" w:sz="6" w:space="0" w:color="FFFFFF"/>
        </w:pBdr>
        <w:ind w:firstLine="720"/>
        <w:rPr>
          <w:color w:val="000000"/>
        </w:rPr>
      </w:pPr>
      <w:r w:rsidRPr="00C331FC">
        <w:t xml:space="preserve"> Based on our consultations with industry representatives, there are an average of </w:t>
      </w:r>
      <w:r w:rsidRPr="00C331FC" w:rsidR="00C331FC">
        <w:t>1.4</w:t>
      </w:r>
      <w:r w:rsidRPr="00C331FC">
        <w:t xml:space="preserve"> </w:t>
      </w:r>
      <w:r>
        <w:rPr>
          <w:color w:val="000000"/>
        </w:rPr>
        <w:t>affected 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331FC" w:rsidP="00C331FC" w14:paraId="74FF05E4" w14:textId="0D87AFF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sidR="00D91C34">
        <w:rPr>
          <w:color w:val="000000"/>
        </w:rPr>
        <w:t>approximately</w:t>
      </w:r>
      <w:r w:rsidRPr="00C331FC" w:rsidR="00D91C34">
        <w:t xml:space="preserve"> </w:t>
      </w:r>
      <w:r w:rsidRPr="00C331FC">
        <w:t>74</w:t>
      </w:r>
      <w:r w:rsidRPr="00C331FC" w:rsidR="00CA4CD6">
        <w:t xml:space="preserve"> respondents </w:t>
      </w:r>
      <w:r>
        <w:rPr>
          <w:color w:val="000000"/>
        </w:rPr>
        <w:t>per year will be subject to the standard</w:t>
      </w:r>
      <w:r w:rsidR="00CA4CD6">
        <w:rPr>
          <w:color w:val="000000"/>
        </w:rPr>
        <w:t xml:space="preserve">, </w:t>
      </w:r>
      <w:r w:rsidRPr="00C331FC" w:rsidR="00CA4CD6">
        <w:t xml:space="preserve">and </w:t>
      </w:r>
      <w:r w:rsidRPr="00C331FC">
        <w:t>no</w:t>
      </w:r>
      <w:r w:rsidRPr="00C331FC" w:rsidR="00CA4CD6">
        <w:t xml:space="preserve"> </w:t>
      </w:r>
      <w:r w:rsidRPr="00C331FC">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p>
    <w:p w:rsidR="00C331FC" w:rsidP="00C331FC" w14:paraId="29775241" w14:textId="77777777">
      <w:pPr>
        <w:pBdr>
          <w:top w:val="single" w:sz="6" w:space="0" w:color="FFFFFF"/>
          <w:left w:val="single" w:sz="6" w:space="0" w:color="FFFFFF"/>
          <w:bottom w:val="single" w:sz="6" w:space="0" w:color="FFFFFF"/>
          <w:right w:val="single" w:sz="6" w:space="0" w:color="FFFFFF"/>
        </w:pBdr>
        <w:ind w:firstLine="720"/>
        <w:rPr>
          <w:color w:val="FF0000"/>
        </w:rPr>
      </w:pPr>
    </w:p>
    <w:p w:rsidR="009D6567" w14:paraId="365C973F" w14:textId="4BB080CE">
      <w:pPr>
        <w:pBdr>
          <w:top w:val="single" w:sz="6" w:space="0" w:color="FFFFFF"/>
          <w:left w:val="single" w:sz="6" w:space="0" w:color="FFFFFF"/>
          <w:bottom w:val="single" w:sz="6" w:space="0" w:color="FFFFFF"/>
          <w:right w:val="single" w:sz="6" w:space="0" w:color="FFFFFF"/>
        </w:pBdr>
        <w:ind w:firstLine="720"/>
        <w:rPr>
          <w:color w:val="FF0000"/>
        </w:rPr>
      </w:pPr>
      <w:r w:rsidRPr="00C331FC">
        <w:t>The Office of Management and Budget (</w:t>
      </w:r>
      <w:r w:rsidRPr="00C331FC" w:rsidR="00CA4CD6">
        <w:t>OMB</w:t>
      </w:r>
      <w:r w:rsidRPr="00C331FC">
        <w:t>)</w:t>
      </w:r>
      <w:r w:rsidRPr="00C331FC" w:rsidR="00CA4CD6">
        <w:t xml:space="preserve"> approved the currently active ICR without any </w:t>
      </w:r>
      <w:r w:rsidRPr="00C331FC">
        <w:t>“</w:t>
      </w:r>
      <w:r w:rsidRPr="00C331FC" w:rsidR="00CA4CD6">
        <w:t>Terms of Clearance</w:t>
      </w:r>
      <w:r w:rsidRPr="00C331FC" w:rsidR="004318A0">
        <w:t>.</w:t>
      </w:r>
      <w:r w:rsidRPr="00C331FC">
        <w:t>”</w:t>
      </w:r>
      <w:r w:rsidRPr="00C331FC" w:rsidR="00CA4CD6">
        <w:t xml:space="preserve"> </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FE6447" w:rsidP="00FE6447" w14:paraId="14C5F7B4" w14:textId="77777777">
      <w:pPr>
        <w:ind w:firstLine="720"/>
      </w:pPr>
      <w:r>
        <w:t xml:space="preserve">The EPA is charged under section 111(d)(1) of the Clean Air Act (CAA), as </w:t>
      </w:r>
    </w:p>
    <w:p w:rsidR="00FE6447" w:rsidP="00FE6447" w14:paraId="09BC6A58" w14:textId="77777777">
      <w:r>
        <w:t>amended, to:</w:t>
      </w:r>
    </w:p>
    <w:p w:rsidR="00FE6447" w:rsidP="00FE6447" w14:paraId="1C485D0E" w14:textId="77777777"/>
    <w:p w:rsidR="00FE6447" w:rsidP="00FE6447" w14:paraId="1F26A693" w14:textId="77777777">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w:t>
      </w:r>
      <w:r>
        <w:t>i</w:t>
      </w:r>
      <w:r>
        <w:t xml:space="preserve">) for which air quality criteria have not been issued or which is not included on a list published under section 108(a) </w:t>
      </w:r>
      <w:r>
        <w:rPr>
          <w:b/>
          <w:bCs/>
        </w:rPr>
        <w:t>. . .</w:t>
      </w:r>
      <w:r>
        <w:t xml:space="preserve"> but (ii) to which a standard of performance under this section would apply if </w:t>
      </w:r>
      <w:r>
        <w:t>such existing source were a new source, and (B) provides for the implementation and enforcement of such standards of performance.</w:t>
      </w:r>
    </w:p>
    <w:p w:rsidR="00FE6447" w:rsidP="00FE6447" w14:paraId="28D109A1" w14:textId="77777777"/>
    <w:p w:rsidR="00FE6447" w:rsidP="00FE6447" w14:paraId="766B301D" w14:textId="513A4E6A">
      <w:pPr>
        <w:ind w:firstLine="720"/>
      </w:pPr>
      <w:r>
        <w:t>The EPA is required</w:t>
      </w:r>
      <w:r w:rsidR="00636CBA">
        <w:t>,</w:t>
      </w:r>
      <w:r>
        <w:t xml:space="preserve"> under section 129 of the Act, to establish guidelines for existing stationary sources that reflect the maximum achievable control technology (MACT) for achieving continuous emission reductions:</w:t>
      </w:r>
    </w:p>
    <w:p w:rsidR="00FE6447" w:rsidP="00FE6447" w14:paraId="0921C572" w14:textId="77777777"/>
    <w:p w:rsidR="00FE6447" w:rsidP="00FE6447" w14:paraId="6FA05218" w14:textId="77777777">
      <w:pPr>
        <w:ind w:firstLine="720"/>
      </w:pPr>
      <w:r>
        <w:t>Section 129(a)(1)(A) states:</w:t>
      </w:r>
    </w:p>
    <w:p w:rsidR="00FE6447" w:rsidP="00FE6447" w14:paraId="747A5EF2" w14:textId="77777777"/>
    <w:p w:rsidR="00FE6447" w:rsidP="00FE6447" w14:paraId="1599706A" w14:textId="2B00568B">
      <w:pPr>
        <w:ind w:left="1440" w:right="1440"/>
      </w:pPr>
      <w:r>
        <w:t>The Administrator shall establish performance standards and other requirements pursuant to section 111 and this section for each category of solid waste incineration units.</w:t>
      </w:r>
      <w:r w:rsidR="006B63FA">
        <w:t xml:space="preserve"> </w:t>
      </w:r>
      <w:r>
        <w:t>Such standards shall include emissions limitations and other requirements applicable to new units and guidelines (under section 111(d) and this section) and other requirements applicable to existing units.</w:t>
      </w:r>
    </w:p>
    <w:p w:rsidR="00FE6447" w:rsidP="00FE6447" w14:paraId="3A7A47C8" w14:textId="77777777"/>
    <w:p w:rsidR="00FE6447" w:rsidP="00FE6447" w14:paraId="0020A31E" w14:textId="77777777">
      <w:pPr>
        <w:ind w:firstLine="720"/>
      </w:pPr>
      <w:r>
        <w:t>Section 129(a)(2) states:</w:t>
      </w:r>
    </w:p>
    <w:p w:rsidR="00FE6447" w:rsidP="00FE6447" w14:paraId="7F1E791B" w14:textId="77777777"/>
    <w:p w:rsidR="00FE6447" w:rsidP="00FE6447" w14:paraId="4F18FE64" w14:textId="77777777">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FE6447" w:rsidP="00FE6447" w14:paraId="0CE414AE" w14:textId="77777777"/>
    <w:p w:rsidR="00FE6447" w:rsidP="00FE6447" w14:paraId="24F9FC3A" w14:textId="77777777">
      <w:pPr>
        <w:ind w:firstLine="720"/>
      </w:pPr>
      <w:r>
        <w:t>Section 129(b)(1) states:</w:t>
      </w:r>
    </w:p>
    <w:p w:rsidR="00FE6447" w:rsidP="00FE6447" w14:paraId="254E0C92" w14:textId="77777777"/>
    <w:p w:rsidR="00FE6447" w:rsidP="00FE6447" w14:paraId="3E450C2A" w14:textId="77777777">
      <w:pPr>
        <w:sectPr w:rsidSect="00FE6447">
          <w:type w:val="continuous"/>
          <w:pgSz w:w="12240" w:h="15840"/>
          <w:pgMar w:top="1440" w:right="1440" w:bottom="1440" w:left="1440" w:header="1440" w:footer="1440" w:gutter="0"/>
          <w:cols w:space="720"/>
          <w:noEndnote/>
        </w:sectPr>
      </w:pPr>
    </w:p>
    <w:p w:rsidR="00FE6447" w:rsidP="00FE6447" w14:paraId="79F079E7" w14:textId="2130C4D5">
      <w:pPr>
        <w:ind w:left="1440" w:right="1440"/>
      </w:pPr>
      <w:r>
        <w:t>Performance standards under this section and section 111 for solid waste incineration units shall include guidelines promulgated pursuant to section 111(d) and this section applicable to existing units.</w:t>
      </w:r>
      <w:r w:rsidR="006B63FA">
        <w:t xml:space="preserve"> </w:t>
      </w:r>
      <w:r>
        <w:t>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FE6447" w:rsidP="00FE6447" w14:paraId="19817A2C" w14:textId="77777777"/>
    <w:p w:rsidR="00FE6447" w:rsidP="00FE6447" w14:paraId="1738A927" w14:textId="68E2CA0D">
      <w:pPr>
        <w:ind w:firstLine="720"/>
      </w:pPr>
      <w:r>
        <w:t>Subpart B of 40 CFR part 60 requires State plans to include monitoring, recordkeeping, and reporting provisions consistent with the emission guidelines.</w:t>
      </w:r>
      <w:r w:rsidR="006B63FA">
        <w:t xml:space="preserve"> </w:t>
      </w:r>
      <w:r>
        <w:t>In addition, section 114(a)(1) states that:</w:t>
      </w:r>
    </w:p>
    <w:p w:rsidR="00FE6447" w:rsidP="00FE6447" w14:paraId="73BDF55D" w14:textId="77777777"/>
    <w:p w:rsidR="00FE6447" w:rsidP="00FE6447" w14:paraId="597AD377" w14:textId="0F85C20E">
      <w:pPr>
        <w:ind w:left="1440" w:right="1440"/>
      </w:pPr>
      <w:r>
        <w:t xml:space="preserve">the Administrator may require any person who owns or operates any emission source, who manufactures emission control equipment or process equipment, who the Administrator believes </w:t>
      </w:r>
      <w:r>
        <w:t>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w:t>
      </w:r>
    </w:p>
    <w:p w:rsidR="00FE6447" w:rsidP="00FE6447" w14:paraId="580F5E9C" w14:textId="77777777"/>
    <w:p w:rsidR="00FE6447" w:rsidP="00FE6447" w14:paraId="4133F962" w14:textId="390FD8E7">
      <w:pPr>
        <w:ind w:left="2160" w:right="216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Administer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Pr>
          <w:b/>
          <w:bCs/>
        </w:rPr>
        <w:t xml:space="preserve"> . . . .</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1AFB04DD">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Pr>
          <w:color w:val="000000"/>
        </w:rPr>
        <w:t xml:space="preserve">emissions </w:t>
      </w:r>
      <w:r w:rsidRPr="00FE6447">
        <w:t xml:space="preserve">from </w:t>
      </w:r>
      <w:r w:rsidRPr="00FE6447" w:rsidR="00FE6447">
        <w:t>CISWI units</w:t>
      </w:r>
      <w:r w:rsidRPr="00FE6447">
        <w:t xml:space="preserve"> </w:t>
      </w:r>
      <w:r w:rsidR="00636CBA">
        <w:t xml:space="preserve">either </w:t>
      </w:r>
      <w:r>
        <w:rPr>
          <w:color w:val="000000"/>
        </w:rPr>
        <w:t xml:space="preserve">cause or contribute to air pollution that may reasonably be anticipated to endanger public health </w:t>
      </w:r>
      <w:r w:rsidR="00636CBA">
        <w:rPr>
          <w:color w:val="000000"/>
        </w:rPr>
        <w:t>and/</w:t>
      </w:r>
      <w:r>
        <w:rPr>
          <w:color w:val="000000"/>
        </w:rPr>
        <w:t>or welfare.</w:t>
      </w:r>
      <w:r w:rsidR="009C7E97">
        <w:rPr>
          <w:color w:val="000000"/>
        </w:rPr>
        <w:t xml:space="preserve"> </w:t>
      </w:r>
      <w:r>
        <w:rPr>
          <w:color w:val="000000"/>
        </w:rPr>
        <w:t xml:space="preserve">Therefore, the </w:t>
      </w:r>
      <w:r w:rsidRPr="00FE6447" w:rsidR="00FE6447">
        <w:t>emission guidelines</w:t>
      </w:r>
      <w:r w:rsidRPr="00FE6447">
        <w:t xml:space="preserve">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5D6E11">
        <w:rPr>
          <w:color w:val="000000"/>
        </w:rPr>
        <w:t>DDDD</w:t>
      </w:r>
      <w:r>
        <w:rPr>
          <w:color w:val="000000"/>
        </w:rPr>
        <w:t>.</w:t>
      </w:r>
    </w:p>
    <w:p w:rsidR="00CA4CD6" w14:paraId="1EAC9220"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45B3D1F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636CBA">
        <w:rPr>
          <w:color w:val="000000"/>
        </w:rPr>
        <w:t>se</w:t>
      </w:r>
      <w:r>
        <w:rPr>
          <w:color w:val="000000"/>
        </w:rPr>
        <w:t xml:space="preserve"> standard</w:t>
      </w:r>
      <w:r w:rsidRPr="00461FFE">
        <w:t xml:space="preserve">s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6E62B7D8">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636CBA">
        <w:rPr>
          <w:color w:val="000000"/>
        </w:rPr>
        <w:t>se</w:t>
      </w:r>
      <w:r>
        <w:rPr>
          <w:color w:val="000000"/>
        </w:rPr>
        <w:t xml:space="preserve"> emission </w:t>
      </w:r>
      <w:r w:rsidRPr="00461FFE">
        <w:t xml:space="preserve">standards. Continuous </w:t>
      </w:r>
      <w:r>
        <w:rPr>
          <w:color w:val="000000"/>
        </w:rPr>
        <w:t xml:space="preserve">emission monitors are used to </w:t>
      </w:r>
      <w:r>
        <w:rPr>
          <w:color w:val="000000"/>
        </w:rPr>
        <w:t>ensure compliance with the</w:t>
      </w:r>
      <w:r w:rsidR="00636CBA">
        <w:rPr>
          <w:color w:val="000000"/>
        </w:rPr>
        <w:t>se same</w:t>
      </w:r>
      <w:r>
        <w:rPr>
          <w:color w:val="000000"/>
        </w:rPr>
        <w:t xml:space="preserve"> standar</w:t>
      </w:r>
      <w:r w:rsidRPr="00461FFE">
        <w:t>d</w:t>
      </w:r>
      <w:r w:rsidRPr="00461FFE" w:rsidR="0062215C">
        <w:t>s</w:t>
      </w:r>
      <w:r w:rsidRPr="00461FFE">
        <w:t xml:space="preserve"> </w:t>
      </w:r>
      <w:r>
        <w:rPr>
          <w:color w:val="000000"/>
        </w:rPr>
        <w:t>at all times</w:t>
      </w:r>
      <w:r>
        <w:rPr>
          <w:color w:val="000000"/>
        </w:rPr>
        <w:t xml:space="preserve">. </w:t>
      </w:r>
      <w:r w:rsidRPr="00461FFE">
        <w:t>During the performance test a record of the operating parameters</w:t>
      </w:r>
      <w:r w:rsidR="00636CBA">
        <w:t>,</w:t>
      </w:r>
      <w:r w:rsidRPr="00461FFE">
        <w:t xml:space="preserve"> under which compliance was achieved</w:t>
      </w:r>
      <w:r w:rsidR="00636CBA">
        <w:t>,</w:t>
      </w:r>
      <w:r w:rsidRPr="00461FFE">
        <w:t xml:space="preserve">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49414F1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636CBA">
        <w:rPr>
          <w:color w:val="000000"/>
        </w:rPr>
        <w:t>se</w:t>
      </w:r>
      <w:r>
        <w:rPr>
          <w:color w:val="000000"/>
        </w:rPr>
        <w:t xml:space="preserve"> standard</w:t>
      </w:r>
      <w:r w:rsidRPr="00461FFE" w:rsidR="0062215C">
        <w:t>s</w:t>
      </w:r>
      <w:r w:rsidRPr="00461FFE">
        <w:t xml:space="preserve"> </w:t>
      </w:r>
      <w:r>
        <w:rPr>
          <w:color w:val="000000"/>
        </w:rPr>
        <w:t>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w:t>
      </w:r>
      <w:r w:rsidRPr="00461FFE">
        <w:t>the source to check if the pollution control devices are properly installed and operated</w:t>
      </w:r>
      <w:r w:rsidRPr="00461FFE" w:rsidR="00461FFE">
        <w:t>,</w:t>
      </w:r>
      <w:r w:rsidRPr="00461FFE">
        <w:t xml:space="preserve"> leaks are being detected and repaired</w:t>
      </w:r>
      <w:r w:rsidRPr="00461FFE" w:rsidR="00461FFE">
        <w:t>,</w:t>
      </w:r>
      <w:r w:rsidRPr="00461FFE">
        <w:t xml:space="preserve"> and the standard</w:t>
      </w:r>
      <w:r w:rsidRPr="00461FFE" w:rsidR="0062215C">
        <w:t>s</w:t>
      </w:r>
      <w:r w:rsidRPr="00461FFE" w:rsidR="00461FFE">
        <w:t xml:space="preserve"> </w:t>
      </w:r>
      <w:r w:rsidRPr="00461FFE">
        <w:t>are being met.</w:t>
      </w:r>
      <w:r w:rsidRPr="00461FFE" w:rsidR="009C7E97">
        <w:t xml:space="preserve"> </w:t>
      </w:r>
      <w:r w:rsidRPr="00461FFE">
        <w:t>The performance test may also be observed.</w:t>
      </w:r>
    </w:p>
    <w:p w:rsidR="00CA4CD6" w14:paraId="78980718" w14:textId="2C2F3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461FFE">
        <w:t xml:space="preserve">required semiannual reports </w:t>
      </w:r>
      <w:r>
        <w:rPr>
          <w:color w:val="000000"/>
        </w:rPr>
        <w:t>are used to determine periods of excess emissions, identify problems at the facility, verify operation/maintenance procedures</w:t>
      </w:r>
      <w:r w:rsidR="00636CBA">
        <w:rPr>
          <w:color w:val="000000"/>
        </w:rPr>
        <w:t>,</w:t>
      </w:r>
      <w:r>
        <w:rPr>
          <w:color w:val="000000"/>
        </w:rPr>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C3430C" w:rsidRPr="00461FFE" w:rsidP="00461FFE" w14:paraId="10A5897D" w14:textId="0DBA0C2E">
      <w:pPr>
        <w:ind w:firstLine="720"/>
      </w:pPr>
      <w:r w:rsidRPr="00461FFE">
        <w:t xml:space="preserve">Additionally, the EPA is requiring electronic reporting for certain notifications or reports. </w:t>
      </w:r>
      <w:r w:rsidRPr="00461FFE" w:rsidR="00E01C15">
        <w:t>The EPA is requiring</w:t>
      </w:r>
      <w:r w:rsidRPr="00461FFE" w:rsidR="00461FFE">
        <w:t xml:space="preserve"> </w:t>
      </w:r>
      <w:r w:rsidRPr="00461FFE" w:rsidR="00E01C15">
        <w:t xml:space="preserve">that owners or operators of affected sources would submit electronic copies of </w:t>
      </w:r>
      <w:r w:rsidR="008C33EF">
        <w:t xml:space="preserve">initial, annual, and deviation reports; </w:t>
      </w:r>
      <w:r w:rsidRPr="00461FFE" w:rsidR="00E01C15">
        <w:t>performance test reports</w:t>
      </w:r>
      <w:r w:rsidR="008C33EF">
        <w:t>;</w:t>
      </w:r>
      <w:r w:rsidRPr="00461FFE" w:rsidR="00461FFE">
        <w:t xml:space="preserve"> and results of CEMS performance evaluations </w:t>
      </w:r>
      <w:r w:rsidRPr="00461FFE" w:rsidR="00E01C15">
        <w:t>through the EPA's Central Data Exchange (CDX), using the Compliance and Emissions Data Reporting Interface (CEDRI).</w:t>
      </w:r>
    </w:p>
    <w:p w:rsidR="00461FFE" w:rsidRPr="00461FFE" w:rsidP="00461FFE" w14:paraId="3D2BD383" w14:textId="77777777">
      <w:pPr>
        <w:ind w:firstLine="720"/>
      </w:pPr>
    </w:p>
    <w:p w:rsidR="00E01C15" w:rsidRPr="00461FFE" w:rsidP="00673313" w14:paraId="3D6DA542" w14:textId="7566E2D0">
      <w:pPr>
        <w:ind w:firstLine="720"/>
      </w:pPr>
      <w:r w:rsidRPr="00461FFE">
        <w:t xml:space="preserve">CEDRI includes the Electronic Reporting Tool (ERT) software, which is used by facilities to generate electronic reports of performance tests. </w:t>
      </w:r>
      <w:r w:rsidR="00636CBA">
        <w:t xml:space="preserve">The </w:t>
      </w:r>
      <w:r w:rsidRPr="00461FFE">
        <w:t>EPA is also</w:t>
      </w:r>
      <w:r w:rsidRPr="00461FFE" w:rsidR="00C3430C">
        <w:t xml:space="preserve"> requiring</w:t>
      </w:r>
      <w:r w:rsidRPr="00461FFE">
        <w:t xml:space="preserve"> that 40 CFR </w:t>
      </w:r>
      <w:r w:rsidRPr="00461FFE" w:rsidR="00AC4478">
        <w:t xml:space="preserve">Part </w:t>
      </w:r>
      <w:r w:rsidRPr="00461FFE" w:rsidR="00C3430C">
        <w:t>60</w:t>
      </w:r>
      <w:r w:rsidRPr="00461FFE">
        <w:t xml:space="preserve">, </w:t>
      </w:r>
      <w:r w:rsidRPr="00461FFE" w:rsidR="00AC4478">
        <w:t xml:space="preserve">Subpart </w:t>
      </w:r>
      <w:r w:rsidRPr="00461FFE" w:rsidR="00461FFE">
        <w:t>DDDD</w:t>
      </w:r>
      <w:r w:rsidRPr="00461FFE">
        <w:t xml:space="preserve"> performance test reports </w:t>
      </w:r>
      <w:r w:rsidRPr="00461FFE" w:rsidR="00461FFE">
        <w:t xml:space="preserve">and results of CEMS performance evaluations </w:t>
      </w:r>
      <w:r w:rsidRPr="00461FFE">
        <w:t>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45EE1C1">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27FB9">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0C959B4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w:t>
      </w:r>
      <w:r w:rsidRPr="00B77338" w:rsidR="006810C3">
        <w:t xml:space="preserve">art </w:t>
      </w:r>
      <w:r w:rsidRPr="00B77338">
        <w:t xml:space="preserve">60, </w:t>
      </w:r>
      <w:r w:rsidRPr="00B77338" w:rsidR="006810C3">
        <w:t>Subpart</w:t>
      </w:r>
      <w:r w:rsidRPr="00B77338" w:rsidR="003F1AFC">
        <w:t xml:space="preserve"> </w:t>
      </w:r>
      <w:r w:rsidR="00B77338">
        <w:rPr>
          <w:color w:val="000000"/>
        </w:rPr>
        <w:t>DDDD</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7076C2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27FB9">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1CA6A3BB">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C27FB9">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6D8B7B9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707CDF" w:rsidR="00707CDF">
        <w:t>87 FR 20847</w:t>
      </w:r>
      <w:r w:rsidRPr="00707CDF">
        <w:t xml:space="preserve">) on </w:t>
      </w:r>
      <w:r w:rsidRPr="00707CDF" w:rsidR="00707CDF">
        <w:t>April 8, 2022</w:t>
      </w:r>
      <w:r>
        <w:rPr>
          <w:color w:val="000000"/>
        </w:rPr>
        <w:t>.</w:t>
      </w:r>
      <w:r w:rsidR="009C7E97">
        <w:rPr>
          <w:color w:val="FF0000"/>
        </w:rPr>
        <w:t xml:space="preserve"> </w:t>
      </w:r>
      <w:r w:rsidRPr="00A33D39">
        <w:t xml:space="preserve">No comments were received on the burden published in the </w:t>
      </w:r>
      <w:r w:rsidRPr="00A33D39">
        <w:rPr>
          <w:i/>
        </w:rPr>
        <w:t>Federal Register</w:t>
      </w:r>
      <w:r w:rsidRPr="00A33D39" w:rsidR="00DC56DE">
        <w:rPr>
          <w:i/>
        </w:rPr>
        <w:t xml:space="preserve"> </w:t>
      </w:r>
      <w:r w:rsidRPr="00A33D39" w:rsidR="00DC56DE">
        <w:t>for this renewal</w:t>
      </w:r>
      <w:r w:rsidRPr="00A33D39">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C27FB9" w:rsidP="00123889" w14:paraId="2614E31F"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27FB9" w:rsidP="00123889" w14:paraId="34C51D57"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123889" w:rsidP="00123889" w14:paraId="37A2F4BA" w14:textId="0A59DEC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707CDF" w:rsidP="00CC5B39" w14:paraId="7E521393" w14:textId="29C9EFE8">
      <w:pPr>
        <w:ind w:firstLine="720"/>
        <w:rPr>
          <w:strike/>
          <w:sz w:val="22"/>
          <w:szCs w:val="22"/>
        </w:rPr>
      </w:pPr>
      <w:r w:rsidRPr="00707CDF">
        <w:t>The Agency has consulted i</w:t>
      </w:r>
      <w:r w:rsidRPr="00707CDF" w:rsidR="00E25DB6">
        <w:rPr>
          <w:bCs/>
        </w:rPr>
        <w:t xml:space="preserve">ndustry experts and internal data sources </w:t>
      </w:r>
      <w:r w:rsidRPr="00707CDF">
        <w:rPr>
          <w:bCs/>
        </w:rPr>
        <w:t xml:space="preserve">to </w:t>
      </w:r>
      <w:r w:rsidRPr="00707CDF" w:rsidR="00E25DB6">
        <w:rPr>
          <w:bCs/>
        </w:rPr>
        <w:t>project</w:t>
      </w:r>
      <w:r w:rsidRPr="00707CDF">
        <w:rPr>
          <w:bCs/>
        </w:rPr>
        <w:t xml:space="preserve"> the number of affected facilities and </w:t>
      </w:r>
      <w:r w:rsidRPr="00707CDF" w:rsidR="00E25DB6">
        <w:rPr>
          <w:bCs/>
        </w:rPr>
        <w:t>industry growth over the next three years.</w:t>
      </w:r>
      <w:r w:rsidRPr="00707CDF" w:rsidR="009C7E97">
        <w:rPr>
          <w:b/>
          <w:bCs/>
        </w:rPr>
        <w:t xml:space="preserve"> </w:t>
      </w:r>
      <w:r w:rsidRPr="00707CDF">
        <w:t>The primary source of information as reported by industry, in compliance with the recordkeeping and reporting provisions in the</w:t>
      </w:r>
      <w:r w:rsidR="00C27FB9">
        <w:t>se</w:t>
      </w:r>
      <w:r w:rsidRPr="00707CDF">
        <w:t xml:space="preserve"> standard</w:t>
      </w:r>
      <w:r w:rsidR="00C27FB9">
        <w:t>s</w:t>
      </w:r>
      <w:r w:rsidRPr="00707CDF">
        <w:t xml:space="preserve">, </w:t>
      </w:r>
      <w:r w:rsidRPr="00707CDF" w:rsidR="00CC5B39">
        <w:t>is the Integrated Compliance Information System (ICIS).</w:t>
      </w:r>
      <w:r w:rsidRPr="00707CDF" w:rsidR="009C7E97">
        <w:t xml:space="preserve"> </w:t>
      </w:r>
      <w:r w:rsidRPr="00707CDF" w:rsidR="00CC5B39">
        <w:t>ICIS is EPA’s database for the collection, maintenance, and retrieval of compliance data for industrial and government-owned facilities.</w:t>
      </w:r>
      <w:r w:rsidRPr="00707CDF" w:rsidR="009C7E97">
        <w:rPr>
          <w:sz w:val="22"/>
          <w:szCs w:val="22"/>
        </w:rPr>
        <w:t xml:space="preserve"> </w:t>
      </w:r>
      <w:r w:rsidRPr="00707CDF">
        <w:t xml:space="preserve">The growth rate for the industry is based on our consultations with the Agency’s internal industry experts. Approximately </w:t>
      </w:r>
      <w:r w:rsidRPr="00707CDF" w:rsidR="00707CDF">
        <w:t>74</w:t>
      </w:r>
      <w:r w:rsidRPr="00707CDF">
        <w:t xml:space="preserve"> respondents will be subject to the</w:t>
      </w:r>
      <w:r w:rsidR="00C27FB9">
        <w:t>se</w:t>
      </w:r>
      <w:r w:rsidRPr="00707CDF">
        <w:t xml:space="preserve"> </w:t>
      </w:r>
      <w:r w:rsidR="00C27FB9">
        <w:t xml:space="preserve">same </w:t>
      </w:r>
      <w:r w:rsidRPr="00707CDF">
        <w:t>standard</w:t>
      </w:r>
      <w:r w:rsidR="00C27FB9">
        <w:t>s</w:t>
      </w:r>
      <w:r w:rsidRPr="00707CDF">
        <w:t xml:space="preserve"> over the </w:t>
      </w:r>
      <w:r w:rsidRPr="00707CDF" w:rsidR="00647BBB">
        <w:t>three-year</w:t>
      </w:r>
      <w:r w:rsidRPr="00707CDF">
        <w:t xml:space="preserve"> period covered by this ICR.</w:t>
      </w:r>
    </w:p>
    <w:p w:rsidR="00277F42" w:rsidRPr="00277F42" w:rsidP="00277F42" w14:paraId="2DC5F7D3" w14:textId="77777777">
      <w:pPr>
        <w:rPr>
          <w:color w:val="FF0000"/>
        </w:rPr>
      </w:pPr>
    </w:p>
    <w:p w:rsidR="001433D3" w:rsidP="001433D3" w14:paraId="14A2FD1A" w14:textId="43235544">
      <w:pPr>
        <w:ind w:firstLine="720"/>
        <w:rPr>
          <w:color w:val="000000"/>
        </w:rPr>
      </w:pPr>
      <w:r w:rsidRPr="00707CDF">
        <w:t>I</w:t>
      </w:r>
      <w:r w:rsidRPr="00707CDF" w:rsidR="00123889">
        <w:t>ndustry trade association(s) and other interested parties were provided an opportunity to comment on the burden associated with the</w:t>
      </w:r>
      <w:r w:rsidR="00C27FB9">
        <w:t>se</w:t>
      </w:r>
      <w:r w:rsidRPr="00707CDF" w:rsidR="00123889">
        <w:t xml:space="preserve"> standard</w:t>
      </w:r>
      <w:r w:rsidR="00C27FB9">
        <w:t>s</w:t>
      </w:r>
      <w:r w:rsidRPr="00707CDF" w:rsidR="00123889">
        <w:t xml:space="preserve"> as </w:t>
      </w:r>
      <w:r w:rsidR="00C27FB9">
        <w:t>they were</w:t>
      </w:r>
      <w:r w:rsidRPr="00707CDF" w:rsidR="00123889">
        <w:t xml:space="preserve"> being developed and the</w:t>
      </w:r>
      <w:r w:rsidR="00C27FB9">
        <w:t>se same</w:t>
      </w:r>
      <w:r w:rsidRPr="00707CDF" w:rsidR="00123889">
        <w:t xml:space="preserve"> standard</w:t>
      </w:r>
      <w:r w:rsidR="00C27FB9">
        <w:t>s</w:t>
      </w:r>
      <w:r w:rsidRPr="00707CDF" w:rsidR="00123889">
        <w:t xml:space="preserve"> ha</w:t>
      </w:r>
      <w:r w:rsidR="00C27FB9">
        <w:t>ve</w:t>
      </w:r>
      <w:r w:rsidRPr="00707CDF" w:rsidR="00123889">
        <w:t xml:space="preserve"> been previously reviewed to determine the minimum information needed for compliance purposes.</w:t>
      </w:r>
      <w:r w:rsidRPr="00707CDF">
        <w:t xml:space="preserve"> </w:t>
      </w:r>
      <w:r>
        <w:t xml:space="preserve">In developing this ICR, we </w:t>
      </w:r>
      <w:r w:rsidRPr="00157BDC">
        <w:t xml:space="preserve">contacted both the </w:t>
      </w:r>
      <w:r w:rsidRPr="00157BDC" w:rsidR="00707CDF">
        <w:t>National Waste &amp; Recycling Association</w:t>
      </w:r>
      <w:r w:rsidR="00C27FB9">
        <w:t>,</w:t>
      </w:r>
      <w:r w:rsidRPr="00157BDC" w:rsidR="00707CDF">
        <w:t xml:space="preserve"> at </w:t>
      </w:r>
      <w:r w:rsidRPr="00157BDC" w:rsidR="00157BDC">
        <w:t>800-424-2869</w:t>
      </w:r>
      <w:r w:rsidR="00C27FB9">
        <w:t>,</w:t>
      </w:r>
      <w:r w:rsidRPr="00157BDC" w:rsidR="00707CDF">
        <w:t xml:space="preserve"> and the Energy Recovery Council</w:t>
      </w:r>
      <w:r w:rsidR="00C27FB9">
        <w:t>,</w:t>
      </w:r>
      <w:r w:rsidRPr="00157BDC" w:rsidR="00707CDF">
        <w:t xml:space="preserve"> </w:t>
      </w:r>
      <w:r w:rsidRPr="00157BDC">
        <w:t>at</w:t>
      </w:r>
      <w:r w:rsidRPr="00157BDC" w:rsidR="00707CDF">
        <w:t xml:space="preserve"> </w:t>
      </w:r>
      <w:r w:rsidRPr="00157BDC" w:rsidR="00157BDC">
        <w:t>202-467-6240</w:t>
      </w:r>
      <w:r w:rsidRPr="00157BDC" w:rsidR="00707CDF">
        <w:t>.</w:t>
      </w:r>
    </w:p>
    <w:p w:rsidR="00277F42" w:rsidP="00123889" w14:paraId="6FE4F3DD" w14:textId="77777777">
      <w:pPr>
        <w:rPr>
          <w:color w:val="FF0000"/>
        </w:rPr>
      </w:pPr>
    </w:p>
    <w:p w:rsidR="0029006A" w:rsidP="00A33D39" w14:paraId="3D6C5959" w14:textId="04D96DB9">
      <w:pPr>
        <w:widowControl/>
        <w:ind w:firstLine="720"/>
        <w:rPr>
          <w:color w:val="FF0000"/>
        </w:rPr>
      </w:pPr>
      <w:r w:rsidRPr="00157BDC">
        <w:rPr>
          <w:bCs/>
        </w:rPr>
        <w:t>It is our policy to respond after a thorough review of comments received since the last ICR renewal</w:t>
      </w:r>
      <w:r w:rsidR="00C27FB9">
        <w:rPr>
          <w:bCs/>
        </w:rPr>
        <w:t>,</w:t>
      </w:r>
      <w:r w:rsidRPr="00157BDC">
        <w:rPr>
          <w:bCs/>
        </w:rPr>
        <w:t xml:space="preserve"> as well as </w:t>
      </w:r>
      <w:r w:rsidR="00C27FB9">
        <w:rPr>
          <w:bCs/>
        </w:rPr>
        <w:t xml:space="preserve">for </w:t>
      </w:r>
      <w:r w:rsidRPr="00157BDC">
        <w:rPr>
          <w:bCs/>
        </w:rPr>
        <w:t xml:space="preserve">those submitted in response to the </w:t>
      </w:r>
      <w:r w:rsidRPr="00157BDC" w:rsidR="005253D4">
        <w:rPr>
          <w:bCs/>
        </w:rPr>
        <w:t>f</w:t>
      </w:r>
      <w:r w:rsidRPr="00157BDC">
        <w:rPr>
          <w:bCs/>
        </w:rPr>
        <w:t xml:space="preserve">irst </w:t>
      </w:r>
      <w:r w:rsidRPr="00157BDC">
        <w:rPr>
          <w:i/>
        </w:rPr>
        <w:t>Federal Register</w:t>
      </w:r>
      <w:r w:rsidRPr="00157BDC">
        <w:rPr>
          <w:bCs/>
        </w:rPr>
        <w:t xml:space="preserve"> </w:t>
      </w:r>
      <w:r w:rsidRPr="00157BDC" w:rsidR="005253D4">
        <w:rPr>
          <w:bCs/>
        </w:rPr>
        <w:t>n</w:t>
      </w:r>
      <w:r w:rsidRPr="00157BDC">
        <w:rPr>
          <w:bCs/>
        </w:rPr>
        <w:t>otice.</w:t>
      </w:r>
      <w:r w:rsidRPr="00157BDC" w:rsidR="009C7E97">
        <w:rPr>
          <w:bCs/>
        </w:rPr>
        <w:t xml:space="preserve"> </w:t>
      </w:r>
      <w:r w:rsidRPr="00A33D39">
        <w:t>In this case, no comments were received.</w:t>
      </w:r>
      <w:r w:rsidR="009C7E97">
        <w:rPr>
          <w:color w:val="FF0000"/>
        </w:rPr>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D8AF16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27FB9">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44F65F7B">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27FB9">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C27FB9">
        <w:rPr>
          <w:color w:val="000000"/>
        </w:rPr>
        <w:t xml:space="preserve">  </w:t>
      </w:r>
      <w:r>
        <w:rPr>
          <w:color w:val="000000"/>
        </w:rPr>
        <w:t>are applied and</w:t>
      </w:r>
      <w:r w:rsidR="00C27FB9">
        <w:rPr>
          <w:color w:val="000000"/>
        </w:rPr>
        <w:t xml:space="preserve"> that</w:t>
      </w:r>
      <w:r>
        <w:rPr>
          <w:color w:val="000000"/>
        </w:rPr>
        <w:t xml:space="preserve"> emission limitations are met.</w:t>
      </w:r>
      <w:r w:rsidR="009C7E97">
        <w:rPr>
          <w:color w:val="000000"/>
        </w:rPr>
        <w:t xml:space="preserve"> </w:t>
      </w:r>
      <w:r>
        <w:rPr>
          <w:color w:val="000000"/>
        </w:rPr>
        <w:t xml:space="preserve">If the information required by these </w:t>
      </w:r>
      <w:r w:rsidR="00C27FB9">
        <w:rPr>
          <w:color w:val="000000"/>
        </w:rPr>
        <w:t xml:space="preserve">same </w:t>
      </w:r>
      <w:r>
        <w:rPr>
          <w:color w:val="000000"/>
        </w:rPr>
        <w:t>standards was collected less</w:t>
      </w:r>
      <w:r w:rsidR="00C27FB9">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D60CCC" w:rsidP="00D60CCC" w14:paraId="2547F7A0" w14:textId="6F837F42">
      <w:pPr>
        <w:pBdr>
          <w:top w:val="single" w:sz="6" w:space="0" w:color="FFFFFF"/>
          <w:left w:val="single" w:sz="6" w:space="0" w:color="FFFFFF"/>
          <w:bottom w:val="single" w:sz="6" w:space="0" w:color="FFFFFF"/>
          <w:right w:val="single" w:sz="6" w:space="0" w:color="FFFFFF"/>
        </w:pBdr>
        <w:ind w:firstLine="720"/>
      </w:pPr>
      <w:r w:rsidRPr="00D60CCC">
        <w:t>These standards require the respondents to maintain all records, including reports and notifications for at least five years.</w:t>
      </w:r>
      <w:r w:rsidRPr="00D60CCC" w:rsidR="009C7E97">
        <w:t xml:space="preserve"> </w:t>
      </w:r>
      <w:r w:rsidRPr="00D60CCC">
        <w:t>This is consistent with the General Provisions as applied to the</w:t>
      </w:r>
      <w:r w:rsidR="00C27FB9">
        <w:t>se</w:t>
      </w:r>
      <w:r w:rsidRPr="00D60CCC">
        <w:t xml:space="preserve"> standards.</w:t>
      </w:r>
      <w:r w:rsidRPr="00D60CCC" w:rsidR="009C7E97">
        <w:t xml:space="preserve"> </w:t>
      </w:r>
      <w:r w:rsidR="00C27FB9">
        <w:t xml:space="preserve">The </w:t>
      </w:r>
      <w:r w:rsidRPr="00D60CCC">
        <w:t xml:space="preserve">EPA believes that the </w:t>
      </w:r>
      <w:r w:rsidRPr="00D60CCC" w:rsidR="0062215C">
        <w:t>five-year</w:t>
      </w:r>
      <w:r w:rsidRPr="00D60CCC">
        <w:t xml:space="preserve"> records retention requirement is consistent </w:t>
      </w:r>
      <w:r w:rsidRPr="00D60CCC" w:rsidR="004A084D">
        <w:t xml:space="preserve">with </w:t>
      </w:r>
      <w:r w:rsidRPr="00D60CCC">
        <w:t>the Part 70 permit program and the five</w:t>
      </w:r>
      <w:r w:rsidRPr="00D60CCC" w:rsidR="0062215C">
        <w:t>-</w:t>
      </w:r>
      <w:r w:rsidRPr="00D60CCC">
        <w:t>year statute of limitations on which the permit program is based.</w:t>
      </w:r>
      <w:r w:rsidRPr="00D60CCC" w:rsidR="009C7E97">
        <w:t xml:space="preserve"> </w:t>
      </w:r>
      <w:r w:rsidRPr="00D60CCC" w:rsidR="005F42F8">
        <w:t>T</w:t>
      </w:r>
      <w:r w:rsidRPr="00D60CCC">
        <w:t>he retention of records for five years allow</w:t>
      </w:r>
      <w:r w:rsidRPr="00D60CCC" w:rsidR="005F42F8">
        <w:t>s</w:t>
      </w:r>
      <w:r w:rsidRPr="00D60CCC">
        <w:t xml:space="preserve"> EPA to establish the compliance history of a source</w:t>
      </w:r>
      <w:r w:rsidRPr="00D60CCC" w:rsidR="005F42F8">
        <w:t xml:space="preserve">, </w:t>
      </w:r>
      <w:r w:rsidRPr="00D60CCC">
        <w:t xml:space="preserve">any pattern of </w:t>
      </w:r>
      <w:r w:rsidRPr="00D60CCC" w:rsidR="005F42F8">
        <w:t>non-</w:t>
      </w:r>
      <w:r w:rsidRPr="00D60CCC">
        <w:t>compliance</w:t>
      </w:r>
      <w:r w:rsidRPr="00D60CCC" w:rsidR="005F42F8">
        <w:t xml:space="preserve"> and to determine the appropriate level of enforcement action.</w:t>
      </w:r>
      <w:r w:rsidRPr="00D60CCC" w:rsidR="009C7E97">
        <w:t xml:space="preserve"> </w:t>
      </w:r>
      <w:r w:rsidR="00C27FB9">
        <w:t xml:space="preserve">The </w:t>
      </w:r>
      <w:r w:rsidRPr="00D60CCC">
        <w:t>EPA has found that the most flagrant violators have violations extending beyond five years.</w:t>
      </w:r>
      <w:r w:rsidRPr="00D60CCC" w:rsidR="009C7E97">
        <w:t xml:space="preserve"> </w:t>
      </w:r>
      <w:r w:rsidRPr="00D60CCC" w:rsidR="005F42F8">
        <w:t xml:space="preserve">In addition, </w:t>
      </w:r>
      <w:r w:rsidRPr="00D60CCC">
        <w:t>EPA would be prevented from pursuing the</w:t>
      </w:r>
      <w:r w:rsidR="00C27FB9">
        <w:t>se</w:t>
      </w:r>
      <w:r w:rsidRPr="00D60CCC">
        <w:t xml:space="preserve"> violators </w:t>
      </w:r>
      <w:r w:rsidRPr="00D60CCC">
        <w:t xml:space="preserve">due to </w:t>
      </w:r>
      <w:r w:rsidR="00C27FB9">
        <w:t xml:space="preserve">either </w:t>
      </w:r>
      <w:r w:rsidRPr="00D60CCC">
        <w:t xml:space="preserve">the destruction or nonexistence of </w:t>
      </w:r>
      <w:r w:rsidRPr="00D60CCC" w:rsidR="005F42F8">
        <w:t xml:space="preserve">essential </w:t>
      </w:r>
      <w:r w:rsidRPr="00D60CCC">
        <w:t>records</w:t>
      </w:r>
      <w:r w:rsidRPr="00D60CCC"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30B39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27FB9">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34A1C54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C27FB9">
        <w:rPr>
          <w:color w:val="000000"/>
        </w:rPr>
        <w:t>se</w:t>
      </w:r>
      <w:r>
        <w:rPr>
          <w:color w:val="000000"/>
        </w:rPr>
        <w:t xml:space="preserve"> standard</w:t>
      </w:r>
      <w:r w:rsidR="00C27FB9">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D94A78" w14:paraId="4906C309" w14:textId="43F4FFBD">
      <w:pPr>
        <w:pBdr>
          <w:top w:val="single" w:sz="6" w:space="0" w:color="FFFFFF"/>
          <w:left w:val="single" w:sz="6" w:space="0" w:color="FFFFFF"/>
          <w:bottom w:val="single" w:sz="6" w:space="0" w:color="FFFFFF"/>
          <w:right w:val="single" w:sz="6" w:space="0" w:color="FFFFFF"/>
        </w:pBdr>
        <w:ind w:firstLine="720"/>
      </w:pPr>
      <w:r w:rsidRPr="00D94A78">
        <w:t xml:space="preserve">The respondents to the recordkeeping and reporting requirements are </w:t>
      </w:r>
      <w:r w:rsidRPr="00D94A78" w:rsidR="006A3753">
        <w:t>owners and operators of CISWI units</w:t>
      </w:r>
      <w:r w:rsidRPr="00D94A78">
        <w:t>.</w:t>
      </w:r>
      <w:r w:rsidRPr="00D94A78" w:rsidR="009C7E97">
        <w:t xml:space="preserve"> </w:t>
      </w:r>
      <w:r w:rsidRPr="00D94A78">
        <w:t xml:space="preserve">The </w:t>
      </w:r>
      <w:r w:rsidRPr="00D94A78" w:rsidR="00CF2B37">
        <w:t>United States Standard Industrial Classification (</w:t>
      </w:r>
      <w:r w:rsidRPr="00D94A78">
        <w:t>SIC</w:t>
      </w:r>
      <w:r w:rsidRPr="00D94A78" w:rsidR="00CF2B37">
        <w:t>)</w:t>
      </w:r>
      <w:r w:rsidRPr="00D94A78">
        <w:t xml:space="preserve"> code</w:t>
      </w:r>
      <w:r w:rsidRPr="00D94A78" w:rsidR="006A3753">
        <w:t>s</w:t>
      </w:r>
      <w:r w:rsidRPr="00D94A78">
        <w:t xml:space="preserve"> for the respondents affected by the standards </w:t>
      </w:r>
      <w:r w:rsidRPr="00D94A78" w:rsidR="006A3753">
        <w:t>and the corresponding</w:t>
      </w:r>
      <w:r w:rsidRPr="00D94A78">
        <w:t xml:space="preserve"> North American Industry Classification System</w:t>
      </w:r>
      <w:r w:rsidRPr="00D94A78" w:rsidR="00CF2B37">
        <w:t xml:space="preserve"> (NAICS</w:t>
      </w:r>
      <w:r w:rsidRPr="00D94A78">
        <w:t xml:space="preserve">) </w:t>
      </w:r>
      <w:r w:rsidRPr="00D94A78" w:rsidR="006A3753">
        <w:t>codes for facilities with CISWI units may be found in the table below:</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2B4D42A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Pr="00F5134A" w:rsidR="00D94A78">
              <w:rPr>
                <w:b/>
                <w:bCs/>
                <w:color w:val="000000"/>
              </w:rPr>
              <w:t xml:space="preserve"> (40 CFR Part 60, Subpart DDDD)</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6B3B8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D94A78" w:rsidP="00D94A78" w14:paraId="69D88A48" w14:textId="03A65130">
            <w:pPr>
              <w:pBdr>
                <w:top w:val="single" w:sz="6" w:space="0" w:color="FFFFFF"/>
                <w:left w:val="single" w:sz="6" w:space="0" w:color="FFFFFF"/>
                <w:bottom w:val="single" w:sz="6" w:space="0" w:color="FFFFFF"/>
                <w:right w:val="single" w:sz="6" w:space="0" w:color="FFFFFF"/>
              </w:pBdr>
              <w:rPr>
                <w:color w:val="000000"/>
              </w:rPr>
            </w:pPr>
            <w:r w:rsidRPr="003112E1">
              <w:t>Chemical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D94A78" w:rsidP="00D94A78" w14:paraId="65180B57" w14:textId="1E8545C7">
            <w:pPr>
              <w:pBdr>
                <w:top w:val="single" w:sz="6" w:space="0" w:color="FFFFFF"/>
                <w:left w:val="single" w:sz="6" w:space="0" w:color="FFFFFF"/>
                <w:bottom w:val="single" w:sz="6" w:space="0" w:color="FFFFFF"/>
                <w:right w:val="single" w:sz="6" w:space="0" w:color="FFFFFF"/>
              </w:pBdr>
              <w:rPr>
                <w:color w:val="000000"/>
              </w:rPr>
            </w:pPr>
            <w:r w:rsidRPr="003112E1">
              <w:t>28</w:t>
            </w:r>
          </w:p>
        </w:tc>
        <w:tc>
          <w:tcPr>
            <w:tcW w:w="2430" w:type="dxa"/>
            <w:tcBorders>
              <w:top w:val="single" w:sz="7" w:space="0" w:color="000000"/>
              <w:left w:val="single" w:sz="7" w:space="0" w:color="000000"/>
              <w:bottom w:val="single" w:sz="6" w:space="0" w:color="FFFFFF"/>
              <w:right w:val="single" w:sz="7" w:space="0" w:color="000000"/>
            </w:tcBorders>
            <w:vAlign w:val="center"/>
          </w:tcPr>
          <w:p w:rsidR="00D94A78" w:rsidP="00D94A78" w14:paraId="2270277B" w14:textId="79D2A4A1">
            <w:pPr>
              <w:pBdr>
                <w:top w:val="single" w:sz="6" w:space="0" w:color="FFFFFF"/>
                <w:left w:val="single" w:sz="6" w:space="0" w:color="FFFFFF"/>
                <w:bottom w:val="single" w:sz="6" w:space="0" w:color="FFFFFF"/>
                <w:right w:val="single" w:sz="6" w:space="0" w:color="FFFFFF"/>
              </w:pBdr>
              <w:rPr>
                <w:color w:val="000000"/>
              </w:rPr>
            </w:pPr>
            <w:r w:rsidRPr="003112E1">
              <w:t>325</w:t>
            </w:r>
          </w:p>
        </w:tc>
      </w:tr>
      <w:tr w14:paraId="1381BC79" w14:textId="77777777" w:rsidTr="006B3B8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D94A78" w:rsidP="00D94A78" w14:paraId="5BF69ED4" w14:textId="7C59E465">
            <w:pPr>
              <w:tabs>
                <w:tab w:val="left" w:pos="3045"/>
              </w:tabs>
              <w:rPr>
                <w:color w:val="000000"/>
              </w:rPr>
            </w:pPr>
            <w:r w:rsidRPr="003112E1">
              <w:t>Electrical Equipment, Appliance, and Component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D94A78" w:rsidP="00D94A78" w14:paraId="44CB63F6" w14:textId="1F9BEAD5">
            <w:pPr>
              <w:pBdr>
                <w:top w:val="single" w:sz="6" w:space="0" w:color="FFFFFF"/>
                <w:left w:val="single" w:sz="6" w:space="0" w:color="FFFFFF"/>
                <w:bottom w:val="single" w:sz="6" w:space="0" w:color="FFFFFF"/>
                <w:right w:val="single" w:sz="6" w:space="0" w:color="FFFFFF"/>
              </w:pBdr>
              <w:rPr>
                <w:color w:val="000000"/>
              </w:rPr>
            </w:pPr>
            <w:r w:rsidRPr="003112E1">
              <w:t>36</w:t>
            </w:r>
          </w:p>
        </w:tc>
        <w:tc>
          <w:tcPr>
            <w:tcW w:w="2430" w:type="dxa"/>
            <w:tcBorders>
              <w:top w:val="single" w:sz="7" w:space="0" w:color="000000"/>
              <w:left w:val="single" w:sz="7" w:space="0" w:color="000000"/>
              <w:bottom w:val="single" w:sz="6" w:space="0" w:color="FFFFFF"/>
              <w:right w:val="single" w:sz="7" w:space="0" w:color="000000"/>
            </w:tcBorders>
            <w:vAlign w:val="center"/>
          </w:tcPr>
          <w:p w:rsidR="00D94A78" w:rsidP="00D94A78" w14:paraId="65FC1A16" w14:textId="3B8CB5D6">
            <w:pPr>
              <w:pBdr>
                <w:top w:val="single" w:sz="6" w:space="0" w:color="FFFFFF"/>
                <w:left w:val="single" w:sz="6" w:space="0" w:color="FFFFFF"/>
                <w:bottom w:val="single" w:sz="6" w:space="0" w:color="FFFFFF"/>
                <w:right w:val="single" w:sz="6" w:space="0" w:color="FFFFFF"/>
              </w:pBdr>
              <w:rPr>
                <w:color w:val="000000"/>
              </w:rPr>
            </w:pPr>
            <w:r w:rsidRPr="003112E1">
              <w:t>335</w:t>
            </w:r>
          </w:p>
        </w:tc>
      </w:tr>
      <w:tr w14:paraId="671F5B03" w14:textId="77777777" w:rsidTr="006B3B8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D94A78" w:rsidP="00D94A78" w14:paraId="691848A5" w14:textId="20289F05">
            <w:pPr>
              <w:pBdr>
                <w:top w:val="single" w:sz="6" w:space="0" w:color="FFFFFF"/>
                <w:left w:val="single" w:sz="6" w:space="0" w:color="FFFFFF"/>
                <w:bottom w:val="single" w:sz="6" w:space="0" w:color="FFFFFF"/>
                <w:right w:val="single" w:sz="6" w:space="0" w:color="FFFFFF"/>
              </w:pBdr>
              <w:rPr>
                <w:color w:val="000000"/>
              </w:rPr>
            </w:pPr>
            <w:r w:rsidRPr="003112E1">
              <w:t>Wood Product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D94A78" w:rsidP="00D94A78" w14:paraId="379919C6" w14:textId="51695935">
            <w:pPr>
              <w:pBdr>
                <w:top w:val="single" w:sz="6" w:space="0" w:color="FFFFFF"/>
                <w:left w:val="single" w:sz="6" w:space="0" w:color="FFFFFF"/>
                <w:bottom w:val="single" w:sz="6" w:space="0" w:color="FFFFFF"/>
                <w:right w:val="single" w:sz="6" w:space="0" w:color="FFFFFF"/>
              </w:pBdr>
              <w:rPr>
                <w:color w:val="000000"/>
              </w:rPr>
            </w:pPr>
            <w:r w:rsidRPr="003112E1">
              <w:t>24</w:t>
            </w:r>
          </w:p>
        </w:tc>
        <w:tc>
          <w:tcPr>
            <w:tcW w:w="2430" w:type="dxa"/>
            <w:tcBorders>
              <w:top w:val="single" w:sz="7" w:space="0" w:color="000000"/>
              <w:left w:val="single" w:sz="7" w:space="0" w:color="000000"/>
              <w:bottom w:val="single" w:sz="6" w:space="0" w:color="FFFFFF"/>
              <w:right w:val="single" w:sz="7" w:space="0" w:color="000000"/>
            </w:tcBorders>
            <w:vAlign w:val="center"/>
          </w:tcPr>
          <w:p w:rsidR="00D94A78" w:rsidP="00D94A78" w14:paraId="1DBC97FC" w14:textId="519030A7">
            <w:pPr>
              <w:pBdr>
                <w:top w:val="single" w:sz="6" w:space="0" w:color="FFFFFF"/>
                <w:left w:val="single" w:sz="6" w:space="0" w:color="FFFFFF"/>
                <w:bottom w:val="single" w:sz="6" w:space="0" w:color="FFFFFF"/>
                <w:right w:val="single" w:sz="6" w:space="0" w:color="FFFFFF"/>
              </w:pBdr>
              <w:rPr>
                <w:color w:val="000000"/>
              </w:rPr>
            </w:pPr>
            <w:r w:rsidRPr="003112E1">
              <w:t>321</w:t>
            </w:r>
          </w:p>
        </w:tc>
      </w:tr>
      <w:tr w14:paraId="222AD0AC" w14:textId="77777777" w:rsidTr="006B3B8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D94A78" w:rsidP="00D94A78" w14:paraId="6E760476" w14:textId="23A74DD0">
            <w:pPr>
              <w:pBdr>
                <w:top w:val="single" w:sz="6" w:space="0" w:color="FFFFFF"/>
                <w:left w:val="single" w:sz="6" w:space="0" w:color="FFFFFF"/>
                <w:bottom w:val="single" w:sz="6" w:space="0" w:color="FFFFFF"/>
                <w:right w:val="single" w:sz="6" w:space="0" w:color="FFFFFF"/>
              </w:pBdr>
              <w:rPr>
                <w:color w:val="000000"/>
              </w:rPr>
            </w:pPr>
            <w:r w:rsidRPr="003112E1">
              <w:t>Furniture and Related Product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D94A78" w:rsidP="00D94A78" w14:paraId="5A0BA3E0" w14:textId="6460E18D">
            <w:pPr>
              <w:pBdr>
                <w:top w:val="single" w:sz="6" w:space="0" w:color="FFFFFF"/>
                <w:left w:val="single" w:sz="6" w:space="0" w:color="FFFFFF"/>
                <w:bottom w:val="single" w:sz="6" w:space="0" w:color="FFFFFF"/>
                <w:right w:val="single" w:sz="6" w:space="0" w:color="FFFFFF"/>
              </w:pBdr>
              <w:rPr>
                <w:color w:val="000000"/>
              </w:rPr>
            </w:pPr>
            <w:r w:rsidRPr="003112E1">
              <w:t>25</w:t>
            </w:r>
          </w:p>
        </w:tc>
        <w:tc>
          <w:tcPr>
            <w:tcW w:w="2430" w:type="dxa"/>
            <w:tcBorders>
              <w:top w:val="single" w:sz="7" w:space="0" w:color="000000"/>
              <w:left w:val="single" w:sz="7" w:space="0" w:color="000000"/>
              <w:bottom w:val="single" w:sz="6" w:space="0" w:color="FFFFFF"/>
              <w:right w:val="single" w:sz="7" w:space="0" w:color="000000"/>
            </w:tcBorders>
            <w:vAlign w:val="center"/>
          </w:tcPr>
          <w:p w:rsidR="00D94A78" w:rsidP="00D94A78" w14:paraId="475EFD5E" w14:textId="73B9D8E1">
            <w:pPr>
              <w:pBdr>
                <w:top w:val="single" w:sz="6" w:space="0" w:color="FFFFFF"/>
                <w:left w:val="single" w:sz="6" w:space="0" w:color="FFFFFF"/>
                <w:bottom w:val="single" w:sz="6" w:space="0" w:color="FFFFFF"/>
                <w:right w:val="single" w:sz="6" w:space="0" w:color="FFFFFF"/>
              </w:pBdr>
              <w:rPr>
                <w:color w:val="000000"/>
              </w:rPr>
            </w:pPr>
            <w:r w:rsidRPr="003112E1">
              <w:t>337</w:t>
            </w:r>
          </w:p>
        </w:tc>
      </w:tr>
      <w:tr w14:paraId="581E12B2"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D94A78" w:rsidP="00D94A78" w14:paraId="50E6CAA7" w14:textId="3BC216D7">
            <w:pPr>
              <w:pBdr>
                <w:top w:val="single" w:sz="6" w:space="0" w:color="FFFFFF"/>
                <w:left w:val="single" w:sz="6" w:space="0" w:color="FFFFFF"/>
                <w:bottom w:val="single" w:sz="6" w:space="0" w:color="FFFFFF"/>
                <w:right w:val="single" w:sz="6" w:space="0" w:color="FFFFFF"/>
              </w:pBdr>
              <w:rPr>
                <w:color w:val="000000"/>
              </w:rPr>
            </w:pPr>
            <w:r w:rsidRPr="00E779B2">
              <w:t>Justice, Public Order, and Safety Activities</w:t>
            </w:r>
          </w:p>
        </w:tc>
        <w:tc>
          <w:tcPr>
            <w:tcW w:w="2610" w:type="dxa"/>
            <w:tcBorders>
              <w:top w:val="single" w:sz="7" w:space="0" w:color="000000"/>
              <w:left w:val="single" w:sz="7" w:space="0" w:color="000000"/>
              <w:bottom w:val="single" w:sz="7" w:space="0" w:color="000000"/>
              <w:right w:val="single" w:sz="6" w:space="0" w:color="FFFFFF"/>
            </w:tcBorders>
          </w:tcPr>
          <w:p w:rsidR="00D94A78" w:rsidP="00D94A78" w14:paraId="38FFDE4A" w14:textId="1FF30D8D">
            <w:pPr>
              <w:pBdr>
                <w:top w:val="single" w:sz="6" w:space="0" w:color="FFFFFF"/>
                <w:left w:val="single" w:sz="6" w:space="0" w:color="FFFFFF"/>
                <w:bottom w:val="single" w:sz="6" w:space="0" w:color="FFFFFF"/>
                <w:right w:val="single" w:sz="6" w:space="0" w:color="FFFFFF"/>
              </w:pBdr>
              <w:rPr>
                <w:color w:val="000000"/>
              </w:rPr>
            </w:pPr>
            <w:r w:rsidRPr="00D101F1">
              <w:t>9229</w:t>
            </w:r>
          </w:p>
        </w:tc>
        <w:tc>
          <w:tcPr>
            <w:tcW w:w="2430" w:type="dxa"/>
            <w:tcBorders>
              <w:top w:val="single" w:sz="7" w:space="0" w:color="000000"/>
              <w:left w:val="single" w:sz="7" w:space="0" w:color="000000"/>
              <w:bottom w:val="single" w:sz="7" w:space="0" w:color="000000"/>
              <w:right w:val="single" w:sz="7" w:space="0" w:color="000000"/>
            </w:tcBorders>
          </w:tcPr>
          <w:p w:rsidR="00D94A78" w:rsidP="00D94A78" w14:paraId="4BC177CF" w14:textId="4A5B8CB9">
            <w:pPr>
              <w:pBdr>
                <w:top w:val="single" w:sz="6" w:space="0" w:color="FFFFFF"/>
                <w:left w:val="single" w:sz="6" w:space="0" w:color="FFFFFF"/>
                <w:bottom w:val="single" w:sz="6" w:space="0" w:color="FFFFFF"/>
                <w:right w:val="single" w:sz="6" w:space="0" w:color="FFFFFF"/>
              </w:pBdr>
              <w:rPr>
                <w:color w:val="000000"/>
              </w:rPr>
            </w:pPr>
            <w:r w:rsidRPr="00D101F1">
              <w:t>922</w:t>
            </w:r>
          </w:p>
        </w:tc>
      </w:tr>
      <w:tr w14:paraId="701234E9"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D94A78" w:rsidP="00D94A78" w14:paraId="0B258EDE" w14:textId="2630336E">
            <w:pPr>
              <w:pBdr>
                <w:top w:val="single" w:sz="6" w:space="0" w:color="FFFFFF"/>
                <w:left w:val="single" w:sz="6" w:space="0" w:color="FFFFFF"/>
                <w:bottom w:val="single" w:sz="6" w:space="0" w:color="FFFFFF"/>
                <w:right w:val="single" w:sz="6" w:space="0" w:color="FFFFFF"/>
              </w:pBdr>
              <w:rPr>
                <w:color w:val="000000"/>
              </w:rPr>
            </w:pPr>
            <w:r w:rsidRPr="00D67D07">
              <w:t>National Security and International Affairs</w:t>
            </w:r>
          </w:p>
        </w:tc>
        <w:tc>
          <w:tcPr>
            <w:tcW w:w="2610" w:type="dxa"/>
            <w:tcBorders>
              <w:top w:val="single" w:sz="7" w:space="0" w:color="000000"/>
              <w:left w:val="single" w:sz="7" w:space="0" w:color="000000"/>
              <w:bottom w:val="single" w:sz="7" w:space="0" w:color="000000"/>
              <w:right w:val="single" w:sz="6" w:space="0" w:color="FFFFFF"/>
            </w:tcBorders>
          </w:tcPr>
          <w:p w:rsidR="00D94A78" w:rsidP="00D94A78" w14:paraId="3AE6812A" w14:textId="6D4D94D6">
            <w:pPr>
              <w:pBdr>
                <w:top w:val="single" w:sz="6" w:space="0" w:color="FFFFFF"/>
                <w:left w:val="single" w:sz="6" w:space="0" w:color="FFFFFF"/>
                <w:bottom w:val="single" w:sz="6" w:space="0" w:color="FFFFFF"/>
                <w:right w:val="single" w:sz="6" w:space="0" w:color="FFFFFF"/>
              </w:pBdr>
              <w:rPr>
                <w:color w:val="000000"/>
              </w:rPr>
            </w:pPr>
            <w:r w:rsidRPr="00D101F1">
              <w:t>9711</w:t>
            </w:r>
            <w:r>
              <w:t>, 9721</w:t>
            </w:r>
          </w:p>
        </w:tc>
        <w:tc>
          <w:tcPr>
            <w:tcW w:w="2430" w:type="dxa"/>
            <w:tcBorders>
              <w:top w:val="single" w:sz="7" w:space="0" w:color="000000"/>
              <w:left w:val="single" w:sz="7" w:space="0" w:color="000000"/>
              <w:bottom w:val="single" w:sz="7" w:space="0" w:color="000000"/>
              <w:right w:val="single" w:sz="7" w:space="0" w:color="000000"/>
            </w:tcBorders>
          </w:tcPr>
          <w:p w:rsidR="00D94A78" w:rsidP="00D94A78" w14:paraId="37F5E9AC" w14:textId="5453C576">
            <w:pPr>
              <w:pBdr>
                <w:top w:val="single" w:sz="6" w:space="0" w:color="FFFFFF"/>
                <w:left w:val="single" w:sz="6" w:space="0" w:color="FFFFFF"/>
                <w:bottom w:val="single" w:sz="6" w:space="0" w:color="FFFFFF"/>
                <w:right w:val="single" w:sz="6" w:space="0" w:color="FFFFFF"/>
              </w:pBdr>
              <w:rPr>
                <w:color w:val="000000"/>
              </w:rPr>
            </w:pPr>
            <w:r w:rsidRPr="00D101F1">
              <w:t>928</w:t>
            </w:r>
          </w:p>
        </w:tc>
      </w:tr>
      <w:tr w14:paraId="05832E97"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D94A78" w:rsidP="00D94A78" w14:paraId="354896EE" w14:textId="7B635AB4">
            <w:pPr>
              <w:pBdr>
                <w:top w:val="single" w:sz="6" w:space="0" w:color="FFFFFF"/>
                <w:left w:val="single" w:sz="6" w:space="0" w:color="FFFFFF"/>
                <w:bottom w:val="single" w:sz="6" w:space="0" w:color="FFFFFF"/>
                <w:right w:val="single" w:sz="6" w:space="0" w:color="FFFFFF"/>
              </w:pBdr>
              <w:rPr>
                <w:color w:val="000000"/>
              </w:rPr>
            </w:pPr>
            <w:r w:rsidRPr="00D101F1">
              <w:t>Research Centers</w:t>
            </w:r>
            <w:r>
              <w:t xml:space="preserve"> (colleges, universities, and professional schools)</w:t>
            </w:r>
          </w:p>
        </w:tc>
        <w:tc>
          <w:tcPr>
            <w:tcW w:w="2610" w:type="dxa"/>
            <w:tcBorders>
              <w:top w:val="single" w:sz="7" w:space="0" w:color="000000"/>
              <w:left w:val="single" w:sz="7" w:space="0" w:color="000000"/>
              <w:bottom w:val="single" w:sz="7" w:space="0" w:color="000000"/>
              <w:right w:val="single" w:sz="6" w:space="0" w:color="FFFFFF"/>
            </w:tcBorders>
          </w:tcPr>
          <w:p w:rsidR="00D94A78" w:rsidP="00D94A78" w14:paraId="3CD2EC32" w14:textId="05A911CF">
            <w:pPr>
              <w:pBdr>
                <w:top w:val="single" w:sz="6" w:space="0" w:color="FFFFFF"/>
                <w:left w:val="single" w:sz="6" w:space="0" w:color="FFFFFF"/>
                <w:bottom w:val="single" w:sz="6" w:space="0" w:color="FFFFFF"/>
                <w:right w:val="single" w:sz="6" w:space="0" w:color="FFFFFF"/>
              </w:pBdr>
              <w:rPr>
                <w:color w:val="000000"/>
              </w:rPr>
            </w:pPr>
            <w:r w:rsidRPr="00D101F1">
              <w:t>8221</w:t>
            </w:r>
          </w:p>
        </w:tc>
        <w:tc>
          <w:tcPr>
            <w:tcW w:w="2430" w:type="dxa"/>
            <w:tcBorders>
              <w:top w:val="single" w:sz="7" w:space="0" w:color="000000"/>
              <w:left w:val="single" w:sz="7" w:space="0" w:color="000000"/>
              <w:bottom w:val="single" w:sz="7" w:space="0" w:color="000000"/>
              <w:right w:val="single" w:sz="7" w:space="0" w:color="000000"/>
            </w:tcBorders>
          </w:tcPr>
          <w:p w:rsidR="00D94A78" w:rsidP="00D94A78" w14:paraId="02BC1BCD" w14:textId="421CF69C">
            <w:pPr>
              <w:pBdr>
                <w:top w:val="single" w:sz="6" w:space="0" w:color="FFFFFF"/>
                <w:left w:val="single" w:sz="6" w:space="0" w:color="FFFFFF"/>
                <w:bottom w:val="single" w:sz="6" w:space="0" w:color="FFFFFF"/>
                <w:right w:val="single" w:sz="6" w:space="0" w:color="FFFFFF"/>
              </w:pBdr>
              <w:rPr>
                <w:color w:val="000000"/>
              </w:rPr>
            </w:pPr>
            <w:r w:rsidRPr="00D101F1">
              <w:t>6113</w:t>
            </w:r>
          </w:p>
        </w:tc>
      </w:tr>
    </w:tbl>
    <w:p w:rsidR="00CA4CD6" w14:paraId="3E22D9ED" w14:textId="66CF129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51195CA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166DD6" w14:paraId="2DFB6456" w14:textId="4DDEB30A">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w:t>
      </w:r>
      <w:r w:rsidRPr="00166DD6" w:rsidR="00233F0F">
        <w:t>e</w:t>
      </w:r>
      <w:r w:rsidRPr="00166DD6">
        <w:t xml:space="preserve"> </w:t>
      </w:r>
      <w:r w:rsidRPr="00166DD6" w:rsidR="00166DD6">
        <w:t>Emission Guidelines for Existing Commercial and Industrial Solid Waste Incineration Units (40 CFR Part 60, Subpart DDDD)</w:t>
      </w:r>
      <w:r w:rsidR="00166DD6">
        <w:t>.</w:t>
      </w:r>
    </w:p>
    <w:p w:rsidR="00CA4CD6" w14:paraId="204513B5" w14:textId="27932206">
      <w:pPr>
        <w:pBdr>
          <w:top w:val="single" w:sz="6" w:space="0" w:color="FFFFFF"/>
          <w:left w:val="single" w:sz="6" w:space="0" w:color="FFFFFF"/>
          <w:bottom w:val="single" w:sz="6" w:space="0" w:color="FFFFFF"/>
          <w:right w:val="single" w:sz="6" w:space="0" w:color="FFFFFF"/>
        </w:pBdr>
        <w:rPr>
          <w:color w:val="000000"/>
        </w:rPr>
      </w:pPr>
    </w:p>
    <w:p w:rsidR="00166DD6" w:rsidRPr="00460BB3" w:rsidP="00166DD6" w14:paraId="20643024" w14:textId="77777777">
      <w:pPr>
        <w:pBdr>
          <w:top w:val="single" w:sz="6" w:space="0" w:color="FFFFFF"/>
          <w:left w:val="single" w:sz="6" w:space="0" w:color="FFFFFF"/>
          <w:bottom w:val="single" w:sz="6" w:space="0" w:color="FFFFFF"/>
          <w:right w:val="single" w:sz="6" w:space="0" w:color="FFFFFF"/>
        </w:pBdr>
        <w:ind w:firstLine="720"/>
        <w:rPr>
          <w:color w:val="000000"/>
        </w:rPr>
      </w:pPr>
      <w:r w:rsidRPr="00460BB3">
        <w:rPr>
          <w:color w:val="000000"/>
        </w:rPr>
        <w:t>State/US protectorates must perform the following requirements:</w:t>
      </w:r>
    </w:p>
    <w:p w:rsidR="00166DD6" w:rsidRPr="00460BB3" w:rsidP="00166DD6" w14:paraId="3E97888E"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tblPr>
      <w:tblGrid>
        <w:gridCol w:w="6835"/>
        <w:gridCol w:w="2515"/>
      </w:tblGrid>
      <w:tr w14:paraId="02919A5F" w14:textId="77777777" w:rsidTr="00827749">
        <w:tblPrEx>
          <w:tblW w:w="0" w:type="auto"/>
          <w:tblLook w:val="04A0"/>
        </w:tblPrEx>
        <w:tc>
          <w:tcPr>
            <w:tcW w:w="9350" w:type="dxa"/>
            <w:gridSpan w:val="2"/>
          </w:tcPr>
          <w:p w:rsidR="00166DD6" w:rsidRPr="00F8121B" w:rsidP="00827749" w14:paraId="565E8142" w14:textId="77777777">
            <w:pPr>
              <w:pBdr>
                <w:top w:val="single" w:sz="6" w:space="0" w:color="FFFFFF"/>
                <w:left w:val="single" w:sz="6" w:space="0" w:color="FFFFFF"/>
                <w:bottom w:val="single" w:sz="6" w:space="0" w:color="FFFFFF"/>
                <w:right w:val="single" w:sz="6" w:space="0" w:color="FFFFFF"/>
              </w:pBdr>
              <w:rPr>
                <w:b/>
                <w:color w:val="000000"/>
              </w:rPr>
            </w:pPr>
            <w:r w:rsidRPr="00F8121B">
              <w:rPr>
                <w:b/>
                <w:color w:val="000000"/>
              </w:rPr>
              <w:t>Requirement</w:t>
            </w:r>
          </w:p>
        </w:tc>
      </w:tr>
      <w:tr w14:paraId="7671BF77" w14:textId="77777777" w:rsidTr="00166DD6">
        <w:tblPrEx>
          <w:tblW w:w="0" w:type="auto"/>
          <w:tblLook w:val="04A0"/>
        </w:tblPrEx>
        <w:tc>
          <w:tcPr>
            <w:tcW w:w="6835" w:type="dxa"/>
          </w:tcPr>
          <w:p w:rsidR="00166DD6" w:rsidRPr="00F8121B" w:rsidP="00827749" w14:paraId="26DBD660" w14:textId="77777777">
            <w:pPr>
              <w:pBdr>
                <w:top w:val="single" w:sz="6" w:space="0" w:color="FFFFFF"/>
                <w:left w:val="single" w:sz="6" w:space="0" w:color="FFFFFF"/>
                <w:bottom w:val="single" w:sz="6" w:space="0" w:color="FFFFFF"/>
                <w:right w:val="single" w:sz="6" w:space="0" w:color="FFFFFF"/>
              </w:pBdr>
              <w:rPr>
                <w:color w:val="000000"/>
              </w:rPr>
            </w:pPr>
            <w:r w:rsidRPr="00F8121B">
              <w:rPr>
                <w:color w:val="000000"/>
              </w:rPr>
              <w:t>Submit a state plan</w:t>
            </w:r>
          </w:p>
        </w:tc>
        <w:tc>
          <w:tcPr>
            <w:tcW w:w="2515" w:type="dxa"/>
            <w:vAlign w:val="center"/>
          </w:tcPr>
          <w:p w:rsidR="00166DD6" w:rsidRPr="00F8121B" w:rsidP="00827749" w14:paraId="5ABBECA1" w14:textId="77777777">
            <w:pPr>
              <w:pBdr>
                <w:top w:val="single" w:sz="6" w:space="0" w:color="FFFFFF"/>
                <w:left w:val="single" w:sz="6" w:space="0" w:color="FFFFFF"/>
                <w:bottom w:val="single" w:sz="6" w:space="0" w:color="FFFFFF"/>
                <w:right w:val="single" w:sz="6" w:space="0" w:color="FFFFFF"/>
              </w:pBdr>
              <w:rPr>
                <w:color w:val="000000"/>
              </w:rPr>
            </w:pPr>
            <w:r w:rsidRPr="00F8121B">
              <w:rPr>
                <w:color w:val="000000"/>
              </w:rPr>
              <w:t>§60.2505(a)</w:t>
            </w:r>
          </w:p>
        </w:tc>
      </w:tr>
      <w:tr w14:paraId="4671A3FA" w14:textId="77777777" w:rsidTr="00166DD6">
        <w:tblPrEx>
          <w:tblW w:w="0" w:type="auto"/>
          <w:tblLook w:val="04A0"/>
        </w:tblPrEx>
        <w:tc>
          <w:tcPr>
            <w:tcW w:w="6835" w:type="dxa"/>
          </w:tcPr>
          <w:p w:rsidR="00166DD6" w:rsidRPr="00F8121B" w:rsidP="00827749" w14:paraId="04CB366A" w14:textId="77777777">
            <w:pPr>
              <w:pBdr>
                <w:top w:val="single" w:sz="6" w:space="0" w:color="FFFFFF"/>
                <w:left w:val="single" w:sz="6" w:space="0" w:color="FFFFFF"/>
                <w:bottom w:val="single" w:sz="6" w:space="0" w:color="FFFFFF"/>
                <w:right w:val="single" w:sz="6" w:space="0" w:color="FFFFFF"/>
              </w:pBdr>
              <w:rPr>
                <w:color w:val="000000"/>
              </w:rPr>
            </w:pPr>
            <w:r w:rsidRPr="00F8121B">
              <w:rPr>
                <w:color w:val="000000"/>
              </w:rPr>
              <w:t>Submit a negative declaration</w:t>
            </w:r>
          </w:p>
        </w:tc>
        <w:tc>
          <w:tcPr>
            <w:tcW w:w="2515" w:type="dxa"/>
            <w:vAlign w:val="center"/>
          </w:tcPr>
          <w:p w:rsidR="00166DD6" w:rsidRPr="00F8121B" w:rsidP="00827749" w14:paraId="02F32F7E" w14:textId="77777777">
            <w:pPr>
              <w:pBdr>
                <w:top w:val="single" w:sz="6" w:space="0" w:color="FFFFFF"/>
                <w:left w:val="single" w:sz="6" w:space="0" w:color="FFFFFF"/>
                <w:bottom w:val="single" w:sz="6" w:space="0" w:color="FFFFFF"/>
                <w:right w:val="single" w:sz="6" w:space="0" w:color="FFFFFF"/>
              </w:pBdr>
              <w:rPr>
                <w:color w:val="000000"/>
              </w:rPr>
            </w:pPr>
            <w:r w:rsidRPr="00F8121B">
              <w:rPr>
                <w:color w:val="000000"/>
              </w:rPr>
              <w:t>§60.2510</w:t>
            </w:r>
          </w:p>
        </w:tc>
      </w:tr>
    </w:tbl>
    <w:p w:rsidR="00166DD6" w14:paraId="528D03B0"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567D45F6" w14:textId="2B3A3760">
            <w:pPr>
              <w:pBdr>
                <w:top w:val="single" w:sz="6" w:space="0" w:color="FFFFFF"/>
                <w:left w:val="single" w:sz="6" w:space="0" w:color="FFFFFF"/>
                <w:bottom w:val="single" w:sz="6" w:space="0" w:color="FFFFFF"/>
                <w:right w:val="single" w:sz="6" w:space="0" w:color="FFFFFF"/>
              </w:pBdr>
              <w:spacing w:after="58"/>
              <w:rPr>
                <w:b/>
                <w:bCs/>
              </w:rPr>
            </w:pPr>
            <w:r w:rsidRPr="004B2355">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1EF1C74F" w14:textId="736B31B8">
            <w:pPr>
              <w:pBdr>
                <w:top w:val="single" w:sz="6" w:space="0" w:color="FFFFFF"/>
                <w:left w:val="single" w:sz="6" w:space="0" w:color="FFFFFF"/>
                <w:bottom w:val="single" w:sz="6" w:space="0" w:color="FFFFFF"/>
                <w:right w:val="single" w:sz="6" w:space="0" w:color="FFFFFF"/>
              </w:pBdr>
              <w:spacing w:after="58"/>
              <w:rPr>
                <w:b/>
                <w:bCs/>
              </w:rPr>
            </w:pPr>
            <w:r w:rsidRPr="004B2355">
              <w:t>§60.2790(a), §60.7(a)(1)</w:t>
            </w:r>
          </w:p>
        </w:tc>
      </w:tr>
      <w:tr w14:paraId="74DBFC89"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5FB7E8CC" w14:textId="725F437F">
            <w:pPr>
              <w:pBdr>
                <w:top w:val="single" w:sz="6" w:space="0" w:color="FFFFFF"/>
                <w:left w:val="single" w:sz="6" w:space="0" w:color="FFFFFF"/>
                <w:bottom w:val="single" w:sz="6" w:space="0" w:color="FFFFFF"/>
                <w:right w:val="single" w:sz="6" w:space="0" w:color="FFFFFF"/>
              </w:pBdr>
              <w:spacing w:after="58"/>
            </w:pPr>
            <w:r w:rsidRPr="004B2355">
              <w:t>Notification of initial startup date.</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2D6ACA34" w14:textId="4BAD4F74">
            <w:pPr>
              <w:pBdr>
                <w:top w:val="single" w:sz="6" w:space="0" w:color="FFFFFF"/>
                <w:left w:val="single" w:sz="6" w:space="0" w:color="FFFFFF"/>
                <w:bottom w:val="single" w:sz="6" w:space="0" w:color="FFFFFF"/>
                <w:right w:val="single" w:sz="6" w:space="0" w:color="FFFFFF"/>
              </w:pBdr>
              <w:spacing w:after="58"/>
            </w:pPr>
            <w:r w:rsidRPr="004B2355">
              <w:t>§60.2790(a), §60.7(a)(3)</w:t>
            </w:r>
          </w:p>
        </w:tc>
      </w:tr>
      <w:tr w14:paraId="1357996C"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36741732" w14:textId="52CDF9C5">
            <w:pPr>
              <w:pBdr>
                <w:top w:val="single" w:sz="6" w:space="0" w:color="FFFFFF"/>
                <w:left w:val="single" w:sz="6" w:space="0" w:color="FFFFFF"/>
                <w:bottom w:val="single" w:sz="6" w:space="0" w:color="FFFFFF"/>
                <w:right w:val="single" w:sz="6" w:space="0" w:color="FFFFFF"/>
              </w:pBdr>
              <w:spacing w:after="58"/>
            </w:pPr>
            <w:r w:rsidRPr="004B2355">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1EAAA3B8" w14:textId="42F3D23C">
            <w:pPr>
              <w:pBdr>
                <w:top w:val="single" w:sz="6" w:space="0" w:color="FFFFFF"/>
                <w:left w:val="single" w:sz="6" w:space="0" w:color="FFFFFF"/>
                <w:bottom w:val="single" w:sz="6" w:space="0" w:color="FFFFFF"/>
                <w:right w:val="single" w:sz="6" w:space="0" w:color="FFFFFF"/>
              </w:pBdr>
              <w:spacing w:after="58"/>
            </w:pPr>
            <w:r w:rsidRPr="004B2355">
              <w:t>§60.2790(a), §60.7(a)(4)</w:t>
            </w:r>
          </w:p>
        </w:tc>
      </w:tr>
      <w:tr w14:paraId="082A3A3E"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22A573F7" w14:textId="1ED50F35">
            <w:pPr>
              <w:pBdr>
                <w:top w:val="single" w:sz="6" w:space="0" w:color="FFFFFF"/>
                <w:left w:val="single" w:sz="6" w:space="0" w:color="FFFFFF"/>
                <w:bottom w:val="single" w:sz="6" w:space="0" w:color="FFFFFF"/>
                <w:right w:val="single" w:sz="6" w:space="0" w:color="FFFFFF"/>
              </w:pBdr>
              <w:spacing w:after="58"/>
            </w:pPr>
            <w:r w:rsidRPr="004B2355">
              <w:t>Notification of demonstration date of continuous monitoring system performance.</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405E9941" w14:textId="6EB51BB3">
            <w:pPr>
              <w:pBdr>
                <w:top w:val="single" w:sz="6" w:space="0" w:color="FFFFFF"/>
                <w:left w:val="single" w:sz="6" w:space="0" w:color="FFFFFF"/>
                <w:bottom w:val="single" w:sz="6" w:space="0" w:color="FFFFFF"/>
                <w:right w:val="single" w:sz="6" w:space="0" w:color="FFFFFF"/>
              </w:pBdr>
              <w:spacing w:after="58"/>
            </w:pPr>
            <w:r w:rsidRPr="004B2355">
              <w:t>§60.2790(a), §60.7(a)(5)</w:t>
            </w:r>
          </w:p>
        </w:tc>
      </w:tr>
      <w:tr w14:paraId="64305F2C"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57091804" w14:textId="34F48BC1">
            <w:pPr>
              <w:pBdr>
                <w:top w:val="single" w:sz="6" w:space="0" w:color="FFFFFF"/>
                <w:left w:val="single" w:sz="6" w:space="0" w:color="FFFFFF"/>
                <w:bottom w:val="single" w:sz="6" w:space="0" w:color="FFFFFF"/>
                <w:right w:val="single" w:sz="6" w:space="0" w:color="FFFFFF"/>
              </w:pBdr>
              <w:spacing w:after="58"/>
            </w:pPr>
            <w:r w:rsidRPr="004B2355">
              <w:t>Notification of anticipated date for conducting opacity observations.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12EB33D6" w14:textId="24A229FB">
            <w:pPr>
              <w:pBdr>
                <w:top w:val="single" w:sz="6" w:space="0" w:color="FFFFFF"/>
                <w:left w:val="single" w:sz="6" w:space="0" w:color="FFFFFF"/>
                <w:bottom w:val="single" w:sz="6" w:space="0" w:color="FFFFFF"/>
                <w:right w:val="single" w:sz="6" w:space="0" w:color="FFFFFF"/>
              </w:pBdr>
              <w:spacing w:after="58"/>
            </w:pPr>
            <w:r w:rsidRPr="004B2355">
              <w:t>§60.2790(a), §60.7(a)(6)</w:t>
            </w:r>
          </w:p>
        </w:tc>
      </w:tr>
      <w:tr w14:paraId="3B3DBBFF"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2EC0114C" w14:textId="7C3144DE">
            <w:pPr>
              <w:pBdr>
                <w:top w:val="single" w:sz="6" w:space="0" w:color="FFFFFF"/>
                <w:left w:val="single" w:sz="6" w:space="0" w:color="FFFFFF"/>
                <w:bottom w:val="single" w:sz="6" w:space="0" w:color="FFFFFF"/>
                <w:right w:val="single" w:sz="6" w:space="0" w:color="FFFFFF"/>
              </w:pBdr>
              <w:spacing w:after="58"/>
            </w:pPr>
            <w:r w:rsidRPr="004B2355">
              <w:t>Notification of use of continuous opacity monitoring system data results to determine compliance with opacity standard during performance testing.</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1964632F" w14:textId="092BEBD1">
            <w:pPr>
              <w:pBdr>
                <w:top w:val="single" w:sz="6" w:space="0" w:color="FFFFFF"/>
                <w:left w:val="single" w:sz="6" w:space="0" w:color="FFFFFF"/>
                <w:bottom w:val="single" w:sz="6" w:space="0" w:color="FFFFFF"/>
                <w:right w:val="single" w:sz="6" w:space="0" w:color="FFFFFF"/>
              </w:pBdr>
              <w:spacing w:after="58"/>
            </w:pPr>
            <w:r w:rsidRPr="004B2355">
              <w:t>§60.2790(a), §60.7(a)(7)</w:t>
            </w:r>
          </w:p>
        </w:tc>
      </w:tr>
      <w:tr w14:paraId="0F11E0CC"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4A61E8C6" w14:textId="75026B71">
            <w:pPr>
              <w:pBdr>
                <w:top w:val="single" w:sz="6" w:space="0" w:color="FFFFFF"/>
                <w:left w:val="single" w:sz="6" w:space="0" w:color="FFFFFF"/>
                <w:bottom w:val="single" w:sz="6" w:space="0" w:color="FFFFFF"/>
                <w:right w:val="single" w:sz="6" w:space="0" w:color="FFFFFF"/>
              </w:pBdr>
              <w:spacing w:after="58"/>
            </w:pPr>
            <w:r w:rsidRPr="004B2355">
              <w:t>Notification of final control plan.</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P="00166DD6" w14:paraId="5E8231F2" w14:textId="77777777">
            <w:pPr>
              <w:pBdr>
                <w:top w:val="single" w:sz="6" w:space="0" w:color="FFFFFF"/>
                <w:left w:val="single" w:sz="6" w:space="0" w:color="FFFFFF"/>
                <w:bottom w:val="single" w:sz="6" w:space="0" w:color="FFFFFF"/>
                <w:right w:val="single" w:sz="6" w:space="0" w:color="FFFFFF"/>
              </w:pBdr>
              <w:spacing w:after="58"/>
            </w:pPr>
            <w:r w:rsidRPr="004B2355">
              <w:t>§60.2575(a), §60.2600(a)</w:t>
            </w:r>
            <w:r w:rsidR="00730AFE">
              <w:t>,</w:t>
            </w:r>
          </w:p>
          <w:p w:rsidR="00730AFE" w:rsidRPr="004B2355" w:rsidP="00166DD6" w14:paraId="292BC42E" w14:textId="456CD1EF">
            <w:pPr>
              <w:pBdr>
                <w:top w:val="single" w:sz="6" w:space="0" w:color="FFFFFF"/>
                <w:left w:val="single" w:sz="6" w:space="0" w:color="FFFFFF"/>
                <w:bottom w:val="single" w:sz="6" w:space="0" w:color="FFFFFF"/>
                <w:right w:val="single" w:sz="6" w:space="0" w:color="FFFFFF"/>
              </w:pBdr>
              <w:spacing w:after="58"/>
            </w:pPr>
            <w:r w:rsidRPr="004B2355">
              <w:t>§</w:t>
            </w:r>
            <w:r>
              <w:t>60.2815(a)</w:t>
            </w:r>
          </w:p>
        </w:tc>
      </w:tr>
      <w:tr w14:paraId="1F95E04D"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3BE99B8C" w14:textId="62894E77">
            <w:pPr>
              <w:pBdr>
                <w:top w:val="single" w:sz="6" w:space="0" w:color="FFFFFF"/>
                <w:left w:val="single" w:sz="6" w:space="0" w:color="FFFFFF"/>
                <w:bottom w:val="single" w:sz="6" w:space="0" w:color="FFFFFF"/>
                <w:right w:val="single" w:sz="6" w:space="0" w:color="FFFFFF"/>
              </w:pBdr>
              <w:spacing w:after="58"/>
            </w:pPr>
            <w:r w:rsidRPr="004B2355">
              <w:t>Notification of final compliance.</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3648DD73" w14:textId="77777777">
            <w:pPr>
              <w:pBdr>
                <w:top w:val="single" w:sz="6" w:space="0" w:color="FFFFFF"/>
                <w:left w:val="single" w:sz="6" w:space="0" w:color="FFFFFF"/>
                <w:bottom w:val="single" w:sz="6" w:space="0" w:color="FFFFFF"/>
                <w:right w:val="single" w:sz="6" w:space="0" w:color="FFFFFF"/>
              </w:pBdr>
              <w:spacing w:after="58"/>
            </w:pPr>
            <w:r w:rsidRPr="004B2355">
              <w:t xml:space="preserve">§60.2575(b), </w:t>
            </w:r>
          </w:p>
          <w:p w:rsidR="00927C08" w:rsidP="00166DD6" w14:paraId="19E0B7DB" w14:textId="3EF7F28F">
            <w:pPr>
              <w:pBdr>
                <w:top w:val="single" w:sz="6" w:space="0" w:color="FFFFFF"/>
                <w:left w:val="single" w:sz="6" w:space="0" w:color="FFFFFF"/>
                <w:bottom w:val="single" w:sz="6" w:space="0" w:color="FFFFFF"/>
                <w:right w:val="single" w:sz="6" w:space="0" w:color="FFFFFF"/>
              </w:pBdr>
              <w:spacing w:after="58"/>
            </w:pPr>
            <w:r w:rsidRPr="004B2355">
              <w:t>§60.2585(a)</w:t>
            </w:r>
            <w:r w:rsidR="00730AFE">
              <w:t>,</w:t>
            </w:r>
          </w:p>
          <w:p w:rsidR="00730AFE" w:rsidP="00166DD6" w14:paraId="49211AB6" w14:textId="653014DB">
            <w:pPr>
              <w:pBdr>
                <w:top w:val="single" w:sz="6" w:space="0" w:color="FFFFFF"/>
                <w:left w:val="single" w:sz="6" w:space="0" w:color="FFFFFF"/>
                <w:bottom w:val="single" w:sz="6" w:space="0" w:color="FFFFFF"/>
                <w:right w:val="single" w:sz="6" w:space="0" w:color="FFFFFF"/>
              </w:pBdr>
              <w:spacing w:after="58"/>
            </w:pPr>
            <w:r w:rsidRPr="004B2355">
              <w:t>§</w:t>
            </w:r>
            <w:r>
              <w:t>60.2815(b)</w:t>
            </w:r>
          </w:p>
          <w:p w:rsidR="00730AFE" w:rsidRPr="004B2355" w:rsidP="00166DD6" w14:paraId="0C010E7F" w14:textId="3E7C35C1">
            <w:pPr>
              <w:pBdr>
                <w:top w:val="single" w:sz="6" w:space="0" w:color="FFFFFF"/>
                <w:left w:val="single" w:sz="6" w:space="0" w:color="FFFFFF"/>
                <w:bottom w:val="single" w:sz="6" w:space="0" w:color="FFFFFF"/>
                <w:right w:val="single" w:sz="6" w:space="0" w:color="FFFFFF"/>
              </w:pBdr>
              <w:spacing w:after="58"/>
            </w:pPr>
          </w:p>
        </w:tc>
      </w:tr>
      <w:tr w14:paraId="26B16369"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53CAAC5C" w14:textId="751FAC57">
            <w:pPr>
              <w:pBdr>
                <w:top w:val="single" w:sz="6" w:space="0" w:color="FFFFFF"/>
                <w:left w:val="single" w:sz="6" w:space="0" w:color="FFFFFF"/>
                <w:bottom w:val="single" w:sz="6" w:space="0" w:color="FFFFFF"/>
                <w:right w:val="single" w:sz="6" w:space="0" w:color="FFFFFF"/>
              </w:pBdr>
              <w:spacing w:after="58"/>
            </w:pPr>
            <w:r w:rsidRPr="004B2355">
              <w:t>Notifications until increments of progress are met.</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P="00166DD6" w14:paraId="2D34AFC6" w14:textId="2AE22146">
            <w:pPr>
              <w:pBdr>
                <w:top w:val="single" w:sz="6" w:space="0" w:color="FFFFFF"/>
                <w:left w:val="single" w:sz="6" w:space="0" w:color="FFFFFF"/>
                <w:bottom w:val="single" w:sz="6" w:space="0" w:color="FFFFFF"/>
                <w:right w:val="single" w:sz="6" w:space="0" w:color="FFFFFF"/>
              </w:pBdr>
              <w:spacing w:after="58"/>
            </w:pPr>
            <w:r w:rsidRPr="004B2355">
              <w:t>§60.2595</w:t>
            </w:r>
            <w:r w:rsidR="00730AFE">
              <w:t>,</w:t>
            </w:r>
          </w:p>
          <w:p w:rsidR="004912F6" w:rsidP="00166DD6" w14:paraId="40233F4A" w14:textId="00F0956D">
            <w:pPr>
              <w:pBdr>
                <w:top w:val="single" w:sz="6" w:space="0" w:color="FFFFFF"/>
                <w:left w:val="single" w:sz="6" w:space="0" w:color="FFFFFF"/>
                <w:bottom w:val="single" w:sz="6" w:space="0" w:color="FFFFFF"/>
                <w:right w:val="single" w:sz="6" w:space="0" w:color="FFFFFF"/>
              </w:pBdr>
              <w:spacing w:after="58"/>
            </w:pPr>
            <w:r w:rsidRPr="004B2355">
              <w:t>§</w:t>
            </w:r>
            <w:r>
              <w:t>60.2825(a)</w:t>
            </w:r>
          </w:p>
          <w:p w:rsidR="00730AFE" w:rsidRPr="004B2355" w:rsidP="00166DD6" w14:paraId="21431CB7" w14:textId="42378D7D">
            <w:pPr>
              <w:pBdr>
                <w:top w:val="single" w:sz="6" w:space="0" w:color="FFFFFF"/>
                <w:left w:val="single" w:sz="6" w:space="0" w:color="FFFFFF"/>
                <w:bottom w:val="single" w:sz="6" w:space="0" w:color="FFFFFF"/>
                <w:right w:val="single" w:sz="6" w:space="0" w:color="FFFFFF"/>
              </w:pBdr>
              <w:spacing w:after="58"/>
            </w:pPr>
            <w:r w:rsidRPr="004B2355">
              <w:t>§</w:t>
            </w:r>
            <w:r>
              <w:t>60.2835</w:t>
            </w:r>
          </w:p>
        </w:tc>
      </w:tr>
      <w:tr w14:paraId="3A382F00"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66DD6" w:rsidRPr="004B2355" w:rsidP="00166DD6" w14:paraId="7E3F7F31" w14:textId="7D106519">
            <w:pPr>
              <w:pBdr>
                <w:top w:val="single" w:sz="6" w:space="0" w:color="FFFFFF"/>
                <w:left w:val="single" w:sz="6" w:space="0" w:color="FFFFFF"/>
                <w:bottom w:val="single" w:sz="6" w:space="0" w:color="FFFFFF"/>
                <w:right w:val="single" w:sz="6" w:space="0" w:color="FFFFFF"/>
              </w:pBdr>
              <w:spacing w:after="58"/>
            </w:pPr>
            <w:r w:rsidRPr="004B2355">
              <w:t>Notification of closure.</w:t>
            </w:r>
          </w:p>
        </w:tc>
        <w:tc>
          <w:tcPr>
            <w:tcW w:w="2529" w:type="dxa"/>
            <w:tcBorders>
              <w:top w:val="single" w:sz="7" w:space="0" w:color="000000"/>
              <w:left w:val="single" w:sz="7" w:space="0" w:color="000000"/>
              <w:bottom w:val="single" w:sz="7" w:space="0" w:color="000000"/>
              <w:right w:val="single" w:sz="7" w:space="0" w:color="000000"/>
            </w:tcBorders>
            <w:vAlign w:val="center"/>
          </w:tcPr>
          <w:p w:rsidR="00166DD6" w:rsidP="00166DD6" w14:paraId="65538A63" w14:textId="77777777">
            <w:pPr>
              <w:pBdr>
                <w:top w:val="single" w:sz="6" w:space="0" w:color="FFFFFF"/>
                <w:left w:val="single" w:sz="6" w:space="0" w:color="FFFFFF"/>
                <w:bottom w:val="single" w:sz="6" w:space="0" w:color="FFFFFF"/>
                <w:right w:val="single" w:sz="6" w:space="0" w:color="FFFFFF"/>
              </w:pBdr>
              <w:spacing w:after="58"/>
            </w:pPr>
            <w:r w:rsidRPr="004B2355">
              <w:t>§60.2615</w:t>
            </w:r>
            <w:r w:rsidR="00730AFE">
              <w:t>,</w:t>
            </w:r>
          </w:p>
          <w:p w:rsidR="00730AFE" w:rsidRPr="004B2355" w:rsidP="00166DD6" w14:paraId="64FF8903" w14:textId="58C6473E">
            <w:pPr>
              <w:pBdr>
                <w:top w:val="single" w:sz="6" w:space="0" w:color="FFFFFF"/>
                <w:left w:val="single" w:sz="6" w:space="0" w:color="FFFFFF"/>
                <w:bottom w:val="single" w:sz="6" w:space="0" w:color="FFFFFF"/>
                <w:right w:val="single" w:sz="6" w:space="0" w:color="FFFFFF"/>
              </w:pBdr>
              <w:spacing w:after="58"/>
            </w:pPr>
            <w:r w:rsidRPr="004B2355">
              <w:t>§</w:t>
            </w:r>
            <w:r>
              <w:t>60.2855</w:t>
            </w:r>
          </w:p>
        </w:tc>
      </w:tr>
      <w:tr w14:paraId="6286853A"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5779F0" w:rsidRPr="004B2355" w:rsidP="005779F0" w14:paraId="49C247E9" w14:textId="74AD7B53">
            <w:pPr>
              <w:pBdr>
                <w:top w:val="single" w:sz="6" w:space="0" w:color="FFFFFF"/>
                <w:left w:val="single" w:sz="6" w:space="0" w:color="FFFFFF"/>
                <w:bottom w:val="single" w:sz="6" w:space="0" w:color="FFFFFF"/>
                <w:right w:val="single" w:sz="6" w:space="0" w:color="FFFFFF"/>
              </w:pBdr>
              <w:spacing w:after="58"/>
            </w:pPr>
            <w:r w:rsidRPr="004B2355">
              <w:t>Qualified operator deviation notification.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5779F0" w:rsidRPr="004B2355" w:rsidP="005779F0" w14:paraId="3D4D88D1" w14:textId="3E61238D">
            <w:pPr>
              <w:pBdr>
                <w:top w:val="single" w:sz="6" w:space="0" w:color="FFFFFF"/>
                <w:left w:val="single" w:sz="6" w:space="0" w:color="FFFFFF"/>
                <w:bottom w:val="single" w:sz="6" w:space="0" w:color="FFFFFF"/>
                <w:right w:val="single" w:sz="6" w:space="0" w:color="FFFFFF"/>
              </w:pBdr>
              <w:spacing w:after="58"/>
            </w:pPr>
            <w:r w:rsidRPr="004B2355">
              <w:t>§60.2785(a)(1)</w:t>
            </w:r>
          </w:p>
        </w:tc>
      </w:tr>
      <w:tr w14:paraId="2537D7CC"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99591A" w:rsidRPr="004B2355" w:rsidP="0099591A" w14:paraId="67A2D1D5" w14:textId="59F0EBBC">
            <w:pPr>
              <w:pBdr>
                <w:top w:val="single" w:sz="6" w:space="0" w:color="FFFFFF"/>
                <w:left w:val="single" w:sz="6" w:space="0" w:color="FFFFFF"/>
                <w:bottom w:val="single" w:sz="6" w:space="0" w:color="FFFFFF"/>
                <w:right w:val="single" w:sz="6" w:space="0" w:color="FFFFFF"/>
              </w:pBdr>
              <w:spacing w:after="58"/>
            </w:pPr>
            <w:r w:rsidRPr="004B2355">
              <w:t>Qualified operator deviation notification of resumed operation.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99591A" w:rsidRPr="004B2355" w:rsidP="0099591A" w14:paraId="6C58C985" w14:textId="0A906224">
            <w:pPr>
              <w:pBdr>
                <w:top w:val="single" w:sz="6" w:space="0" w:color="FFFFFF"/>
                <w:left w:val="single" w:sz="6" w:space="0" w:color="FFFFFF"/>
                <w:bottom w:val="single" w:sz="6" w:space="0" w:color="FFFFFF"/>
                <w:right w:val="single" w:sz="6" w:space="0" w:color="FFFFFF"/>
              </w:pBdr>
              <w:spacing w:after="58"/>
            </w:pPr>
            <w:r w:rsidRPr="004B2355">
              <w:t>§60.2785(b)</w:t>
            </w:r>
          </w:p>
        </w:tc>
      </w:tr>
      <w:tr w14:paraId="395989FF"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99591A" w:rsidRPr="004B2355" w:rsidP="0099591A" w14:paraId="7769B4A8" w14:textId="6011C68F">
            <w:pPr>
              <w:pBdr>
                <w:top w:val="single" w:sz="6" w:space="0" w:color="FFFFFF"/>
                <w:left w:val="single" w:sz="6" w:space="0" w:color="FFFFFF"/>
                <w:bottom w:val="single" w:sz="6" w:space="0" w:color="FFFFFF"/>
                <w:right w:val="single" w:sz="6" w:space="0" w:color="FFFFFF"/>
              </w:pBdr>
              <w:spacing w:after="58"/>
            </w:pPr>
            <w:r w:rsidRPr="004B2355">
              <w:t>Notification of waste-to-fuel switch.</w:t>
            </w:r>
          </w:p>
        </w:tc>
        <w:tc>
          <w:tcPr>
            <w:tcW w:w="2529" w:type="dxa"/>
            <w:tcBorders>
              <w:top w:val="single" w:sz="7" w:space="0" w:color="000000"/>
              <w:left w:val="single" w:sz="7" w:space="0" w:color="000000"/>
              <w:bottom w:val="single" w:sz="7" w:space="0" w:color="000000"/>
              <w:right w:val="single" w:sz="7" w:space="0" w:color="000000"/>
            </w:tcBorders>
            <w:vAlign w:val="center"/>
          </w:tcPr>
          <w:p w:rsidR="0099591A" w:rsidRPr="004B2355" w:rsidP="0099591A" w14:paraId="2D448971" w14:textId="24FB40BB">
            <w:pPr>
              <w:pBdr>
                <w:top w:val="single" w:sz="6" w:space="0" w:color="FFFFFF"/>
                <w:left w:val="single" w:sz="6" w:space="0" w:color="FFFFFF"/>
                <w:bottom w:val="single" w:sz="6" w:space="0" w:color="FFFFFF"/>
                <w:right w:val="single" w:sz="6" w:space="0" w:color="FFFFFF"/>
              </w:pBdr>
              <w:spacing w:after="58"/>
            </w:pPr>
            <w:r w:rsidRPr="004B2355">
              <w:t>§60.2710(a)(4), §60.2790(b)</w:t>
            </w:r>
          </w:p>
        </w:tc>
      </w:tr>
      <w:tr w14:paraId="09293259" w14:textId="77777777" w:rsidTr="009E7AF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99591A" w:rsidRPr="004B2355" w:rsidP="0099591A" w14:paraId="7B2143B0" w14:textId="55EF052C">
            <w:pPr>
              <w:pBdr>
                <w:top w:val="single" w:sz="6" w:space="0" w:color="FFFFFF"/>
                <w:left w:val="single" w:sz="6" w:space="0" w:color="FFFFFF"/>
                <w:bottom w:val="single" w:sz="6" w:space="0" w:color="FFFFFF"/>
                <w:right w:val="single" w:sz="6" w:space="0" w:color="FFFFFF"/>
              </w:pBdr>
              <w:spacing w:after="58"/>
            </w:pPr>
            <w:r w:rsidRPr="004B2355">
              <w:t>Notification of air curtain incinerator closure.</w:t>
            </w:r>
          </w:p>
        </w:tc>
        <w:tc>
          <w:tcPr>
            <w:tcW w:w="2529" w:type="dxa"/>
            <w:tcBorders>
              <w:top w:val="single" w:sz="7" w:space="0" w:color="000000"/>
              <w:left w:val="single" w:sz="7" w:space="0" w:color="000000"/>
              <w:bottom w:val="single" w:sz="7" w:space="0" w:color="000000"/>
              <w:right w:val="single" w:sz="7" w:space="0" w:color="000000"/>
            </w:tcBorders>
            <w:vAlign w:val="center"/>
          </w:tcPr>
          <w:p w:rsidR="0099591A" w:rsidRPr="004B2355" w:rsidP="0099591A" w14:paraId="462EB6D7" w14:textId="4DA64E83">
            <w:pPr>
              <w:pBdr>
                <w:top w:val="single" w:sz="6" w:space="0" w:color="FFFFFF"/>
                <w:left w:val="single" w:sz="6" w:space="0" w:color="FFFFFF"/>
                <w:bottom w:val="single" w:sz="6" w:space="0" w:color="FFFFFF"/>
                <w:right w:val="single" w:sz="6" w:space="0" w:color="FFFFFF"/>
              </w:pBdr>
              <w:spacing w:after="58"/>
            </w:pPr>
            <w:r w:rsidRPr="004B2355">
              <w:t>§60.2855</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5779F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5779F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779F0" w:rsidRPr="00CF2B37" w:rsidP="005779F0" w14:paraId="4930BE0A" w14:textId="19121C9B">
            <w:pPr>
              <w:pBdr>
                <w:top w:val="single" w:sz="6" w:space="0" w:color="FFFFFF"/>
                <w:left w:val="single" w:sz="6" w:space="0" w:color="FFFFFF"/>
                <w:bottom w:val="single" w:sz="6" w:space="0" w:color="FFFFFF"/>
                <w:right w:val="single" w:sz="6" w:space="0" w:color="FFFFFF"/>
              </w:pBdr>
              <w:spacing w:after="58"/>
            </w:pPr>
            <w:r w:rsidRPr="00F8121B">
              <w:t>Waste management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779F0" w:rsidRPr="00CF2B37" w:rsidP="005779F0" w14:paraId="6DF7646A" w14:textId="66E01AFB">
            <w:pPr>
              <w:pBdr>
                <w:top w:val="single" w:sz="6" w:space="0" w:color="FFFFFF"/>
                <w:left w:val="single" w:sz="6" w:space="0" w:color="FFFFFF"/>
                <w:bottom w:val="single" w:sz="6" w:space="0" w:color="FFFFFF"/>
                <w:right w:val="single" w:sz="6" w:space="0" w:color="FFFFFF"/>
              </w:pBdr>
              <w:spacing w:after="58"/>
            </w:pPr>
            <w:r w:rsidRPr="00F8121B">
              <w:t xml:space="preserve">§60.2755 </w:t>
            </w:r>
          </w:p>
        </w:tc>
      </w:tr>
      <w:tr w14:paraId="668B58F5" w14:textId="77777777" w:rsidTr="005779F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779F0" w:rsidRPr="00CF2B37" w:rsidP="005779F0" w14:paraId="6B801D56" w14:textId="760DE0B4">
            <w:pPr>
              <w:pBdr>
                <w:top w:val="single" w:sz="6" w:space="0" w:color="FFFFFF"/>
                <w:left w:val="single" w:sz="6" w:space="0" w:color="FFFFFF"/>
                <w:bottom w:val="single" w:sz="6" w:space="0" w:color="FFFFFF"/>
                <w:right w:val="single" w:sz="6" w:space="0" w:color="FFFFFF"/>
              </w:pBdr>
              <w:spacing w:after="58"/>
            </w:pPr>
            <w:r w:rsidRPr="00F8121B">
              <w:t>Initial and subsequent performance test reports</w:t>
            </w:r>
            <w:r>
              <w:t xml:space="preserve"> (electronic submission)</w:t>
            </w:r>
            <w:r w:rsidRPr="00F8121B">
              <w: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30AFE" w:rsidRPr="00CF2B37" w:rsidP="005779F0" w14:paraId="2CF24D47" w14:textId="7551A218">
            <w:pPr>
              <w:pBdr>
                <w:top w:val="single" w:sz="6" w:space="0" w:color="FFFFFF"/>
                <w:left w:val="single" w:sz="6" w:space="0" w:color="FFFFFF"/>
                <w:bottom w:val="single" w:sz="6" w:space="0" w:color="FFFFFF"/>
                <w:right w:val="single" w:sz="6" w:space="0" w:color="FFFFFF"/>
              </w:pBdr>
              <w:spacing w:after="58"/>
            </w:pPr>
            <w:r w:rsidRPr="00F8121B">
              <w:t>§§60.2760(a)-(c)</w:t>
            </w:r>
          </w:p>
        </w:tc>
      </w:tr>
      <w:tr w14:paraId="27CA75D7" w14:textId="77777777" w:rsidTr="005779F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779F0" w:rsidRPr="00CF2B37" w:rsidP="005779F0" w14:paraId="54F924A9" w14:textId="4E22C7C5">
            <w:pPr>
              <w:pBdr>
                <w:top w:val="single" w:sz="6" w:space="0" w:color="FFFFFF"/>
                <w:left w:val="single" w:sz="6" w:space="0" w:color="FFFFFF"/>
                <w:bottom w:val="single" w:sz="6" w:space="0" w:color="FFFFFF"/>
                <w:right w:val="single" w:sz="6" w:space="0" w:color="FFFFFF"/>
              </w:pBdr>
              <w:spacing w:after="58"/>
            </w:pPr>
            <w:r w:rsidRPr="00F8121B">
              <w:t>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779F0" w:rsidRPr="00CF2B37" w:rsidP="005779F0" w14:paraId="75004E58" w14:textId="2756B0B4">
            <w:pPr>
              <w:pBdr>
                <w:top w:val="single" w:sz="6" w:space="0" w:color="FFFFFF"/>
                <w:left w:val="single" w:sz="6" w:space="0" w:color="FFFFFF"/>
                <w:bottom w:val="single" w:sz="6" w:space="0" w:color="FFFFFF"/>
                <w:right w:val="single" w:sz="6" w:space="0" w:color="FFFFFF"/>
              </w:pBdr>
              <w:spacing w:after="58"/>
            </w:pPr>
            <w:r w:rsidRPr="00F8121B">
              <w:t>§60.2765, §§60.2770(a)-(p)</w:t>
            </w:r>
          </w:p>
        </w:tc>
      </w:tr>
      <w:tr w14:paraId="33A5C16A" w14:textId="77777777" w:rsidTr="005779F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779F0" w:rsidRPr="00CF2B37" w:rsidP="005779F0" w14:paraId="4FD53D21" w14:textId="43C59E97">
            <w:pPr>
              <w:pBdr>
                <w:top w:val="single" w:sz="6" w:space="0" w:color="FFFFFF"/>
                <w:left w:val="single" w:sz="6" w:space="0" w:color="FFFFFF"/>
                <w:bottom w:val="single" w:sz="6" w:space="0" w:color="FFFFFF"/>
                <w:right w:val="single" w:sz="6" w:space="0" w:color="FFFFFF"/>
              </w:pBdr>
              <w:spacing w:after="58"/>
            </w:pPr>
            <w:r w:rsidRPr="00F8121B">
              <w:t>Emission limitation or operating limit deviation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779F0" w:rsidRPr="00CF2B37" w:rsidP="005779F0" w14:paraId="4296F0EE" w14:textId="7BD8144D">
            <w:pPr>
              <w:pBdr>
                <w:top w:val="single" w:sz="6" w:space="0" w:color="FFFFFF"/>
                <w:left w:val="single" w:sz="6" w:space="0" w:color="FFFFFF"/>
                <w:bottom w:val="single" w:sz="6" w:space="0" w:color="FFFFFF"/>
                <w:right w:val="single" w:sz="6" w:space="0" w:color="FFFFFF"/>
              </w:pBdr>
              <w:spacing w:after="58"/>
            </w:pPr>
            <w:r w:rsidRPr="00F8121B">
              <w:t>§§60.2775(a)-(b), §§60.2780(a)-(d)</w:t>
            </w:r>
            <w:r w:rsidR="006B63FA">
              <w:t xml:space="preserve"> </w:t>
            </w:r>
          </w:p>
        </w:tc>
      </w:tr>
      <w:tr w14:paraId="3F691F62" w14:textId="77777777" w:rsidTr="005779F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591A" w:rsidRPr="00F8121B" w:rsidP="0099591A" w14:paraId="55DFC9EC" w14:textId="1A25531F">
            <w:pPr>
              <w:pBdr>
                <w:top w:val="single" w:sz="6" w:space="0" w:color="FFFFFF"/>
                <w:left w:val="single" w:sz="6" w:space="0" w:color="FFFFFF"/>
                <w:bottom w:val="single" w:sz="6" w:space="0" w:color="FFFFFF"/>
                <w:right w:val="single" w:sz="6" w:space="0" w:color="FFFFFF"/>
              </w:pBdr>
              <w:spacing w:after="58"/>
            </w:pPr>
            <w:r w:rsidRPr="00F8121B">
              <w:t>Qualified operator deviation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9591A" w:rsidRPr="00F8121B" w:rsidP="0099591A" w14:paraId="05523FE0" w14:textId="24F283EF">
            <w:pPr>
              <w:pBdr>
                <w:top w:val="single" w:sz="6" w:space="0" w:color="FFFFFF"/>
                <w:left w:val="single" w:sz="6" w:space="0" w:color="FFFFFF"/>
                <w:bottom w:val="single" w:sz="6" w:space="0" w:color="FFFFFF"/>
                <w:right w:val="single" w:sz="6" w:space="0" w:color="FFFFFF"/>
              </w:pBdr>
              <w:spacing w:after="58"/>
            </w:pPr>
            <w:r w:rsidRPr="00F8121B">
              <w:t>§60.2785(a)(2)</w:t>
            </w:r>
          </w:p>
        </w:tc>
      </w:tr>
      <w:tr w14:paraId="5C400E37" w14:textId="77777777" w:rsidTr="005779F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30AFE" w:rsidRPr="0C0F2F91" w14:paraId="667D0500" w14:textId="7F147129">
            <w:pPr>
              <w:pBdr>
                <w:top w:val="single" w:sz="6" w:space="0" w:color="FFFFFF"/>
                <w:left w:val="single" w:sz="6" w:space="0" w:color="FFFFFF"/>
                <w:bottom w:val="single" w:sz="6" w:space="0" w:color="FFFFFF"/>
                <w:right w:val="single" w:sz="6" w:space="0" w:color="FFFFFF"/>
              </w:pBdr>
              <w:spacing w:after="58"/>
            </w:pPr>
            <w:r>
              <w:t>Initial and annual opacity test reports</w:t>
            </w:r>
            <w:r w:rsidR="005B4B4E">
              <w:t xml:space="preserve"> for air curtain incinerators</w:t>
            </w:r>
            <w:r>
              <w: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30AFE" w:rsidRPr="00CF2B37" w14:paraId="6535CE81" w14:textId="276C205D">
            <w:pPr>
              <w:pBdr>
                <w:top w:val="single" w:sz="6" w:space="0" w:color="FFFFFF"/>
                <w:left w:val="single" w:sz="6" w:space="0" w:color="FFFFFF"/>
                <w:bottom w:val="single" w:sz="6" w:space="0" w:color="FFFFFF"/>
                <w:right w:val="single" w:sz="6" w:space="0" w:color="FFFFFF"/>
              </w:pBdr>
              <w:spacing w:after="58"/>
            </w:pPr>
            <w:r w:rsidRPr="004B2355">
              <w:t>§</w:t>
            </w:r>
            <w:r>
              <w:t>60.2870</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99591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E116DC" w:rsidP="0099591A" w14:paraId="52F2EF63" w14:textId="156F26C7">
            <w:pPr>
              <w:pBdr>
                <w:top w:val="single" w:sz="6" w:space="0" w:color="FFFFFF"/>
                <w:left w:val="single" w:sz="6" w:space="0" w:color="FFFFFF"/>
                <w:bottom w:val="single" w:sz="6" w:space="0" w:color="FFFFFF"/>
                <w:right w:val="single" w:sz="6" w:space="0" w:color="FFFFFF"/>
              </w:pBdr>
              <w:spacing w:after="58"/>
            </w:pPr>
            <w:r w:rsidRPr="00F8121B">
              <w:t>Maintain an onsite copy of the final control plan</w:t>
            </w:r>
          </w:p>
        </w:tc>
        <w:tc>
          <w:tcPr>
            <w:tcW w:w="2250" w:type="dxa"/>
            <w:tcBorders>
              <w:top w:val="single" w:sz="7" w:space="0" w:color="000000"/>
              <w:left w:val="single" w:sz="7" w:space="0" w:color="000000"/>
              <w:bottom w:val="single" w:sz="7" w:space="0" w:color="000000"/>
              <w:right w:val="single" w:sz="7" w:space="0" w:color="000000"/>
            </w:tcBorders>
          </w:tcPr>
          <w:p w:rsidR="0099591A" w:rsidRPr="00E116DC" w:rsidP="0099591A" w14:paraId="4CD69875" w14:textId="642F4AED">
            <w:pPr>
              <w:pBdr>
                <w:top w:val="single" w:sz="6" w:space="0" w:color="FFFFFF"/>
                <w:left w:val="single" w:sz="6" w:space="0" w:color="FFFFFF"/>
                <w:bottom w:val="single" w:sz="6" w:space="0" w:color="FFFFFF"/>
                <w:right w:val="single" w:sz="6" w:space="0" w:color="FFFFFF"/>
              </w:pBdr>
              <w:spacing w:after="58"/>
            </w:pPr>
            <w:r w:rsidRPr="00F8121B">
              <w:t>§60.2600(b)</w:t>
            </w:r>
          </w:p>
        </w:tc>
      </w:tr>
      <w:tr w14:paraId="36691C85"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2402E105" w14:textId="055A4D81">
            <w:pPr>
              <w:pBdr>
                <w:top w:val="single" w:sz="6" w:space="0" w:color="FFFFFF"/>
                <w:left w:val="single" w:sz="6" w:space="0" w:color="FFFFFF"/>
                <w:bottom w:val="single" w:sz="6" w:space="0" w:color="FFFFFF"/>
                <w:right w:val="single" w:sz="6" w:space="0" w:color="FFFFFF"/>
              </w:pBdr>
              <w:spacing w:after="58"/>
            </w:pPr>
            <w:r w:rsidRPr="00F8121B">
              <w:t>Maintain records of startups, shutdowns, or malfunctions.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1D7F443A" w14:textId="745BF473">
            <w:pPr>
              <w:pBdr>
                <w:top w:val="single" w:sz="6" w:space="0" w:color="FFFFFF"/>
                <w:left w:val="single" w:sz="6" w:space="0" w:color="FFFFFF"/>
                <w:bottom w:val="single" w:sz="6" w:space="0" w:color="FFFFFF"/>
                <w:right w:val="single" w:sz="6" w:space="0" w:color="FFFFFF"/>
              </w:pBdr>
              <w:spacing w:after="58"/>
            </w:pPr>
            <w:r w:rsidRPr="00F8121B">
              <w:t>§60.7(b)</w:t>
            </w:r>
          </w:p>
        </w:tc>
      </w:tr>
      <w:tr w14:paraId="7B98B13A"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7977DDAC" w14:textId="06BDCE86">
            <w:pPr>
              <w:pBdr>
                <w:top w:val="single" w:sz="6" w:space="0" w:color="FFFFFF"/>
                <w:left w:val="single" w:sz="6" w:space="0" w:color="FFFFFF"/>
                <w:bottom w:val="single" w:sz="6" w:space="0" w:color="FFFFFF"/>
                <w:right w:val="single" w:sz="6" w:space="0" w:color="FFFFFF"/>
              </w:pBdr>
              <w:spacing w:after="58"/>
            </w:pPr>
            <w:r w:rsidRPr="00F8121B">
              <w:t>Retain records for five years.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06801B01" w14:textId="3AA8B024">
            <w:pPr>
              <w:pBdr>
                <w:top w:val="single" w:sz="6" w:space="0" w:color="FFFFFF"/>
                <w:left w:val="single" w:sz="6" w:space="0" w:color="FFFFFF"/>
                <w:bottom w:val="single" w:sz="6" w:space="0" w:color="FFFFFF"/>
                <w:right w:val="single" w:sz="6" w:space="0" w:color="FFFFFF"/>
              </w:pBdr>
              <w:spacing w:after="58"/>
            </w:pPr>
            <w:r w:rsidRPr="00F8121B">
              <w:t>§60.2740</w:t>
            </w:r>
          </w:p>
        </w:tc>
      </w:tr>
      <w:tr w14:paraId="32AE5640"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2BD4034B" w14:textId="747A1729">
            <w:pPr>
              <w:pBdr>
                <w:top w:val="single" w:sz="6" w:space="0" w:color="FFFFFF"/>
                <w:left w:val="single" w:sz="6" w:space="0" w:color="FFFFFF"/>
                <w:bottom w:val="single" w:sz="6" w:space="0" w:color="FFFFFF"/>
                <w:right w:val="single" w:sz="6" w:space="0" w:color="FFFFFF"/>
              </w:pBdr>
              <w:spacing w:after="58"/>
            </w:pPr>
            <w:r w:rsidRPr="00F8121B">
              <w:t>Maintain calendar date of each record.</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7F8F2C95" w14:textId="0AD7880B">
            <w:pPr>
              <w:pBdr>
                <w:top w:val="single" w:sz="6" w:space="0" w:color="FFFFFF"/>
                <w:left w:val="single" w:sz="6" w:space="0" w:color="FFFFFF"/>
                <w:bottom w:val="single" w:sz="6" w:space="0" w:color="FFFFFF"/>
                <w:right w:val="single" w:sz="6" w:space="0" w:color="FFFFFF"/>
              </w:pBdr>
              <w:spacing w:after="58"/>
            </w:pPr>
            <w:r w:rsidRPr="00F8121B">
              <w:t>§60.2740(a)</w:t>
            </w:r>
          </w:p>
        </w:tc>
      </w:tr>
      <w:tr w14:paraId="157FC910"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652FB47B" w14:textId="098AC320">
            <w:pPr>
              <w:pBdr>
                <w:top w:val="single" w:sz="6" w:space="0" w:color="FFFFFF"/>
                <w:left w:val="single" w:sz="6" w:space="0" w:color="FFFFFF"/>
                <w:bottom w:val="single" w:sz="6" w:space="0" w:color="FFFFFF"/>
                <w:right w:val="single" w:sz="6" w:space="0" w:color="FFFFFF"/>
              </w:pBdr>
              <w:spacing w:after="58"/>
            </w:pPr>
            <w:r w:rsidRPr="00F8121B">
              <w:t>Maintain 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722BCDB7" w14:textId="2B6C4DC9">
            <w:pPr>
              <w:pBdr>
                <w:top w:val="single" w:sz="6" w:space="0" w:color="FFFFFF"/>
                <w:left w:val="single" w:sz="6" w:space="0" w:color="FFFFFF"/>
                <w:bottom w:val="single" w:sz="6" w:space="0" w:color="FFFFFF"/>
                <w:right w:val="single" w:sz="6" w:space="0" w:color="FFFFFF"/>
              </w:pBdr>
              <w:spacing w:after="58"/>
            </w:pPr>
            <w:r w:rsidRPr="00F8121B">
              <w:t>§60.2740(b)</w:t>
            </w:r>
          </w:p>
        </w:tc>
      </w:tr>
      <w:tr w14:paraId="63E0115D"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6370B62B" w14:textId="74F0E378">
            <w:pPr>
              <w:pBdr>
                <w:top w:val="single" w:sz="6" w:space="0" w:color="FFFFFF"/>
                <w:left w:val="single" w:sz="6" w:space="0" w:color="FFFFFF"/>
                <w:bottom w:val="single" w:sz="6" w:space="0" w:color="FFFFFF"/>
                <w:right w:val="single" w:sz="6" w:space="0" w:color="FFFFFF"/>
              </w:pBdr>
              <w:spacing w:after="58"/>
            </w:pPr>
            <w:r w:rsidRPr="00F8121B">
              <w:t>Maintain records of dates when deviation from operating limits has occurred, including reasons for deviations and descriptions of corrective actions taken.</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76097525" w14:textId="58536F6C">
            <w:pPr>
              <w:pBdr>
                <w:top w:val="single" w:sz="6" w:space="0" w:color="FFFFFF"/>
                <w:left w:val="single" w:sz="6" w:space="0" w:color="FFFFFF"/>
                <w:bottom w:val="single" w:sz="6" w:space="0" w:color="FFFFFF"/>
                <w:right w:val="single" w:sz="6" w:space="0" w:color="FFFFFF"/>
              </w:pBdr>
              <w:spacing w:after="58"/>
            </w:pPr>
            <w:r w:rsidRPr="00F8121B">
              <w:t>§60.2740(e)</w:t>
            </w:r>
          </w:p>
        </w:tc>
      </w:tr>
      <w:tr w14:paraId="3230BB45"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35C42D4D" w14:textId="13E673C1">
            <w:pPr>
              <w:pBdr>
                <w:top w:val="single" w:sz="6" w:space="0" w:color="FFFFFF"/>
                <w:left w:val="single" w:sz="6" w:space="0" w:color="FFFFFF"/>
                <w:bottom w:val="single" w:sz="6" w:space="0" w:color="FFFFFF"/>
                <w:right w:val="single" w:sz="6" w:space="0" w:color="FFFFFF"/>
              </w:pBdr>
              <w:spacing w:after="58"/>
            </w:pPr>
            <w:r w:rsidRPr="00F8121B">
              <w:t>Maintain records of initial, annual, and any subsequent performance tests.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420AC4E7" w14:textId="0AF36DB6">
            <w:pPr>
              <w:pBdr>
                <w:top w:val="single" w:sz="6" w:space="0" w:color="FFFFFF"/>
                <w:left w:val="single" w:sz="6" w:space="0" w:color="FFFFFF"/>
                <w:bottom w:val="single" w:sz="6" w:space="0" w:color="FFFFFF"/>
                <w:right w:val="single" w:sz="6" w:space="0" w:color="FFFFFF"/>
              </w:pBdr>
              <w:spacing w:after="58"/>
            </w:pPr>
            <w:r w:rsidRPr="00F8121B">
              <w:t>§60.2740(f)</w:t>
            </w:r>
          </w:p>
        </w:tc>
      </w:tr>
      <w:tr w14:paraId="0BA42028"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29ECA890" w14:textId="37C4943E">
            <w:pPr>
              <w:pBdr>
                <w:top w:val="single" w:sz="6" w:space="0" w:color="FFFFFF"/>
                <w:left w:val="single" w:sz="6" w:space="0" w:color="FFFFFF"/>
                <w:bottom w:val="single" w:sz="6" w:space="0" w:color="FFFFFF"/>
                <w:right w:val="single" w:sz="6" w:space="0" w:color="FFFFFF"/>
              </w:pBdr>
              <w:spacing w:after="58"/>
            </w:pPr>
            <w:r w:rsidRPr="00F8121B">
              <w:t>Maintain records of CISWI unit operators who have completed the operator training requirements.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770B6810" w14:textId="0B77E00D">
            <w:pPr>
              <w:pBdr>
                <w:top w:val="single" w:sz="6" w:space="0" w:color="FFFFFF"/>
                <w:left w:val="single" w:sz="6" w:space="0" w:color="FFFFFF"/>
                <w:bottom w:val="single" w:sz="6" w:space="0" w:color="FFFFFF"/>
                <w:right w:val="single" w:sz="6" w:space="0" w:color="FFFFFF"/>
              </w:pBdr>
              <w:spacing w:after="58"/>
            </w:pPr>
            <w:r w:rsidRPr="00F8121B">
              <w:t>§§60.2740(g)-(h)</w:t>
            </w:r>
          </w:p>
        </w:tc>
      </w:tr>
      <w:tr w14:paraId="7A9E522D"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2A11876D" w14:textId="10DAF7D1">
            <w:pPr>
              <w:pBdr>
                <w:top w:val="single" w:sz="6" w:space="0" w:color="FFFFFF"/>
                <w:left w:val="single" w:sz="6" w:space="0" w:color="FFFFFF"/>
                <w:bottom w:val="single" w:sz="6" w:space="0" w:color="FFFFFF"/>
                <w:right w:val="single" w:sz="6" w:space="0" w:color="FFFFFF"/>
              </w:pBdr>
              <w:spacing w:after="58"/>
            </w:pPr>
            <w:r w:rsidRPr="00F8121B">
              <w:t>Maintain records of phone and/or pager numbers of CISWI unit operators having met the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7D853710" w14:textId="3B61BD08">
            <w:pPr>
              <w:pBdr>
                <w:top w:val="single" w:sz="6" w:space="0" w:color="FFFFFF"/>
                <w:left w:val="single" w:sz="6" w:space="0" w:color="FFFFFF"/>
                <w:bottom w:val="single" w:sz="6" w:space="0" w:color="FFFFFF"/>
                <w:right w:val="single" w:sz="6" w:space="0" w:color="FFFFFF"/>
              </w:pBdr>
              <w:spacing w:after="58"/>
            </w:pPr>
            <w:r w:rsidRPr="00F8121B">
              <w:t>§60.2740(</w:t>
            </w:r>
            <w:r w:rsidRPr="00F8121B">
              <w:t>i</w:t>
            </w:r>
            <w:r w:rsidRPr="00F8121B">
              <w:t>)</w:t>
            </w:r>
          </w:p>
        </w:tc>
      </w:tr>
      <w:tr w14:paraId="60CC44D8"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134F2395" w14:textId="2F9DA6E9">
            <w:pPr>
              <w:pBdr>
                <w:top w:val="single" w:sz="6" w:space="0" w:color="FFFFFF"/>
                <w:left w:val="single" w:sz="6" w:space="0" w:color="FFFFFF"/>
                <w:bottom w:val="single" w:sz="6" w:space="0" w:color="FFFFFF"/>
                <w:right w:val="single" w:sz="6" w:space="0" w:color="FFFFFF"/>
              </w:pBdr>
              <w:spacing w:after="58"/>
            </w:pPr>
            <w:r w:rsidRPr="00F8121B">
              <w:t>Maintain records of monitoring device calibrations.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5E14D8C1" w14:textId="4E190BAA">
            <w:pPr>
              <w:pBdr>
                <w:top w:val="single" w:sz="6" w:space="0" w:color="FFFFFF"/>
                <w:left w:val="single" w:sz="6" w:space="0" w:color="FFFFFF"/>
                <w:bottom w:val="single" w:sz="6" w:space="0" w:color="FFFFFF"/>
                <w:right w:val="single" w:sz="6" w:space="0" w:color="FFFFFF"/>
              </w:pBdr>
              <w:spacing w:after="58"/>
            </w:pPr>
            <w:r w:rsidRPr="00F8121B">
              <w:t>§60.7(f), §60.2740(j)</w:t>
            </w:r>
          </w:p>
        </w:tc>
      </w:tr>
      <w:tr w14:paraId="5244B502"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33BC892B" w14:textId="31E15C7D">
            <w:pPr>
              <w:pBdr>
                <w:top w:val="single" w:sz="6" w:space="0" w:color="FFFFFF"/>
                <w:left w:val="single" w:sz="6" w:space="0" w:color="FFFFFF"/>
                <w:bottom w:val="single" w:sz="6" w:space="0" w:color="FFFFFF"/>
                <w:right w:val="single" w:sz="6" w:space="0" w:color="FFFFFF"/>
              </w:pBdr>
              <w:spacing w:after="58"/>
            </w:pPr>
            <w:r w:rsidRPr="00F8121B">
              <w:t>Maintain records of equipment vendor specifications and operation and maintenance requirements for incinerators,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62E6FB54" w14:textId="2DA5F82F">
            <w:pPr>
              <w:pBdr>
                <w:top w:val="single" w:sz="6" w:space="0" w:color="FFFFFF"/>
                <w:left w:val="single" w:sz="6" w:space="0" w:color="FFFFFF"/>
                <w:bottom w:val="single" w:sz="6" w:space="0" w:color="FFFFFF"/>
                <w:right w:val="single" w:sz="6" w:space="0" w:color="FFFFFF"/>
              </w:pBdr>
              <w:spacing w:after="58"/>
            </w:pPr>
            <w:r w:rsidRPr="00F8121B">
              <w:t>§60.2740(k)</w:t>
            </w:r>
          </w:p>
        </w:tc>
      </w:tr>
      <w:tr w14:paraId="44F93BFF"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1109E0B9" w14:textId="532EF592">
            <w:pPr>
              <w:pBdr>
                <w:top w:val="single" w:sz="6" w:space="0" w:color="FFFFFF"/>
                <w:left w:val="single" w:sz="6" w:space="0" w:color="FFFFFF"/>
                <w:bottom w:val="single" w:sz="6" w:space="0" w:color="FFFFFF"/>
                <w:right w:val="single" w:sz="6" w:space="0" w:color="FFFFFF"/>
              </w:pBdr>
              <w:spacing w:after="58"/>
            </w:pPr>
            <w:r w:rsidRPr="00F8121B">
              <w:t>Maintain records of site-specific procedures; CISWI unit operator review of site-specific procedures; and operator training documentation and contact information.</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42FED334" w14:textId="43D1C988">
            <w:pPr>
              <w:pBdr>
                <w:top w:val="single" w:sz="6" w:space="0" w:color="FFFFFF"/>
                <w:left w:val="single" w:sz="6" w:space="0" w:color="FFFFFF"/>
                <w:bottom w:val="single" w:sz="6" w:space="0" w:color="FFFFFF"/>
                <w:right w:val="single" w:sz="6" w:space="0" w:color="FFFFFF"/>
              </w:pBdr>
              <w:spacing w:after="58"/>
            </w:pPr>
            <w:r w:rsidRPr="00F8121B">
              <w:t>§60.2660(a), §60.2740(l), §60.2660(c), §60.2740(g)</w:t>
            </w:r>
            <w:r w:rsidR="006B63FA">
              <w:t xml:space="preserve"> </w:t>
            </w:r>
          </w:p>
        </w:tc>
      </w:tr>
      <w:tr w14:paraId="75EDFD63"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646167B4" w14:textId="64135950">
            <w:pPr>
              <w:pBdr>
                <w:top w:val="single" w:sz="6" w:space="0" w:color="FFFFFF"/>
                <w:left w:val="single" w:sz="6" w:space="0" w:color="FFFFFF"/>
                <w:bottom w:val="single" w:sz="6" w:space="0" w:color="FFFFFF"/>
                <w:right w:val="single" w:sz="6" w:space="0" w:color="FFFFFF"/>
              </w:pBdr>
              <w:spacing w:after="58"/>
            </w:pPr>
            <w:r w:rsidRPr="00F8121B">
              <w:t>Maintain records of daily log of quantity and types of waste burned.</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07D44880" w14:textId="5556484C">
            <w:pPr>
              <w:pBdr>
                <w:top w:val="single" w:sz="6" w:space="0" w:color="FFFFFF"/>
                <w:left w:val="single" w:sz="6" w:space="0" w:color="FFFFFF"/>
                <w:bottom w:val="single" w:sz="6" w:space="0" w:color="FFFFFF"/>
                <w:right w:val="single" w:sz="6" w:space="0" w:color="FFFFFF"/>
              </w:pBdr>
              <w:spacing w:after="58"/>
            </w:pPr>
            <w:r w:rsidRPr="00F8121B">
              <w:t>§60.2740(m)</w:t>
            </w:r>
          </w:p>
        </w:tc>
      </w:tr>
      <w:tr w14:paraId="10A9C323"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6C38F781" w14:textId="6A207D93">
            <w:pPr>
              <w:pBdr>
                <w:top w:val="single" w:sz="6" w:space="0" w:color="FFFFFF"/>
                <w:left w:val="single" w:sz="6" w:space="0" w:color="FFFFFF"/>
                <w:bottom w:val="single" w:sz="6" w:space="0" w:color="FFFFFF"/>
                <w:right w:val="single" w:sz="6" w:space="0" w:color="FFFFFF"/>
              </w:pBdr>
              <w:spacing w:after="58"/>
            </w:pPr>
            <w:r w:rsidRPr="00F8121B">
              <w:t>Maintain records of annual inspections of air pollution control devices, any required maintenance, and any repairs not completed within the established timeframe.</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607C03C7" w14:textId="7B7E54CE">
            <w:pPr>
              <w:pBdr>
                <w:top w:val="single" w:sz="6" w:space="0" w:color="FFFFFF"/>
                <w:left w:val="single" w:sz="6" w:space="0" w:color="FFFFFF"/>
                <w:bottom w:val="single" w:sz="6" w:space="0" w:color="FFFFFF"/>
                <w:right w:val="single" w:sz="6" w:space="0" w:color="FFFFFF"/>
              </w:pBdr>
              <w:spacing w:after="58"/>
            </w:pPr>
            <w:r w:rsidRPr="00F8121B">
              <w:t>§60.2740(n)</w:t>
            </w:r>
          </w:p>
        </w:tc>
      </w:tr>
      <w:tr w14:paraId="7D2EC01E"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077EDFBD" w14:textId="38884BF6">
            <w:pPr>
              <w:pBdr>
                <w:top w:val="single" w:sz="6" w:space="0" w:color="FFFFFF"/>
                <w:left w:val="single" w:sz="6" w:space="0" w:color="FFFFFF"/>
                <w:bottom w:val="single" w:sz="6" w:space="0" w:color="FFFFFF"/>
                <w:right w:val="single" w:sz="6" w:space="0" w:color="FFFFFF"/>
              </w:pBdr>
              <w:spacing w:after="58"/>
            </w:pPr>
            <w:r w:rsidRPr="00F8121B">
              <w:t>Maintain records of continuous monitoring systems parameter measurements.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295A02EB" w14:textId="5FD6F036">
            <w:pPr>
              <w:pBdr>
                <w:top w:val="single" w:sz="6" w:space="0" w:color="FFFFFF"/>
                <w:left w:val="single" w:sz="6" w:space="0" w:color="FFFFFF"/>
                <w:bottom w:val="single" w:sz="6" w:space="0" w:color="FFFFFF"/>
                <w:right w:val="single" w:sz="6" w:space="0" w:color="FFFFFF"/>
              </w:pBdr>
              <w:spacing w:after="58"/>
            </w:pPr>
            <w:r w:rsidRPr="00F8121B">
              <w:t>§60.7(f), §60.2740(o)</w:t>
            </w:r>
          </w:p>
        </w:tc>
      </w:tr>
      <w:tr w14:paraId="3F64ED51"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76E7C3AF" w14:textId="53CA2B45">
            <w:pPr>
              <w:pBdr>
                <w:top w:val="single" w:sz="6" w:space="0" w:color="FFFFFF"/>
                <w:left w:val="single" w:sz="6" w:space="0" w:color="FFFFFF"/>
                <w:bottom w:val="single" w:sz="6" w:space="0" w:color="FFFFFF"/>
                <w:right w:val="single" w:sz="6" w:space="0" w:color="FFFFFF"/>
              </w:pBdr>
              <w:spacing w:after="58"/>
            </w:pPr>
            <w:r w:rsidRPr="00F8121B">
              <w:t>Maintain records indicating date, time, and duration of bypass stack use.</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344B14AD" w14:textId="0DEAE63D">
            <w:pPr>
              <w:pBdr>
                <w:top w:val="single" w:sz="6" w:space="0" w:color="FFFFFF"/>
                <w:left w:val="single" w:sz="6" w:space="0" w:color="FFFFFF"/>
                <w:bottom w:val="single" w:sz="6" w:space="0" w:color="FFFFFF"/>
                <w:right w:val="single" w:sz="6" w:space="0" w:color="FFFFFF"/>
              </w:pBdr>
              <w:spacing w:after="58"/>
            </w:pPr>
            <w:r w:rsidRPr="00F8121B">
              <w:t>§60</w:t>
            </w:r>
            <w:r w:rsidRPr="00F8121B">
              <w:t>.2740(p)</w:t>
            </w:r>
          </w:p>
        </w:tc>
      </w:tr>
      <w:tr w14:paraId="0973798E"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69CFFDA9" w14:textId="078F626B">
            <w:pPr>
              <w:pBdr>
                <w:top w:val="single" w:sz="6" w:space="0" w:color="FFFFFF"/>
                <w:left w:val="single" w:sz="6" w:space="0" w:color="FFFFFF"/>
                <w:bottom w:val="single" w:sz="6" w:space="0" w:color="FFFFFF"/>
                <w:right w:val="single" w:sz="6" w:space="0" w:color="FFFFFF"/>
              </w:pBdr>
              <w:spacing w:after="58"/>
            </w:pPr>
            <w:r w:rsidRPr="00F8121B">
              <w:t>Maintain annual records showing previous stack test emission was below 75 percent of applicable limit and that no source operation changes occurred that would increase emissions within the past year.</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6B4321C5" w14:textId="22BF5573">
            <w:pPr>
              <w:pBdr>
                <w:top w:val="single" w:sz="6" w:space="0" w:color="FFFFFF"/>
                <w:left w:val="single" w:sz="6" w:space="0" w:color="FFFFFF"/>
                <w:bottom w:val="single" w:sz="6" w:space="0" w:color="FFFFFF"/>
                <w:right w:val="single" w:sz="6" w:space="0" w:color="FFFFFF"/>
              </w:pBdr>
              <w:spacing w:after="58"/>
            </w:pPr>
            <w:r w:rsidRPr="00F8121B">
              <w:t>§60.2740(q)</w:t>
            </w:r>
          </w:p>
        </w:tc>
      </w:tr>
      <w:tr w14:paraId="49373DFB"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50608F53" w14:textId="213DE78F">
            <w:pPr>
              <w:pBdr>
                <w:top w:val="single" w:sz="6" w:space="0" w:color="FFFFFF"/>
                <w:left w:val="single" w:sz="6" w:space="0" w:color="FFFFFF"/>
                <w:bottom w:val="single" w:sz="6" w:space="0" w:color="FFFFFF"/>
                <w:right w:val="single" w:sz="6" w:space="0" w:color="FFFFFF"/>
              </w:pBdr>
              <w:spacing w:after="58"/>
            </w:pPr>
            <w:r w:rsidRPr="00F8121B">
              <w:t>Maintain records of occurrence and duration of process equipment, air control, or monitoring equipment malfunctions.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236733B4" w14:textId="5EE91710">
            <w:pPr>
              <w:pBdr>
                <w:top w:val="single" w:sz="6" w:space="0" w:color="FFFFFF"/>
                <w:left w:val="single" w:sz="6" w:space="0" w:color="FFFFFF"/>
                <w:bottom w:val="single" w:sz="6" w:space="0" w:color="FFFFFF"/>
                <w:right w:val="single" w:sz="6" w:space="0" w:color="FFFFFF"/>
              </w:pBdr>
              <w:spacing w:after="58"/>
            </w:pPr>
            <w:r w:rsidRPr="00F8121B">
              <w:t>§60.2740(r)</w:t>
            </w:r>
          </w:p>
        </w:tc>
      </w:tr>
      <w:tr w14:paraId="3A74499B"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0C6B8E67" w14:textId="2F26B0E8">
            <w:pPr>
              <w:pBdr>
                <w:top w:val="single" w:sz="6" w:space="0" w:color="FFFFFF"/>
                <w:left w:val="single" w:sz="6" w:space="0" w:color="FFFFFF"/>
                <w:bottom w:val="single" w:sz="6" w:space="0" w:color="FFFFFF"/>
                <w:right w:val="single" w:sz="6" w:space="0" w:color="FFFFFF"/>
              </w:pBdr>
              <w:spacing w:after="58"/>
            </w:pPr>
            <w:r w:rsidRPr="00F8121B">
              <w:t>Maintain records of all required maintenance performed on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1542B05B" w14:textId="7A5D83ED">
            <w:pPr>
              <w:pBdr>
                <w:top w:val="single" w:sz="6" w:space="0" w:color="FFFFFF"/>
                <w:left w:val="single" w:sz="6" w:space="0" w:color="FFFFFF"/>
                <w:bottom w:val="single" w:sz="6" w:space="0" w:color="FFFFFF"/>
                <w:right w:val="single" w:sz="6" w:space="0" w:color="FFFFFF"/>
              </w:pBdr>
              <w:spacing w:after="58"/>
            </w:pPr>
            <w:r w:rsidRPr="00F8121B">
              <w:t>§60.2740(s)</w:t>
            </w:r>
          </w:p>
        </w:tc>
      </w:tr>
      <w:tr w14:paraId="1FDC06E0"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5EE4078F" w14:textId="709B1E85">
            <w:pPr>
              <w:pBdr>
                <w:top w:val="single" w:sz="6" w:space="0" w:color="FFFFFF"/>
                <w:left w:val="single" w:sz="6" w:space="0" w:color="FFFFFF"/>
                <w:bottom w:val="single" w:sz="6" w:space="0" w:color="FFFFFF"/>
                <w:right w:val="single" w:sz="6" w:space="0" w:color="FFFFFF"/>
              </w:pBdr>
              <w:spacing w:after="58"/>
            </w:pPr>
            <w:r w:rsidRPr="00F8121B">
              <w:t>Maintain records of actions taken to minimize emissions from process, air pollution control, and monitoring equipment during periods of malfunction.</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6D02CF6A" w14:textId="09EEC53D">
            <w:pPr>
              <w:pBdr>
                <w:top w:val="single" w:sz="6" w:space="0" w:color="FFFFFF"/>
                <w:left w:val="single" w:sz="6" w:space="0" w:color="FFFFFF"/>
                <w:bottom w:val="single" w:sz="6" w:space="0" w:color="FFFFFF"/>
                <w:right w:val="single" w:sz="6" w:space="0" w:color="FFFFFF"/>
              </w:pBdr>
              <w:spacing w:after="58"/>
            </w:pPr>
            <w:r w:rsidRPr="00F8121B">
              <w:t>§60.2740(t)</w:t>
            </w:r>
          </w:p>
        </w:tc>
      </w:tr>
      <w:tr w14:paraId="614300FA"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7152FF9D" w14:textId="28115E73">
            <w:pPr>
              <w:pBdr>
                <w:top w:val="single" w:sz="6" w:space="0" w:color="FFFFFF"/>
                <w:left w:val="single" w:sz="6" w:space="0" w:color="FFFFFF"/>
                <w:bottom w:val="single" w:sz="6" w:space="0" w:color="FFFFFF"/>
                <w:right w:val="single" w:sz="6" w:space="0" w:color="FFFFFF"/>
              </w:pBdr>
              <w:spacing w:after="58"/>
            </w:pPr>
            <w:r w:rsidRPr="00F8121B">
              <w:t xml:space="preserve">Maintain records showing how non-hazardous secondary materials meet legitimacy criteria or petition process requirements or showing </w:t>
            </w:r>
            <w:r w:rsidRPr="00F8121B">
              <w:t>how materials are listed as non-wastes.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1825127D" w14:textId="3D61187A">
            <w:pPr>
              <w:pBdr>
                <w:top w:val="single" w:sz="6" w:space="0" w:color="FFFFFF"/>
                <w:left w:val="single" w:sz="6" w:space="0" w:color="FFFFFF"/>
                <w:bottom w:val="single" w:sz="6" w:space="0" w:color="FFFFFF"/>
                <w:right w:val="single" w:sz="6" w:space="0" w:color="FFFFFF"/>
              </w:pBdr>
              <w:spacing w:after="58"/>
            </w:pPr>
            <w:r w:rsidRPr="00F8121B">
              <w:t>§60.2740(u)</w:t>
            </w:r>
          </w:p>
        </w:tc>
      </w:tr>
      <w:tr w14:paraId="6F218150"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3D3F693C" w14:textId="50F4CAB9">
            <w:pPr>
              <w:pBdr>
                <w:top w:val="single" w:sz="6" w:space="0" w:color="FFFFFF"/>
                <w:left w:val="single" w:sz="6" w:space="0" w:color="FFFFFF"/>
                <w:bottom w:val="single" w:sz="6" w:space="0" w:color="FFFFFF"/>
                <w:right w:val="single" w:sz="6" w:space="0" w:color="FFFFFF"/>
              </w:pBdr>
              <w:spacing w:after="58"/>
            </w:pPr>
            <w:r w:rsidRPr="00F8121B">
              <w:t>Maintain records of criteria establishing unit qualification as a small power production facility, and that proposed waste materials are homogeneous.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44B5022E" w14:textId="5A120335">
            <w:pPr>
              <w:pBdr>
                <w:top w:val="single" w:sz="6" w:space="0" w:color="FFFFFF"/>
                <w:left w:val="single" w:sz="6" w:space="0" w:color="FFFFFF"/>
                <w:bottom w:val="single" w:sz="6" w:space="0" w:color="FFFFFF"/>
                <w:right w:val="single" w:sz="6" w:space="0" w:color="FFFFFF"/>
              </w:pBdr>
              <w:spacing w:after="58"/>
            </w:pPr>
            <w:r w:rsidRPr="00F8121B">
              <w:t>§60.2740(v)</w:t>
            </w:r>
          </w:p>
        </w:tc>
      </w:tr>
      <w:tr w14:paraId="45AA8951"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9591A" w:rsidRPr="00CF2B37" w:rsidP="0099591A" w14:paraId="794246CB" w14:textId="0011E698">
            <w:pPr>
              <w:pBdr>
                <w:top w:val="single" w:sz="6" w:space="0" w:color="FFFFFF"/>
                <w:left w:val="single" w:sz="6" w:space="0" w:color="FFFFFF"/>
                <w:bottom w:val="single" w:sz="6" w:space="0" w:color="FFFFFF"/>
                <w:right w:val="single" w:sz="6" w:space="0" w:color="FFFFFF"/>
              </w:pBdr>
              <w:spacing w:after="58"/>
            </w:pPr>
            <w:r w:rsidRPr="00F8121B">
              <w:t>Maintain records of criteria establishing unit qualification as a cogeneration facility, and that proposed waste materials are homogeneous.</w:t>
            </w:r>
          </w:p>
        </w:tc>
        <w:tc>
          <w:tcPr>
            <w:tcW w:w="2250" w:type="dxa"/>
            <w:tcBorders>
              <w:top w:val="single" w:sz="7" w:space="0" w:color="000000"/>
              <w:left w:val="single" w:sz="7" w:space="0" w:color="000000"/>
              <w:bottom w:val="single" w:sz="7" w:space="0" w:color="000000"/>
              <w:right w:val="single" w:sz="7" w:space="0" w:color="000000"/>
            </w:tcBorders>
          </w:tcPr>
          <w:p w:rsidR="0099591A" w:rsidRPr="00CF2B37" w:rsidP="0099591A" w14:paraId="7EA2C69E" w14:textId="49C7FCA1">
            <w:pPr>
              <w:pBdr>
                <w:top w:val="single" w:sz="6" w:space="0" w:color="FFFFFF"/>
                <w:left w:val="single" w:sz="6" w:space="0" w:color="FFFFFF"/>
                <w:bottom w:val="single" w:sz="6" w:space="0" w:color="FFFFFF"/>
                <w:right w:val="single" w:sz="6" w:space="0" w:color="FFFFFF"/>
              </w:pBdr>
              <w:spacing w:after="58"/>
            </w:pPr>
            <w:r w:rsidRPr="00F8121B">
              <w:t>§60.2740(w)</w:t>
            </w:r>
          </w:p>
        </w:tc>
      </w:tr>
      <w:tr w14:paraId="558E9A7B" w14:textId="77777777" w:rsidTr="0099591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2D33" w:rsidRPr="00F8121B" w:rsidP="0099591A" w14:paraId="338D4CDF" w14:textId="22374C05">
            <w:pPr>
              <w:pBdr>
                <w:top w:val="single" w:sz="6" w:space="0" w:color="FFFFFF"/>
                <w:left w:val="single" w:sz="6" w:space="0" w:color="FFFFFF"/>
                <w:bottom w:val="single" w:sz="6" w:space="0" w:color="FFFFFF"/>
                <w:right w:val="single" w:sz="6" w:space="0" w:color="FFFFFF"/>
              </w:pBdr>
              <w:spacing w:after="58"/>
            </w:pPr>
            <w:r>
              <w:t>Records of initial and annual opacity tests for air curtain incinerators.</w:t>
            </w:r>
          </w:p>
        </w:tc>
        <w:tc>
          <w:tcPr>
            <w:tcW w:w="2250" w:type="dxa"/>
            <w:tcBorders>
              <w:top w:val="single" w:sz="7" w:space="0" w:color="000000"/>
              <w:left w:val="single" w:sz="7" w:space="0" w:color="000000"/>
              <w:bottom w:val="single" w:sz="7" w:space="0" w:color="000000"/>
              <w:right w:val="single" w:sz="7" w:space="0" w:color="000000"/>
            </w:tcBorders>
          </w:tcPr>
          <w:p w:rsidR="001D2D33" w:rsidRPr="00F8121B" w:rsidP="0099591A" w14:paraId="4ECACFB1" w14:textId="40206B70">
            <w:pPr>
              <w:pBdr>
                <w:top w:val="single" w:sz="6" w:space="0" w:color="FFFFFF"/>
                <w:left w:val="single" w:sz="6" w:space="0" w:color="FFFFFF"/>
                <w:bottom w:val="single" w:sz="6" w:space="0" w:color="FFFFFF"/>
                <w:right w:val="single" w:sz="6" w:space="0" w:color="FFFFFF"/>
              </w:pBdr>
              <w:spacing w:after="58"/>
            </w:pPr>
            <w:r w:rsidRPr="00F8121B">
              <w:t>§</w:t>
            </w:r>
            <w:r>
              <w:t>60.2870(a)</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99591A" w14:paraId="33D2BE8B" w14:textId="3AB9DD22">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8C33EF">
        <w:rPr>
          <w:bdr w:val="none" w:sz="0" w:space="0" w:color="auto" w:frame="1"/>
          <w:shd w:val="clear" w:color="auto" w:fill="FFFFFF"/>
        </w:rPr>
        <w:t>February 7, 2013</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2E230F" w:rsidR="007F7CD8">
          <w:rPr>
            <w:rStyle w:val="Hyperlink"/>
            <w:color w:val="auto"/>
          </w:rPr>
          <w:t>https://cdx.epa.gov/</w:t>
        </w:r>
      </w:hyperlink>
      <w:r w:rsidR="007F7CD8">
        <w:t xml:space="preserve">). </w:t>
      </w:r>
      <w:r w:rsidRPr="00846D80" w:rsidR="00E546A1">
        <w:t>The ERT is an application</w:t>
      </w:r>
      <w:r w:rsidR="000A0C5B">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DA29A6">
        <w:rPr>
          <w:bdr w:val="none" w:sz="0" w:space="0" w:color="auto" w:frame="1"/>
          <w:shd w:val="clear" w:color="auto" w:fill="FFFFFF"/>
        </w:rPr>
        <w:t>Respo</w:t>
      </w:r>
      <w:r w:rsidRPr="00681220" w:rsidR="00DA29A6">
        <w:rPr>
          <w:bdr w:val="none" w:sz="0" w:space="0" w:color="auto" w:frame="1"/>
          <w:shd w:val="clear" w:color="auto" w:fill="FFFFFF"/>
        </w:rPr>
        <w:t xml:space="preserve">ndents are also required </w:t>
      </w:r>
      <w:r w:rsidRPr="00681220">
        <w:rPr>
          <w:bdr w:val="none" w:sz="0" w:space="0" w:color="auto" w:frame="1"/>
          <w:shd w:val="clear" w:color="auto" w:fill="FFFFFF"/>
        </w:rPr>
        <w:t xml:space="preserve">to submit electronic copies of </w:t>
      </w:r>
      <w:r w:rsidRPr="00681220" w:rsidR="009A06B9">
        <w:rPr>
          <w:bdr w:val="none" w:sz="0" w:space="0" w:color="auto" w:frame="1"/>
          <w:shd w:val="clear" w:color="auto" w:fill="FFFFFF"/>
        </w:rPr>
        <w:t xml:space="preserve">notifications and </w:t>
      </w:r>
      <w:r w:rsidRPr="00681220" w:rsidR="005062F9">
        <w:rPr>
          <w:bdr w:val="none" w:sz="0" w:space="0" w:color="auto" w:frame="1"/>
          <w:shd w:val="clear" w:color="auto" w:fill="FFFFFF"/>
        </w:rPr>
        <w:t>certain reports</w:t>
      </w:r>
      <w:r w:rsidRPr="00681220">
        <w:rPr>
          <w:bdr w:val="none" w:sz="0" w:space="0" w:color="auto" w:frame="1"/>
          <w:shd w:val="clear" w:color="auto" w:fill="FFFFFF"/>
        </w:rPr>
        <w:t xml:space="preserve"> through EPA’s CEDRI. </w:t>
      </w:r>
      <w:r w:rsidRPr="00681220">
        <w:t xml:space="preserve">The notification is an upload of their </w:t>
      </w:r>
      <w:r w:rsidRPr="00681220">
        <w:t>currently</w:t>
      </w:r>
      <w:r w:rsidR="00841E59">
        <w:t>-</w:t>
      </w:r>
      <w:r w:rsidRPr="00681220">
        <w:t>required</w:t>
      </w:r>
      <w:r w:rsidRPr="00681220">
        <w:t xml:space="preserve"> notification in portable document format (PDF) file. For purposes of this ICR, it is assumed that there </w:t>
      </w:r>
      <w:r w:rsidRPr="00681220" w:rsidR="002F4D5D">
        <w:t>is</w:t>
      </w:r>
      <w:r w:rsidRPr="00681220" w:rsidR="00681220">
        <w:t xml:space="preserve"> </w:t>
      </w:r>
      <w:r w:rsidRPr="00681220">
        <w:t>no 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2E230F" w:rsidR="00E30B71">
          <w:rPr>
            <w:rStyle w:val="Hyperlink"/>
            <w:i/>
            <w:iCs/>
            <w:color w:val="auto"/>
            <w:bdr w:val="none" w:sz="0" w:space="0" w:color="auto" w:frame="1"/>
            <w:shd w:val="clear" w:color="auto" w:fill="FFFFFF"/>
          </w:rPr>
          <w:t>https://www.epa.gov/electronic-reporting-air-emissions/paperwork-reduction-act-pra-cedri-and-ert</w:t>
        </w:r>
      </w:hyperlink>
      <w:r w:rsidRPr="002E230F" w:rsidR="00E30B71">
        <w:rPr>
          <w:bdr w:val="none" w:sz="0" w:space="0" w:color="auto" w:frame="1"/>
          <w:shd w:val="clear" w:color="auto" w:fill="FFFFFF"/>
        </w:rPr>
        <w:t>.</w:t>
      </w:r>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841E59" w:rsidP="00504745" w14:paraId="0D3B7D2A"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841E59" w:rsidP="00504745" w14:paraId="559BDF24"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841E59" w:rsidP="00504745" w14:paraId="5106F1AE"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841E59" w:rsidP="00504745" w14:paraId="5086EAF1"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588DA5A2" w14:textId="1272933B">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23CC8571">
            <w:pPr>
              <w:outlineLvl w:val="0"/>
              <w:rPr>
                <w:color w:val="000000"/>
              </w:rPr>
            </w:pPr>
            <w:r w:rsidRPr="00B04A5C">
              <w:rPr>
                <w:color w:val="000000"/>
              </w:rPr>
              <w:t xml:space="preserve">Install, calibrate, maintain, and operate CMS for </w:t>
            </w:r>
            <w:r w:rsidR="00F83551">
              <w:rPr>
                <w:color w:val="000000"/>
              </w:rPr>
              <w:t>Cd, CO, dioxins/furans, HCl, Pb, Hg, NO</w:t>
            </w:r>
            <w:r w:rsidRPr="008C6C47" w:rsidR="00F83551">
              <w:rPr>
                <w:color w:val="000000"/>
                <w:vertAlign w:val="subscript"/>
              </w:rPr>
              <w:t>x</w:t>
            </w:r>
            <w:r w:rsidR="00F83551">
              <w:rPr>
                <w:color w:val="000000"/>
              </w:rPr>
              <w:t>, PM, SO</w:t>
            </w:r>
            <w:r w:rsidRPr="008C6C47" w:rsidR="00F83551">
              <w:rPr>
                <w:color w:val="000000"/>
                <w:vertAlign w:val="subscript"/>
              </w:rPr>
              <w:t>2</w:t>
            </w:r>
            <w:r w:rsidR="00F83551">
              <w:rPr>
                <w:color w:val="000000"/>
              </w:rPr>
              <w:t>, and ash.</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864791D">
            <w:pPr>
              <w:outlineLvl w:val="0"/>
              <w:rPr>
                <w:color w:val="000000"/>
              </w:rPr>
            </w:pPr>
            <w:r w:rsidRPr="00B04A5C">
              <w:rPr>
                <w:color w:val="000000"/>
              </w:rPr>
              <w:t xml:space="preserve">Perform initial performance test, Reference Method </w:t>
            </w:r>
            <w:r w:rsidRPr="00626650" w:rsidR="00F83551">
              <w:rPr>
                <w:color w:val="000000"/>
              </w:rPr>
              <w:t>1, 3A or 3B, 5, 6 or 6C, 7 or 7E, 9, 10, 10A, or 10B, 19, 22, 23, 26 or 26A, 29 or 30B, 321, or ASTM</w:t>
            </w:r>
            <w:r w:rsidRPr="00BD02BC" w:rsidR="00F83551">
              <w:rPr>
                <w:color w:val="000000"/>
              </w:rPr>
              <w:t xml:space="preserve"> D6784-02 </w:t>
            </w:r>
            <w:r w:rsidRPr="001B45E5" w:rsidR="00F83551">
              <w:rPr>
                <w:color w:val="000000"/>
              </w:rPr>
              <w:t>test</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16BBFBA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76526F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0E4818" w14:paraId="2CF35A7F" w14:textId="1E86D17D">
      <w:pPr>
        <w:pBdr>
          <w:top w:val="single" w:sz="6" w:space="0" w:color="FFFFFF"/>
          <w:left w:val="single" w:sz="6" w:space="0" w:color="FFFFFF"/>
          <w:bottom w:val="single" w:sz="6" w:space="0" w:color="FFFFFF"/>
          <w:right w:val="single" w:sz="6" w:space="0" w:color="FFFFFF"/>
        </w:pBdr>
        <w:ind w:firstLine="720"/>
      </w:pPr>
      <w:r w:rsidRPr="000E4818">
        <w:t xml:space="preserve">Following </w:t>
      </w:r>
      <w:r w:rsidR="00841E59">
        <w:t xml:space="preserve">the </w:t>
      </w:r>
      <w:r w:rsidRPr="000E4818">
        <w:t xml:space="preserve">notification of startup, the reviewing authority </w:t>
      </w:r>
      <w:r w:rsidRPr="000E4818" w:rsidR="002B29A7">
        <w:t xml:space="preserve">could </w:t>
      </w:r>
      <w:r w:rsidRPr="000E4818">
        <w:t>inspect the source to determine whether the pollution control devices are properly installed and operated.</w:t>
      </w:r>
      <w:r w:rsidRPr="000E4818" w:rsidR="00626650">
        <w:t xml:space="preserve"> </w:t>
      </w:r>
      <w:r w:rsidRPr="000E4818">
        <w:t>Performance test reports are used by the Agency to discern a source</w:t>
      </w:r>
      <w:r w:rsidRPr="000E4818" w:rsidR="004C701D">
        <w:t>’</w:t>
      </w:r>
      <w:r w:rsidRPr="000E4818">
        <w:t>s initial capability to comply with the</w:t>
      </w:r>
      <w:r w:rsidR="00841E59">
        <w:t>se</w:t>
      </w:r>
      <w:r w:rsidRPr="000E4818">
        <w:t xml:space="preserve"> emission standard</w:t>
      </w:r>
      <w:r w:rsidR="00841E59">
        <w:t>s</w:t>
      </w:r>
      <w:r w:rsidRPr="000E4818" w:rsidR="00A144FE">
        <w:t xml:space="preserve"> and</w:t>
      </w:r>
      <w:r w:rsidRPr="000E4818" w:rsidR="0062215C">
        <w:t xml:space="preserve"> </w:t>
      </w:r>
      <w:r w:rsidR="00841E59">
        <w:t xml:space="preserve">to </w:t>
      </w:r>
      <w:r w:rsidRPr="000E4818">
        <w:t>note the operating conditions under which compliance was achieved.</w:t>
      </w:r>
      <w:r w:rsidRPr="000E4818" w:rsidR="00626650">
        <w:t xml:space="preserve"> </w:t>
      </w:r>
      <w:r w:rsidRPr="000E4818">
        <w:t>Data and records maintained by the respondents are tabulated and published for use in compliance and enforcement programs.</w:t>
      </w:r>
      <w:r w:rsidRPr="000E4818" w:rsidR="009C7E97">
        <w:t xml:space="preserve"> </w:t>
      </w:r>
      <w:r w:rsidRPr="000E4818">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7FF477C1">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841E5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841E59">
        <w:rPr>
          <w:color w:val="000000"/>
        </w:rPr>
        <w:t>,</w:t>
      </w:r>
      <w:r>
        <w:rPr>
          <w:color w:val="000000"/>
        </w:rPr>
        <w:t xml:space="preserve"> and EPA headquarters.</w:t>
      </w:r>
      <w:r w:rsidR="009C7E97">
        <w:rPr>
          <w:color w:val="000000"/>
        </w:rPr>
        <w:t xml:space="preserve"> </w:t>
      </w:r>
      <w:r w:rsidR="00841E59">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36A4AB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0E4818">
        <w:t xml:space="preserve">operator 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0E4818" w:rsidP="000E4818" w14:paraId="4F4B437F" w14:textId="5DFF2CA1">
      <w:pPr>
        <w:pBdr>
          <w:top w:val="single" w:sz="6" w:space="0" w:color="FFFFFF"/>
          <w:left w:val="single" w:sz="6" w:space="0" w:color="FFFFFF"/>
          <w:bottom w:val="single" w:sz="6" w:space="0" w:color="FFFFFF"/>
          <w:right w:val="single" w:sz="6" w:space="0" w:color="FFFFFF"/>
        </w:pBdr>
        <w:ind w:firstLine="720"/>
      </w:pPr>
      <w:r>
        <w:t>The</w:t>
      </w:r>
      <w:r w:rsidRPr="000E4818">
        <w:t xml:space="preserve"> majority of</w:t>
      </w:r>
      <w:r w:rsidRPr="000E4818">
        <w:t xml:space="preserve"> the respondents are large entities (i.e., large businesses).</w:t>
      </w:r>
      <w:r w:rsidRPr="000E4818" w:rsidR="009C7E97">
        <w:t xml:space="preserve"> </w:t>
      </w:r>
      <w:r w:rsidRPr="000E4818">
        <w:t>However, the impact on small entities (i.e., small businesses) was taken into consideration during the development of the</w:t>
      </w:r>
      <w:r>
        <w:t>se</w:t>
      </w:r>
      <w:r w:rsidRPr="000E4818">
        <w:t xml:space="preserve"> regulation</w:t>
      </w:r>
      <w:r>
        <w:t>s</w:t>
      </w:r>
      <w:r w:rsidRPr="000E4818">
        <w:t>.</w:t>
      </w:r>
      <w:r w:rsidRPr="000E4818" w:rsidR="000E4818">
        <w:t xml:space="preserve"> </w:t>
      </w:r>
      <w:r w:rsidRPr="000E4818">
        <w:t>Due to technical considerations involving the process operations and the types of control equipment employed, the recordkeeping and reporting requirements are the same for both small and large entities.</w:t>
      </w:r>
      <w:r w:rsidRPr="000E4818" w:rsidR="009C7E97">
        <w:t xml:space="preserve"> </w:t>
      </w:r>
      <w:r w:rsidRPr="000E4818">
        <w:t xml:space="preserve">The Agency considers these </w:t>
      </w:r>
      <w:r w:rsidRPr="000E4818" w:rsidR="002B29A7">
        <w:t xml:space="preserve">to be the minimum </w:t>
      </w:r>
      <w:r w:rsidRPr="000E4818">
        <w:t>requirements needed to ensure compliance and, therefore, cannot reduce them further for small entities.</w:t>
      </w:r>
      <w:r w:rsidRPr="000E4818" w:rsidR="009C7E97">
        <w:t xml:space="preserve"> </w:t>
      </w:r>
      <w:r w:rsidRPr="000E4818">
        <w:t>To the extent that larger businesses can use economies of scale to reduce their burden, the overall burden will be reduced.</w:t>
      </w:r>
    </w:p>
    <w:p w:rsidR="00CA4CD6" w:rsidRPr="003F1AFC" w14:paraId="15694245" w14:textId="77777777">
      <w:pPr>
        <w:pBdr>
          <w:top w:val="single" w:sz="6" w:space="0" w:color="FFFFFF"/>
          <w:left w:val="single" w:sz="6" w:space="0" w:color="FFFFFF"/>
          <w:bottom w:val="single" w:sz="6" w:space="0" w:color="FFFFFF"/>
          <w:right w:val="single" w:sz="6" w:space="0" w:color="FFFFFF"/>
        </w:pBdr>
        <w:rPr>
          <w:color w:val="FF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5AD91AF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E4818" w:rsidR="000E4818">
        <w:t>Emission Guidelines for Existing Commercial and Industrial Solid Waste Incineration Units (40 CFR Part 60, Subpart DDDD)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15FF654">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w:t>
      </w:r>
      <w:r>
        <w:rPr>
          <w:color w:val="000000"/>
        </w:rPr>
        <w:t xml:space="preserve">concept of </w:t>
      </w:r>
      <w:r w:rsidR="00841E59">
        <w:rPr>
          <w:color w:val="000000"/>
        </w:rPr>
        <w:t>‘B</w:t>
      </w:r>
      <w:r>
        <w:rPr>
          <w:color w:val="000000"/>
        </w:rPr>
        <w:t>urden</w:t>
      </w:r>
      <w:r w:rsidR="00841E5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979C62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41E59">
        <w:rPr>
          <w:color w:val="000000"/>
        </w:rPr>
        <w:t>either</w:t>
      </w:r>
      <w:r>
        <w:rPr>
          <w:color w:val="000000"/>
        </w:rPr>
        <w:t xml:space="preserve"> conduct </w:t>
      </w:r>
      <w:r w:rsidR="00841E59">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4FB4F8D4">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0E4818" w:rsidR="000E4818">
        <w:t>16,100 hours</w:t>
      </w:r>
      <w:r w:rsidRPr="000E4818" w:rsidR="004C701D">
        <w:t xml:space="preserve"> (</w:t>
      </w:r>
      <w:r w:rsidRPr="000E4818">
        <w:t xml:space="preserve">Total </w:t>
      </w:r>
      <w:r>
        <w:rPr>
          <w:color w:val="000000"/>
        </w:rPr>
        <w:t>Labor Hours from Table 1</w:t>
      </w:r>
      <w:r w:rsidR="00841E59">
        <w:rPr>
          <w:color w:val="000000"/>
        </w:rPr>
        <w:t xml:space="preserve"> below</w:t>
      </w:r>
      <w:r>
        <w:rPr>
          <w:color w:val="000000"/>
        </w:rPr>
        <w:t>).</w:t>
      </w:r>
      <w:r w:rsidR="006B63FA">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41E59">
        <w:rPr>
          <w:color w:val="000000"/>
        </w:rPr>
        <w:t>se</w:t>
      </w:r>
      <w:r w:rsidR="004C701D">
        <w:rPr>
          <w:color w:val="000000"/>
        </w:rPr>
        <w:t xml:space="preserve"> </w:t>
      </w:r>
      <w:r>
        <w:rPr>
          <w:color w:val="000000"/>
        </w:rPr>
        <w:t>regulation</w:t>
      </w:r>
      <w:r w:rsidR="00841E59">
        <w:rPr>
          <w:color w:val="000000"/>
        </w:rPr>
        <w:t>s</w:t>
      </w:r>
      <w:r>
        <w:rPr>
          <w:color w:val="000000"/>
        </w:rPr>
        <w:t>, Agency knowledge and experience with the</w:t>
      </w:r>
      <w:r w:rsidR="000E4818">
        <w:rPr>
          <w:color w:val="000000"/>
        </w:rPr>
        <w:t xml:space="preserve"> Emission Guidelines</w:t>
      </w:r>
      <w:r>
        <w:rPr>
          <w:color w:val="000000"/>
        </w:rPr>
        <w:t xml:space="preserve"> program, the </w:t>
      </w:r>
      <w:r>
        <w:rPr>
          <w:color w:val="000000"/>
        </w:rPr>
        <w:t>previously</w:t>
      </w:r>
      <w:r w:rsidR="00E026BC">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65AA1BD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6B63FA">
        <w:rPr>
          <w:color w:val="000000"/>
        </w:rPr>
        <w:t xml:space="preserve"> </w:t>
      </w:r>
    </w:p>
    <w:p w:rsidR="002712EB" w:rsidP="002712EB" w14:paraId="19D41358" w14:textId="4B90658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7D9412C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313BC903">
      <w:pPr>
        <w:pBdr>
          <w:top w:val="single" w:sz="6" w:space="0" w:color="FFFFFF"/>
          <w:left w:val="single" w:sz="6" w:space="0" w:color="FFFFFF"/>
          <w:bottom w:val="single" w:sz="6" w:space="0" w:color="FFFFFF"/>
          <w:right w:val="single" w:sz="6" w:space="0" w:color="FFFFFF"/>
        </w:pBdr>
        <w:ind w:firstLine="720"/>
        <w:rPr>
          <w:color w:val="000000"/>
        </w:rPr>
      </w:pPr>
      <w:r w:rsidRPr="000E4818">
        <w:rPr>
          <w:color w:val="000000"/>
        </w:rPr>
        <w:t xml:space="preserve">These rates are from the United States Department of Labor, Bureau of Labor Statistics, </w:t>
      </w:r>
      <w:r w:rsidRPr="000E4818" w:rsidR="006D381C">
        <w:rPr>
          <w:color w:val="000000"/>
        </w:rPr>
        <w:t xml:space="preserve">September </w:t>
      </w:r>
      <w:r w:rsidRPr="000E4818" w:rsidR="007822E0">
        <w:rPr>
          <w:color w:val="000000"/>
        </w:rPr>
        <w:t>2021</w:t>
      </w:r>
      <w:r w:rsidRPr="000E4818">
        <w:rPr>
          <w:color w:val="000000"/>
        </w:rPr>
        <w:t xml:space="preserve">, </w:t>
      </w:r>
      <w:r w:rsidRPr="000E4818" w:rsidR="004C701D">
        <w:rPr>
          <w:color w:val="000000"/>
        </w:rPr>
        <w:t>“</w:t>
      </w:r>
      <w:r w:rsidRPr="000E4818">
        <w:rPr>
          <w:color w:val="000000"/>
        </w:rPr>
        <w:t>Table 2. Civilian Workers, by occupational and industry group.</w:t>
      </w:r>
      <w:r w:rsidRPr="000E4818" w:rsidR="004C701D">
        <w:rPr>
          <w:color w:val="000000"/>
        </w:rPr>
        <w:t>”</w:t>
      </w:r>
      <w:r w:rsidRPr="000E4818" w:rsidR="009C7E97">
        <w:rPr>
          <w:color w:val="000000"/>
        </w:rPr>
        <w:t xml:space="preserve"> </w:t>
      </w:r>
      <w:r w:rsidRPr="000E4818">
        <w:rPr>
          <w:color w:val="000000"/>
        </w:rPr>
        <w:t xml:space="preserve">The rates are from column 1, </w:t>
      </w:r>
      <w:r w:rsidRPr="000E4818" w:rsidR="004C701D">
        <w:rPr>
          <w:color w:val="000000"/>
        </w:rPr>
        <w:t>“</w:t>
      </w:r>
      <w:r w:rsidRPr="000E4818">
        <w:rPr>
          <w:color w:val="000000"/>
        </w:rPr>
        <w:t>Total compensation.</w:t>
      </w:r>
      <w:r w:rsidRPr="000E4818" w:rsidR="004C701D">
        <w:rPr>
          <w:color w:val="000000"/>
        </w:rPr>
        <w:t>”</w:t>
      </w:r>
      <w:r w:rsidRPr="000E4818" w:rsidR="009C7E97">
        <w:rPr>
          <w:color w:val="000000"/>
        </w:rPr>
        <w:t xml:space="preserve"> </w:t>
      </w:r>
      <w:r w:rsidRPr="000E4818" w:rsidR="0072202C">
        <w:t>The rates have been increased by 110 percent to account for varying industry wage</w:t>
      </w:r>
      <w:r w:rsidRPr="0072202C" w:rsidR="0072202C">
        <w:t xml:space="preserv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0E4818" w14:paraId="4CA41DEE"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0E4818" w14:paraId="728A7CA7" w14:textId="3980EF6B">
      <w:pPr>
        <w:pBdr>
          <w:top w:val="single" w:sz="6" w:space="0" w:color="FFFFFF"/>
          <w:left w:val="single" w:sz="6" w:space="0" w:color="FFFFFF"/>
          <w:bottom w:val="single" w:sz="6" w:space="0" w:color="FFFFFF"/>
          <w:right w:val="single" w:sz="6" w:space="0" w:color="FFFFFF"/>
        </w:pBdr>
        <w:ind w:firstLine="720"/>
      </w:pPr>
      <w:r w:rsidRPr="000E4818">
        <w:t>The type of industry costs associated with the information collection activities in the subject standard(s) are both labor costs</w:t>
      </w:r>
      <w:r w:rsidR="00E026BC">
        <w:t>,</w:t>
      </w:r>
      <w:r w:rsidRPr="000E4818">
        <w:t xml:space="preserve"> which are addressed elsewhere in this ICR</w:t>
      </w:r>
      <w:r w:rsidR="00E026BC">
        <w:t>,</w:t>
      </w:r>
      <w:r w:rsidRPr="000E4818">
        <w:t xml:space="preserve"> and the costs associated with continuous monitoring.</w:t>
      </w:r>
      <w:r w:rsidRPr="000E4818" w:rsidR="009C7E97">
        <w:t xml:space="preserve"> </w:t>
      </w:r>
      <w:r w:rsidRPr="000E4818">
        <w:t xml:space="preserve">The capital/startup costs are </w:t>
      </w:r>
      <w:r w:rsidRPr="000E4818" w:rsidR="001414C4">
        <w:t>one-time</w:t>
      </w:r>
      <w:r w:rsidRPr="000E4818">
        <w:t xml:space="preserve"> costs when a facility becomes subject to the regulation.</w:t>
      </w:r>
      <w:r w:rsidRPr="000E4818" w:rsidR="009C7E97">
        <w:t xml:space="preserve"> </w:t>
      </w:r>
      <w:r w:rsidRPr="000E4818">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E026BC" w:rsidP="00504745" w14:paraId="3CA8EEAF"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E026BC" w:rsidP="00504745" w14:paraId="2BF2E1CA"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E026BC" w:rsidP="00504745" w14:paraId="0F8B5B01"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E026BC" w:rsidP="00504745" w14:paraId="5547F384"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4FF64BFE" w14:textId="702EFA5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69679E">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69679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69679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69679E" w:rsidP="0069679E" w14:paraId="2113507C" w14:textId="641C04E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Wet scrubber </w:t>
            </w:r>
            <w:r>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69679E" w:rsidP="0069679E" w14:paraId="061FAA92" w14:textId="21F6237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$3,423 </w:t>
            </w:r>
          </w:p>
        </w:tc>
        <w:tc>
          <w:tcPr>
            <w:tcW w:w="1350" w:type="dxa"/>
            <w:tcBorders>
              <w:top w:val="single" w:sz="7" w:space="0" w:color="000000"/>
              <w:left w:val="single" w:sz="7" w:space="0" w:color="000000"/>
              <w:bottom w:val="single" w:sz="6" w:space="0" w:color="FFFFFF"/>
              <w:right w:val="single" w:sz="6" w:space="0" w:color="FFFFFF"/>
            </w:tcBorders>
            <w:vAlign w:val="center"/>
          </w:tcPr>
          <w:p w:rsidR="0069679E" w:rsidP="0069679E" w14:paraId="1B77751D" w14:textId="7ABB292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9679E" w:rsidP="0069679E" w14:paraId="07F59DF4" w14:textId="79269B5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69679E" w:rsidP="0069679E" w14:paraId="014C668B" w14:textId="5922B1F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60" w:type="dxa"/>
            <w:tcBorders>
              <w:top w:val="single" w:sz="7" w:space="0" w:color="000000"/>
              <w:left w:val="single" w:sz="7" w:space="0" w:color="000000"/>
              <w:bottom w:val="single" w:sz="6" w:space="0" w:color="FFFFFF"/>
              <w:right w:val="single" w:sz="6" w:space="0" w:color="FFFFFF"/>
            </w:tcBorders>
            <w:vAlign w:val="center"/>
          </w:tcPr>
          <w:p w:rsidR="0069679E" w:rsidP="0069679E" w14:paraId="7704BF82" w14:textId="2312750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69679E" w:rsidP="0069679E" w14:paraId="38C7234D" w14:textId="1621342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r>
      <w:tr w14:paraId="1A098479" w14:textId="77777777" w:rsidTr="0069679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69679E" w:rsidP="0069679E" w14:paraId="4601E0EA" w14:textId="12DAEAD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Annual stack testing </w:t>
            </w:r>
            <w:r>
              <w:rPr>
                <w:color w:val="000000"/>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vAlign w:val="center"/>
          </w:tcPr>
          <w:p w:rsidR="0069679E" w:rsidP="0069679E" w14:paraId="13552B0F" w14:textId="736F8A0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69679E" w:rsidP="0069679E" w14:paraId="4A19CEED" w14:textId="190E0AA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9679E" w:rsidP="0069679E" w14:paraId="1767CA2C" w14:textId="4ABC5F3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69679E" w:rsidP="0069679E" w14:paraId="06638837" w14:textId="379EC9E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$15,493 </w:t>
            </w:r>
          </w:p>
        </w:tc>
        <w:tc>
          <w:tcPr>
            <w:tcW w:w="1260" w:type="dxa"/>
            <w:tcBorders>
              <w:top w:val="single" w:sz="7" w:space="0" w:color="000000"/>
              <w:left w:val="single" w:sz="7" w:space="0" w:color="000000"/>
              <w:bottom w:val="single" w:sz="6" w:space="0" w:color="FFFFFF"/>
              <w:right w:val="single" w:sz="6" w:space="0" w:color="FFFFFF"/>
            </w:tcBorders>
            <w:vAlign w:val="center"/>
          </w:tcPr>
          <w:p w:rsidR="0069679E" w:rsidP="0069679E" w14:paraId="02B7CA14" w14:textId="61B490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74</w:t>
            </w:r>
          </w:p>
        </w:tc>
        <w:tc>
          <w:tcPr>
            <w:tcW w:w="1350" w:type="dxa"/>
            <w:tcBorders>
              <w:top w:val="single" w:sz="7" w:space="0" w:color="000000"/>
              <w:left w:val="single" w:sz="7" w:space="0" w:color="000000"/>
              <w:bottom w:val="single" w:sz="6" w:space="0" w:color="FFFFFF"/>
              <w:right w:val="single" w:sz="7" w:space="0" w:color="000000"/>
            </w:tcBorders>
            <w:vAlign w:val="center"/>
          </w:tcPr>
          <w:p w:rsidR="0069679E" w:rsidP="0069679E" w14:paraId="4EA138B6" w14:textId="67254D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$1,146,445 </w:t>
            </w:r>
          </w:p>
        </w:tc>
      </w:tr>
      <w:tr w14:paraId="2CB39D96" w14:textId="77777777" w:rsidTr="0069679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69679E" w:rsidP="0069679E" w14:paraId="7D8DB0F9" w14:textId="1D1A95E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Continuous parameter monitoring (including bypass stack) </w:t>
            </w:r>
            <w:r>
              <w:rPr>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rsidR="0069679E" w:rsidP="0069679E" w14:paraId="755F4F69" w14:textId="1FF531B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69679E" w:rsidP="0069679E" w14:paraId="2F4F9302" w14:textId="1C81ADF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69679E" w:rsidP="0069679E" w14:paraId="722A80E4" w14:textId="35FBF78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69679E" w:rsidP="0069679E" w14:paraId="7EB08C3D" w14:textId="1E54009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$322 </w:t>
            </w:r>
          </w:p>
        </w:tc>
        <w:tc>
          <w:tcPr>
            <w:tcW w:w="1260" w:type="dxa"/>
            <w:tcBorders>
              <w:top w:val="single" w:sz="7" w:space="0" w:color="000000"/>
              <w:left w:val="single" w:sz="7" w:space="0" w:color="000000"/>
              <w:bottom w:val="single" w:sz="7" w:space="0" w:color="000000"/>
              <w:right w:val="single" w:sz="6" w:space="0" w:color="FFFFFF"/>
            </w:tcBorders>
            <w:vAlign w:val="center"/>
          </w:tcPr>
          <w:p w:rsidR="0069679E" w:rsidP="0069679E" w14:paraId="0088D553" w14:textId="17A74EB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74</w:t>
            </w:r>
          </w:p>
        </w:tc>
        <w:tc>
          <w:tcPr>
            <w:tcW w:w="1350" w:type="dxa"/>
            <w:tcBorders>
              <w:top w:val="single" w:sz="7" w:space="0" w:color="000000"/>
              <w:left w:val="single" w:sz="7" w:space="0" w:color="000000"/>
              <w:bottom w:val="single" w:sz="7" w:space="0" w:color="000000"/>
              <w:right w:val="single" w:sz="7" w:space="0" w:color="000000"/>
            </w:tcBorders>
            <w:vAlign w:val="center"/>
          </w:tcPr>
          <w:p w:rsidR="0069679E" w:rsidP="0069679E" w14:paraId="0B007C77" w14:textId="08837C41">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$23,828 </w:t>
            </w:r>
          </w:p>
        </w:tc>
      </w:tr>
      <w:tr w14:paraId="39FB8CF3" w14:textId="77777777" w:rsidTr="0069679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69679E" w:rsidP="0069679E" w14:paraId="43F3F88A" w14:textId="37427ED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69679E" w:rsidP="0069679E" w14:paraId="0192AAB1" w14:textId="0D07CA0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69679E" w:rsidP="0069679E" w14:paraId="72AAF2A2" w14:textId="7EDF426A">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Total </w:t>
            </w:r>
          </w:p>
        </w:tc>
        <w:tc>
          <w:tcPr>
            <w:tcW w:w="1440" w:type="dxa"/>
            <w:tcBorders>
              <w:top w:val="single" w:sz="7" w:space="0" w:color="000000"/>
              <w:left w:val="single" w:sz="7" w:space="0" w:color="000000"/>
              <w:bottom w:val="single" w:sz="7" w:space="0" w:color="000000"/>
              <w:right w:val="single" w:sz="6" w:space="0" w:color="FFFFFF"/>
            </w:tcBorders>
            <w:vAlign w:val="center"/>
          </w:tcPr>
          <w:p w:rsidR="0069679E" w:rsidP="0069679E" w14:paraId="232B22BF" w14:textId="5603D9B6">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69679E" w:rsidP="0069679E" w14:paraId="48E0BBFF" w14:textId="6CC40909">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69679E" w:rsidP="0069679E" w14:paraId="709911D5" w14:textId="379B8A04">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Total </w:t>
            </w:r>
            <w:r>
              <w:rPr>
                <w:b/>
                <w:bCs/>
                <w:color w:val="000000"/>
                <w:sz w:val="20"/>
                <w:szCs w:val="20"/>
                <w:vertAlign w:val="superscript"/>
              </w:rPr>
              <w:t>d</w:t>
            </w:r>
          </w:p>
        </w:tc>
        <w:tc>
          <w:tcPr>
            <w:tcW w:w="1350" w:type="dxa"/>
            <w:tcBorders>
              <w:top w:val="single" w:sz="7" w:space="0" w:color="000000"/>
              <w:left w:val="single" w:sz="7" w:space="0" w:color="000000"/>
              <w:bottom w:val="single" w:sz="7" w:space="0" w:color="000000"/>
              <w:right w:val="single" w:sz="7" w:space="0" w:color="000000"/>
            </w:tcBorders>
            <w:vAlign w:val="center"/>
          </w:tcPr>
          <w:p w:rsidR="0069679E" w:rsidP="0069679E" w14:paraId="3B4DFD4F" w14:textId="650A9D15">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 xml:space="preserve">$1,170,000 </w:t>
            </w:r>
          </w:p>
        </w:tc>
      </w:tr>
    </w:tbl>
    <w:p w:rsidR="0069679E" w14:paraId="765E7CE2" w14:textId="19B6791B">
      <w:pPr>
        <w:pBdr>
          <w:top w:val="single" w:sz="6" w:space="0" w:color="FFFFFF"/>
          <w:left w:val="single" w:sz="6" w:space="0" w:color="FFFFFF"/>
          <w:bottom w:val="single" w:sz="6" w:space="0" w:color="FFFFFF"/>
          <w:right w:val="single" w:sz="6" w:space="0" w:color="FFFFFF"/>
        </w:pBdr>
        <w:rPr>
          <w:color w:val="000000"/>
          <w:sz w:val="20"/>
          <w:szCs w:val="20"/>
        </w:rPr>
      </w:pPr>
      <w:r w:rsidRPr="0069679E">
        <w:rPr>
          <w:color w:val="000000"/>
          <w:sz w:val="20"/>
          <w:szCs w:val="20"/>
          <w:vertAlign w:val="superscript"/>
        </w:rPr>
        <w:t xml:space="preserve">a </w:t>
      </w:r>
      <w:r w:rsidRPr="0069679E">
        <w:rPr>
          <w:color w:val="000000"/>
          <w:sz w:val="20"/>
          <w:szCs w:val="20"/>
        </w:rPr>
        <w:t>Total capital cost of parameter monitoring for wet scrubbers minus planning and equipment selecting cost equals: $18,786 - $800 = $17,986.</w:t>
      </w:r>
      <w:r w:rsidR="006B63FA">
        <w:rPr>
          <w:color w:val="000000"/>
          <w:sz w:val="20"/>
          <w:szCs w:val="20"/>
        </w:rPr>
        <w:t xml:space="preserve"> </w:t>
      </w:r>
      <w:r w:rsidRPr="0069679E">
        <w:rPr>
          <w:color w:val="000000"/>
          <w:sz w:val="20"/>
          <w:szCs w:val="20"/>
        </w:rPr>
        <w:t xml:space="preserve">Based on 0.11746 capital recovery factor, 10 percent interest rate, and </w:t>
      </w:r>
      <w:r w:rsidRPr="0069679E">
        <w:rPr>
          <w:color w:val="000000"/>
          <w:sz w:val="20"/>
          <w:szCs w:val="20"/>
        </w:rPr>
        <w:t>20 year</w:t>
      </w:r>
      <w:r w:rsidRPr="0069679E">
        <w:rPr>
          <w:color w:val="000000"/>
          <w:sz w:val="20"/>
          <w:szCs w:val="20"/>
        </w:rPr>
        <w:t xml:space="preserve"> lifetime of the units = $2,113 (1994 dollars); Costs have been increased from 1994 to 2020 $ using the CEPCI Equipment Cost Index: $2,113 x 1.62 cost adjustment = $3,423.</w:t>
      </w:r>
    </w:p>
    <w:p w:rsidR="0069679E" w14:paraId="71B91F95" w14:textId="7C2F773C">
      <w:pPr>
        <w:pBdr>
          <w:top w:val="single" w:sz="6" w:space="0" w:color="FFFFFF"/>
          <w:left w:val="single" w:sz="6" w:space="0" w:color="FFFFFF"/>
          <w:bottom w:val="single" w:sz="6" w:space="0" w:color="FFFFFF"/>
          <w:right w:val="single" w:sz="6" w:space="0" w:color="FFFFFF"/>
        </w:pBdr>
        <w:rPr>
          <w:sz w:val="20"/>
          <w:szCs w:val="20"/>
        </w:rPr>
      </w:pPr>
      <w:r w:rsidRPr="0069679E">
        <w:rPr>
          <w:sz w:val="20"/>
          <w:szCs w:val="20"/>
          <w:vertAlign w:val="superscript"/>
        </w:rPr>
        <w:t xml:space="preserve">b </w:t>
      </w:r>
      <w:r w:rsidRPr="0069679E">
        <w:rPr>
          <w:sz w:val="20"/>
          <w:szCs w:val="20"/>
        </w:rPr>
        <w:t>Assume 125 contractor hours per respondent and an average contractor labor rate of $123.94 per hour. The labor rate is based on the United States Department of Labor, Bureau of Labor Statistics, Sept 2021, “Table 2. Civilian Workers, by occupational and industry group.”</w:t>
      </w:r>
      <w:r w:rsidR="006B63FA">
        <w:rPr>
          <w:sz w:val="20"/>
          <w:szCs w:val="20"/>
        </w:rPr>
        <w:t xml:space="preserve"> </w:t>
      </w:r>
      <w:r w:rsidRPr="0069679E">
        <w:rPr>
          <w:sz w:val="20"/>
          <w:szCs w:val="20"/>
        </w:rPr>
        <w:t>The rates are from column 1, “Total compensation.”</w:t>
      </w:r>
      <w:r w:rsidR="006B63FA">
        <w:rPr>
          <w:sz w:val="20"/>
          <w:szCs w:val="20"/>
        </w:rPr>
        <w:t xml:space="preserve"> </w:t>
      </w:r>
      <w:r w:rsidRPr="0069679E">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69679E" w14:paraId="032E2C6C" w14:textId="4D86743E">
      <w:pPr>
        <w:pBdr>
          <w:top w:val="single" w:sz="6" w:space="0" w:color="FFFFFF"/>
          <w:left w:val="single" w:sz="6" w:space="0" w:color="FFFFFF"/>
          <w:bottom w:val="single" w:sz="6" w:space="0" w:color="FFFFFF"/>
          <w:right w:val="single" w:sz="6" w:space="0" w:color="FFFFFF"/>
        </w:pBdr>
        <w:rPr>
          <w:sz w:val="20"/>
          <w:szCs w:val="20"/>
        </w:rPr>
      </w:pPr>
      <w:r w:rsidRPr="0069679E">
        <w:rPr>
          <w:sz w:val="20"/>
          <w:szCs w:val="20"/>
          <w:vertAlign w:val="superscript"/>
        </w:rPr>
        <w:t>c</w:t>
      </w:r>
      <w:r w:rsidRPr="0069679E">
        <w:rPr>
          <w:sz w:val="20"/>
          <w:szCs w:val="20"/>
        </w:rPr>
        <w:t xml:space="preserve"> Based on the memorandum titled "Revised Testing and Monitoring Options and Costs for Medical Waste Incinerators (MWIs) - Methodology and Assumptions (A-91-</w:t>
      </w:r>
      <w:r w:rsidRPr="0069679E">
        <w:rPr>
          <w:sz w:val="20"/>
          <w:szCs w:val="20"/>
        </w:rPr>
        <w:t>61,IV</w:t>
      </w:r>
      <w:r w:rsidRPr="0069679E">
        <w:rPr>
          <w:sz w:val="20"/>
          <w:szCs w:val="20"/>
        </w:rPr>
        <w:t>-B-66)," O&amp;M cost = $1,693 x 0.11746 = $199 (1994 dollars); Costs have been increased from 1994 to 2020 $ using the CEPCI Equipment Cost Index. $199 x 1.62 cost adjustment = $322.</w:t>
      </w:r>
    </w:p>
    <w:p w:rsidR="0069679E" w:rsidRPr="0069679E" w14:paraId="3A263C00" w14:textId="251AAC01">
      <w:pPr>
        <w:pBdr>
          <w:top w:val="single" w:sz="6" w:space="0" w:color="FFFFFF"/>
          <w:left w:val="single" w:sz="6" w:space="0" w:color="FFFFFF"/>
          <w:bottom w:val="single" w:sz="6" w:space="0" w:color="FFFFFF"/>
          <w:right w:val="single" w:sz="6" w:space="0" w:color="FFFFFF"/>
        </w:pBdr>
        <w:rPr>
          <w:sz w:val="20"/>
          <w:szCs w:val="20"/>
        </w:rPr>
      </w:pPr>
      <w:r w:rsidRPr="0069679E">
        <w:rPr>
          <w:sz w:val="20"/>
          <w:szCs w:val="20"/>
          <w:vertAlign w:val="superscript"/>
        </w:rPr>
        <w:t xml:space="preserve">d </w:t>
      </w:r>
      <w:r w:rsidRPr="0069679E">
        <w:rPr>
          <w:sz w:val="20"/>
          <w:szCs w:val="20"/>
        </w:rPr>
        <w:t>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0D0BDB3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9679E">
        <w:rPr>
          <w:color w:val="000000"/>
        </w:rPr>
        <w:t>0.</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53400F5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9679E">
        <w:rPr>
          <w:color w:val="000000"/>
        </w:rPr>
        <w:t>1,170,000.</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890FC8" w14:paraId="3E481E4D" w14:textId="7E77B00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90FC8">
        <w:rPr>
          <w:color w:val="000000"/>
        </w:rPr>
        <w:t>1,170,000</w:t>
      </w:r>
      <w:r>
        <w:rPr>
          <w:color w:val="000000"/>
        </w:rPr>
        <w:t>.</w:t>
      </w:r>
      <w:r w:rsidR="006B63FA">
        <w:rPr>
          <w:color w:val="000000"/>
        </w:rPr>
        <w:t xml:space="preserve"> </w:t>
      </w:r>
      <w:r w:rsidR="001C5991">
        <w:rPr>
          <w:color w:val="000000"/>
        </w:rPr>
        <w:t xml:space="preserve">These are </w:t>
      </w:r>
      <w:r w:rsidR="00E026BC">
        <w:rPr>
          <w:color w:val="000000"/>
        </w:rPr>
        <w:t xml:space="preserve">the </w:t>
      </w:r>
      <w:r w:rsidR="001C5991">
        <w:rPr>
          <w:color w:val="000000"/>
        </w:rPr>
        <w:t>recordkeeping costs</w:t>
      </w:r>
      <w:r w:rsidR="00890FC8">
        <w:rPr>
          <w:color w:val="000000"/>
        </w:rPr>
        <w:t>.</w:t>
      </w:r>
    </w:p>
    <w:p w:rsidR="00890FC8" w:rsidP="00890FC8" w14:paraId="7EBABD77" w14:textId="77777777">
      <w:pPr>
        <w:pBdr>
          <w:top w:val="single" w:sz="6" w:space="0" w:color="FFFFFF"/>
          <w:left w:val="single" w:sz="6" w:space="0" w:color="FFFFFF"/>
          <w:bottom w:val="single" w:sz="6" w:space="0" w:color="FFFFFF"/>
          <w:right w:val="single" w:sz="6" w:space="0" w:color="FFFFFF"/>
        </w:pBdr>
        <w:ind w:firstLine="720"/>
        <w:rPr>
          <w:color w:val="000000"/>
        </w:rPr>
      </w:pPr>
    </w:p>
    <w:p w:rsidR="00E026BC" w14:paraId="2DF60F40"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6FBF4AEF" w14:textId="4455E31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6CBAAB5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E026BC">
        <w:rPr>
          <w:color w:val="000000"/>
        </w:rPr>
        <w:t xml:space="preserve"> The</w:t>
      </w:r>
      <w:r w:rsidR="009C7E97">
        <w:rPr>
          <w:color w:val="000000"/>
        </w:rPr>
        <w:t xml:space="preserve"> </w:t>
      </w:r>
      <w:r>
        <w:rPr>
          <w:color w:val="000000"/>
        </w:rPr>
        <w:t>EPA's overall compliance and enforcement program i</w:t>
      </w:r>
      <w:r w:rsidR="005C42AC">
        <w:rPr>
          <w:color w:val="000000"/>
        </w:rPr>
        <w:t xml:space="preserve">ncludes </w:t>
      </w:r>
      <w:r w:rsidR="00E026BC">
        <w:rPr>
          <w:color w:val="000000"/>
        </w:rPr>
        <w:t xml:space="preserve">such </w:t>
      </w:r>
      <w:r w:rsidR="005C42AC">
        <w:rPr>
          <w:color w:val="000000"/>
        </w:rPr>
        <w:t xml:space="preserve">activities </w:t>
      </w:r>
      <w:r w:rsidR="00E026BC">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7FD54B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107576">
        <w:t>$</w:t>
      </w:r>
      <w:r w:rsidR="00652969">
        <w:t>45,200</w:t>
      </w:r>
      <w:r w:rsidRPr="00107576" w:rsidR="00107576">
        <w:t>.</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687B105C">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4061E997">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2FE7FE5E">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4325F0A5">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107576">
        <w:rPr>
          <w:color w:val="000000" w:themeColor="text1"/>
        </w:rPr>
        <w:t>)</w:t>
      </w:r>
      <w:r w:rsidRPr="00107576" w:rsidR="007A458D">
        <w:rPr>
          <w:color w:val="000000" w:themeColor="text1"/>
        </w:rPr>
        <w:t>,</w:t>
      </w:r>
      <w:r w:rsidRPr="00107576">
        <w:rPr>
          <w:color w:val="000000" w:themeColor="text1"/>
        </w:rPr>
        <w:t xml:space="preserve"> </w:t>
      </w:r>
      <w:r w:rsidRPr="00107576" w:rsidR="006D381C">
        <w:rPr>
          <w:color w:val="000000" w:themeColor="text1"/>
        </w:rPr>
        <w:t xml:space="preserve">2022 </w:t>
      </w:r>
      <w:r w:rsidRPr="00107576">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E026BC">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00107576" w:rsidR="00144F35">
        <w:t xml:space="preserve"> </w:t>
      </w:r>
      <w:r w:rsidRPr="00107576" w:rsidR="00107576">
        <w:t>Emission Guidelines for Existing Commercial and Industrial Solid Waste Incineration Units (40 CFR Part 60, Subpart DDDD) (Renewal).</w:t>
      </w:r>
    </w:p>
    <w:p w:rsidR="00CA4CD6"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4F597A2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107576" w:rsidR="00107576">
        <w:t>74</w:t>
      </w:r>
      <w:r w:rsidRPr="00107576">
        <w:t xml:space="preserve"> </w:t>
      </w:r>
      <w:r>
        <w:rPr>
          <w:color w:val="000000"/>
        </w:rPr>
        <w:t>existing respondents will be subject to the</w:t>
      </w:r>
      <w:r w:rsidR="00E026BC">
        <w:rPr>
          <w:color w:val="000000"/>
        </w:rPr>
        <w:t>se</w:t>
      </w:r>
      <w:r>
        <w:rPr>
          <w:color w:val="000000"/>
        </w:rPr>
        <w:t xml:space="preserve"> standard</w:t>
      </w:r>
      <w:r w:rsidR="00E026BC">
        <w:rPr>
          <w:color w:val="000000"/>
        </w:rPr>
        <w:t>s</w:t>
      </w:r>
      <w:r>
        <w:rPr>
          <w:color w:val="000000"/>
        </w:rPr>
        <w:t>.</w:t>
      </w:r>
      <w:r w:rsidR="009C7E97">
        <w:rPr>
          <w:color w:val="000000"/>
        </w:rPr>
        <w:t xml:space="preserve"> </w:t>
      </w:r>
      <w:r>
        <w:rPr>
          <w:color w:val="000000"/>
        </w:rPr>
        <w:t xml:space="preserve">It is estimated that </w:t>
      </w:r>
      <w:r w:rsidR="00107576">
        <w:rPr>
          <w:color w:val="000000"/>
        </w:rPr>
        <w:t>no</w:t>
      </w:r>
      <w:r>
        <w:rPr>
          <w:color w:val="000000"/>
        </w:rPr>
        <w:t xml:space="preserve"> additional</w:t>
      </w:r>
      <w:r w:rsidR="00107576">
        <w:rPr>
          <w:color w:val="000000"/>
        </w:rPr>
        <w:t xml:space="preserve"> </w:t>
      </w:r>
      <w:r>
        <w:rPr>
          <w:color w:val="000000"/>
        </w:rPr>
        <w:t>respondents per year will become subject</w:t>
      </w:r>
      <w:r w:rsidR="00E026BC">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107576">
        <w:t xml:space="preserve">is </w:t>
      </w:r>
      <w:r w:rsidRPr="00107576" w:rsidR="00107576">
        <w:t>74</w:t>
      </w:r>
      <w:r w:rsidRPr="00107576">
        <w:t xml:space="preserve"> per </w:t>
      </w:r>
      <w:r>
        <w:rPr>
          <w:color w:val="000000"/>
        </w:rPr>
        <w:t>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504B152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026BC">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107576">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10757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10757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107576">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107576" w:rsidP="00107576"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107576" w:rsidP="00107576" w14:paraId="3108CE70" w14:textId="79FC44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107576" w:rsidP="00107576" w14:paraId="0B137A30" w14:textId="5DEBCF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c>
          <w:tcPr>
            <w:tcW w:w="2070" w:type="dxa"/>
            <w:tcBorders>
              <w:top w:val="single" w:sz="8" w:space="0" w:color="000000"/>
              <w:left w:val="single" w:sz="6" w:space="0" w:color="000000"/>
              <w:bottom w:val="single" w:sz="6" w:space="0" w:color="000000"/>
              <w:right w:val="single" w:sz="6" w:space="0" w:color="000000"/>
            </w:tcBorders>
            <w:vAlign w:val="center"/>
          </w:tcPr>
          <w:p w:rsidR="00107576" w:rsidP="00107576" w14:paraId="7D960C93" w14:textId="3A73C3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107576" w:rsidP="00107576" w14:paraId="7ED54B96" w14:textId="061737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107576" w:rsidP="00107576" w14:paraId="3F7C0DAD" w14:textId="43ACEF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r>
      <w:tr w14:paraId="75ED52D9" w14:textId="77777777" w:rsidTr="0010757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07576" w:rsidP="00107576"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107576" w:rsidP="00107576" w14:paraId="7564DEC3" w14:textId="5C670B0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107576" w:rsidP="00107576" w14:paraId="002226B8" w14:textId="781F53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c>
          <w:tcPr>
            <w:tcW w:w="2070" w:type="dxa"/>
            <w:tcBorders>
              <w:top w:val="single" w:sz="6" w:space="0" w:color="000000"/>
              <w:left w:val="single" w:sz="6" w:space="0" w:color="000000"/>
              <w:bottom w:val="single" w:sz="6" w:space="0" w:color="000000"/>
              <w:right w:val="single" w:sz="6" w:space="0" w:color="000000"/>
            </w:tcBorders>
            <w:vAlign w:val="center"/>
          </w:tcPr>
          <w:p w:rsidR="00107576" w:rsidP="00107576" w14:paraId="1C3913C5" w14:textId="64C2F4F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107576" w:rsidP="00107576" w14:paraId="3802688A" w14:textId="263B90E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107576" w:rsidP="00107576" w14:paraId="45C01B8A" w14:textId="5632AF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r>
      <w:tr w14:paraId="0C60FE4C" w14:textId="77777777" w:rsidTr="0010757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07576" w:rsidP="00107576"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107576" w:rsidP="00107576" w14:paraId="1A6EA395" w14:textId="717479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107576" w:rsidP="00107576" w14:paraId="37336570" w14:textId="1C6D88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c>
          <w:tcPr>
            <w:tcW w:w="2070" w:type="dxa"/>
            <w:tcBorders>
              <w:top w:val="single" w:sz="6" w:space="0" w:color="000000"/>
              <w:left w:val="single" w:sz="6" w:space="0" w:color="000000"/>
              <w:bottom w:val="single" w:sz="6" w:space="0" w:color="000000"/>
              <w:right w:val="single" w:sz="6" w:space="0" w:color="000000"/>
            </w:tcBorders>
            <w:vAlign w:val="center"/>
          </w:tcPr>
          <w:p w:rsidR="00107576" w:rsidP="00107576" w14:paraId="7C60F04B" w14:textId="310D9F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107576" w:rsidP="00107576" w14:paraId="53B7186D" w14:textId="72B3A9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107576" w:rsidP="00107576" w14:paraId="18B5AAAA" w14:textId="71815F6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r>
      <w:tr w14:paraId="6B3C1DEA" w14:textId="77777777" w:rsidTr="0010757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107576" w:rsidP="00107576"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107576" w:rsidP="00107576" w14:paraId="1581E97D" w14:textId="0B3537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107576" w:rsidP="00107576" w14:paraId="47314C40" w14:textId="139D12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c>
          <w:tcPr>
            <w:tcW w:w="2070" w:type="dxa"/>
            <w:tcBorders>
              <w:top w:val="single" w:sz="6" w:space="0" w:color="000000"/>
              <w:left w:val="single" w:sz="6" w:space="0" w:color="000000"/>
              <w:bottom w:val="single" w:sz="8" w:space="0" w:color="000000"/>
              <w:right w:val="single" w:sz="6" w:space="0" w:color="000000"/>
            </w:tcBorders>
            <w:vAlign w:val="center"/>
          </w:tcPr>
          <w:p w:rsidR="00107576" w:rsidP="00107576" w14:paraId="480163AE" w14:textId="0BDE0B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107576" w:rsidP="00107576" w14:paraId="2B2CDCCB" w14:textId="607400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107576" w:rsidP="00107576" w14:paraId="0CAD30F7" w14:textId="345451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74</w:t>
            </w:r>
          </w:p>
        </w:tc>
      </w:tr>
    </w:tbl>
    <w:p w:rsidR="00CA4CD6" w14:paraId="7C547DF5" w14:textId="651AB1F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RPr="00EA6063" w14:paraId="20B94E50" w14:textId="70E74730">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EA6063">
        <w:t xml:space="preserve">ICR is </w:t>
      </w:r>
      <w:r w:rsidRPr="00EA6063" w:rsidR="00EA6063">
        <w:t>74.</w:t>
      </w:r>
      <w:r w:rsidRPr="00EA6063" w:rsidR="00507EC5">
        <w:t xml:space="preserve"> </w:t>
      </w:r>
    </w:p>
    <w:p w:rsidR="00CA4CD6" w:rsidP="00EA6063"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14334133">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EA6063">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EA6063">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7DB8FBDE" w14:textId="55F3847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State plans</w:t>
            </w:r>
          </w:p>
        </w:tc>
        <w:tc>
          <w:tcPr>
            <w:tcW w:w="1260" w:type="dxa"/>
            <w:vAlign w:val="center"/>
          </w:tcPr>
          <w:p w:rsidR="00EA6063" w:rsidP="00EA6063" w14:paraId="63308014" w14:textId="7A2EAC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7D6BA6A3" w14:textId="6BA0F0E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508145DD" w14:textId="1845CC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70F8E048" w14:textId="48C9895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0F46E3DF" w14:textId="76A7E5C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Construction/reconstruction notification</w:t>
            </w:r>
          </w:p>
        </w:tc>
        <w:tc>
          <w:tcPr>
            <w:tcW w:w="1260" w:type="dxa"/>
            <w:vAlign w:val="center"/>
          </w:tcPr>
          <w:p w:rsidR="00EA6063" w:rsidP="00EA6063" w14:paraId="06C154FF" w14:textId="22266B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40F59661" w14:textId="36F2B76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3E42D994" w14:textId="1873406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4B9F0EBE" w14:textId="187AF35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5387B54C" w14:textId="3FD6C38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notification</w:t>
            </w:r>
          </w:p>
        </w:tc>
        <w:tc>
          <w:tcPr>
            <w:tcW w:w="1260" w:type="dxa"/>
            <w:vAlign w:val="center"/>
          </w:tcPr>
          <w:p w:rsidR="00EA6063" w:rsidP="00EA6063" w14:paraId="5E226832" w14:textId="2D17C0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61FE4D7C" w14:textId="034F19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4628B654" w14:textId="0C7F2E1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2ACB2E06" w14:textId="061792A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83E1D2F"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0A00E7E9" w14:textId="516101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Demonstration date of continuous monitoring system performance notification</w:t>
            </w:r>
          </w:p>
        </w:tc>
        <w:tc>
          <w:tcPr>
            <w:tcW w:w="1260" w:type="dxa"/>
            <w:vAlign w:val="center"/>
          </w:tcPr>
          <w:p w:rsidR="00EA6063" w:rsidP="00EA6063" w14:paraId="6D5F816B" w14:textId="117F654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64FA5AEC" w14:textId="5F5C07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67D9124E" w14:textId="68A68B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526F05CB" w14:textId="583A86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2DCCF3"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555F6D06" w14:textId="583B37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Anticipated date for conducting opacity observations notification</w:t>
            </w:r>
          </w:p>
        </w:tc>
        <w:tc>
          <w:tcPr>
            <w:tcW w:w="1260" w:type="dxa"/>
            <w:vAlign w:val="center"/>
          </w:tcPr>
          <w:p w:rsidR="00EA6063" w:rsidP="00EA6063" w14:paraId="4B2521A1" w14:textId="72BCF1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7F4D2A7C" w14:textId="5582EF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643A86F8" w14:textId="1B1956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4A4188E6" w14:textId="3615A7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77908364"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22FA061D" w14:textId="77BC6FA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Use of continuous opacity monitoring system data notification</w:t>
            </w:r>
          </w:p>
        </w:tc>
        <w:tc>
          <w:tcPr>
            <w:tcW w:w="1260" w:type="dxa"/>
            <w:vAlign w:val="center"/>
          </w:tcPr>
          <w:p w:rsidR="00EA6063" w:rsidP="00EA6063" w14:paraId="6CC93BBB" w14:textId="131413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7F0573C9" w14:textId="043D6B2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0F37D3CB" w14:textId="434358A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6BC4CA44" w14:textId="09AC069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C5E3361"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3CEC7509" w14:textId="27846F4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Final control plan notification</w:t>
            </w:r>
          </w:p>
        </w:tc>
        <w:tc>
          <w:tcPr>
            <w:tcW w:w="1260" w:type="dxa"/>
            <w:vAlign w:val="center"/>
          </w:tcPr>
          <w:p w:rsidR="00EA6063" w:rsidP="00EA6063" w14:paraId="5652A9EB" w14:textId="1EAD83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3C4D796F" w14:textId="01932D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033861BB" w14:textId="065816E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250A0493" w14:textId="7C738D8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5B0A85CE"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2F0801F0" w14:textId="7808A7A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Final compliance notification</w:t>
            </w:r>
          </w:p>
        </w:tc>
        <w:tc>
          <w:tcPr>
            <w:tcW w:w="1260" w:type="dxa"/>
            <w:vAlign w:val="center"/>
          </w:tcPr>
          <w:p w:rsidR="00EA6063" w:rsidP="00EA6063" w14:paraId="613F1CA4" w14:textId="7F1469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4D3AB238" w14:textId="4D2B46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5FD3E4BC" w14:textId="102FCD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5EFAEAB2" w14:textId="14DBD3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64A3A514"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1175C514" w14:textId="5053A7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Waste management plan</w:t>
            </w:r>
          </w:p>
        </w:tc>
        <w:tc>
          <w:tcPr>
            <w:tcW w:w="1260" w:type="dxa"/>
            <w:vAlign w:val="center"/>
          </w:tcPr>
          <w:p w:rsidR="00EA6063" w:rsidP="00EA6063" w14:paraId="6E163D85" w14:textId="345C200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66430C6D" w14:textId="4D459C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3540AE34" w14:textId="0299C8B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0D67DD5B" w14:textId="60B6AD3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2BB996E"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2A562F2F" w14:textId="5B20C7F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performance test report</w:t>
            </w:r>
          </w:p>
        </w:tc>
        <w:tc>
          <w:tcPr>
            <w:tcW w:w="1260" w:type="dxa"/>
            <w:vAlign w:val="center"/>
          </w:tcPr>
          <w:p w:rsidR="00EA6063" w:rsidP="00EA6063" w14:paraId="475CF25E" w14:textId="13A33DA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EA6063" w:rsidP="00EA6063" w14:paraId="53CAE740" w14:textId="7881B0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2A1659B1" w14:textId="224F72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367BB42B" w14:textId="5CDFEA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EB80D3E"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2B060B89" w14:textId="15447DD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Annual report </w:t>
            </w:r>
            <w:r>
              <w:rPr>
                <w:color w:val="000000"/>
                <w:sz w:val="18"/>
                <w:szCs w:val="18"/>
                <w:vertAlign w:val="superscript"/>
              </w:rPr>
              <w:t>a</w:t>
            </w:r>
          </w:p>
        </w:tc>
        <w:tc>
          <w:tcPr>
            <w:tcW w:w="1260" w:type="dxa"/>
            <w:vAlign w:val="center"/>
          </w:tcPr>
          <w:p w:rsidR="00EA6063" w:rsidP="00EA6063" w14:paraId="21F5487C" w14:textId="7F9C38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c>
          <w:tcPr>
            <w:tcW w:w="1260" w:type="dxa"/>
            <w:vAlign w:val="center"/>
          </w:tcPr>
          <w:p w:rsidR="00EA6063" w:rsidP="00EA6063" w14:paraId="59EA7BFC" w14:textId="27271AB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EA6063" w:rsidP="00EA6063" w14:paraId="13A36291" w14:textId="22379C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EA6063" w:rsidP="00EA6063" w14:paraId="7E091D5A" w14:textId="4A6FDD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r>
      <w:tr w14:paraId="24E79749"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7F729E" w:rsidP="007F729E" w14:paraId="718F22CE" w14:textId="6E76497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Semiannual report of emissions/parameter exceedances </w:t>
            </w:r>
            <w:r>
              <w:rPr>
                <w:color w:val="000000"/>
                <w:sz w:val="18"/>
                <w:szCs w:val="18"/>
                <w:vertAlign w:val="superscript"/>
              </w:rPr>
              <w:t>b</w:t>
            </w:r>
          </w:p>
        </w:tc>
        <w:tc>
          <w:tcPr>
            <w:tcW w:w="1260" w:type="dxa"/>
            <w:vAlign w:val="center"/>
          </w:tcPr>
          <w:p w:rsidR="007F729E" w:rsidP="007F729E" w14:paraId="1B373332" w14:textId="3A7AE4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c>
          <w:tcPr>
            <w:tcW w:w="1260" w:type="dxa"/>
            <w:vAlign w:val="center"/>
          </w:tcPr>
          <w:p w:rsidR="007F729E" w:rsidP="007F729E" w14:paraId="2FB3D078" w14:textId="1795A06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7F729E" w:rsidP="007F729E" w14:paraId="20515420" w14:textId="6237C3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729E" w:rsidP="007F729E" w14:paraId="6B1522DE" w14:textId="105B5E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14.8</w:t>
            </w:r>
          </w:p>
        </w:tc>
      </w:tr>
      <w:tr w14:paraId="059D0B9B"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7F729E" w:rsidP="007F729E" w14:paraId="2780AA7F" w14:textId="2944341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Status report for operators that are off-site for more than 2 weeks </w:t>
            </w:r>
            <w:r>
              <w:rPr>
                <w:color w:val="000000"/>
                <w:sz w:val="18"/>
                <w:szCs w:val="18"/>
                <w:vertAlign w:val="superscript"/>
              </w:rPr>
              <w:t>c</w:t>
            </w:r>
          </w:p>
        </w:tc>
        <w:tc>
          <w:tcPr>
            <w:tcW w:w="1260" w:type="dxa"/>
            <w:vAlign w:val="center"/>
          </w:tcPr>
          <w:p w:rsidR="007F729E" w:rsidP="007F729E" w14:paraId="0E198A5B" w14:textId="71B1FEA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c>
          <w:tcPr>
            <w:tcW w:w="1260" w:type="dxa"/>
            <w:vAlign w:val="center"/>
          </w:tcPr>
          <w:p w:rsidR="007F729E" w:rsidP="007F729E" w14:paraId="04DD6BBA" w14:textId="548239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729E" w:rsidP="007F729E" w14:paraId="3D7A678E" w14:textId="22F653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729E" w:rsidP="007F729E" w14:paraId="1BE39A24" w14:textId="5EE7A9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r>
      <w:tr w14:paraId="1759680D"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7F729E" w:rsidP="007F729E" w14:paraId="7DD12553" w14:textId="6287616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Corrective action summary for operators that are off-site for </w:t>
            </w:r>
            <w:r>
              <w:rPr>
                <w:color w:val="000000"/>
                <w:sz w:val="18"/>
                <w:szCs w:val="18"/>
              </w:rPr>
              <w:t xml:space="preserve">more than 2 weeks </w:t>
            </w:r>
            <w:r>
              <w:rPr>
                <w:color w:val="000000"/>
                <w:sz w:val="18"/>
                <w:szCs w:val="18"/>
                <w:vertAlign w:val="superscript"/>
              </w:rPr>
              <w:t>c</w:t>
            </w:r>
          </w:p>
        </w:tc>
        <w:tc>
          <w:tcPr>
            <w:tcW w:w="1260" w:type="dxa"/>
            <w:vAlign w:val="center"/>
          </w:tcPr>
          <w:p w:rsidR="007F729E" w:rsidP="007F729E" w14:paraId="5B91E327" w14:textId="6E3DBD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c>
          <w:tcPr>
            <w:tcW w:w="1260" w:type="dxa"/>
            <w:vAlign w:val="center"/>
          </w:tcPr>
          <w:p w:rsidR="007F729E" w:rsidP="007F729E" w14:paraId="06C42EB5" w14:textId="5194AA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7F729E" w:rsidP="007F729E" w14:paraId="2F407992" w14:textId="4F5C49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729E" w:rsidP="007F729E" w14:paraId="5784A922" w14:textId="227156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14.8</w:t>
            </w:r>
          </w:p>
        </w:tc>
      </w:tr>
      <w:tr w14:paraId="73D75E9E"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7F729E" w:rsidP="007F729E" w14:paraId="5D90F29C" w14:textId="57B365C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Qualified operator deviation notification of resumed operation </w:t>
            </w:r>
            <w:r>
              <w:rPr>
                <w:color w:val="000000"/>
                <w:sz w:val="18"/>
                <w:szCs w:val="18"/>
                <w:vertAlign w:val="superscript"/>
              </w:rPr>
              <w:t>c</w:t>
            </w:r>
          </w:p>
        </w:tc>
        <w:tc>
          <w:tcPr>
            <w:tcW w:w="1260" w:type="dxa"/>
            <w:vAlign w:val="center"/>
          </w:tcPr>
          <w:p w:rsidR="007F729E" w:rsidP="007F729E" w14:paraId="1CB82989" w14:textId="4A90D5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c>
          <w:tcPr>
            <w:tcW w:w="1260" w:type="dxa"/>
            <w:vAlign w:val="center"/>
          </w:tcPr>
          <w:p w:rsidR="007F729E" w:rsidP="007F729E" w14:paraId="601E3599" w14:textId="314B4C1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F729E" w:rsidP="007F729E" w14:paraId="01FB1DB4" w14:textId="30B2D07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7F729E" w:rsidP="007F729E" w14:paraId="19AF442E" w14:textId="56F360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r>
      <w:tr w14:paraId="6C13DEF4" w14:textId="77777777" w:rsidTr="00EA6063">
        <w:tblPrEx>
          <w:tblW w:w="9180" w:type="dxa"/>
          <w:tblInd w:w="201" w:type="dxa"/>
          <w:tblLayout w:type="fixed"/>
          <w:tblCellMar>
            <w:left w:w="111" w:type="dxa"/>
            <w:right w:w="111" w:type="dxa"/>
          </w:tblCellMar>
          <w:tblLook w:val="0000"/>
        </w:tblPrEx>
        <w:trPr>
          <w:trHeight w:val="366"/>
        </w:trPr>
        <w:tc>
          <w:tcPr>
            <w:tcW w:w="2700" w:type="dxa"/>
            <w:vAlign w:val="center"/>
          </w:tcPr>
          <w:p w:rsidR="00EA6063" w:rsidP="00EA6063" w14:paraId="7BBFA3A2" w14:textId="51D6A6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rsidR="00EA6063" w:rsidP="00EA6063" w14:paraId="435BE08A" w14:textId="32C984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rsidR="00EA6063" w:rsidP="00EA6063" w14:paraId="45D39C51" w14:textId="77E54D8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rsidR="00EA6063" w:rsidP="00EA6063" w14:paraId="191EB1FB" w14:textId="5B3C643D">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Total (rounded)</w:t>
            </w:r>
            <w:r>
              <w:rPr>
                <w:b/>
                <w:bCs/>
                <w:color w:val="000000"/>
                <w:sz w:val="18"/>
                <w:szCs w:val="18"/>
                <w:vertAlign w:val="superscript"/>
              </w:rPr>
              <w:t xml:space="preserve"> d</w:t>
            </w:r>
          </w:p>
        </w:tc>
        <w:tc>
          <w:tcPr>
            <w:tcW w:w="2070" w:type="dxa"/>
            <w:vAlign w:val="center"/>
          </w:tcPr>
          <w:p w:rsidR="00EA6063" w:rsidP="00EA6063" w14:paraId="69A7F94D" w14:textId="0D18D7DA">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18"/>
                <w:szCs w:val="18"/>
              </w:rPr>
              <w:t>118</w:t>
            </w:r>
          </w:p>
        </w:tc>
      </w:tr>
    </w:tbl>
    <w:p w:rsidR="00CA4CD6" w:rsidRPr="00EA6063" w14:paraId="515D2AA1" w14:textId="19A5C881">
      <w:pPr>
        <w:pBdr>
          <w:top w:val="single" w:sz="6" w:space="0" w:color="FFFFFF"/>
          <w:left w:val="single" w:sz="6" w:space="0" w:color="FFFFFF"/>
          <w:bottom w:val="single" w:sz="6" w:space="0" w:color="FFFFFF"/>
          <w:right w:val="single" w:sz="6" w:space="0" w:color="FFFFFF"/>
        </w:pBdr>
        <w:rPr>
          <w:color w:val="000000"/>
          <w:sz w:val="20"/>
          <w:szCs w:val="20"/>
        </w:rPr>
      </w:pPr>
      <w:r w:rsidRPr="00EA6063">
        <w:rPr>
          <w:color w:val="000000"/>
          <w:sz w:val="20"/>
          <w:szCs w:val="20"/>
          <w:vertAlign w:val="superscript"/>
        </w:rPr>
        <w:t>a</w:t>
      </w:r>
      <w:r w:rsidRPr="00EA6063">
        <w:rPr>
          <w:color w:val="000000"/>
          <w:sz w:val="20"/>
          <w:szCs w:val="20"/>
          <w:vertAlign w:val="superscript"/>
        </w:rPr>
        <w:t xml:space="preserve"> </w:t>
      </w:r>
      <w:r w:rsidRPr="00EA6063">
        <w:rPr>
          <w:color w:val="000000"/>
          <w:sz w:val="20"/>
          <w:szCs w:val="20"/>
        </w:rPr>
        <w:t>Annual reports are not required until the second year that units are in operation; therefore, annual reports will only apply to existing sources (i.e., 74 respondents).</w:t>
      </w:r>
    </w:p>
    <w:p w:rsidR="00EA6063" w:rsidRPr="00EA6063" w14:paraId="0809B058" w14:textId="36D7BFF0">
      <w:pPr>
        <w:pBdr>
          <w:top w:val="single" w:sz="6" w:space="0" w:color="FFFFFF"/>
          <w:left w:val="single" w:sz="6" w:space="0" w:color="FFFFFF"/>
          <w:bottom w:val="single" w:sz="6" w:space="0" w:color="FFFFFF"/>
          <w:right w:val="single" w:sz="6" w:space="0" w:color="FFFFFF"/>
        </w:pBdr>
        <w:rPr>
          <w:color w:val="000000"/>
          <w:sz w:val="20"/>
          <w:szCs w:val="20"/>
        </w:rPr>
      </w:pPr>
      <w:r w:rsidRPr="00EA6063">
        <w:rPr>
          <w:color w:val="000000"/>
          <w:sz w:val="20"/>
          <w:szCs w:val="20"/>
          <w:vertAlign w:val="superscript"/>
        </w:rPr>
        <w:t xml:space="preserve">b </w:t>
      </w:r>
      <w:r w:rsidRPr="00EA6063">
        <w:rPr>
          <w:color w:val="000000"/>
          <w:sz w:val="20"/>
          <w:szCs w:val="20"/>
        </w:rPr>
        <w:t>We assume that 10 percent of the facilities will have an exceedance during the year.</w:t>
      </w:r>
    </w:p>
    <w:p w:rsidR="00EA6063" w:rsidRPr="00EA6063" w14:paraId="0DEB2784" w14:textId="0487FF51">
      <w:pPr>
        <w:pBdr>
          <w:top w:val="single" w:sz="6" w:space="0" w:color="FFFFFF"/>
          <w:left w:val="single" w:sz="6" w:space="0" w:color="FFFFFF"/>
          <w:bottom w:val="single" w:sz="6" w:space="0" w:color="FFFFFF"/>
          <w:right w:val="single" w:sz="6" w:space="0" w:color="FFFFFF"/>
        </w:pBdr>
        <w:rPr>
          <w:color w:val="000000"/>
          <w:sz w:val="20"/>
          <w:szCs w:val="20"/>
        </w:rPr>
      </w:pPr>
      <w:r w:rsidRPr="00EA6063">
        <w:rPr>
          <w:color w:val="000000"/>
          <w:sz w:val="20"/>
          <w:szCs w:val="20"/>
          <w:vertAlign w:val="superscript"/>
        </w:rPr>
        <w:t xml:space="preserve">c </w:t>
      </w:r>
      <w:r w:rsidRPr="00EA6063">
        <w:rPr>
          <w:color w:val="000000"/>
          <w:sz w:val="20"/>
          <w:szCs w:val="20"/>
        </w:rPr>
        <w:t>We assume that 10 percent of facilities will not have a qualified operator available for more than two weeks at least once a year, and that two corrective action summaries will be required.</w:t>
      </w:r>
    </w:p>
    <w:p w:rsidR="00EA6063" w:rsidRPr="00EA6063" w14:paraId="705A7627" w14:textId="05F674D0">
      <w:pPr>
        <w:pBdr>
          <w:top w:val="single" w:sz="6" w:space="0" w:color="FFFFFF"/>
          <w:left w:val="single" w:sz="6" w:space="0" w:color="FFFFFF"/>
          <w:bottom w:val="single" w:sz="6" w:space="0" w:color="FFFFFF"/>
          <w:right w:val="single" w:sz="6" w:space="0" w:color="FFFFFF"/>
        </w:pBdr>
        <w:rPr>
          <w:color w:val="000000"/>
          <w:sz w:val="20"/>
          <w:szCs w:val="20"/>
        </w:rPr>
      </w:pPr>
      <w:r w:rsidRPr="00EA6063">
        <w:rPr>
          <w:color w:val="000000"/>
          <w:sz w:val="20"/>
          <w:szCs w:val="20"/>
          <w:vertAlign w:val="superscript"/>
        </w:rPr>
        <w:t xml:space="preserve">d </w:t>
      </w:r>
      <w:r w:rsidRPr="00EA6063">
        <w:rPr>
          <w:color w:val="000000"/>
          <w:sz w:val="20"/>
          <w:szCs w:val="20"/>
        </w:rPr>
        <w:t>Totals have been rounded to 3 significant figures. Figures may not add exactly due to rounding.</w:t>
      </w:r>
    </w:p>
    <w:p w:rsidR="00EA6063" w14:paraId="29B4952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E394338" w14:textId="1D7045BB">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EA6063">
        <w:rPr>
          <w:color w:val="000000"/>
        </w:rPr>
        <w:t xml:space="preserve"> 118</w:t>
      </w:r>
      <w:r>
        <w:rPr>
          <w:color w:val="000000"/>
        </w:rPr>
        <w:t>.</w:t>
      </w:r>
    </w:p>
    <w:p w:rsidR="00CA4CD6"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rsidP="00EA6063" w14:paraId="547175A9" w14:textId="0E07C92B">
      <w:pPr>
        <w:pBdr>
          <w:top w:val="single" w:sz="6" w:space="0" w:color="FFFFFF"/>
          <w:left w:val="single" w:sz="6" w:space="0" w:color="FFFFFF"/>
          <w:bottom w:val="single" w:sz="6" w:space="0" w:color="FFFFFF"/>
          <w:right w:val="single" w:sz="6" w:space="0" w:color="FFFFFF"/>
        </w:pBdr>
        <w:rPr>
          <w:color w:val="000000"/>
        </w:rPr>
      </w:pPr>
      <w:r>
        <w:rPr>
          <w:color w:val="FF0000"/>
        </w:rPr>
        <w:t xml:space="preserve"> </w:t>
      </w:r>
      <w:r w:rsidR="00EA6063">
        <w:rPr>
          <w:color w:val="FF0000"/>
        </w:rPr>
        <w:tab/>
      </w:r>
      <w:r w:rsidRPr="755EC747">
        <w:rPr>
          <w:color w:val="000000" w:themeColor="text1"/>
        </w:rPr>
        <w:t xml:space="preserve">The total annual labor costs are </w:t>
      </w:r>
      <w:r w:rsidRPr="755EC747" w:rsidR="1B76139F">
        <w:rPr>
          <w:color w:val="000000" w:themeColor="text1"/>
        </w:rPr>
        <w:t>$</w:t>
      </w:r>
      <w:r w:rsidR="00EA6063">
        <w:rPr>
          <w:color w:val="000000" w:themeColor="text1"/>
        </w:rPr>
        <w:t>1,940,000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00EA6063" w:rsidR="00CF2B37">
        <w:t>–</w:t>
      </w:r>
      <w:r w:rsidRPr="00EA6063">
        <w:t xml:space="preserve"> </w:t>
      </w:r>
      <w:r w:rsidRPr="00EA6063" w:rsidR="00EA6063">
        <w:t>Emission Guidelines for Existing Commercial and Industrial Solid Waste Incineration Units (40 CFR Part 60, Subpart DDDD) (Renewal)</w:t>
      </w:r>
      <w:r w:rsidRPr="00EA6063">
        <w:t>.</w:t>
      </w:r>
    </w:p>
    <w:p w:rsidR="00C13FE8" w14:paraId="1FBBBAE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6071CC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21BA4">
        <w:rPr>
          <w:color w:val="000000"/>
        </w:rPr>
        <w:t>16,100</w:t>
      </w:r>
      <w:r w:rsidR="002F0102">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2F0102">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Pr="00821BA4" w:rsidR="00CF2B37">
        <w:t xml:space="preserve"> </w:t>
      </w:r>
      <w:r w:rsidRPr="00821BA4" w:rsidR="00821BA4">
        <w:t>Emission Guidelines for Existing Commercial and Industrial Solid Waste Incineration Units (40 CFR Part 60, Subpart DDDD) (Renewal)</w:t>
      </w:r>
      <w:r w:rsidRPr="00821BA4">
        <w:t>.</w:t>
      </w:r>
      <w:r w:rsidRPr="00821BA4"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3BFC52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821BA4" w:rsidR="00821BA4">
        <w:t>136</w:t>
      </w:r>
      <w:r w:rsidRPr="00821BA4">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59078EA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821BA4">
        <w:t xml:space="preserve">are </w:t>
      </w:r>
      <w:r w:rsidRPr="00821BA4" w:rsidR="00821BA4">
        <w:t>$1,170,000</w:t>
      </w:r>
      <w:r w:rsidRPr="00821BA4" w:rsidR="00507EC5">
        <w:t>.</w:t>
      </w:r>
      <w:r w:rsidRPr="00821BA4" w:rsidR="009C7E97">
        <w:t xml:space="preserve"> </w:t>
      </w:r>
      <w:r>
        <w:rPr>
          <w:color w:val="000000"/>
        </w:rPr>
        <w:t xml:space="preserve">The cost calculations are detailed in Section 6(b)(iii), Capital/Startup vs. Operation and </w:t>
      </w:r>
      <w:r>
        <w:rPr>
          <w:color w:val="000000"/>
        </w:rPr>
        <w:t>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821BA4" w:rsidP="00144F35" w14:paraId="71A25750" w14:textId="587425D0">
      <w:pPr>
        <w:pBdr>
          <w:top w:val="single" w:sz="6" w:space="0" w:color="FFFFFF"/>
          <w:left w:val="single" w:sz="6" w:space="0" w:color="FFFFFF"/>
          <w:bottom w:val="single" w:sz="6" w:space="0" w:color="FFFFFF"/>
          <w:right w:val="single" w:sz="6" w:space="0" w:color="FFFFFF"/>
        </w:pBdr>
        <w:ind w:firstLine="720"/>
      </w:pPr>
      <w:r w:rsidRPr="00821BA4">
        <w:t xml:space="preserve">The average annual Agency burden and cost over next three years is estimated to be </w:t>
      </w:r>
      <w:r w:rsidR="00A33D39">
        <w:t>885</w:t>
      </w:r>
      <w:r w:rsidRPr="00821BA4">
        <w:t xml:space="preserve"> labor hours at a cost of</w:t>
      </w:r>
      <w:r w:rsidRPr="00821BA4" w:rsidR="00821BA4">
        <w:t xml:space="preserve"> $</w:t>
      </w:r>
      <w:r w:rsidR="00A33D39">
        <w:t>45,200</w:t>
      </w:r>
      <w:r w:rsidR="002F0102">
        <w:t>; s</w:t>
      </w:r>
      <w:r w:rsidRPr="00821BA4" w:rsidR="00144F35">
        <w:t>ee</w:t>
      </w:r>
      <w:r w:rsidR="002F0102">
        <w:t xml:space="preserve"> below in</w:t>
      </w:r>
      <w:r w:rsidRPr="00821BA4" w:rsidR="00144F35">
        <w:t xml:space="preserve"> Table 2: </w:t>
      </w:r>
      <w:r w:rsidRPr="00821BA4" w:rsidR="00CF2B37">
        <w:t>Average Annual EPA Burden and Cost –</w:t>
      </w:r>
      <w:r w:rsidRPr="00821BA4" w:rsidR="00144F35">
        <w:t xml:space="preserve"> </w:t>
      </w:r>
      <w:r w:rsidRPr="00821BA4" w:rsidR="00821BA4">
        <w:t>Emission Guidelines for Existing Commercial and Industrial Solid Waste Incineration Units (40 CFR Part 60, Subpart DDDD) (Renewal)</w:t>
      </w:r>
      <w:r w:rsidRPr="00821BA4">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16952" w:rsidP="00516952" w14:paraId="575AFBBE" w14:textId="3464713A">
      <w:pPr>
        <w:ind w:firstLine="720"/>
      </w:pPr>
      <w:r w:rsidRPr="00B32D10">
        <w:t>There is no change in burden from the most</w:t>
      </w:r>
      <w:r w:rsidR="002F0102">
        <w:t>-</w:t>
      </w:r>
      <w:r w:rsidRPr="00B32D10">
        <w:t>recently approved ICR as currently identified in the OMB Inventory of Approved Burdens. This is due to two considerations</w:t>
      </w:r>
      <w:r w:rsidR="002F0102">
        <w:t xml:space="preserve">: 1) </w:t>
      </w:r>
      <w:r w:rsidRPr="00B32D10">
        <w:t>the regulations have not changed over the past three years and are not anticipated to change over the next three years</w:t>
      </w:r>
      <w:r w:rsidR="002F0102">
        <w:t>; and 2)</w:t>
      </w:r>
      <w:r w:rsidRPr="00B32D10">
        <w:t xml:space="preserve"> the growth rate for this industry is very low or non-existent, so there is no significant change in the overall burden. There is a slight increase in costs, which is wholly due to the use of updated labor rates. This ICR uses labor rates from the most</w:t>
      </w:r>
      <w:r w:rsidR="002F0102">
        <w:t>-</w:t>
      </w:r>
      <w:r w:rsidRPr="00B32D10">
        <w:t xml:space="preserve">recent Bureau of Labor Statistics </w:t>
      </w:r>
      <w:r w:rsidRPr="000F5659">
        <w:t>report (</w:t>
      </w:r>
      <w:r w:rsidRPr="000F5659" w:rsidR="00B32D10">
        <w:t>September</w:t>
      </w:r>
      <w:r w:rsidR="006B63FA">
        <w:t xml:space="preserve"> </w:t>
      </w:r>
      <w:r w:rsidRPr="000F5659" w:rsidR="00B32D10">
        <w:t>2021</w:t>
      </w:r>
      <w:r w:rsidRPr="00B32D10">
        <w:t>) to calculate respondent burden costs.</w:t>
      </w:r>
    </w:p>
    <w:p w:rsidR="007C1BEE" w:rsidP="00516952" w14:paraId="6639561F" w14:textId="77777777">
      <w:pPr>
        <w:ind w:firstLine="720"/>
      </w:pPr>
    </w:p>
    <w:p w:rsidR="00B32D10" w:rsidRPr="00B32D10" w:rsidP="00516952" w14:paraId="7EA3B774" w14:textId="0C58985D">
      <w:pPr>
        <w:ind w:firstLine="720"/>
      </w:pPr>
      <w:r>
        <w:t xml:space="preserve">There is a slight increase in the capital and O&amp;M costs due to an adjustment to the estimated cost per respondent to reflect 2020 dollars using the </w:t>
      </w:r>
      <w:r w:rsidRPr="00B32D10">
        <w:t>Chemical Engineering Plant Cost Index</w:t>
      </w:r>
      <w:r>
        <w:t xml:space="preserve"> (CEPCI) Equipment Cost Index and the use of updated labor rates</w:t>
      </w:r>
      <w:r w:rsidR="000F5659">
        <w:t xml:space="preserve"> for continuous parameter monitoring from the most</w:t>
      </w:r>
      <w:r w:rsidR="002F0102">
        <w:t>-</w:t>
      </w:r>
      <w:r w:rsidR="000F5659">
        <w:t>recent Bureau of Labor Statistics report (September 2021).</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3DD9D68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0F5659" w:rsidR="000F5659">
        <w:t>136</w:t>
      </w:r>
      <w:r w:rsidRPr="000F5659">
        <w:t xml:space="preserve"> </w:t>
      </w:r>
      <w:r>
        <w:rPr>
          <w:color w:val="000000"/>
        </w:rPr>
        <w:t>hours per response.</w:t>
      </w:r>
      <w:r w:rsidR="009C7E97">
        <w:rPr>
          <w:color w:val="000000"/>
        </w:rPr>
        <w:t xml:space="preserve"> </w:t>
      </w:r>
      <w:r w:rsidR="002F0102">
        <w:rPr>
          <w:color w:val="000000"/>
        </w:rPr>
        <w:t>‘</w:t>
      </w:r>
      <w:r>
        <w:rPr>
          <w:color w:val="000000"/>
        </w:rPr>
        <w:t>Burden</w:t>
      </w:r>
      <w:r w:rsidR="002F0102">
        <w:rPr>
          <w:color w:val="000000"/>
        </w:rPr>
        <w:t>’</w:t>
      </w:r>
      <w:r>
        <w:rPr>
          <w:color w:val="000000"/>
        </w:rPr>
        <w:t xml:space="preserve"> means the total time, effort, or financial resources expended by persons to generate, maintain, retain, or disclose or provide information </w:t>
      </w:r>
      <w:r w:rsidR="002F0102">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2F0102">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908532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F0102">
        <w:rPr>
          <w:color w:val="000000"/>
        </w:rPr>
        <w:t>either</w:t>
      </w:r>
      <w:r>
        <w:rPr>
          <w:color w:val="000000"/>
        </w:rPr>
        <w:t xml:space="preserve"> conduct </w:t>
      </w:r>
      <w:r w:rsidR="002F0102">
        <w:rPr>
          <w:color w:val="000000"/>
        </w:rPr>
        <w:t>n</w:t>
      </w:r>
      <w:r>
        <w:rPr>
          <w:color w:val="000000"/>
        </w:rPr>
        <w:t xml:space="preserve">or sponsor, and a person is not required to respond </w:t>
      </w:r>
      <w:r>
        <w:rPr>
          <w:color w:val="000000"/>
        </w:rPr>
        <w:t xml:space="preserve">to, </w:t>
      </w:r>
      <w:r w:rsidR="002F010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B2C1F2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D69F1" w:rsidR="00FD69F1">
        <w:t>EPA-HQ-OAR-2022-0025</w:t>
      </w:r>
      <w:r w:rsidR="00FD69F1">
        <w:t xml:space="preserve">. </w:t>
      </w:r>
      <w:r w:rsidRPr="00354C15">
        <w:t xml:space="preserve">An electronic version of the public docket is available at </w:t>
      </w:r>
      <w:hyperlink r:id="rId12" w:history="1">
        <w:r w:rsidRPr="002E230F" w:rsidR="00377D7F">
          <w:rPr>
            <w:rStyle w:val="Hyperlink"/>
            <w:i/>
            <w:iCs/>
            <w:color w:val="auto"/>
          </w:rPr>
          <w:t>http://www.regulations.gov/</w:t>
        </w:r>
      </w:hyperlink>
      <w:r w:rsidR="002F0102">
        <w:rPr>
          <w:rStyle w:val="Hyperlink"/>
          <w:i/>
          <w:iCs/>
          <w:color w:val="auto"/>
        </w:rPr>
        <w:t>,</w:t>
      </w:r>
      <w:r w:rsidRPr="002E230F"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2F010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2F0102">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FD69F1" w:rsidR="00FD69F1">
        <w:t>EPA-HQ-OAR-2022-0025</w:t>
      </w:r>
      <w:r w:rsidR="00CA4CD6">
        <w:t xml:space="preserve"> and OMB Control </w:t>
      </w:r>
      <w:r w:rsidRPr="00FD69F1" w:rsidR="00CA4CD6">
        <w:t xml:space="preserve">Number </w:t>
      </w:r>
      <w:r w:rsidRPr="00FD69F1" w:rsidR="00FD69F1">
        <w:t>2060-0451</w:t>
      </w:r>
      <w:r w:rsidRPr="00FD69F1"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E3466F" w:rsidP="00F340DF" w14:paraId="45241DC4"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F340DF" w14:paraId="7C676FE8" w14:textId="77777777">
      <w:pPr>
        <w:rPr>
          <w:color w:val="000000"/>
        </w:rPr>
        <w:sectPr w:rsidSect="00A7661C">
          <w:type w:val="continuous"/>
          <w:pgSz w:w="12240" w:h="15840"/>
          <w:pgMar w:top="1350" w:right="1440" w:bottom="1440" w:left="1440" w:header="1350" w:footer="1440" w:gutter="0"/>
          <w:cols w:space="720"/>
          <w:noEndnote/>
          <w:titlePg/>
          <w:docGrid w:linePitch="326"/>
        </w:sectPr>
      </w:pPr>
    </w:p>
    <w:p w:rsidR="00144F35" w:rsidP="00504745" w14:paraId="273D1098" w14:textId="4AEB65CA">
      <w:pPr>
        <w:outlineLvl w:val="0"/>
        <w:rPr>
          <w:b/>
          <w:bCs/>
          <w:color w:val="000000"/>
        </w:rPr>
      </w:pPr>
      <w:r w:rsidRPr="00C4183F">
        <w:rPr>
          <w:b/>
          <w:bCs/>
          <w:color w:val="000000"/>
        </w:rPr>
        <w:t>Table 1: Annual Respondent Burden and Cost</w:t>
      </w:r>
      <w:r>
        <w:rPr>
          <w:b/>
          <w:bCs/>
          <w:color w:val="000000"/>
        </w:rPr>
        <w:t xml:space="preserve"> – </w:t>
      </w:r>
      <w:r w:rsidRPr="00FD69F1" w:rsidR="00FD69F1">
        <w:rPr>
          <w:b/>
          <w:bCs/>
        </w:rPr>
        <w:t>Emission Guidelines for Existing Commercial and Industrial Solid Waste Incineration Units (40 CFR Part 60, Subpart DDDD) (Renewal)</w:t>
      </w:r>
    </w:p>
    <w:p w:rsidR="00144F35" w:rsidP="00F340DF" w14:paraId="6CB24DB0" w14:textId="77777777">
      <w:pPr>
        <w:rPr>
          <w:b/>
          <w:bCs/>
          <w:color w:val="000000"/>
        </w:rPr>
      </w:pPr>
    </w:p>
    <w:tbl>
      <w:tblPr>
        <w:tblW w:w="12865" w:type="dxa"/>
        <w:tblLook w:val="04A0"/>
      </w:tblPr>
      <w:tblGrid>
        <w:gridCol w:w="2886"/>
        <w:gridCol w:w="1189"/>
        <w:gridCol w:w="1238"/>
        <w:gridCol w:w="1172"/>
        <w:gridCol w:w="1327"/>
        <w:gridCol w:w="1050"/>
        <w:gridCol w:w="1338"/>
        <w:gridCol w:w="1203"/>
        <w:gridCol w:w="1607"/>
      </w:tblGrid>
      <w:tr w14:paraId="6D0EB596" w14:textId="77777777" w:rsidTr="00C509A7">
        <w:tblPrEx>
          <w:tblW w:w="12865" w:type="dxa"/>
          <w:tblLook w:val="04A0"/>
        </w:tblPrEx>
        <w:trPr>
          <w:trHeight w:val="300"/>
        </w:trPr>
        <w:tc>
          <w:tcPr>
            <w:tcW w:w="2886" w:type="dxa"/>
            <w:vMerge w:val="restart"/>
            <w:tcBorders>
              <w:top w:val="single" w:sz="4" w:space="0" w:color="auto"/>
              <w:left w:val="single" w:sz="4" w:space="0" w:color="auto"/>
              <w:bottom w:val="single" w:sz="4" w:space="0" w:color="000000"/>
              <w:right w:val="nil"/>
            </w:tcBorders>
            <w:shd w:val="clear" w:color="auto" w:fill="auto"/>
            <w:vAlign w:val="center"/>
            <w:hideMark/>
          </w:tcPr>
          <w:p w:rsidR="00FD69F1" w:rsidRPr="00FD69F1" w:rsidP="00FD69F1" w14:paraId="191B417C" w14:textId="77777777">
            <w:pPr>
              <w:widowControl/>
              <w:autoSpaceDE/>
              <w:autoSpaceDN/>
              <w:adjustRightInd/>
              <w:jc w:val="center"/>
              <w:rPr>
                <w:b/>
                <w:bCs/>
                <w:color w:val="000000"/>
                <w:sz w:val="20"/>
                <w:szCs w:val="20"/>
              </w:rPr>
            </w:pPr>
            <w:r w:rsidRPr="00FD69F1">
              <w:rPr>
                <w:b/>
                <w:bCs/>
                <w:color w:val="000000"/>
                <w:sz w:val="20"/>
                <w:szCs w:val="20"/>
              </w:rPr>
              <w:t>Burden Item</w:t>
            </w:r>
          </w:p>
        </w:tc>
        <w:tc>
          <w:tcPr>
            <w:tcW w:w="1189" w:type="dxa"/>
            <w:tcBorders>
              <w:top w:val="single" w:sz="4" w:space="0" w:color="auto"/>
              <w:left w:val="single" w:sz="4" w:space="0" w:color="auto"/>
              <w:bottom w:val="nil"/>
              <w:right w:val="single" w:sz="4" w:space="0" w:color="auto"/>
            </w:tcBorders>
            <w:shd w:val="clear" w:color="auto" w:fill="auto"/>
            <w:vAlign w:val="center"/>
            <w:hideMark/>
          </w:tcPr>
          <w:p w:rsidR="00FD69F1" w:rsidRPr="00FD69F1" w:rsidP="00FD69F1" w14:paraId="45ABFE06" w14:textId="77777777">
            <w:pPr>
              <w:widowControl/>
              <w:autoSpaceDE/>
              <w:autoSpaceDN/>
              <w:adjustRightInd/>
              <w:jc w:val="center"/>
              <w:rPr>
                <w:b/>
                <w:bCs/>
                <w:color w:val="000000"/>
                <w:sz w:val="20"/>
                <w:szCs w:val="20"/>
              </w:rPr>
            </w:pPr>
            <w:r w:rsidRPr="00FD69F1">
              <w:rPr>
                <w:b/>
                <w:bCs/>
                <w:color w:val="000000"/>
                <w:sz w:val="20"/>
                <w:szCs w:val="20"/>
              </w:rPr>
              <w:t>(A)</w:t>
            </w:r>
          </w:p>
        </w:tc>
        <w:tc>
          <w:tcPr>
            <w:tcW w:w="1208" w:type="dxa"/>
            <w:tcBorders>
              <w:top w:val="single" w:sz="4" w:space="0" w:color="auto"/>
              <w:left w:val="nil"/>
              <w:bottom w:val="nil"/>
              <w:right w:val="nil"/>
            </w:tcBorders>
            <w:shd w:val="clear" w:color="auto" w:fill="auto"/>
            <w:vAlign w:val="center"/>
            <w:hideMark/>
          </w:tcPr>
          <w:p w:rsidR="00FD69F1" w:rsidRPr="00FD69F1" w:rsidP="00FD69F1" w14:paraId="723D0D0F" w14:textId="77777777">
            <w:pPr>
              <w:widowControl/>
              <w:autoSpaceDE/>
              <w:autoSpaceDN/>
              <w:adjustRightInd/>
              <w:jc w:val="center"/>
              <w:rPr>
                <w:b/>
                <w:bCs/>
                <w:color w:val="000000"/>
                <w:sz w:val="20"/>
                <w:szCs w:val="20"/>
              </w:rPr>
            </w:pPr>
            <w:r w:rsidRPr="00FD69F1">
              <w:rPr>
                <w:b/>
                <w:bCs/>
                <w:color w:val="000000"/>
                <w:sz w:val="20"/>
                <w:szCs w:val="20"/>
              </w:rPr>
              <w:t>(B)</w:t>
            </w:r>
          </w:p>
        </w:tc>
        <w:tc>
          <w:tcPr>
            <w:tcW w:w="1144" w:type="dxa"/>
            <w:tcBorders>
              <w:top w:val="single" w:sz="4" w:space="0" w:color="auto"/>
              <w:left w:val="single" w:sz="4" w:space="0" w:color="auto"/>
              <w:bottom w:val="nil"/>
              <w:right w:val="single" w:sz="4" w:space="0" w:color="auto"/>
            </w:tcBorders>
            <w:shd w:val="clear" w:color="auto" w:fill="auto"/>
            <w:vAlign w:val="center"/>
            <w:hideMark/>
          </w:tcPr>
          <w:p w:rsidR="00FD69F1" w:rsidRPr="00FD69F1" w:rsidP="00FD69F1" w14:paraId="2B2AF355" w14:textId="77777777">
            <w:pPr>
              <w:widowControl/>
              <w:autoSpaceDE/>
              <w:autoSpaceDN/>
              <w:adjustRightInd/>
              <w:jc w:val="center"/>
              <w:rPr>
                <w:b/>
                <w:bCs/>
                <w:color w:val="000000"/>
                <w:sz w:val="20"/>
                <w:szCs w:val="20"/>
              </w:rPr>
            </w:pPr>
            <w:r w:rsidRPr="00FD69F1">
              <w:rPr>
                <w:b/>
                <w:bCs/>
                <w:color w:val="000000"/>
                <w:sz w:val="20"/>
                <w:szCs w:val="20"/>
              </w:rPr>
              <w:t>(C)</w:t>
            </w:r>
          </w:p>
        </w:tc>
        <w:tc>
          <w:tcPr>
            <w:tcW w:w="1327" w:type="dxa"/>
            <w:tcBorders>
              <w:top w:val="single" w:sz="4" w:space="0" w:color="auto"/>
              <w:left w:val="nil"/>
              <w:bottom w:val="nil"/>
              <w:right w:val="nil"/>
            </w:tcBorders>
            <w:shd w:val="clear" w:color="auto" w:fill="auto"/>
            <w:vAlign w:val="center"/>
            <w:hideMark/>
          </w:tcPr>
          <w:p w:rsidR="00FD69F1" w:rsidRPr="00FD69F1" w:rsidP="00FD69F1" w14:paraId="29C5D986" w14:textId="77777777">
            <w:pPr>
              <w:widowControl/>
              <w:autoSpaceDE/>
              <w:autoSpaceDN/>
              <w:adjustRightInd/>
              <w:jc w:val="center"/>
              <w:rPr>
                <w:b/>
                <w:bCs/>
                <w:color w:val="000000"/>
                <w:sz w:val="20"/>
                <w:szCs w:val="20"/>
              </w:rPr>
            </w:pPr>
            <w:r w:rsidRPr="00FD69F1">
              <w:rPr>
                <w:b/>
                <w:bCs/>
                <w:color w:val="000000"/>
                <w:sz w:val="20"/>
                <w:szCs w:val="20"/>
              </w:rPr>
              <w:t>(D)</w:t>
            </w:r>
          </w:p>
        </w:tc>
        <w:tc>
          <w:tcPr>
            <w:tcW w:w="1025" w:type="dxa"/>
            <w:tcBorders>
              <w:top w:val="single" w:sz="4" w:space="0" w:color="auto"/>
              <w:left w:val="single" w:sz="4" w:space="0" w:color="auto"/>
              <w:bottom w:val="nil"/>
              <w:right w:val="single" w:sz="4" w:space="0" w:color="auto"/>
            </w:tcBorders>
            <w:shd w:val="clear" w:color="auto" w:fill="auto"/>
            <w:vAlign w:val="center"/>
            <w:hideMark/>
          </w:tcPr>
          <w:p w:rsidR="00FD69F1" w:rsidRPr="00FD69F1" w:rsidP="00FD69F1" w14:paraId="2636B4C2" w14:textId="77777777">
            <w:pPr>
              <w:widowControl/>
              <w:autoSpaceDE/>
              <w:autoSpaceDN/>
              <w:adjustRightInd/>
              <w:jc w:val="center"/>
              <w:rPr>
                <w:b/>
                <w:bCs/>
                <w:color w:val="000000"/>
                <w:sz w:val="20"/>
                <w:szCs w:val="20"/>
              </w:rPr>
            </w:pPr>
            <w:r w:rsidRPr="00FD69F1">
              <w:rPr>
                <w:b/>
                <w:bCs/>
                <w:color w:val="000000"/>
                <w:sz w:val="20"/>
                <w:szCs w:val="20"/>
              </w:rPr>
              <w:t>(E)</w:t>
            </w:r>
          </w:p>
        </w:tc>
        <w:tc>
          <w:tcPr>
            <w:tcW w:w="1305" w:type="dxa"/>
            <w:tcBorders>
              <w:top w:val="single" w:sz="4" w:space="0" w:color="auto"/>
              <w:left w:val="nil"/>
              <w:bottom w:val="nil"/>
              <w:right w:val="nil"/>
            </w:tcBorders>
            <w:shd w:val="clear" w:color="auto" w:fill="auto"/>
            <w:vAlign w:val="center"/>
            <w:hideMark/>
          </w:tcPr>
          <w:p w:rsidR="00FD69F1" w:rsidRPr="00FD69F1" w:rsidP="00FD69F1" w14:paraId="1BC15078" w14:textId="77777777">
            <w:pPr>
              <w:widowControl/>
              <w:autoSpaceDE/>
              <w:autoSpaceDN/>
              <w:adjustRightInd/>
              <w:jc w:val="center"/>
              <w:rPr>
                <w:b/>
                <w:bCs/>
                <w:color w:val="000000"/>
                <w:sz w:val="20"/>
                <w:szCs w:val="20"/>
              </w:rPr>
            </w:pPr>
            <w:r w:rsidRPr="00FD69F1">
              <w:rPr>
                <w:b/>
                <w:bCs/>
                <w:color w:val="000000"/>
                <w:sz w:val="20"/>
                <w:szCs w:val="20"/>
              </w:rPr>
              <w:t>(F)</w:t>
            </w:r>
          </w:p>
        </w:tc>
        <w:tc>
          <w:tcPr>
            <w:tcW w:w="1174" w:type="dxa"/>
            <w:tcBorders>
              <w:top w:val="single" w:sz="4" w:space="0" w:color="auto"/>
              <w:left w:val="single" w:sz="4" w:space="0" w:color="auto"/>
              <w:bottom w:val="nil"/>
              <w:right w:val="single" w:sz="4" w:space="0" w:color="auto"/>
            </w:tcBorders>
            <w:shd w:val="clear" w:color="auto" w:fill="auto"/>
            <w:vAlign w:val="center"/>
            <w:hideMark/>
          </w:tcPr>
          <w:p w:rsidR="00FD69F1" w:rsidRPr="00FD69F1" w:rsidP="00FD69F1" w14:paraId="6238C4D6" w14:textId="77777777">
            <w:pPr>
              <w:widowControl/>
              <w:autoSpaceDE/>
              <w:autoSpaceDN/>
              <w:adjustRightInd/>
              <w:jc w:val="center"/>
              <w:rPr>
                <w:b/>
                <w:bCs/>
                <w:color w:val="000000"/>
                <w:sz w:val="20"/>
                <w:szCs w:val="20"/>
              </w:rPr>
            </w:pPr>
            <w:r w:rsidRPr="00FD69F1">
              <w:rPr>
                <w:b/>
                <w:bCs/>
                <w:color w:val="000000"/>
                <w:sz w:val="20"/>
                <w:szCs w:val="20"/>
              </w:rPr>
              <w:t>(G)</w:t>
            </w:r>
          </w:p>
        </w:tc>
        <w:tc>
          <w:tcPr>
            <w:tcW w:w="1607" w:type="dxa"/>
            <w:tcBorders>
              <w:top w:val="single" w:sz="4" w:space="0" w:color="auto"/>
              <w:left w:val="nil"/>
              <w:bottom w:val="nil"/>
              <w:right w:val="single" w:sz="4" w:space="0" w:color="auto"/>
            </w:tcBorders>
            <w:shd w:val="clear" w:color="auto" w:fill="auto"/>
            <w:vAlign w:val="center"/>
            <w:hideMark/>
          </w:tcPr>
          <w:p w:rsidR="00FD69F1" w:rsidRPr="00FD69F1" w:rsidP="00FD69F1" w14:paraId="36E43D41" w14:textId="77777777">
            <w:pPr>
              <w:widowControl/>
              <w:autoSpaceDE/>
              <w:autoSpaceDN/>
              <w:adjustRightInd/>
              <w:jc w:val="center"/>
              <w:rPr>
                <w:b/>
                <w:bCs/>
                <w:color w:val="000000"/>
                <w:sz w:val="20"/>
                <w:szCs w:val="20"/>
              </w:rPr>
            </w:pPr>
            <w:r w:rsidRPr="00FD69F1">
              <w:rPr>
                <w:b/>
                <w:bCs/>
                <w:color w:val="000000"/>
                <w:sz w:val="20"/>
                <w:szCs w:val="20"/>
              </w:rPr>
              <w:t>(H)</w:t>
            </w:r>
          </w:p>
        </w:tc>
      </w:tr>
      <w:tr w14:paraId="3E199114" w14:textId="77777777" w:rsidTr="00C509A7">
        <w:tblPrEx>
          <w:tblW w:w="12865" w:type="dxa"/>
          <w:tblLook w:val="04A0"/>
        </w:tblPrEx>
        <w:trPr>
          <w:trHeight w:val="1275"/>
        </w:trPr>
        <w:tc>
          <w:tcPr>
            <w:tcW w:w="2886" w:type="dxa"/>
            <w:vMerge/>
            <w:tcBorders>
              <w:top w:val="single" w:sz="4" w:space="0" w:color="auto"/>
              <w:left w:val="single" w:sz="4" w:space="0" w:color="auto"/>
              <w:bottom w:val="single" w:sz="4" w:space="0" w:color="000000"/>
              <w:right w:val="nil"/>
            </w:tcBorders>
            <w:vAlign w:val="center"/>
            <w:hideMark/>
          </w:tcPr>
          <w:p w:rsidR="00FD69F1" w:rsidRPr="00FD69F1" w:rsidP="00FD69F1" w14:paraId="68592690" w14:textId="77777777">
            <w:pPr>
              <w:widowControl/>
              <w:autoSpaceDE/>
              <w:autoSpaceDN/>
              <w:adjustRightInd/>
              <w:rPr>
                <w:b/>
                <w:bCs/>
                <w:color w:val="000000"/>
                <w:sz w:val="20"/>
                <w:szCs w:val="20"/>
              </w:rPr>
            </w:pPr>
          </w:p>
        </w:tc>
        <w:tc>
          <w:tcPr>
            <w:tcW w:w="1189" w:type="dxa"/>
            <w:tcBorders>
              <w:top w:val="nil"/>
              <w:left w:val="single" w:sz="4" w:space="0" w:color="auto"/>
              <w:bottom w:val="nil"/>
              <w:right w:val="single" w:sz="4" w:space="0" w:color="auto"/>
            </w:tcBorders>
            <w:shd w:val="clear" w:color="auto" w:fill="auto"/>
            <w:vAlign w:val="center"/>
            <w:hideMark/>
          </w:tcPr>
          <w:p w:rsidR="00FD69F1" w:rsidRPr="00FD69F1" w:rsidP="00FD69F1" w14:paraId="3F2951E2" w14:textId="77777777">
            <w:pPr>
              <w:widowControl/>
              <w:autoSpaceDE/>
              <w:autoSpaceDN/>
              <w:adjustRightInd/>
              <w:jc w:val="center"/>
              <w:rPr>
                <w:b/>
                <w:bCs/>
                <w:color w:val="000000"/>
                <w:sz w:val="20"/>
                <w:szCs w:val="20"/>
              </w:rPr>
            </w:pPr>
            <w:r w:rsidRPr="00FD69F1">
              <w:rPr>
                <w:b/>
                <w:bCs/>
                <w:color w:val="000000"/>
                <w:sz w:val="20"/>
                <w:szCs w:val="20"/>
              </w:rPr>
              <w:t>Technical person-hours per occurrence</w:t>
            </w:r>
          </w:p>
        </w:tc>
        <w:tc>
          <w:tcPr>
            <w:tcW w:w="1208" w:type="dxa"/>
            <w:tcBorders>
              <w:top w:val="nil"/>
              <w:left w:val="nil"/>
              <w:bottom w:val="nil"/>
              <w:right w:val="nil"/>
            </w:tcBorders>
            <w:shd w:val="clear" w:color="auto" w:fill="auto"/>
            <w:vAlign w:val="center"/>
            <w:hideMark/>
          </w:tcPr>
          <w:p w:rsidR="00FD69F1" w:rsidRPr="00FD69F1" w:rsidP="00FD69F1" w14:paraId="2F371056" w14:textId="77777777">
            <w:pPr>
              <w:widowControl/>
              <w:autoSpaceDE/>
              <w:autoSpaceDN/>
              <w:adjustRightInd/>
              <w:jc w:val="center"/>
              <w:rPr>
                <w:b/>
                <w:bCs/>
                <w:color w:val="000000"/>
                <w:sz w:val="20"/>
                <w:szCs w:val="20"/>
              </w:rPr>
            </w:pPr>
            <w:r w:rsidRPr="00FD69F1">
              <w:rPr>
                <w:b/>
                <w:bCs/>
                <w:color w:val="000000"/>
                <w:sz w:val="20"/>
                <w:szCs w:val="20"/>
              </w:rPr>
              <w:t>No. of occurrences per respondent per year</w:t>
            </w:r>
          </w:p>
        </w:tc>
        <w:tc>
          <w:tcPr>
            <w:tcW w:w="1144" w:type="dxa"/>
            <w:tcBorders>
              <w:top w:val="nil"/>
              <w:left w:val="single" w:sz="4" w:space="0" w:color="auto"/>
              <w:bottom w:val="nil"/>
              <w:right w:val="single" w:sz="4" w:space="0" w:color="auto"/>
            </w:tcBorders>
            <w:shd w:val="clear" w:color="auto" w:fill="auto"/>
            <w:vAlign w:val="center"/>
            <w:hideMark/>
          </w:tcPr>
          <w:p w:rsidR="00FD69F1" w:rsidRPr="00FD69F1" w:rsidP="00FD69F1" w14:paraId="6E7A86C9" w14:textId="77777777">
            <w:pPr>
              <w:widowControl/>
              <w:autoSpaceDE/>
              <w:autoSpaceDN/>
              <w:adjustRightInd/>
              <w:jc w:val="center"/>
              <w:rPr>
                <w:b/>
                <w:bCs/>
                <w:color w:val="000000"/>
                <w:sz w:val="20"/>
                <w:szCs w:val="20"/>
              </w:rPr>
            </w:pPr>
            <w:r w:rsidRPr="00FD69F1">
              <w:rPr>
                <w:b/>
                <w:bCs/>
                <w:color w:val="000000"/>
                <w:sz w:val="20"/>
                <w:szCs w:val="20"/>
              </w:rPr>
              <w:t>Technical person-hours per respondent per year</w:t>
            </w:r>
          </w:p>
        </w:tc>
        <w:tc>
          <w:tcPr>
            <w:tcW w:w="1327" w:type="dxa"/>
            <w:tcBorders>
              <w:top w:val="nil"/>
              <w:left w:val="nil"/>
              <w:bottom w:val="nil"/>
              <w:right w:val="nil"/>
            </w:tcBorders>
            <w:shd w:val="clear" w:color="auto" w:fill="auto"/>
            <w:vAlign w:val="center"/>
            <w:hideMark/>
          </w:tcPr>
          <w:p w:rsidR="00FD69F1" w:rsidRPr="00FD69F1" w:rsidP="00FD69F1" w14:paraId="6D91BB29" w14:textId="77777777">
            <w:pPr>
              <w:widowControl/>
              <w:autoSpaceDE/>
              <w:autoSpaceDN/>
              <w:adjustRightInd/>
              <w:jc w:val="center"/>
              <w:rPr>
                <w:b/>
                <w:bCs/>
                <w:color w:val="000000"/>
                <w:sz w:val="20"/>
                <w:szCs w:val="20"/>
              </w:rPr>
            </w:pPr>
            <w:r w:rsidRPr="00FD69F1">
              <w:rPr>
                <w:b/>
                <w:bCs/>
                <w:color w:val="000000"/>
                <w:sz w:val="20"/>
                <w:szCs w:val="20"/>
              </w:rPr>
              <w:t xml:space="preserve">Respondents per year </w:t>
            </w:r>
            <w:r w:rsidRPr="00FD69F1">
              <w:rPr>
                <w:b/>
                <w:bCs/>
                <w:color w:val="000000"/>
                <w:sz w:val="20"/>
                <w:szCs w:val="20"/>
                <w:vertAlign w:val="superscript"/>
              </w:rPr>
              <w:t>a</w:t>
            </w:r>
          </w:p>
        </w:tc>
        <w:tc>
          <w:tcPr>
            <w:tcW w:w="1025" w:type="dxa"/>
            <w:tcBorders>
              <w:top w:val="nil"/>
              <w:left w:val="single" w:sz="4" w:space="0" w:color="auto"/>
              <w:bottom w:val="nil"/>
              <w:right w:val="single" w:sz="4" w:space="0" w:color="auto"/>
            </w:tcBorders>
            <w:shd w:val="clear" w:color="auto" w:fill="auto"/>
            <w:vAlign w:val="center"/>
            <w:hideMark/>
          </w:tcPr>
          <w:p w:rsidR="00FD69F1" w:rsidRPr="00FD69F1" w:rsidP="00FD69F1" w14:paraId="0AC614B3" w14:textId="77777777">
            <w:pPr>
              <w:widowControl/>
              <w:autoSpaceDE/>
              <w:autoSpaceDN/>
              <w:adjustRightInd/>
              <w:jc w:val="center"/>
              <w:rPr>
                <w:b/>
                <w:bCs/>
                <w:color w:val="000000"/>
                <w:sz w:val="20"/>
                <w:szCs w:val="20"/>
              </w:rPr>
            </w:pPr>
            <w:r w:rsidRPr="00FD69F1">
              <w:rPr>
                <w:b/>
                <w:bCs/>
                <w:color w:val="000000"/>
                <w:sz w:val="20"/>
                <w:szCs w:val="20"/>
              </w:rPr>
              <w:t>Technical hours per year (E=</w:t>
            </w:r>
            <w:r w:rsidRPr="00FD69F1">
              <w:rPr>
                <w:b/>
                <w:bCs/>
                <w:color w:val="000000"/>
                <w:sz w:val="20"/>
                <w:szCs w:val="20"/>
              </w:rPr>
              <w:t>CxD</w:t>
            </w:r>
            <w:r w:rsidRPr="00FD69F1">
              <w:rPr>
                <w:b/>
                <w:bCs/>
                <w:color w:val="000000"/>
                <w:sz w:val="20"/>
                <w:szCs w:val="20"/>
              </w:rPr>
              <w:t>)</w:t>
            </w:r>
          </w:p>
        </w:tc>
        <w:tc>
          <w:tcPr>
            <w:tcW w:w="1305" w:type="dxa"/>
            <w:tcBorders>
              <w:top w:val="nil"/>
              <w:left w:val="nil"/>
              <w:bottom w:val="nil"/>
              <w:right w:val="nil"/>
            </w:tcBorders>
            <w:shd w:val="clear" w:color="auto" w:fill="auto"/>
            <w:vAlign w:val="center"/>
            <w:hideMark/>
          </w:tcPr>
          <w:p w:rsidR="00FD69F1" w:rsidRPr="00FD69F1" w:rsidP="00FD69F1" w14:paraId="6C14D3CB" w14:textId="3E62B728">
            <w:pPr>
              <w:widowControl/>
              <w:autoSpaceDE/>
              <w:autoSpaceDN/>
              <w:adjustRightInd/>
              <w:jc w:val="center"/>
              <w:rPr>
                <w:b/>
                <w:bCs/>
                <w:color w:val="000000"/>
                <w:sz w:val="20"/>
                <w:szCs w:val="20"/>
              </w:rPr>
            </w:pPr>
            <w:r w:rsidRPr="00FD69F1">
              <w:rPr>
                <w:b/>
                <w:bCs/>
                <w:color w:val="000000"/>
                <w:sz w:val="20"/>
                <w:szCs w:val="20"/>
              </w:rPr>
              <w:t>Management hours per year</w:t>
            </w:r>
            <w:r w:rsidR="006B63FA">
              <w:rPr>
                <w:b/>
                <w:bCs/>
                <w:color w:val="000000"/>
                <w:sz w:val="20"/>
                <w:szCs w:val="20"/>
              </w:rPr>
              <w:t xml:space="preserve"> </w:t>
            </w:r>
          </w:p>
        </w:tc>
        <w:tc>
          <w:tcPr>
            <w:tcW w:w="1174" w:type="dxa"/>
            <w:tcBorders>
              <w:top w:val="nil"/>
              <w:left w:val="single" w:sz="4" w:space="0" w:color="auto"/>
              <w:bottom w:val="nil"/>
              <w:right w:val="single" w:sz="4" w:space="0" w:color="auto"/>
            </w:tcBorders>
            <w:shd w:val="clear" w:color="auto" w:fill="auto"/>
            <w:vAlign w:val="center"/>
            <w:hideMark/>
          </w:tcPr>
          <w:p w:rsidR="00FD69F1" w:rsidRPr="00FD69F1" w:rsidP="00FD69F1" w14:paraId="760DF87F" w14:textId="77777777">
            <w:pPr>
              <w:widowControl/>
              <w:autoSpaceDE/>
              <w:autoSpaceDN/>
              <w:adjustRightInd/>
              <w:jc w:val="center"/>
              <w:rPr>
                <w:b/>
                <w:bCs/>
                <w:color w:val="000000"/>
                <w:sz w:val="20"/>
                <w:szCs w:val="20"/>
              </w:rPr>
            </w:pPr>
            <w:r w:rsidRPr="00FD69F1">
              <w:rPr>
                <w:b/>
                <w:bCs/>
                <w:color w:val="000000"/>
                <w:sz w:val="20"/>
                <w:szCs w:val="20"/>
              </w:rPr>
              <w:t xml:space="preserve">Clerical hours per year </w:t>
            </w:r>
          </w:p>
        </w:tc>
        <w:tc>
          <w:tcPr>
            <w:tcW w:w="1607" w:type="dxa"/>
            <w:tcBorders>
              <w:top w:val="nil"/>
              <w:left w:val="nil"/>
              <w:bottom w:val="nil"/>
              <w:right w:val="single" w:sz="4" w:space="0" w:color="auto"/>
            </w:tcBorders>
            <w:shd w:val="clear" w:color="auto" w:fill="auto"/>
            <w:vAlign w:val="center"/>
            <w:hideMark/>
          </w:tcPr>
          <w:p w:rsidR="00FD69F1" w:rsidRPr="00FD69F1" w:rsidP="00FD69F1" w14:paraId="110313C1" w14:textId="77777777">
            <w:pPr>
              <w:widowControl/>
              <w:autoSpaceDE/>
              <w:autoSpaceDN/>
              <w:adjustRightInd/>
              <w:jc w:val="center"/>
              <w:rPr>
                <w:b/>
                <w:bCs/>
                <w:color w:val="000000"/>
                <w:sz w:val="20"/>
                <w:szCs w:val="20"/>
              </w:rPr>
            </w:pPr>
            <w:r w:rsidRPr="00FD69F1">
              <w:rPr>
                <w:b/>
                <w:bCs/>
                <w:color w:val="000000"/>
                <w:sz w:val="20"/>
                <w:szCs w:val="20"/>
              </w:rPr>
              <w:t xml:space="preserve">Total cost per year ($) </w:t>
            </w:r>
            <w:r w:rsidRPr="00FD69F1">
              <w:rPr>
                <w:b/>
                <w:bCs/>
                <w:color w:val="000000"/>
                <w:sz w:val="20"/>
                <w:szCs w:val="20"/>
                <w:vertAlign w:val="superscript"/>
              </w:rPr>
              <w:t>b</w:t>
            </w:r>
          </w:p>
        </w:tc>
      </w:tr>
      <w:tr w14:paraId="2F965520" w14:textId="77777777" w:rsidTr="00C509A7">
        <w:tblPrEx>
          <w:tblW w:w="12865" w:type="dxa"/>
          <w:tblLook w:val="04A0"/>
        </w:tblPrEx>
        <w:trPr>
          <w:trHeight w:val="300"/>
        </w:trPr>
        <w:tc>
          <w:tcPr>
            <w:tcW w:w="2886" w:type="dxa"/>
            <w:vMerge/>
            <w:tcBorders>
              <w:top w:val="single" w:sz="4" w:space="0" w:color="auto"/>
              <w:left w:val="single" w:sz="4" w:space="0" w:color="auto"/>
              <w:bottom w:val="single" w:sz="4" w:space="0" w:color="000000"/>
              <w:right w:val="nil"/>
            </w:tcBorders>
            <w:vAlign w:val="center"/>
            <w:hideMark/>
          </w:tcPr>
          <w:p w:rsidR="00FD69F1" w:rsidRPr="00FD69F1" w:rsidP="00FD69F1" w14:paraId="75DF8E6B" w14:textId="77777777">
            <w:pPr>
              <w:widowControl/>
              <w:autoSpaceDE/>
              <w:autoSpaceDN/>
              <w:adjustRightInd/>
              <w:rPr>
                <w:b/>
                <w:bCs/>
                <w:color w:val="000000"/>
                <w:sz w:val="20"/>
                <w:szCs w:val="20"/>
              </w:rPr>
            </w:pPr>
          </w:p>
        </w:tc>
        <w:tc>
          <w:tcPr>
            <w:tcW w:w="1189"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1C679D21" w14:textId="77777777">
            <w:pPr>
              <w:widowControl/>
              <w:autoSpaceDE/>
              <w:autoSpaceDN/>
              <w:adjustRightInd/>
              <w:rPr>
                <w:color w:val="000000"/>
                <w:sz w:val="20"/>
                <w:szCs w:val="20"/>
              </w:rPr>
            </w:pPr>
            <w:r w:rsidRPr="00FD69F1">
              <w:rPr>
                <w:color w:val="000000"/>
                <w:sz w:val="20"/>
                <w:szCs w:val="20"/>
              </w:rPr>
              <w:t> </w:t>
            </w:r>
          </w:p>
        </w:tc>
        <w:tc>
          <w:tcPr>
            <w:tcW w:w="1208" w:type="dxa"/>
            <w:tcBorders>
              <w:top w:val="nil"/>
              <w:left w:val="nil"/>
              <w:bottom w:val="single" w:sz="4" w:space="0" w:color="auto"/>
              <w:right w:val="nil"/>
            </w:tcBorders>
            <w:shd w:val="clear" w:color="auto" w:fill="auto"/>
            <w:vAlign w:val="center"/>
            <w:hideMark/>
          </w:tcPr>
          <w:p w:rsidR="00FD69F1" w:rsidRPr="00FD69F1" w:rsidP="00FD69F1" w14:paraId="4E03B103" w14:textId="77777777">
            <w:pPr>
              <w:widowControl/>
              <w:autoSpaceDE/>
              <w:autoSpaceDN/>
              <w:adjustRightInd/>
              <w:rPr>
                <w:color w:val="000000"/>
                <w:sz w:val="20"/>
                <w:szCs w:val="20"/>
              </w:rPr>
            </w:pPr>
            <w:r w:rsidRPr="00FD69F1">
              <w:rPr>
                <w:color w:val="000000"/>
                <w:sz w:val="20"/>
                <w:szCs w:val="20"/>
              </w:rPr>
              <w:t> </w:t>
            </w:r>
          </w:p>
        </w:tc>
        <w:tc>
          <w:tcPr>
            <w:tcW w:w="1144"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7EAA9880" w14:textId="77777777">
            <w:pPr>
              <w:widowControl/>
              <w:autoSpaceDE/>
              <w:autoSpaceDN/>
              <w:adjustRightInd/>
              <w:jc w:val="center"/>
              <w:rPr>
                <w:b/>
                <w:bCs/>
                <w:color w:val="000000"/>
                <w:sz w:val="20"/>
                <w:szCs w:val="20"/>
              </w:rPr>
            </w:pPr>
            <w:r w:rsidRPr="00FD69F1">
              <w:rPr>
                <w:b/>
                <w:bCs/>
                <w:color w:val="000000"/>
                <w:sz w:val="20"/>
                <w:szCs w:val="20"/>
              </w:rPr>
              <w:t>(C=</w:t>
            </w:r>
            <w:r w:rsidRPr="00FD69F1">
              <w:rPr>
                <w:b/>
                <w:bCs/>
                <w:color w:val="000000"/>
                <w:sz w:val="20"/>
                <w:szCs w:val="20"/>
              </w:rPr>
              <w:t>AxB</w:t>
            </w:r>
            <w:r w:rsidRPr="00FD69F1">
              <w:rPr>
                <w:b/>
                <w:bCs/>
                <w:color w:val="000000"/>
                <w:sz w:val="20"/>
                <w:szCs w:val="20"/>
              </w:rPr>
              <w:t>)</w:t>
            </w:r>
          </w:p>
        </w:tc>
        <w:tc>
          <w:tcPr>
            <w:tcW w:w="1327" w:type="dxa"/>
            <w:tcBorders>
              <w:top w:val="nil"/>
              <w:left w:val="nil"/>
              <w:bottom w:val="single" w:sz="4" w:space="0" w:color="auto"/>
              <w:right w:val="nil"/>
            </w:tcBorders>
            <w:shd w:val="clear" w:color="auto" w:fill="auto"/>
            <w:vAlign w:val="center"/>
            <w:hideMark/>
          </w:tcPr>
          <w:p w:rsidR="00FD69F1" w:rsidRPr="00FD69F1" w:rsidP="00FD69F1" w14:paraId="71A97396" w14:textId="77777777">
            <w:pPr>
              <w:widowControl/>
              <w:autoSpaceDE/>
              <w:autoSpaceDN/>
              <w:adjustRightInd/>
              <w:rPr>
                <w:color w:val="000000"/>
                <w:sz w:val="20"/>
                <w:szCs w:val="20"/>
              </w:rPr>
            </w:pPr>
            <w:r w:rsidRPr="00FD69F1">
              <w:rPr>
                <w:color w:val="000000"/>
                <w:sz w:val="20"/>
                <w:szCs w:val="20"/>
              </w:rPr>
              <w:t> </w:t>
            </w:r>
          </w:p>
        </w:tc>
        <w:tc>
          <w:tcPr>
            <w:tcW w:w="1025"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0CC442E6" w14:textId="77777777">
            <w:pPr>
              <w:widowControl/>
              <w:autoSpaceDE/>
              <w:autoSpaceDN/>
              <w:adjustRightInd/>
              <w:rPr>
                <w:color w:val="000000"/>
                <w:sz w:val="20"/>
                <w:szCs w:val="20"/>
              </w:rPr>
            </w:pPr>
            <w:r w:rsidRPr="00FD69F1">
              <w:rPr>
                <w:color w:val="000000"/>
                <w:sz w:val="20"/>
                <w:szCs w:val="20"/>
              </w:rPr>
              <w:t> </w:t>
            </w:r>
          </w:p>
        </w:tc>
        <w:tc>
          <w:tcPr>
            <w:tcW w:w="1305" w:type="dxa"/>
            <w:tcBorders>
              <w:top w:val="nil"/>
              <w:left w:val="nil"/>
              <w:bottom w:val="single" w:sz="4" w:space="0" w:color="auto"/>
              <w:right w:val="nil"/>
            </w:tcBorders>
            <w:shd w:val="clear" w:color="auto" w:fill="auto"/>
            <w:vAlign w:val="center"/>
            <w:hideMark/>
          </w:tcPr>
          <w:p w:rsidR="00FD69F1" w:rsidRPr="00FD69F1" w:rsidP="00FD69F1" w14:paraId="60471957" w14:textId="77777777">
            <w:pPr>
              <w:widowControl/>
              <w:autoSpaceDE/>
              <w:autoSpaceDN/>
              <w:adjustRightInd/>
              <w:jc w:val="center"/>
              <w:rPr>
                <w:b/>
                <w:bCs/>
                <w:color w:val="000000"/>
                <w:sz w:val="20"/>
                <w:szCs w:val="20"/>
              </w:rPr>
            </w:pPr>
            <w:r w:rsidRPr="00FD69F1">
              <w:rPr>
                <w:b/>
                <w:bCs/>
                <w:color w:val="000000"/>
                <w:sz w:val="20"/>
                <w:szCs w:val="20"/>
              </w:rPr>
              <w:t>(F=Ex0.05)</w:t>
            </w:r>
          </w:p>
        </w:tc>
        <w:tc>
          <w:tcPr>
            <w:tcW w:w="1174"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22A409C1" w14:textId="77777777">
            <w:pPr>
              <w:widowControl/>
              <w:autoSpaceDE/>
              <w:autoSpaceDN/>
              <w:adjustRightInd/>
              <w:jc w:val="center"/>
              <w:rPr>
                <w:b/>
                <w:bCs/>
                <w:color w:val="000000"/>
                <w:sz w:val="20"/>
                <w:szCs w:val="20"/>
              </w:rPr>
            </w:pPr>
            <w:r w:rsidRPr="00FD69F1">
              <w:rPr>
                <w:b/>
                <w:bCs/>
                <w:color w:val="000000"/>
                <w:sz w:val="20"/>
                <w:szCs w:val="20"/>
              </w:rPr>
              <w:t>(G=Ex0.10)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0A170137" w14:textId="77777777">
            <w:pPr>
              <w:widowControl/>
              <w:autoSpaceDE/>
              <w:autoSpaceDN/>
              <w:adjustRightInd/>
              <w:rPr>
                <w:color w:val="000000"/>
                <w:sz w:val="20"/>
                <w:szCs w:val="20"/>
              </w:rPr>
            </w:pPr>
            <w:r w:rsidRPr="00FD69F1">
              <w:rPr>
                <w:color w:val="000000"/>
                <w:sz w:val="20"/>
                <w:szCs w:val="20"/>
              </w:rPr>
              <w:t> </w:t>
            </w:r>
          </w:p>
        </w:tc>
      </w:tr>
      <w:tr w14:paraId="4F29C2A4"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354C84AB" w14:textId="77777777">
            <w:pPr>
              <w:widowControl/>
              <w:autoSpaceDE/>
              <w:autoSpaceDN/>
              <w:adjustRightInd/>
              <w:rPr>
                <w:color w:val="000000"/>
                <w:sz w:val="20"/>
                <w:szCs w:val="20"/>
              </w:rPr>
            </w:pPr>
            <w:r w:rsidRPr="00FD69F1">
              <w:rPr>
                <w:color w:val="000000"/>
                <w:sz w:val="20"/>
                <w:szCs w:val="20"/>
              </w:rPr>
              <w:t>1. Applications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38A5801" w14:textId="77777777">
            <w:pPr>
              <w:widowControl/>
              <w:autoSpaceDE/>
              <w:autoSpaceDN/>
              <w:adjustRightInd/>
              <w:jc w:val="center"/>
              <w:rPr>
                <w:color w:val="000000"/>
                <w:sz w:val="20"/>
                <w:szCs w:val="20"/>
              </w:rPr>
            </w:pPr>
            <w:r w:rsidRPr="00FD69F1">
              <w:rPr>
                <w:color w:val="000000"/>
                <w:sz w:val="20"/>
                <w:szCs w:val="20"/>
              </w:rPr>
              <w:t>N/A</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D5F0DEE"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2A64F0F"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133C600"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3A3F8F6B"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36DD629"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17BDC37B"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6600FE54" w14:textId="77777777">
            <w:pPr>
              <w:widowControl/>
              <w:autoSpaceDE/>
              <w:autoSpaceDN/>
              <w:adjustRightInd/>
              <w:jc w:val="right"/>
              <w:rPr>
                <w:color w:val="000000"/>
                <w:sz w:val="20"/>
                <w:szCs w:val="20"/>
              </w:rPr>
            </w:pPr>
            <w:r w:rsidRPr="00FD69F1">
              <w:rPr>
                <w:color w:val="000000"/>
                <w:sz w:val="20"/>
                <w:szCs w:val="20"/>
              </w:rPr>
              <w:t> </w:t>
            </w:r>
          </w:p>
        </w:tc>
      </w:tr>
      <w:tr w14:paraId="5CC47C51"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101CFD86" w14:textId="77777777">
            <w:pPr>
              <w:widowControl/>
              <w:autoSpaceDE/>
              <w:autoSpaceDN/>
              <w:adjustRightInd/>
              <w:rPr>
                <w:color w:val="000000"/>
                <w:sz w:val="20"/>
                <w:szCs w:val="20"/>
              </w:rPr>
            </w:pPr>
            <w:r w:rsidRPr="00FD69F1">
              <w:rPr>
                <w:color w:val="000000"/>
                <w:sz w:val="20"/>
                <w:szCs w:val="20"/>
              </w:rPr>
              <w:t>2. Survey and Studies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336BF64" w14:textId="77777777">
            <w:pPr>
              <w:widowControl/>
              <w:autoSpaceDE/>
              <w:autoSpaceDN/>
              <w:adjustRightInd/>
              <w:jc w:val="center"/>
              <w:rPr>
                <w:color w:val="000000"/>
                <w:sz w:val="20"/>
                <w:szCs w:val="20"/>
              </w:rPr>
            </w:pPr>
            <w:r w:rsidRPr="00FD69F1">
              <w:rPr>
                <w:color w:val="000000"/>
                <w:sz w:val="20"/>
                <w:szCs w:val="20"/>
              </w:rPr>
              <w:t>N/A</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265944A2"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9AAC481"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374177E8"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5A1E076"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E2CFF43"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6F49727F"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6FBA6513" w14:textId="77777777">
            <w:pPr>
              <w:widowControl/>
              <w:autoSpaceDE/>
              <w:autoSpaceDN/>
              <w:adjustRightInd/>
              <w:jc w:val="right"/>
              <w:rPr>
                <w:color w:val="000000"/>
                <w:sz w:val="20"/>
                <w:szCs w:val="20"/>
              </w:rPr>
            </w:pPr>
            <w:r w:rsidRPr="00FD69F1">
              <w:rPr>
                <w:color w:val="000000"/>
                <w:sz w:val="20"/>
                <w:szCs w:val="20"/>
              </w:rPr>
              <w:t> </w:t>
            </w:r>
          </w:p>
        </w:tc>
      </w:tr>
      <w:tr w14:paraId="5272BE1A"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78E21759" w14:textId="77777777">
            <w:pPr>
              <w:widowControl/>
              <w:autoSpaceDE/>
              <w:autoSpaceDN/>
              <w:adjustRightInd/>
              <w:rPr>
                <w:color w:val="000000"/>
                <w:sz w:val="20"/>
                <w:szCs w:val="20"/>
              </w:rPr>
            </w:pPr>
            <w:r w:rsidRPr="00FD69F1">
              <w:rPr>
                <w:color w:val="000000"/>
                <w:sz w:val="20"/>
                <w:szCs w:val="20"/>
              </w:rPr>
              <w:t>3. Reporting Requirements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4A6AF11"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996CADC"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08F12FCB"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27C3385E"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07563BC7"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23FFBAA"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3BA66F57"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7B0A3A7D" w14:textId="77777777">
            <w:pPr>
              <w:widowControl/>
              <w:autoSpaceDE/>
              <w:autoSpaceDN/>
              <w:adjustRightInd/>
              <w:jc w:val="right"/>
              <w:rPr>
                <w:color w:val="000000"/>
                <w:sz w:val="20"/>
                <w:szCs w:val="20"/>
              </w:rPr>
            </w:pPr>
            <w:r w:rsidRPr="00FD69F1">
              <w:rPr>
                <w:color w:val="000000"/>
                <w:sz w:val="20"/>
                <w:szCs w:val="20"/>
              </w:rPr>
              <w:t> </w:t>
            </w:r>
          </w:p>
        </w:tc>
      </w:tr>
      <w:tr w14:paraId="4B398654"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16F3CC7B" w14:textId="77777777">
            <w:pPr>
              <w:widowControl/>
              <w:autoSpaceDE/>
              <w:autoSpaceDN/>
              <w:adjustRightInd/>
              <w:ind w:left="150" w:firstLine="50" w:firstLineChars="25"/>
              <w:rPr>
                <w:color w:val="000000"/>
                <w:sz w:val="20"/>
                <w:szCs w:val="20"/>
              </w:rPr>
            </w:pPr>
            <w:r w:rsidRPr="00FD69F1">
              <w:rPr>
                <w:color w:val="000000"/>
                <w:sz w:val="20"/>
                <w:szCs w:val="20"/>
              </w:rPr>
              <w:t xml:space="preserve">A. Familiarize with regulatory requirements </w:t>
            </w:r>
            <w:r w:rsidRPr="00FD69F1">
              <w:rPr>
                <w:color w:val="000000"/>
                <w:sz w:val="20"/>
                <w:szCs w:val="20"/>
                <w:vertAlign w:val="superscript"/>
              </w:rPr>
              <w:t>c, d</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21F846C7" w14:textId="77777777">
            <w:pPr>
              <w:widowControl/>
              <w:autoSpaceDE/>
              <w:autoSpaceDN/>
              <w:adjustRightInd/>
              <w:jc w:val="center"/>
              <w:rPr>
                <w:color w:val="000000"/>
                <w:sz w:val="20"/>
                <w:szCs w:val="20"/>
              </w:rPr>
            </w:pPr>
            <w:r w:rsidRPr="00FD69F1">
              <w:rPr>
                <w:color w:val="000000"/>
                <w:sz w:val="20"/>
                <w:szCs w:val="20"/>
              </w:rPr>
              <w:t>16</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4CC00DB2"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EDA317D" w14:textId="77777777">
            <w:pPr>
              <w:widowControl/>
              <w:autoSpaceDE/>
              <w:autoSpaceDN/>
              <w:adjustRightInd/>
              <w:jc w:val="center"/>
              <w:rPr>
                <w:color w:val="000000"/>
                <w:sz w:val="20"/>
                <w:szCs w:val="20"/>
              </w:rPr>
            </w:pPr>
            <w:r w:rsidRPr="00FD69F1">
              <w:rPr>
                <w:color w:val="000000"/>
                <w:sz w:val="20"/>
                <w:szCs w:val="20"/>
              </w:rPr>
              <w:t>16</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13A981B9"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8E24CAD" w14:textId="77777777">
            <w:pPr>
              <w:widowControl/>
              <w:autoSpaceDE/>
              <w:autoSpaceDN/>
              <w:adjustRightInd/>
              <w:jc w:val="center"/>
              <w:rPr>
                <w:color w:val="000000"/>
                <w:sz w:val="20"/>
                <w:szCs w:val="20"/>
              </w:rPr>
            </w:pPr>
            <w:r w:rsidRPr="00FD69F1">
              <w:rPr>
                <w:color w:val="000000"/>
                <w:sz w:val="20"/>
                <w:szCs w:val="20"/>
              </w:rPr>
              <w:t>1,184</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4CA48B13" w14:textId="77777777">
            <w:pPr>
              <w:widowControl/>
              <w:autoSpaceDE/>
              <w:autoSpaceDN/>
              <w:adjustRightInd/>
              <w:jc w:val="center"/>
              <w:rPr>
                <w:color w:val="000000"/>
                <w:sz w:val="20"/>
                <w:szCs w:val="20"/>
              </w:rPr>
            </w:pPr>
            <w:r w:rsidRPr="00FD69F1">
              <w:rPr>
                <w:color w:val="000000"/>
                <w:sz w:val="20"/>
                <w:szCs w:val="20"/>
              </w:rPr>
              <w:t>59.2</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5F7825E7" w14:textId="77777777">
            <w:pPr>
              <w:widowControl/>
              <w:autoSpaceDE/>
              <w:autoSpaceDN/>
              <w:adjustRightInd/>
              <w:jc w:val="center"/>
              <w:rPr>
                <w:color w:val="000000"/>
                <w:sz w:val="20"/>
                <w:szCs w:val="20"/>
              </w:rPr>
            </w:pPr>
            <w:r w:rsidRPr="00FD69F1">
              <w:rPr>
                <w:color w:val="000000"/>
                <w:sz w:val="20"/>
                <w:szCs w:val="20"/>
              </w:rPr>
              <w:t>118</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F52EC22" w14:textId="77777777">
            <w:pPr>
              <w:widowControl/>
              <w:autoSpaceDE/>
              <w:autoSpaceDN/>
              <w:adjustRightInd/>
              <w:jc w:val="right"/>
              <w:rPr>
                <w:color w:val="000000"/>
                <w:sz w:val="20"/>
                <w:szCs w:val="20"/>
              </w:rPr>
            </w:pPr>
            <w:r w:rsidRPr="00FD69F1">
              <w:rPr>
                <w:color w:val="000000"/>
                <w:sz w:val="20"/>
                <w:szCs w:val="20"/>
              </w:rPr>
              <w:t xml:space="preserve">$163,477.84 </w:t>
            </w:r>
          </w:p>
        </w:tc>
      </w:tr>
      <w:tr w14:paraId="46B7CCF5"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78E32445" w14:textId="77777777">
            <w:pPr>
              <w:widowControl/>
              <w:autoSpaceDE/>
              <w:autoSpaceDN/>
              <w:adjustRightInd/>
              <w:ind w:firstLine="200" w:firstLineChars="100"/>
              <w:rPr>
                <w:color w:val="000000"/>
                <w:sz w:val="20"/>
                <w:szCs w:val="20"/>
              </w:rPr>
            </w:pPr>
            <w:r w:rsidRPr="00FD69F1">
              <w:rPr>
                <w:color w:val="000000"/>
                <w:sz w:val="20"/>
                <w:szCs w:val="20"/>
              </w:rPr>
              <w:t>B. Required Activities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CF37084"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2303EC2"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6FE48B44"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2DBF9409"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299ED924"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4DFCF293"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BF2C997"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C2C9E0B" w14:textId="77777777">
            <w:pPr>
              <w:widowControl/>
              <w:autoSpaceDE/>
              <w:autoSpaceDN/>
              <w:adjustRightInd/>
              <w:jc w:val="right"/>
              <w:rPr>
                <w:color w:val="000000"/>
                <w:sz w:val="20"/>
                <w:szCs w:val="20"/>
              </w:rPr>
            </w:pPr>
            <w:r w:rsidRPr="00FD69F1">
              <w:rPr>
                <w:color w:val="000000"/>
                <w:sz w:val="20"/>
                <w:szCs w:val="20"/>
              </w:rPr>
              <w:t> </w:t>
            </w:r>
          </w:p>
        </w:tc>
      </w:tr>
      <w:tr w14:paraId="14F4F250"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143EBF5A" w14:textId="77777777">
            <w:pPr>
              <w:widowControl/>
              <w:autoSpaceDE/>
              <w:autoSpaceDN/>
              <w:adjustRightInd/>
              <w:ind w:firstLine="400" w:firstLineChars="200"/>
              <w:rPr>
                <w:color w:val="000000"/>
                <w:sz w:val="20"/>
                <w:szCs w:val="20"/>
              </w:rPr>
            </w:pPr>
            <w:r w:rsidRPr="00FD69F1">
              <w:rPr>
                <w:color w:val="000000"/>
                <w:sz w:val="20"/>
                <w:szCs w:val="20"/>
              </w:rPr>
              <w:t xml:space="preserve">1) Initial requirements </w:t>
            </w:r>
            <w:r w:rsidRPr="00FD69F1">
              <w:rPr>
                <w:color w:val="000000"/>
                <w:sz w:val="20"/>
                <w:szCs w:val="20"/>
                <w:vertAlign w:val="superscript"/>
              </w:rPr>
              <w:t>e</w:t>
            </w:r>
            <w:r w:rsidRPr="00FD69F1">
              <w:rPr>
                <w:color w:val="000000"/>
                <w:sz w:val="20"/>
                <w:szCs w:val="20"/>
              </w:rPr>
              <w:t xml:space="preserve"> </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63FAC32"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13BDE577"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718BDE6"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B3A1F30"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4FCB2703"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FA48F3B"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2717AEEA"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529E10BD" w14:textId="77777777">
            <w:pPr>
              <w:widowControl/>
              <w:autoSpaceDE/>
              <w:autoSpaceDN/>
              <w:adjustRightInd/>
              <w:jc w:val="right"/>
              <w:rPr>
                <w:color w:val="000000"/>
                <w:sz w:val="20"/>
                <w:szCs w:val="20"/>
              </w:rPr>
            </w:pPr>
            <w:r w:rsidRPr="00FD69F1">
              <w:rPr>
                <w:color w:val="000000"/>
                <w:sz w:val="20"/>
                <w:szCs w:val="20"/>
              </w:rPr>
              <w:t> </w:t>
            </w:r>
          </w:p>
        </w:tc>
      </w:tr>
      <w:tr w14:paraId="549C5DBE"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14009DC3" w14:textId="77777777">
            <w:pPr>
              <w:widowControl/>
              <w:autoSpaceDE/>
              <w:autoSpaceDN/>
              <w:adjustRightInd/>
              <w:ind w:left="600"/>
              <w:rPr>
                <w:color w:val="000000"/>
                <w:sz w:val="20"/>
                <w:szCs w:val="20"/>
              </w:rPr>
            </w:pPr>
            <w:r w:rsidRPr="00FD69F1">
              <w:rPr>
                <w:color w:val="000000"/>
                <w:sz w:val="20"/>
                <w:szCs w:val="20"/>
              </w:rPr>
              <w:t>a) Initial stack test and report</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76B10C3E" w14:textId="77777777">
            <w:pPr>
              <w:widowControl/>
              <w:autoSpaceDE/>
              <w:autoSpaceDN/>
              <w:adjustRightInd/>
              <w:jc w:val="center"/>
              <w:rPr>
                <w:color w:val="000000"/>
                <w:sz w:val="20"/>
                <w:szCs w:val="20"/>
              </w:rPr>
            </w:pPr>
            <w:r w:rsidRPr="00FD69F1">
              <w:rPr>
                <w:color w:val="000000"/>
                <w:sz w:val="20"/>
                <w:szCs w:val="20"/>
              </w:rPr>
              <w:t>16</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012F8E87"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187B8904" w14:textId="77777777">
            <w:pPr>
              <w:widowControl/>
              <w:autoSpaceDE/>
              <w:autoSpaceDN/>
              <w:adjustRightInd/>
              <w:jc w:val="center"/>
              <w:rPr>
                <w:color w:val="000000"/>
                <w:sz w:val="20"/>
                <w:szCs w:val="20"/>
              </w:rPr>
            </w:pPr>
            <w:r w:rsidRPr="00FD69F1">
              <w:rPr>
                <w:color w:val="000000"/>
                <w:sz w:val="20"/>
                <w:szCs w:val="20"/>
              </w:rPr>
              <w:t>16</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56442C3B"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061A73E"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D59C28E"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47896A92"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7DCA4A96" w14:textId="77777777">
            <w:pPr>
              <w:widowControl/>
              <w:autoSpaceDE/>
              <w:autoSpaceDN/>
              <w:adjustRightInd/>
              <w:jc w:val="right"/>
              <w:rPr>
                <w:color w:val="000000"/>
                <w:sz w:val="20"/>
                <w:szCs w:val="20"/>
              </w:rPr>
            </w:pPr>
            <w:r w:rsidRPr="00FD69F1">
              <w:rPr>
                <w:color w:val="000000"/>
                <w:sz w:val="20"/>
                <w:szCs w:val="20"/>
              </w:rPr>
              <w:t xml:space="preserve">$0 </w:t>
            </w:r>
          </w:p>
        </w:tc>
      </w:tr>
      <w:tr w14:paraId="21779F19"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0DC5289B" w14:textId="77777777">
            <w:pPr>
              <w:widowControl/>
              <w:autoSpaceDE/>
              <w:autoSpaceDN/>
              <w:adjustRightInd/>
              <w:ind w:left="600"/>
              <w:rPr>
                <w:color w:val="000000"/>
                <w:sz w:val="20"/>
                <w:szCs w:val="20"/>
              </w:rPr>
            </w:pPr>
            <w:r w:rsidRPr="00FD69F1">
              <w:rPr>
                <w:color w:val="000000"/>
                <w:sz w:val="20"/>
                <w:szCs w:val="20"/>
              </w:rPr>
              <w:t>b) Establish and teach operator qualification course</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FB368F8" w14:textId="77777777">
            <w:pPr>
              <w:widowControl/>
              <w:autoSpaceDE/>
              <w:autoSpaceDN/>
              <w:adjustRightInd/>
              <w:jc w:val="center"/>
              <w:rPr>
                <w:color w:val="000000"/>
                <w:sz w:val="20"/>
                <w:szCs w:val="20"/>
              </w:rPr>
            </w:pPr>
            <w:r w:rsidRPr="00FD69F1">
              <w:rPr>
                <w:color w:val="000000"/>
                <w:sz w:val="20"/>
                <w:szCs w:val="20"/>
              </w:rPr>
              <w:t>64</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00CEE7CF"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1C9FB164" w14:textId="77777777">
            <w:pPr>
              <w:widowControl/>
              <w:autoSpaceDE/>
              <w:autoSpaceDN/>
              <w:adjustRightInd/>
              <w:jc w:val="center"/>
              <w:rPr>
                <w:color w:val="000000"/>
                <w:sz w:val="20"/>
                <w:szCs w:val="20"/>
              </w:rPr>
            </w:pPr>
            <w:r w:rsidRPr="00FD69F1">
              <w:rPr>
                <w:color w:val="000000"/>
                <w:sz w:val="20"/>
                <w:szCs w:val="20"/>
              </w:rPr>
              <w:t>64</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3564FDDB"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7E6B8632"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7E082731"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19D48CE5"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0A2DFE0B" w14:textId="77777777">
            <w:pPr>
              <w:widowControl/>
              <w:autoSpaceDE/>
              <w:autoSpaceDN/>
              <w:adjustRightInd/>
              <w:jc w:val="right"/>
              <w:rPr>
                <w:color w:val="000000"/>
                <w:sz w:val="20"/>
                <w:szCs w:val="20"/>
              </w:rPr>
            </w:pPr>
            <w:r w:rsidRPr="00FD69F1">
              <w:rPr>
                <w:color w:val="000000"/>
                <w:sz w:val="20"/>
                <w:szCs w:val="20"/>
              </w:rPr>
              <w:t xml:space="preserve">$0 </w:t>
            </w:r>
          </w:p>
        </w:tc>
      </w:tr>
      <w:tr w14:paraId="27113CCC"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051F5748" w14:textId="77777777">
            <w:pPr>
              <w:widowControl/>
              <w:autoSpaceDE/>
              <w:autoSpaceDN/>
              <w:adjustRightInd/>
              <w:ind w:left="600"/>
              <w:rPr>
                <w:color w:val="000000"/>
                <w:sz w:val="20"/>
                <w:szCs w:val="20"/>
              </w:rPr>
            </w:pPr>
            <w:r w:rsidRPr="00FD69F1">
              <w:rPr>
                <w:color w:val="000000"/>
                <w:sz w:val="20"/>
                <w:szCs w:val="20"/>
              </w:rPr>
              <w:t xml:space="preserve">c) Obtain operator qualification </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E64066D" w14:textId="77777777">
            <w:pPr>
              <w:widowControl/>
              <w:autoSpaceDE/>
              <w:autoSpaceDN/>
              <w:adjustRightInd/>
              <w:jc w:val="center"/>
              <w:rPr>
                <w:color w:val="000000"/>
                <w:sz w:val="20"/>
                <w:szCs w:val="20"/>
              </w:rPr>
            </w:pPr>
            <w:r w:rsidRPr="00FD69F1">
              <w:rPr>
                <w:color w:val="000000"/>
                <w:sz w:val="20"/>
                <w:szCs w:val="20"/>
              </w:rPr>
              <w:t>72</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E574FF2"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6A2FAA3" w14:textId="77777777">
            <w:pPr>
              <w:widowControl/>
              <w:autoSpaceDE/>
              <w:autoSpaceDN/>
              <w:adjustRightInd/>
              <w:jc w:val="center"/>
              <w:rPr>
                <w:color w:val="000000"/>
                <w:sz w:val="20"/>
                <w:szCs w:val="20"/>
              </w:rPr>
            </w:pPr>
            <w:r w:rsidRPr="00FD69F1">
              <w:rPr>
                <w:color w:val="000000"/>
                <w:sz w:val="20"/>
                <w:szCs w:val="20"/>
              </w:rPr>
              <w:t>72</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57625A4"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008EEA1C"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5B7EC5F"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BF3B4D4"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F6D16D1" w14:textId="77777777">
            <w:pPr>
              <w:widowControl/>
              <w:autoSpaceDE/>
              <w:autoSpaceDN/>
              <w:adjustRightInd/>
              <w:jc w:val="right"/>
              <w:rPr>
                <w:color w:val="000000"/>
                <w:sz w:val="20"/>
                <w:szCs w:val="20"/>
              </w:rPr>
            </w:pPr>
            <w:r w:rsidRPr="00FD69F1">
              <w:rPr>
                <w:color w:val="000000"/>
                <w:sz w:val="20"/>
                <w:szCs w:val="20"/>
              </w:rPr>
              <w:t xml:space="preserve">$0 </w:t>
            </w:r>
          </w:p>
        </w:tc>
      </w:tr>
      <w:tr w14:paraId="57319B91"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5B563506" w14:textId="77777777">
            <w:pPr>
              <w:widowControl/>
              <w:autoSpaceDE/>
              <w:autoSpaceDN/>
              <w:adjustRightInd/>
              <w:ind w:left="600"/>
              <w:rPr>
                <w:color w:val="000000"/>
                <w:sz w:val="20"/>
                <w:szCs w:val="20"/>
              </w:rPr>
            </w:pPr>
            <w:r w:rsidRPr="00FD69F1">
              <w:rPr>
                <w:color w:val="000000"/>
                <w:sz w:val="20"/>
                <w:szCs w:val="20"/>
              </w:rPr>
              <w:t>d) Establish operating parameters (maximum and minimum)</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53D1BFF" w14:textId="77777777">
            <w:pPr>
              <w:widowControl/>
              <w:autoSpaceDE/>
              <w:autoSpaceDN/>
              <w:adjustRightInd/>
              <w:jc w:val="center"/>
              <w:rPr>
                <w:color w:val="000000"/>
                <w:sz w:val="20"/>
                <w:szCs w:val="20"/>
              </w:rPr>
            </w:pPr>
            <w:r w:rsidRPr="00FD69F1">
              <w:rPr>
                <w:color w:val="000000"/>
                <w:sz w:val="20"/>
                <w:szCs w:val="20"/>
              </w:rPr>
              <w:t>160</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467BFEE"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B3AF36F" w14:textId="77777777">
            <w:pPr>
              <w:widowControl/>
              <w:autoSpaceDE/>
              <w:autoSpaceDN/>
              <w:adjustRightInd/>
              <w:jc w:val="center"/>
              <w:rPr>
                <w:color w:val="000000"/>
                <w:sz w:val="20"/>
                <w:szCs w:val="20"/>
              </w:rPr>
            </w:pPr>
            <w:r w:rsidRPr="00FD69F1">
              <w:rPr>
                <w:color w:val="000000"/>
                <w:sz w:val="20"/>
                <w:szCs w:val="20"/>
              </w:rPr>
              <w:t>160</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1F99F1B2"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FDA039E"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9C9A8F4"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6863697C"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8D2B9E0" w14:textId="77777777">
            <w:pPr>
              <w:widowControl/>
              <w:autoSpaceDE/>
              <w:autoSpaceDN/>
              <w:adjustRightInd/>
              <w:jc w:val="right"/>
              <w:rPr>
                <w:color w:val="000000"/>
                <w:sz w:val="20"/>
                <w:szCs w:val="20"/>
              </w:rPr>
            </w:pPr>
            <w:r w:rsidRPr="00FD69F1">
              <w:rPr>
                <w:color w:val="000000"/>
                <w:sz w:val="20"/>
                <w:szCs w:val="20"/>
              </w:rPr>
              <w:t xml:space="preserve">$0 </w:t>
            </w:r>
          </w:p>
        </w:tc>
      </w:tr>
      <w:tr w14:paraId="2E4AA804" w14:textId="77777777" w:rsidTr="00C509A7">
        <w:tblPrEx>
          <w:tblW w:w="12865" w:type="dxa"/>
          <w:tblLook w:val="04A0"/>
        </w:tblPrEx>
        <w:trPr>
          <w:trHeight w:val="57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2529F7AC" w14:textId="22FC310C">
            <w:pPr>
              <w:widowControl/>
              <w:autoSpaceDE/>
              <w:autoSpaceDN/>
              <w:adjustRightInd/>
              <w:ind w:left="600"/>
              <w:rPr>
                <w:color w:val="000000"/>
                <w:sz w:val="20"/>
                <w:szCs w:val="20"/>
              </w:rPr>
            </w:pPr>
            <w:r w:rsidRPr="00FD69F1">
              <w:rPr>
                <w:color w:val="000000"/>
                <w:sz w:val="20"/>
                <w:szCs w:val="20"/>
              </w:rPr>
              <w:t>e) Continuous parameter monitoring initial costs (including by-pass stack)</w:t>
            </w:r>
            <w:r w:rsidR="006B63FA">
              <w:rPr>
                <w:color w:val="000000"/>
                <w:sz w:val="20"/>
                <w:szCs w:val="20"/>
              </w:rPr>
              <w:t xml:space="preserve"> </w:t>
            </w:r>
            <w:r w:rsidRPr="00FD69F1">
              <w:rPr>
                <w:color w:val="000000"/>
                <w:sz w:val="20"/>
                <w:szCs w:val="20"/>
                <w:vertAlign w:val="superscript"/>
              </w:rPr>
              <w:t>f</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60F4DD6" w14:textId="77777777">
            <w:pPr>
              <w:widowControl/>
              <w:autoSpaceDE/>
              <w:autoSpaceDN/>
              <w:adjustRightInd/>
              <w:jc w:val="center"/>
              <w:rPr>
                <w:color w:val="000000"/>
                <w:sz w:val="20"/>
                <w:szCs w:val="20"/>
              </w:rPr>
            </w:pPr>
            <w:r w:rsidRPr="00FD69F1">
              <w:rPr>
                <w:color w:val="000000"/>
                <w:sz w:val="20"/>
                <w:szCs w:val="20"/>
              </w:rPr>
              <w:t>9</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2429E81B"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6BA13B8" w14:textId="77777777">
            <w:pPr>
              <w:widowControl/>
              <w:autoSpaceDE/>
              <w:autoSpaceDN/>
              <w:adjustRightInd/>
              <w:jc w:val="center"/>
              <w:rPr>
                <w:color w:val="000000"/>
                <w:sz w:val="20"/>
                <w:szCs w:val="20"/>
              </w:rPr>
            </w:pPr>
            <w:r w:rsidRPr="00FD69F1">
              <w:rPr>
                <w:color w:val="000000"/>
                <w:sz w:val="20"/>
                <w:szCs w:val="20"/>
              </w:rPr>
              <w:t>9</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5B9377B9"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4364D40A"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E2769B0"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190E478D"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53DBB20E" w14:textId="77777777">
            <w:pPr>
              <w:widowControl/>
              <w:autoSpaceDE/>
              <w:autoSpaceDN/>
              <w:adjustRightInd/>
              <w:jc w:val="right"/>
              <w:rPr>
                <w:color w:val="000000"/>
                <w:sz w:val="20"/>
                <w:szCs w:val="20"/>
              </w:rPr>
            </w:pPr>
            <w:r w:rsidRPr="00FD69F1">
              <w:rPr>
                <w:color w:val="000000"/>
                <w:sz w:val="20"/>
                <w:szCs w:val="20"/>
              </w:rPr>
              <w:t xml:space="preserve">$0 </w:t>
            </w:r>
          </w:p>
        </w:tc>
      </w:tr>
      <w:tr w14:paraId="7D00EB95"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011C6EA2" w14:textId="77777777">
            <w:pPr>
              <w:widowControl/>
              <w:autoSpaceDE/>
              <w:autoSpaceDN/>
              <w:adjustRightInd/>
              <w:ind w:firstLine="400" w:firstLineChars="200"/>
              <w:rPr>
                <w:color w:val="000000"/>
                <w:sz w:val="20"/>
                <w:szCs w:val="20"/>
              </w:rPr>
            </w:pPr>
            <w:r w:rsidRPr="00FD69F1">
              <w:rPr>
                <w:color w:val="000000"/>
                <w:sz w:val="20"/>
                <w:szCs w:val="20"/>
              </w:rPr>
              <w:t xml:space="preserve">2) Periodic requirements </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ACCF3C6"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3B0D23D"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117E5544"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3699C2C8"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43D24B85"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75A8177D"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4C99FF02"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AD8DF72" w14:textId="77777777">
            <w:pPr>
              <w:widowControl/>
              <w:autoSpaceDE/>
              <w:autoSpaceDN/>
              <w:adjustRightInd/>
              <w:jc w:val="right"/>
              <w:rPr>
                <w:color w:val="000000"/>
                <w:sz w:val="20"/>
                <w:szCs w:val="20"/>
              </w:rPr>
            </w:pPr>
            <w:r w:rsidRPr="00FD69F1">
              <w:rPr>
                <w:color w:val="000000"/>
                <w:sz w:val="20"/>
                <w:szCs w:val="20"/>
              </w:rPr>
              <w:t> </w:t>
            </w:r>
          </w:p>
        </w:tc>
      </w:tr>
      <w:tr w14:paraId="4D154EE6"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275AA4CC" w14:textId="77777777">
            <w:pPr>
              <w:widowControl/>
              <w:autoSpaceDE/>
              <w:autoSpaceDN/>
              <w:adjustRightInd/>
              <w:ind w:left="600"/>
              <w:rPr>
                <w:color w:val="000000"/>
                <w:sz w:val="20"/>
                <w:szCs w:val="20"/>
              </w:rPr>
            </w:pPr>
            <w:r w:rsidRPr="00FD69F1">
              <w:rPr>
                <w:color w:val="000000"/>
                <w:sz w:val="20"/>
                <w:szCs w:val="20"/>
              </w:rPr>
              <w:t xml:space="preserve">a) Annual stack test and test report (PM, HCl, and opacity) </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B70EEB7" w14:textId="77777777">
            <w:pPr>
              <w:widowControl/>
              <w:autoSpaceDE/>
              <w:autoSpaceDN/>
              <w:adjustRightInd/>
              <w:jc w:val="center"/>
              <w:rPr>
                <w:color w:val="000000"/>
                <w:sz w:val="20"/>
                <w:szCs w:val="20"/>
              </w:rPr>
            </w:pPr>
            <w:r w:rsidRPr="00FD69F1">
              <w:rPr>
                <w:color w:val="000000"/>
                <w:sz w:val="20"/>
                <w:szCs w:val="20"/>
              </w:rPr>
              <w:t>12</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1682BCB2"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308DC6D1" w14:textId="77777777">
            <w:pPr>
              <w:widowControl/>
              <w:autoSpaceDE/>
              <w:autoSpaceDN/>
              <w:adjustRightInd/>
              <w:jc w:val="center"/>
              <w:rPr>
                <w:color w:val="000000"/>
                <w:sz w:val="20"/>
                <w:szCs w:val="20"/>
              </w:rPr>
            </w:pPr>
            <w:r w:rsidRPr="00FD69F1">
              <w:rPr>
                <w:color w:val="000000"/>
                <w:sz w:val="20"/>
                <w:szCs w:val="20"/>
              </w:rPr>
              <w:t>12</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A1104B6"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09EE8A38" w14:textId="77777777">
            <w:pPr>
              <w:widowControl/>
              <w:autoSpaceDE/>
              <w:autoSpaceDN/>
              <w:adjustRightInd/>
              <w:jc w:val="center"/>
              <w:rPr>
                <w:color w:val="000000"/>
                <w:sz w:val="20"/>
                <w:szCs w:val="20"/>
              </w:rPr>
            </w:pPr>
            <w:r w:rsidRPr="00FD69F1">
              <w:rPr>
                <w:color w:val="000000"/>
                <w:sz w:val="20"/>
                <w:szCs w:val="20"/>
              </w:rPr>
              <w:t>888</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F39407E" w14:textId="77777777">
            <w:pPr>
              <w:widowControl/>
              <w:autoSpaceDE/>
              <w:autoSpaceDN/>
              <w:adjustRightInd/>
              <w:jc w:val="center"/>
              <w:rPr>
                <w:color w:val="000000"/>
                <w:sz w:val="20"/>
                <w:szCs w:val="20"/>
              </w:rPr>
            </w:pPr>
            <w:r w:rsidRPr="00FD69F1">
              <w:rPr>
                <w:color w:val="000000"/>
                <w:sz w:val="20"/>
                <w:szCs w:val="20"/>
              </w:rPr>
              <w:t>44.4</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26BD373" w14:textId="77777777">
            <w:pPr>
              <w:widowControl/>
              <w:autoSpaceDE/>
              <w:autoSpaceDN/>
              <w:adjustRightInd/>
              <w:jc w:val="center"/>
              <w:rPr>
                <w:color w:val="000000"/>
                <w:sz w:val="20"/>
                <w:szCs w:val="20"/>
              </w:rPr>
            </w:pPr>
            <w:r w:rsidRPr="00FD69F1">
              <w:rPr>
                <w:color w:val="000000"/>
                <w:sz w:val="20"/>
                <w:szCs w:val="20"/>
              </w:rPr>
              <w:t>88.8</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D9BCD07" w14:textId="77777777">
            <w:pPr>
              <w:widowControl/>
              <w:autoSpaceDE/>
              <w:autoSpaceDN/>
              <w:adjustRightInd/>
              <w:jc w:val="right"/>
              <w:rPr>
                <w:color w:val="000000"/>
                <w:sz w:val="20"/>
                <w:szCs w:val="20"/>
              </w:rPr>
            </w:pPr>
            <w:r w:rsidRPr="00FD69F1">
              <w:rPr>
                <w:color w:val="000000"/>
                <w:sz w:val="20"/>
                <w:szCs w:val="20"/>
              </w:rPr>
              <w:t xml:space="preserve">$122,608.38 </w:t>
            </w:r>
          </w:p>
        </w:tc>
      </w:tr>
      <w:tr w14:paraId="3593ACC6"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4580A0BA" w14:textId="77777777">
            <w:pPr>
              <w:widowControl/>
              <w:autoSpaceDE/>
              <w:autoSpaceDN/>
              <w:adjustRightInd/>
              <w:ind w:left="600"/>
              <w:rPr>
                <w:color w:val="000000"/>
                <w:sz w:val="20"/>
                <w:szCs w:val="20"/>
              </w:rPr>
            </w:pPr>
            <w:r w:rsidRPr="00FD69F1">
              <w:rPr>
                <w:color w:val="000000"/>
                <w:sz w:val="20"/>
                <w:szCs w:val="20"/>
              </w:rPr>
              <w:t>b) Annual refresher operator training course</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72A2CADF" w14:textId="77777777">
            <w:pPr>
              <w:widowControl/>
              <w:autoSpaceDE/>
              <w:autoSpaceDN/>
              <w:adjustRightInd/>
              <w:jc w:val="center"/>
              <w:rPr>
                <w:color w:val="000000"/>
                <w:sz w:val="20"/>
                <w:szCs w:val="20"/>
              </w:rPr>
            </w:pPr>
            <w:r w:rsidRPr="00FD69F1">
              <w:rPr>
                <w:color w:val="000000"/>
                <w:sz w:val="20"/>
                <w:szCs w:val="20"/>
              </w:rPr>
              <w:t>12</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A4DBBE7"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32E8687" w14:textId="77777777">
            <w:pPr>
              <w:widowControl/>
              <w:autoSpaceDE/>
              <w:autoSpaceDN/>
              <w:adjustRightInd/>
              <w:jc w:val="center"/>
              <w:rPr>
                <w:color w:val="000000"/>
                <w:sz w:val="20"/>
                <w:szCs w:val="20"/>
              </w:rPr>
            </w:pPr>
            <w:r w:rsidRPr="00FD69F1">
              <w:rPr>
                <w:color w:val="000000"/>
                <w:sz w:val="20"/>
                <w:szCs w:val="20"/>
              </w:rPr>
              <w:t>12</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AEBBB50"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707DD6D5" w14:textId="77777777">
            <w:pPr>
              <w:widowControl/>
              <w:autoSpaceDE/>
              <w:autoSpaceDN/>
              <w:adjustRightInd/>
              <w:jc w:val="center"/>
              <w:rPr>
                <w:color w:val="000000"/>
                <w:sz w:val="20"/>
                <w:szCs w:val="20"/>
              </w:rPr>
            </w:pPr>
            <w:r w:rsidRPr="00FD69F1">
              <w:rPr>
                <w:color w:val="000000"/>
                <w:sz w:val="20"/>
                <w:szCs w:val="20"/>
              </w:rPr>
              <w:t>888</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26A7A370" w14:textId="77777777">
            <w:pPr>
              <w:widowControl/>
              <w:autoSpaceDE/>
              <w:autoSpaceDN/>
              <w:adjustRightInd/>
              <w:jc w:val="center"/>
              <w:rPr>
                <w:color w:val="000000"/>
                <w:sz w:val="20"/>
                <w:szCs w:val="20"/>
              </w:rPr>
            </w:pPr>
            <w:r w:rsidRPr="00FD69F1">
              <w:rPr>
                <w:color w:val="000000"/>
                <w:sz w:val="20"/>
                <w:szCs w:val="20"/>
              </w:rPr>
              <w:t>44.4</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835D57C" w14:textId="77777777">
            <w:pPr>
              <w:widowControl/>
              <w:autoSpaceDE/>
              <w:autoSpaceDN/>
              <w:adjustRightInd/>
              <w:jc w:val="center"/>
              <w:rPr>
                <w:color w:val="000000"/>
                <w:sz w:val="20"/>
                <w:szCs w:val="20"/>
              </w:rPr>
            </w:pPr>
            <w:r w:rsidRPr="00FD69F1">
              <w:rPr>
                <w:color w:val="000000"/>
                <w:sz w:val="20"/>
                <w:szCs w:val="20"/>
              </w:rPr>
              <w:t>88.8</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44BA8B4" w14:textId="77777777">
            <w:pPr>
              <w:widowControl/>
              <w:autoSpaceDE/>
              <w:autoSpaceDN/>
              <w:adjustRightInd/>
              <w:jc w:val="right"/>
              <w:rPr>
                <w:color w:val="000000"/>
                <w:sz w:val="20"/>
                <w:szCs w:val="20"/>
              </w:rPr>
            </w:pPr>
            <w:r w:rsidRPr="00FD69F1">
              <w:rPr>
                <w:color w:val="000000"/>
                <w:sz w:val="20"/>
                <w:szCs w:val="20"/>
              </w:rPr>
              <w:t xml:space="preserve">$122,608.38 </w:t>
            </w:r>
          </w:p>
        </w:tc>
      </w:tr>
      <w:tr w14:paraId="621D5426"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7D580849" w14:textId="77777777">
            <w:pPr>
              <w:widowControl/>
              <w:autoSpaceDE/>
              <w:autoSpaceDN/>
              <w:adjustRightInd/>
              <w:ind w:left="600"/>
              <w:rPr>
                <w:color w:val="000000"/>
                <w:sz w:val="20"/>
                <w:szCs w:val="20"/>
              </w:rPr>
            </w:pPr>
            <w:r w:rsidRPr="00FD69F1">
              <w:rPr>
                <w:color w:val="000000"/>
                <w:sz w:val="20"/>
                <w:szCs w:val="20"/>
              </w:rPr>
              <w:t>c) Annual review of site-specific information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542C8FD"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E255E1C"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5A984DF5" w14:textId="77777777">
            <w:pPr>
              <w:widowControl/>
              <w:autoSpaceDE/>
              <w:autoSpaceDN/>
              <w:adjustRightInd/>
              <w:jc w:val="center"/>
              <w:rPr>
                <w:color w:val="000000"/>
                <w:sz w:val="20"/>
                <w:szCs w:val="20"/>
              </w:rPr>
            </w:pPr>
            <w:r w:rsidRPr="00FD69F1">
              <w:rPr>
                <w:color w:val="000000"/>
                <w:sz w:val="20"/>
                <w:szCs w:val="20"/>
              </w:rPr>
              <w:t>8</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1FF39E87"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0155172" w14:textId="77777777">
            <w:pPr>
              <w:widowControl/>
              <w:autoSpaceDE/>
              <w:autoSpaceDN/>
              <w:adjustRightInd/>
              <w:jc w:val="center"/>
              <w:rPr>
                <w:color w:val="000000"/>
                <w:sz w:val="20"/>
                <w:szCs w:val="20"/>
              </w:rPr>
            </w:pPr>
            <w:r w:rsidRPr="00FD69F1">
              <w:rPr>
                <w:color w:val="000000"/>
                <w:sz w:val="20"/>
                <w:szCs w:val="20"/>
              </w:rPr>
              <w:t>592</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2CE2694B" w14:textId="77777777">
            <w:pPr>
              <w:widowControl/>
              <w:autoSpaceDE/>
              <w:autoSpaceDN/>
              <w:adjustRightInd/>
              <w:jc w:val="center"/>
              <w:rPr>
                <w:color w:val="000000"/>
                <w:sz w:val="20"/>
                <w:szCs w:val="20"/>
              </w:rPr>
            </w:pPr>
            <w:r w:rsidRPr="00FD69F1">
              <w:rPr>
                <w:color w:val="000000"/>
                <w:sz w:val="20"/>
                <w:szCs w:val="20"/>
              </w:rPr>
              <w:t>29.6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4EE24C9" w14:textId="77777777">
            <w:pPr>
              <w:widowControl/>
              <w:autoSpaceDE/>
              <w:autoSpaceDN/>
              <w:adjustRightInd/>
              <w:jc w:val="center"/>
              <w:rPr>
                <w:color w:val="000000"/>
                <w:sz w:val="20"/>
                <w:szCs w:val="20"/>
              </w:rPr>
            </w:pPr>
            <w:r w:rsidRPr="00FD69F1">
              <w:rPr>
                <w:color w:val="000000"/>
                <w:sz w:val="20"/>
                <w:szCs w:val="20"/>
              </w:rPr>
              <w:t>59.2</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F05F1E2" w14:textId="77777777">
            <w:pPr>
              <w:widowControl/>
              <w:autoSpaceDE/>
              <w:autoSpaceDN/>
              <w:adjustRightInd/>
              <w:jc w:val="right"/>
              <w:rPr>
                <w:color w:val="000000"/>
                <w:sz w:val="20"/>
                <w:szCs w:val="20"/>
              </w:rPr>
            </w:pPr>
            <w:r w:rsidRPr="00FD69F1">
              <w:rPr>
                <w:color w:val="000000"/>
                <w:sz w:val="20"/>
                <w:szCs w:val="20"/>
              </w:rPr>
              <w:t xml:space="preserve">$81,738.92 </w:t>
            </w:r>
          </w:p>
        </w:tc>
      </w:tr>
      <w:tr w14:paraId="3585C04D" w14:textId="77777777" w:rsidTr="00C509A7">
        <w:tblPrEx>
          <w:tblW w:w="12865" w:type="dxa"/>
          <w:tblLook w:val="04A0"/>
        </w:tblPrEx>
        <w:trPr>
          <w:trHeight w:val="57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1A3228F9" w14:textId="77777777">
            <w:pPr>
              <w:widowControl/>
              <w:autoSpaceDE/>
              <w:autoSpaceDN/>
              <w:adjustRightInd/>
              <w:ind w:left="600"/>
              <w:rPr>
                <w:color w:val="000000"/>
                <w:sz w:val="20"/>
                <w:szCs w:val="20"/>
              </w:rPr>
            </w:pPr>
            <w:r w:rsidRPr="00FD69F1">
              <w:rPr>
                <w:color w:val="000000"/>
                <w:sz w:val="20"/>
                <w:szCs w:val="20"/>
              </w:rPr>
              <w:t xml:space="preserve">d) Continuous parameter monitoring (including by-pass stack) annual costs </w:t>
            </w:r>
            <w:r w:rsidRPr="00FD69F1">
              <w:rPr>
                <w:color w:val="000000"/>
                <w:sz w:val="20"/>
                <w:szCs w:val="20"/>
                <w:vertAlign w:val="superscript"/>
              </w:rPr>
              <w:t>g</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15A92E7" w14:textId="77777777">
            <w:pPr>
              <w:widowControl/>
              <w:autoSpaceDE/>
              <w:autoSpaceDN/>
              <w:adjustRightInd/>
              <w:jc w:val="center"/>
              <w:rPr>
                <w:color w:val="000000"/>
                <w:sz w:val="20"/>
                <w:szCs w:val="20"/>
              </w:rPr>
            </w:pPr>
            <w:r w:rsidRPr="00FD69F1">
              <w:rPr>
                <w:color w:val="000000"/>
                <w:sz w:val="20"/>
                <w:szCs w:val="20"/>
              </w:rPr>
              <w:t>83</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AC27578"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121565B" w14:textId="77777777">
            <w:pPr>
              <w:widowControl/>
              <w:autoSpaceDE/>
              <w:autoSpaceDN/>
              <w:adjustRightInd/>
              <w:jc w:val="center"/>
              <w:rPr>
                <w:color w:val="000000"/>
                <w:sz w:val="20"/>
                <w:szCs w:val="20"/>
              </w:rPr>
            </w:pPr>
            <w:r w:rsidRPr="00FD69F1">
              <w:rPr>
                <w:color w:val="000000"/>
                <w:sz w:val="20"/>
                <w:szCs w:val="20"/>
              </w:rPr>
              <w:t>83</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26FAD221"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7F5BF335" w14:textId="77777777">
            <w:pPr>
              <w:widowControl/>
              <w:autoSpaceDE/>
              <w:autoSpaceDN/>
              <w:adjustRightInd/>
              <w:jc w:val="center"/>
              <w:rPr>
                <w:color w:val="000000"/>
                <w:sz w:val="20"/>
                <w:szCs w:val="20"/>
              </w:rPr>
            </w:pPr>
            <w:r w:rsidRPr="00FD69F1">
              <w:rPr>
                <w:color w:val="000000"/>
                <w:sz w:val="20"/>
                <w:szCs w:val="20"/>
              </w:rPr>
              <w:t>6,142</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58E3371" w14:textId="77777777">
            <w:pPr>
              <w:widowControl/>
              <w:autoSpaceDE/>
              <w:autoSpaceDN/>
              <w:adjustRightInd/>
              <w:jc w:val="center"/>
              <w:rPr>
                <w:color w:val="000000"/>
                <w:sz w:val="20"/>
                <w:szCs w:val="20"/>
              </w:rPr>
            </w:pPr>
            <w:r w:rsidRPr="00FD69F1">
              <w:rPr>
                <w:color w:val="000000"/>
                <w:sz w:val="20"/>
                <w:szCs w:val="20"/>
              </w:rPr>
              <w:t>307</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3B581AD7" w14:textId="77777777">
            <w:pPr>
              <w:widowControl/>
              <w:autoSpaceDE/>
              <w:autoSpaceDN/>
              <w:adjustRightInd/>
              <w:jc w:val="center"/>
              <w:rPr>
                <w:color w:val="000000"/>
                <w:sz w:val="20"/>
                <w:szCs w:val="20"/>
              </w:rPr>
            </w:pPr>
            <w:r w:rsidRPr="00FD69F1">
              <w:rPr>
                <w:color w:val="000000"/>
                <w:sz w:val="20"/>
                <w:szCs w:val="20"/>
              </w:rPr>
              <w:t>614</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E0A8B10" w14:textId="77777777">
            <w:pPr>
              <w:widowControl/>
              <w:autoSpaceDE/>
              <w:autoSpaceDN/>
              <w:adjustRightInd/>
              <w:jc w:val="right"/>
              <w:rPr>
                <w:color w:val="000000"/>
                <w:sz w:val="20"/>
                <w:szCs w:val="20"/>
              </w:rPr>
            </w:pPr>
            <w:r w:rsidRPr="00FD69F1">
              <w:rPr>
                <w:color w:val="000000"/>
                <w:sz w:val="20"/>
                <w:szCs w:val="20"/>
              </w:rPr>
              <w:t xml:space="preserve">$848,041.30 </w:t>
            </w:r>
          </w:p>
        </w:tc>
      </w:tr>
      <w:tr w14:paraId="3708A878"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672F1B7E" w14:textId="77777777">
            <w:pPr>
              <w:widowControl/>
              <w:autoSpaceDE/>
              <w:autoSpaceDN/>
              <w:adjustRightInd/>
              <w:ind w:firstLine="200" w:firstLineChars="100"/>
              <w:rPr>
                <w:color w:val="000000"/>
                <w:sz w:val="20"/>
                <w:szCs w:val="20"/>
              </w:rPr>
            </w:pPr>
            <w:r w:rsidRPr="00FD69F1">
              <w:rPr>
                <w:color w:val="000000"/>
                <w:sz w:val="20"/>
                <w:szCs w:val="20"/>
              </w:rPr>
              <w:t>C. Create Information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53EA298"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1EF05153"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046CA829"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577BD98D"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4555D9F4"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997366B"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90F5302"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BF026AE" w14:textId="77777777">
            <w:pPr>
              <w:widowControl/>
              <w:autoSpaceDE/>
              <w:autoSpaceDN/>
              <w:adjustRightInd/>
              <w:jc w:val="right"/>
              <w:rPr>
                <w:color w:val="000000"/>
                <w:sz w:val="20"/>
                <w:szCs w:val="20"/>
              </w:rPr>
            </w:pPr>
            <w:r w:rsidRPr="00FD69F1">
              <w:rPr>
                <w:color w:val="000000"/>
                <w:sz w:val="20"/>
                <w:szCs w:val="20"/>
              </w:rPr>
              <w:t> </w:t>
            </w:r>
          </w:p>
        </w:tc>
      </w:tr>
      <w:tr w14:paraId="19C20085"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6233D377" w14:textId="77777777">
            <w:pPr>
              <w:widowControl/>
              <w:autoSpaceDE/>
              <w:autoSpaceDN/>
              <w:adjustRightInd/>
              <w:ind w:firstLine="200" w:firstLineChars="100"/>
              <w:rPr>
                <w:color w:val="000000"/>
                <w:sz w:val="20"/>
                <w:szCs w:val="20"/>
              </w:rPr>
            </w:pPr>
            <w:r w:rsidRPr="00FD69F1">
              <w:rPr>
                <w:color w:val="000000"/>
                <w:sz w:val="20"/>
                <w:szCs w:val="20"/>
              </w:rPr>
              <w:t>D. Gather Information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79446E31" w14:textId="77777777">
            <w:pPr>
              <w:widowControl/>
              <w:autoSpaceDE/>
              <w:autoSpaceDN/>
              <w:adjustRightInd/>
              <w:jc w:val="center"/>
              <w:rPr>
                <w:color w:val="000000"/>
                <w:sz w:val="20"/>
                <w:szCs w:val="20"/>
              </w:rPr>
            </w:pPr>
            <w:r w:rsidRPr="00FD69F1">
              <w:rPr>
                <w:color w:val="000000"/>
                <w:sz w:val="20"/>
                <w:szCs w:val="20"/>
              </w:rPr>
              <w:t>See 3E</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1445891"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6069BCD"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693DB3F"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714EB635"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73B1038A"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68E1C1BD"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7D24C33" w14:textId="77777777">
            <w:pPr>
              <w:widowControl/>
              <w:autoSpaceDE/>
              <w:autoSpaceDN/>
              <w:adjustRightInd/>
              <w:jc w:val="right"/>
              <w:rPr>
                <w:color w:val="000000"/>
                <w:sz w:val="20"/>
                <w:szCs w:val="20"/>
              </w:rPr>
            </w:pPr>
            <w:r w:rsidRPr="00FD69F1">
              <w:rPr>
                <w:color w:val="000000"/>
                <w:sz w:val="20"/>
                <w:szCs w:val="20"/>
              </w:rPr>
              <w:t> </w:t>
            </w:r>
          </w:p>
        </w:tc>
      </w:tr>
      <w:tr w14:paraId="31EA2204"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429AA670" w14:textId="77777777">
            <w:pPr>
              <w:widowControl/>
              <w:autoSpaceDE/>
              <w:autoSpaceDN/>
              <w:adjustRightInd/>
              <w:ind w:firstLine="200" w:firstLineChars="100"/>
              <w:rPr>
                <w:color w:val="000000"/>
                <w:sz w:val="20"/>
                <w:szCs w:val="20"/>
              </w:rPr>
            </w:pPr>
            <w:r w:rsidRPr="00FD69F1">
              <w:rPr>
                <w:color w:val="000000"/>
                <w:sz w:val="20"/>
                <w:szCs w:val="20"/>
              </w:rPr>
              <w:t>E. Report Preparation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1EFF266"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2D33197C"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1C656924"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797F3B4E"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21130624"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71DF4EA5"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1ED8F94B"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04E074B6" w14:textId="77777777">
            <w:pPr>
              <w:widowControl/>
              <w:autoSpaceDE/>
              <w:autoSpaceDN/>
              <w:adjustRightInd/>
              <w:jc w:val="right"/>
              <w:rPr>
                <w:color w:val="000000"/>
                <w:sz w:val="20"/>
                <w:szCs w:val="20"/>
              </w:rPr>
            </w:pPr>
            <w:r w:rsidRPr="00FD69F1">
              <w:rPr>
                <w:color w:val="000000"/>
                <w:sz w:val="20"/>
                <w:szCs w:val="20"/>
              </w:rPr>
              <w:t> </w:t>
            </w:r>
          </w:p>
        </w:tc>
      </w:tr>
      <w:tr w14:paraId="63A2BF5B"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7E27BA42" w14:textId="77777777">
            <w:pPr>
              <w:widowControl/>
              <w:autoSpaceDE/>
              <w:autoSpaceDN/>
              <w:adjustRightInd/>
              <w:ind w:left="330" w:firstLine="70" w:firstLineChars="35"/>
              <w:rPr>
                <w:color w:val="000000"/>
                <w:sz w:val="20"/>
                <w:szCs w:val="20"/>
              </w:rPr>
            </w:pPr>
            <w:r w:rsidRPr="00FD69F1">
              <w:rPr>
                <w:color w:val="000000"/>
                <w:sz w:val="20"/>
                <w:szCs w:val="20"/>
              </w:rPr>
              <w:t>1) Control plan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52168C4" w14:textId="77777777">
            <w:pPr>
              <w:widowControl/>
              <w:autoSpaceDE/>
              <w:autoSpaceDN/>
              <w:adjustRightInd/>
              <w:jc w:val="center"/>
              <w:rPr>
                <w:color w:val="000000"/>
                <w:sz w:val="20"/>
                <w:szCs w:val="20"/>
              </w:rPr>
            </w:pPr>
            <w:r w:rsidRPr="00FD69F1">
              <w:rPr>
                <w:color w:val="000000"/>
                <w:sz w:val="20"/>
                <w:szCs w:val="20"/>
              </w:rPr>
              <w:t>40</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DBD0B87"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58704290" w14:textId="77777777">
            <w:pPr>
              <w:widowControl/>
              <w:autoSpaceDE/>
              <w:autoSpaceDN/>
              <w:adjustRightInd/>
              <w:jc w:val="center"/>
              <w:rPr>
                <w:color w:val="000000"/>
                <w:sz w:val="20"/>
                <w:szCs w:val="20"/>
              </w:rPr>
            </w:pPr>
            <w:r w:rsidRPr="00FD69F1">
              <w:rPr>
                <w:color w:val="000000"/>
                <w:sz w:val="20"/>
                <w:szCs w:val="20"/>
              </w:rPr>
              <w:t>40</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5B6665A"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218174F2"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7E70311E"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3119377F"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F72D6AF" w14:textId="77777777">
            <w:pPr>
              <w:widowControl/>
              <w:autoSpaceDE/>
              <w:autoSpaceDN/>
              <w:adjustRightInd/>
              <w:jc w:val="right"/>
              <w:rPr>
                <w:color w:val="000000"/>
                <w:sz w:val="20"/>
                <w:szCs w:val="20"/>
              </w:rPr>
            </w:pPr>
            <w:r w:rsidRPr="00FD69F1">
              <w:rPr>
                <w:color w:val="000000"/>
                <w:sz w:val="20"/>
                <w:szCs w:val="20"/>
              </w:rPr>
              <w:t xml:space="preserve">$0 </w:t>
            </w:r>
          </w:p>
        </w:tc>
      </w:tr>
      <w:tr w14:paraId="0D9888A6"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7593E058" w14:textId="77777777">
            <w:pPr>
              <w:widowControl/>
              <w:autoSpaceDE/>
              <w:autoSpaceDN/>
              <w:adjustRightInd/>
              <w:ind w:left="330" w:firstLine="70" w:firstLineChars="35"/>
              <w:rPr>
                <w:color w:val="000000"/>
                <w:sz w:val="20"/>
                <w:szCs w:val="20"/>
              </w:rPr>
            </w:pPr>
            <w:r w:rsidRPr="00FD69F1">
              <w:rPr>
                <w:color w:val="000000"/>
                <w:sz w:val="20"/>
                <w:szCs w:val="20"/>
              </w:rPr>
              <w:t>2) Notification of final compliance</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5128B73" w14:textId="77777777">
            <w:pPr>
              <w:widowControl/>
              <w:autoSpaceDE/>
              <w:autoSpaceDN/>
              <w:adjustRightInd/>
              <w:jc w:val="center"/>
              <w:rPr>
                <w:color w:val="000000"/>
                <w:sz w:val="20"/>
                <w:szCs w:val="20"/>
              </w:rPr>
            </w:pPr>
            <w:r w:rsidRPr="00FD69F1">
              <w:rPr>
                <w:color w:val="000000"/>
                <w:sz w:val="20"/>
                <w:szCs w:val="20"/>
              </w:rPr>
              <w:t>4</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37CA1CD"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0F582C50" w14:textId="77777777">
            <w:pPr>
              <w:widowControl/>
              <w:autoSpaceDE/>
              <w:autoSpaceDN/>
              <w:adjustRightInd/>
              <w:jc w:val="center"/>
              <w:rPr>
                <w:color w:val="000000"/>
                <w:sz w:val="20"/>
                <w:szCs w:val="20"/>
              </w:rPr>
            </w:pPr>
            <w:r w:rsidRPr="00FD69F1">
              <w:rPr>
                <w:color w:val="000000"/>
                <w:sz w:val="20"/>
                <w:szCs w:val="20"/>
              </w:rPr>
              <w:t>4</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4A8AFD6"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66E761E"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26B61A6B"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33203338"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7559B598" w14:textId="77777777">
            <w:pPr>
              <w:widowControl/>
              <w:autoSpaceDE/>
              <w:autoSpaceDN/>
              <w:adjustRightInd/>
              <w:jc w:val="right"/>
              <w:rPr>
                <w:color w:val="000000"/>
                <w:sz w:val="20"/>
                <w:szCs w:val="20"/>
              </w:rPr>
            </w:pPr>
            <w:r w:rsidRPr="00FD69F1">
              <w:rPr>
                <w:color w:val="000000"/>
                <w:sz w:val="20"/>
                <w:szCs w:val="20"/>
              </w:rPr>
              <w:t xml:space="preserve">$0 </w:t>
            </w:r>
          </w:p>
        </w:tc>
      </w:tr>
      <w:tr w14:paraId="2B23671B"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2FBF08AB" w14:textId="77777777">
            <w:pPr>
              <w:widowControl/>
              <w:autoSpaceDE/>
              <w:autoSpaceDN/>
              <w:adjustRightInd/>
              <w:ind w:left="330" w:firstLine="70" w:firstLineChars="35"/>
              <w:rPr>
                <w:color w:val="000000"/>
                <w:sz w:val="20"/>
                <w:szCs w:val="20"/>
              </w:rPr>
            </w:pPr>
            <w:r w:rsidRPr="00FD69F1">
              <w:rPr>
                <w:color w:val="000000"/>
                <w:sz w:val="20"/>
                <w:szCs w:val="20"/>
              </w:rPr>
              <w:t>3) Report of initial performance test</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EBC6315"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2C320A1A" w14:textId="77777777">
            <w:pPr>
              <w:widowControl/>
              <w:autoSpaceDE/>
              <w:autoSpaceDN/>
              <w:adjustRightInd/>
              <w:jc w:val="center"/>
              <w:rPr>
                <w:color w:val="000000"/>
                <w:sz w:val="20"/>
                <w:szCs w:val="20"/>
              </w:rPr>
            </w:pPr>
            <w:r w:rsidRPr="00FD69F1">
              <w:rPr>
                <w:color w:val="000000"/>
                <w:sz w:val="20"/>
                <w:szCs w:val="20"/>
              </w:rPr>
              <w:t>2</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16BA4963" w14:textId="77777777">
            <w:pPr>
              <w:widowControl/>
              <w:autoSpaceDE/>
              <w:autoSpaceDN/>
              <w:adjustRightInd/>
              <w:jc w:val="center"/>
              <w:rPr>
                <w:color w:val="000000"/>
                <w:sz w:val="20"/>
                <w:szCs w:val="20"/>
              </w:rPr>
            </w:pPr>
            <w:r w:rsidRPr="00FD69F1">
              <w:rPr>
                <w:color w:val="000000"/>
                <w:sz w:val="20"/>
                <w:szCs w:val="20"/>
              </w:rPr>
              <w:t>16</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39E0873"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0B6E111"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62E53957"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ED5BB97"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88A426F" w14:textId="77777777">
            <w:pPr>
              <w:widowControl/>
              <w:autoSpaceDE/>
              <w:autoSpaceDN/>
              <w:adjustRightInd/>
              <w:jc w:val="right"/>
              <w:rPr>
                <w:color w:val="000000"/>
                <w:sz w:val="20"/>
                <w:szCs w:val="20"/>
              </w:rPr>
            </w:pPr>
            <w:r w:rsidRPr="00FD69F1">
              <w:rPr>
                <w:color w:val="000000"/>
                <w:sz w:val="20"/>
                <w:szCs w:val="20"/>
              </w:rPr>
              <w:t xml:space="preserve">$0 </w:t>
            </w:r>
          </w:p>
        </w:tc>
      </w:tr>
      <w:tr w14:paraId="0D3E27B9" w14:textId="77777777" w:rsidTr="00C509A7">
        <w:tblPrEx>
          <w:tblW w:w="12865" w:type="dxa"/>
          <w:tblLook w:val="04A0"/>
        </w:tblPrEx>
        <w:trPr>
          <w:trHeight w:val="76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083734EE" w14:textId="77777777">
            <w:pPr>
              <w:widowControl/>
              <w:autoSpaceDE/>
              <w:autoSpaceDN/>
              <w:adjustRightInd/>
              <w:ind w:left="330" w:firstLine="70" w:firstLineChars="35"/>
              <w:rPr>
                <w:color w:val="000000"/>
                <w:sz w:val="20"/>
                <w:szCs w:val="20"/>
              </w:rPr>
            </w:pPr>
            <w:r w:rsidRPr="00FD69F1">
              <w:rPr>
                <w:color w:val="000000"/>
                <w:sz w:val="20"/>
                <w:szCs w:val="20"/>
              </w:rPr>
              <w:t xml:space="preserve">4) Siting analysis for new units only (establishes values for site-specific operating parameters) </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8F631D4"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27E261AB"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32C993D2" w14:textId="77777777">
            <w:pPr>
              <w:widowControl/>
              <w:autoSpaceDE/>
              <w:autoSpaceDN/>
              <w:adjustRightInd/>
              <w:jc w:val="center"/>
              <w:rPr>
                <w:color w:val="000000"/>
                <w:sz w:val="20"/>
                <w:szCs w:val="20"/>
              </w:rPr>
            </w:pPr>
            <w:r w:rsidRPr="00FD69F1">
              <w:rPr>
                <w:color w:val="000000"/>
                <w:sz w:val="20"/>
                <w:szCs w:val="20"/>
              </w:rPr>
              <w:t>8</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7A38A9B1"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AD2D34D"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5010F4F"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4B5178E"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2554B7F" w14:textId="77777777">
            <w:pPr>
              <w:widowControl/>
              <w:autoSpaceDE/>
              <w:autoSpaceDN/>
              <w:adjustRightInd/>
              <w:jc w:val="right"/>
              <w:rPr>
                <w:color w:val="000000"/>
                <w:sz w:val="20"/>
                <w:szCs w:val="20"/>
              </w:rPr>
            </w:pPr>
            <w:r w:rsidRPr="00FD69F1">
              <w:rPr>
                <w:color w:val="000000"/>
                <w:sz w:val="20"/>
                <w:szCs w:val="20"/>
              </w:rPr>
              <w:t xml:space="preserve">$0 </w:t>
            </w:r>
          </w:p>
        </w:tc>
      </w:tr>
      <w:tr w14:paraId="56E969ED"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24869CDB" w14:textId="77777777">
            <w:pPr>
              <w:widowControl/>
              <w:autoSpaceDE/>
              <w:autoSpaceDN/>
              <w:adjustRightInd/>
              <w:ind w:firstLine="400" w:firstLineChars="200"/>
              <w:rPr>
                <w:color w:val="000000"/>
                <w:sz w:val="20"/>
                <w:szCs w:val="20"/>
              </w:rPr>
            </w:pPr>
            <w:r w:rsidRPr="00FD69F1">
              <w:rPr>
                <w:color w:val="000000"/>
                <w:sz w:val="20"/>
                <w:szCs w:val="20"/>
              </w:rPr>
              <w:t xml:space="preserve">5) Waste management plan </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B3C3D52" w14:textId="77777777">
            <w:pPr>
              <w:widowControl/>
              <w:autoSpaceDE/>
              <w:autoSpaceDN/>
              <w:adjustRightInd/>
              <w:jc w:val="center"/>
              <w:rPr>
                <w:color w:val="000000"/>
                <w:sz w:val="20"/>
                <w:szCs w:val="20"/>
              </w:rPr>
            </w:pPr>
            <w:r w:rsidRPr="00FD69F1">
              <w:rPr>
                <w:color w:val="000000"/>
                <w:sz w:val="20"/>
                <w:szCs w:val="20"/>
              </w:rPr>
              <w:t>160</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310962BC"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501D8802" w14:textId="77777777">
            <w:pPr>
              <w:widowControl/>
              <w:autoSpaceDE/>
              <w:autoSpaceDN/>
              <w:adjustRightInd/>
              <w:jc w:val="center"/>
              <w:rPr>
                <w:color w:val="000000"/>
                <w:sz w:val="20"/>
                <w:szCs w:val="20"/>
              </w:rPr>
            </w:pPr>
            <w:r w:rsidRPr="00FD69F1">
              <w:rPr>
                <w:color w:val="000000"/>
                <w:sz w:val="20"/>
                <w:szCs w:val="20"/>
              </w:rPr>
              <w:t>160</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17F79A08" w14:textId="77777777">
            <w:pPr>
              <w:widowControl/>
              <w:autoSpaceDE/>
              <w:autoSpaceDN/>
              <w:adjustRightInd/>
              <w:jc w:val="center"/>
              <w:rPr>
                <w:color w:val="000000"/>
                <w:sz w:val="20"/>
                <w:szCs w:val="20"/>
              </w:rPr>
            </w:pPr>
            <w:r w:rsidRPr="00FD69F1">
              <w:rPr>
                <w:color w:val="000000"/>
                <w:sz w:val="20"/>
                <w:szCs w:val="20"/>
              </w:rPr>
              <w:t>0</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0DCEE90" w14:textId="77777777">
            <w:pPr>
              <w:widowControl/>
              <w:autoSpaceDE/>
              <w:autoSpaceDN/>
              <w:adjustRightInd/>
              <w:jc w:val="center"/>
              <w:rPr>
                <w:color w:val="000000"/>
                <w:sz w:val="20"/>
                <w:szCs w:val="20"/>
              </w:rPr>
            </w:pPr>
            <w:r w:rsidRPr="00FD69F1">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6B8D2FF" w14:textId="77777777">
            <w:pPr>
              <w:widowControl/>
              <w:autoSpaceDE/>
              <w:autoSpaceDN/>
              <w:adjustRightInd/>
              <w:jc w:val="center"/>
              <w:rPr>
                <w:color w:val="000000"/>
                <w:sz w:val="20"/>
                <w:szCs w:val="20"/>
              </w:rPr>
            </w:pPr>
            <w:r w:rsidRPr="00FD69F1">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B833B74" w14:textId="77777777">
            <w:pPr>
              <w:widowControl/>
              <w:autoSpaceDE/>
              <w:autoSpaceDN/>
              <w:adjustRightInd/>
              <w:jc w:val="center"/>
              <w:rPr>
                <w:color w:val="000000"/>
                <w:sz w:val="20"/>
                <w:szCs w:val="20"/>
              </w:rPr>
            </w:pPr>
            <w:r w:rsidRPr="00FD69F1">
              <w:rPr>
                <w:color w:val="000000"/>
                <w:sz w:val="20"/>
                <w:szCs w:val="20"/>
              </w:rPr>
              <w:t>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748CC188" w14:textId="77777777">
            <w:pPr>
              <w:widowControl/>
              <w:autoSpaceDE/>
              <w:autoSpaceDN/>
              <w:adjustRightInd/>
              <w:jc w:val="right"/>
              <w:rPr>
                <w:color w:val="000000"/>
                <w:sz w:val="20"/>
                <w:szCs w:val="20"/>
              </w:rPr>
            </w:pPr>
            <w:r w:rsidRPr="00FD69F1">
              <w:rPr>
                <w:color w:val="000000"/>
                <w:sz w:val="20"/>
                <w:szCs w:val="20"/>
              </w:rPr>
              <w:t xml:space="preserve">$0 </w:t>
            </w:r>
          </w:p>
        </w:tc>
      </w:tr>
      <w:tr w14:paraId="3D4EC402"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53919C1D" w14:textId="77777777">
            <w:pPr>
              <w:widowControl/>
              <w:autoSpaceDE/>
              <w:autoSpaceDN/>
              <w:adjustRightInd/>
              <w:ind w:firstLine="400" w:firstLineChars="200"/>
              <w:rPr>
                <w:color w:val="000000"/>
                <w:sz w:val="20"/>
                <w:szCs w:val="20"/>
              </w:rPr>
            </w:pPr>
            <w:r w:rsidRPr="00FD69F1">
              <w:rPr>
                <w:color w:val="000000"/>
                <w:sz w:val="20"/>
                <w:szCs w:val="20"/>
              </w:rPr>
              <w:t xml:space="preserve">6) Annual Report </w:t>
            </w:r>
            <w:r w:rsidRPr="00FD69F1">
              <w:rPr>
                <w:color w:val="000000"/>
                <w:sz w:val="20"/>
                <w:szCs w:val="20"/>
                <w:vertAlign w:val="superscript"/>
              </w:rPr>
              <w:t>h</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41ED769"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E3A8692"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6498E6B"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EE9709E"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0C923DC2"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615805BB"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8E0B100"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EF30D37" w14:textId="77777777">
            <w:pPr>
              <w:widowControl/>
              <w:autoSpaceDE/>
              <w:autoSpaceDN/>
              <w:adjustRightInd/>
              <w:jc w:val="right"/>
              <w:rPr>
                <w:color w:val="000000"/>
                <w:sz w:val="20"/>
                <w:szCs w:val="20"/>
              </w:rPr>
            </w:pPr>
            <w:r w:rsidRPr="00FD69F1">
              <w:rPr>
                <w:color w:val="000000"/>
                <w:sz w:val="20"/>
                <w:szCs w:val="20"/>
              </w:rPr>
              <w:t> </w:t>
            </w:r>
          </w:p>
        </w:tc>
      </w:tr>
      <w:tr w14:paraId="3D91D2EB"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11C25014" w14:textId="77777777">
            <w:pPr>
              <w:widowControl/>
              <w:autoSpaceDE/>
              <w:autoSpaceDN/>
              <w:adjustRightInd/>
              <w:ind w:left="600"/>
              <w:rPr>
                <w:color w:val="000000"/>
                <w:sz w:val="20"/>
                <w:szCs w:val="20"/>
              </w:rPr>
            </w:pPr>
            <w:r w:rsidRPr="00FD69F1">
              <w:rPr>
                <w:color w:val="000000"/>
                <w:sz w:val="20"/>
                <w:szCs w:val="20"/>
              </w:rPr>
              <w:t>a) Site-specific operating parameters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6686D074"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CF7CD07"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9816C0C" w14:textId="77777777">
            <w:pPr>
              <w:widowControl/>
              <w:autoSpaceDE/>
              <w:autoSpaceDN/>
              <w:adjustRightInd/>
              <w:jc w:val="center"/>
              <w:rPr>
                <w:color w:val="000000"/>
                <w:sz w:val="20"/>
                <w:szCs w:val="20"/>
              </w:rPr>
            </w:pPr>
            <w:r w:rsidRPr="00FD69F1">
              <w:rPr>
                <w:color w:val="000000"/>
                <w:sz w:val="20"/>
                <w:szCs w:val="20"/>
              </w:rPr>
              <w:t>8</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51ACE6A"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506DB257" w14:textId="77777777">
            <w:pPr>
              <w:widowControl/>
              <w:autoSpaceDE/>
              <w:autoSpaceDN/>
              <w:adjustRightInd/>
              <w:jc w:val="center"/>
              <w:rPr>
                <w:color w:val="000000"/>
                <w:sz w:val="20"/>
                <w:szCs w:val="20"/>
              </w:rPr>
            </w:pPr>
            <w:r w:rsidRPr="00FD69F1">
              <w:rPr>
                <w:color w:val="000000"/>
                <w:sz w:val="20"/>
                <w:szCs w:val="20"/>
              </w:rPr>
              <w:t>592</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B5F9AC9" w14:textId="77777777">
            <w:pPr>
              <w:widowControl/>
              <w:autoSpaceDE/>
              <w:autoSpaceDN/>
              <w:adjustRightInd/>
              <w:jc w:val="center"/>
              <w:rPr>
                <w:color w:val="000000"/>
                <w:sz w:val="20"/>
                <w:szCs w:val="20"/>
              </w:rPr>
            </w:pPr>
            <w:r w:rsidRPr="00FD69F1">
              <w:rPr>
                <w:color w:val="000000"/>
                <w:sz w:val="20"/>
                <w:szCs w:val="20"/>
              </w:rPr>
              <w:t>29.6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3DC1C911" w14:textId="77777777">
            <w:pPr>
              <w:widowControl/>
              <w:autoSpaceDE/>
              <w:autoSpaceDN/>
              <w:adjustRightInd/>
              <w:jc w:val="center"/>
              <w:rPr>
                <w:color w:val="000000"/>
                <w:sz w:val="20"/>
                <w:szCs w:val="20"/>
              </w:rPr>
            </w:pPr>
            <w:r w:rsidRPr="00FD69F1">
              <w:rPr>
                <w:color w:val="000000"/>
                <w:sz w:val="20"/>
                <w:szCs w:val="20"/>
              </w:rPr>
              <w:t>59.2</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E4B65EB" w14:textId="77777777">
            <w:pPr>
              <w:widowControl/>
              <w:autoSpaceDE/>
              <w:autoSpaceDN/>
              <w:adjustRightInd/>
              <w:jc w:val="right"/>
              <w:rPr>
                <w:color w:val="000000"/>
                <w:sz w:val="20"/>
                <w:szCs w:val="20"/>
              </w:rPr>
            </w:pPr>
            <w:r w:rsidRPr="00FD69F1">
              <w:rPr>
                <w:color w:val="000000"/>
                <w:sz w:val="20"/>
                <w:szCs w:val="20"/>
              </w:rPr>
              <w:t xml:space="preserve">$81,738.92 </w:t>
            </w:r>
          </w:p>
        </w:tc>
      </w:tr>
      <w:tr w14:paraId="088FBD5C" w14:textId="77777777" w:rsidTr="00095F01">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1E556674" w14:textId="77777777">
            <w:pPr>
              <w:widowControl/>
              <w:autoSpaceDE/>
              <w:autoSpaceDN/>
              <w:adjustRightInd/>
              <w:ind w:left="600"/>
              <w:rPr>
                <w:color w:val="000000"/>
                <w:sz w:val="20"/>
                <w:szCs w:val="20"/>
              </w:rPr>
            </w:pPr>
            <w:r w:rsidRPr="00FD69F1">
              <w:rPr>
                <w:color w:val="000000"/>
                <w:sz w:val="20"/>
                <w:szCs w:val="20"/>
              </w:rPr>
              <w:t>b) Emissions/parameter exceedances and malfunctions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D4824E4" w14:textId="6E26BF88">
            <w:pPr>
              <w:widowControl/>
              <w:autoSpaceDE/>
              <w:autoSpaceDN/>
              <w:adjustRightInd/>
              <w:jc w:val="center"/>
              <w:rPr>
                <w:color w:val="000000"/>
                <w:sz w:val="20"/>
                <w:szCs w:val="20"/>
              </w:rPr>
            </w:pPr>
            <w:r w:rsidRPr="00FD69F1">
              <w:rPr>
                <w:color w:val="000000"/>
                <w:sz w:val="20"/>
                <w:szCs w:val="20"/>
              </w:rPr>
              <w:t>See 3E</w:t>
            </w:r>
            <w:r w:rsidR="006362A2">
              <w:rPr>
                <w:color w:val="000000"/>
                <w:sz w:val="20"/>
                <w:szCs w:val="20"/>
              </w:rPr>
              <w:t>.</w:t>
            </w:r>
            <w:r w:rsidRPr="00FD69F1">
              <w:rPr>
                <w:color w:val="000000"/>
                <w:sz w:val="20"/>
                <w:szCs w:val="20"/>
              </w:rPr>
              <w:t>10</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3BC13DF" w14:textId="77777777">
            <w:pPr>
              <w:widowControl/>
              <w:autoSpaceDE/>
              <w:autoSpaceDN/>
              <w:adjustRightInd/>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1533212" w14:textId="77777777">
            <w:pPr>
              <w:widowControl/>
              <w:autoSpaceDE/>
              <w:autoSpaceDN/>
              <w:adjustRightInd/>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2FB4B122" w14:textId="77777777">
            <w:pPr>
              <w:widowControl/>
              <w:autoSpaceDE/>
              <w:autoSpaceDN/>
              <w:adjustRightInd/>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41FC41F7" w14:textId="77777777">
            <w:pPr>
              <w:widowControl/>
              <w:autoSpaceDE/>
              <w:autoSpaceDN/>
              <w:adjustRightInd/>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57B67B1" w14:textId="77777777">
            <w:pPr>
              <w:widowControl/>
              <w:autoSpaceDE/>
              <w:autoSpaceDN/>
              <w:adjustRightInd/>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6A45A54C" w14:textId="77777777">
            <w:pPr>
              <w:widowControl/>
              <w:autoSpaceDE/>
              <w:autoSpaceDN/>
              <w:adjustRightInd/>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0CE35710" w14:textId="77777777">
            <w:pPr>
              <w:widowControl/>
              <w:autoSpaceDE/>
              <w:autoSpaceDN/>
              <w:adjustRightInd/>
              <w:rPr>
                <w:color w:val="000000"/>
                <w:sz w:val="20"/>
                <w:szCs w:val="20"/>
              </w:rPr>
            </w:pPr>
            <w:r w:rsidRPr="00FD69F1">
              <w:rPr>
                <w:color w:val="000000"/>
                <w:sz w:val="20"/>
                <w:szCs w:val="20"/>
              </w:rPr>
              <w:t> </w:t>
            </w:r>
          </w:p>
        </w:tc>
      </w:tr>
      <w:tr w14:paraId="40EB8CEE"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0D601CE9" w14:textId="77777777">
            <w:pPr>
              <w:widowControl/>
              <w:autoSpaceDE/>
              <w:autoSpaceDN/>
              <w:adjustRightInd/>
              <w:ind w:left="600"/>
              <w:rPr>
                <w:color w:val="000000"/>
                <w:sz w:val="20"/>
                <w:szCs w:val="20"/>
              </w:rPr>
            </w:pPr>
            <w:r w:rsidRPr="00FD69F1">
              <w:rPr>
                <w:color w:val="000000"/>
                <w:sz w:val="20"/>
                <w:szCs w:val="20"/>
              </w:rPr>
              <w:t>c) Results of stack tests conducted during the year</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B41C9BF"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5E57994"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F7610C3"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5F6DD531"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398962A"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5FC5892C"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382C3480"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2E6F256" w14:textId="77777777">
            <w:pPr>
              <w:widowControl/>
              <w:autoSpaceDE/>
              <w:autoSpaceDN/>
              <w:adjustRightInd/>
              <w:jc w:val="center"/>
              <w:rPr>
                <w:color w:val="000000"/>
                <w:sz w:val="20"/>
                <w:szCs w:val="20"/>
              </w:rPr>
            </w:pPr>
            <w:r w:rsidRPr="00FD69F1">
              <w:rPr>
                <w:color w:val="000000"/>
                <w:sz w:val="20"/>
                <w:szCs w:val="20"/>
              </w:rPr>
              <w:t> </w:t>
            </w:r>
          </w:p>
        </w:tc>
      </w:tr>
      <w:tr w14:paraId="73612A0C"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278A6F70" w14:textId="77777777">
            <w:pPr>
              <w:widowControl/>
              <w:autoSpaceDE/>
              <w:autoSpaceDN/>
              <w:adjustRightInd/>
              <w:ind w:left="600"/>
              <w:rPr>
                <w:color w:val="000000"/>
                <w:sz w:val="20"/>
                <w:szCs w:val="20"/>
              </w:rPr>
            </w:pPr>
            <w:r w:rsidRPr="00FD69F1">
              <w:rPr>
                <w:color w:val="000000"/>
                <w:sz w:val="20"/>
                <w:szCs w:val="20"/>
              </w:rPr>
              <w:t xml:space="preserve">d) Statement of no exceedances </w:t>
            </w:r>
            <w:r w:rsidRPr="00FD69F1">
              <w:rPr>
                <w:color w:val="000000"/>
                <w:sz w:val="20"/>
                <w:szCs w:val="20"/>
                <w:vertAlign w:val="superscript"/>
              </w:rPr>
              <w:t>i</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04E1E186"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895903E"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CCB8E10" w14:textId="77777777">
            <w:pPr>
              <w:widowControl/>
              <w:autoSpaceDE/>
              <w:autoSpaceDN/>
              <w:adjustRightInd/>
              <w:jc w:val="center"/>
              <w:rPr>
                <w:color w:val="000000"/>
                <w:sz w:val="20"/>
                <w:szCs w:val="20"/>
              </w:rPr>
            </w:pPr>
            <w:r w:rsidRPr="00FD69F1">
              <w:rPr>
                <w:color w:val="000000"/>
                <w:sz w:val="20"/>
                <w:szCs w:val="20"/>
              </w:rPr>
              <w:t>8</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3815D919" w14:textId="77777777">
            <w:pPr>
              <w:widowControl/>
              <w:autoSpaceDE/>
              <w:autoSpaceDN/>
              <w:adjustRightInd/>
              <w:jc w:val="center"/>
              <w:rPr>
                <w:color w:val="000000"/>
                <w:sz w:val="20"/>
                <w:szCs w:val="20"/>
              </w:rPr>
            </w:pPr>
            <w:r w:rsidRPr="00FD69F1">
              <w:rPr>
                <w:color w:val="000000"/>
                <w:sz w:val="20"/>
                <w:szCs w:val="20"/>
              </w:rPr>
              <w:t>66.6</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39367364" w14:textId="77777777">
            <w:pPr>
              <w:widowControl/>
              <w:autoSpaceDE/>
              <w:autoSpaceDN/>
              <w:adjustRightInd/>
              <w:jc w:val="center"/>
              <w:rPr>
                <w:color w:val="000000"/>
                <w:sz w:val="20"/>
                <w:szCs w:val="20"/>
              </w:rPr>
            </w:pPr>
            <w:r w:rsidRPr="00FD69F1">
              <w:rPr>
                <w:color w:val="000000"/>
                <w:sz w:val="20"/>
                <w:szCs w:val="20"/>
              </w:rPr>
              <w:t>533</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78F59EF6" w14:textId="77777777">
            <w:pPr>
              <w:widowControl/>
              <w:autoSpaceDE/>
              <w:autoSpaceDN/>
              <w:adjustRightInd/>
              <w:jc w:val="center"/>
              <w:rPr>
                <w:color w:val="000000"/>
                <w:sz w:val="20"/>
                <w:szCs w:val="20"/>
              </w:rPr>
            </w:pPr>
            <w:r w:rsidRPr="00FD69F1">
              <w:rPr>
                <w:color w:val="000000"/>
                <w:sz w:val="20"/>
                <w:szCs w:val="20"/>
              </w:rPr>
              <w:t>26.6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1E04931" w14:textId="77777777">
            <w:pPr>
              <w:widowControl/>
              <w:autoSpaceDE/>
              <w:autoSpaceDN/>
              <w:adjustRightInd/>
              <w:jc w:val="center"/>
              <w:rPr>
                <w:color w:val="000000"/>
                <w:sz w:val="20"/>
                <w:szCs w:val="20"/>
              </w:rPr>
            </w:pPr>
            <w:r w:rsidRPr="00FD69F1">
              <w:rPr>
                <w:color w:val="000000"/>
                <w:sz w:val="20"/>
                <w:szCs w:val="20"/>
              </w:rPr>
              <w:t>53.3</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464A02A" w14:textId="77777777">
            <w:pPr>
              <w:widowControl/>
              <w:autoSpaceDE/>
              <w:autoSpaceDN/>
              <w:adjustRightInd/>
              <w:jc w:val="right"/>
              <w:rPr>
                <w:color w:val="000000"/>
                <w:sz w:val="20"/>
                <w:szCs w:val="20"/>
              </w:rPr>
            </w:pPr>
            <w:r w:rsidRPr="00FD69F1">
              <w:rPr>
                <w:color w:val="000000"/>
                <w:sz w:val="20"/>
                <w:szCs w:val="20"/>
              </w:rPr>
              <w:t xml:space="preserve">$73,565.03 </w:t>
            </w:r>
          </w:p>
        </w:tc>
      </w:tr>
      <w:tr w14:paraId="6E34BCBF"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71970771" w14:textId="77777777">
            <w:pPr>
              <w:widowControl/>
              <w:autoSpaceDE/>
              <w:autoSpaceDN/>
              <w:adjustRightInd/>
              <w:ind w:left="600"/>
              <w:rPr>
                <w:color w:val="000000"/>
                <w:sz w:val="20"/>
                <w:szCs w:val="20"/>
              </w:rPr>
            </w:pPr>
            <w:r w:rsidRPr="00FD69F1">
              <w:rPr>
                <w:color w:val="000000"/>
                <w:sz w:val="20"/>
                <w:szCs w:val="20"/>
              </w:rPr>
              <w:t>e) Documentation of use of by-pass stack</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A056845"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4C7E0066" w14:textId="77777777">
            <w:pPr>
              <w:widowControl/>
              <w:autoSpaceDE/>
              <w:autoSpaceDN/>
              <w:adjustRightInd/>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18E22106" w14:textId="77777777">
            <w:pPr>
              <w:widowControl/>
              <w:autoSpaceDE/>
              <w:autoSpaceDN/>
              <w:adjustRightInd/>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3619A019" w14:textId="77777777">
            <w:pPr>
              <w:widowControl/>
              <w:autoSpaceDE/>
              <w:autoSpaceDN/>
              <w:adjustRightInd/>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01FAC69" w14:textId="77777777">
            <w:pPr>
              <w:widowControl/>
              <w:autoSpaceDE/>
              <w:autoSpaceDN/>
              <w:adjustRightInd/>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2A25FD01" w14:textId="77777777">
            <w:pPr>
              <w:widowControl/>
              <w:autoSpaceDE/>
              <w:autoSpaceDN/>
              <w:adjustRightInd/>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E67E66F" w14:textId="77777777">
            <w:pPr>
              <w:widowControl/>
              <w:autoSpaceDE/>
              <w:autoSpaceDN/>
              <w:adjustRightInd/>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2FFE659" w14:textId="77777777">
            <w:pPr>
              <w:widowControl/>
              <w:autoSpaceDE/>
              <w:autoSpaceDN/>
              <w:adjustRightInd/>
              <w:rPr>
                <w:color w:val="000000"/>
                <w:sz w:val="20"/>
                <w:szCs w:val="20"/>
              </w:rPr>
            </w:pPr>
            <w:r w:rsidRPr="00FD69F1">
              <w:rPr>
                <w:color w:val="000000"/>
                <w:sz w:val="20"/>
                <w:szCs w:val="20"/>
              </w:rPr>
              <w:t> </w:t>
            </w:r>
          </w:p>
        </w:tc>
      </w:tr>
      <w:tr w14:paraId="7986067C" w14:textId="77777777" w:rsidTr="00C509A7">
        <w:tblPrEx>
          <w:tblW w:w="12865" w:type="dxa"/>
          <w:tblLook w:val="04A0"/>
        </w:tblPrEx>
        <w:trPr>
          <w:trHeight w:val="76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7839D21C" w14:textId="77777777">
            <w:pPr>
              <w:widowControl/>
              <w:autoSpaceDE/>
              <w:autoSpaceDN/>
              <w:adjustRightInd/>
              <w:ind w:left="600"/>
              <w:rPr>
                <w:color w:val="000000"/>
                <w:sz w:val="20"/>
                <w:szCs w:val="20"/>
              </w:rPr>
            </w:pPr>
            <w:r w:rsidRPr="00FD69F1">
              <w:rPr>
                <w:color w:val="000000"/>
                <w:sz w:val="20"/>
                <w:szCs w:val="20"/>
              </w:rPr>
              <w:t>f) Documentation for periods when all qualified operators were unavailable for more than 8 hours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D3E7D92"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41643E8E"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3DC0925F" w14:textId="77777777">
            <w:pPr>
              <w:widowControl/>
              <w:autoSpaceDE/>
              <w:autoSpaceDN/>
              <w:adjustRightInd/>
              <w:jc w:val="center"/>
              <w:rPr>
                <w:color w:val="000000"/>
                <w:sz w:val="20"/>
                <w:szCs w:val="20"/>
              </w:rPr>
            </w:pPr>
            <w:r w:rsidRPr="00FD69F1">
              <w:rPr>
                <w:color w:val="000000"/>
                <w:sz w:val="20"/>
                <w:szCs w:val="20"/>
              </w:rPr>
              <w:t>8</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1FBC169D"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0DBC3F2F" w14:textId="77777777">
            <w:pPr>
              <w:widowControl/>
              <w:autoSpaceDE/>
              <w:autoSpaceDN/>
              <w:adjustRightInd/>
              <w:jc w:val="center"/>
              <w:rPr>
                <w:color w:val="000000"/>
                <w:sz w:val="20"/>
                <w:szCs w:val="20"/>
              </w:rPr>
            </w:pPr>
            <w:r w:rsidRPr="00FD69F1">
              <w:rPr>
                <w:color w:val="000000"/>
                <w:sz w:val="20"/>
                <w:szCs w:val="20"/>
              </w:rPr>
              <w:t>592</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9D09FC1" w14:textId="77777777">
            <w:pPr>
              <w:widowControl/>
              <w:autoSpaceDE/>
              <w:autoSpaceDN/>
              <w:adjustRightInd/>
              <w:jc w:val="center"/>
              <w:rPr>
                <w:color w:val="000000"/>
                <w:sz w:val="20"/>
                <w:szCs w:val="20"/>
              </w:rPr>
            </w:pPr>
            <w:r w:rsidRPr="00FD69F1">
              <w:rPr>
                <w:color w:val="000000"/>
                <w:sz w:val="20"/>
                <w:szCs w:val="20"/>
              </w:rPr>
              <w:t>29.6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238D7300" w14:textId="77777777">
            <w:pPr>
              <w:widowControl/>
              <w:autoSpaceDE/>
              <w:autoSpaceDN/>
              <w:adjustRightInd/>
              <w:jc w:val="center"/>
              <w:rPr>
                <w:color w:val="000000"/>
                <w:sz w:val="20"/>
                <w:szCs w:val="20"/>
              </w:rPr>
            </w:pPr>
            <w:r w:rsidRPr="00FD69F1">
              <w:rPr>
                <w:color w:val="000000"/>
                <w:sz w:val="20"/>
                <w:szCs w:val="20"/>
              </w:rPr>
              <w:t>59.2</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04819035" w14:textId="77777777">
            <w:pPr>
              <w:widowControl/>
              <w:autoSpaceDE/>
              <w:autoSpaceDN/>
              <w:adjustRightInd/>
              <w:jc w:val="right"/>
              <w:rPr>
                <w:color w:val="000000"/>
                <w:sz w:val="20"/>
                <w:szCs w:val="20"/>
              </w:rPr>
            </w:pPr>
            <w:r w:rsidRPr="00FD69F1">
              <w:rPr>
                <w:color w:val="000000"/>
                <w:sz w:val="20"/>
                <w:szCs w:val="20"/>
              </w:rPr>
              <w:t xml:space="preserve">$81,738.92 </w:t>
            </w:r>
          </w:p>
        </w:tc>
      </w:tr>
      <w:tr w14:paraId="30F9F919" w14:textId="77777777" w:rsidTr="00C509A7">
        <w:tblPrEx>
          <w:tblW w:w="12865" w:type="dxa"/>
          <w:tblLook w:val="04A0"/>
        </w:tblPrEx>
        <w:trPr>
          <w:trHeight w:val="57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25B3BCF5" w14:textId="77777777">
            <w:pPr>
              <w:widowControl/>
              <w:autoSpaceDE/>
              <w:autoSpaceDN/>
              <w:adjustRightInd/>
              <w:ind w:left="330" w:firstLine="70" w:firstLineChars="35"/>
              <w:rPr>
                <w:color w:val="000000"/>
                <w:sz w:val="20"/>
                <w:szCs w:val="20"/>
              </w:rPr>
            </w:pPr>
            <w:r w:rsidRPr="00FD69F1">
              <w:rPr>
                <w:color w:val="000000"/>
                <w:sz w:val="20"/>
                <w:szCs w:val="20"/>
              </w:rPr>
              <w:t xml:space="preserve">7) Status report for operators that are off-site for more than 2 weeks </w:t>
            </w:r>
            <w:r w:rsidRPr="00FD69F1">
              <w:rPr>
                <w:color w:val="000000"/>
                <w:sz w:val="20"/>
                <w:szCs w:val="20"/>
                <w:vertAlign w:val="superscript"/>
              </w:rPr>
              <w:t>j</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7B64CADB"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4C73B2D"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A3624DC" w14:textId="77777777">
            <w:pPr>
              <w:widowControl/>
              <w:autoSpaceDE/>
              <w:autoSpaceDN/>
              <w:adjustRightInd/>
              <w:jc w:val="center"/>
              <w:rPr>
                <w:color w:val="000000"/>
                <w:sz w:val="20"/>
                <w:szCs w:val="20"/>
              </w:rPr>
            </w:pPr>
            <w:r w:rsidRPr="00FD69F1">
              <w:rPr>
                <w:color w:val="000000"/>
                <w:sz w:val="20"/>
                <w:szCs w:val="20"/>
              </w:rPr>
              <w:t>8</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1A30DAE6"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5F4A6E43" w14:textId="77777777">
            <w:pPr>
              <w:widowControl/>
              <w:autoSpaceDE/>
              <w:autoSpaceDN/>
              <w:adjustRightInd/>
              <w:jc w:val="center"/>
              <w:rPr>
                <w:color w:val="000000"/>
                <w:sz w:val="20"/>
                <w:szCs w:val="20"/>
              </w:rPr>
            </w:pPr>
            <w:r w:rsidRPr="00FD69F1">
              <w:rPr>
                <w:color w:val="000000"/>
                <w:sz w:val="20"/>
                <w:szCs w:val="20"/>
              </w:rPr>
              <w:t>59</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4574EFD5" w14:textId="77777777">
            <w:pPr>
              <w:widowControl/>
              <w:autoSpaceDE/>
              <w:autoSpaceDN/>
              <w:adjustRightInd/>
              <w:jc w:val="center"/>
              <w:rPr>
                <w:color w:val="000000"/>
                <w:sz w:val="20"/>
                <w:szCs w:val="20"/>
              </w:rPr>
            </w:pPr>
            <w:r w:rsidRPr="00FD69F1">
              <w:rPr>
                <w:color w:val="000000"/>
                <w:sz w:val="20"/>
                <w:szCs w:val="20"/>
              </w:rPr>
              <w:t>2.96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3221A302" w14:textId="77777777">
            <w:pPr>
              <w:widowControl/>
              <w:autoSpaceDE/>
              <w:autoSpaceDN/>
              <w:adjustRightInd/>
              <w:jc w:val="center"/>
              <w:rPr>
                <w:color w:val="000000"/>
                <w:sz w:val="20"/>
                <w:szCs w:val="20"/>
              </w:rPr>
            </w:pPr>
            <w:r w:rsidRPr="00FD69F1">
              <w:rPr>
                <w:color w:val="000000"/>
                <w:sz w:val="20"/>
                <w:szCs w:val="20"/>
              </w:rPr>
              <w:t>5.92</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F775B64" w14:textId="77777777">
            <w:pPr>
              <w:widowControl/>
              <w:autoSpaceDE/>
              <w:autoSpaceDN/>
              <w:adjustRightInd/>
              <w:jc w:val="right"/>
              <w:rPr>
                <w:color w:val="000000"/>
                <w:sz w:val="20"/>
                <w:szCs w:val="20"/>
              </w:rPr>
            </w:pPr>
            <w:r w:rsidRPr="00FD69F1">
              <w:rPr>
                <w:color w:val="000000"/>
                <w:sz w:val="20"/>
                <w:szCs w:val="20"/>
              </w:rPr>
              <w:t xml:space="preserve">$8,173.89 </w:t>
            </w:r>
          </w:p>
        </w:tc>
      </w:tr>
      <w:tr w14:paraId="22B0EF46" w14:textId="77777777" w:rsidTr="00C509A7">
        <w:tblPrEx>
          <w:tblW w:w="12865" w:type="dxa"/>
          <w:tblLook w:val="04A0"/>
        </w:tblPrEx>
        <w:trPr>
          <w:trHeight w:val="57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00D611E5" w14:textId="77777777">
            <w:pPr>
              <w:widowControl/>
              <w:autoSpaceDE/>
              <w:autoSpaceDN/>
              <w:adjustRightInd/>
              <w:ind w:left="330" w:firstLine="70" w:firstLineChars="35"/>
              <w:rPr>
                <w:color w:val="000000"/>
                <w:sz w:val="20"/>
                <w:szCs w:val="20"/>
              </w:rPr>
            </w:pPr>
            <w:r w:rsidRPr="00FD69F1">
              <w:rPr>
                <w:color w:val="000000"/>
                <w:sz w:val="20"/>
                <w:szCs w:val="20"/>
              </w:rPr>
              <w:t xml:space="preserve">8) Corrective action summary for operators that are off-site for more than 2 weeks </w:t>
            </w:r>
            <w:r w:rsidRPr="00FD69F1">
              <w:rPr>
                <w:color w:val="000000"/>
                <w:sz w:val="20"/>
                <w:szCs w:val="20"/>
                <w:vertAlign w:val="superscript"/>
              </w:rPr>
              <w:t>j</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2F79418E"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9D4A360" w14:textId="77777777">
            <w:pPr>
              <w:widowControl/>
              <w:autoSpaceDE/>
              <w:autoSpaceDN/>
              <w:adjustRightInd/>
              <w:jc w:val="center"/>
              <w:rPr>
                <w:color w:val="000000"/>
                <w:sz w:val="20"/>
                <w:szCs w:val="20"/>
              </w:rPr>
            </w:pPr>
            <w:r w:rsidRPr="00FD69F1">
              <w:rPr>
                <w:color w:val="000000"/>
                <w:sz w:val="20"/>
                <w:szCs w:val="20"/>
              </w:rPr>
              <w:t>2</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D8C8775" w14:textId="77777777">
            <w:pPr>
              <w:widowControl/>
              <w:autoSpaceDE/>
              <w:autoSpaceDN/>
              <w:adjustRightInd/>
              <w:jc w:val="center"/>
              <w:rPr>
                <w:color w:val="000000"/>
                <w:sz w:val="20"/>
                <w:szCs w:val="20"/>
              </w:rPr>
            </w:pPr>
            <w:r w:rsidRPr="00FD69F1">
              <w:rPr>
                <w:color w:val="000000"/>
                <w:sz w:val="20"/>
                <w:szCs w:val="20"/>
              </w:rPr>
              <w:t>16</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2335731D"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548DF0AE" w14:textId="77777777">
            <w:pPr>
              <w:widowControl/>
              <w:autoSpaceDE/>
              <w:autoSpaceDN/>
              <w:adjustRightInd/>
              <w:jc w:val="center"/>
              <w:rPr>
                <w:color w:val="000000"/>
                <w:sz w:val="20"/>
                <w:szCs w:val="20"/>
              </w:rPr>
            </w:pPr>
            <w:r w:rsidRPr="00FD69F1">
              <w:rPr>
                <w:color w:val="000000"/>
                <w:sz w:val="20"/>
                <w:szCs w:val="20"/>
              </w:rPr>
              <w:t>118</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6457388C" w14:textId="77777777">
            <w:pPr>
              <w:widowControl/>
              <w:autoSpaceDE/>
              <w:autoSpaceDN/>
              <w:adjustRightInd/>
              <w:jc w:val="center"/>
              <w:rPr>
                <w:color w:val="000000"/>
                <w:sz w:val="20"/>
                <w:szCs w:val="20"/>
              </w:rPr>
            </w:pPr>
            <w:r w:rsidRPr="00FD69F1">
              <w:rPr>
                <w:color w:val="000000"/>
                <w:sz w:val="20"/>
                <w:szCs w:val="20"/>
              </w:rPr>
              <w:t>5.92</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1213DF0" w14:textId="77777777">
            <w:pPr>
              <w:widowControl/>
              <w:autoSpaceDE/>
              <w:autoSpaceDN/>
              <w:adjustRightInd/>
              <w:jc w:val="center"/>
              <w:rPr>
                <w:color w:val="000000"/>
                <w:sz w:val="20"/>
                <w:szCs w:val="20"/>
              </w:rPr>
            </w:pPr>
            <w:r w:rsidRPr="00FD69F1">
              <w:rPr>
                <w:color w:val="000000"/>
                <w:sz w:val="20"/>
                <w:szCs w:val="20"/>
              </w:rPr>
              <w:t>11.8</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7351C2F4" w14:textId="77777777">
            <w:pPr>
              <w:widowControl/>
              <w:autoSpaceDE/>
              <w:autoSpaceDN/>
              <w:adjustRightInd/>
              <w:jc w:val="right"/>
              <w:rPr>
                <w:color w:val="000000"/>
                <w:sz w:val="20"/>
                <w:szCs w:val="20"/>
              </w:rPr>
            </w:pPr>
            <w:r w:rsidRPr="00FD69F1">
              <w:rPr>
                <w:color w:val="000000"/>
                <w:sz w:val="20"/>
                <w:szCs w:val="20"/>
              </w:rPr>
              <w:t xml:space="preserve">$16,347.78 </w:t>
            </w:r>
          </w:p>
        </w:tc>
      </w:tr>
      <w:tr w14:paraId="69DD26AC"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78D80D58" w14:textId="77777777">
            <w:pPr>
              <w:widowControl/>
              <w:autoSpaceDE/>
              <w:autoSpaceDN/>
              <w:adjustRightInd/>
              <w:ind w:left="330" w:firstLine="70" w:firstLineChars="35"/>
              <w:rPr>
                <w:color w:val="000000"/>
                <w:sz w:val="20"/>
                <w:szCs w:val="20"/>
              </w:rPr>
            </w:pPr>
            <w:r w:rsidRPr="00FD69F1">
              <w:rPr>
                <w:color w:val="000000"/>
                <w:sz w:val="20"/>
                <w:szCs w:val="20"/>
              </w:rPr>
              <w:t xml:space="preserve">9) Qualified operator deviation </w:t>
            </w:r>
            <w:r w:rsidRPr="00FD69F1">
              <w:rPr>
                <w:color w:val="000000"/>
                <w:sz w:val="20"/>
                <w:szCs w:val="20"/>
              </w:rPr>
              <w:br/>
              <w:t>notification of resumed operation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384DCA9" w14:textId="77777777">
            <w:pPr>
              <w:widowControl/>
              <w:autoSpaceDE/>
              <w:autoSpaceDN/>
              <w:adjustRightInd/>
              <w:jc w:val="center"/>
              <w:rPr>
                <w:color w:val="000000"/>
                <w:sz w:val="20"/>
                <w:szCs w:val="20"/>
              </w:rPr>
            </w:pPr>
            <w:r w:rsidRPr="00FD69F1">
              <w:rPr>
                <w:color w:val="000000"/>
                <w:sz w:val="20"/>
                <w:szCs w:val="20"/>
              </w:rPr>
              <w:t>8</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B120440"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D3A08AE" w14:textId="77777777">
            <w:pPr>
              <w:widowControl/>
              <w:autoSpaceDE/>
              <w:autoSpaceDN/>
              <w:adjustRightInd/>
              <w:jc w:val="center"/>
              <w:rPr>
                <w:color w:val="000000"/>
                <w:sz w:val="20"/>
                <w:szCs w:val="20"/>
              </w:rPr>
            </w:pPr>
            <w:r w:rsidRPr="00FD69F1">
              <w:rPr>
                <w:color w:val="000000"/>
                <w:sz w:val="20"/>
                <w:szCs w:val="20"/>
              </w:rPr>
              <w:t>8</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266BD7C0"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240A0BE" w14:textId="77777777">
            <w:pPr>
              <w:widowControl/>
              <w:autoSpaceDE/>
              <w:autoSpaceDN/>
              <w:adjustRightInd/>
              <w:jc w:val="center"/>
              <w:rPr>
                <w:color w:val="000000"/>
                <w:sz w:val="20"/>
                <w:szCs w:val="20"/>
              </w:rPr>
            </w:pPr>
            <w:r w:rsidRPr="00FD69F1">
              <w:rPr>
                <w:color w:val="000000"/>
                <w:sz w:val="20"/>
                <w:szCs w:val="20"/>
              </w:rPr>
              <w:t>59.2</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54635125" w14:textId="77777777">
            <w:pPr>
              <w:widowControl/>
              <w:autoSpaceDE/>
              <w:autoSpaceDN/>
              <w:adjustRightInd/>
              <w:jc w:val="center"/>
              <w:rPr>
                <w:color w:val="000000"/>
                <w:sz w:val="20"/>
                <w:szCs w:val="20"/>
              </w:rPr>
            </w:pPr>
            <w:r w:rsidRPr="00FD69F1">
              <w:rPr>
                <w:color w:val="000000"/>
                <w:sz w:val="20"/>
                <w:szCs w:val="20"/>
              </w:rPr>
              <w:t>2.96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12CD428" w14:textId="77777777">
            <w:pPr>
              <w:widowControl/>
              <w:autoSpaceDE/>
              <w:autoSpaceDN/>
              <w:adjustRightInd/>
              <w:jc w:val="center"/>
              <w:rPr>
                <w:color w:val="000000"/>
                <w:sz w:val="20"/>
                <w:szCs w:val="20"/>
              </w:rPr>
            </w:pPr>
            <w:r w:rsidRPr="00FD69F1">
              <w:rPr>
                <w:color w:val="000000"/>
                <w:sz w:val="20"/>
                <w:szCs w:val="20"/>
              </w:rPr>
              <w:t>5.92</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FD3C299" w14:textId="77777777">
            <w:pPr>
              <w:widowControl/>
              <w:autoSpaceDE/>
              <w:autoSpaceDN/>
              <w:adjustRightInd/>
              <w:jc w:val="right"/>
              <w:rPr>
                <w:color w:val="000000"/>
                <w:sz w:val="20"/>
                <w:szCs w:val="20"/>
              </w:rPr>
            </w:pPr>
            <w:r w:rsidRPr="00FD69F1">
              <w:rPr>
                <w:color w:val="000000"/>
                <w:sz w:val="20"/>
                <w:szCs w:val="20"/>
              </w:rPr>
              <w:t xml:space="preserve">$8,173.89 </w:t>
            </w:r>
          </w:p>
        </w:tc>
      </w:tr>
      <w:tr w14:paraId="27385E27" w14:textId="77777777" w:rsidTr="00C509A7">
        <w:tblPrEx>
          <w:tblW w:w="12865" w:type="dxa"/>
          <w:tblLook w:val="04A0"/>
        </w:tblPrEx>
        <w:trPr>
          <w:trHeight w:val="57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64217793" w14:textId="77777777">
            <w:pPr>
              <w:widowControl/>
              <w:autoSpaceDE/>
              <w:autoSpaceDN/>
              <w:adjustRightInd/>
              <w:ind w:left="330" w:firstLine="70" w:firstLineChars="35"/>
              <w:rPr>
                <w:color w:val="000000"/>
                <w:sz w:val="20"/>
                <w:szCs w:val="20"/>
              </w:rPr>
            </w:pPr>
            <w:r w:rsidRPr="00FD69F1">
              <w:rPr>
                <w:color w:val="000000"/>
                <w:sz w:val="20"/>
                <w:szCs w:val="20"/>
              </w:rPr>
              <w:t xml:space="preserve">10) Semiannual report of emissions/parameter exceedances </w:t>
            </w:r>
            <w:r w:rsidRPr="00FD69F1">
              <w:rPr>
                <w:color w:val="000000"/>
                <w:sz w:val="20"/>
                <w:szCs w:val="20"/>
                <w:vertAlign w:val="superscript"/>
              </w:rPr>
              <w:t>i</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72F537E3" w14:textId="77777777">
            <w:pPr>
              <w:widowControl/>
              <w:autoSpaceDE/>
              <w:autoSpaceDN/>
              <w:adjustRightInd/>
              <w:jc w:val="center"/>
              <w:rPr>
                <w:color w:val="000000"/>
                <w:sz w:val="20"/>
                <w:szCs w:val="20"/>
              </w:rPr>
            </w:pPr>
            <w:r w:rsidRPr="00FD69F1">
              <w:rPr>
                <w:color w:val="000000"/>
                <w:sz w:val="20"/>
                <w:szCs w:val="20"/>
              </w:rPr>
              <w:t>12</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446DF879" w14:textId="77777777">
            <w:pPr>
              <w:widowControl/>
              <w:autoSpaceDE/>
              <w:autoSpaceDN/>
              <w:adjustRightInd/>
              <w:jc w:val="center"/>
              <w:rPr>
                <w:color w:val="000000"/>
                <w:sz w:val="20"/>
                <w:szCs w:val="20"/>
              </w:rPr>
            </w:pPr>
            <w:r w:rsidRPr="00FD69F1">
              <w:rPr>
                <w:color w:val="000000"/>
                <w:sz w:val="20"/>
                <w:szCs w:val="20"/>
              </w:rPr>
              <w:t>2</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9E22148" w14:textId="77777777">
            <w:pPr>
              <w:widowControl/>
              <w:autoSpaceDE/>
              <w:autoSpaceDN/>
              <w:adjustRightInd/>
              <w:jc w:val="center"/>
              <w:rPr>
                <w:color w:val="000000"/>
                <w:sz w:val="20"/>
                <w:szCs w:val="20"/>
              </w:rPr>
            </w:pPr>
            <w:r w:rsidRPr="00FD69F1">
              <w:rPr>
                <w:color w:val="000000"/>
                <w:sz w:val="20"/>
                <w:szCs w:val="20"/>
              </w:rPr>
              <w:t>24</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323B382"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0BAA285E" w14:textId="77777777">
            <w:pPr>
              <w:widowControl/>
              <w:autoSpaceDE/>
              <w:autoSpaceDN/>
              <w:adjustRightInd/>
              <w:jc w:val="center"/>
              <w:rPr>
                <w:color w:val="000000"/>
                <w:sz w:val="20"/>
                <w:szCs w:val="20"/>
              </w:rPr>
            </w:pPr>
            <w:r w:rsidRPr="00FD69F1">
              <w:rPr>
                <w:color w:val="000000"/>
                <w:sz w:val="20"/>
                <w:szCs w:val="20"/>
              </w:rPr>
              <w:t>178</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9DB6316" w14:textId="77777777">
            <w:pPr>
              <w:widowControl/>
              <w:autoSpaceDE/>
              <w:autoSpaceDN/>
              <w:adjustRightInd/>
              <w:jc w:val="center"/>
              <w:rPr>
                <w:color w:val="000000"/>
                <w:sz w:val="20"/>
                <w:szCs w:val="20"/>
              </w:rPr>
            </w:pPr>
            <w:r w:rsidRPr="00FD69F1">
              <w:rPr>
                <w:color w:val="000000"/>
                <w:sz w:val="20"/>
                <w:szCs w:val="20"/>
              </w:rPr>
              <w:t>8.88</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107511A9" w14:textId="77777777">
            <w:pPr>
              <w:widowControl/>
              <w:autoSpaceDE/>
              <w:autoSpaceDN/>
              <w:adjustRightInd/>
              <w:jc w:val="center"/>
              <w:rPr>
                <w:color w:val="000000"/>
                <w:sz w:val="20"/>
                <w:szCs w:val="20"/>
              </w:rPr>
            </w:pPr>
            <w:r w:rsidRPr="00FD69F1">
              <w:rPr>
                <w:color w:val="000000"/>
                <w:sz w:val="20"/>
                <w:szCs w:val="20"/>
              </w:rPr>
              <w:t>17.8</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76334058" w14:textId="77777777">
            <w:pPr>
              <w:widowControl/>
              <w:autoSpaceDE/>
              <w:autoSpaceDN/>
              <w:adjustRightInd/>
              <w:jc w:val="right"/>
              <w:rPr>
                <w:color w:val="000000"/>
                <w:sz w:val="20"/>
                <w:szCs w:val="20"/>
              </w:rPr>
            </w:pPr>
            <w:r w:rsidRPr="00FD69F1">
              <w:rPr>
                <w:color w:val="000000"/>
                <w:sz w:val="20"/>
                <w:szCs w:val="20"/>
              </w:rPr>
              <w:t xml:space="preserve">$24,521.68 </w:t>
            </w:r>
          </w:p>
        </w:tc>
      </w:tr>
      <w:tr w14:paraId="163D0DB0"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3880C8DF" w14:textId="77777777">
            <w:pPr>
              <w:widowControl/>
              <w:autoSpaceDE/>
              <w:autoSpaceDN/>
              <w:adjustRightInd/>
              <w:rPr>
                <w:b/>
                <w:bCs/>
                <w:i/>
                <w:iCs/>
                <w:color w:val="000000"/>
                <w:sz w:val="20"/>
                <w:szCs w:val="20"/>
              </w:rPr>
            </w:pPr>
            <w:r w:rsidRPr="00FD69F1">
              <w:rPr>
                <w:b/>
                <w:bCs/>
                <w:i/>
                <w:iCs/>
                <w:color w:val="000000"/>
                <w:sz w:val="20"/>
                <w:szCs w:val="20"/>
              </w:rPr>
              <w:t>Subtotal for Reporting Requirements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FA6F086" w14:textId="77777777">
            <w:pPr>
              <w:widowControl/>
              <w:autoSpaceDE/>
              <w:autoSpaceDN/>
              <w:adjustRightInd/>
              <w:jc w:val="center"/>
              <w:rPr>
                <w:i/>
                <w:iCs/>
                <w:color w:val="000000"/>
                <w:sz w:val="20"/>
                <w:szCs w:val="20"/>
              </w:rPr>
            </w:pPr>
            <w:r w:rsidRPr="00FD69F1">
              <w:rPr>
                <w:i/>
                <w:iCs/>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02661289" w14:textId="77777777">
            <w:pPr>
              <w:widowControl/>
              <w:autoSpaceDE/>
              <w:autoSpaceDN/>
              <w:adjustRightInd/>
              <w:jc w:val="center"/>
              <w:rPr>
                <w:i/>
                <w:iCs/>
                <w:color w:val="000000"/>
                <w:sz w:val="20"/>
                <w:szCs w:val="20"/>
              </w:rPr>
            </w:pPr>
            <w:r w:rsidRPr="00FD69F1">
              <w:rPr>
                <w:i/>
                <w:iCs/>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0E1BAAF" w14:textId="77777777">
            <w:pPr>
              <w:widowControl/>
              <w:autoSpaceDE/>
              <w:autoSpaceDN/>
              <w:adjustRightInd/>
              <w:jc w:val="center"/>
              <w:rPr>
                <w:i/>
                <w:iCs/>
                <w:color w:val="000000"/>
                <w:sz w:val="20"/>
                <w:szCs w:val="20"/>
              </w:rPr>
            </w:pPr>
            <w:r w:rsidRPr="00FD69F1">
              <w:rPr>
                <w:i/>
                <w:iCs/>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EC385CD" w14:textId="77777777">
            <w:pPr>
              <w:widowControl/>
              <w:autoSpaceDE/>
              <w:autoSpaceDN/>
              <w:adjustRightInd/>
              <w:jc w:val="center"/>
              <w:rPr>
                <w:i/>
                <w:iCs/>
                <w:color w:val="000000"/>
                <w:sz w:val="20"/>
                <w:szCs w:val="20"/>
              </w:rPr>
            </w:pPr>
            <w:r w:rsidRPr="00FD69F1">
              <w:rPr>
                <w:i/>
                <w:iCs/>
                <w:color w:val="000000"/>
                <w:sz w:val="20"/>
                <w:szCs w:val="20"/>
              </w:rPr>
              <w:t> </w:t>
            </w:r>
          </w:p>
        </w:tc>
        <w:tc>
          <w:tcPr>
            <w:tcW w:w="3504" w:type="dxa"/>
            <w:gridSpan w:val="3"/>
            <w:tcBorders>
              <w:top w:val="single" w:sz="4" w:space="0" w:color="auto"/>
              <w:left w:val="nil"/>
              <w:bottom w:val="single" w:sz="4" w:space="0" w:color="auto"/>
              <w:right w:val="single" w:sz="4" w:space="0" w:color="auto"/>
            </w:tcBorders>
            <w:shd w:val="clear" w:color="auto" w:fill="auto"/>
            <w:vAlign w:val="center"/>
            <w:hideMark/>
          </w:tcPr>
          <w:p w:rsidR="00FD69F1" w:rsidRPr="00FD69F1" w:rsidP="00FD69F1" w14:paraId="7DF0B2C1" w14:textId="77777777">
            <w:pPr>
              <w:widowControl/>
              <w:autoSpaceDE/>
              <w:autoSpaceDN/>
              <w:adjustRightInd/>
              <w:jc w:val="center"/>
              <w:rPr>
                <w:b/>
                <w:bCs/>
                <w:i/>
                <w:iCs/>
                <w:color w:val="000000"/>
                <w:sz w:val="20"/>
                <w:szCs w:val="20"/>
              </w:rPr>
            </w:pPr>
            <w:r w:rsidRPr="00FD69F1">
              <w:rPr>
                <w:b/>
                <w:bCs/>
                <w:i/>
                <w:iCs/>
                <w:color w:val="000000"/>
                <w:sz w:val="20"/>
                <w:szCs w:val="20"/>
              </w:rPr>
              <w:t>13,599</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606998A" w14:textId="77777777">
            <w:pPr>
              <w:widowControl/>
              <w:autoSpaceDE/>
              <w:autoSpaceDN/>
              <w:adjustRightInd/>
              <w:jc w:val="right"/>
              <w:rPr>
                <w:b/>
                <w:bCs/>
                <w:i/>
                <w:iCs/>
                <w:color w:val="000000"/>
                <w:sz w:val="20"/>
                <w:szCs w:val="20"/>
              </w:rPr>
            </w:pPr>
            <w:r w:rsidRPr="00FD69F1">
              <w:rPr>
                <w:b/>
                <w:bCs/>
                <w:i/>
                <w:iCs/>
                <w:color w:val="000000"/>
                <w:sz w:val="20"/>
                <w:szCs w:val="20"/>
              </w:rPr>
              <w:t xml:space="preserve">$1,632,735 </w:t>
            </w:r>
          </w:p>
        </w:tc>
      </w:tr>
      <w:tr w14:paraId="3C87DD9F"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noWrap/>
            <w:vAlign w:val="center"/>
            <w:hideMark/>
          </w:tcPr>
          <w:p w:rsidR="00FD69F1" w:rsidRPr="00FD69F1" w:rsidP="00FD69F1" w14:paraId="3F42E883" w14:textId="77777777">
            <w:pPr>
              <w:widowControl/>
              <w:autoSpaceDE/>
              <w:autoSpaceDN/>
              <w:adjustRightInd/>
              <w:rPr>
                <w:color w:val="000000"/>
                <w:sz w:val="20"/>
                <w:szCs w:val="20"/>
              </w:rPr>
            </w:pPr>
            <w:r w:rsidRPr="00FD69F1">
              <w:rPr>
                <w:color w:val="000000"/>
                <w:sz w:val="20"/>
                <w:szCs w:val="20"/>
              </w:rPr>
              <w:t>4. Recordkeeping Requirements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04DEBFB0"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06C6B19"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0A5585B6"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DF752B0"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42BECEC"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042D026A"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4DC24678"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11638A5" w14:textId="77777777">
            <w:pPr>
              <w:widowControl/>
              <w:autoSpaceDE/>
              <w:autoSpaceDN/>
              <w:adjustRightInd/>
              <w:jc w:val="right"/>
              <w:rPr>
                <w:color w:val="000000"/>
                <w:sz w:val="20"/>
                <w:szCs w:val="20"/>
              </w:rPr>
            </w:pPr>
            <w:r w:rsidRPr="00FD69F1">
              <w:rPr>
                <w:color w:val="000000"/>
                <w:sz w:val="20"/>
                <w:szCs w:val="20"/>
              </w:rPr>
              <w:t> </w:t>
            </w:r>
          </w:p>
        </w:tc>
      </w:tr>
      <w:tr w14:paraId="52767EE3"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434DE1C5" w14:textId="77777777">
            <w:pPr>
              <w:widowControl/>
              <w:autoSpaceDE/>
              <w:autoSpaceDN/>
              <w:adjustRightInd/>
              <w:ind w:left="150" w:firstLine="50" w:firstLineChars="25"/>
              <w:rPr>
                <w:color w:val="000000"/>
                <w:sz w:val="20"/>
                <w:szCs w:val="20"/>
              </w:rPr>
            </w:pPr>
            <w:r w:rsidRPr="00FD69F1">
              <w:rPr>
                <w:color w:val="000000"/>
                <w:sz w:val="20"/>
                <w:szCs w:val="20"/>
              </w:rPr>
              <w:t xml:space="preserve">A. Familiarize with regulatory requirements </w:t>
            </w:r>
            <w:r w:rsidRPr="00FD69F1">
              <w:rPr>
                <w:color w:val="000000"/>
                <w:sz w:val="20"/>
                <w:szCs w:val="20"/>
                <w:vertAlign w:val="superscript"/>
              </w:rPr>
              <w:t>c, d</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DDB2792" w14:textId="77777777">
            <w:pPr>
              <w:widowControl/>
              <w:autoSpaceDE/>
              <w:autoSpaceDN/>
              <w:adjustRightInd/>
              <w:jc w:val="center"/>
              <w:rPr>
                <w:color w:val="000000"/>
                <w:sz w:val="20"/>
                <w:szCs w:val="20"/>
              </w:rPr>
            </w:pPr>
            <w:r w:rsidRPr="00FD69F1">
              <w:rPr>
                <w:color w:val="000000"/>
                <w:sz w:val="20"/>
                <w:szCs w:val="20"/>
              </w:rPr>
              <w:t>See 3A</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B89E02E"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36A443C"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EC8B7FE"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05477168"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20D64600"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57482FB6"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075B3E6D" w14:textId="77777777">
            <w:pPr>
              <w:widowControl/>
              <w:autoSpaceDE/>
              <w:autoSpaceDN/>
              <w:adjustRightInd/>
              <w:jc w:val="right"/>
              <w:rPr>
                <w:color w:val="000000"/>
                <w:sz w:val="20"/>
                <w:szCs w:val="20"/>
              </w:rPr>
            </w:pPr>
            <w:r w:rsidRPr="00FD69F1">
              <w:rPr>
                <w:color w:val="000000"/>
                <w:sz w:val="20"/>
                <w:szCs w:val="20"/>
              </w:rPr>
              <w:t> </w:t>
            </w:r>
          </w:p>
        </w:tc>
      </w:tr>
      <w:tr w14:paraId="2E0AC92D"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26EEB983" w14:textId="77777777">
            <w:pPr>
              <w:widowControl/>
              <w:autoSpaceDE/>
              <w:autoSpaceDN/>
              <w:adjustRightInd/>
              <w:ind w:firstLine="200" w:firstLineChars="100"/>
              <w:rPr>
                <w:color w:val="000000"/>
                <w:sz w:val="20"/>
                <w:szCs w:val="20"/>
              </w:rPr>
            </w:pPr>
            <w:r w:rsidRPr="00FD69F1">
              <w:rPr>
                <w:color w:val="000000"/>
                <w:sz w:val="20"/>
                <w:szCs w:val="20"/>
              </w:rPr>
              <w:t>B. Plan Activities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2F4F9169"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1A8A332D"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2DA0A82"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1D1E9CE"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2D034FBD"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7316DF92"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4F8BE30B"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491F257" w14:textId="77777777">
            <w:pPr>
              <w:widowControl/>
              <w:autoSpaceDE/>
              <w:autoSpaceDN/>
              <w:adjustRightInd/>
              <w:jc w:val="right"/>
              <w:rPr>
                <w:color w:val="000000"/>
                <w:sz w:val="20"/>
                <w:szCs w:val="20"/>
              </w:rPr>
            </w:pPr>
            <w:r w:rsidRPr="00FD69F1">
              <w:rPr>
                <w:color w:val="000000"/>
                <w:sz w:val="20"/>
                <w:szCs w:val="20"/>
              </w:rPr>
              <w:t> </w:t>
            </w:r>
          </w:p>
        </w:tc>
      </w:tr>
      <w:tr w14:paraId="3F55F33F"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6ED48774" w14:textId="77777777">
            <w:pPr>
              <w:widowControl/>
              <w:autoSpaceDE/>
              <w:autoSpaceDN/>
              <w:adjustRightInd/>
              <w:ind w:firstLine="200" w:firstLineChars="100"/>
              <w:rPr>
                <w:color w:val="000000"/>
                <w:sz w:val="20"/>
                <w:szCs w:val="20"/>
              </w:rPr>
            </w:pPr>
            <w:r w:rsidRPr="00FD69F1">
              <w:rPr>
                <w:color w:val="000000"/>
                <w:sz w:val="20"/>
                <w:szCs w:val="20"/>
              </w:rPr>
              <w:t>C. Implement Activities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6A5D719D"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1DDC7345"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D3EF2BD"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2F2F9E0"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E68EF94"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ABBB524"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4E20FEA5"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62D5CE3D" w14:textId="77777777">
            <w:pPr>
              <w:widowControl/>
              <w:autoSpaceDE/>
              <w:autoSpaceDN/>
              <w:adjustRightInd/>
              <w:jc w:val="right"/>
              <w:rPr>
                <w:color w:val="000000"/>
                <w:sz w:val="20"/>
                <w:szCs w:val="20"/>
              </w:rPr>
            </w:pPr>
            <w:r w:rsidRPr="00FD69F1">
              <w:rPr>
                <w:color w:val="000000"/>
                <w:sz w:val="20"/>
                <w:szCs w:val="20"/>
              </w:rPr>
              <w:t> </w:t>
            </w:r>
          </w:p>
        </w:tc>
      </w:tr>
      <w:tr w14:paraId="09B73A67"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5F617FBE" w14:textId="77777777">
            <w:pPr>
              <w:widowControl/>
              <w:autoSpaceDE/>
              <w:autoSpaceDN/>
              <w:adjustRightInd/>
              <w:ind w:firstLine="200" w:firstLineChars="100"/>
              <w:rPr>
                <w:color w:val="000000"/>
                <w:sz w:val="20"/>
                <w:szCs w:val="20"/>
              </w:rPr>
            </w:pPr>
            <w:r w:rsidRPr="00FD69F1">
              <w:rPr>
                <w:color w:val="000000"/>
                <w:sz w:val="20"/>
                <w:szCs w:val="20"/>
              </w:rPr>
              <w:t>D. Develop Record System</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A6E7D48" w14:textId="77777777">
            <w:pPr>
              <w:widowControl/>
              <w:autoSpaceDE/>
              <w:autoSpaceDN/>
              <w:adjustRightInd/>
              <w:jc w:val="center"/>
              <w:rPr>
                <w:color w:val="000000"/>
                <w:sz w:val="20"/>
                <w:szCs w:val="20"/>
              </w:rPr>
            </w:pPr>
            <w:r w:rsidRPr="00FD69F1">
              <w:rPr>
                <w:color w:val="000000"/>
                <w:sz w:val="20"/>
                <w:szCs w:val="20"/>
              </w:rPr>
              <w:t>N/A</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3BC90428"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9B13392"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E1434FE"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3841BCA8"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4CEF3E57"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11376A1F"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5EEEAED" w14:textId="77777777">
            <w:pPr>
              <w:widowControl/>
              <w:autoSpaceDE/>
              <w:autoSpaceDN/>
              <w:adjustRightInd/>
              <w:jc w:val="right"/>
              <w:rPr>
                <w:color w:val="000000"/>
                <w:sz w:val="20"/>
                <w:szCs w:val="20"/>
              </w:rPr>
            </w:pPr>
            <w:r w:rsidRPr="00FD69F1">
              <w:rPr>
                <w:color w:val="000000"/>
                <w:sz w:val="20"/>
                <w:szCs w:val="20"/>
              </w:rPr>
              <w:t> </w:t>
            </w:r>
          </w:p>
        </w:tc>
      </w:tr>
      <w:tr w14:paraId="37ED4446"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55482CA7" w14:textId="77777777">
            <w:pPr>
              <w:widowControl/>
              <w:autoSpaceDE/>
              <w:autoSpaceDN/>
              <w:adjustRightInd/>
              <w:ind w:firstLine="200" w:firstLineChars="100"/>
              <w:rPr>
                <w:color w:val="000000"/>
                <w:sz w:val="20"/>
                <w:szCs w:val="20"/>
              </w:rPr>
            </w:pPr>
            <w:r w:rsidRPr="00FD69F1">
              <w:rPr>
                <w:color w:val="000000"/>
                <w:sz w:val="20"/>
                <w:szCs w:val="20"/>
              </w:rPr>
              <w:t>E. Record Information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CE5D517" w14:textId="77777777">
            <w:pPr>
              <w:widowControl/>
              <w:autoSpaceDE/>
              <w:autoSpaceDN/>
              <w:adjustRightInd/>
              <w:jc w:val="center"/>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282CA5B4"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53DDB5C5"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7B931610"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54C2594D"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EE8B19E"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FF2E1A5"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3C782AF" w14:textId="77777777">
            <w:pPr>
              <w:widowControl/>
              <w:autoSpaceDE/>
              <w:autoSpaceDN/>
              <w:adjustRightInd/>
              <w:jc w:val="right"/>
              <w:rPr>
                <w:color w:val="000000"/>
                <w:sz w:val="20"/>
                <w:szCs w:val="20"/>
              </w:rPr>
            </w:pPr>
            <w:r w:rsidRPr="00FD69F1">
              <w:rPr>
                <w:color w:val="000000"/>
                <w:sz w:val="20"/>
                <w:szCs w:val="20"/>
              </w:rPr>
              <w:t> </w:t>
            </w:r>
          </w:p>
        </w:tc>
      </w:tr>
      <w:tr w14:paraId="0D7DF8CF"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2460FCF6" w14:textId="77777777">
            <w:pPr>
              <w:widowControl/>
              <w:autoSpaceDE/>
              <w:autoSpaceDN/>
              <w:adjustRightInd/>
              <w:ind w:left="330" w:firstLine="70" w:firstLineChars="35"/>
              <w:rPr>
                <w:color w:val="000000"/>
                <w:sz w:val="20"/>
                <w:szCs w:val="20"/>
              </w:rPr>
            </w:pPr>
            <w:r w:rsidRPr="00FD69F1">
              <w:rPr>
                <w:color w:val="000000"/>
                <w:sz w:val="20"/>
                <w:szCs w:val="20"/>
              </w:rPr>
              <w:t>1) Records of operating parameters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7D52071"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064A55F0"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6CCF8538"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7036958D"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791424C0"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4D2D48F"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73140B2"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78BE932" w14:textId="77777777">
            <w:pPr>
              <w:widowControl/>
              <w:autoSpaceDE/>
              <w:autoSpaceDN/>
              <w:adjustRightInd/>
              <w:jc w:val="right"/>
              <w:rPr>
                <w:color w:val="000000"/>
                <w:sz w:val="20"/>
                <w:szCs w:val="20"/>
              </w:rPr>
            </w:pPr>
            <w:r w:rsidRPr="00FD69F1">
              <w:rPr>
                <w:color w:val="000000"/>
                <w:sz w:val="20"/>
                <w:szCs w:val="20"/>
              </w:rPr>
              <w:t> </w:t>
            </w:r>
          </w:p>
        </w:tc>
      </w:tr>
      <w:tr w14:paraId="58D48B0D" w14:textId="77777777" w:rsidTr="00C509A7">
        <w:tblPrEx>
          <w:tblW w:w="12865" w:type="dxa"/>
          <w:tblLook w:val="04A0"/>
        </w:tblPrEx>
        <w:trPr>
          <w:trHeight w:val="76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34BEE847" w14:textId="77777777">
            <w:pPr>
              <w:widowControl/>
              <w:autoSpaceDE/>
              <w:autoSpaceDN/>
              <w:adjustRightInd/>
              <w:ind w:left="330" w:firstLine="70" w:firstLineChars="35"/>
              <w:rPr>
                <w:color w:val="000000"/>
                <w:sz w:val="20"/>
                <w:szCs w:val="20"/>
              </w:rPr>
            </w:pPr>
            <w:r w:rsidRPr="00FD69F1">
              <w:rPr>
                <w:color w:val="000000"/>
                <w:sz w:val="20"/>
                <w:szCs w:val="20"/>
              </w:rPr>
              <w:t>2) Records of periods for which minimum amount of data on operating parameters were not obtained</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AE1C5C9" w14:textId="77777777">
            <w:pPr>
              <w:widowControl/>
              <w:autoSpaceDE/>
              <w:autoSpaceDN/>
              <w:adjustRightInd/>
              <w:jc w:val="center"/>
              <w:rPr>
                <w:color w:val="000000"/>
                <w:sz w:val="20"/>
                <w:szCs w:val="20"/>
              </w:rPr>
            </w:pPr>
            <w:r w:rsidRPr="00FD69F1">
              <w:rPr>
                <w:color w:val="000000"/>
                <w:sz w:val="20"/>
                <w:szCs w:val="20"/>
              </w:rPr>
              <w:t>0.5</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26D6943" w14:textId="77777777">
            <w:pPr>
              <w:widowControl/>
              <w:autoSpaceDE/>
              <w:autoSpaceDN/>
              <w:adjustRightInd/>
              <w:jc w:val="center"/>
              <w:rPr>
                <w:color w:val="000000"/>
                <w:sz w:val="20"/>
                <w:szCs w:val="20"/>
              </w:rPr>
            </w:pPr>
            <w:r w:rsidRPr="00FD69F1">
              <w:rPr>
                <w:color w:val="000000"/>
                <w:sz w:val="20"/>
                <w:szCs w:val="20"/>
              </w:rPr>
              <w:t>52</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1A6C26DA" w14:textId="77777777">
            <w:pPr>
              <w:widowControl/>
              <w:autoSpaceDE/>
              <w:autoSpaceDN/>
              <w:adjustRightInd/>
              <w:jc w:val="center"/>
              <w:rPr>
                <w:color w:val="000000"/>
                <w:sz w:val="20"/>
                <w:szCs w:val="20"/>
              </w:rPr>
            </w:pPr>
            <w:r w:rsidRPr="00FD69F1">
              <w:rPr>
                <w:color w:val="000000"/>
                <w:sz w:val="20"/>
                <w:szCs w:val="20"/>
              </w:rPr>
              <w:t>26</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21B482C"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2BAC84B2" w14:textId="77777777">
            <w:pPr>
              <w:widowControl/>
              <w:autoSpaceDE/>
              <w:autoSpaceDN/>
              <w:adjustRightInd/>
              <w:jc w:val="center"/>
              <w:rPr>
                <w:color w:val="000000"/>
                <w:sz w:val="20"/>
                <w:szCs w:val="20"/>
              </w:rPr>
            </w:pPr>
            <w:r w:rsidRPr="00FD69F1">
              <w:rPr>
                <w:color w:val="000000"/>
                <w:sz w:val="20"/>
                <w:szCs w:val="20"/>
              </w:rPr>
              <w:t>192</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46B69CC" w14:textId="77777777">
            <w:pPr>
              <w:widowControl/>
              <w:autoSpaceDE/>
              <w:autoSpaceDN/>
              <w:adjustRightInd/>
              <w:jc w:val="center"/>
              <w:rPr>
                <w:color w:val="000000"/>
                <w:sz w:val="20"/>
                <w:szCs w:val="20"/>
              </w:rPr>
            </w:pPr>
            <w:r w:rsidRPr="00FD69F1">
              <w:rPr>
                <w:color w:val="000000"/>
                <w:sz w:val="20"/>
                <w:szCs w:val="20"/>
              </w:rPr>
              <w:t>9.62</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7C6755F" w14:textId="77777777">
            <w:pPr>
              <w:widowControl/>
              <w:autoSpaceDE/>
              <w:autoSpaceDN/>
              <w:adjustRightInd/>
              <w:jc w:val="center"/>
              <w:rPr>
                <w:color w:val="000000"/>
                <w:sz w:val="20"/>
                <w:szCs w:val="20"/>
              </w:rPr>
            </w:pPr>
            <w:r w:rsidRPr="00FD69F1">
              <w:rPr>
                <w:color w:val="000000"/>
                <w:sz w:val="20"/>
                <w:szCs w:val="20"/>
              </w:rPr>
              <w:t>19.2</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391BB8B" w14:textId="77777777">
            <w:pPr>
              <w:widowControl/>
              <w:autoSpaceDE/>
              <w:autoSpaceDN/>
              <w:adjustRightInd/>
              <w:jc w:val="right"/>
              <w:rPr>
                <w:color w:val="000000"/>
                <w:sz w:val="20"/>
                <w:szCs w:val="20"/>
              </w:rPr>
            </w:pPr>
            <w:r w:rsidRPr="00FD69F1">
              <w:rPr>
                <w:color w:val="000000"/>
                <w:sz w:val="20"/>
                <w:szCs w:val="20"/>
              </w:rPr>
              <w:t xml:space="preserve">$26,565.15 </w:t>
            </w:r>
          </w:p>
        </w:tc>
      </w:tr>
      <w:tr w14:paraId="464DD904"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6CE75D78" w14:textId="77777777">
            <w:pPr>
              <w:widowControl/>
              <w:autoSpaceDE/>
              <w:autoSpaceDN/>
              <w:adjustRightInd/>
              <w:ind w:left="330" w:firstLine="70" w:firstLineChars="35"/>
              <w:rPr>
                <w:color w:val="000000"/>
                <w:sz w:val="20"/>
                <w:szCs w:val="20"/>
              </w:rPr>
            </w:pPr>
            <w:r w:rsidRPr="00FD69F1">
              <w:rPr>
                <w:color w:val="000000"/>
                <w:sz w:val="20"/>
                <w:szCs w:val="20"/>
              </w:rPr>
              <w:t>3) Records of malfunction of the unit</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02F9A614" w14:textId="77777777">
            <w:pPr>
              <w:widowControl/>
              <w:autoSpaceDE/>
              <w:autoSpaceDN/>
              <w:adjustRightInd/>
              <w:jc w:val="center"/>
              <w:rPr>
                <w:color w:val="000000"/>
                <w:sz w:val="20"/>
                <w:szCs w:val="20"/>
              </w:rPr>
            </w:pPr>
            <w:r w:rsidRPr="00FD69F1">
              <w:rPr>
                <w:color w:val="000000"/>
                <w:sz w:val="20"/>
                <w:szCs w:val="20"/>
              </w:rPr>
              <w:t>1.5</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3E650CE1"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45ABF5BF" w14:textId="77777777">
            <w:pPr>
              <w:widowControl/>
              <w:autoSpaceDE/>
              <w:autoSpaceDN/>
              <w:adjustRightInd/>
              <w:jc w:val="center"/>
              <w:rPr>
                <w:color w:val="000000"/>
                <w:sz w:val="20"/>
                <w:szCs w:val="20"/>
              </w:rPr>
            </w:pPr>
            <w:r w:rsidRPr="00FD69F1">
              <w:rPr>
                <w:color w:val="000000"/>
                <w:sz w:val="20"/>
                <w:szCs w:val="20"/>
              </w:rPr>
              <w:t>1.5</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70FF8157"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511E876" w14:textId="77777777">
            <w:pPr>
              <w:widowControl/>
              <w:autoSpaceDE/>
              <w:autoSpaceDN/>
              <w:adjustRightInd/>
              <w:jc w:val="center"/>
              <w:rPr>
                <w:color w:val="000000"/>
                <w:sz w:val="20"/>
                <w:szCs w:val="20"/>
              </w:rPr>
            </w:pPr>
            <w:r w:rsidRPr="00FD69F1">
              <w:rPr>
                <w:color w:val="000000"/>
                <w:sz w:val="20"/>
                <w:szCs w:val="20"/>
              </w:rPr>
              <w:t>11.1</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6B0FA219" w14:textId="77777777">
            <w:pPr>
              <w:widowControl/>
              <w:autoSpaceDE/>
              <w:autoSpaceDN/>
              <w:adjustRightInd/>
              <w:jc w:val="center"/>
              <w:rPr>
                <w:color w:val="000000"/>
                <w:sz w:val="20"/>
                <w:szCs w:val="20"/>
              </w:rPr>
            </w:pPr>
            <w:r w:rsidRPr="00FD69F1">
              <w:rPr>
                <w:color w:val="000000"/>
                <w:sz w:val="20"/>
                <w:szCs w:val="20"/>
              </w:rPr>
              <w:t>0.56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51CA91DE" w14:textId="77777777">
            <w:pPr>
              <w:widowControl/>
              <w:autoSpaceDE/>
              <w:autoSpaceDN/>
              <w:adjustRightInd/>
              <w:jc w:val="center"/>
              <w:rPr>
                <w:color w:val="000000"/>
                <w:sz w:val="20"/>
                <w:szCs w:val="20"/>
              </w:rPr>
            </w:pPr>
            <w:r w:rsidRPr="00FD69F1">
              <w:rPr>
                <w:color w:val="000000"/>
                <w:sz w:val="20"/>
                <w:szCs w:val="20"/>
              </w:rPr>
              <w:t>1.11</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634AC3FE" w14:textId="77777777">
            <w:pPr>
              <w:widowControl/>
              <w:autoSpaceDE/>
              <w:autoSpaceDN/>
              <w:adjustRightInd/>
              <w:jc w:val="right"/>
              <w:rPr>
                <w:color w:val="000000"/>
                <w:sz w:val="20"/>
                <w:szCs w:val="20"/>
              </w:rPr>
            </w:pPr>
            <w:r w:rsidRPr="00FD69F1">
              <w:rPr>
                <w:color w:val="000000"/>
                <w:sz w:val="20"/>
                <w:szCs w:val="20"/>
              </w:rPr>
              <w:t xml:space="preserve">$1,532.60 </w:t>
            </w:r>
          </w:p>
        </w:tc>
      </w:tr>
      <w:tr w14:paraId="22ED325E"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338B3DF4" w14:textId="77777777">
            <w:pPr>
              <w:widowControl/>
              <w:autoSpaceDE/>
              <w:autoSpaceDN/>
              <w:adjustRightInd/>
              <w:ind w:left="330" w:firstLine="70" w:firstLineChars="35"/>
              <w:rPr>
                <w:color w:val="000000"/>
                <w:sz w:val="20"/>
                <w:szCs w:val="20"/>
              </w:rPr>
            </w:pPr>
            <w:r w:rsidRPr="00FD69F1">
              <w:rPr>
                <w:color w:val="000000"/>
                <w:sz w:val="20"/>
                <w:szCs w:val="20"/>
              </w:rPr>
              <w:t>4) Records of exceedances of operating parameters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7FD488C3" w14:textId="77777777">
            <w:pPr>
              <w:widowControl/>
              <w:autoSpaceDE/>
              <w:autoSpaceDN/>
              <w:adjustRightInd/>
              <w:jc w:val="center"/>
              <w:rPr>
                <w:color w:val="000000"/>
                <w:sz w:val="20"/>
                <w:szCs w:val="20"/>
              </w:rPr>
            </w:pPr>
            <w:r w:rsidRPr="00FD69F1">
              <w:rPr>
                <w:color w:val="000000"/>
                <w:sz w:val="20"/>
                <w:szCs w:val="20"/>
              </w:rPr>
              <w:t>1.5</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178F99DA"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B0E0128" w14:textId="77777777">
            <w:pPr>
              <w:widowControl/>
              <w:autoSpaceDE/>
              <w:autoSpaceDN/>
              <w:adjustRightInd/>
              <w:jc w:val="center"/>
              <w:rPr>
                <w:color w:val="000000"/>
                <w:sz w:val="20"/>
                <w:szCs w:val="20"/>
              </w:rPr>
            </w:pPr>
            <w:r w:rsidRPr="00FD69F1">
              <w:rPr>
                <w:color w:val="000000"/>
                <w:sz w:val="20"/>
                <w:szCs w:val="20"/>
              </w:rPr>
              <w:t>1.5</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34F47E0"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73854F63" w14:textId="77777777">
            <w:pPr>
              <w:widowControl/>
              <w:autoSpaceDE/>
              <w:autoSpaceDN/>
              <w:adjustRightInd/>
              <w:jc w:val="center"/>
              <w:rPr>
                <w:color w:val="000000"/>
                <w:sz w:val="20"/>
                <w:szCs w:val="20"/>
              </w:rPr>
            </w:pPr>
            <w:r w:rsidRPr="00FD69F1">
              <w:rPr>
                <w:color w:val="000000"/>
                <w:sz w:val="20"/>
                <w:szCs w:val="20"/>
              </w:rPr>
              <w:t>11.1</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5C438233" w14:textId="77777777">
            <w:pPr>
              <w:widowControl/>
              <w:autoSpaceDE/>
              <w:autoSpaceDN/>
              <w:adjustRightInd/>
              <w:jc w:val="center"/>
              <w:rPr>
                <w:color w:val="000000"/>
                <w:sz w:val="20"/>
                <w:szCs w:val="20"/>
              </w:rPr>
            </w:pPr>
            <w:r w:rsidRPr="00FD69F1">
              <w:rPr>
                <w:color w:val="000000"/>
                <w:sz w:val="20"/>
                <w:szCs w:val="20"/>
              </w:rPr>
              <w:t>0.56</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24E6B479" w14:textId="77777777">
            <w:pPr>
              <w:widowControl/>
              <w:autoSpaceDE/>
              <w:autoSpaceDN/>
              <w:adjustRightInd/>
              <w:jc w:val="center"/>
              <w:rPr>
                <w:color w:val="000000"/>
                <w:sz w:val="20"/>
                <w:szCs w:val="20"/>
              </w:rPr>
            </w:pPr>
            <w:r w:rsidRPr="00FD69F1">
              <w:rPr>
                <w:color w:val="000000"/>
                <w:sz w:val="20"/>
                <w:szCs w:val="20"/>
              </w:rPr>
              <w:t>1.11</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41A6468C" w14:textId="77777777">
            <w:pPr>
              <w:widowControl/>
              <w:autoSpaceDE/>
              <w:autoSpaceDN/>
              <w:adjustRightInd/>
              <w:jc w:val="right"/>
              <w:rPr>
                <w:color w:val="000000"/>
                <w:sz w:val="20"/>
                <w:szCs w:val="20"/>
              </w:rPr>
            </w:pPr>
            <w:r w:rsidRPr="00FD69F1">
              <w:rPr>
                <w:color w:val="000000"/>
                <w:sz w:val="20"/>
                <w:szCs w:val="20"/>
              </w:rPr>
              <w:t xml:space="preserve">$1,532.60 </w:t>
            </w:r>
          </w:p>
        </w:tc>
      </w:tr>
      <w:tr w14:paraId="3AA5F8BB"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00B1FAE5" w14:textId="77777777">
            <w:pPr>
              <w:widowControl/>
              <w:autoSpaceDE/>
              <w:autoSpaceDN/>
              <w:adjustRightInd/>
              <w:ind w:left="330" w:firstLine="70" w:firstLineChars="35"/>
              <w:rPr>
                <w:color w:val="000000"/>
                <w:sz w:val="20"/>
                <w:szCs w:val="20"/>
              </w:rPr>
            </w:pPr>
            <w:r w:rsidRPr="00FD69F1">
              <w:rPr>
                <w:color w:val="000000"/>
                <w:sz w:val="20"/>
                <w:szCs w:val="20"/>
              </w:rPr>
              <w:t>5) Records of stack tests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6F2E641" w14:textId="77777777">
            <w:pPr>
              <w:widowControl/>
              <w:autoSpaceDE/>
              <w:autoSpaceDN/>
              <w:adjustRightInd/>
              <w:jc w:val="center"/>
              <w:rPr>
                <w:color w:val="000000"/>
                <w:sz w:val="20"/>
                <w:szCs w:val="20"/>
              </w:rPr>
            </w:pPr>
            <w:r w:rsidRPr="00FD69F1">
              <w:rPr>
                <w:color w:val="000000"/>
                <w:sz w:val="20"/>
                <w:szCs w:val="20"/>
              </w:rPr>
              <w:t>See 3E</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F7814E4"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6CC66CDB"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134AFB7B"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3E9E6324"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5D4E4487"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1EA7D0D4"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7030A11" w14:textId="77777777">
            <w:pPr>
              <w:widowControl/>
              <w:autoSpaceDE/>
              <w:autoSpaceDN/>
              <w:adjustRightInd/>
              <w:jc w:val="right"/>
              <w:rPr>
                <w:color w:val="000000"/>
                <w:sz w:val="20"/>
                <w:szCs w:val="20"/>
              </w:rPr>
            </w:pPr>
            <w:r w:rsidRPr="00FD69F1">
              <w:rPr>
                <w:color w:val="000000"/>
                <w:sz w:val="20"/>
                <w:szCs w:val="20"/>
              </w:rPr>
              <w:t> </w:t>
            </w:r>
          </w:p>
        </w:tc>
      </w:tr>
      <w:tr w14:paraId="65CD7339"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0C43ED83" w14:textId="77777777">
            <w:pPr>
              <w:widowControl/>
              <w:autoSpaceDE/>
              <w:autoSpaceDN/>
              <w:adjustRightInd/>
              <w:ind w:left="330" w:firstLine="70" w:firstLineChars="35"/>
              <w:rPr>
                <w:color w:val="000000"/>
                <w:sz w:val="20"/>
                <w:szCs w:val="20"/>
              </w:rPr>
            </w:pPr>
            <w:r w:rsidRPr="00FD69F1">
              <w:rPr>
                <w:color w:val="000000"/>
                <w:sz w:val="20"/>
                <w:szCs w:val="20"/>
              </w:rPr>
              <w:t>6) Records of persons who have reviewed operating procedures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24FB6A52" w14:textId="77777777">
            <w:pPr>
              <w:widowControl/>
              <w:autoSpaceDE/>
              <w:autoSpaceDN/>
              <w:adjustRightInd/>
              <w:jc w:val="center"/>
              <w:rPr>
                <w:color w:val="000000"/>
                <w:sz w:val="20"/>
                <w:szCs w:val="20"/>
              </w:rPr>
            </w:pPr>
            <w:r w:rsidRPr="00FD69F1">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C2A9A50"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696ED6B0" w14:textId="77777777">
            <w:pPr>
              <w:widowControl/>
              <w:autoSpaceDE/>
              <w:autoSpaceDN/>
              <w:adjustRightInd/>
              <w:jc w:val="center"/>
              <w:rPr>
                <w:color w:val="000000"/>
                <w:sz w:val="20"/>
                <w:szCs w:val="20"/>
              </w:rPr>
            </w:pPr>
            <w:r w:rsidRPr="00FD69F1">
              <w:rPr>
                <w:color w:val="000000"/>
                <w:sz w:val="20"/>
                <w:szCs w:val="20"/>
              </w:rPr>
              <w:t>1</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5C2EFFCB"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217F121" w14:textId="77777777">
            <w:pPr>
              <w:widowControl/>
              <w:autoSpaceDE/>
              <w:autoSpaceDN/>
              <w:adjustRightInd/>
              <w:jc w:val="center"/>
              <w:rPr>
                <w:color w:val="000000"/>
                <w:sz w:val="20"/>
                <w:szCs w:val="20"/>
              </w:rPr>
            </w:pPr>
            <w:r w:rsidRPr="00FD69F1">
              <w:rPr>
                <w:color w:val="000000"/>
                <w:sz w:val="20"/>
                <w:szCs w:val="20"/>
              </w:rPr>
              <w:t>74</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B8A456C" w14:textId="77777777">
            <w:pPr>
              <w:widowControl/>
              <w:autoSpaceDE/>
              <w:autoSpaceDN/>
              <w:adjustRightInd/>
              <w:jc w:val="center"/>
              <w:rPr>
                <w:color w:val="000000"/>
                <w:sz w:val="20"/>
                <w:szCs w:val="20"/>
              </w:rPr>
            </w:pPr>
            <w:r w:rsidRPr="00FD69F1">
              <w:rPr>
                <w:color w:val="000000"/>
                <w:sz w:val="20"/>
                <w:szCs w:val="20"/>
              </w:rPr>
              <w:t>3.7</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4296102F" w14:textId="77777777">
            <w:pPr>
              <w:widowControl/>
              <w:autoSpaceDE/>
              <w:autoSpaceDN/>
              <w:adjustRightInd/>
              <w:jc w:val="center"/>
              <w:rPr>
                <w:color w:val="000000"/>
                <w:sz w:val="20"/>
                <w:szCs w:val="20"/>
              </w:rPr>
            </w:pPr>
            <w:r w:rsidRPr="00FD69F1">
              <w:rPr>
                <w:color w:val="000000"/>
                <w:sz w:val="20"/>
                <w:szCs w:val="20"/>
              </w:rPr>
              <w:t>7.4</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1F7ADA6" w14:textId="77777777">
            <w:pPr>
              <w:widowControl/>
              <w:autoSpaceDE/>
              <w:autoSpaceDN/>
              <w:adjustRightInd/>
              <w:jc w:val="right"/>
              <w:rPr>
                <w:color w:val="000000"/>
                <w:sz w:val="20"/>
                <w:szCs w:val="20"/>
              </w:rPr>
            </w:pPr>
            <w:r w:rsidRPr="00FD69F1">
              <w:rPr>
                <w:color w:val="000000"/>
                <w:sz w:val="20"/>
                <w:szCs w:val="20"/>
              </w:rPr>
              <w:t xml:space="preserve">$10,217.37 </w:t>
            </w:r>
          </w:p>
        </w:tc>
      </w:tr>
      <w:tr w14:paraId="5CFDE6BC"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15CA3B35" w14:textId="77777777">
            <w:pPr>
              <w:widowControl/>
              <w:autoSpaceDE/>
              <w:autoSpaceDN/>
              <w:adjustRightInd/>
              <w:ind w:left="330" w:firstLine="70" w:firstLineChars="35"/>
              <w:rPr>
                <w:color w:val="000000"/>
                <w:sz w:val="20"/>
                <w:szCs w:val="20"/>
              </w:rPr>
            </w:pPr>
            <w:r w:rsidRPr="00FD69F1">
              <w:rPr>
                <w:color w:val="000000"/>
                <w:sz w:val="20"/>
                <w:szCs w:val="20"/>
              </w:rPr>
              <w:t>7) Records of persons who have completed operator training</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0A4E3081" w14:textId="77777777">
            <w:pPr>
              <w:widowControl/>
              <w:autoSpaceDE/>
              <w:autoSpaceDN/>
              <w:adjustRightInd/>
              <w:jc w:val="center"/>
              <w:rPr>
                <w:color w:val="000000"/>
                <w:sz w:val="20"/>
                <w:szCs w:val="20"/>
              </w:rPr>
            </w:pPr>
            <w:r w:rsidRPr="00FD69F1">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74A78CF1"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5AD6EFB6" w14:textId="77777777">
            <w:pPr>
              <w:widowControl/>
              <w:autoSpaceDE/>
              <w:autoSpaceDN/>
              <w:adjustRightInd/>
              <w:jc w:val="center"/>
              <w:rPr>
                <w:color w:val="000000"/>
                <w:sz w:val="20"/>
                <w:szCs w:val="20"/>
              </w:rPr>
            </w:pPr>
            <w:r w:rsidRPr="00FD69F1">
              <w:rPr>
                <w:color w:val="000000"/>
                <w:sz w:val="20"/>
                <w:szCs w:val="20"/>
              </w:rPr>
              <w:t>1</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02B70432"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422894EE" w14:textId="77777777">
            <w:pPr>
              <w:widowControl/>
              <w:autoSpaceDE/>
              <w:autoSpaceDN/>
              <w:adjustRightInd/>
              <w:jc w:val="center"/>
              <w:rPr>
                <w:color w:val="000000"/>
                <w:sz w:val="20"/>
                <w:szCs w:val="20"/>
              </w:rPr>
            </w:pPr>
            <w:r w:rsidRPr="00FD69F1">
              <w:rPr>
                <w:color w:val="000000"/>
                <w:sz w:val="20"/>
                <w:szCs w:val="20"/>
              </w:rPr>
              <w:t>74</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29E65318" w14:textId="77777777">
            <w:pPr>
              <w:widowControl/>
              <w:autoSpaceDE/>
              <w:autoSpaceDN/>
              <w:adjustRightInd/>
              <w:jc w:val="center"/>
              <w:rPr>
                <w:color w:val="000000"/>
                <w:sz w:val="20"/>
                <w:szCs w:val="20"/>
              </w:rPr>
            </w:pPr>
            <w:r w:rsidRPr="00FD69F1">
              <w:rPr>
                <w:color w:val="000000"/>
                <w:sz w:val="20"/>
                <w:szCs w:val="20"/>
              </w:rPr>
              <w:t>3.7</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40E8807" w14:textId="77777777">
            <w:pPr>
              <w:widowControl/>
              <w:autoSpaceDE/>
              <w:autoSpaceDN/>
              <w:adjustRightInd/>
              <w:jc w:val="center"/>
              <w:rPr>
                <w:color w:val="000000"/>
                <w:sz w:val="20"/>
                <w:szCs w:val="20"/>
              </w:rPr>
            </w:pPr>
            <w:r w:rsidRPr="00FD69F1">
              <w:rPr>
                <w:color w:val="000000"/>
                <w:sz w:val="20"/>
                <w:szCs w:val="20"/>
              </w:rPr>
              <w:t>7.4</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C8532E2" w14:textId="77777777">
            <w:pPr>
              <w:widowControl/>
              <w:autoSpaceDE/>
              <w:autoSpaceDN/>
              <w:adjustRightInd/>
              <w:jc w:val="right"/>
              <w:rPr>
                <w:color w:val="000000"/>
                <w:sz w:val="20"/>
                <w:szCs w:val="20"/>
              </w:rPr>
            </w:pPr>
            <w:r w:rsidRPr="00FD69F1">
              <w:rPr>
                <w:color w:val="000000"/>
                <w:sz w:val="20"/>
                <w:szCs w:val="20"/>
              </w:rPr>
              <w:t xml:space="preserve">$10,217.37 </w:t>
            </w:r>
          </w:p>
        </w:tc>
      </w:tr>
      <w:tr w14:paraId="392AFA3A" w14:textId="77777777" w:rsidTr="00C509A7">
        <w:tblPrEx>
          <w:tblW w:w="12865" w:type="dxa"/>
          <w:tblLook w:val="04A0"/>
        </w:tblPrEx>
        <w:trPr>
          <w:trHeight w:val="51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1389A3F3" w14:textId="77777777">
            <w:pPr>
              <w:widowControl/>
              <w:autoSpaceDE/>
              <w:autoSpaceDN/>
              <w:adjustRightInd/>
              <w:ind w:left="330" w:firstLine="70" w:firstLineChars="35"/>
              <w:rPr>
                <w:color w:val="000000"/>
                <w:sz w:val="20"/>
                <w:szCs w:val="20"/>
              </w:rPr>
            </w:pPr>
            <w:r w:rsidRPr="00FD69F1">
              <w:rPr>
                <w:color w:val="000000"/>
                <w:sz w:val="20"/>
                <w:szCs w:val="20"/>
              </w:rPr>
              <w:t>8) Records of persons who meet operator qualification criteria</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2263591A" w14:textId="77777777">
            <w:pPr>
              <w:widowControl/>
              <w:autoSpaceDE/>
              <w:autoSpaceDN/>
              <w:adjustRightInd/>
              <w:jc w:val="center"/>
              <w:rPr>
                <w:color w:val="000000"/>
                <w:sz w:val="20"/>
                <w:szCs w:val="20"/>
              </w:rPr>
            </w:pPr>
            <w:r w:rsidRPr="00FD69F1">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85DFA48"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8579312" w14:textId="77777777">
            <w:pPr>
              <w:widowControl/>
              <w:autoSpaceDE/>
              <w:autoSpaceDN/>
              <w:adjustRightInd/>
              <w:jc w:val="center"/>
              <w:rPr>
                <w:color w:val="000000"/>
                <w:sz w:val="20"/>
                <w:szCs w:val="20"/>
              </w:rPr>
            </w:pPr>
            <w:r w:rsidRPr="00FD69F1">
              <w:rPr>
                <w:color w:val="000000"/>
                <w:sz w:val="20"/>
                <w:szCs w:val="20"/>
              </w:rPr>
              <w:t>1</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2B1D721"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3B96F2AB" w14:textId="77777777">
            <w:pPr>
              <w:widowControl/>
              <w:autoSpaceDE/>
              <w:autoSpaceDN/>
              <w:adjustRightInd/>
              <w:jc w:val="center"/>
              <w:rPr>
                <w:color w:val="000000"/>
                <w:sz w:val="20"/>
                <w:szCs w:val="20"/>
              </w:rPr>
            </w:pPr>
            <w:r w:rsidRPr="00FD69F1">
              <w:rPr>
                <w:color w:val="000000"/>
                <w:sz w:val="20"/>
                <w:szCs w:val="20"/>
              </w:rPr>
              <w:t>74</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28E85041" w14:textId="77777777">
            <w:pPr>
              <w:widowControl/>
              <w:autoSpaceDE/>
              <w:autoSpaceDN/>
              <w:adjustRightInd/>
              <w:jc w:val="center"/>
              <w:rPr>
                <w:color w:val="000000"/>
                <w:sz w:val="20"/>
                <w:szCs w:val="20"/>
              </w:rPr>
            </w:pPr>
            <w:r w:rsidRPr="00FD69F1">
              <w:rPr>
                <w:color w:val="000000"/>
                <w:sz w:val="20"/>
                <w:szCs w:val="20"/>
              </w:rPr>
              <w:t>3.7</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35BA80D" w14:textId="77777777">
            <w:pPr>
              <w:widowControl/>
              <w:autoSpaceDE/>
              <w:autoSpaceDN/>
              <w:adjustRightInd/>
              <w:jc w:val="center"/>
              <w:rPr>
                <w:color w:val="000000"/>
                <w:sz w:val="20"/>
                <w:szCs w:val="20"/>
              </w:rPr>
            </w:pPr>
            <w:r w:rsidRPr="00FD69F1">
              <w:rPr>
                <w:color w:val="000000"/>
                <w:sz w:val="20"/>
                <w:szCs w:val="20"/>
              </w:rPr>
              <w:t>7.4</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E4ADDC8" w14:textId="77777777">
            <w:pPr>
              <w:widowControl/>
              <w:autoSpaceDE/>
              <w:autoSpaceDN/>
              <w:adjustRightInd/>
              <w:jc w:val="right"/>
              <w:rPr>
                <w:color w:val="000000"/>
                <w:sz w:val="20"/>
                <w:szCs w:val="20"/>
              </w:rPr>
            </w:pPr>
            <w:r w:rsidRPr="00FD69F1">
              <w:rPr>
                <w:color w:val="000000"/>
                <w:sz w:val="20"/>
                <w:szCs w:val="20"/>
              </w:rPr>
              <w:t xml:space="preserve">$10,217.37 </w:t>
            </w:r>
          </w:p>
        </w:tc>
      </w:tr>
      <w:tr w14:paraId="59C4C059"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40CE623B" w14:textId="77777777">
            <w:pPr>
              <w:widowControl/>
              <w:autoSpaceDE/>
              <w:autoSpaceDN/>
              <w:adjustRightInd/>
              <w:ind w:left="330" w:firstLine="70" w:firstLineChars="35"/>
              <w:rPr>
                <w:color w:val="000000"/>
                <w:sz w:val="20"/>
                <w:szCs w:val="20"/>
              </w:rPr>
            </w:pPr>
            <w:r w:rsidRPr="00FD69F1">
              <w:rPr>
                <w:color w:val="000000"/>
                <w:sz w:val="20"/>
                <w:szCs w:val="20"/>
              </w:rPr>
              <w:t>9) Records of monitoring device calibration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89B3F22"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06D1E30E"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3D00528C"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506BA31E"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4C5DA312"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F45B5F7"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062A90F"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13FC869C" w14:textId="77777777">
            <w:pPr>
              <w:widowControl/>
              <w:autoSpaceDE/>
              <w:autoSpaceDN/>
              <w:adjustRightInd/>
              <w:rPr>
                <w:color w:val="000000"/>
                <w:sz w:val="20"/>
                <w:szCs w:val="20"/>
              </w:rPr>
            </w:pPr>
            <w:r w:rsidRPr="00FD69F1">
              <w:rPr>
                <w:color w:val="000000"/>
                <w:sz w:val="20"/>
                <w:szCs w:val="20"/>
              </w:rPr>
              <w:t> </w:t>
            </w:r>
          </w:p>
        </w:tc>
      </w:tr>
      <w:tr w14:paraId="6FB6BD16"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C509A7" w14:paraId="6C140094" w14:textId="77777777">
            <w:pPr>
              <w:widowControl/>
              <w:autoSpaceDE/>
              <w:autoSpaceDN/>
              <w:adjustRightInd/>
              <w:ind w:left="330" w:firstLine="70" w:firstLineChars="35"/>
              <w:rPr>
                <w:color w:val="000000"/>
                <w:sz w:val="20"/>
                <w:szCs w:val="20"/>
              </w:rPr>
            </w:pPr>
            <w:r w:rsidRPr="00FD69F1">
              <w:rPr>
                <w:color w:val="000000"/>
                <w:sz w:val="20"/>
                <w:szCs w:val="20"/>
              </w:rPr>
              <w:t>10) Records of site-specific documentation</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56671D55" w14:textId="77777777">
            <w:pPr>
              <w:widowControl/>
              <w:autoSpaceDE/>
              <w:autoSpaceDN/>
              <w:adjustRightInd/>
              <w:jc w:val="center"/>
              <w:rPr>
                <w:color w:val="000000"/>
                <w:sz w:val="20"/>
                <w:szCs w:val="20"/>
              </w:rPr>
            </w:pPr>
            <w:r w:rsidRPr="00FD69F1">
              <w:rPr>
                <w:color w:val="000000"/>
                <w:sz w:val="20"/>
                <w:szCs w:val="20"/>
              </w:rPr>
              <w:t>24</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4CDD318D" w14:textId="77777777">
            <w:pPr>
              <w:widowControl/>
              <w:autoSpaceDE/>
              <w:autoSpaceDN/>
              <w:adjustRightInd/>
              <w:jc w:val="center"/>
              <w:rPr>
                <w:color w:val="000000"/>
                <w:sz w:val="20"/>
                <w:szCs w:val="20"/>
              </w:rPr>
            </w:pPr>
            <w:r w:rsidRPr="00FD69F1">
              <w:rPr>
                <w:color w:val="000000"/>
                <w:sz w:val="20"/>
                <w:szCs w:val="20"/>
              </w:rPr>
              <w:t>1</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5CC2C8BC" w14:textId="77777777">
            <w:pPr>
              <w:widowControl/>
              <w:autoSpaceDE/>
              <w:autoSpaceDN/>
              <w:adjustRightInd/>
              <w:jc w:val="center"/>
              <w:rPr>
                <w:color w:val="000000"/>
                <w:sz w:val="20"/>
                <w:szCs w:val="20"/>
              </w:rPr>
            </w:pPr>
            <w:r w:rsidRPr="00FD69F1">
              <w:rPr>
                <w:color w:val="000000"/>
                <w:sz w:val="20"/>
                <w:szCs w:val="20"/>
              </w:rPr>
              <w:t>24</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379BBE52" w14:textId="77777777">
            <w:pPr>
              <w:widowControl/>
              <w:autoSpaceDE/>
              <w:autoSpaceDN/>
              <w:adjustRightInd/>
              <w:jc w:val="center"/>
              <w:rPr>
                <w:color w:val="000000"/>
                <w:sz w:val="20"/>
                <w:szCs w:val="20"/>
              </w:rPr>
            </w:pPr>
            <w:r w:rsidRPr="00FD69F1">
              <w:rPr>
                <w:color w:val="000000"/>
                <w:sz w:val="20"/>
                <w:szCs w:val="20"/>
              </w:rPr>
              <w:t>74</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6CE12A73" w14:textId="77777777">
            <w:pPr>
              <w:widowControl/>
              <w:autoSpaceDE/>
              <w:autoSpaceDN/>
              <w:adjustRightInd/>
              <w:jc w:val="center"/>
              <w:rPr>
                <w:color w:val="000000"/>
                <w:sz w:val="20"/>
                <w:szCs w:val="20"/>
              </w:rPr>
            </w:pPr>
            <w:r w:rsidRPr="00FD69F1">
              <w:rPr>
                <w:color w:val="000000"/>
                <w:sz w:val="20"/>
                <w:szCs w:val="20"/>
              </w:rPr>
              <w:t>1,776</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152675BE" w14:textId="77777777">
            <w:pPr>
              <w:widowControl/>
              <w:autoSpaceDE/>
              <w:autoSpaceDN/>
              <w:adjustRightInd/>
              <w:jc w:val="center"/>
              <w:rPr>
                <w:color w:val="000000"/>
                <w:sz w:val="20"/>
                <w:szCs w:val="20"/>
              </w:rPr>
            </w:pPr>
            <w:r w:rsidRPr="00FD69F1">
              <w:rPr>
                <w:color w:val="000000"/>
                <w:sz w:val="20"/>
                <w:szCs w:val="20"/>
              </w:rPr>
              <w:t>88.8</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7F7FA627" w14:textId="77777777">
            <w:pPr>
              <w:widowControl/>
              <w:autoSpaceDE/>
              <w:autoSpaceDN/>
              <w:adjustRightInd/>
              <w:jc w:val="center"/>
              <w:rPr>
                <w:color w:val="000000"/>
                <w:sz w:val="20"/>
                <w:szCs w:val="20"/>
              </w:rPr>
            </w:pPr>
            <w:r w:rsidRPr="00FD69F1">
              <w:rPr>
                <w:color w:val="000000"/>
                <w:sz w:val="20"/>
                <w:szCs w:val="20"/>
              </w:rPr>
              <w:t>178</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5F1625D8" w14:textId="77777777">
            <w:pPr>
              <w:widowControl/>
              <w:autoSpaceDE/>
              <w:autoSpaceDN/>
              <w:adjustRightInd/>
              <w:jc w:val="right"/>
              <w:rPr>
                <w:color w:val="000000"/>
                <w:sz w:val="20"/>
                <w:szCs w:val="20"/>
              </w:rPr>
            </w:pPr>
            <w:r w:rsidRPr="00FD69F1">
              <w:rPr>
                <w:color w:val="000000"/>
                <w:sz w:val="20"/>
                <w:szCs w:val="20"/>
              </w:rPr>
              <w:t xml:space="preserve">$245,216.76 </w:t>
            </w:r>
          </w:p>
        </w:tc>
      </w:tr>
      <w:tr w14:paraId="2503CEC4"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5080EB3A" w14:textId="77777777">
            <w:pPr>
              <w:widowControl/>
              <w:autoSpaceDE/>
              <w:autoSpaceDN/>
              <w:adjustRightInd/>
              <w:ind w:firstLine="200" w:firstLineChars="100"/>
              <w:rPr>
                <w:color w:val="000000"/>
                <w:sz w:val="20"/>
                <w:szCs w:val="20"/>
              </w:rPr>
            </w:pPr>
            <w:r w:rsidRPr="00FD69F1">
              <w:rPr>
                <w:color w:val="000000"/>
                <w:sz w:val="20"/>
                <w:szCs w:val="20"/>
              </w:rPr>
              <w:t>F. Personnel Training</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7CCD022F" w14:textId="77777777">
            <w:pPr>
              <w:widowControl/>
              <w:autoSpaceDE/>
              <w:autoSpaceDN/>
              <w:adjustRightInd/>
              <w:jc w:val="center"/>
              <w:rPr>
                <w:color w:val="000000"/>
                <w:sz w:val="20"/>
                <w:szCs w:val="20"/>
              </w:rPr>
            </w:pPr>
            <w:r w:rsidRPr="00FD69F1">
              <w:rPr>
                <w:color w:val="000000"/>
                <w:sz w:val="20"/>
                <w:szCs w:val="20"/>
              </w:rPr>
              <w:t>See 3B</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FD9B76A"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3E5E3E8A"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0921697"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3F796C42"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03AEBCE"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5F7510C8"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911A56B" w14:textId="77777777">
            <w:pPr>
              <w:widowControl/>
              <w:autoSpaceDE/>
              <w:autoSpaceDN/>
              <w:adjustRightInd/>
              <w:jc w:val="right"/>
              <w:rPr>
                <w:color w:val="000000"/>
                <w:sz w:val="20"/>
                <w:szCs w:val="20"/>
              </w:rPr>
            </w:pPr>
            <w:r w:rsidRPr="00FD69F1">
              <w:rPr>
                <w:color w:val="000000"/>
                <w:sz w:val="20"/>
                <w:szCs w:val="20"/>
              </w:rPr>
              <w:t> </w:t>
            </w:r>
          </w:p>
        </w:tc>
      </w:tr>
      <w:tr w14:paraId="5FFDF014"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1E200754" w14:textId="77777777">
            <w:pPr>
              <w:widowControl/>
              <w:autoSpaceDE/>
              <w:autoSpaceDN/>
              <w:adjustRightInd/>
              <w:ind w:firstLine="200" w:firstLineChars="100"/>
              <w:rPr>
                <w:color w:val="000000"/>
                <w:sz w:val="20"/>
                <w:szCs w:val="20"/>
              </w:rPr>
            </w:pPr>
            <w:r w:rsidRPr="00FD69F1">
              <w:rPr>
                <w:color w:val="000000"/>
                <w:sz w:val="20"/>
                <w:szCs w:val="20"/>
              </w:rPr>
              <w:t>G. Time for Audits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4DC5D7FD" w14:textId="77777777">
            <w:pPr>
              <w:widowControl/>
              <w:autoSpaceDE/>
              <w:autoSpaceDN/>
              <w:adjustRightInd/>
              <w:jc w:val="center"/>
              <w:rPr>
                <w:color w:val="000000"/>
                <w:sz w:val="20"/>
                <w:szCs w:val="20"/>
              </w:rPr>
            </w:pPr>
            <w:r w:rsidRPr="00FD69F1">
              <w:rPr>
                <w:color w:val="000000"/>
                <w:sz w:val="20"/>
                <w:szCs w:val="20"/>
              </w:rPr>
              <w:t>N/A</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39FBE0C6" w14:textId="77777777">
            <w:pPr>
              <w:widowControl/>
              <w:autoSpaceDE/>
              <w:autoSpaceDN/>
              <w:adjustRightInd/>
              <w:jc w:val="center"/>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0EEAD9EF" w14:textId="77777777">
            <w:pPr>
              <w:widowControl/>
              <w:autoSpaceDE/>
              <w:autoSpaceDN/>
              <w:adjustRightInd/>
              <w:jc w:val="center"/>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62B75CAC" w14:textId="77777777">
            <w:pPr>
              <w:widowControl/>
              <w:autoSpaceDE/>
              <w:autoSpaceDN/>
              <w:adjustRightInd/>
              <w:jc w:val="center"/>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2F6B0AD3" w14:textId="77777777">
            <w:pPr>
              <w:widowControl/>
              <w:autoSpaceDE/>
              <w:autoSpaceDN/>
              <w:adjustRightInd/>
              <w:jc w:val="center"/>
              <w:rPr>
                <w:color w:val="000000"/>
                <w:sz w:val="20"/>
                <w:szCs w:val="20"/>
              </w:rPr>
            </w:pPr>
            <w:r w:rsidRPr="00FD69F1">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88B2069" w14:textId="77777777">
            <w:pPr>
              <w:widowControl/>
              <w:autoSpaceDE/>
              <w:autoSpaceDN/>
              <w:adjustRightInd/>
              <w:jc w:val="center"/>
              <w:rPr>
                <w:color w:val="000000"/>
                <w:sz w:val="20"/>
                <w:szCs w:val="20"/>
              </w:rPr>
            </w:pPr>
            <w:r w:rsidRPr="00FD69F1">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4C673B3A" w14:textId="77777777">
            <w:pPr>
              <w:widowControl/>
              <w:autoSpaceDE/>
              <w:autoSpaceDN/>
              <w:adjustRightInd/>
              <w:jc w:val="center"/>
              <w:rPr>
                <w:color w:val="000000"/>
                <w:sz w:val="20"/>
                <w:szCs w:val="20"/>
              </w:rPr>
            </w:pPr>
            <w:r w:rsidRPr="00FD69F1">
              <w:rPr>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F580D2B" w14:textId="77777777">
            <w:pPr>
              <w:widowControl/>
              <w:autoSpaceDE/>
              <w:autoSpaceDN/>
              <w:adjustRightInd/>
              <w:jc w:val="right"/>
              <w:rPr>
                <w:color w:val="000000"/>
                <w:sz w:val="20"/>
                <w:szCs w:val="20"/>
              </w:rPr>
            </w:pPr>
            <w:r w:rsidRPr="00FD69F1">
              <w:rPr>
                <w:color w:val="000000"/>
                <w:sz w:val="20"/>
                <w:szCs w:val="20"/>
              </w:rPr>
              <w:t> </w:t>
            </w:r>
          </w:p>
        </w:tc>
      </w:tr>
      <w:tr w14:paraId="1698C5D8" w14:textId="77777777" w:rsidTr="00C509A7">
        <w:tblPrEx>
          <w:tblW w:w="12865" w:type="dxa"/>
          <w:tblLook w:val="04A0"/>
        </w:tblPrEx>
        <w:trPr>
          <w:trHeight w:val="300"/>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2BF017B8" w14:textId="77777777">
            <w:pPr>
              <w:widowControl/>
              <w:autoSpaceDE/>
              <w:autoSpaceDN/>
              <w:adjustRightInd/>
              <w:rPr>
                <w:b/>
                <w:bCs/>
                <w:i/>
                <w:iCs/>
                <w:color w:val="000000"/>
                <w:sz w:val="20"/>
                <w:szCs w:val="20"/>
              </w:rPr>
            </w:pPr>
            <w:r w:rsidRPr="00FD69F1">
              <w:rPr>
                <w:b/>
                <w:bCs/>
                <w:i/>
                <w:iCs/>
                <w:color w:val="000000"/>
                <w:sz w:val="20"/>
                <w:szCs w:val="20"/>
              </w:rPr>
              <w:t>Subtotal for Recordkeeping Requirements</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34CAA943" w14:textId="77777777">
            <w:pPr>
              <w:widowControl/>
              <w:autoSpaceDE/>
              <w:autoSpaceDN/>
              <w:adjustRightInd/>
              <w:rPr>
                <w:i/>
                <w:iCs/>
                <w:color w:val="000000"/>
                <w:sz w:val="20"/>
                <w:szCs w:val="20"/>
              </w:rPr>
            </w:pPr>
            <w:r w:rsidRPr="00FD69F1">
              <w:rPr>
                <w:i/>
                <w:iCs/>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5DCC4AC0" w14:textId="77777777">
            <w:pPr>
              <w:widowControl/>
              <w:autoSpaceDE/>
              <w:autoSpaceDN/>
              <w:adjustRightInd/>
              <w:rPr>
                <w:i/>
                <w:iCs/>
                <w:color w:val="000000"/>
                <w:sz w:val="20"/>
                <w:szCs w:val="20"/>
              </w:rPr>
            </w:pPr>
            <w:r w:rsidRPr="00FD69F1">
              <w:rPr>
                <w:i/>
                <w:iCs/>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015C98AC" w14:textId="77777777">
            <w:pPr>
              <w:widowControl/>
              <w:autoSpaceDE/>
              <w:autoSpaceDN/>
              <w:adjustRightInd/>
              <w:rPr>
                <w:i/>
                <w:iCs/>
                <w:color w:val="000000"/>
                <w:sz w:val="20"/>
                <w:szCs w:val="20"/>
              </w:rPr>
            </w:pPr>
            <w:r w:rsidRPr="00FD69F1">
              <w:rPr>
                <w:i/>
                <w:iCs/>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5859A7B2" w14:textId="77777777">
            <w:pPr>
              <w:widowControl/>
              <w:autoSpaceDE/>
              <w:autoSpaceDN/>
              <w:adjustRightInd/>
              <w:rPr>
                <w:i/>
                <w:iCs/>
                <w:color w:val="000000"/>
                <w:sz w:val="20"/>
                <w:szCs w:val="20"/>
              </w:rPr>
            </w:pPr>
            <w:r w:rsidRPr="00FD69F1">
              <w:rPr>
                <w:i/>
                <w:iCs/>
                <w:color w:val="000000"/>
                <w:sz w:val="20"/>
                <w:szCs w:val="20"/>
              </w:rPr>
              <w:t> </w:t>
            </w:r>
          </w:p>
        </w:tc>
        <w:tc>
          <w:tcPr>
            <w:tcW w:w="3504" w:type="dxa"/>
            <w:gridSpan w:val="3"/>
            <w:tcBorders>
              <w:top w:val="single" w:sz="4" w:space="0" w:color="auto"/>
              <w:left w:val="nil"/>
              <w:bottom w:val="single" w:sz="4" w:space="0" w:color="auto"/>
              <w:right w:val="single" w:sz="4" w:space="0" w:color="auto"/>
            </w:tcBorders>
            <w:shd w:val="clear" w:color="auto" w:fill="auto"/>
            <w:vAlign w:val="center"/>
            <w:hideMark/>
          </w:tcPr>
          <w:p w:rsidR="00FD69F1" w:rsidRPr="00FD69F1" w:rsidP="00FD69F1" w14:paraId="02832DC3" w14:textId="77777777">
            <w:pPr>
              <w:widowControl/>
              <w:autoSpaceDE/>
              <w:autoSpaceDN/>
              <w:adjustRightInd/>
              <w:jc w:val="center"/>
              <w:rPr>
                <w:b/>
                <w:bCs/>
                <w:i/>
                <w:iCs/>
                <w:color w:val="000000"/>
                <w:sz w:val="20"/>
                <w:szCs w:val="20"/>
              </w:rPr>
            </w:pPr>
            <w:r w:rsidRPr="00FD69F1">
              <w:rPr>
                <w:b/>
                <w:bCs/>
                <w:i/>
                <w:iCs/>
                <w:color w:val="000000"/>
                <w:sz w:val="20"/>
                <w:szCs w:val="20"/>
              </w:rPr>
              <w:t>2,544</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7D7F4576" w14:textId="77777777">
            <w:pPr>
              <w:widowControl/>
              <w:autoSpaceDE/>
              <w:autoSpaceDN/>
              <w:adjustRightInd/>
              <w:jc w:val="right"/>
              <w:rPr>
                <w:b/>
                <w:bCs/>
                <w:i/>
                <w:iCs/>
                <w:color w:val="000000"/>
                <w:sz w:val="20"/>
                <w:szCs w:val="20"/>
              </w:rPr>
            </w:pPr>
            <w:r w:rsidRPr="00FD69F1">
              <w:rPr>
                <w:b/>
                <w:bCs/>
                <w:i/>
                <w:iCs/>
                <w:color w:val="000000"/>
                <w:sz w:val="20"/>
                <w:szCs w:val="20"/>
              </w:rPr>
              <w:t xml:space="preserve">$305,499 </w:t>
            </w:r>
          </w:p>
        </w:tc>
      </w:tr>
      <w:tr w14:paraId="349F10B6"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7DEAB154" w14:textId="77777777">
            <w:pPr>
              <w:widowControl/>
              <w:autoSpaceDE/>
              <w:autoSpaceDN/>
              <w:adjustRightInd/>
              <w:rPr>
                <w:b/>
                <w:bCs/>
                <w:color w:val="000000"/>
                <w:sz w:val="20"/>
                <w:szCs w:val="20"/>
              </w:rPr>
            </w:pPr>
            <w:r w:rsidRPr="00FD69F1">
              <w:rPr>
                <w:b/>
                <w:bCs/>
                <w:color w:val="000000"/>
                <w:sz w:val="20"/>
                <w:szCs w:val="20"/>
              </w:rPr>
              <w:t xml:space="preserve">Total Labor Burden and Costs (rounded) </w:t>
            </w:r>
            <w:r w:rsidRPr="00FD69F1">
              <w:rPr>
                <w:b/>
                <w:bCs/>
                <w:color w:val="000000"/>
                <w:sz w:val="20"/>
                <w:szCs w:val="20"/>
                <w:vertAlign w:val="superscript"/>
              </w:rPr>
              <w:t>k</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2FA1D6C2" w14:textId="77777777">
            <w:pPr>
              <w:widowControl/>
              <w:autoSpaceDE/>
              <w:autoSpaceDN/>
              <w:adjustRightInd/>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EB89209" w14:textId="77777777">
            <w:pPr>
              <w:widowControl/>
              <w:autoSpaceDE/>
              <w:autoSpaceDN/>
              <w:adjustRightInd/>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39C76100" w14:textId="77777777">
            <w:pPr>
              <w:widowControl/>
              <w:autoSpaceDE/>
              <w:autoSpaceDN/>
              <w:adjustRightInd/>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30E10F0C" w14:textId="77777777">
            <w:pPr>
              <w:widowControl/>
              <w:autoSpaceDE/>
              <w:autoSpaceDN/>
              <w:adjustRightInd/>
              <w:rPr>
                <w:color w:val="000000"/>
                <w:sz w:val="20"/>
                <w:szCs w:val="20"/>
              </w:rPr>
            </w:pPr>
            <w:r w:rsidRPr="00FD69F1">
              <w:rPr>
                <w:color w:val="000000"/>
                <w:sz w:val="20"/>
                <w:szCs w:val="20"/>
              </w:rPr>
              <w:t> </w:t>
            </w:r>
          </w:p>
        </w:tc>
        <w:tc>
          <w:tcPr>
            <w:tcW w:w="3504" w:type="dxa"/>
            <w:gridSpan w:val="3"/>
            <w:tcBorders>
              <w:top w:val="single" w:sz="4" w:space="0" w:color="auto"/>
              <w:left w:val="nil"/>
              <w:bottom w:val="single" w:sz="4" w:space="0" w:color="auto"/>
              <w:right w:val="single" w:sz="4" w:space="0" w:color="auto"/>
            </w:tcBorders>
            <w:shd w:val="clear" w:color="auto" w:fill="auto"/>
            <w:vAlign w:val="center"/>
            <w:hideMark/>
          </w:tcPr>
          <w:p w:rsidR="00FD69F1" w:rsidRPr="00FD69F1" w:rsidP="00FD69F1" w14:paraId="450B153A" w14:textId="77777777">
            <w:pPr>
              <w:widowControl/>
              <w:autoSpaceDE/>
              <w:autoSpaceDN/>
              <w:adjustRightInd/>
              <w:jc w:val="center"/>
              <w:rPr>
                <w:b/>
                <w:bCs/>
                <w:color w:val="000000"/>
                <w:sz w:val="20"/>
                <w:szCs w:val="20"/>
              </w:rPr>
            </w:pPr>
            <w:r w:rsidRPr="00FD69F1">
              <w:rPr>
                <w:b/>
                <w:bCs/>
                <w:color w:val="000000"/>
                <w:sz w:val="20"/>
                <w:szCs w:val="20"/>
              </w:rPr>
              <w:t>16,100</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553A320D" w14:textId="77777777">
            <w:pPr>
              <w:widowControl/>
              <w:autoSpaceDE/>
              <w:autoSpaceDN/>
              <w:adjustRightInd/>
              <w:jc w:val="right"/>
              <w:rPr>
                <w:b/>
                <w:bCs/>
                <w:color w:val="000000"/>
                <w:sz w:val="20"/>
                <w:szCs w:val="20"/>
              </w:rPr>
            </w:pPr>
            <w:r w:rsidRPr="00FD69F1">
              <w:rPr>
                <w:b/>
                <w:bCs/>
                <w:color w:val="000000"/>
                <w:sz w:val="20"/>
                <w:szCs w:val="20"/>
              </w:rPr>
              <w:t xml:space="preserve">$1,940,000 </w:t>
            </w:r>
          </w:p>
        </w:tc>
      </w:tr>
      <w:tr w14:paraId="1C61730C"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5550F6D9" w14:textId="77777777">
            <w:pPr>
              <w:widowControl/>
              <w:autoSpaceDE/>
              <w:autoSpaceDN/>
              <w:adjustRightInd/>
              <w:rPr>
                <w:b/>
                <w:bCs/>
                <w:color w:val="000000"/>
                <w:sz w:val="20"/>
                <w:szCs w:val="20"/>
              </w:rPr>
            </w:pPr>
            <w:r w:rsidRPr="00FD69F1">
              <w:rPr>
                <w:b/>
                <w:bCs/>
                <w:color w:val="000000"/>
                <w:sz w:val="20"/>
                <w:szCs w:val="20"/>
              </w:rPr>
              <w:t xml:space="preserve">Total Capital and O&amp;M Cost (rounded) </w:t>
            </w:r>
            <w:r w:rsidRPr="00FD69F1">
              <w:rPr>
                <w:b/>
                <w:bCs/>
                <w:color w:val="000000"/>
                <w:sz w:val="20"/>
                <w:szCs w:val="20"/>
                <w:vertAlign w:val="superscript"/>
              </w:rPr>
              <w:t>k</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E1ACFC8" w14:textId="77777777">
            <w:pPr>
              <w:widowControl/>
              <w:autoSpaceDE/>
              <w:autoSpaceDN/>
              <w:adjustRightInd/>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05A1E32F" w14:textId="77777777">
            <w:pPr>
              <w:widowControl/>
              <w:autoSpaceDE/>
              <w:autoSpaceDN/>
              <w:adjustRightInd/>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2E95260B" w14:textId="77777777">
            <w:pPr>
              <w:widowControl/>
              <w:autoSpaceDE/>
              <w:autoSpaceDN/>
              <w:adjustRightInd/>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2AE12EAB" w14:textId="77777777">
            <w:pPr>
              <w:widowControl/>
              <w:autoSpaceDE/>
              <w:autoSpaceDN/>
              <w:adjustRightInd/>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1BC81237" w14:textId="77777777">
            <w:pPr>
              <w:widowControl/>
              <w:autoSpaceDE/>
              <w:autoSpaceDN/>
              <w:adjustRightInd/>
              <w:jc w:val="center"/>
              <w:rPr>
                <w:b/>
                <w:bCs/>
                <w:color w:val="000000"/>
                <w:sz w:val="20"/>
                <w:szCs w:val="20"/>
              </w:rPr>
            </w:pPr>
            <w:r w:rsidRPr="00FD69F1">
              <w:rPr>
                <w:b/>
                <w:bCs/>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656F9561" w14:textId="77777777">
            <w:pPr>
              <w:widowControl/>
              <w:autoSpaceDE/>
              <w:autoSpaceDN/>
              <w:adjustRightInd/>
              <w:jc w:val="center"/>
              <w:rPr>
                <w:b/>
                <w:bCs/>
                <w:color w:val="000000"/>
                <w:sz w:val="20"/>
                <w:szCs w:val="20"/>
              </w:rPr>
            </w:pPr>
            <w:r w:rsidRPr="00FD69F1">
              <w:rPr>
                <w:b/>
                <w:bCs/>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04C29C6F" w14:textId="77777777">
            <w:pPr>
              <w:widowControl/>
              <w:autoSpaceDE/>
              <w:autoSpaceDN/>
              <w:adjustRightInd/>
              <w:jc w:val="center"/>
              <w:rPr>
                <w:b/>
                <w:bCs/>
                <w:color w:val="000000"/>
                <w:sz w:val="20"/>
                <w:szCs w:val="20"/>
              </w:rPr>
            </w:pPr>
            <w:r w:rsidRPr="00FD69F1">
              <w:rPr>
                <w:b/>
                <w:bCs/>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38F7FAE8" w14:textId="77777777">
            <w:pPr>
              <w:widowControl/>
              <w:autoSpaceDE/>
              <w:autoSpaceDN/>
              <w:adjustRightInd/>
              <w:jc w:val="right"/>
              <w:rPr>
                <w:b/>
                <w:bCs/>
                <w:color w:val="000000"/>
                <w:sz w:val="20"/>
                <w:szCs w:val="20"/>
              </w:rPr>
            </w:pPr>
            <w:r w:rsidRPr="00FD69F1">
              <w:rPr>
                <w:b/>
                <w:bCs/>
                <w:color w:val="000000"/>
                <w:sz w:val="20"/>
                <w:szCs w:val="20"/>
              </w:rPr>
              <w:t xml:space="preserve">$1,170,000 </w:t>
            </w:r>
          </w:p>
        </w:tc>
      </w:tr>
      <w:tr w14:paraId="38E31B29" w14:textId="77777777" w:rsidTr="00C509A7">
        <w:tblPrEx>
          <w:tblW w:w="12865" w:type="dxa"/>
          <w:tblLook w:val="04A0"/>
        </w:tblPrEx>
        <w:trPr>
          <w:trHeight w:val="315"/>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FD69F1" w:rsidRPr="00FD69F1" w:rsidP="00FD69F1" w14:paraId="618741E3" w14:textId="77777777">
            <w:pPr>
              <w:widowControl/>
              <w:autoSpaceDE/>
              <w:autoSpaceDN/>
              <w:adjustRightInd/>
              <w:rPr>
                <w:b/>
                <w:bCs/>
                <w:color w:val="000000"/>
                <w:sz w:val="20"/>
                <w:szCs w:val="20"/>
              </w:rPr>
            </w:pPr>
            <w:r w:rsidRPr="00FD69F1">
              <w:rPr>
                <w:b/>
                <w:bCs/>
                <w:color w:val="000000"/>
                <w:sz w:val="20"/>
                <w:szCs w:val="20"/>
              </w:rPr>
              <w:t xml:space="preserve">Grand Total (rounded) </w:t>
            </w:r>
            <w:r w:rsidRPr="00FD69F1">
              <w:rPr>
                <w:b/>
                <w:bCs/>
                <w:color w:val="000000"/>
                <w:sz w:val="20"/>
                <w:szCs w:val="20"/>
                <w:vertAlign w:val="superscript"/>
              </w:rPr>
              <w:t>k</w:t>
            </w:r>
          </w:p>
        </w:tc>
        <w:tc>
          <w:tcPr>
            <w:tcW w:w="1189" w:type="dxa"/>
            <w:tcBorders>
              <w:top w:val="nil"/>
              <w:left w:val="nil"/>
              <w:bottom w:val="single" w:sz="4" w:space="0" w:color="auto"/>
              <w:right w:val="single" w:sz="4" w:space="0" w:color="auto"/>
            </w:tcBorders>
            <w:shd w:val="clear" w:color="auto" w:fill="auto"/>
            <w:vAlign w:val="center"/>
            <w:hideMark/>
          </w:tcPr>
          <w:p w:rsidR="00FD69F1" w:rsidRPr="00FD69F1" w:rsidP="00FD69F1" w14:paraId="1CF799F4" w14:textId="77777777">
            <w:pPr>
              <w:widowControl/>
              <w:autoSpaceDE/>
              <w:autoSpaceDN/>
              <w:adjustRightInd/>
              <w:rPr>
                <w:color w:val="000000"/>
                <w:sz w:val="20"/>
                <w:szCs w:val="20"/>
              </w:rPr>
            </w:pPr>
            <w:r w:rsidRPr="00FD69F1">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rsidR="00FD69F1" w:rsidRPr="00FD69F1" w:rsidP="00FD69F1" w14:paraId="61D9DC1D" w14:textId="77777777">
            <w:pPr>
              <w:widowControl/>
              <w:autoSpaceDE/>
              <w:autoSpaceDN/>
              <w:adjustRightInd/>
              <w:rPr>
                <w:color w:val="000000"/>
                <w:sz w:val="20"/>
                <w:szCs w:val="20"/>
              </w:rPr>
            </w:pPr>
            <w:r w:rsidRPr="00FD69F1">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rsidR="00FD69F1" w:rsidRPr="00FD69F1" w:rsidP="00FD69F1" w14:paraId="7DDE2065" w14:textId="77777777">
            <w:pPr>
              <w:widowControl/>
              <w:autoSpaceDE/>
              <w:autoSpaceDN/>
              <w:adjustRightInd/>
              <w:rPr>
                <w:color w:val="000000"/>
                <w:sz w:val="20"/>
                <w:szCs w:val="20"/>
              </w:rPr>
            </w:pPr>
            <w:r w:rsidRPr="00FD69F1">
              <w:rPr>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rsidR="00FD69F1" w:rsidRPr="00FD69F1" w:rsidP="00FD69F1" w14:paraId="4D8DB70E" w14:textId="77777777">
            <w:pPr>
              <w:widowControl/>
              <w:autoSpaceDE/>
              <w:autoSpaceDN/>
              <w:adjustRightInd/>
              <w:rPr>
                <w:color w:val="000000"/>
                <w:sz w:val="20"/>
                <w:szCs w:val="20"/>
              </w:rPr>
            </w:pPr>
            <w:r w:rsidRPr="00FD69F1">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FD69F1" w:rsidRPr="00FD69F1" w:rsidP="00FD69F1" w14:paraId="50B4715F" w14:textId="77777777">
            <w:pPr>
              <w:widowControl/>
              <w:autoSpaceDE/>
              <w:autoSpaceDN/>
              <w:adjustRightInd/>
              <w:jc w:val="center"/>
              <w:rPr>
                <w:b/>
                <w:bCs/>
                <w:color w:val="000000"/>
                <w:sz w:val="20"/>
                <w:szCs w:val="20"/>
              </w:rPr>
            </w:pPr>
            <w:r w:rsidRPr="00FD69F1">
              <w:rPr>
                <w:b/>
                <w:bCs/>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rsidR="00FD69F1" w:rsidRPr="00FD69F1" w:rsidP="00FD69F1" w14:paraId="356E28D2" w14:textId="77777777">
            <w:pPr>
              <w:widowControl/>
              <w:autoSpaceDE/>
              <w:autoSpaceDN/>
              <w:adjustRightInd/>
              <w:jc w:val="center"/>
              <w:rPr>
                <w:b/>
                <w:bCs/>
                <w:color w:val="000000"/>
                <w:sz w:val="20"/>
                <w:szCs w:val="20"/>
              </w:rPr>
            </w:pPr>
            <w:r w:rsidRPr="00FD69F1">
              <w:rPr>
                <w:b/>
                <w:bCs/>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FD69F1" w:rsidRPr="00FD69F1" w:rsidP="00FD69F1" w14:paraId="5E20DBED" w14:textId="77777777">
            <w:pPr>
              <w:widowControl/>
              <w:autoSpaceDE/>
              <w:autoSpaceDN/>
              <w:adjustRightInd/>
              <w:jc w:val="center"/>
              <w:rPr>
                <w:b/>
                <w:bCs/>
                <w:color w:val="000000"/>
                <w:sz w:val="20"/>
                <w:szCs w:val="20"/>
              </w:rPr>
            </w:pPr>
            <w:r w:rsidRPr="00FD69F1">
              <w:rPr>
                <w:b/>
                <w:bCs/>
                <w:color w:val="000000"/>
                <w:sz w:val="20"/>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FD69F1" w:rsidRPr="00FD69F1" w:rsidP="00FD69F1" w14:paraId="2DA1F28F" w14:textId="77777777">
            <w:pPr>
              <w:widowControl/>
              <w:autoSpaceDE/>
              <w:autoSpaceDN/>
              <w:adjustRightInd/>
              <w:jc w:val="right"/>
              <w:rPr>
                <w:b/>
                <w:bCs/>
                <w:color w:val="000000"/>
                <w:sz w:val="20"/>
                <w:szCs w:val="20"/>
              </w:rPr>
            </w:pPr>
            <w:r w:rsidRPr="00FD69F1">
              <w:rPr>
                <w:b/>
                <w:bCs/>
                <w:color w:val="000000"/>
                <w:sz w:val="20"/>
                <w:szCs w:val="20"/>
              </w:rPr>
              <w:t xml:space="preserve">$3,110,000 </w:t>
            </w:r>
          </w:p>
        </w:tc>
      </w:tr>
      <w:tr w14:paraId="4AC88BA6" w14:textId="77777777" w:rsidTr="00C509A7">
        <w:tblPrEx>
          <w:tblW w:w="12865" w:type="dxa"/>
          <w:tblLook w:val="04A0"/>
        </w:tblPrEx>
        <w:trPr>
          <w:trHeight w:val="300"/>
        </w:trPr>
        <w:tc>
          <w:tcPr>
            <w:tcW w:w="2886" w:type="dxa"/>
            <w:tcBorders>
              <w:top w:val="nil"/>
              <w:left w:val="nil"/>
              <w:bottom w:val="nil"/>
              <w:right w:val="nil"/>
            </w:tcBorders>
            <w:shd w:val="clear" w:color="auto" w:fill="auto"/>
            <w:noWrap/>
            <w:vAlign w:val="center"/>
            <w:hideMark/>
          </w:tcPr>
          <w:p w:rsidR="00FD69F1" w:rsidRPr="00FD69F1" w:rsidP="00FD69F1" w14:paraId="7B95CB1C" w14:textId="77777777">
            <w:pPr>
              <w:widowControl/>
              <w:autoSpaceDE/>
              <w:autoSpaceDN/>
              <w:adjustRightInd/>
              <w:jc w:val="right"/>
              <w:rPr>
                <w:b/>
                <w:bCs/>
                <w:color w:val="000000"/>
                <w:sz w:val="20"/>
                <w:szCs w:val="20"/>
              </w:rPr>
            </w:pPr>
          </w:p>
        </w:tc>
        <w:tc>
          <w:tcPr>
            <w:tcW w:w="1189" w:type="dxa"/>
            <w:tcBorders>
              <w:top w:val="nil"/>
              <w:left w:val="nil"/>
              <w:bottom w:val="nil"/>
              <w:right w:val="nil"/>
            </w:tcBorders>
            <w:shd w:val="clear" w:color="auto" w:fill="auto"/>
            <w:noWrap/>
            <w:vAlign w:val="bottom"/>
            <w:hideMark/>
          </w:tcPr>
          <w:p w:rsidR="00FD69F1" w:rsidRPr="00FD69F1" w:rsidP="00FD69F1" w14:paraId="3C9DDB7F" w14:textId="77777777">
            <w:pPr>
              <w:widowControl/>
              <w:autoSpaceDE/>
              <w:autoSpaceDN/>
              <w:adjustRightInd/>
              <w:rPr>
                <w:sz w:val="20"/>
                <w:szCs w:val="20"/>
              </w:rPr>
            </w:pPr>
          </w:p>
        </w:tc>
        <w:tc>
          <w:tcPr>
            <w:tcW w:w="1208" w:type="dxa"/>
            <w:tcBorders>
              <w:top w:val="nil"/>
              <w:left w:val="nil"/>
              <w:bottom w:val="nil"/>
              <w:right w:val="nil"/>
            </w:tcBorders>
            <w:shd w:val="clear" w:color="auto" w:fill="auto"/>
            <w:noWrap/>
            <w:vAlign w:val="bottom"/>
            <w:hideMark/>
          </w:tcPr>
          <w:p w:rsidR="00FD69F1" w:rsidRPr="00FD69F1" w:rsidP="00FD69F1" w14:paraId="0EFA6763" w14:textId="77777777">
            <w:pPr>
              <w:widowControl/>
              <w:autoSpaceDE/>
              <w:autoSpaceDN/>
              <w:adjustRightInd/>
              <w:rPr>
                <w:sz w:val="20"/>
                <w:szCs w:val="20"/>
              </w:rPr>
            </w:pPr>
          </w:p>
        </w:tc>
        <w:tc>
          <w:tcPr>
            <w:tcW w:w="1144" w:type="dxa"/>
            <w:tcBorders>
              <w:top w:val="nil"/>
              <w:left w:val="nil"/>
              <w:bottom w:val="nil"/>
              <w:right w:val="nil"/>
            </w:tcBorders>
            <w:shd w:val="clear" w:color="auto" w:fill="auto"/>
            <w:noWrap/>
            <w:vAlign w:val="bottom"/>
            <w:hideMark/>
          </w:tcPr>
          <w:p w:rsidR="00FD69F1" w:rsidRPr="00FD69F1" w:rsidP="00FD69F1" w14:paraId="375D090C" w14:textId="77777777">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rsidR="00FD69F1" w:rsidRPr="00FD69F1" w:rsidP="00FD69F1" w14:paraId="0730E129"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00FD69F1" w:rsidRPr="00FD69F1" w:rsidP="00FD69F1" w14:paraId="793AA687" w14:textId="77777777">
            <w:pPr>
              <w:widowControl/>
              <w:autoSpaceDE/>
              <w:autoSpaceDN/>
              <w:adjustRightInd/>
              <w:rPr>
                <w:sz w:val="20"/>
                <w:szCs w:val="20"/>
              </w:rPr>
            </w:pPr>
          </w:p>
        </w:tc>
        <w:tc>
          <w:tcPr>
            <w:tcW w:w="1305" w:type="dxa"/>
            <w:tcBorders>
              <w:top w:val="nil"/>
              <w:left w:val="nil"/>
              <w:bottom w:val="nil"/>
              <w:right w:val="nil"/>
            </w:tcBorders>
            <w:shd w:val="clear" w:color="auto" w:fill="auto"/>
            <w:noWrap/>
            <w:vAlign w:val="bottom"/>
            <w:hideMark/>
          </w:tcPr>
          <w:p w:rsidR="00FD69F1" w:rsidRPr="00FD69F1" w:rsidP="00FD69F1" w14:paraId="5A137191"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FD69F1" w:rsidRPr="00FD69F1" w:rsidP="00FD69F1" w14:paraId="36F8B080" w14:textId="77777777">
            <w:pPr>
              <w:widowControl/>
              <w:autoSpaceDE/>
              <w:autoSpaceDN/>
              <w:adjustRightInd/>
              <w:rPr>
                <w:sz w:val="20"/>
                <w:szCs w:val="20"/>
              </w:rPr>
            </w:pPr>
          </w:p>
        </w:tc>
        <w:tc>
          <w:tcPr>
            <w:tcW w:w="1607" w:type="dxa"/>
            <w:tcBorders>
              <w:top w:val="nil"/>
              <w:left w:val="nil"/>
              <w:bottom w:val="nil"/>
              <w:right w:val="nil"/>
            </w:tcBorders>
            <w:shd w:val="clear" w:color="auto" w:fill="auto"/>
            <w:noWrap/>
            <w:vAlign w:val="bottom"/>
            <w:hideMark/>
          </w:tcPr>
          <w:p w:rsidR="00FD69F1" w:rsidRPr="00FD69F1" w:rsidP="00FD69F1" w14:paraId="7D97FCC2" w14:textId="77777777">
            <w:pPr>
              <w:widowControl/>
              <w:autoSpaceDE/>
              <w:autoSpaceDN/>
              <w:adjustRightInd/>
              <w:rPr>
                <w:sz w:val="20"/>
                <w:szCs w:val="20"/>
              </w:rPr>
            </w:pPr>
          </w:p>
        </w:tc>
      </w:tr>
      <w:tr w14:paraId="4FC5071E" w14:textId="77777777" w:rsidTr="00C509A7">
        <w:tblPrEx>
          <w:tblW w:w="12865" w:type="dxa"/>
          <w:tblLook w:val="04A0"/>
        </w:tblPrEx>
        <w:trPr>
          <w:trHeight w:val="300"/>
        </w:trPr>
        <w:tc>
          <w:tcPr>
            <w:tcW w:w="2886" w:type="dxa"/>
            <w:tcBorders>
              <w:top w:val="nil"/>
              <w:left w:val="nil"/>
              <w:bottom w:val="nil"/>
              <w:right w:val="nil"/>
            </w:tcBorders>
            <w:shd w:val="clear" w:color="auto" w:fill="auto"/>
            <w:noWrap/>
            <w:vAlign w:val="center"/>
            <w:hideMark/>
          </w:tcPr>
          <w:p w:rsidR="00FD69F1" w:rsidRPr="00FD69F1" w:rsidP="00FD69F1" w14:paraId="0AA22BCF" w14:textId="77777777">
            <w:pPr>
              <w:widowControl/>
              <w:autoSpaceDE/>
              <w:autoSpaceDN/>
              <w:adjustRightInd/>
              <w:rPr>
                <w:b/>
                <w:bCs/>
                <w:color w:val="000000"/>
                <w:sz w:val="20"/>
                <w:szCs w:val="20"/>
              </w:rPr>
            </w:pPr>
            <w:r w:rsidRPr="00FD69F1">
              <w:rPr>
                <w:b/>
                <w:bCs/>
                <w:color w:val="000000"/>
                <w:sz w:val="20"/>
                <w:szCs w:val="20"/>
              </w:rPr>
              <w:t>Assumptions:</w:t>
            </w:r>
          </w:p>
        </w:tc>
        <w:tc>
          <w:tcPr>
            <w:tcW w:w="1189" w:type="dxa"/>
            <w:tcBorders>
              <w:top w:val="nil"/>
              <w:left w:val="nil"/>
              <w:bottom w:val="nil"/>
              <w:right w:val="nil"/>
            </w:tcBorders>
            <w:shd w:val="clear" w:color="auto" w:fill="auto"/>
            <w:noWrap/>
            <w:vAlign w:val="bottom"/>
            <w:hideMark/>
          </w:tcPr>
          <w:p w:rsidR="00FD69F1" w:rsidRPr="00FD69F1" w:rsidP="00FD69F1" w14:paraId="0A776923" w14:textId="77777777">
            <w:pPr>
              <w:widowControl/>
              <w:autoSpaceDE/>
              <w:autoSpaceDN/>
              <w:adjustRightInd/>
              <w:rPr>
                <w:b/>
                <w:bCs/>
                <w:color w:val="000000"/>
                <w:sz w:val="20"/>
                <w:szCs w:val="20"/>
              </w:rPr>
            </w:pPr>
          </w:p>
        </w:tc>
        <w:tc>
          <w:tcPr>
            <w:tcW w:w="1208" w:type="dxa"/>
            <w:tcBorders>
              <w:top w:val="nil"/>
              <w:left w:val="nil"/>
              <w:bottom w:val="nil"/>
              <w:right w:val="nil"/>
            </w:tcBorders>
            <w:shd w:val="clear" w:color="auto" w:fill="auto"/>
            <w:noWrap/>
            <w:vAlign w:val="bottom"/>
            <w:hideMark/>
          </w:tcPr>
          <w:p w:rsidR="00FD69F1" w:rsidRPr="00FD69F1" w:rsidP="00FD69F1" w14:paraId="22091B64" w14:textId="77777777">
            <w:pPr>
              <w:widowControl/>
              <w:autoSpaceDE/>
              <w:autoSpaceDN/>
              <w:adjustRightInd/>
              <w:rPr>
                <w:sz w:val="20"/>
                <w:szCs w:val="20"/>
              </w:rPr>
            </w:pPr>
          </w:p>
        </w:tc>
        <w:tc>
          <w:tcPr>
            <w:tcW w:w="1144" w:type="dxa"/>
            <w:tcBorders>
              <w:top w:val="nil"/>
              <w:left w:val="nil"/>
              <w:bottom w:val="nil"/>
              <w:right w:val="nil"/>
            </w:tcBorders>
            <w:shd w:val="clear" w:color="auto" w:fill="auto"/>
            <w:noWrap/>
            <w:vAlign w:val="bottom"/>
            <w:hideMark/>
          </w:tcPr>
          <w:p w:rsidR="00FD69F1" w:rsidRPr="00FD69F1" w:rsidP="00FD69F1" w14:paraId="526C7D3B" w14:textId="77777777">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rsidR="00FD69F1" w:rsidRPr="00FD69F1" w:rsidP="00FD69F1" w14:paraId="270D193A"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00FD69F1" w:rsidRPr="00FD69F1" w:rsidP="00FD69F1" w14:paraId="3C8D82EA" w14:textId="77777777">
            <w:pPr>
              <w:widowControl/>
              <w:autoSpaceDE/>
              <w:autoSpaceDN/>
              <w:adjustRightInd/>
              <w:rPr>
                <w:sz w:val="20"/>
                <w:szCs w:val="20"/>
              </w:rPr>
            </w:pPr>
          </w:p>
        </w:tc>
        <w:tc>
          <w:tcPr>
            <w:tcW w:w="1305" w:type="dxa"/>
            <w:tcBorders>
              <w:top w:val="nil"/>
              <w:left w:val="nil"/>
              <w:bottom w:val="nil"/>
              <w:right w:val="nil"/>
            </w:tcBorders>
            <w:shd w:val="clear" w:color="auto" w:fill="auto"/>
            <w:noWrap/>
            <w:vAlign w:val="bottom"/>
            <w:hideMark/>
          </w:tcPr>
          <w:p w:rsidR="00FD69F1" w:rsidRPr="00FD69F1" w:rsidP="00FD69F1" w14:paraId="1BE4115E"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FD69F1" w:rsidRPr="00FD69F1" w:rsidP="00FD69F1" w14:paraId="177B0C22" w14:textId="77777777">
            <w:pPr>
              <w:widowControl/>
              <w:autoSpaceDE/>
              <w:autoSpaceDN/>
              <w:adjustRightInd/>
              <w:rPr>
                <w:sz w:val="20"/>
                <w:szCs w:val="20"/>
              </w:rPr>
            </w:pPr>
          </w:p>
        </w:tc>
        <w:tc>
          <w:tcPr>
            <w:tcW w:w="1607" w:type="dxa"/>
            <w:tcBorders>
              <w:top w:val="nil"/>
              <w:left w:val="nil"/>
              <w:bottom w:val="nil"/>
              <w:right w:val="nil"/>
            </w:tcBorders>
            <w:shd w:val="clear" w:color="auto" w:fill="auto"/>
            <w:noWrap/>
            <w:vAlign w:val="bottom"/>
            <w:hideMark/>
          </w:tcPr>
          <w:p w:rsidR="00FD69F1" w:rsidRPr="00FD69F1" w:rsidP="00FD69F1" w14:paraId="668D24AE" w14:textId="77777777">
            <w:pPr>
              <w:widowControl/>
              <w:autoSpaceDE/>
              <w:autoSpaceDN/>
              <w:adjustRightInd/>
              <w:rPr>
                <w:sz w:val="20"/>
                <w:szCs w:val="20"/>
              </w:rPr>
            </w:pPr>
          </w:p>
        </w:tc>
      </w:tr>
      <w:tr w14:paraId="57437A39" w14:textId="77777777" w:rsidTr="00C509A7">
        <w:tblPrEx>
          <w:tblW w:w="12865" w:type="dxa"/>
          <w:tblLook w:val="04A0"/>
        </w:tblPrEx>
        <w:trPr>
          <w:trHeight w:val="315"/>
        </w:trPr>
        <w:tc>
          <w:tcPr>
            <w:tcW w:w="12865" w:type="dxa"/>
            <w:gridSpan w:val="9"/>
            <w:tcBorders>
              <w:top w:val="nil"/>
              <w:left w:val="nil"/>
              <w:bottom w:val="nil"/>
              <w:right w:val="nil"/>
            </w:tcBorders>
            <w:shd w:val="clear" w:color="auto" w:fill="auto"/>
            <w:hideMark/>
          </w:tcPr>
          <w:p w:rsidR="00FD69F1" w:rsidRPr="00FD69F1" w:rsidP="00FD69F1" w14:paraId="54AEF6EB" w14:textId="50AADAAF">
            <w:pPr>
              <w:widowControl/>
              <w:autoSpaceDE/>
              <w:autoSpaceDN/>
              <w:adjustRightInd/>
              <w:rPr>
                <w:color w:val="000000"/>
                <w:sz w:val="20"/>
                <w:szCs w:val="20"/>
              </w:rPr>
            </w:pPr>
            <w:r w:rsidRPr="00FD69F1">
              <w:rPr>
                <w:color w:val="000000"/>
                <w:sz w:val="20"/>
                <w:szCs w:val="20"/>
                <w:vertAlign w:val="superscript"/>
              </w:rPr>
              <w:t>a</w:t>
            </w:r>
            <w:r w:rsidR="006B63FA">
              <w:rPr>
                <w:color w:val="000000"/>
                <w:sz w:val="20"/>
                <w:szCs w:val="20"/>
              </w:rPr>
              <w:t xml:space="preserve"> </w:t>
            </w:r>
            <w:r w:rsidRPr="00FD69F1">
              <w:rPr>
                <w:color w:val="000000"/>
                <w:sz w:val="20"/>
                <w:szCs w:val="20"/>
              </w:rPr>
              <w:t>We estimate that an average of 74 existing respondents and zero new respondents per year will be subject to the rule over the three-year period of this ICR.</w:t>
            </w:r>
          </w:p>
        </w:tc>
      </w:tr>
      <w:tr w14:paraId="7C9A8A32" w14:textId="77777777" w:rsidTr="00C509A7">
        <w:tblPrEx>
          <w:tblW w:w="12865" w:type="dxa"/>
          <w:tblLook w:val="04A0"/>
        </w:tblPrEx>
        <w:trPr>
          <w:trHeight w:val="1140"/>
        </w:trPr>
        <w:tc>
          <w:tcPr>
            <w:tcW w:w="12865" w:type="dxa"/>
            <w:gridSpan w:val="9"/>
            <w:tcBorders>
              <w:top w:val="nil"/>
              <w:left w:val="nil"/>
              <w:bottom w:val="nil"/>
              <w:right w:val="nil"/>
            </w:tcBorders>
            <w:shd w:val="clear" w:color="auto" w:fill="auto"/>
            <w:hideMark/>
          </w:tcPr>
          <w:p w:rsidR="00FD69F1" w:rsidRPr="00FD69F1" w:rsidP="00FD69F1" w14:paraId="52B4C947" w14:textId="4AFFA662">
            <w:pPr>
              <w:widowControl/>
              <w:autoSpaceDE/>
              <w:autoSpaceDN/>
              <w:adjustRightInd/>
              <w:rPr>
                <w:color w:val="000000"/>
                <w:sz w:val="20"/>
                <w:szCs w:val="20"/>
              </w:rPr>
            </w:pPr>
            <w:r w:rsidRPr="00FD69F1">
              <w:rPr>
                <w:color w:val="000000"/>
                <w:sz w:val="20"/>
                <w:szCs w:val="20"/>
                <w:vertAlign w:val="superscript"/>
              </w:rPr>
              <w:t>b</w:t>
            </w:r>
            <w:r w:rsidR="006B63FA">
              <w:rPr>
                <w:color w:val="000000"/>
                <w:sz w:val="20"/>
                <w:szCs w:val="20"/>
              </w:rPr>
              <w:t xml:space="preserve"> </w:t>
            </w:r>
            <w:r w:rsidRPr="00FD69F1">
              <w:rPr>
                <w:color w:val="000000"/>
                <w:sz w:val="20"/>
                <w:szCs w:val="20"/>
              </w:rPr>
              <w:t>This ICR uses the following labor rates for privately-owned sources: $157.61 for managerial, $123.94 for technical,</w:t>
            </w:r>
            <w:r w:rsidR="006B63FA">
              <w:rPr>
                <w:color w:val="000000"/>
                <w:sz w:val="20"/>
                <w:szCs w:val="20"/>
              </w:rPr>
              <w:t xml:space="preserve"> </w:t>
            </w:r>
            <w:r w:rsidRPr="00FD69F1">
              <w:rPr>
                <w:color w:val="000000"/>
                <w:sz w:val="20"/>
                <w:szCs w:val="20"/>
              </w:rPr>
              <w:t>and $62.52 for clerical labor.</w:t>
            </w:r>
            <w:r w:rsidR="006B63FA">
              <w:rPr>
                <w:color w:val="000000"/>
                <w:sz w:val="20"/>
                <w:szCs w:val="20"/>
              </w:rPr>
              <w:t xml:space="preserve"> </w:t>
            </w:r>
            <w:r w:rsidRPr="00FD69F1">
              <w:rPr>
                <w:color w:val="000000"/>
                <w:sz w:val="20"/>
                <w:szCs w:val="20"/>
              </w:rPr>
              <w:t>These rates are from the United States Department of Labor, Bureau of Labor Statistics, September 2021, “Table 2. Civilian Workers, by occupational and industry group.”</w:t>
            </w:r>
            <w:r w:rsidR="006B63FA">
              <w:rPr>
                <w:color w:val="000000"/>
                <w:sz w:val="20"/>
                <w:szCs w:val="20"/>
              </w:rPr>
              <w:t xml:space="preserve"> </w:t>
            </w:r>
            <w:r w:rsidRPr="00FD69F1">
              <w:rPr>
                <w:color w:val="000000"/>
                <w:sz w:val="20"/>
                <w:szCs w:val="20"/>
              </w:rPr>
              <w:t>The rates are from column 1, “Total compensation.”</w:t>
            </w:r>
            <w:r w:rsidR="006B63FA">
              <w:rPr>
                <w:color w:val="000000"/>
                <w:sz w:val="20"/>
                <w:szCs w:val="20"/>
              </w:rPr>
              <w:t xml:space="preserve"> </w:t>
            </w:r>
            <w:r w:rsidRPr="00FD69F1">
              <w:rPr>
                <w:color w:val="000000"/>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03C7F19" w14:textId="77777777" w:rsidTr="00C509A7">
        <w:tblPrEx>
          <w:tblW w:w="12865" w:type="dxa"/>
          <w:tblLook w:val="04A0"/>
        </w:tblPrEx>
        <w:trPr>
          <w:trHeight w:val="315"/>
        </w:trPr>
        <w:tc>
          <w:tcPr>
            <w:tcW w:w="12865" w:type="dxa"/>
            <w:gridSpan w:val="9"/>
            <w:tcBorders>
              <w:top w:val="nil"/>
              <w:left w:val="nil"/>
              <w:bottom w:val="nil"/>
              <w:right w:val="nil"/>
            </w:tcBorders>
            <w:shd w:val="clear" w:color="auto" w:fill="auto"/>
            <w:hideMark/>
          </w:tcPr>
          <w:p w:rsidR="00FD69F1" w:rsidRPr="00FD69F1" w:rsidP="00FD69F1" w14:paraId="4FB4A576" w14:textId="0756BDB9">
            <w:pPr>
              <w:widowControl/>
              <w:autoSpaceDE/>
              <w:autoSpaceDN/>
              <w:adjustRightInd/>
              <w:rPr>
                <w:color w:val="000000"/>
                <w:sz w:val="20"/>
                <w:szCs w:val="20"/>
              </w:rPr>
            </w:pPr>
            <w:r w:rsidRPr="00FD69F1">
              <w:rPr>
                <w:color w:val="000000"/>
                <w:sz w:val="20"/>
                <w:szCs w:val="20"/>
                <w:vertAlign w:val="superscript"/>
              </w:rPr>
              <w:t>c</w:t>
            </w:r>
            <w:r w:rsidR="006B63FA">
              <w:rPr>
                <w:color w:val="000000"/>
                <w:sz w:val="20"/>
                <w:szCs w:val="20"/>
              </w:rPr>
              <w:t xml:space="preserve"> </w:t>
            </w:r>
            <w:r w:rsidRPr="00FD69F1">
              <w:rPr>
                <w:color w:val="000000"/>
                <w:sz w:val="20"/>
                <w:szCs w:val="20"/>
              </w:rPr>
              <w:t>We assume that all respondents will have to familiarize themselves with the regulatory requirements each year.</w:t>
            </w:r>
          </w:p>
        </w:tc>
      </w:tr>
      <w:tr w14:paraId="6603851D" w14:textId="77777777" w:rsidTr="00C509A7">
        <w:tblPrEx>
          <w:tblW w:w="12865" w:type="dxa"/>
          <w:tblLook w:val="04A0"/>
        </w:tblPrEx>
        <w:trPr>
          <w:trHeight w:val="315"/>
        </w:trPr>
        <w:tc>
          <w:tcPr>
            <w:tcW w:w="12865" w:type="dxa"/>
            <w:gridSpan w:val="9"/>
            <w:tcBorders>
              <w:top w:val="nil"/>
              <w:left w:val="nil"/>
              <w:bottom w:val="nil"/>
              <w:right w:val="nil"/>
            </w:tcBorders>
            <w:shd w:val="clear" w:color="auto" w:fill="auto"/>
            <w:hideMark/>
          </w:tcPr>
          <w:p w:rsidR="00FD69F1" w:rsidRPr="00FD69F1" w:rsidP="00FD69F1" w14:paraId="0BE4DD1E" w14:textId="48E367D9">
            <w:pPr>
              <w:widowControl/>
              <w:autoSpaceDE/>
              <w:autoSpaceDN/>
              <w:adjustRightInd/>
              <w:rPr>
                <w:color w:val="000000"/>
                <w:sz w:val="20"/>
                <w:szCs w:val="20"/>
              </w:rPr>
            </w:pPr>
            <w:r w:rsidRPr="00FD69F1">
              <w:rPr>
                <w:color w:val="000000"/>
                <w:sz w:val="20"/>
                <w:szCs w:val="20"/>
                <w:vertAlign w:val="superscript"/>
              </w:rPr>
              <w:t>d</w:t>
            </w:r>
            <w:r w:rsidR="006B63FA">
              <w:rPr>
                <w:color w:val="000000"/>
                <w:sz w:val="20"/>
                <w:szCs w:val="20"/>
              </w:rPr>
              <w:t xml:space="preserve"> </w:t>
            </w:r>
            <w:r w:rsidRPr="00FD69F1">
              <w:rPr>
                <w:color w:val="000000"/>
                <w:sz w:val="20"/>
                <w:szCs w:val="20"/>
              </w:rPr>
              <w:t>Cost is incurred by a facility regardless of the number of affected units at the plant.</w:t>
            </w:r>
          </w:p>
        </w:tc>
      </w:tr>
      <w:tr w14:paraId="6D081108" w14:textId="77777777" w:rsidTr="00C509A7">
        <w:tblPrEx>
          <w:tblW w:w="12865" w:type="dxa"/>
          <w:tblLook w:val="04A0"/>
        </w:tblPrEx>
        <w:trPr>
          <w:trHeight w:val="315"/>
        </w:trPr>
        <w:tc>
          <w:tcPr>
            <w:tcW w:w="12865" w:type="dxa"/>
            <w:gridSpan w:val="9"/>
            <w:tcBorders>
              <w:top w:val="nil"/>
              <w:left w:val="nil"/>
              <w:bottom w:val="nil"/>
              <w:right w:val="nil"/>
            </w:tcBorders>
            <w:shd w:val="clear" w:color="auto" w:fill="auto"/>
            <w:hideMark/>
          </w:tcPr>
          <w:p w:rsidR="00FD69F1" w:rsidRPr="00FD69F1" w:rsidP="00FD69F1" w14:paraId="301692BC" w14:textId="2F1B06EA">
            <w:pPr>
              <w:widowControl/>
              <w:autoSpaceDE/>
              <w:autoSpaceDN/>
              <w:adjustRightInd/>
              <w:rPr>
                <w:color w:val="000000"/>
                <w:sz w:val="20"/>
                <w:szCs w:val="20"/>
              </w:rPr>
            </w:pPr>
            <w:r w:rsidRPr="00FD69F1">
              <w:rPr>
                <w:color w:val="000000"/>
                <w:sz w:val="20"/>
                <w:szCs w:val="20"/>
                <w:vertAlign w:val="superscript"/>
              </w:rPr>
              <w:t>e</w:t>
            </w:r>
            <w:r w:rsidR="006B63FA">
              <w:rPr>
                <w:color w:val="000000"/>
                <w:sz w:val="20"/>
                <w:szCs w:val="20"/>
              </w:rPr>
              <w:t xml:space="preserve"> </w:t>
            </w:r>
            <w:r w:rsidRPr="00FD69F1">
              <w:rPr>
                <w:color w:val="000000"/>
                <w:sz w:val="20"/>
                <w:szCs w:val="20"/>
              </w:rPr>
              <w:t>This activity is based on a one-time cost only.</w:t>
            </w:r>
          </w:p>
        </w:tc>
      </w:tr>
      <w:tr w14:paraId="497D0631" w14:textId="77777777" w:rsidTr="00C509A7">
        <w:tblPrEx>
          <w:tblW w:w="12865" w:type="dxa"/>
          <w:tblLook w:val="04A0"/>
        </w:tblPrEx>
        <w:trPr>
          <w:trHeight w:val="660"/>
        </w:trPr>
        <w:tc>
          <w:tcPr>
            <w:tcW w:w="12865" w:type="dxa"/>
            <w:gridSpan w:val="9"/>
            <w:tcBorders>
              <w:top w:val="nil"/>
              <w:left w:val="nil"/>
              <w:bottom w:val="nil"/>
              <w:right w:val="nil"/>
            </w:tcBorders>
            <w:shd w:val="clear" w:color="auto" w:fill="auto"/>
            <w:hideMark/>
          </w:tcPr>
          <w:p w:rsidR="00FD69F1" w:rsidRPr="00FD69F1" w:rsidP="00FD69F1" w14:paraId="69825ED5" w14:textId="7F286ED5">
            <w:pPr>
              <w:widowControl/>
              <w:autoSpaceDE/>
              <w:autoSpaceDN/>
              <w:adjustRightInd/>
              <w:rPr>
                <w:color w:val="000000"/>
                <w:sz w:val="20"/>
                <w:szCs w:val="20"/>
              </w:rPr>
            </w:pPr>
            <w:r w:rsidRPr="00FD69F1">
              <w:rPr>
                <w:color w:val="000000"/>
                <w:sz w:val="20"/>
                <w:szCs w:val="20"/>
                <w:vertAlign w:val="superscript"/>
              </w:rPr>
              <w:t>f</w:t>
            </w:r>
            <w:r w:rsidR="006B63FA">
              <w:rPr>
                <w:color w:val="000000"/>
                <w:sz w:val="20"/>
                <w:szCs w:val="20"/>
              </w:rPr>
              <w:t xml:space="preserve"> </w:t>
            </w:r>
            <w:r w:rsidRPr="00FD69F1">
              <w:rPr>
                <w:color w:val="000000"/>
                <w:sz w:val="20"/>
                <w:szCs w:val="20"/>
              </w:rPr>
              <w:t>Based on the “Revised Testing and Monitoring Options and Costs for Medical Waste Incinerators (MWIs) - Methodology and Assumptions (A-91-</w:t>
            </w:r>
            <w:r w:rsidRPr="00FD69F1">
              <w:rPr>
                <w:color w:val="000000"/>
                <w:sz w:val="20"/>
                <w:szCs w:val="20"/>
              </w:rPr>
              <w:t>61,IV</w:t>
            </w:r>
            <w:r w:rsidRPr="00FD69F1">
              <w:rPr>
                <w:color w:val="000000"/>
                <w:sz w:val="20"/>
                <w:szCs w:val="20"/>
              </w:rPr>
              <w:t>-B-66)," we assume 9 hours (($300 for planning + $500 for selection)/$89.94 per hour = 9 hours).</w:t>
            </w:r>
          </w:p>
        </w:tc>
      </w:tr>
      <w:tr w14:paraId="6C5E7C7B" w14:textId="77777777" w:rsidTr="00C509A7">
        <w:tblPrEx>
          <w:tblW w:w="12865" w:type="dxa"/>
          <w:tblLook w:val="04A0"/>
        </w:tblPrEx>
        <w:trPr>
          <w:trHeight w:val="615"/>
        </w:trPr>
        <w:tc>
          <w:tcPr>
            <w:tcW w:w="12865" w:type="dxa"/>
            <w:gridSpan w:val="9"/>
            <w:tcBorders>
              <w:top w:val="nil"/>
              <w:left w:val="nil"/>
              <w:bottom w:val="nil"/>
              <w:right w:val="nil"/>
            </w:tcBorders>
            <w:shd w:val="clear" w:color="auto" w:fill="auto"/>
            <w:hideMark/>
          </w:tcPr>
          <w:p w:rsidR="00FD69F1" w:rsidRPr="00FD69F1" w:rsidP="00FD69F1" w14:paraId="5C636675" w14:textId="6664ED38">
            <w:pPr>
              <w:widowControl/>
              <w:autoSpaceDE/>
              <w:autoSpaceDN/>
              <w:adjustRightInd/>
              <w:rPr>
                <w:color w:val="000000"/>
                <w:sz w:val="20"/>
                <w:szCs w:val="20"/>
              </w:rPr>
            </w:pPr>
            <w:r w:rsidRPr="00FD69F1">
              <w:rPr>
                <w:color w:val="000000"/>
                <w:sz w:val="20"/>
                <w:szCs w:val="20"/>
                <w:vertAlign w:val="superscript"/>
              </w:rPr>
              <w:t>g</w:t>
            </w:r>
            <w:r w:rsidR="006B63FA">
              <w:rPr>
                <w:color w:val="000000"/>
                <w:sz w:val="20"/>
                <w:szCs w:val="20"/>
              </w:rPr>
              <w:t xml:space="preserve"> </w:t>
            </w:r>
            <w:r w:rsidRPr="00FD69F1">
              <w:rPr>
                <w:color w:val="000000"/>
                <w:sz w:val="20"/>
                <w:szCs w:val="20"/>
              </w:rPr>
              <w:t>Based on the "Revised Testing and Monitoring Options and Costs for Medical Waste Incinerators (MWIs) - Methodology and Assumptions (A-91-61, IV-B-66)," respondents spend 83 hours for reporting.</w:t>
            </w:r>
          </w:p>
        </w:tc>
      </w:tr>
      <w:tr w14:paraId="7722BC41" w14:textId="77777777" w:rsidTr="00C509A7">
        <w:tblPrEx>
          <w:tblW w:w="12865" w:type="dxa"/>
          <w:tblLook w:val="04A0"/>
        </w:tblPrEx>
        <w:trPr>
          <w:trHeight w:val="435"/>
        </w:trPr>
        <w:tc>
          <w:tcPr>
            <w:tcW w:w="12865" w:type="dxa"/>
            <w:gridSpan w:val="9"/>
            <w:tcBorders>
              <w:top w:val="nil"/>
              <w:left w:val="nil"/>
              <w:bottom w:val="nil"/>
              <w:right w:val="nil"/>
            </w:tcBorders>
            <w:shd w:val="clear" w:color="auto" w:fill="auto"/>
            <w:hideMark/>
          </w:tcPr>
          <w:p w:rsidR="00FD69F1" w:rsidRPr="00FD69F1" w:rsidP="00FD69F1" w14:paraId="7FDA5CB0" w14:textId="589A652E">
            <w:pPr>
              <w:widowControl/>
              <w:autoSpaceDE/>
              <w:autoSpaceDN/>
              <w:adjustRightInd/>
              <w:rPr>
                <w:color w:val="000000"/>
                <w:sz w:val="20"/>
                <w:szCs w:val="20"/>
              </w:rPr>
            </w:pPr>
            <w:r w:rsidRPr="00FD69F1">
              <w:rPr>
                <w:color w:val="000000"/>
                <w:sz w:val="20"/>
                <w:szCs w:val="20"/>
                <w:vertAlign w:val="superscript"/>
              </w:rPr>
              <w:t>h</w:t>
            </w:r>
            <w:r w:rsidR="006B63FA">
              <w:rPr>
                <w:color w:val="000000"/>
                <w:sz w:val="20"/>
                <w:szCs w:val="20"/>
              </w:rPr>
              <w:t xml:space="preserve"> </w:t>
            </w:r>
            <w:r w:rsidRPr="00FD69F1">
              <w:rPr>
                <w:color w:val="000000"/>
                <w:sz w:val="20"/>
                <w:szCs w:val="20"/>
              </w:rPr>
              <w:t>Respondents make one combined annual report per year.</w:t>
            </w:r>
          </w:p>
        </w:tc>
      </w:tr>
      <w:tr w14:paraId="416C9844" w14:textId="77777777" w:rsidTr="00C509A7">
        <w:tblPrEx>
          <w:tblW w:w="12865" w:type="dxa"/>
          <w:tblLook w:val="04A0"/>
        </w:tblPrEx>
        <w:trPr>
          <w:trHeight w:val="435"/>
        </w:trPr>
        <w:tc>
          <w:tcPr>
            <w:tcW w:w="12865" w:type="dxa"/>
            <w:gridSpan w:val="9"/>
            <w:tcBorders>
              <w:top w:val="nil"/>
              <w:left w:val="nil"/>
              <w:bottom w:val="nil"/>
              <w:right w:val="nil"/>
            </w:tcBorders>
            <w:shd w:val="clear" w:color="auto" w:fill="auto"/>
            <w:hideMark/>
          </w:tcPr>
          <w:p w:rsidR="00FD69F1" w:rsidRPr="00FD69F1" w:rsidP="00FD69F1" w14:paraId="0A9CEE3F" w14:textId="483826CD">
            <w:pPr>
              <w:widowControl/>
              <w:autoSpaceDE/>
              <w:autoSpaceDN/>
              <w:adjustRightInd/>
              <w:rPr>
                <w:color w:val="000000"/>
                <w:sz w:val="20"/>
                <w:szCs w:val="20"/>
              </w:rPr>
            </w:pPr>
            <w:r w:rsidRPr="00FD69F1">
              <w:rPr>
                <w:color w:val="000000"/>
                <w:sz w:val="20"/>
                <w:szCs w:val="20"/>
                <w:vertAlign w:val="superscript"/>
              </w:rPr>
              <w:t>i</w:t>
            </w:r>
            <w:r w:rsidR="006B63FA">
              <w:rPr>
                <w:color w:val="000000"/>
                <w:sz w:val="20"/>
                <w:szCs w:val="20"/>
                <w:vertAlign w:val="superscript"/>
              </w:rPr>
              <w:t xml:space="preserve"> </w:t>
            </w:r>
            <w:r w:rsidRPr="00FD69F1">
              <w:rPr>
                <w:color w:val="000000"/>
                <w:sz w:val="20"/>
                <w:szCs w:val="20"/>
              </w:rPr>
              <w:t>We assume that 10 percent of the facilities will have an exceedance during the year.</w:t>
            </w:r>
            <w:r w:rsidRPr="00FD69F1">
              <w:rPr>
                <w:color w:val="000000"/>
                <w:sz w:val="20"/>
                <w:szCs w:val="20"/>
                <w:vertAlign w:val="superscript"/>
              </w:rPr>
              <w:t xml:space="preserve"> </w:t>
            </w:r>
            <w:r w:rsidRPr="00FD69F1">
              <w:rPr>
                <w:color w:val="000000"/>
                <w:sz w:val="20"/>
                <w:szCs w:val="20"/>
              </w:rPr>
              <w:t>The remaining 90% of facilities would submit a statement of no exceedance.</w:t>
            </w:r>
          </w:p>
        </w:tc>
      </w:tr>
      <w:tr w14:paraId="4EBFD3F4" w14:textId="77777777" w:rsidTr="00C509A7">
        <w:tblPrEx>
          <w:tblW w:w="12865" w:type="dxa"/>
          <w:tblLook w:val="04A0"/>
        </w:tblPrEx>
        <w:trPr>
          <w:trHeight w:val="645"/>
        </w:trPr>
        <w:tc>
          <w:tcPr>
            <w:tcW w:w="12865" w:type="dxa"/>
            <w:gridSpan w:val="9"/>
            <w:tcBorders>
              <w:top w:val="nil"/>
              <w:left w:val="nil"/>
              <w:bottom w:val="nil"/>
              <w:right w:val="nil"/>
            </w:tcBorders>
            <w:shd w:val="clear" w:color="auto" w:fill="auto"/>
            <w:hideMark/>
          </w:tcPr>
          <w:p w:rsidR="00FD69F1" w:rsidRPr="00FD69F1" w:rsidP="00FD69F1" w14:paraId="7E1A3713" w14:textId="723E5FEF">
            <w:pPr>
              <w:widowControl/>
              <w:autoSpaceDE/>
              <w:autoSpaceDN/>
              <w:adjustRightInd/>
              <w:rPr>
                <w:color w:val="000000"/>
                <w:sz w:val="20"/>
                <w:szCs w:val="20"/>
              </w:rPr>
            </w:pPr>
            <w:r w:rsidRPr="00FD69F1">
              <w:rPr>
                <w:color w:val="000000"/>
                <w:sz w:val="20"/>
                <w:szCs w:val="20"/>
                <w:vertAlign w:val="superscript"/>
              </w:rPr>
              <w:t>j</w:t>
            </w:r>
            <w:r w:rsidR="006B63FA">
              <w:rPr>
                <w:color w:val="000000"/>
                <w:sz w:val="20"/>
                <w:szCs w:val="20"/>
              </w:rPr>
              <w:t xml:space="preserve"> </w:t>
            </w:r>
            <w:r w:rsidRPr="00FD69F1">
              <w:rPr>
                <w:color w:val="000000"/>
                <w:sz w:val="20"/>
                <w:szCs w:val="20"/>
              </w:rPr>
              <w:t>Assume that 10 percent of facilities will not have a qualified operator available for more than two weeks at least once a year, and that two corrective action summaries will be required.</w:t>
            </w:r>
          </w:p>
        </w:tc>
      </w:tr>
      <w:tr w14:paraId="34A5112A" w14:textId="77777777" w:rsidTr="00C509A7">
        <w:tblPrEx>
          <w:tblW w:w="12865" w:type="dxa"/>
          <w:tblLook w:val="04A0"/>
        </w:tblPrEx>
        <w:trPr>
          <w:trHeight w:val="420"/>
        </w:trPr>
        <w:tc>
          <w:tcPr>
            <w:tcW w:w="12865" w:type="dxa"/>
            <w:gridSpan w:val="9"/>
            <w:tcBorders>
              <w:top w:val="nil"/>
              <w:left w:val="nil"/>
              <w:bottom w:val="nil"/>
              <w:right w:val="nil"/>
            </w:tcBorders>
            <w:shd w:val="clear" w:color="auto" w:fill="auto"/>
            <w:hideMark/>
          </w:tcPr>
          <w:p w:rsidR="00FD69F1" w:rsidRPr="00FD69F1" w:rsidP="00FD69F1" w14:paraId="303321D1" w14:textId="56C0F232">
            <w:pPr>
              <w:widowControl/>
              <w:autoSpaceDE/>
              <w:autoSpaceDN/>
              <w:adjustRightInd/>
              <w:rPr>
                <w:color w:val="000000"/>
                <w:sz w:val="20"/>
                <w:szCs w:val="20"/>
              </w:rPr>
            </w:pPr>
            <w:r w:rsidRPr="00FD69F1">
              <w:rPr>
                <w:color w:val="000000"/>
                <w:sz w:val="20"/>
                <w:szCs w:val="20"/>
                <w:vertAlign w:val="superscript"/>
              </w:rPr>
              <w:t>k</w:t>
            </w:r>
            <w:r w:rsidR="006B63FA">
              <w:rPr>
                <w:color w:val="000000"/>
                <w:sz w:val="20"/>
                <w:szCs w:val="20"/>
              </w:rPr>
              <w:t xml:space="preserve"> </w:t>
            </w:r>
            <w:r w:rsidRPr="00FD69F1">
              <w:rPr>
                <w:color w:val="000000"/>
                <w:sz w:val="20"/>
                <w:szCs w:val="20"/>
              </w:rPr>
              <w:t>Totals have been rounded to 3 significant figures. Figures may not add exactly due to rounding.</w:t>
            </w:r>
          </w:p>
        </w:tc>
      </w:tr>
    </w:tbl>
    <w:p w:rsidR="00A7661C" w:rsidP="00A7661C" w14:paraId="3EC52869" w14:textId="77777777">
      <w:pPr>
        <w:rPr>
          <w:color w:val="000000"/>
        </w:rPr>
      </w:pPr>
    </w:p>
    <w:p w:rsidR="00C509A7" w14:paraId="4DC37917" w14:textId="77777777">
      <w:pPr>
        <w:widowControl/>
        <w:autoSpaceDE/>
        <w:autoSpaceDN/>
        <w:adjustRightInd/>
        <w:rPr>
          <w:b/>
          <w:bCs/>
          <w:color w:val="000000"/>
        </w:rPr>
      </w:pPr>
      <w:r>
        <w:rPr>
          <w:b/>
          <w:bCs/>
          <w:color w:val="000000"/>
        </w:rPr>
        <w:br w:type="page"/>
      </w:r>
    </w:p>
    <w:p w:rsidR="00144F35" w:rsidP="00504745" w14:paraId="5EDF628F" w14:textId="6DD43AF7">
      <w:pPr>
        <w:outlineLvl w:val="0"/>
        <w:rPr>
          <w:b/>
          <w:bCs/>
          <w:color w:val="000000"/>
        </w:rPr>
      </w:pPr>
      <w:r w:rsidRPr="00C4183F">
        <w:rPr>
          <w:b/>
          <w:bCs/>
          <w:color w:val="000000"/>
        </w:rPr>
        <w:t>Table 2:</w:t>
      </w:r>
      <w:r>
        <w:rPr>
          <w:b/>
          <w:bCs/>
          <w:color w:val="000000"/>
        </w:rPr>
        <w:t xml:space="preserve"> </w:t>
      </w:r>
      <w:r w:rsidRPr="00095F01" w:rsidR="00095F01">
        <w:rPr>
          <w:b/>
          <w:bCs/>
          <w:color w:val="000000"/>
        </w:rPr>
        <w:t>Emission Guidelines for Existing Commercial and Industrial Solid Waste Incineration Units (40 CFR Part 60, Subpart DDDD) (Renewal)</w:t>
      </w:r>
    </w:p>
    <w:p w:rsidR="00144F35" w:rsidP="00F340DF" w14:paraId="3AD4E875" w14:textId="77777777">
      <w:pPr>
        <w:rPr>
          <w:b/>
          <w:bCs/>
          <w:color w:val="000000"/>
        </w:rPr>
      </w:pPr>
    </w:p>
    <w:tbl>
      <w:tblPr>
        <w:tblW w:w="13286" w:type="dxa"/>
        <w:tblLook w:val="04A0"/>
      </w:tblPr>
      <w:tblGrid>
        <w:gridCol w:w="4160"/>
        <w:gridCol w:w="1240"/>
        <w:gridCol w:w="1340"/>
        <w:gridCol w:w="1180"/>
        <w:gridCol w:w="1200"/>
        <w:gridCol w:w="966"/>
        <w:gridCol w:w="1226"/>
        <w:gridCol w:w="1014"/>
        <w:gridCol w:w="960"/>
      </w:tblGrid>
      <w:tr w14:paraId="7EA96A11" w14:textId="77777777" w:rsidTr="00A33D39">
        <w:tblPrEx>
          <w:tblW w:w="13286" w:type="dxa"/>
          <w:tblLook w:val="04A0"/>
        </w:tblPrEx>
        <w:trPr>
          <w:trHeight w:val="25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5F01" w:rsidRPr="00095F01" w:rsidP="00095F01" w14:paraId="65C39C5D" w14:textId="77777777">
            <w:pPr>
              <w:widowControl/>
              <w:autoSpaceDE/>
              <w:autoSpaceDN/>
              <w:adjustRightInd/>
              <w:jc w:val="center"/>
              <w:rPr>
                <w:b/>
                <w:bCs/>
                <w:color w:val="000000"/>
                <w:sz w:val="18"/>
                <w:szCs w:val="18"/>
              </w:rPr>
            </w:pPr>
            <w:r w:rsidRPr="00095F01">
              <w:rPr>
                <w:b/>
                <w:bCs/>
                <w:color w:val="000000"/>
                <w:sz w:val="18"/>
                <w:szCs w:val="18"/>
              </w:rPr>
              <w:t>Burden Item</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1C5289A2" w14:textId="77777777">
            <w:pPr>
              <w:widowControl/>
              <w:autoSpaceDE/>
              <w:autoSpaceDN/>
              <w:adjustRightInd/>
              <w:jc w:val="center"/>
              <w:rPr>
                <w:b/>
                <w:bCs/>
                <w:color w:val="000000"/>
                <w:sz w:val="18"/>
                <w:szCs w:val="18"/>
              </w:rPr>
            </w:pPr>
            <w:r w:rsidRPr="00095F01">
              <w:rPr>
                <w:b/>
                <w:bCs/>
                <w:color w:val="000000"/>
                <w:sz w:val="18"/>
                <w:szCs w:val="18"/>
              </w:rPr>
              <w:t xml:space="preserve">(A)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2576CA45" w14:textId="77777777">
            <w:pPr>
              <w:widowControl/>
              <w:autoSpaceDE/>
              <w:autoSpaceDN/>
              <w:adjustRightInd/>
              <w:jc w:val="center"/>
              <w:rPr>
                <w:b/>
                <w:bCs/>
                <w:color w:val="000000"/>
                <w:sz w:val="18"/>
                <w:szCs w:val="18"/>
              </w:rPr>
            </w:pPr>
            <w:r w:rsidRPr="00095F01">
              <w:rPr>
                <w:b/>
                <w:bCs/>
                <w:color w:val="000000"/>
                <w:sz w:val="18"/>
                <w:szCs w:val="18"/>
              </w:rPr>
              <w:t xml:space="preserve">(B)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593A784E" w14:textId="77777777">
            <w:pPr>
              <w:widowControl/>
              <w:autoSpaceDE/>
              <w:autoSpaceDN/>
              <w:adjustRightInd/>
              <w:jc w:val="center"/>
              <w:rPr>
                <w:b/>
                <w:bCs/>
                <w:color w:val="000000"/>
                <w:sz w:val="18"/>
                <w:szCs w:val="18"/>
              </w:rPr>
            </w:pPr>
            <w:r w:rsidRPr="00095F01">
              <w:rPr>
                <w:b/>
                <w:bCs/>
                <w:color w:val="000000"/>
                <w:sz w:val="18"/>
                <w:szCs w:val="18"/>
              </w:rPr>
              <w:t xml:space="preserve">(C)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33262DDD" w14:textId="77777777">
            <w:pPr>
              <w:widowControl/>
              <w:autoSpaceDE/>
              <w:autoSpaceDN/>
              <w:adjustRightInd/>
              <w:jc w:val="center"/>
              <w:rPr>
                <w:b/>
                <w:bCs/>
                <w:color w:val="000000"/>
                <w:sz w:val="18"/>
                <w:szCs w:val="18"/>
              </w:rPr>
            </w:pPr>
            <w:r w:rsidRPr="00095F01">
              <w:rPr>
                <w:b/>
                <w:bCs/>
                <w:color w:val="000000"/>
                <w:sz w:val="18"/>
                <w:szCs w:val="18"/>
              </w:rPr>
              <w:t xml:space="preserve">(D)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5ABA55D8" w14:textId="77777777">
            <w:pPr>
              <w:widowControl/>
              <w:autoSpaceDE/>
              <w:autoSpaceDN/>
              <w:adjustRightInd/>
              <w:jc w:val="center"/>
              <w:rPr>
                <w:b/>
                <w:bCs/>
                <w:color w:val="000000"/>
                <w:sz w:val="18"/>
                <w:szCs w:val="18"/>
              </w:rPr>
            </w:pPr>
            <w:r w:rsidRPr="00095F01">
              <w:rPr>
                <w:b/>
                <w:bCs/>
                <w:color w:val="000000"/>
                <w:sz w:val="18"/>
                <w:szCs w:val="18"/>
              </w:rPr>
              <w:t xml:space="preserve">(E)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397C2226" w14:textId="77777777">
            <w:pPr>
              <w:widowControl/>
              <w:autoSpaceDE/>
              <w:autoSpaceDN/>
              <w:adjustRightInd/>
              <w:jc w:val="center"/>
              <w:rPr>
                <w:b/>
                <w:bCs/>
                <w:color w:val="000000"/>
                <w:sz w:val="18"/>
                <w:szCs w:val="18"/>
              </w:rPr>
            </w:pPr>
            <w:r w:rsidRPr="00095F01">
              <w:rPr>
                <w:b/>
                <w:bCs/>
                <w:color w:val="000000"/>
                <w:sz w:val="18"/>
                <w:szCs w:val="18"/>
              </w:rPr>
              <w:t xml:space="preserve">(F)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6A36EE1C" w14:textId="77777777">
            <w:pPr>
              <w:widowControl/>
              <w:autoSpaceDE/>
              <w:autoSpaceDN/>
              <w:adjustRightInd/>
              <w:jc w:val="center"/>
              <w:rPr>
                <w:b/>
                <w:bCs/>
                <w:color w:val="000000"/>
                <w:sz w:val="18"/>
                <w:szCs w:val="18"/>
              </w:rPr>
            </w:pPr>
            <w:r w:rsidRPr="00095F01">
              <w:rPr>
                <w:b/>
                <w:bCs/>
                <w:color w:val="000000"/>
                <w:sz w:val="18"/>
                <w:szCs w:val="18"/>
              </w:rPr>
              <w:t xml:space="preserve">(G)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95F01" w:rsidRPr="00095F01" w:rsidP="00095F01" w14:paraId="58598E00" w14:textId="77777777">
            <w:pPr>
              <w:widowControl/>
              <w:autoSpaceDE/>
              <w:autoSpaceDN/>
              <w:adjustRightInd/>
              <w:jc w:val="center"/>
              <w:rPr>
                <w:b/>
                <w:bCs/>
                <w:color w:val="000000"/>
                <w:sz w:val="18"/>
                <w:szCs w:val="18"/>
              </w:rPr>
            </w:pPr>
            <w:r w:rsidRPr="00095F01">
              <w:rPr>
                <w:b/>
                <w:bCs/>
                <w:color w:val="000000"/>
                <w:sz w:val="18"/>
                <w:szCs w:val="18"/>
              </w:rPr>
              <w:t xml:space="preserve">(H) </w:t>
            </w:r>
          </w:p>
        </w:tc>
      </w:tr>
      <w:tr w14:paraId="5444A240" w14:textId="77777777" w:rsidTr="00A33D39">
        <w:tblPrEx>
          <w:tblW w:w="13286" w:type="dxa"/>
          <w:tblLook w:val="04A0"/>
        </w:tblPrEx>
        <w:trPr>
          <w:trHeight w:val="1200"/>
        </w:trPr>
        <w:tc>
          <w:tcPr>
            <w:tcW w:w="4160" w:type="dxa"/>
            <w:vMerge/>
            <w:tcBorders>
              <w:top w:val="single" w:sz="4" w:space="0" w:color="auto"/>
              <w:left w:val="single" w:sz="4" w:space="0" w:color="auto"/>
              <w:bottom w:val="single" w:sz="4" w:space="0" w:color="auto"/>
              <w:right w:val="single" w:sz="4" w:space="0" w:color="auto"/>
            </w:tcBorders>
            <w:vAlign w:val="center"/>
            <w:hideMark/>
          </w:tcPr>
          <w:p w:rsidR="00095F01" w:rsidRPr="00095F01" w:rsidP="00095F01" w14:paraId="445706BC" w14:textId="77777777">
            <w:pPr>
              <w:widowControl/>
              <w:autoSpaceDE/>
              <w:autoSpaceDN/>
              <w:adjustRightInd/>
              <w:rPr>
                <w:b/>
                <w:bCs/>
                <w:color w:val="00000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095F01" w:rsidRPr="00095F01" w:rsidP="00095F01" w14:paraId="59AA3E2D" w14:textId="77777777">
            <w:pPr>
              <w:widowControl/>
              <w:autoSpaceDE/>
              <w:autoSpaceDN/>
              <w:adjustRightInd/>
              <w:jc w:val="center"/>
              <w:rPr>
                <w:b/>
                <w:bCs/>
                <w:color w:val="000000"/>
                <w:sz w:val="18"/>
                <w:szCs w:val="18"/>
              </w:rPr>
            </w:pPr>
            <w:r w:rsidRPr="00095F01">
              <w:rPr>
                <w:b/>
                <w:bCs/>
                <w:color w:val="000000"/>
                <w:sz w:val="18"/>
                <w:szCs w:val="18"/>
              </w:rPr>
              <w:t>EPA Hours per Occurrence</w:t>
            </w:r>
          </w:p>
        </w:tc>
        <w:tc>
          <w:tcPr>
            <w:tcW w:w="1340" w:type="dxa"/>
            <w:tcBorders>
              <w:top w:val="nil"/>
              <w:left w:val="nil"/>
              <w:bottom w:val="single" w:sz="4" w:space="0" w:color="auto"/>
              <w:right w:val="single" w:sz="4" w:space="0" w:color="auto"/>
            </w:tcBorders>
            <w:shd w:val="clear" w:color="auto" w:fill="auto"/>
            <w:vAlign w:val="center"/>
            <w:hideMark/>
          </w:tcPr>
          <w:p w:rsidR="00095F01" w:rsidRPr="00095F01" w:rsidP="00095F01" w14:paraId="7320230E" w14:textId="77777777">
            <w:pPr>
              <w:widowControl/>
              <w:autoSpaceDE/>
              <w:autoSpaceDN/>
              <w:adjustRightInd/>
              <w:jc w:val="center"/>
              <w:rPr>
                <w:b/>
                <w:bCs/>
                <w:color w:val="000000"/>
                <w:sz w:val="18"/>
                <w:szCs w:val="18"/>
              </w:rPr>
            </w:pPr>
            <w:r w:rsidRPr="00095F01">
              <w:rPr>
                <w:b/>
                <w:bCs/>
                <w:color w:val="000000"/>
                <w:sz w:val="18"/>
                <w:szCs w:val="18"/>
              </w:rPr>
              <w:t>Number of Occurrences Per Respondent Per Year</w:t>
            </w:r>
          </w:p>
        </w:tc>
        <w:tc>
          <w:tcPr>
            <w:tcW w:w="1180" w:type="dxa"/>
            <w:tcBorders>
              <w:top w:val="nil"/>
              <w:left w:val="nil"/>
              <w:bottom w:val="single" w:sz="4" w:space="0" w:color="auto"/>
              <w:right w:val="single" w:sz="4" w:space="0" w:color="auto"/>
            </w:tcBorders>
            <w:shd w:val="clear" w:color="auto" w:fill="auto"/>
            <w:vAlign w:val="center"/>
            <w:hideMark/>
          </w:tcPr>
          <w:p w:rsidR="00095F01" w:rsidRPr="00095F01" w:rsidP="00095F01" w14:paraId="32EDC0B4" w14:textId="77777777">
            <w:pPr>
              <w:widowControl/>
              <w:autoSpaceDE/>
              <w:autoSpaceDN/>
              <w:adjustRightInd/>
              <w:jc w:val="center"/>
              <w:rPr>
                <w:b/>
                <w:bCs/>
                <w:color w:val="000000"/>
                <w:sz w:val="18"/>
                <w:szCs w:val="18"/>
              </w:rPr>
            </w:pPr>
            <w:r w:rsidRPr="00095F01">
              <w:rPr>
                <w:b/>
                <w:bCs/>
                <w:color w:val="000000"/>
                <w:sz w:val="18"/>
                <w:szCs w:val="18"/>
              </w:rPr>
              <w:t xml:space="preserve">EPA Hours Per Respondent Per Year </w:t>
            </w:r>
            <w:r w:rsidRPr="00095F01">
              <w:rPr>
                <w:b/>
                <w:bCs/>
                <w:color w:val="000000"/>
                <w:sz w:val="18"/>
                <w:szCs w:val="18"/>
              </w:rPr>
              <w:br/>
              <w:t>(C=</w:t>
            </w:r>
            <w:r w:rsidRPr="00095F01">
              <w:rPr>
                <w:b/>
                <w:bCs/>
                <w:color w:val="000000"/>
                <w:sz w:val="18"/>
                <w:szCs w:val="18"/>
              </w:rPr>
              <w:t>AxB</w:t>
            </w:r>
            <w:r w:rsidRPr="00095F01">
              <w:rPr>
                <w:b/>
                <w:bCs/>
                <w:color w:val="000000"/>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095F01" w:rsidRPr="00095F01" w:rsidP="00095F01" w14:paraId="66069387" w14:textId="77777777">
            <w:pPr>
              <w:widowControl/>
              <w:autoSpaceDE/>
              <w:autoSpaceDN/>
              <w:adjustRightInd/>
              <w:jc w:val="center"/>
              <w:rPr>
                <w:b/>
                <w:bCs/>
                <w:color w:val="000000"/>
                <w:sz w:val="18"/>
                <w:szCs w:val="18"/>
              </w:rPr>
            </w:pPr>
            <w:r w:rsidRPr="00095F01">
              <w:rPr>
                <w:b/>
                <w:bCs/>
                <w:color w:val="000000"/>
                <w:sz w:val="18"/>
                <w:szCs w:val="18"/>
              </w:rPr>
              <w:t xml:space="preserve">Number of Respondents Per Year </w:t>
            </w:r>
            <w:r w:rsidRPr="00095F01">
              <w:rPr>
                <w:b/>
                <w:bCs/>
                <w:color w:val="000000"/>
                <w:sz w:val="18"/>
                <w:szCs w:val="18"/>
                <w:vertAlign w:val="superscript"/>
              </w:rPr>
              <w:t>a</w:t>
            </w:r>
          </w:p>
        </w:tc>
        <w:tc>
          <w:tcPr>
            <w:tcW w:w="966" w:type="dxa"/>
            <w:tcBorders>
              <w:top w:val="nil"/>
              <w:left w:val="nil"/>
              <w:bottom w:val="single" w:sz="4" w:space="0" w:color="auto"/>
              <w:right w:val="single" w:sz="4" w:space="0" w:color="auto"/>
            </w:tcBorders>
            <w:shd w:val="clear" w:color="auto" w:fill="auto"/>
            <w:vAlign w:val="center"/>
            <w:hideMark/>
          </w:tcPr>
          <w:p w:rsidR="00095F01" w:rsidRPr="00095F01" w:rsidP="00095F01" w14:paraId="25568F97" w14:textId="77777777">
            <w:pPr>
              <w:widowControl/>
              <w:autoSpaceDE/>
              <w:autoSpaceDN/>
              <w:adjustRightInd/>
              <w:jc w:val="center"/>
              <w:rPr>
                <w:b/>
                <w:bCs/>
                <w:color w:val="000000"/>
                <w:sz w:val="18"/>
                <w:szCs w:val="18"/>
              </w:rPr>
            </w:pPr>
            <w:r w:rsidRPr="00095F01">
              <w:rPr>
                <w:b/>
                <w:bCs/>
                <w:color w:val="000000"/>
                <w:sz w:val="18"/>
                <w:szCs w:val="18"/>
              </w:rPr>
              <w:t xml:space="preserve">Technical Hours Per Year </w:t>
            </w:r>
            <w:r w:rsidRPr="00095F01">
              <w:rPr>
                <w:b/>
                <w:bCs/>
                <w:color w:val="000000"/>
                <w:sz w:val="18"/>
                <w:szCs w:val="18"/>
              </w:rPr>
              <w:br/>
              <w:t>(E=CXD)</w:t>
            </w:r>
          </w:p>
        </w:tc>
        <w:tc>
          <w:tcPr>
            <w:tcW w:w="1226" w:type="dxa"/>
            <w:tcBorders>
              <w:top w:val="nil"/>
              <w:left w:val="nil"/>
              <w:bottom w:val="single" w:sz="4" w:space="0" w:color="auto"/>
              <w:right w:val="single" w:sz="4" w:space="0" w:color="auto"/>
            </w:tcBorders>
            <w:shd w:val="clear" w:color="auto" w:fill="auto"/>
            <w:vAlign w:val="center"/>
            <w:hideMark/>
          </w:tcPr>
          <w:p w:rsidR="00095F01" w:rsidRPr="00095F01" w:rsidP="00095F01" w14:paraId="04CF5CC4" w14:textId="77777777">
            <w:pPr>
              <w:widowControl/>
              <w:autoSpaceDE/>
              <w:autoSpaceDN/>
              <w:adjustRightInd/>
              <w:jc w:val="center"/>
              <w:rPr>
                <w:b/>
                <w:bCs/>
                <w:color w:val="000000"/>
                <w:sz w:val="18"/>
                <w:szCs w:val="18"/>
              </w:rPr>
            </w:pPr>
            <w:r w:rsidRPr="00095F01">
              <w:rPr>
                <w:b/>
                <w:bCs/>
                <w:color w:val="000000"/>
                <w:sz w:val="18"/>
                <w:szCs w:val="18"/>
              </w:rPr>
              <w:t xml:space="preserve">Management Hours Per Year </w:t>
            </w:r>
            <w:r w:rsidRPr="00095F01">
              <w:rPr>
                <w:b/>
                <w:bCs/>
                <w:color w:val="000000"/>
                <w:sz w:val="18"/>
                <w:szCs w:val="18"/>
              </w:rPr>
              <w:br/>
              <w:t>(F=Ex0.05)</w:t>
            </w:r>
          </w:p>
        </w:tc>
        <w:tc>
          <w:tcPr>
            <w:tcW w:w="1014" w:type="dxa"/>
            <w:tcBorders>
              <w:top w:val="nil"/>
              <w:left w:val="nil"/>
              <w:bottom w:val="single" w:sz="4" w:space="0" w:color="auto"/>
              <w:right w:val="single" w:sz="4" w:space="0" w:color="auto"/>
            </w:tcBorders>
            <w:shd w:val="clear" w:color="auto" w:fill="auto"/>
            <w:vAlign w:val="center"/>
            <w:hideMark/>
          </w:tcPr>
          <w:p w:rsidR="00095F01" w:rsidRPr="00095F01" w:rsidP="00095F01" w14:paraId="22267491" w14:textId="77777777">
            <w:pPr>
              <w:widowControl/>
              <w:autoSpaceDE/>
              <w:autoSpaceDN/>
              <w:adjustRightInd/>
              <w:jc w:val="center"/>
              <w:rPr>
                <w:b/>
                <w:bCs/>
                <w:color w:val="000000"/>
                <w:sz w:val="18"/>
                <w:szCs w:val="18"/>
              </w:rPr>
            </w:pPr>
            <w:r w:rsidRPr="00095F01">
              <w:rPr>
                <w:b/>
                <w:bCs/>
                <w:color w:val="000000"/>
                <w:sz w:val="18"/>
                <w:szCs w:val="18"/>
              </w:rPr>
              <w:t xml:space="preserve">Clerical Hours Per Year </w:t>
            </w:r>
            <w:r w:rsidRPr="00095F01">
              <w:rPr>
                <w:b/>
                <w:bCs/>
                <w:color w:val="000000"/>
                <w:sz w:val="18"/>
                <w:szCs w:val="18"/>
              </w:rPr>
              <w:br/>
              <w:t>(G=Ex0.1)</w:t>
            </w:r>
          </w:p>
        </w:tc>
        <w:tc>
          <w:tcPr>
            <w:tcW w:w="960" w:type="dxa"/>
            <w:tcBorders>
              <w:top w:val="nil"/>
              <w:left w:val="nil"/>
              <w:bottom w:val="single" w:sz="4" w:space="0" w:color="auto"/>
              <w:right w:val="single" w:sz="4" w:space="0" w:color="auto"/>
            </w:tcBorders>
            <w:shd w:val="clear" w:color="auto" w:fill="auto"/>
            <w:vAlign w:val="center"/>
            <w:hideMark/>
          </w:tcPr>
          <w:p w:rsidR="00095F01" w:rsidRPr="00095F01" w:rsidP="00095F01" w14:paraId="38529C58" w14:textId="77777777">
            <w:pPr>
              <w:widowControl/>
              <w:autoSpaceDE/>
              <w:autoSpaceDN/>
              <w:adjustRightInd/>
              <w:jc w:val="center"/>
              <w:rPr>
                <w:b/>
                <w:bCs/>
                <w:color w:val="000000"/>
                <w:sz w:val="18"/>
                <w:szCs w:val="18"/>
              </w:rPr>
            </w:pPr>
            <w:r w:rsidRPr="00095F01">
              <w:rPr>
                <w:b/>
                <w:bCs/>
                <w:color w:val="000000"/>
                <w:sz w:val="18"/>
                <w:szCs w:val="18"/>
              </w:rPr>
              <w:t xml:space="preserve">Total Costs, $ </w:t>
            </w:r>
            <w:r w:rsidRPr="00095F01">
              <w:rPr>
                <w:b/>
                <w:bCs/>
                <w:color w:val="000000"/>
                <w:sz w:val="18"/>
                <w:szCs w:val="18"/>
                <w:vertAlign w:val="superscript"/>
              </w:rPr>
              <w:t>b</w:t>
            </w:r>
          </w:p>
        </w:tc>
      </w:tr>
      <w:tr w14:paraId="1508724C"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6811599F" w14:textId="77777777">
            <w:pPr>
              <w:widowControl/>
              <w:autoSpaceDE/>
              <w:autoSpaceDN/>
              <w:adjustRightInd/>
              <w:rPr>
                <w:color w:val="000000"/>
                <w:sz w:val="18"/>
                <w:szCs w:val="18"/>
              </w:rPr>
            </w:pPr>
            <w:r w:rsidRPr="00095F01">
              <w:rPr>
                <w:color w:val="000000"/>
                <w:sz w:val="18"/>
                <w:szCs w:val="18"/>
              </w:rPr>
              <w:t>1. Applications</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CA829EF" w14:textId="77777777">
            <w:pPr>
              <w:widowControl/>
              <w:autoSpaceDE/>
              <w:autoSpaceDN/>
              <w:adjustRightInd/>
              <w:jc w:val="center"/>
              <w:rPr>
                <w:color w:val="000000"/>
                <w:sz w:val="18"/>
                <w:szCs w:val="18"/>
              </w:rPr>
            </w:pPr>
            <w:r w:rsidRPr="00095F01">
              <w:rPr>
                <w:color w:val="000000"/>
                <w:sz w:val="18"/>
                <w:szCs w:val="18"/>
              </w:rPr>
              <w:t>N/A</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A5DBBB8" w14:textId="77777777">
            <w:pPr>
              <w:widowControl/>
              <w:autoSpaceDE/>
              <w:autoSpaceDN/>
              <w:adjustRightInd/>
              <w:rPr>
                <w:color w:val="000000"/>
                <w:sz w:val="20"/>
                <w:szCs w:val="20"/>
              </w:rPr>
            </w:pPr>
            <w:r w:rsidRPr="00095F01">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095F01" w:rsidRPr="00095F01" w:rsidP="00095F01" w14:paraId="58F77276" w14:textId="77777777">
            <w:pPr>
              <w:widowControl/>
              <w:autoSpaceDE/>
              <w:autoSpaceDN/>
              <w:adjustRightInd/>
              <w:rPr>
                <w:color w:val="000000"/>
                <w:sz w:val="20"/>
                <w:szCs w:val="20"/>
              </w:rPr>
            </w:pPr>
            <w:r w:rsidRPr="00095F01">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095F01" w:rsidRPr="00095F01" w:rsidP="00095F01" w14:paraId="27EEF2EF" w14:textId="77777777">
            <w:pPr>
              <w:widowControl/>
              <w:autoSpaceDE/>
              <w:autoSpaceDN/>
              <w:adjustRightInd/>
              <w:rPr>
                <w:color w:val="000000"/>
                <w:sz w:val="20"/>
                <w:szCs w:val="20"/>
              </w:rPr>
            </w:pPr>
            <w:r w:rsidRPr="00095F01">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4EA7B0A" w14:textId="77777777">
            <w:pPr>
              <w:widowControl/>
              <w:autoSpaceDE/>
              <w:autoSpaceDN/>
              <w:adjustRightInd/>
              <w:rPr>
                <w:color w:val="000000"/>
                <w:sz w:val="20"/>
                <w:szCs w:val="20"/>
              </w:rPr>
            </w:pPr>
            <w:r w:rsidRPr="00095F01">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27EFBAA" w14:textId="77777777">
            <w:pPr>
              <w:widowControl/>
              <w:autoSpaceDE/>
              <w:autoSpaceDN/>
              <w:adjustRightInd/>
              <w:rPr>
                <w:color w:val="000000"/>
                <w:sz w:val="20"/>
                <w:szCs w:val="20"/>
              </w:rPr>
            </w:pPr>
            <w:r w:rsidRPr="00095F01">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C8951BE" w14:textId="77777777">
            <w:pPr>
              <w:widowControl/>
              <w:autoSpaceDE/>
              <w:autoSpaceDN/>
              <w:adjustRightInd/>
              <w:rPr>
                <w:color w:val="000000"/>
                <w:sz w:val="20"/>
                <w:szCs w:val="20"/>
              </w:rPr>
            </w:pPr>
            <w:r w:rsidRPr="00095F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B11CD94" w14:textId="77777777">
            <w:pPr>
              <w:widowControl/>
              <w:autoSpaceDE/>
              <w:autoSpaceDN/>
              <w:adjustRightInd/>
              <w:rPr>
                <w:color w:val="000000"/>
                <w:sz w:val="20"/>
                <w:szCs w:val="20"/>
              </w:rPr>
            </w:pPr>
            <w:r w:rsidRPr="00095F01">
              <w:rPr>
                <w:color w:val="000000"/>
                <w:sz w:val="20"/>
                <w:szCs w:val="20"/>
              </w:rPr>
              <w:t> </w:t>
            </w:r>
          </w:p>
        </w:tc>
      </w:tr>
      <w:tr w14:paraId="79AC5F58"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001584B0" w14:textId="77777777">
            <w:pPr>
              <w:widowControl/>
              <w:autoSpaceDE/>
              <w:autoSpaceDN/>
              <w:adjustRightInd/>
              <w:rPr>
                <w:color w:val="000000"/>
                <w:sz w:val="18"/>
                <w:szCs w:val="18"/>
              </w:rPr>
            </w:pPr>
            <w:r w:rsidRPr="00095F01">
              <w:rPr>
                <w:color w:val="000000"/>
                <w:sz w:val="18"/>
                <w:szCs w:val="18"/>
              </w:rPr>
              <w:t>2. Familiarize with regulatory requirements</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48FF475" w14:textId="77777777">
            <w:pPr>
              <w:widowControl/>
              <w:autoSpaceDE/>
              <w:autoSpaceDN/>
              <w:adjustRightInd/>
              <w:jc w:val="center"/>
              <w:rPr>
                <w:color w:val="000000"/>
                <w:sz w:val="18"/>
                <w:szCs w:val="18"/>
              </w:rPr>
            </w:pPr>
            <w:r w:rsidRPr="00095F01">
              <w:rPr>
                <w:color w:val="000000"/>
                <w:sz w:val="18"/>
                <w:szCs w:val="18"/>
              </w:rPr>
              <w:t>16</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1A1FFE7"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EE30867" w14:textId="77777777">
            <w:pPr>
              <w:widowControl/>
              <w:autoSpaceDE/>
              <w:autoSpaceDN/>
              <w:adjustRightInd/>
              <w:jc w:val="center"/>
              <w:rPr>
                <w:color w:val="000000"/>
                <w:sz w:val="18"/>
                <w:szCs w:val="18"/>
              </w:rPr>
            </w:pPr>
            <w:r w:rsidRPr="00095F01">
              <w:rPr>
                <w:color w:val="000000"/>
                <w:sz w:val="18"/>
                <w:szCs w:val="18"/>
              </w:rPr>
              <w:t>16</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6C615D5" w14:textId="77777777">
            <w:pPr>
              <w:widowControl/>
              <w:autoSpaceDE/>
              <w:autoSpaceDN/>
              <w:adjustRightInd/>
              <w:jc w:val="center"/>
              <w:rPr>
                <w:color w:val="000000"/>
                <w:sz w:val="18"/>
                <w:szCs w:val="18"/>
              </w:rPr>
            </w:pPr>
            <w:r w:rsidRPr="00095F01">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84071FC" w14:textId="77777777">
            <w:pPr>
              <w:widowControl/>
              <w:autoSpaceDE/>
              <w:autoSpaceDN/>
              <w:adjustRightInd/>
              <w:jc w:val="center"/>
              <w:rPr>
                <w:color w:val="000000"/>
                <w:sz w:val="18"/>
                <w:szCs w:val="18"/>
              </w:rPr>
            </w:pPr>
            <w:r w:rsidRPr="00095F01">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B618FB7" w14:textId="77777777">
            <w:pPr>
              <w:widowControl/>
              <w:autoSpaceDE/>
              <w:autoSpaceDN/>
              <w:adjustRightInd/>
              <w:jc w:val="center"/>
              <w:rPr>
                <w:color w:val="000000"/>
                <w:sz w:val="18"/>
                <w:szCs w:val="18"/>
              </w:rPr>
            </w:pPr>
            <w:r w:rsidRPr="00095F0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8D317AD" w14:textId="77777777">
            <w:pPr>
              <w:widowControl/>
              <w:autoSpaceDE/>
              <w:autoSpaceDN/>
              <w:adjustRightInd/>
              <w:jc w:val="center"/>
              <w:rPr>
                <w:color w:val="000000"/>
                <w:sz w:val="18"/>
                <w:szCs w:val="18"/>
              </w:rPr>
            </w:pPr>
            <w:r w:rsidRPr="00095F01">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5402A87" w14:textId="77777777">
            <w:pPr>
              <w:widowControl/>
              <w:autoSpaceDE/>
              <w:autoSpaceDN/>
              <w:adjustRightInd/>
              <w:jc w:val="right"/>
              <w:rPr>
                <w:color w:val="000000"/>
                <w:sz w:val="18"/>
                <w:szCs w:val="18"/>
              </w:rPr>
            </w:pPr>
            <w:r w:rsidRPr="00095F01">
              <w:rPr>
                <w:color w:val="000000"/>
                <w:sz w:val="18"/>
                <w:szCs w:val="18"/>
              </w:rPr>
              <w:t xml:space="preserve">$0 </w:t>
            </w:r>
          </w:p>
        </w:tc>
      </w:tr>
      <w:tr w14:paraId="684EF339"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64D2BF28" w14:textId="77777777">
            <w:pPr>
              <w:widowControl/>
              <w:autoSpaceDE/>
              <w:autoSpaceDN/>
              <w:adjustRightInd/>
              <w:rPr>
                <w:color w:val="000000"/>
                <w:sz w:val="18"/>
                <w:szCs w:val="18"/>
              </w:rPr>
            </w:pPr>
            <w:r w:rsidRPr="00095F01">
              <w:rPr>
                <w:color w:val="000000"/>
                <w:sz w:val="18"/>
                <w:szCs w:val="18"/>
              </w:rPr>
              <w:t>3. Required Activities</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3FC5C0B" w14:textId="77777777">
            <w:pPr>
              <w:widowControl/>
              <w:autoSpaceDE/>
              <w:autoSpaceDN/>
              <w:adjustRightInd/>
              <w:rPr>
                <w:color w:val="000000"/>
                <w:sz w:val="20"/>
                <w:szCs w:val="20"/>
              </w:rPr>
            </w:pPr>
            <w:r w:rsidRPr="00095F01">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363C4CD" w14:textId="77777777">
            <w:pPr>
              <w:widowControl/>
              <w:autoSpaceDE/>
              <w:autoSpaceDN/>
              <w:adjustRightInd/>
              <w:rPr>
                <w:color w:val="000000"/>
                <w:sz w:val="20"/>
                <w:szCs w:val="20"/>
              </w:rPr>
            </w:pPr>
            <w:r w:rsidRPr="00095F01">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581A5CB" w14:textId="77777777">
            <w:pPr>
              <w:widowControl/>
              <w:autoSpaceDE/>
              <w:autoSpaceDN/>
              <w:adjustRightInd/>
              <w:jc w:val="center"/>
              <w:rPr>
                <w:color w:val="000000"/>
                <w:sz w:val="18"/>
                <w:szCs w:val="18"/>
              </w:rPr>
            </w:pPr>
            <w:r w:rsidRPr="00095F01">
              <w:rPr>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095F01" w:rsidRPr="00095F01" w:rsidP="00095F01" w14:paraId="79C234DC" w14:textId="77777777">
            <w:pPr>
              <w:widowControl/>
              <w:autoSpaceDE/>
              <w:autoSpaceDN/>
              <w:adjustRightInd/>
              <w:rPr>
                <w:color w:val="000000"/>
                <w:sz w:val="20"/>
                <w:szCs w:val="20"/>
              </w:rPr>
            </w:pPr>
            <w:r w:rsidRPr="00095F01">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A72CD24" w14:textId="77777777">
            <w:pPr>
              <w:widowControl/>
              <w:autoSpaceDE/>
              <w:autoSpaceDN/>
              <w:adjustRightInd/>
              <w:jc w:val="center"/>
              <w:rPr>
                <w:color w:val="000000"/>
                <w:sz w:val="18"/>
                <w:szCs w:val="18"/>
              </w:rPr>
            </w:pPr>
            <w:r w:rsidRPr="00095F01">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134A33D" w14:textId="77777777">
            <w:pPr>
              <w:widowControl/>
              <w:autoSpaceDE/>
              <w:autoSpaceDN/>
              <w:adjustRightInd/>
              <w:jc w:val="center"/>
              <w:rPr>
                <w:color w:val="000000"/>
                <w:sz w:val="18"/>
                <w:szCs w:val="18"/>
              </w:rPr>
            </w:pPr>
            <w:r w:rsidRPr="00095F0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B6727BD" w14:textId="77777777">
            <w:pPr>
              <w:widowControl/>
              <w:autoSpaceDE/>
              <w:autoSpaceDN/>
              <w:adjustRightInd/>
              <w:jc w:val="center"/>
              <w:rPr>
                <w:color w:val="000000"/>
                <w:sz w:val="18"/>
                <w:szCs w:val="18"/>
              </w:rPr>
            </w:pPr>
            <w:r w:rsidRPr="00095F01">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F6C4990" w14:textId="77777777">
            <w:pPr>
              <w:widowControl/>
              <w:autoSpaceDE/>
              <w:autoSpaceDN/>
              <w:adjustRightInd/>
              <w:jc w:val="right"/>
              <w:rPr>
                <w:color w:val="000000"/>
                <w:sz w:val="18"/>
                <w:szCs w:val="18"/>
              </w:rPr>
            </w:pPr>
            <w:r w:rsidRPr="00095F01">
              <w:rPr>
                <w:color w:val="000000"/>
                <w:sz w:val="18"/>
                <w:szCs w:val="18"/>
              </w:rPr>
              <w:t> </w:t>
            </w:r>
          </w:p>
        </w:tc>
      </w:tr>
      <w:tr w14:paraId="7D2E63E9"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37D5D0B6" w14:textId="77777777">
            <w:pPr>
              <w:widowControl/>
              <w:autoSpaceDE/>
              <w:autoSpaceDN/>
              <w:adjustRightInd/>
              <w:ind w:firstLine="180" w:firstLineChars="100"/>
              <w:rPr>
                <w:color w:val="000000"/>
                <w:sz w:val="18"/>
                <w:szCs w:val="18"/>
              </w:rPr>
            </w:pPr>
            <w:r w:rsidRPr="00095F01">
              <w:rPr>
                <w:color w:val="000000"/>
                <w:sz w:val="18"/>
                <w:szCs w:val="18"/>
              </w:rPr>
              <w:t>Report Reviews</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0B4AB63" w14:textId="77777777">
            <w:pPr>
              <w:widowControl/>
              <w:autoSpaceDE/>
              <w:autoSpaceDN/>
              <w:adjustRightInd/>
              <w:jc w:val="center"/>
              <w:rPr>
                <w:color w:val="000000"/>
                <w:sz w:val="18"/>
                <w:szCs w:val="18"/>
              </w:rPr>
            </w:pPr>
            <w:r w:rsidRPr="00095F01">
              <w:rPr>
                <w:color w:val="000000"/>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4E1FC390" w14:textId="77777777">
            <w:pPr>
              <w:widowControl/>
              <w:autoSpaceDE/>
              <w:autoSpaceDN/>
              <w:adjustRightInd/>
              <w:jc w:val="center"/>
              <w:rPr>
                <w:color w:val="000000"/>
                <w:sz w:val="18"/>
                <w:szCs w:val="18"/>
              </w:rPr>
            </w:pPr>
            <w:r w:rsidRPr="00095F01">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39E59E8" w14:textId="77777777">
            <w:pPr>
              <w:widowControl/>
              <w:autoSpaceDE/>
              <w:autoSpaceDN/>
              <w:adjustRightInd/>
              <w:jc w:val="center"/>
              <w:rPr>
                <w:color w:val="000000"/>
                <w:sz w:val="18"/>
                <w:szCs w:val="18"/>
              </w:rPr>
            </w:pPr>
            <w:r w:rsidRPr="00095F01">
              <w:rPr>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CEBF704" w14:textId="77777777">
            <w:pPr>
              <w:widowControl/>
              <w:autoSpaceDE/>
              <w:autoSpaceDN/>
              <w:adjustRightInd/>
              <w:jc w:val="center"/>
              <w:rPr>
                <w:color w:val="000000"/>
                <w:sz w:val="18"/>
                <w:szCs w:val="18"/>
              </w:rPr>
            </w:pPr>
            <w:r w:rsidRPr="00095F01">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63703735" w14:textId="77777777">
            <w:pPr>
              <w:widowControl/>
              <w:autoSpaceDE/>
              <w:autoSpaceDN/>
              <w:adjustRightInd/>
              <w:jc w:val="center"/>
              <w:rPr>
                <w:color w:val="000000"/>
                <w:sz w:val="18"/>
                <w:szCs w:val="18"/>
              </w:rPr>
            </w:pPr>
            <w:r w:rsidRPr="00095F01">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6302D587" w14:textId="77777777">
            <w:pPr>
              <w:widowControl/>
              <w:autoSpaceDE/>
              <w:autoSpaceDN/>
              <w:adjustRightInd/>
              <w:jc w:val="center"/>
              <w:rPr>
                <w:color w:val="000000"/>
                <w:sz w:val="18"/>
                <w:szCs w:val="18"/>
              </w:rPr>
            </w:pPr>
            <w:r w:rsidRPr="00095F0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EC67DBF" w14:textId="77777777">
            <w:pPr>
              <w:widowControl/>
              <w:autoSpaceDE/>
              <w:autoSpaceDN/>
              <w:adjustRightInd/>
              <w:jc w:val="center"/>
              <w:rPr>
                <w:color w:val="000000"/>
                <w:sz w:val="18"/>
                <w:szCs w:val="18"/>
              </w:rPr>
            </w:pPr>
            <w:r w:rsidRPr="00095F01">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FD30332" w14:textId="77777777">
            <w:pPr>
              <w:widowControl/>
              <w:autoSpaceDE/>
              <w:autoSpaceDN/>
              <w:adjustRightInd/>
              <w:jc w:val="right"/>
              <w:rPr>
                <w:color w:val="000000"/>
                <w:sz w:val="18"/>
                <w:szCs w:val="18"/>
              </w:rPr>
            </w:pPr>
            <w:r w:rsidRPr="00095F01">
              <w:rPr>
                <w:color w:val="000000"/>
                <w:sz w:val="18"/>
                <w:szCs w:val="18"/>
              </w:rPr>
              <w:t> </w:t>
            </w:r>
          </w:p>
        </w:tc>
      </w:tr>
      <w:tr w14:paraId="179E2127"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77BBDE2C" w14:textId="13C01C83">
            <w:pPr>
              <w:widowControl/>
              <w:autoSpaceDE/>
              <w:autoSpaceDN/>
              <w:adjustRightInd/>
              <w:ind w:firstLine="400" w:firstLineChars="200"/>
              <w:rPr>
                <w:color w:val="000000"/>
                <w:sz w:val="20"/>
                <w:szCs w:val="20"/>
              </w:rPr>
            </w:pPr>
            <w:r w:rsidRPr="00095F01">
              <w:rPr>
                <w:color w:val="000000"/>
                <w:sz w:val="20"/>
                <w:szCs w:val="20"/>
              </w:rPr>
              <w:t>1)</w:t>
            </w:r>
            <w:r w:rsidR="006B63FA">
              <w:rPr>
                <w:color w:val="000000"/>
                <w:sz w:val="20"/>
                <w:szCs w:val="20"/>
              </w:rPr>
              <w:t xml:space="preserve"> </w:t>
            </w:r>
            <w:r w:rsidRPr="00095F01">
              <w:rPr>
                <w:color w:val="000000"/>
                <w:sz w:val="20"/>
                <w:szCs w:val="20"/>
              </w:rPr>
              <w:t>Review control plan</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D4739FD" w14:textId="77777777">
            <w:pPr>
              <w:widowControl/>
              <w:autoSpaceDE/>
              <w:autoSpaceDN/>
              <w:adjustRightInd/>
              <w:jc w:val="center"/>
              <w:rPr>
                <w:color w:val="000000"/>
                <w:sz w:val="18"/>
                <w:szCs w:val="18"/>
              </w:rPr>
            </w:pPr>
            <w:r w:rsidRPr="00095F01">
              <w:rPr>
                <w:color w:val="000000"/>
                <w:sz w:val="18"/>
                <w:szCs w:val="18"/>
              </w:rPr>
              <w:t>8</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088906E"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21986A2" w14:textId="77777777">
            <w:pPr>
              <w:widowControl/>
              <w:autoSpaceDE/>
              <w:autoSpaceDN/>
              <w:adjustRightInd/>
              <w:jc w:val="center"/>
              <w:rPr>
                <w:color w:val="000000"/>
                <w:sz w:val="18"/>
                <w:szCs w:val="18"/>
              </w:rPr>
            </w:pPr>
            <w:r w:rsidRPr="00095F01">
              <w:rPr>
                <w:color w:val="000000"/>
                <w:sz w:val="18"/>
                <w:szCs w:val="18"/>
              </w:rPr>
              <w:t>8</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84EB0F2" w14:textId="77777777">
            <w:pPr>
              <w:widowControl/>
              <w:autoSpaceDE/>
              <w:autoSpaceDN/>
              <w:adjustRightInd/>
              <w:jc w:val="center"/>
              <w:rPr>
                <w:color w:val="000000"/>
                <w:sz w:val="18"/>
                <w:szCs w:val="18"/>
              </w:rPr>
            </w:pPr>
            <w:r w:rsidRPr="00095F01">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6DE70151" w14:textId="77777777">
            <w:pPr>
              <w:widowControl/>
              <w:autoSpaceDE/>
              <w:autoSpaceDN/>
              <w:adjustRightInd/>
              <w:jc w:val="center"/>
              <w:rPr>
                <w:color w:val="000000"/>
                <w:sz w:val="18"/>
                <w:szCs w:val="18"/>
              </w:rPr>
            </w:pPr>
            <w:r w:rsidRPr="00095F01">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22A6341" w14:textId="77777777">
            <w:pPr>
              <w:widowControl/>
              <w:autoSpaceDE/>
              <w:autoSpaceDN/>
              <w:adjustRightInd/>
              <w:jc w:val="center"/>
              <w:rPr>
                <w:color w:val="000000"/>
                <w:sz w:val="18"/>
                <w:szCs w:val="18"/>
              </w:rPr>
            </w:pPr>
            <w:r w:rsidRPr="00095F0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F2EA4EE" w14:textId="77777777">
            <w:pPr>
              <w:widowControl/>
              <w:autoSpaceDE/>
              <w:autoSpaceDN/>
              <w:adjustRightInd/>
              <w:jc w:val="center"/>
              <w:rPr>
                <w:color w:val="000000"/>
                <w:sz w:val="18"/>
                <w:szCs w:val="18"/>
              </w:rPr>
            </w:pPr>
            <w:r w:rsidRPr="00095F01">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B7A2303" w14:textId="77777777">
            <w:pPr>
              <w:widowControl/>
              <w:autoSpaceDE/>
              <w:autoSpaceDN/>
              <w:adjustRightInd/>
              <w:jc w:val="right"/>
              <w:rPr>
                <w:color w:val="000000"/>
                <w:sz w:val="18"/>
                <w:szCs w:val="18"/>
              </w:rPr>
            </w:pPr>
            <w:r w:rsidRPr="00095F01">
              <w:rPr>
                <w:color w:val="000000"/>
                <w:sz w:val="18"/>
                <w:szCs w:val="18"/>
              </w:rPr>
              <w:t xml:space="preserve">$0 </w:t>
            </w:r>
          </w:p>
        </w:tc>
      </w:tr>
      <w:tr w14:paraId="5D98F610"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286AA0C6" w14:textId="00E4ED33">
            <w:pPr>
              <w:widowControl/>
              <w:autoSpaceDE/>
              <w:autoSpaceDN/>
              <w:adjustRightInd/>
              <w:ind w:firstLine="400" w:firstLineChars="200"/>
              <w:rPr>
                <w:color w:val="000000"/>
                <w:sz w:val="20"/>
                <w:szCs w:val="20"/>
              </w:rPr>
            </w:pPr>
            <w:r w:rsidRPr="00095F01">
              <w:rPr>
                <w:color w:val="000000"/>
                <w:sz w:val="20"/>
                <w:szCs w:val="20"/>
              </w:rPr>
              <w:t>2)</w:t>
            </w:r>
            <w:r w:rsidR="006B63FA">
              <w:rPr>
                <w:color w:val="000000"/>
                <w:sz w:val="20"/>
                <w:szCs w:val="20"/>
              </w:rPr>
              <w:t xml:space="preserve"> </w:t>
            </w:r>
            <w:r w:rsidRPr="00095F01">
              <w:rPr>
                <w:color w:val="000000"/>
                <w:sz w:val="20"/>
                <w:szCs w:val="20"/>
              </w:rPr>
              <w:t>Review notification of final compliance</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DA689F9" w14:textId="77777777">
            <w:pPr>
              <w:widowControl/>
              <w:autoSpaceDE/>
              <w:autoSpaceDN/>
              <w:adjustRightInd/>
              <w:jc w:val="center"/>
              <w:rPr>
                <w:color w:val="000000"/>
                <w:sz w:val="18"/>
                <w:szCs w:val="18"/>
              </w:rPr>
            </w:pPr>
            <w:r w:rsidRPr="00095F01">
              <w:rPr>
                <w:color w:val="000000"/>
                <w:sz w:val="18"/>
                <w:szCs w:val="18"/>
              </w:rPr>
              <w:t>8</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907D839"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CFEB01D" w14:textId="77777777">
            <w:pPr>
              <w:widowControl/>
              <w:autoSpaceDE/>
              <w:autoSpaceDN/>
              <w:adjustRightInd/>
              <w:jc w:val="center"/>
              <w:rPr>
                <w:color w:val="000000"/>
                <w:sz w:val="18"/>
                <w:szCs w:val="18"/>
              </w:rPr>
            </w:pPr>
            <w:r w:rsidRPr="00095F01">
              <w:rPr>
                <w:color w:val="000000"/>
                <w:sz w:val="18"/>
                <w:szCs w:val="18"/>
              </w:rPr>
              <w:t>8</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1B72539" w14:textId="77777777">
            <w:pPr>
              <w:widowControl/>
              <w:autoSpaceDE/>
              <w:autoSpaceDN/>
              <w:adjustRightInd/>
              <w:jc w:val="center"/>
              <w:rPr>
                <w:color w:val="000000"/>
                <w:sz w:val="18"/>
                <w:szCs w:val="18"/>
              </w:rPr>
            </w:pPr>
            <w:r w:rsidRPr="00095F01">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A1BC9A2" w14:textId="77777777">
            <w:pPr>
              <w:widowControl/>
              <w:autoSpaceDE/>
              <w:autoSpaceDN/>
              <w:adjustRightInd/>
              <w:jc w:val="center"/>
              <w:rPr>
                <w:color w:val="000000"/>
                <w:sz w:val="18"/>
                <w:szCs w:val="18"/>
              </w:rPr>
            </w:pPr>
            <w:r w:rsidRPr="00095F01">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7132217" w14:textId="77777777">
            <w:pPr>
              <w:widowControl/>
              <w:autoSpaceDE/>
              <w:autoSpaceDN/>
              <w:adjustRightInd/>
              <w:jc w:val="center"/>
              <w:rPr>
                <w:color w:val="000000"/>
                <w:sz w:val="18"/>
                <w:szCs w:val="18"/>
              </w:rPr>
            </w:pPr>
            <w:r w:rsidRPr="00095F0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40FCF2E" w14:textId="77777777">
            <w:pPr>
              <w:widowControl/>
              <w:autoSpaceDE/>
              <w:autoSpaceDN/>
              <w:adjustRightInd/>
              <w:jc w:val="center"/>
              <w:rPr>
                <w:color w:val="000000"/>
                <w:sz w:val="18"/>
                <w:szCs w:val="18"/>
              </w:rPr>
            </w:pPr>
            <w:r w:rsidRPr="00095F01">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D8BF73E" w14:textId="77777777">
            <w:pPr>
              <w:widowControl/>
              <w:autoSpaceDE/>
              <w:autoSpaceDN/>
              <w:adjustRightInd/>
              <w:jc w:val="right"/>
              <w:rPr>
                <w:color w:val="000000"/>
                <w:sz w:val="18"/>
                <w:szCs w:val="18"/>
              </w:rPr>
            </w:pPr>
            <w:r w:rsidRPr="00095F01">
              <w:rPr>
                <w:color w:val="000000"/>
                <w:sz w:val="18"/>
                <w:szCs w:val="18"/>
              </w:rPr>
              <w:t xml:space="preserve">$0 </w:t>
            </w:r>
          </w:p>
        </w:tc>
      </w:tr>
      <w:tr w14:paraId="6D270DA7"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5024BD45" w14:textId="009CA084">
            <w:pPr>
              <w:widowControl/>
              <w:autoSpaceDE/>
              <w:autoSpaceDN/>
              <w:adjustRightInd/>
              <w:ind w:firstLine="400" w:firstLineChars="200"/>
              <w:rPr>
                <w:color w:val="000000"/>
                <w:sz w:val="20"/>
                <w:szCs w:val="20"/>
              </w:rPr>
            </w:pPr>
            <w:r w:rsidRPr="00095F01">
              <w:rPr>
                <w:color w:val="000000"/>
                <w:sz w:val="20"/>
                <w:szCs w:val="20"/>
              </w:rPr>
              <w:t>3)</w:t>
            </w:r>
            <w:r w:rsidR="006B63FA">
              <w:rPr>
                <w:color w:val="000000"/>
                <w:sz w:val="20"/>
                <w:szCs w:val="20"/>
              </w:rPr>
              <w:t xml:space="preserve"> </w:t>
            </w:r>
            <w:r w:rsidRPr="00095F01">
              <w:rPr>
                <w:color w:val="000000"/>
                <w:sz w:val="20"/>
                <w:szCs w:val="20"/>
              </w:rPr>
              <w:t>Review waste management plan</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2C7DEAC4" w14:textId="77777777">
            <w:pPr>
              <w:widowControl/>
              <w:autoSpaceDE/>
              <w:autoSpaceDN/>
              <w:adjustRightInd/>
              <w:jc w:val="center"/>
              <w:rPr>
                <w:color w:val="000000"/>
                <w:sz w:val="18"/>
                <w:szCs w:val="18"/>
              </w:rPr>
            </w:pPr>
            <w:r w:rsidRPr="00095F01">
              <w:rPr>
                <w:color w:val="000000"/>
                <w:sz w:val="18"/>
                <w:szCs w:val="18"/>
              </w:rPr>
              <w:t>8</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5A42DDA"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67FFD6E" w14:textId="77777777">
            <w:pPr>
              <w:widowControl/>
              <w:autoSpaceDE/>
              <w:autoSpaceDN/>
              <w:adjustRightInd/>
              <w:jc w:val="center"/>
              <w:rPr>
                <w:color w:val="000000"/>
                <w:sz w:val="18"/>
                <w:szCs w:val="18"/>
              </w:rPr>
            </w:pPr>
            <w:r w:rsidRPr="00095F01">
              <w:rPr>
                <w:color w:val="000000"/>
                <w:sz w:val="18"/>
                <w:szCs w:val="18"/>
              </w:rPr>
              <w:t>8</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672A3AE7" w14:textId="77777777">
            <w:pPr>
              <w:widowControl/>
              <w:autoSpaceDE/>
              <w:autoSpaceDN/>
              <w:adjustRightInd/>
              <w:jc w:val="center"/>
              <w:rPr>
                <w:color w:val="000000"/>
                <w:sz w:val="18"/>
                <w:szCs w:val="18"/>
              </w:rPr>
            </w:pPr>
            <w:r w:rsidRPr="00095F01">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A2296DE" w14:textId="77777777">
            <w:pPr>
              <w:widowControl/>
              <w:autoSpaceDE/>
              <w:autoSpaceDN/>
              <w:adjustRightInd/>
              <w:jc w:val="center"/>
              <w:rPr>
                <w:color w:val="000000"/>
                <w:sz w:val="18"/>
                <w:szCs w:val="18"/>
              </w:rPr>
            </w:pPr>
            <w:r w:rsidRPr="00095F01">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C02B283" w14:textId="77777777">
            <w:pPr>
              <w:widowControl/>
              <w:autoSpaceDE/>
              <w:autoSpaceDN/>
              <w:adjustRightInd/>
              <w:jc w:val="center"/>
              <w:rPr>
                <w:color w:val="000000"/>
                <w:sz w:val="18"/>
                <w:szCs w:val="18"/>
              </w:rPr>
            </w:pPr>
            <w:r w:rsidRPr="00095F0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E875310" w14:textId="77777777">
            <w:pPr>
              <w:widowControl/>
              <w:autoSpaceDE/>
              <w:autoSpaceDN/>
              <w:adjustRightInd/>
              <w:jc w:val="center"/>
              <w:rPr>
                <w:color w:val="000000"/>
                <w:sz w:val="18"/>
                <w:szCs w:val="18"/>
              </w:rPr>
            </w:pPr>
            <w:r w:rsidRPr="00095F01">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88A4FDF" w14:textId="77777777">
            <w:pPr>
              <w:widowControl/>
              <w:autoSpaceDE/>
              <w:autoSpaceDN/>
              <w:adjustRightInd/>
              <w:jc w:val="right"/>
              <w:rPr>
                <w:color w:val="000000"/>
                <w:sz w:val="18"/>
                <w:szCs w:val="18"/>
              </w:rPr>
            </w:pPr>
            <w:r w:rsidRPr="00095F01">
              <w:rPr>
                <w:color w:val="000000"/>
                <w:sz w:val="18"/>
                <w:szCs w:val="18"/>
              </w:rPr>
              <w:t xml:space="preserve">$0 </w:t>
            </w:r>
          </w:p>
        </w:tc>
      </w:tr>
      <w:tr w14:paraId="6A526091"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0E43B263" w14:textId="428DFBEE">
            <w:pPr>
              <w:widowControl/>
              <w:autoSpaceDE/>
              <w:autoSpaceDN/>
              <w:adjustRightInd/>
              <w:ind w:firstLine="400" w:firstLineChars="200"/>
              <w:rPr>
                <w:color w:val="000000"/>
                <w:sz w:val="20"/>
                <w:szCs w:val="20"/>
              </w:rPr>
            </w:pPr>
            <w:r w:rsidRPr="00095F01">
              <w:rPr>
                <w:color w:val="000000"/>
                <w:sz w:val="20"/>
                <w:szCs w:val="20"/>
              </w:rPr>
              <w:t>4)</w:t>
            </w:r>
            <w:r w:rsidR="006B63FA">
              <w:rPr>
                <w:color w:val="000000"/>
                <w:sz w:val="20"/>
                <w:szCs w:val="20"/>
              </w:rPr>
              <w:t xml:space="preserve"> </w:t>
            </w:r>
            <w:r w:rsidRPr="00095F01">
              <w:rPr>
                <w:color w:val="000000"/>
                <w:sz w:val="20"/>
                <w:szCs w:val="20"/>
              </w:rPr>
              <w:t>Review initial stack test report</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61F3709" w14:textId="77777777">
            <w:pPr>
              <w:widowControl/>
              <w:autoSpaceDE/>
              <w:autoSpaceDN/>
              <w:adjustRightInd/>
              <w:jc w:val="center"/>
              <w:rPr>
                <w:color w:val="000000"/>
                <w:sz w:val="18"/>
                <w:szCs w:val="18"/>
              </w:rPr>
            </w:pPr>
            <w:r w:rsidRPr="00095F01">
              <w:rPr>
                <w:color w:val="000000"/>
                <w:sz w:val="18"/>
                <w:szCs w:val="18"/>
              </w:rPr>
              <w:t>40</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68F4185"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40D13859" w14:textId="77777777">
            <w:pPr>
              <w:widowControl/>
              <w:autoSpaceDE/>
              <w:autoSpaceDN/>
              <w:adjustRightInd/>
              <w:jc w:val="center"/>
              <w:rPr>
                <w:color w:val="000000"/>
                <w:sz w:val="18"/>
                <w:szCs w:val="18"/>
              </w:rPr>
            </w:pPr>
            <w:r w:rsidRPr="00095F01">
              <w:rPr>
                <w:color w:val="000000"/>
                <w:sz w:val="18"/>
                <w:szCs w:val="18"/>
              </w:rPr>
              <w:t>40</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56B8E8A" w14:textId="77777777">
            <w:pPr>
              <w:widowControl/>
              <w:autoSpaceDE/>
              <w:autoSpaceDN/>
              <w:adjustRightInd/>
              <w:jc w:val="center"/>
              <w:rPr>
                <w:color w:val="000000"/>
                <w:sz w:val="18"/>
                <w:szCs w:val="18"/>
              </w:rPr>
            </w:pPr>
            <w:r w:rsidRPr="00095F01">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A4826A9" w14:textId="77777777">
            <w:pPr>
              <w:widowControl/>
              <w:autoSpaceDE/>
              <w:autoSpaceDN/>
              <w:adjustRightInd/>
              <w:jc w:val="center"/>
              <w:rPr>
                <w:color w:val="000000"/>
                <w:sz w:val="18"/>
                <w:szCs w:val="18"/>
              </w:rPr>
            </w:pPr>
            <w:r w:rsidRPr="00095F01">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D001C21" w14:textId="77777777">
            <w:pPr>
              <w:widowControl/>
              <w:autoSpaceDE/>
              <w:autoSpaceDN/>
              <w:adjustRightInd/>
              <w:jc w:val="center"/>
              <w:rPr>
                <w:color w:val="000000"/>
                <w:sz w:val="18"/>
                <w:szCs w:val="18"/>
              </w:rPr>
            </w:pPr>
            <w:r w:rsidRPr="00095F0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4843E5D8" w14:textId="77777777">
            <w:pPr>
              <w:widowControl/>
              <w:autoSpaceDE/>
              <w:autoSpaceDN/>
              <w:adjustRightInd/>
              <w:jc w:val="center"/>
              <w:rPr>
                <w:color w:val="000000"/>
                <w:sz w:val="18"/>
                <w:szCs w:val="18"/>
              </w:rPr>
            </w:pPr>
            <w:r w:rsidRPr="00095F01">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6FD570B9" w14:textId="77777777">
            <w:pPr>
              <w:widowControl/>
              <w:autoSpaceDE/>
              <w:autoSpaceDN/>
              <w:adjustRightInd/>
              <w:jc w:val="right"/>
              <w:rPr>
                <w:color w:val="000000"/>
                <w:sz w:val="18"/>
                <w:szCs w:val="18"/>
              </w:rPr>
            </w:pPr>
            <w:r w:rsidRPr="00095F01">
              <w:rPr>
                <w:color w:val="000000"/>
                <w:sz w:val="18"/>
                <w:szCs w:val="18"/>
              </w:rPr>
              <w:t xml:space="preserve">$0 </w:t>
            </w:r>
          </w:p>
        </w:tc>
      </w:tr>
      <w:tr w14:paraId="3979F1AA" w14:textId="77777777" w:rsidTr="00A33D39">
        <w:tblPrEx>
          <w:tblW w:w="13286" w:type="dxa"/>
          <w:tblLook w:val="04A0"/>
        </w:tblPrEx>
        <w:trPr>
          <w:trHeight w:val="25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754F8226" w14:textId="09BB9FDE">
            <w:pPr>
              <w:widowControl/>
              <w:autoSpaceDE/>
              <w:autoSpaceDN/>
              <w:adjustRightInd/>
              <w:ind w:firstLine="400" w:firstLineChars="200"/>
              <w:rPr>
                <w:color w:val="000000"/>
                <w:sz w:val="20"/>
                <w:szCs w:val="20"/>
              </w:rPr>
            </w:pPr>
            <w:r w:rsidRPr="00095F01">
              <w:rPr>
                <w:color w:val="000000"/>
                <w:sz w:val="20"/>
                <w:szCs w:val="20"/>
              </w:rPr>
              <w:t>5)</w:t>
            </w:r>
            <w:r w:rsidR="006B63FA">
              <w:rPr>
                <w:color w:val="000000"/>
                <w:sz w:val="20"/>
                <w:szCs w:val="20"/>
              </w:rPr>
              <w:t xml:space="preserve"> </w:t>
            </w:r>
            <w:r w:rsidRPr="00095F01">
              <w:rPr>
                <w:color w:val="000000"/>
                <w:sz w:val="20"/>
                <w:szCs w:val="20"/>
              </w:rPr>
              <w:t>Review annual compliance report</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640E617" w14:textId="77777777">
            <w:pPr>
              <w:widowControl/>
              <w:autoSpaceDE/>
              <w:autoSpaceDN/>
              <w:adjustRightInd/>
              <w:jc w:val="center"/>
              <w:rPr>
                <w:color w:val="000000"/>
                <w:sz w:val="18"/>
                <w:szCs w:val="18"/>
              </w:rPr>
            </w:pPr>
            <w:r w:rsidRPr="00095F01">
              <w:rPr>
                <w:color w:val="000000"/>
                <w:sz w:val="18"/>
                <w:szCs w:val="18"/>
              </w:rPr>
              <w:t>8</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2C7C49F"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44CEA715" w14:textId="77777777">
            <w:pPr>
              <w:widowControl/>
              <w:autoSpaceDE/>
              <w:autoSpaceDN/>
              <w:adjustRightInd/>
              <w:jc w:val="center"/>
              <w:rPr>
                <w:color w:val="000000"/>
                <w:sz w:val="18"/>
                <w:szCs w:val="18"/>
              </w:rPr>
            </w:pPr>
            <w:r w:rsidRPr="00095F01">
              <w:rPr>
                <w:color w:val="000000"/>
                <w:sz w:val="18"/>
                <w:szCs w:val="18"/>
              </w:rPr>
              <w:t>8</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46ECA79F" w14:textId="77777777">
            <w:pPr>
              <w:widowControl/>
              <w:autoSpaceDE/>
              <w:autoSpaceDN/>
              <w:adjustRightInd/>
              <w:jc w:val="center"/>
              <w:rPr>
                <w:color w:val="000000"/>
                <w:sz w:val="18"/>
                <w:szCs w:val="18"/>
              </w:rPr>
            </w:pPr>
            <w:r w:rsidRPr="00095F01">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FE76B2E" w14:textId="77777777">
            <w:pPr>
              <w:widowControl/>
              <w:autoSpaceDE/>
              <w:autoSpaceDN/>
              <w:adjustRightInd/>
              <w:jc w:val="center"/>
              <w:rPr>
                <w:color w:val="000000"/>
                <w:sz w:val="18"/>
                <w:szCs w:val="18"/>
              </w:rPr>
            </w:pPr>
            <w:r w:rsidRPr="00095F01">
              <w:rPr>
                <w:color w:val="000000"/>
                <w:sz w:val="18"/>
                <w:szCs w:val="18"/>
              </w:rPr>
              <w:t>592</w:t>
            </w:r>
          </w:p>
        </w:tc>
        <w:tc>
          <w:tcPr>
            <w:tcW w:w="1226"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6C07BD8B" w14:textId="77777777">
            <w:pPr>
              <w:widowControl/>
              <w:autoSpaceDE/>
              <w:autoSpaceDN/>
              <w:adjustRightInd/>
              <w:jc w:val="center"/>
              <w:rPr>
                <w:color w:val="000000"/>
                <w:sz w:val="18"/>
                <w:szCs w:val="18"/>
              </w:rPr>
            </w:pPr>
            <w:r w:rsidRPr="00095F01">
              <w:rPr>
                <w:color w:val="000000"/>
                <w:sz w:val="18"/>
                <w:szCs w:val="18"/>
              </w:rPr>
              <w:t>29.6</w:t>
            </w:r>
          </w:p>
        </w:tc>
        <w:tc>
          <w:tcPr>
            <w:tcW w:w="1014"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7FFF64D2" w14:textId="77777777">
            <w:pPr>
              <w:widowControl/>
              <w:autoSpaceDE/>
              <w:autoSpaceDN/>
              <w:adjustRightInd/>
              <w:jc w:val="center"/>
              <w:rPr>
                <w:color w:val="000000"/>
                <w:sz w:val="18"/>
                <w:szCs w:val="18"/>
              </w:rPr>
            </w:pPr>
            <w:r w:rsidRPr="00095F01">
              <w:rPr>
                <w:color w:val="000000"/>
                <w:sz w:val="18"/>
                <w:szCs w:val="18"/>
              </w:rPr>
              <w:t>59.2</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03CBB8B7" w14:textId="77777777">
            <w:pPr>
              <w:widowControl/>
              <w:autoSpaceDE/>
              <w:autoSpaceDN/>
              <w:adjustRightInd/>
              <w:jc w:val="right"/>
              <w:rPr>
                <w:color w:val="000000"/>
                <w:sz w:val="18"/>
                <w:szCs w:val="18"/>
              </w:rPr>
            </w:pPr>
            <w:r w:rsidRPr="00095F01">
              <w:rPr>
                <w:color w:val="000000"/>
                <w:sz w:val="18"/>
                <w:szCs w:val="18"/>
              </w:rPr>
              <w:t xml:space="preserve">$34,769 </w:t>
            </w:r>
          </w:p>
        </w:tc>
      </w:tr>
      <w:tr w14:paraId="35A658CF" w14:textId="77777777" w:rsidTr="00A33D39">
        <w:tblPrEx>
          <w:tblW w:w="13286" w:type="dxa"/>
          <w:tblLook w:val="04A0"/>
        </w:tblPrEx>
        <w:trPr>
          <w:trHeight w:val="57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A33D39" w:rsidRPr="00095F01" w:rsidP="00A33D39" w14:paraId="1638CE8B" w14:textId="19DCAE8E">
            <w:pPr>
              <w:widowControl/>
              <w:autoSpaceDE/>
              <w:autoSpaceDN/>
              <w:adjustRightInd/>
              <w:ind w:firstLine="400" w:firstLineChars="200"/>
              <w:rPr>
                <w:color w:val="000000"/>
                <w:sz w:val="20"/>
                <w:szCs w:val="20"/>
              </w:rPr>
            </w:pPr>
            <w:r w:rsidRPr="00095F01">
              <w:rPr>
                <w:color w:val="000000"/>
                <w:sz w:val="20"/>
                <w:szCs w:val="20"/>
              </w:rPr>
              <w:t>6)</w:t>
            </w:r>
            <w:r>
              <w:rPr>
                <w:color w:val="000000"/>
                <w:sz w:val="20"/>
                <w:szCs w:val="20"/>
              </w:rPr>
              <w:t xml:space="preserve"> </w:t>
            </w:r>
            <w:r w:rsidRPr="00095F01">
              <w:rPr>
                <w:color w:val="000000"/>
                <w:sz w:val="20"/>
                <w:szCs w:val="20"/>
              </w:rPr>
              <w:t xml:space="preserve">Review semi-annual excess emission and parameter exceedance report </w:t>
            </w:r>
            <w:r w:rsidRPr="00095F01">
              <w:rPr>
                <w:color w:val="000000"/>
                <w:sz w:val="20"/>
                <w:szCs w:val="20"/>
                <w:vertAlign w:val="superscript"/>
              </w:rPr>
              <w:t>c</w:t>
            </w:r>
          </w:p>
        </w:tc>
        <w:tc>
          <w:tcPr>
            <w:tcW w:w="12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1C585E6D" w14:textId="45858581">
            <w:pPr>
              <w:widowControl/>
              <w:autoSpaceDE/>
              <w:autoSpaceDN/>
              <w:adjustRightInd/>
              <w:jc w:val="center"/>
              <w:rPr>
                <w:color w:val="000000"/>
                <w:sz w:val="18"/>
                <w:szCs w:val="18"/>
              </w:rPr>
            </w:pPr>
            <w:r>
              <w:rPr>
                <w:color w:val="000000"/>
                <w:sz w:val="18"/>
                <w:szCs w:val="18"/>
              </w:rPr>
              <w:t>8</w:t>
            </w:r>
          </w:p>
        </w:tc>
        <w:tc>
          <w:tcPr>
            <w:tcW w:w="13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052B2A5B" w14:textId="77777777">
            <w:pPr>
              <w:widowControl/>
              <w:autoSpaceDE/>
              <w:autoSpaceDN/>
              <w:adjustRightInd/>
              <w:jc w:val="center"/>
              <w:rPr>
                <w:color w:val="000000"/>
                <w:sz w:val="18"/>
                <w:szCs w:val="18"/>
              </w:rPr>
            </w:pPr>
            <w:r w:rsidRPr="00095F01">
              <w:rPr>
                <w:color w:val="000000"/>
                <w:sz w:val="18"/>
                <w:szCs w:val="18"/>
              </w:rPr>
              <w:t>2</w:t>
            </w:r>
          </w:p>
        </w:tc>
        <w:tc>
          <w:tcPr>
            <w:tcW w:w="118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6404A5B8" w14:textId="1ADD7A90">
            <w:pPr>
              <w:widowControl/>
              <w:autoSpaceDE/>
              <w:autoSpaceDN/>
              <w:adjustRightInd/>
              <w:jc w:val="center"/>
              <w:rPr>
                <w:color w:val="000000"/>
                <w:sz w:val="18"/>
                <w:szCs w:val="18"/>
              </w:rPr>
            </w:pPr>
            <w:r>
              <w:rPr>
                <w:color w:val="000000"/>
                <w:sz w:val="18"/>
                <w:szCs w:val="18"/>
              </w:rPr>
              <w:t>16</w:t>
            </w:r>
          </w:p>
        </w:tc>
        <w:tc>
          <w:tcPr>
            <w:tcW w:w="120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21567AAF" w14:textId="77777777">
            <w:pPr>
              <w:widowControl/>
              <w:autoSpaceDE/>
              <w:autoSpaceDN/>
              <w:adjustRightInd/>
              <w:jc w:val="center"/>
              <w:rPr>
                <w:color w:val="000000"/>
                <w:sz w:val="18"/>
                <w:szCs w:val="18"/>
              </w:rPr>
            </w:pPr>
            <w:r w:rsidRPr="00095F01">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0DAD4233" w14:textId="37FA46DE">
            <w:pPr>
              <w:widowControl/>
              <w:autoSpaceDE/>
              <w:autoSpaceDN/>
              <w:adjustRightInd/>
              <w:jc w:val="center"/>
              <w:rPr>
                <w:color w:val="000000"/>
                <w:sz w:val="18"/>
                <w:szCs w:val="18"/>
              </w:rPr>
            </w:pPr>
            <w:r>
              <w:rPr>
                <w:color w:val="000000"/>
                <w:sz w:val="18"/>
                <w:szCs w:val="18"/>
              </w:rPr>
              <w:t>118.4</w:t>
            </w:r>
          </w:p>
        </w:tc>
        <w:tc>
          <w:tcPr>
            <w:tcW w:w="122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4AD161F6" w14:textId="4278032F">
            <w:pPr>
              <w:widowControl/>
              <w:autoSpaceDE/>
              <w:autoSpaceDN/>
              <w:adjustRightInd/>
              <w:jc w:val="center"/>
              <w:rPr>
                <w:color w:val="000000"/>
                <w:sz w:val="18"/>
                <w:szCs w:val="18"/>
              </w:rPr>
            </w:pPr>
            <w:r>
              <w:rPr>
                <w:color w:val="000000"/>
                <w:sz w:val="18"/>
                <w:szCs w:val="18"/>
              </w:rPr>
              <w:t>5.92</w:t>
            </w:r>
          </w:p>
        </w:tc>
        <w:tc>
          <w:tcPr>
            <w:tcW w:w="1014"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5DA8067D" w14:textId="1F991F0A">
            <w:pPr>
              <w:widowControl/>
              <w:autoSpaceDE/>
              <w:autoSpaceDN/>
              <w:adjustRightInd/>
              <w:jc w:val="center"/>
              <w:rPr>
                <w:color w:val="000000"/>
                <w:sz w:val="18"/>
                <w:szCs w:val="18"/>
              </w:rPr>
            </w:pPr>
            <w:r>
              <w:rPr>
                <w:color w:val="000000"/>
                <w:sz w:val="18"/>
                <w:szCs w:val="18"/>
              </w:rPr>
              <w:t>11.84</w:t>
            </w:r>
          </w:p>
        </w:tc>
        <w:tc>
          <w:tcPr>
            <w:tcW w:w="96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120DC760" w14:textId="3C3823AB">
            <w:pPr>
              <w:widowControl/>
              <w:autoSpaceDE/>
              <w:autoSpaceDN/>
              <w:adjustRightInd/>
              <w:jc w:val="right"/>
              <w:rPr>
                <w:color w:val="000000"/>
                <w:sz w:val="18"/>
                <w:szCs w:val="18"/>
              </w:rPr>
            </w:pPr>
            <w:r>
              <w:rPr>
                <w:color w:val="000000"/>
                <w:sz w:val="18"/>
                <w:szCs w:val="18"/>
              </w:rPr>
              <w:t xml:space="preserve">$6,954 </w:t>
            </w:r>
          </w:p>
        </w:tc>
      </w:tr>
      <w:tr w14:paraId="7E285453" w14:textId="77777777" w:rsidTr="00A33D39">
        <w:tblPrEx>
          <w:tblW w:w="13286" w:type="dxa"/>
          <w:tblLook w:val="04A0"/>
        </w:tblPrEx>
        <w:trPr>
          <w:trHeight w:val="57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A33D39" w:rsidRPr="00095F01" w:rsidP="00A33D39" w14:paraId="49A9DA1C" w14:textId="1001F1DD">
            <w:pPr>
              <w:widowControl/>
              <w:autoSpaceDE/>
              <w:autoSpaceDN/>
              <w:adjustRightInd/>
              <w:ind w:firstLine="400" w:firstLineChars="200"/>
              <w:rPr>
                <w:color w:val="000000"/>
                <w:sz w:val="20"/>
                <w:szCs w:val="20"/>
              </w:rPr>
            </w:pPr>
            <w:r w:rsidRPr="00095F01">
              <w:rPr>
                <w:color w:val="000000"/>
                <w:sz w:val="20"/>
                <w:szCs w:val="20"/>
              </w:rPr>
              <w:t>7)</w:t>
            </w:r>
            <w:r>
              <w:rPr>
                <w:color w:val="000000"/>
                <w:sz w:val="20"/>
                <w:szCs w:val="20"/>
              </w:rPr>
              <w:t xml:space="preserve"> </w:t>
            </w:r>
            <w:r w:rsidRPr="00095F01">
              <w:rPr>
                <w:color w:val="000000"/>
                <w:sz w:val="20"/>
                <w:szCs w:val="20"/>
              </w:rPr>
              <w:t xml:space="preserve">Review status report for operators that are off-site for more than 2 weeks </w:t>
            </w:r>
            <w:r w:rsidRPr="00095F01">
              <w:rPr>
                <w:color w:val="000000"/>
                <w:sz w:val="20"/>
                <w:szCs w:val="20"/>
                <w:vertAlign w:val="superscript"/>
              </w:rPr>
              <w:t>d</w:t>
            </w:r>
          </w:p>
        </w:tc>
        <w:tc>
          <w:tcPr>
            <w:tcW w:w="12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14214701" w14:textId="2E5F8BB1">
            <w:pPr>
              <w:widowControl/>
              <w:autoSpaceDE/>
              <w:autoSpaceDN/>
              <w:adjustRightInd/>
              <w:jc w:val="center"/>
              <w:rPr>
                <w:color w:val="000000"/>
                <w:sz w:val="18"/>
                <w:szCs w:val="18"/>
              </w:rPr>
            </w:pPr>
            <w:r>
              <w:rPr>
                <w:color w:val="000000"/>
                <w:sz w:val="18"/>
                <w:szCs w:val="18"/>
              </w:rPr>
              <w:t>2</w:t>
            </w:r>
          </w:p>
        </w:tc>
        <w:tc>
          <w:tcPr>
            <w:tcW w:w="13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5BADBB3E"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32F5171C" w14:textId="3DB397B1">
            <w:pPr>
              <w:widowControl/>
              <w:autoSpaceDE/>
              <w:autoSpaceDN/>
              <w:adjustRightInd/>
              <w:jc w:val="center"/>
              <w:rPr>
                <w:color w:val="000000"/>
                <w:sz w:val="18"/>
                <w:szCs w:val="18"/>
              </w:rPr>
            </w:pPr>
            <w:r>
              <w:rPr>
                <w:color w:val="000000"/>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7F8461FD" w14:textId="77777777">
            <w:pPr>
              <w:widowControl/>
              <w:autoSpaceDE/>
              <w:autoSpaceDN/>
              <w:adjustRightInd/>
              <w:jc w:val="center"/>
              <w:rPr>
                <w:color w:val="000000"/>
                <w:sz w:val="18"/>
                <w:szCs w:val="18"/>
              </w:rPr>
            </w:pPr>
            <w:r w:rsidRPr="00095F01">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14B0186E" w14:textId="5F4C8E8E">
            <w:pPr>
              <w:widowControl/>
              <w:autoSpaceDE/>
              <w:autoSpaceDN/>
              <w:adjustRightInd/>
              <w:jc w:val="center"/>
              <w:rPr>
                <w:color w:val="000000"/>
                <w:sz w:val="18"/>
                <w:szCs w:val="18"/>
              </w:rPr>
            </w:pPr>
            <w:r>
              <w:rPr>
                <w:color w:val="000000"/>
                <w:sz w:val="18"/>
                <w:szCs w:val="18"/>
              </w:rPr>
              <w:t>14.8</w:t>
            </w:r>
          </w:p>
        </w:tc>
        <w:tc>
          <w:tcPr>
            <w:tcW w:w="122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42A5EEA1" w14:textId="69B2FDE9">
            <w:pPr>
              <w:widowControl/>
              <w:autoSpaceDE/>
              <w:autoSpaceDN/>
              <w:adjustRightInd/>
              <w:jc w:val="center"/>
              <w:rPr>
                <w:color w:val="000000"/>
                <w:sz w:val="18"/>
                <w:szCs w:val="18"/>
              </w:rPr>
            </w:pPr>
            <w:r>
              <w:rPr>
                <w:color w:val="000000"/>
                <w:sz w:val="18"/>
                <w:szCs w:val="18"/>
              </w:rPr>
              <w:t>0.74</w:t>
            </w:r>
          </w:p>
        </w:tc>
        <w:tc>
          <w:tcPr>
            <w:tcW w:w="1014"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72C078F1" w14:textId="029DAC3E">
            <w:pPr>
              <w:widowControl/>
              <w:autoSpaceDE/>
              <w:autoSpaceDN/>
              <w:adjustRightInd/>
              <w:jc w:val="center"/>
              <w:rPr>
                <w:color w:val="000000"/>
                <w:sz w:val="18"/>
                <w:szCs w:val="18"/>
              </w:rPr>
            </w:pPr>
            <w:r>
              <w:rPr>
                <w:color w:val="000000"/>
                <w:sz w:val="18"/>
                <w:szCs w:val="18"/>
              </w:rPr>
              <w:t>1.48</w:t>
            </w:r>
          </w:p>
        </w:tc>
        <w:tc>
          <w:tcPr>
            <w:tcW w:w="96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5CECA950" w14:textId="50BD3D66">
            <w:pPr>
              <w:widowControl/>
              <w:autoSpaceDE/>
              <w:autoSpaceDN/>
              <w:adjustRightInd/>
              <w:jc w:val="right"/>
              <w:rPr>
                <w:color w:val="000000"/>
                <w:sz w:val="18"/>
                <w:szCs w:val="18"/>
              </w:rPr>
            </w:pPr>
            <w:r>
              <w:rPr>
                <w:color w:val="000000"/>
                <w:sz w:val="18"/>
                <w:szCs w:val="18"/>
              </w:rPr>
              <w:t xml:space="preserve">$869 </w:t>
            </w:r>
          </w:p>
        </w:tc>
      </w:tr>
      <w:tr w14:paraId="349B2682" w14:textId="77777777" w:rsidTr="00A33D39">
        <w:tblPrEx>
          <w:tblW w:w="13286" w:type="dxa"/>
          <w:tblLook w:val="04A0"/>
        </w:tblPrEx>
        <w:trPr>
          <w:trHeight w:val="57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A33D39" w:rsidRPr="00095F01" w:rsidP="00A33D39" w14:paraId="6C37F46D" w14:textId="77777777">
            <w:pPr>
              <w:widowControl/>
              <w:autoSpaceDE/>
              <w:autoSpaceDN/>
              <w:adjustRightInd/>
              <w:ind w:firstLine="400" w:firstLineChars="200"/>
              <w:rPr>
                <w:color w:val="000000"/>
                <w:sz w:val="20"/>
                <w:szCs w:val="20"/>
              </w:rPr>
            </w:pPr>
            <w:r w:rsidRPr="00095F01">
              <w:rPr>
                <w:color w:val="000000"/>
                <w:sz w:val="20"/>
                <w:szCs w:val="20"/>
              </w:rPr>
              <w:t xml:space="preserve">8) Corrective action summary for operators that are off-site for more than 2 weeks </w:t>
            </w:r>
            <w:r w:rsidRPr="00095F01">
              <w:rPr>
                <w:color w:val="000000"/>
                <w:sz w:val="20"/>
                <w:szCs w:val="20"/>
                <w:vertAlign w:val="superscript"/>
              </w:rPr>
              <w:t>d</w:t>
            </w:r>
          </w:p>
        </w:tc>
        <w:tc>
          <w:tcPr>
            <w:tcW w:w="12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39A8F89A" w14:textId="227ED95F">
            <w:pPr>
              <w:widowControl/>
              <w:autoSpaceDE/>
              <w:autoSpaceDN/>
              <w:adjustRightInd/>
              <w:jc w:val="center"/>
              <w:rPr>
                <w:color w:val="000000"/>
                <w:sz w:val="18"/>
                <w:szCs w:val="18"/>
              </w:rPr>
            </w:pPr>
            <w:r>
              <w:rPr>
                <w:color w:val="000000"/>
                <w:sz w:val="18"/>
                <w:szCs w:val="18"/>
              </w:rPr>
              <w:t>2</w:t>
            </w:r>
          </w:p>
        </w:tc>
        <w:tc>
          <w:tcPr>
            <w:tcW w:w="13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2256014A" w14:textId="77777777">
            <w:pPr>
              <w:widowControl/>
              <w:autoSpaceDE/>
              <w:autoSpaceDN/>
              <w:adjustRightInd/>
              <w:jc w:val="center"/>
              <w:rPr>
                <w:color w:val="000000"/>
                <w:sz w:val="18"/>
                <w:szCs w:val="18"/>
              </w:rPr>
            </w:pPr>
            <w:r w:rsidRPr="00095F01">
              <w:rPr>
                <w:color w:val="000000"/>
                <w:sz w:val="18"/>
                <w:szCs w:val="18"/>
              </w:rPr>
              <w:t>2</w:t>
            </w:r>
          </w:p>
        </w:tc>
        <w:tc>
          <w:tcPr>
            <w:tcW w:w="118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587C4973" w14:textId="2DCF2FAD">
            <w:pPr>
              <w:widowControl/>
              <w:autoSpaceDE/>
              <w:autoSpaceDN/>
              <w:adjustRightInd/>
              <w:jc w:val="center"/>
              <w:rPr>
                <w:color w:val="000000"/>
                <w:sz w:val="18"/>
                <w:szCs w:val="18"/>
              </w:rPr>
            </w:pPr>
            <w:r>
              <w:rPr>
                <w:color w:val="000000"/>
                <w:sz w:val="18"/>
                <w:szCs w:val="18"/>
              </w:rPr>
              <w:t>4</w:t>
            </w:r>
          </w:p>
        </w:tc>
        <w:tc>
          <w:tcPr>
            <w:tcW w:w="120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331AAB40" w14:textId="77777777">
            <w:pPr>
              <w:widowControl/>
              <w:autoSpaceDE/>
              <w:autoSpaceDN/>
              <w:adjustRightInd/>
              <w:jc w:val="center"/>
              <w:rPr>
                <w:color w:val="000000"/>
                <w:sz w:val="18"/>
                <w:szCs w:val="18"/>
              </w:rPr>
            </w:pPr>
            <w:r w:rsidRPr="00095F01">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2128945D" w14:textId="38428A13">
            <w:pPr>
              <w:widowControl/>
              <w:autoSpaceDE/>
              <w:autoSpaceDN/>
              <w:adjustRightInd/>
              <w:jc w:val="center"/>
              <w:rPr>
                <w:color w:val="000000"/>
                <w:sz w:val="18"/>
                <w:szCs w:val="18"/>
              </w:rPr>
            </w:pPr>
            <w:r>
              <w:rPr>
                <w:color w:val="000000"/>
                <w:sz w:val="18"/>
                <w:szCs w:val="18"/>
              </w:rPr>
              <w:t>29.6</w:t>
            </w:r>
          </w:p>
        </w:tc>
        <w:tc>
          <w:tcPr>
            <w:tcW w:w="122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2CD06CA8" w14:textId="735CA5BE">
            <w:pPr>
              <w:widowControl/>
              <w:autoSpaceDE/>
              <w:autoSpaceDN/>
              <w:adjustRightInd/>
              <w:jc w:val="center"/>
              <w:rPr>
                <w:color w:val="000000"/>
                <w:sz w:val="18"/>
                <w:szCs w:val="18"/>
              </w:rPr>
            </w:pPr>
            <w:r>
              <w:rPr>
                <w:color w:val="000000"/>
                <w:sz w:val="18"/>
                <w:szCs w:val="18"/>
              </w:rPr>
              <w:t>1.48</w:t>
            </w:r>
          </w:p>
        </w:tc>
        <w:tc>
          <w:tcPr>
            <w:tcW w:w="1014"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52E53DB3" w14:textId="5FF9862F">
            <w:pPr>
              <w:widowControl/>
              <w:autoSpaceDE/>
              <w:autoSpaceDN/>
              <w:adjustRightInd/>
              <w:jc w:val="center"/>
              <w:rPr>
                <w:color w:val="000000"/>
                <w:sz w:val="18"/>
                <w:szCs w:val="18"/>
              </w:rPr>
            </w:pPr>
            <w:r w:rsidRPr="00095F01">
              <w:rPr>
                <w:color w:val="000000"/>
                <w:sz w:val="18"/>
                <w:szCs w:val="18"/>
              </w:rPr>
              <w:t>5.92</w:t>
            </w:r>
          </w:p>
        </w:tc>
        <w:tc>
          <w:tcPr>
            <w:tcW w:w="96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3F7CDF9B" w14:textId="06E96094">
            <w:pPr>
              <w:widowControl/>
              <w:autoSpaceDE/>
              <w:autoSpaceDN/>
              <w:adjustRightInd/>
              <w:jc w:val="right"/>
              <w:rPr>
                <w:color w:val="000000"/>
                <w:sz w:val="18"/>
                <w:szCs w:val="18"/>
              </w:rPr>
            </w:pPr>
            <w:r>
              <w:rPr>
                <w:color w:val="000000"/>
                <w:sz w:val="18"/>
                <w:szCs w:val="18"/>
              </w:rPr>
              <w:t xml:space="preserve">$1,738 </w:t>
            </w:r>
          </w:p>
        </w:tc>
      </w:tr>
      <w:tr w14:paraId="6EFBE1D5" w14:textId="77777777" w:rsidTr="00A33D39">
        <w:tblPrEx>
          <w:tblW w:w="13286" w:type="dxa"/>
          <w:tblLook w:val="04A0"/>
        </w:tblPrEx>
        <w:trPr>
          <w:trHeight w:val="51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A33D39" w:rsidRPr="00095F01" w:rsidP="00A33D39" w14:paraId="3F2123F7" w14:textId="77777777">
            <w:pPr>
              <w:widowControl/>
              <w:autoSpaceDE/>
              <w:autoSpaceDN/>
              <w:adjustRightInd/>
              <w:ind w:firstLine="400" w:firstLineChars="200"/>
              <w:rPr>
                <w:color w:val="000000"/>
                <w:sz w:val="20"/>
                <w:szCs w:val="20"/>
              </w:rPr>
            </w:pPr>
            <w:r w:rsidRPr="00095F01">
              <w:rPr>
                <w:color w:val="000000"/>
                <w:sz w:val="20"/>
                <w:szCs w:val="20"/>
              </w:rPr>
              <w:t xml:space="preserve">9) Qualified operator deviation </w:t>
            </w:r>
            <w:r w:rsidRPr="00095F01">
              <w:rPr>
                <w:color w:val="000000"/>
                <w:sz w:val="20"/>
                <w:szCs w:val="20"/>
              </w:rPr>
              <w:br/>
              <w:t>notification of resumed operation</w:t>
            </w:r>
          </w:p>
        </w:tc>
        <w:tc>
          <w:tcPr>
            <w:tcW w:w="12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756D934B" w14:textId="7765E3B4">
            <w:pPr>
              <w:widowControl/>
              <w:autoSpaceDE/>
              <w:autoSpaceDN/>
              <w:adjustRightInd/>
              <w:jc w:val="center"/>
              <w:rPr>
                <w:color w:val="000000"/>
                <w:sz w:val="18"/>
                <w:szCs w:val="18"/>
              </w:rPr>
            </w:pPr>
            <w:r>
              <w:rPr>
                <w:color w:val="000000"/>
                <w:sz w:val="18"/>
                <w:szCs w:val="18"/>
              </w:rPr>
              <w:t>2</w:t>
            </w:r>
          </w:p>
        </w:tc>
        <w:tc>
          <w:tcPr>
            <w:tcW w:w="134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07B898EA" w14:textId="77777777">
            <w:pPr>
              <w:widowControl/>
              <w:autoSpaceDE/>
              <w:autoSpaceDN/>
              <w:adjustRightInd/>
              <w:jc w:val="center"/>
              <w:rPr>
                <w:color w:val="000000"/>
                <w:sz w:val="18"/>
                <w:szCs w:val="18"/>
              </w:rPr>
            </w:pPr>
            <w:r w:rsidRPr="00095F01">
              <w:rPr>
                <w:color w:val="000000"/>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4FCEF571" w14:textId="0064D98B">
            <w:pPr>
              <w:widowControl/>
              <w:autoSpaceDE/>
              <w:autoSpaceDN/>
              <w:adjustRightInd/>
              <w:jc w:val="center"/>
              <w:rPr>
                <w:color w:val="000000"/>
                <w:sz w:val="18"/>
                <w:szCs w:val="18"/>
              </w:rPr>
            </w:pPr>
            <w:r>
              <w:rPr>
                <w:color w:val="000000"/>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51AABEE0" w14:textId="77777777">
            <w:pPr>
              <w:widowControl/>
              <w:autoSpaceDE/>
              <w:autoSpaceDN/>
              <w:adjustRightInd/>
              <w:jc w:val="center"/>
              <w:rPr>
                <w:color w:val="000000"/>
                <w:sz w:val="18"/>
                <w:szCs w:val="18"/>
              </w:rPr>
            </w:pPr>
            <w:r w:rsidRPr="00095F01">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1E697483" w14:textId="1573A750">
            <w:pPr>
              <w:widowControl/>
              <w:autoSpaceDE/>
              <w:autoSpaceDN/>
              <w:adjustRightInd/>
              <w:jc w:val="center"/>
              <w:rPr>
                <w:color w:val="000000"/>
                <w:sz w:val="18"/>
                <w:szCs w:val="18"/>
              </w:rPr>
            </w:pPr>
            <w:r>
              <w:rPr>
                <w:color w:val="000000"/>
                <w:sz w:val="18"/>
                <w:szCs w:val="18"/>
              </w:rPr>
              <w:t>14.8</w:t>
            </w:r>
          </w:p>
        </w:tc>
        <w:tc>
          <w:tcPr>
            <w:tcW w:w="1226"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4EA796F6" w14:textId="04C919CE">
            <w:pPr>
              <w:widowControl/>
              <w:autoSpaceDE/>
              <w:autoSpaceDN/>
              <w:adjustRightInd/>
              <w:jc w:val="center"/>
              <w:rPr>
                <w:color w:val="000000"/>
                <w:sz w:val="18"/>
                <w:szCs w:val="18"/>
              </w:rPr>
            </w:pPr>
            <w:r>
              <w:rPr>
                <w:color w:val="000000"/>
                <w:sz w:val="18"/>
                <w:szCs w:val="18"/>
              </w:rPr>
              <w:t>0.74</w:t>
            </w:r>
          </w:p>
        </w:tc>
        <w:tc>
          <w:tcPr>
            <w:tcW w:w="1014"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0E573F40" w14:textId="2EDC9980">
            <w:pPr>
              <w:widowControl/>
              <w:autoSpaceDE/>
              <w:autoSpaceDN/>
              <w:adjustRightInd/>
              <w:jc w:val="center"/>
              <w:rPr>
                <w:color w:val="000000"/>
                <w:sz w:val="18"/>
                <w:szCs w:val="18"/>
              </w:rPr>
            </w:pPr>
            <w:r>
              <w:rPr>
                <w:color w:val="000000"/>
                <w:sz w:val="18"/>
                <w:szCs w:val="18"/>
              </w:rPr>
              <w:t>1.48</w:t>
            </w:r>
          </w:p>
        </w:tc>
        <w:tc>
          <w:tcPr>
            <w:tcW w:w="960" w:type="dxa"/>
            <w:tcBorders>
              <w:top w:val="nil"/>
              <w:left w:val="nil"/>
              <w:bottom w:val="single" w:sz="4" w:space="0" w:color="auto"/>
              <w:right w:val="single" w:sz="4" w:space="0" w:color="auto"/>
            </w:tcBorders>
            <w:shd w:val="clear" w:color="auto" w:fill="auto"/>
            <w:noWrap/>
            <w:vAlign w:val="center"/>
            <w:hideMark/>
          </w:tcPr>
          <w:p w:rsidR="00A33D39" w:rsidRPr="00095F01" w:rsidP="00A33D39" w14:paraId="44223299" w14:textId="422ABE2B">
            <w:pPr>
              <w:widowControl/>
              <w:autoSpaceDE/>
              <w:autoSpaceDN/>
              <w:adjustRightInd/>
              <w:jc w:val="right"/>
              <w:rPr>
                <w:color w:val="000000"/>
                <w:sz w:val="18"/>
                <w:szCs w:val="18"/>
              </w:rPr>
            </w:pPr>
            <w:r>
              <w:rPr>
                <w:color w:val="000000"/>
                <w:sz w:val="18"/>
                <w:szCs w:val="18"/>
              </w:rPr>
              <w:t xml:space="preserve">$869 </w:t>
            </w:r>
          </w:p>
        </w:tc>
      </w:tr>
      <w:tr w14:paraId="7B6B83B4" w14:textId="77777777" w:rsidTr="00A33D39">
        <w:tblPrEx>
          <w:tblW w:w="13286" w:type="dxa"/>
          <w:tblLook w:val="04A0"/>
        </w:tblPrEx>
        <w:trPr>
          <w:trHeight w:val="28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095F01" w:rsidRPr="00095F01" w:rsidP="00095F01" w14:paraId="5013A8CE" w14:textId="77777777">
            <w:pPr>
              <w:widowControl/>
              <w:autoSpaceDE/>
              <w:autoSpaceDN/>
              <w:adjustRightInd/>
              <w:rPr>
                <w:b/>
                <w:bCs/>
                <w:color w:val="000000"/>
                <w:sz w:val="18"/>
                <w:szCs w:val="18"/>
              </w:rPr>
            </w:pPr>
            <w:r w:rsidRPr="00095F01">
              <w:rPr>
                <w:b/>
                <w:bCs/>
                <w:color w:val="000000"/>
                <w:sz w:val="18"/>
                <w:szCs w:val="18"/>
              </w:rPr>
              <w:t xml:space="preserve">TOTAL (rounded) </w:t>
            </w:r>
            <w:r w:rsidRPr="00095F01">
              <w:rPr>
                <w:b/>
                <w:bCs/>
                <w:color w:val="000000"/>
                <w:sz w:val="18"/>
                <w:szCs w:val="18"/>
                <w:vertAlign w:val="superscript"/>
              </w:rPr>
              <w:t>e</w:t>
            </w:r>
          </w:p>
        </w:tc>
        <w:tc>
          <w:tcPr>
            <w:tcW w:w="12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D3FCD91" w14:textId="77777777">
            <w:pPr>
              <w:widowControl/>
              <w:autoSpaceDE/>
              <w:autoSpaceDN/>
              <w:adjustRightInd/>
              <w:jc w:val="center"/>
              <w:rPr>
                <w:b/>
                <w:bCs/>
                <w:color w:val="000000"/>
                <w:sz w:val="18"/>
                <w:szCs w:val="18"/>
              </w:rPr>
            </w:pPr>
            <w:r w:rsidRPr="00095F01">
              <w:rPr>
                <w:b/>
                <w:bCs/>
                <w:color w:val="000000"/>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33BDE847" w14:textId="77777777">
            <w:pPr>
              <w:widowControl/>
              <w:autoSpaceDE/>
              <w:autoSpaceDN/>
              <w:adjustRightInd/>
              <w:jc w:val="center"/>
              <w:rPr>
                <w:b/>
                <w:bCs/>
                <w:color w:val="000000"/>
                <w:sz w:val="18"/>
                <w:szCs w:val="18"/>
              </w:rPr>
            </w:pPr>
            <w:r w:rsidRPr="00095F01">
              <w:rPr>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1784B2E7" w14:textId="77777777">
            <w:pPr>
              <w:widowControl/>
              <w:autoSpaceDE/>
              <w:autoSpaceDN/>
              <w:adjustRightInd/>
              <w:jc w:val="center"/>
              <w:rPr>
                <w:b/>
                <w:bCs/>
                <w:color w:val="0000FF"/>
                <w:sz w:val="18"/>
                <w:szCs w:val="18"/>
              </w:rPr>
            </w:pPr>
            <w:r w:rsidRPr="00095F01">
              <w:rPr>
                <w:b/>
                <w:bCs/>
                <w:color w:val="0000FF"/>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58D009DB" w14:textId="77777777">
            <w:pPr>
              <w:widowControl/>
              <w:autoSpaceDE/>
              <w:autoSpaceDN/>
              <w:adjustRightInd/>
              <w:rPr>
                <w:b/>
                <w:bCs/>
                <w:color w:val="000000"/>
                <w:sz w:val="18"/>
                <w:szCs w:val="18"/>
              </w:rPr>
            </w:pPr>
            <w:r w:rsidRPr="00095F01">
              <w:rPr>
                <w:b/>
                <w:bCs/>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F01" w:rsidRPr="00095F01" w:rsidP="00095F01" w14:paraId="4016EA67" w14:textId="140C170A">
            <w:pPr>
              <w:widowControl/>
              <w:autoSpaceDE/>
              <w:autoSpaceDN/>
              <w:adjustRightInd/>
              <w:jc w:val="center"/>
              <w:rPr>
                <w:b/>
                <w:bCs/>
                <w:color w:val="000000"/>
                <w:sz w:val="18"/>
                <w:szCs w:val="18"/>
              </w:rPr>
            </w:pPr>
            <w:r>
              <w:rPr>
                <w:b/>
                <w:bCs/>
                <w:color w:val="000000"/>
                <w:sz w:val="18"/>
                <w:szCs w:val="18"/>
              </w:rPr>
              <w:t>885</w:t>
            </w:r>
          </w:p>
        </w:tc>
        <w:tc>
          <w:tcPr>
            <w:tcW w:w="960" w:type="dxa"/>
            <w:tcBorders>
              <w:top w:val="nil"/>
              <w:left w:val="nil"/>
              <w:bottom w:val="single" w:sz="4" w:space="0" w:color="auto"/>
              <w:right w:val="single" w:sz="4" w:space="0" w:color="auto"/>
            </w:tcBorders>
            <w:shd w:val="clear" w:color="auto" w:fill="auto"/>
            <w:noWrap/>
            <w:vAlign w:val="center"/>
            <w:hideMark/>
          </w:tcPr>
          <w:p w:rsidR="00095F01" w:rsidRPr="00095F01" w:rsidP="00095F01" w14:paraId="4A2B5513" w14:textId="7CCE5E7F">
            <w:pPr>
              <w:widowControl/>
              <w:autoSpaceDE/>
              <w:autoSpaceDN/>
              <w:adjustRightInd/>
              <w:jc w:val="right"/>
              <w:rPr>
                <w:b/>
                <w:bCs/>
                <w:color w:val="000000"/>
                <w:sz w:val="18"/>
                <w:szCs w:val="18"/>
              </w:rPr>
            </w:pPr>
            <w:r w:rsidRPr="00095F01">
              <w:rPr>
                <w:b/>
                <w:bCs/>
                <w:color w:val="000000"/>
                <w:sz w:val="18"/>
                <w:szCs w:val="18"/>
              </w:rPr>
              <w:t>$</w:t>
            </w:r>
            <w:r w:rsidR="00E3466F">
              <w:rPr>
                <w:b/>
                <w:bCs/>
                <w:color w:val="000000"/>
                <w:sz w:val="18"/>
                <w:szCs w:val="18"/>
              </w:rPr>
              <w:t>45,200</w:t>
            </w:r>
            <w:r w:rsidRPr="00095F01">
              <w:rPr>
                <w:b/>
                <w:bCs/>
                <w:color w:val="000000"/>
                <w:sz w:val="18"/>
                <w:szCs w:val="18"/>
              </w:rPr>
              <w:t xml:space="preserve"> </w:t>
            </w:r>
          </w:p>
        </w:tc>
      </w:tr>
      <w:tr w14:paraId="550D56C3" w14:textId="77777777" w:rsidTr="00A33D39">
        <w:tblPrEx>
          <w:tblW w:w="13286" w:type="dxa"/>
          <w:tblLook w:val="04A0"/>
        </w:tblPrEx>
        <w:trPr>
          <w:trHeight w:val="300"/>
        </w:trPr>
        <w:tc>
          <w:tcPr>
            <w:tcW w:w="4160" w:type="dxa"/>
            <w:tcBorders>
              <w:top w:val="nil"/>
              <w:left w:val="nil"/>
              <w:bottom w:val="nil"/>
              <w:right w:val="nil"/>
            </w:tcBorders>
            <w:shd w:val="clear" w:color="auto" w:fill="auto"/>
            <w:noWrap/>
            <w:vAlign w:val="bottom"/>
            <w:hideMark/>
          </w:tcPr>
          <w:p w:rsidR="00095F01" w:rsidRPr="00095F01" w:rsidP="00095F01" w14:paraId="66A88D5E" w14:textId="77777777">
            <w:pPr>
              <w:widowControl/>
              <w:autoSpaceDE/>
              <w:autoSpaceDN/>
              <w:adjustRightInd/>
              <w:jc w:val="right"/>
              <w:rPr>
                <w:b/>
                <w:bCs/>
                <w:color w:val="000000"/>
                <w:sz w:val="18"/>
                <w:szCs w:val="18"/>
              </w:rPr>
            </w:pPr>
          </w:p>
        </w:tc>
        <w:tc>
          <w:tcPr>
            <w:tcW w:w="1240" w:type="dxa"/>
            <w:tcBorders>
              <w:top w:val="nil"/>
              <w:left w:val="nil"/>
              <w:bottom w:val="nil"/>
              <w:right w:val="nil"/>
            </w:tcBorders>
            <w:shd w:val="clear" w:color="auto" w:fill="auto"/>
            <w:noWrap/>
            <w:vAlign w:val="bottom"/>
            <w:hideMark/>
          </w:tcPr>
          <w:p w:rsidR="00095F01" w:rsidRPr="00095F01" w:rsidP="00095F01" w14:paraId="6B444E73"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095F01" w:rsidRPr="00095F01" w:rsidP="00095F01" w14:paraId="368282EC"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095F01" w:rsidRPr="00095F01" w:rsidP="00095F01" w14:paraId="47E55600"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00095F01" w:rsidRPr="00095F01" w:rsidP="00095F01" w14:paraId="442115AB"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00095F01" w:rsidRPr="00095F01" w:rsidP="00095F01" w14:paraId="44490887" w14:textId="77777777">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rsidR="00095F01" w:rsidRPr="00095F01" w:rsidP="00095F01" w14:paraId="40D900DA"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00095F01" w:rsidRPr="00095F01" w:rsidP="00095F01" w14:paraId="600294EB"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095F01" w:rsidRPr="00095F01" w:rsidP="00095F01" w14:paraId="5E17E086" w14:textId="77777777">
            <w:pPr>
              <w:widowControl/>
              <w:autoSpaceDE/>
              <w:autoSpaceDN/>
              <w:adjustRightInd/>
              <w:rPr>
                <w:sz w:val="20"/>
                <w:szCs w:val="20"/>
              </w:rPr>
            </w:pPr>
          </w:p>
        </w:tc>
      </w:tr>
      <w:tr w14:paraId="7AD6A6AB" w14:textId="77777777" w:rsidTr="00A33D39">
        <w:tblPrEx>
          <w:tblW w:w="13286" w:type="dxa"/>
          <w:tblLook w:val="04A0"/>
        </w:tblPrEx>
        <w:trPr>
          <w:trHeight w:val="255"/>
        </w:trPr>
        <w:tc>
          <w:tcPr>
            <w:tcW w:w="4160" w:type="dxa"/>
            <w:tcBorders>
              <w:top w:val="nil"/>
              <w:left w:val="nil"/>
              <w:bottom w:val="nil"/>
              <w:right w:val="nil"/>
            </w:tcBorders>
            <w:shd w:val="clear" w:color="auto" w:fill="auto"/>
            <w:noWrap/>
            <w:vAlign w:val="center"/>
            <w:hideMark/>
          </w:tcPr>
          <w:p w:rsidR="00095F01" w:rsidRPr="00095F01" w:rsidP="00095F01" w14:paraId="7BC647C2" w14:textId="77777777">
            <w:pPr>
              <w:widowControl/>
              <w:autoSpaceDE/>
              <w:autoSpaceDN/>
              <w:adjustRightInd/>
              <w:rPr>
                <w:b/>
                <w:bCs/>
                <w:color w:val="000000"/>
                <w:sz w:val="20"/>
                <w:szCs w:val="20"/>
              </w:rPr>
            </w:pPr>
            <w:r w:rsidRPr="00095F01">
              <w:rPr>
                <w:b/>
                <w:bCs/>
                <w:color w:val="000000"/>
                <w:sz w:val="20"/>
                <w:szCs w:val="20"/>
              </w:rPr>
              <w:t>Assumptions:</w:t>
            </w:r>
          </w:p>
        </w:tc>
        <w:tc>
          <w:tcPr>
            <w:tcW w:w="1240" w:type="dxa"/>
            <w:tcBorders>
              <w:top w:val="nil"/>
              <w:left w:val="nil"/>
              <w:bottom w:val="nil"/>
              <w:right w:val="nil"/>
            </w:tcBorders>
            <w:shd w:val="clear" w:color="auto" w:fill="auto"/>
            <w:noWrap/>
            <w:vAlign w:val="bottom"/>
            <w:hideMark/>
          </w:tcPr>
          <w:p w:rsidR="00095F01" w:rsidRPr="00095F01" w:rsidP="00095F01" w14:paraId="00BBE447" w14:textId="77777777">
            <w:pPr>
              <w:widowControl/>
              <w:autoSpaceDE/>
              <w:autoSpaceDN/>
              <w:adjustRightInd/>
              <w:rPr>
                <w:b/>
                <w:bCs/>
                <w:color w:val="000000"/>
                <w:sz w:val="20"/>
                <w:szCs w:val="20"/>
              </w:rPr>
            </w:pPr>
          </w:p>
        </w:tc>
        <w:tc>
          <w:tcPr>
            <w:tcW w:w="1340" w:type="dxa"/>
            <w:tcBorders>
              <w:top w:val="nil"/>
              <w:left w:val="nil"/>
              <w:bottom w:val="nil"/>
              <w:right w:val="nil"/>
            </w:tcBorders>
            <w:shd w:val="clear" w:color="auto" w:fill="auto"/>
            <w:noWrap/>
            <w:vAlign w:val="bottom"/>
            <w:hideMark/>
          </w:tcPr>
          <w:p w:rsidR="00095F01" w:rsidRPr="00095F01" w:rsidP="00095F01" w14:paraId="43312294"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095F01" w:rsidRPr="00095F01" w:rsidP="00095F01" w14:paraId="4F0856BE"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00095F01" w:rsidRPr="00095F01" w:rsidP="00095F01" w14:paraId="0DF48733"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00095F01" w:rsidRPr="00095F01" w:rsidP="00095F01" w14:paraId="78F370A3" w14:textId="77777777">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rsidR="00095F01" w:rsidRPr="00095F01" w:rsidP="00095F01" w14:paraId="2E351780"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00095F01" w:rsidRPr="00095F01" w:rsidP="00095F01" w14:paraId="45D34DC2"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095F01" w:rsidRPr="00095F01" w:rsidP="00095F01" w14:paraId="565AF786" w14:textId="77777777">
            <w:pPr>
              <w:widowControl/>
              <w:autoSpaceDE/>
              <w:autoSpaceDN/>
              <w:adjustRightInd/>
              <w:rPr>
                <w:sz w:val="20"/>
                <w:szCs w:val="20"/>
              </w:rPr>
            </w:pPr>
          </w:p>
        </w:tc>
      </w:tr>
      <w:tr w14:paraId="784E1F74" w14:textId="77777777" w:rsidTr="00A33D39">
        <w:tblPrEx>
          <w:tblW w:w="13286" w:type="dxa"/>
          <w:tblLook w:val="04A0"/>
        </w:tblPrEx>
        <w:trPr>
          <w:trHeight w:val="555"/>
        </w:trPr>
        <w:tc>
          <w:tcPr>
            <w:tcW w:w="13286" w:type="dxa"/>
            <w:gridSpan w:val="9"/>
            <w:tcBorders>
              <w:top w:val="nil"/>
              <w:left w:val="nil"/>
              <w:bottom w:val="nil"/>
              <w:right w:val="nil"/>
            </w:tcBorders>
            <w:shd w:val="clear" w:color="auto" w:fill="auto"/>
            <w:hideMark/>
          </w:tcPr>
          <w:p w:rsidR="00095F01" w:rsidRPr="00095F01" w:rsidP="00095F01" w14:paraId="17C4E9E8" w14:textId="1A44CE1D">
            <w:pPr>
              <w:widowControl/>
              <w:autoSpaceDE/>
              <w:autoSpaceDN/>
              <w:adjustRightInd/>
              <w:rPr>
                <w:color w:val="000000"/>
                <w:sz w:val="20"/>
                <w:szCs w:val="20"/>
              </w:rPr>
            </w:pPr>
            <w:r w:rsidRPr="00095F01">
              <w:rPr>
                <w:color w:val="000000"/>
                <w:sz w:val="20"/>
                <w:szCs w:val="20"/>
                <w:vertAlign w:val="superscript"/>
              </w:rPr>
              <w:t>a</w:t>
            </w:r>
            <w:r w:rsidR="006B63FA">
              <w:rPr>
                <w:color w:val="000000"/>
                <w:sz w:val="20"/>
                <w:szCs w:val="20"/>
              </w:rPr>
              <w:t xml:space="preserve"> </w:t>
            </w:r>
            <w:r w:rsidRPr="00095F01">
              <w:rPr>
                <w:color w:val="000000"/>
                <w:sz w:val="20"/>
                <w:szCs w:val="20"/>
              </w:rPr>
              <w:t>We estimate that an average of 74 existing respondents and zero new respondents per year will be subject to the rule over the three-year period of this ICR.</w:t>
            </w:r>
          </w:p>
        </w:tc>
      </w:tr>
      <w:tr w14:paraId="37093F69" w14:textId="77777777" w:rsidTr="00A33D39">
        <w:tblPrEx>
          <w:tblW w:w="13286" w:type="dxa"/>
          <w:tblLook w:val="04A0"/>
        </w:tblPrEx>
        <w:trPr>
          <w:trHeight w:val="885"/>
        </w:trPr>
        <w:tc>
          <w:tcPr>
            <w:tcW w:w="13286" w:type="dxa"/>
            <w:gridSpan w:val="9"/>
            <w:tcBorders>
              <w:top w:val="nil"/>
              <w:left w:val="nil"/>
              <w:bottom w:val="nil"/>
              <w:right w:val="nil"/>
            </w:tcBorders>
            <w:shd w:val="clear" w:color="auto" w:fill="auto"/>
            <w:hideMark/>
          </w:tcPr>
          <w:p w:rsidR="00095F01" w:rsidRPr="00095F01" w:rsidP="00095F01" w14:paraId="68198B7E" w14:textId="129A7A2C">
            <w:pPr>
              <w:widowControl/>
              <w:autoSpaceDE/>
              <w:autoSpaceDN/>
              <w:adjustRightInd/>
              <w:rPr>
                <w:color w:val="000000"/>
                <w:sz w:val="20"/>
                <w:szCs w:val="20"/>
              </w:rPr>
            </w:pPr>
            <w:r w:rsidRPr="00095F01">
              <w:rPr>
                <w:color w:val="000000"/>
                <w:sz w:val="20"/>
                <w:szCs w:val="20"/>
                <w:vertAlign w:val="superscript"/>
              </w:rPr>
              <w:t>b</w:t>
            </w:r>
            <w:r w:rsidR="006B63FA">
              <w:rPr>
                <w:color w:val="000000"/>
                <w:sz w:val="20"/>
                <w:szCs w:val="20"/>
              </w:rPr>
              <w:t xml:space="preserve"> </w:t>
            </w:r>
            <w:r w:rsidRPr="00095F01">
              <w:rPr>
                <w:color w:val="000000"/>
                <w:sz w:val="20"/>
                <w:szCs w:val="20"/>
              </w:rPr>
              <w:t>This ICR uses the following labor rates:</w:t>
            </w:r>
            <w:r w:rsidR="006B63FA">
              <w:rPr>
                <w:color w:val="000000"/>
                <w:sz w:val="20"/>
                <w:szCs w:val="20"/>
              </w:rPr>
              <w:t xml:space="preserve"> </w:t>
            </w:r>
            <w:r w:rsidRPr="00095F01">
              <w:rPr>
                <w:color w:val="000000"/>
                <w:sz w:val="20"/>
                <w:szCs w:val="20"/>
              </w:rPr>
              <w:t>$70.56 for managerial, $52.37 for technical,</w:t>
            </w:r>
            <w:r w:rsidR="006B63FA">
              <w:rPr>
                <w:color w:val="000000"/>
                <w:sz w:val="20"/>
                <w:szCs w:val="20"/>
              </w:rPr>
              <w:t xml:space="preserve"> </w:t>
            </w:r>
            <w:r w:rsidRPr="00095F01">
              <w:rPr>
                <w:color w:val="000000"/>
                <w:sz w:val="20"/>
                <w:szCs w:val="20"/>
              </w:rPr>
              <w:t>and $28.34 for clerical labor.</w:t>
            </w:r>
            <w:r w:rsidR="006B63FA">
              <w:rPr>
                <w:color w:val="000000"/>
                <w:sz w:val="20"/>
                <w:szCs w:val="20"/>
              </w:rPr>
              <w:t xml:space="preserve"> </w:t>
            </w:r>
            <w:r w:rsidRPr="00095F01">
              <w:rPr>
                <w:color w:val="000000"/>
                <w:sz w:val="20"/>
                <w:szCs w:val="20"/>
              </w:rPr>
              <w:t>These rates are from the Office of Personnel Management (OPM), 2022 General Schedule, which excludes locality rates of pay.</w:t>
            </w:r>
            <w:r w:rsidR="006B63FA">
              <w:rPr>
                <w:color w:val="000000"/>
                <w:sz w:val="20"/>
                <w:szCs w:val="20"/>
              </w:rPr>
              <w:t xml:space="preserve"> </w:t>
            </w:r>
            <w:r w:rsidRPr="00095F01">
              <w:rPr>
                <w:color w:val="000000"/>
                <w:sz w:val="20"/>
                <w:szCs w:val="20"/>
              </w:rPr>
              <w:t>The rates have been increased by 60 percent to account for the benefit packages available to government employees.</w:t>
            </w:r>
          </w:p>
        </w:tc>
      </w:tr>
      <w:tr w14:paraId="3A16F426" w14:textId="77777777" w:rsidTr="00A33D39">
        <w:tblPrEx>
          <w:tblW w:w="13286" w:type="dxa"/>
          <w:tblLook w:val="04A0"/>
        </w:tblPrEx>
        <w:trPr>
          <w:trHeight w:val="315"/>
        </w:trPr>
        <w:tc>
          <w:tcPr>
            <w:tcW w:w="13286" w:type="dxa"/>
            <w:gridSpan w:val="9"/>
            <w:tcBorders>
              <w:top w:val="nil"/>
              <w:left w:val="nil"/>
              <w:bottom w:val="nil"/>
              <w:right w:val="nil"/>
            </w:tcBorders>
            <w:shd w:val="clear" w:color="auto" w:fill="auto"/>
            <w:noWrap/>
            <w:hideMark/>
          </w:tcPr>
          <w:p w:rsidR="00095F01" w:rsidRPr="00095F01" w:rsidP="00095F01" w14:paraId="78D2626D" w14:textId="0E62DE0C">
            <w:pPr>
              <w:widowControl/>
              <w:autoSpaceDE/>
              <w:autoSpaceDN/>
              <w:adjustRightInd/>
              <w:rPr>
                <w:color w:val="000000"/>
                <w:sz w:val="20"/>
                <w:szCs w:val="20"/>
              </w:rPr>
            </w:pPr>
            <w:r w:rsidRPr="00095F01">
              <w:rPr>
                <w:color w:val="000000"/>
                <w:sz w:val="20"/>
                <w:szCs w:val="20"/>
                <w:vertAlign w:val="superscript"/>
              </w:rPr>
              <w:t>c</w:t>
            </w:r>
            <w:r w:rsidR="006B63FA">
              <w:rPr>
                <w:color w:val="000000"/>
                <w:sz w:val="20"/>
                <w:szCs w:val="20"/>
              </w:rPr>
              <w:t xml:space="preserve"> </w:t>
            </w:r>
            <w:r w:rsidRPr="00095F01">
              <w:rPr>
                <w:color w:val="000000"/>
                <w:sz w:val="20"/>
                <w:szCs w:val="20"/>
              </w:rPr>
              <w:t>We assume that 10 percent of the facilities will have exceedance reports.</w:t>
            </w:r>
          </w:p>
        </w:tc>
      </w:tr>
      <w:tr w14:paraId="47CB0B5C" w14:textId="77777777" w:rsidTr="00A33D39">
        <w:tblPrEx>
          <w:tblW w:w="13286" w:type="dxa"/>
          <w:tblLook w:val="04A0"/>
        </w:tblPrEx>
        <w:trPr>
          <w:trHeight w:val="690"/>
        </w:trPr>
        <w:tc>
          <w:tcPr>
            <w:tcW w:w="13286" w:type="dxa"/>
            <w:gridSpan w:val="9"/>
            <w:tcBorders>
              <w:top w:val="nil"/>
              <w:left w:val="nil"/>
              <w:bottom w:val="nil"/>
              <w:right w:val="nil"/>
            </w:tcBorders>
            <w:shd w:val="clear" w:color="auto" w:fill="auto"/>
            <w:hideMark/>
          </w:tcPr>
          <w:p w:rsidR="00095F01" w:rsidRPr="00095F01" w:rsidP="00095F01" w14:paraId="1DA115B9" w14:textId="77777777">
            <w:pPr>
              <w:widowControl/>
              <w:autoSpaceDE/>
              <w:autoSpaceDN/>
              <w:adjustRightInd/>
              <w:rPr>
                <w:color w:val="000000"/>
                <w:sz w:val="20"/>
                <w:szCs w:val="20"/>
              </w:rPr>
            </w:pPr>
            <w:r w:rsidRPr="00095F01">
              <w:rPr>
                <w:color w:val="000000"/>
                <w:sz w:val="20"/>
                <w:szCs w:val="20"/>
                <w:vertAlign w:val="superscript"/>
              </w:rPr>
              <w:t>d</w:t>
            </w:r>
            <w:r w:rsidRPr="00095F01">
              <w:rPr>
                <w:color w:val="000000"/>
                <w:sz w:val="20"/>
                <w:szCs w:val="20"/>
              </w:rPr>
              <w:t xml:space="preserve"> Assume that 10 percent of facilities will not have a qualified operator available for more than two weeks at least once a year, and that two corrective action summaries will be required.</w:t>
            </w:r>
          </w:p>
        </w:tc>
      </w:tr>
      <w:tr w14:paraId="6366ABAA" w14:textId="77777777" w:rsidTr="00A33D39">
        <w:tblPrEx>
          <w:tblW w:w="13286" w:type="dxa"/>
          <w:tblLook w:val="04A0"/>
        </w:tblPrEx>
        <w:trPr>
          <w:trHeight w:val="315"/>
        </w:trPr>
        <w:tc>
          <w:tcPr>
            <w:tcW w:w="13286" w:type="dxa"/>
            <w:gridSpan w:val="9"/>
            <w:tcBorders>
              <w:top w:val="nil"/>
              <w:left w:val="nil"/>
              <w:bottom w:val="nil"/>
              <w:right w:val="nil"/>
            </w:tcBorders>
            <w:shd w:val="clear" w:color="auto" w:fill="auto"/>
            <w:noWrap/>
            <w:hideMark/>
          </w:tcPr>
          <w:p w:rsidR="00095F01" w:rsidRPr="00095F01" w:rsidP="00095F01" w14:paraId="537FA841" w14:textId="050D2F2C">
            <w:pPr>
              <w:widowControl/>
              <w:autoSpaceDE/>
              <w:autoSpaceDN/>
              <w:adjustRightInd/>
              <w:rPr>
                <w:color w:val="000000"/>
                <w:sz w:val="20"/>
                <w:szCs w:val="20"/>
              </w:rPr>
            </w:pPr>
            <w:r w:rsidRPr="00095F01">
              <w:rPr>
                <w:color w:val="000000"/>
                <w:sz w:val="20"/>
                <w:szCs w:val="20"/>
                <w:vertAlign w:val="superscript"/>
              </w:rPr>
              <w:t>e</w:t>
            </w:r>
            <w:r w:rsidR="006B63FA">
              <w:rPr>
                <w:color w:val="000000"/>
                <w:sz w:val="20"/>
                <w:szCs w:val="20"/>
              </w:rPr>
              <w:t xml:space="preserve"> </w:t>
            </w:r>
            <w:r w:rsidRPr="00095F01">
              <w:rPr>
                <w:color w:val="000000"/>
                <w:sz w:val="20"/>
                <w:szCs w:val="20"/>
              </w:rPr>
              <w:t>Totals have been rounded to 3 significant figures. Figures may not add exactly due to rounding.</w:t>
            </w:r>
          </w:p>
        </w:tc>
      </w:tr>
    </w:tbl>
    <w:p w:rsidR="00C838C6" w:rsidRPr="00D54DCD" w:rsidP="00E3466F" w14:paraId="586E85F2" w14:textId="77777777">
      <w:pPr>
        <w:rPr>
          <w:b/>
          <w:bCs/>
          <w:color w:val="000000"/>
        </w:rPr>
      </w:pPr>
    </w:p>
    <w:sectPr w:rsidSect="00E3466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5387"/>
    <w:rsid w:val="00047104"/>
    <w:rsid w:val="00055BDF"/>
    <w:rsid w:val="00055DC5"/>
    <w:rsid w:val="000806CB"/>
    <w:rsid w:val="00095F01"/>
    <w:rsid w:val="000A0C5B"/>
    <w:rsid w:val="000A118B"/>
    <w:rsid w:val="000A1FBB"/>
    <w:rsid w:val="000A687C"/>
    <w:rsid w:val="000A759F"/>
    <w:rsid w:val="000B2E1C"/>
    <w:rsid w:val="000C52CF"/>
    <w:rsid w:val="000C6F58"/>
    <w:rsid w:val="000D2272"/>
    <w:rsid w:val="000D78EF"/>
    <w:rsid w:val="000E187E"/>
    <w:rsid w:val="000E4818"/>
    <w:rsid w:val="000E6AAE"/>
    <w:rsid w:val="000F5659"/>
    <w:rsid w:val="000F772C"/>
    <w:rsid w:val="00101B40"/>
    <w:rsid w:val="00102B52"/>
    <w:rsid w:val="0010697C"/>
    <w:rsid w:val="00107576"/>
    <w:rsid w:val="00113C4B"/>
    <w:rsid w:val="00122CF4"/>
    <w:rsid w:val="00123889"/>
    <w:rsid w:val="00126A7C"/>
    <w:rsid w:val="001356D4"/>
    <w:rsid w:val="0014079D"/>
    <w:rsid w:val="001414C4"/>
    <w:rsid w:val="001433D3"/>
    <w:rsid w:val="00144978"/>
    <w:rsid w:val="00144A82"/>
    <w:rsid w:val="00144F35"/>
    <w:rsid w:val="0015433E"/>
    <w:rsid w:val="00157BDC"/>
    <w:rsid w:val="00162ECC"/>
    <w:rsid w:val="00165DCF"/>
    <w:rsid w:val="00166DD6"/>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B45E5"/>
    <w:rsid w:val="001C5991"/>
    <w:rsid w:val="001D0E0A"/>
    <w:rsid w:val="001D2D33"/>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818EF"/>
    <w:rsid w:val="00281CAE"/>
    <w:rsid w:val="0029006A"/>
    <w:rsid w:val="002904E7"/>
    <w:rsid w:val="002976E9"/>
    <w:rsid w:val="002A12A6"/>
    <w:rsid w:val="002B29A5"/>
    <w:rsid w:val="002B29A7"/>
    <w:rsid w:val="002B2F4E"/>
    <w:rsid w:val="002B4528"/>
    <w:rsid w:val="002B517F"/>
    <w:rsid w:val="002B67F5"/>
    <w:rsid w:val="002B6993"/>
    <w:rsid w:val="002C1F95"/>
    <w:rsid w:val="002C416A"/>
    <w:rsid w:val="002C77DF"/>
    <w:rsid w:val="002D0E5E"/>
    <w:rsid w:val="002D7683"/>
    <w:rsid w:val="002E230F"/>
    <w:rsid w:val="002F0102"/>
    <w:rsid w:val="002F2480"/>
    <w:rsid w:val="002F39D7"/>
    <w:rsid w:val="002F4D5D"/>
    <w:rsid w:val="002F5867"/>
    <w:rsid w:val="002F674B"/>
    <w:rsid w:val="002F6DB3"/>
    <w:rsid w:val="003112E1"/>
    <w:rsid w:val="003139FC"/>
    <w:rsid w:val="00316428"/>
    <w:rsid w:val="00336B9D"/>
    <w:rsid w:val="00341540"/>
    <w:rsid w:val="0034387F"/>
    <w:rsid w:val="00344B82"/>
    <w:rsid w:val="003511C6"/>
    <w:rsid w:val="0035325B"/>
    <w:rsid w:val="00354C15"/>
    <w:rsid w:val="0036529D"/>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0169"/>
    <w:rsid w:val="00423995"/>
    <w:rsid w:val="004318A0"/>
    <w:rsid w:val="0044133C"/>
    <w:rsid w:val="00442D84"/>
    <w:rsid w:val="00455557"/>
    <w:rsid w:val="00455CCB"/>
    <w:rsid w:val="00456B7B"/>
    <w:rsid w:val="00460BB3"/>
    <w:rsid w:val="00461FFE"/>
    <w:rsid w:val="004812B0"/>
    <w:rsid w:val="00483112"/>
    <w:rsid w:val="00484A45"/>
    <w:rsid w:val="004912E8"/>
    <w:rsid w:val="004912F6"/>
    <w:rsid w:val="0049327D"/>
    <w:rsid w:val="004A084D"/>
    <w:rsid w:val="004A4B25"/>
    <w:rsid w:val="004A5A52"/>
    <w:rsid w:val="004B2355"/>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1190"/>
    <w:rsid w:val="0053277C"/>
    <w:rsid w:val="00547974"/>
    <w:rsid w:val="00550428"/>
    <w:rsid w:val="00551815"/>
    <w:rsid w:val="00552085"/>
    <w:rsid w:val="00556535"/>
    <w:rsid w:val="00560AD2"/>
    <w:rsid w:val="005648E8"/>
    <w:rsid w:val="00565A51"/>
    <w:rsid w:val="00571260"/>
    <w:rsid w:val="0057280A"/>
    <w:rsid w:val="005779F0"/>
    <w:rsid w:val="00583626"/>
    <w:rsid w:val="00595934"/>
    <w:rsid w:val="005A0AE0"/>
    <w:rsid w:val="005A1986"/>
    <w:rsid w:val="005A33F9"/>
    <w:rsid w:val="005A7AE1"/>
    <w:rsid w:val="005B0089"/>
    <w:rsid w:val="005B4B4E"/>
    <w:rsid w:val="005B5DE8"/>
    <w:rsid w:val="005C3665"/>
    <w:rsid w:val="005C42AC"/>
    <w:rsid w:val="005C711F"/>
    <w:rsid w:val="005D385C"/>
    <w:rsid w:val="005D6E11"/>
    <w:rsid w:val="005E0A9B"/>
    <w:rsid w:val="005E194B"/>
    <w:rsid w:val="005F42F8"/>
    <w:rsid w:val="00601205"/>
    <w:rsid w:val="00603BDA"/>
    <w:rsid w:val="00604404"/>
    <w:rsid w:val="00606D16"/>
    <w:rsid w:val="00606DEF"/>
    <w:rsid w:val="0060798B"/>
    <w:rsid w:val="0062215C"/>
    <w:rsid w:val="00625231"/>
    <w:rsid w:val="00626650"/>
    <w:rsid w:val="00631517"/>
    <w:rsid w:val="0063345B"/>
    <w:rsid w:val="00635DBD"/>
    <w:rsid w:val="006362A2"/>
    <w:rsid w:val="00636CBA"/>
    <w:rsid w:val="00641A19"/>
    <w:rsid w:val="00646DAF"/>
    <w:rsid w:val="00647BBB"/>
    <w:rsid w:val="00652969"/>
    <w:rsid w:val="00673313"/>
    <w:rsid w:val="006741F7"/>
    <w:rsid w:val="006810C3"/>
    <w:rsid w:val="00681220"/>
    <w:rsid w:val="006815C9"/>
    <w:rsid w:val="00683B4D"/>
    <w:rsid w:val="00694B55"/>
    <w:rsid w:val="00695112"/>
    <w:rsid w:val="0069679E"/>
    <w:rsid w:val="00697D24"/>
    <w:rsid w:val="006A3753"/>
    <w:rsid w:val="006A4EDC"/>
    <w:rsid w:val="006A6978"/>
    <w:rsid w:val="006B63FA"/>
    <w:rsid w:val="006D128B"/>
    <w:rsid w:val="006D1B12"/>
    <w:rsid w:val="006D381C"/>
    <w:rsid w:val="006D4402"/>
    <w:rsid w:val="006E4A6E"/>
    <w:rsid w:val="006E642B"/>
    <w:rsid w:val="006F0095"/>
    <w:rsid w:val="006F14DD"/>
    <w:rsid w:val="00707CDF"/>
    <w:rsid w:val="0072202C"/>
    <w:rsid w:val="00724BC7"/>
    <w:rsid w:val="0072514C"/>
    <w:rsid w:val="00730AFE"/>
    <w:rsid w:val="007412F1"/>
    <w:rsid w:val="00752FC1"/>
    <w:rsid w:val="00754D1E"/>
    <w:rsid w:val="00762AC8"/>
    <w:rsid w:val="00763160"/>
    <w:rsid w:val="007715B6"/>
    <w:rsid w:val="00772289"/>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C1BEE"/>
    <w:rsid w:val="007E6FF4"/>
    <w:rsid w:val="007F07FB"/>
    <w:rsid w:val="007F5773"/>
    <w:rsid w:val="007F5960"/>
    <w:rsid w:val="007F729E"/>
    <w:rsid w:val="007F7CD8"/>
    <w:rsid w:val="00801C62"/>
    <w:rsid w:val="00810507"/>
    <w:rsid w:val="00811EA5"/>
    <w:rsid w:val="0081350B"/>
    <w:rsid w:val="00813A7B"/>
    <w:rsid w:val="00813E69"/>
    <w:rsid w:val="00815B1C"/>
    <w:rsid w:val="00817E8B"/>
    <w:rsid w:val="008217AD"/>
    <w:rsid w:val="00821BA4"/>
    <w:rsid w:val="00827749"/>
    <w:rsid w:val="008338D4"/>
    <w:rsid w:val="00837642"/>
    <w:rsid w:val="00841E59"/>
    <w:rsid w:val="0084255D"/>
    <w:rsid w:val="00846D80"/>
    <w:rsid w:val="00850ACF"/>
    <w:rsid w:val="00852038"/>
    <w:rsid w:val="008547EC"/>
    <w:rsid w:val="00861489"/>
    <w:rsid w:val="00863731"/>
    <w:rsid w:val="0088639E"/>
    <w:rsid w:val="00890FC8"/>
    <w:rsid w:val="00896D69"/>
    <w:rsid w:val="008A46EB"/>
    <w:rsid w:val="008B407C"/>
    <w:rsid w:val="008C1A62"/>
    <w:rsid w:val="008C33EF"/>
    <w:rsid w:val="008C6C47"/>
    <w:rsid w:val="008C71FC"/>
    <w:rsid w:val="008D3C95"/>
    <w:rsid w:val="008D4B68"/>
    <w:rsid w:val="008E561B"/>
    <w:rsid w:val="008E65E6"/>
    <w:rsid w:val="008E72CE"/>
    <w:rsid w:val="008F285B"/>
    <w:rsid w:val="008F4564"/>
    <w:rsid w:val="009018EC"/>
    <w:rsid w:val="00905235"/>
    <w:rsid w:val="00906EDB"/>
    <w:rsid w:val="00911F80"/>
    <w:rsid w:val="00912E00"/>
    <w:rsid w:val="009203C2"/>
    <w:rsid w:val="00923C46"/>
    <w:rsid w:val="00927C08"/>
    <w:rsid w:val="009332B8"/>
    <w:rsid w:val="00935308"/>
    <w:rsid w:val="0095132C"/>
    <w:rsid w:val="0095274F"/>
    <w:rsid w:val="0095590C"/>
    <w:rsid w:val="009606BB"/>
    <w:rsid w:val="009711DB"/>
    <w:rsid w:val="009737C0"/>
    <w:rsid w:val="00981C20"/>
    <w:rsid w:val="00984255"/>
    <w:rsid w:val="00987FC6"/>
    <w:rsid w:val="009903E5"/>
    <w:rsid w:val="00991AF7"/>
    <w:rsid w:val="0099591A"/>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3D39"/>
    <w:rsid w:val="00A379F8"/>
    <w:rsid w:val="00A43350"/>
    <w:rsid w:val="00A50E60"/>
    <w:rsid w:val="00A51A9E"/>
    <w:rsid w:val="00A51CC5"/>
    <w:rsid w:val="00A51FD4"/>
    <w:rsid w:val="00A54EEA"/>
    <w:rsid w:val="00A56BFF"/>
    <w:rsid w:val="00A60C44"/>
    <w:rsid w:val="00A72F23"/>
    <w:rsid w:val="00A73600"/>
    <w:rsid w:val="00A74C1E"/>
    <w:rsid w:val="00A7661C"/>
    <w:rsid w:val="00A949F7"/>
    <w:rsid w:val="00A95BC7"/>
    <w:rsid w:val="00A962DF"/>
    <w:rsid w:val="00A97D2E"/>
    <w:rsid w:val="00AA4008"/>
    <w:rsid w:val="00AC4478"/>
    <w:rsid w:val="00AE12FA"/>
    <w:rsid w:val="00AE4304"/>
    <w:rsid w:val="00AE52C4"/>
    <w:rsid w:val="00AF3AED"/>
    <w:rsid w:val="00AF70A1"/>
    <w:rsid w:val="00B01AD9"/>
    <w:rsid w:val="00B04A5C"/>
    <w:rsid w:val="00B06051"/>
    <w:rsid w:val="00B06C0F"/>
    <w:rsid w:val="00B07F79"/>
    <w:rsid w:val="00B16C07"/>
    <w:rsid w:val="00B20E02"/>
    <w:rsid w:val="00B311CB"/>
    <w:rsid w:val="00B32D10"/>
    <w:rsid w:val="00B34310"/>
    <w:rsid w:val="00B41FFF"/>
    <w:rsid w:val="00B46A57"/>
    <w:rsid w:val="00B63934"/>
    <w:rsid w:val="00B65754"/>
    <w:rsid w:val="00B66231"/>
    <w:rsid w:val="00B769F1"/>
    <w:rsid w:val="00B77338"/>
    <w:rsid w:val="00B82025"/>
    <w:rsid w:val="00B8740D"/>
    <w:rsid w:val="00B907B1"/>
    <w:rsid w:val="00BA0A91"/>
    <w:rsid w:val="00BA4887"/>
    <w:rsid w:val="00BA64DF"/>
    <w:rsid w:val="00BA7B1D"/>
    <w:rsid w:val="00BB3390"/>
    <w:rsid w:val="00BB3C1A"/>
    <w:rsid w:val="00BC6DEF"/>
    <w:rsid w:val="00BD02BC"/>
    <w:rsid w:val="00BD0BEE"/>
    <w:rsid w:val="00BD75B9"/>
    <w:rsid w:val="00BD7CAE"/>
    <w:rsid w:val="00BE2162"/>
    <w:rsid w:val="00BE2989"/>
    <w:rsid w:val="00BE7A11"/>
    <w:rsid w:val="00BF722F"/>
    <w:rsid w:val="00C05180"/>
    <w:rsid w:val="00C10ED1"/>
    <w:rsid w:val="00C13FE8"/>
    <w:rsid w:val="00C230F9"/>
    <w:rsid w:val="00C2600C"/>
    <w:rsid w:val="00C27FB9"/>
    <w:rsid w:val="00C30A60"/>
    <w:rsid w:val="00C32849"/>
    <w:rsid w:val="00C331FC"/>
    <w:rsid w:val="00C33ABA"/>
    <w:rsid w:val="00C3430C"/>
    <w:rsid w:val="00C37BB6"/>
    <w:rsid w:val="00C4183F"/>
    <w:rsid w:val="00C50524"/>
    <w:rsid w:val="00C509A7"/>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01F1"/>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0CCC"/>
    <w:rsid w:val="00D61125"/>
    <w:rsid w:val="00D61B37"/>
    <w:rsid w:val="00D63B96"/>
    <w:rsid w:val="00D67D07"/>
    <w:rsid w:val="00D71782"/>
    <w:rsid w:val="00D7618D"/>
    <w:rsid w:val="00D91C34"/>
    <w:rsid w:val="00D92F66"/>
    <w:rsid w:val="00D93D7A"/>
    <w:rsid w:val="00D94A78"/>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49DF"/>
    <w:rsid w:val="00DE60C0"/>
    <w:rsid w:val="00DF5C4E"/>
    <w:rsid w:val="00E01C15"/>
    <w:rsid w:val="00E026BC"/>
    <w:rsid w:val="00E05F8C"/>
    <w:rsid w:val="00E06194"/>
    <w:rsid w:val="00E10DA7"/>
    <w:rsid w:val="00E110E3"/>
    <w:rsid w:val="00E116DC"/>
    <w:rsid w:val="00E1538C"/>
    <w:rsid w:val="00E23ECB"/>
    <w:rsid w:val="00E25DB6"/>
    <w:rsid w:val="00E27011"/>
    <w:rsid w:val="00E2733D"/>
    <w:rsid w:val="00E276CD"/>
    <w:rsid w:val="00E30B71"/>
    <w:rsid w:val="00E32EDA"/>
    <w:rsid w:val="00E3466F"/>
    <w:rsid w:val="00E46272"/>
    <w:rsid w:val="00E53137"/>
    <w:rsid w:val="00E546A1"/>
    <w:rsid w:val="00E661B8"/>
    <w:rsid w:val="00E702F6"/>
    <w:rsid w:val="00E70A48"/>
    <w:rsid w:val="00E70C48"/>
    <w:rsid w:val="00E72D70"/>
    <w:rsid w:val="00E779B2"/>
    <w:rsid w:val="00E77D5E"/>
    <w:rsid w:val="00E835B0"/>
    <w:rsid w:val="00E868BB"/>
    <w:rsid w:val="00E872BF"/>
    <w:rsid w:val="00E90E82"/>
    <w:rsid w:val="00EA37A9"/>
    <w:rsid w:val="00EA6063"/>
    <w:rsid w:val="00EA7026"/>
    <w:rsid w:val="00EB6FBE"/>
    <w:rsid w:val="00EC3CBB"/>
    <w:rsid w:val="00EC4074"/>
    <w:rsid w:val="00ED34DB"/>
    <w:rsid w:val="00ED5945"/>
    <w:rsid w:val="00ED741E"/>
    <w:rsid w:val="00EE1D38"/>
    <w:rsid w:val="00EE356F"/>
    <w:rsid w:val="00EF113F"/>
    <w:rsid w:val="00EF7C57"/>
    <w:rsid w:val="00F02EB3"/>
    <w:rsid w:val="00F033F0"/>
    <w:rsid w:val="00F03803"/>
    <w:rsid w:val="00F066C9"/>
    <w:rsid w:val="00F06755"/>
    <w:rsid w:val="00F17898"/>
    <w:rsid w:val="00F20822"/>
    <w:rsid w:val="00F31C2C"/>
    <w:rsid w:val="00F340DF"/>
    <w:rsid w:val="00F5134A"/>
    <w:rsid w:val="00F524FA"/>
    <w:rsid w:val="00F5262C"/>
    <w:rsid w:val="00F538BC"/>
    <w:rsid w:val="00F5584C"/>
    <w:rsid w:val="00F65FC0"/>
    <w:rsid w:val="00F6735A"/>
    <w:rsid w:val="00F679C3"/>
    <w:rsid w:val="00F8121B"/>
    <w:rsid w:val="00F83551"/>
    <w:rsid w:val="00F853D6"/>
    <w:rsid w:val="00F85DFC"/>
    <w:rsid w:val="00F87E6A"/>
    <w:rsid w:val="00F9092B"/>
    <w:rsid w:val="00F92D22"/>
    <w:rsid w:val="00F9559F"/>
    <w:rsid w:val="00FB0650"/>
    <w:rsid w:val="00FB3986"/>
    <w:rsid w:val="00FB4D98"/>
    <w:rsid w:val="00FB6378"/>
    <w:rsid w:val="00FB6ADA"/>
    <w:rsid w:val="00FB7BCE"/>
    <w:rsid w:val="00FC4E09"/>
    <w:rsid w:val="00FD56E3"/>
    <w:rsid w:val="00FD69F1"/>
    <w:rsid w:val="00FD72B2"/>
    <w:rsid w:val="00FE2099"/>
    <w:rsid w:val="00FE4B13"/>
    <w:rsid w:val="00FE6447"/>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purl.org/dc/dcmitype/"/>
    <ds:schemaRef ds:uri="http://schemas.microsoft.com/office/2006/documentManagement/types"/>
    <ds:schemaRef ds:uri="http://www.w3.org/XML/1998/namespace"/>
    <ds:schemaRef ds:uri="1891fcec-84c2-4840-9468-b51a784ab0d1"/>
    <ds:schemaRef ds:uri="http://purl.org/dc/elements/1.1/"/>
    <ds:schemaRef ds:uri="http://schemas.microsoft.com/office/infopath/2007/PartnerControls"/>
    <ds:schemaRef ds:uri="http://schemas.openxmlformats.org/package/2006/metadata/core-properties"/>
    <ds:schemaRef ds:uri="4d6aed1e-57d3-46e3-9aba-f706adbce63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7802</Words>
  <Characters>44477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2022-09-02T14:26:00Z</dcterms:created>
  <dcterms:modified xsi:type="dcterms:W3CDTF">2022-09-02T14:26:00Z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