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3C8864FA" w14:textId="539BA229">
      <w:pPr>
        <w:rPr>
          <w:b/>
        </w:rPr>
      </w:pPr>
      <w:r w:rsidRPr="001C249A">
        <w:rPr>
          <w:b/>
        </w:rPr>
        <w:t>NSPS for Greenhouse Gas Emissions for New Electric Utility Generating Units</w:t>
      </w:r>
      <w:r>
        <w:rPr>
          <w:b/>
        </w:rPr>
        <w:t xml:space="preserve"> </w:t>
      </w:r>
      <w:r w:rsidR="00CA297D">
        <w:rPr>
          <w:b/>
        </w:rPr>
        <w:t xml:space="preserve">             </w:t>
      </w:r>
      <w:r w:rsidR="00CA297D">
        <w:rPr>
          <w:b/>
        </w:rPr>
        <w:t xml:space="preserve">   </w:t>
      </w:r>
      <w:r w:rsidRPr="001C249A">
        <w:rPr>
          <w:b/>
        </w:rPr>
        <w:t>(</w:t>
      </w:r>
      <w:r w:rsidRPr="001C249A">
        <w:rPr>
          <w:b/>
        </w:rPr>
        <w:t xml:space="preserve">40 CFR </w:t>
      </w:r>
      <w:r>
        <w:rPr>
          <w:b/>
        </w:rPr>
        <w:t>P</w:t>
      </w:r>
      <w:r w:rsidRPr="001C249A">
        <w:rPr>
          <w:b/>
        </w:rPr>
        <w:t xml:space="preserve">art 60, </w:t>
      </w:r>
      <w:r>
        <w:rPr>
          <w:b/>
        </w:rPr>
        <w:t>S</w:t>
      </w:r>
      <w:r w:rsidRPr="001C249A">
        <w:rPr>
          <w:b/>
        </w:rPr>
        <w:t>ubpart TTTT) (Renewal)</w:t>
      </w:r>
    </w:p>
    <w:p w:rsidR="001C249A" w:rsidP="00504745" w14:paraId="54F5E620" w14:textId="77777777">
      <w:pPr>
        <w:outlineLvl w:val="0"/>
        <w:rPr>
          <w:b/>
          <w:bCs/>
          <w:color w:val="000000"/>
        </w:rPr>
      </w:pPr>
    </w:p>
    <w:p w:rsidR="00CA4CD6" w:rsidP="00504745" w14:paraId="1B30C59E" w14:textId="0FD0B67F">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1C249A" w:rsidP="002B29A5" w14:paraId="524FB0EB" w14:textId="2FEAD59A">
      <w:pPr>
        <w:rPr>
          <w:bCs/>
        </w:rPr>
      </w:pPr>
      <w:r w:rsidRPr="001C249A">
        <w:rPr>
          <w:bCs/>
        </w:rPr>
        <w:t>NSPS for Greenhouse Gas Emissions for New Electric Utility Generating Units (40 CFR Part 60, Subpart TTTT) (Renewal)</w:t>
      </w:r>
      <w:r w:rsidRPr="001C249A" w:rsidR="002B29A5">
        <w:rPr>
          <w:bCs/>
        </w:rPr>
        <w:t xml:space="preserve">, EPA ICR Number </w:t>
      </w:r>
      <w:r w:rsidRPr="001C249A">
        <w:rPr>
          <w:bCs/>
        </w:rPr>
        <w:t>2465.05</w:t>
      </w:r>
      <w:r w:rsidRPr="001C249A" w:rsidR="002B29A5">
        <w:rPr>
          <w:bCs/>
        </w:rPr>
        <w:t>, OMB Control Number 2060-</w:t>
      </w:r>
      <w:r w:rsidRPr="001C249A">
        <w:rPr>
          <w:bCs/>
        </w:rPr>
        <w:t>0685</w:t>
      </w:r>
      <w:r w:rsidRPr="001C249A"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14:paraId="1ECD45DD" w14:textId="700EC26B">
      <w:pPr>
        <w:ind w:firstLine="720"/>
        <w:rPr>
          <w:color w:val="000000"/>
        </w:rPr>
      </w:pPr>
      <w:r w:rsidRPr="001C249A">
        <w:t>The New Source Performance Standards (NSPS) for</w:t>
      </w:r>
      <w:r w:rsidRPr="00CA297D" w:rsidR="00CA297D">
        <w:t xml:space="preserve"> </w:t>
      </w:r>
      <w:r w:rsidRPr="00CA297D" w:rsidR="00CA297D">
        <w:t xml:space="preserve">Greenhouse Gas </w:t>
      </w:r>
      <w:r w:rsidR="0046339F">
        <w:t xml:space="preserve">(GHG) </w:t>
      </w:r>
      <w:r w:rsidRPr="00CA297D" w:rsidR="00CA297D">
        <w:t xml:space="preserve">Emissions </w:t>
      </w:r>
      <w:r w:rsidR="0046339F">
        <w:t xml:space="preserve"> </w:t>
      </w:r>
      <w:r w:rsidRPr="00CA297D" w:rsidR="00CA297D">
        <w:t>for</w:t>
      </w:r>
      <w:r w:rsidRPr="00CA297D" w:rsidR="00CA297D">
        <w:t xml:space="preserve"> New Electric Utility Generating Units</w:t>
      </w:r>
      <w:r w:rsidR="00E93732">
        <w:t xml:space="preserve"> </w:t>
      </w:r>
      <w:r w:rsidRPr="00E93732" w:rsidR="00E93732">
        <w:t>(EGU</w:t>
      </w:r>
      <w:r w:rsidR="00E93732">
        <w:t>s</w:t>
      </w:r>
      <w:r w:rsidRPr="00E93732" w:rsidR="00E93732">
        <w:t xml:space="preserve">) </w:t>
      </w:r>
      <w:r w:rsidR="00CA297D">
        <w:t>(</w:t>
      </w:r>
      <w:r w:rsidRPr="001C249A" w:rsidR="005E0A9B">
        <w:t>40 CFR Part 60</w:t>
      </w:r>
      <w:r w:rsidRPr="001C249A" w:rsidR="001C249A">
        <w:t>,</w:t>
      </w:r>
      <w:r w:rsidRPr="001C249A" w:rsidR="005E0A9B">
        <w:t xml:space="preserve"> Subpart </w:t>
      </w:r>
      <w:r w:rsidRPr="001C249A" w:rsidR="001C249A">
        <w:t>TTTT</w:t>
      </w:r>
      <w:r w:rsidR="00CA297D">
        <w:t>)</w:t>
      </w:r>
      <w:r w:rsidRPr="001C249A">
        <w:t xml:space="preserve"> </w:t>
      </w:r>
      <w:r>
        <w:rPr>
          <w:color w:val="000000"/>
        </w:rPr>
        <w:t>were proposed on</w:t>
      </w:r>
      <w:r w:rsidR="001C249A">
        <w:rPr>
          <w:color w:val="000000"/>
        </w:rPr>
        <w:t xml:space="preserve"> </w:t>
      </w:r>
      <w:r w:rsidRPr="00D3420B" w:rsidR="001C249A">
        <w:t>June 2, 2014, and promulgated on October 23, 2015</w:t>
      </w:r>
      <w:r>
        <w:rPr>
          <w:color w:val="000000"/>
        </w:rPr>
        <w:t>.</w:t>
      </w:r>
      <w:r w:rsidR="001C249A">
        <w:rPr>
          <w:color w:val="000000"/>
        </w:rPr>
        <w:t xml:space="preserve"> </w:t>
      </w:r>
      <w:bookmarkStart w:id="0" w:name="_Hlk106896258"/>
      <w:r w:rsidR="001C249A">
        <w:rPr>
          <w:color w:val="000000"/>
        </w:rPr>
        <w:t xml:space="preserve">Amendments to </w:t>
      </w:r>
      <w:r w:rsidR="00FD3D8C">
        <w:rPr>
          <w:color w:val="000000"/>
        </w:rPr>
        <w:t>40 CFR Part 60, Subpart TTTT were proposed on December 6, 2018</w:t>
      </w:r>
      <w:r w:rsidR="00E42A8D">
        <w:rPr>
          <w:color w:val="000000"/>
        </w:rPr>
        <w:t>, but EPA did not finalize amendments to the 2015 final rule.</w:t>
      </w:r>
      <w:r w:rsidR="009C7E97">
        <w:rPr>
          <w:color w:val="000000"/>
        </w:rPr>
        <w:t xml:space="preserve"> </w:t>
      </w:r>
      <w:r w:rsidR="004C789C">
        <w:rPr>
          <w:color w:val="000000"/>
        </w:rPr>
        <w:t>On January 13, 2021, EPA finalized a pollutant-specific significant contribution finding for this source category, which was vacated and remanded on April 5, 2021.</w:t>
      </w:r>
      <w:bookmarkEnd w:id="0"/>
      <w:r w:rsidR="004C789C">
        <w:rPr>
          <w:color w:val="000000"/>
        </w:rPr>
        <w:t xml:space="preserve"> </w:t>
      </w:r>
      <w:r w:rsidRPr="001C249A" w:rsidR="001C249A">
        <w:rPr>
          <w:color w:val="000000"/>
        </w:rPr>
        <w:t xml:space="preserve">These regulations apply to newly constructed, modified or reconstructed facilities with electric utility generating units (EGUs) including any steam generating unit, IGCC, or stationary combustion turbine that </w:t>
      </w:r>
      <w:r w:rsidR="00CA297D">
        <w:rPr>
          <w:color w:val="000000"/>
        </w:rPr>
        <w:t xml:space="preserve">either </w:t>
      </w:r>
      <w:r w:rsidRPr="001C249A" w:rsidR="001C249A">
        <w:rPr>
          <w:color w:val="000000"/>
        </w:rPr>
        <w:t xml:space="preserve">commenced construction after January 8, </w:t>
      </w:r>
      <w:r w:rsidRPr="001C249A" w:rsidR="001C249A">
        <w:rPr>
          <w:color w:val="000000"/>
        </w:rPr>
        <w:t>2014</w:t>
      </w:r>
      <w:r w:rsidRPr="001C249A" w:rsidR="001C249A">
        <w:rPr>
          <w:color w:val="000000"/>
        </w:rPr>
        <w:t xml:space="preserve"> or commenced reconstruction after June 18, 2014. To be considered an EGU</w:t>
      </w:r>
      <w:r w:rsidR="00CA297D">
        <w:rPr>
          <w:color w:val="000000"/>
        </w:rPr>
        <w:t>,</w:t>
      </w:r>
      <w:r w:rsidRPr="001C249A" w:rsidR="001C249A">
        <w:rPr>
          <w:color w:val="000000"/>
        </w:rPr>
        <w:t xml:space="preserve"> the unit must be: (1) capable of combusting more than 250 MMBtu/h heat input of fossil fuel; and (2) serve a generator capable of supplying more than 25 MW net to a utility distribution system (i.e., for sale to the grid). New facilities include those that commenced </w:t>
      </w:r>
      <w:r w:rsidR="00CA297D">
        <w:rPr>
          <w:color w:val="000000"/>
        </w:rPr>
        <w:t xml:space="preserve">either </w:t>
      </w:r>
      <w:r w:rsidRPr="001C249A" w:rsidR="001C249A">
        <w:rPr>
          <w:color w:val="000000"/>
        </w:rPr>
        <w:t xml:space="preserve">construction, </w:t>
      </w:r>
      <w:r w:rsidR="00CA297D">
        <w:rPr>
          <w:color w:val="000000"/>
        </w:rPr>
        <w:t xml:space="preserve">or </w:t>
      </w:r>
      <w:r w:rsidRPr="001C249A" w:rsidR="001C249A">
        <w:rPr>
          <w:color w:val="000000"/>
        </w:rPr>
        <w:t>modification</w:t>
      </w:r>
      <w:r w:rsidR="00CA297D">
        <w:rPr>
          <w:color w:val="000000"/>
        </w:rPr>
        <w:t>,</w:t>
      </w:r>
      <w:r w:rsidRPr="001C249A" w:rsidR="001C249A">
        <w:rPr>
          <w:color w:val="000000"/>
        </w:rPr>
        <w:t xml:space="preserve"> or reconstruction after the date of proposal. This information is being collected to assure compliance with 40 CFR Part 60, Subpart TTTT.</w:t>
      </w:r>
    </w:p>
    <w:p w:rsidR="00CA4CD6" w14:paraId="43FDF7BE" w14:textId="77777777">
      <w:pPr>
        <w:rPr>
          <w:color w:val="000000"/>
        </w:rPr>
      </w:pPr>
    </w:p>
    <w:p w:rsidR="00CA4CD6" w14:paraId="0116004E" w14:textId="6BDEB5A6">
      <w:pPr>
        <w:ind w:firstLine="720"/>
        <w:rPr>
          <w:color w:val="000000"/>
        </w:rPr>
      </w:pPr>
      <w:r>
        <w:rPr>
          <w:color w:val="000000"/>
        </w:rPr>
        <w:t xml:space="preserve">In general, all </w:t>
      </w:r>
      <w:r w:rsidRPr="004C789C">
        <w:t>NSPS</w:t>
      </w:r>
      <w:r w:rsidRPr="004C789C" w:rsidR="004C789C">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4C789C">
        <w:t>NSPS</w:t>
      </w:r>
      <w:r>
        <w:rPr>
          <w:color w:val="000000"/>
        </w:rPr>
        <w:t>.</w:t>
      </w:r>
    </w:p>
    <w:p w:rsidR="00CA4CD6" w14:paraId="4416605D" w14:textId="77777777">
      <w:pPr>
        <w:rPr>
          <w:color w:val="000000"/>
        </w:rPr>
      </w:pPr>
    </w:p>
    <w:p w:rsidR="00CA4CD6" w14:paraId="297BBA30" w14:textId="69F1C1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3E6EA6" w:rsidR="003E6EA6">
        <w:t>three</w:t>
      </w:r>
      <w:r w:rsidRPr="003E6EA6">
        <w:t xml:space="preser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 xml:space="preserve">ubmitted through the EPA's </w:t>
      </w:r>
      <w:r w:rsidRPr="00945831" w:rsidR="00945831">
        <w:rPr>
          <w:shd w:val="clear" w:color="auto" w:fill="FFFFFF"/>
        </w:rPr>
        <w:t>Emissions Collection and Monitoring Plan System (ECMPS) Client Tool.</w:t>
      </w:r>
      <w:r w:rsidR="00EC13D8">
        <w:rPr>
          <w:shd w:val="clear" w:color="auto" w:fill="FFFFFF"/>
        </w:rPr>
        <w:t xml:space="preserve"> T</w:t>
      </w:r>
      <w:r w:rsidRPr="00C2600C" w:rsidR="0095590C">
        <w:rPr>
          <w:shd w:val="clear" w:color="auto" w:fill="FFFFFF"/>
        </w:rPr>
        <w:t xml:space="preserve">he delegated state or local authority can review </w:t>
      </w:r>
      <w:r w:rsidR="00EC13D8">
        <w:rPr>
          <w:shd w:val="clear" w:color="auto" w:fill="FFFFFF"/>
        </w:rPr>
        <w:t>the submitted data</w:t>
      </w:r>
      <w:r w:rsidR="00B301B3">
        <w:rPr>
          <w:shd w:val="clear" w:color="auto" w:fill="FFFFFF"/>
        </w:rPr>
        <w:t xml:space="preserve"> through </w:t>
      </w:r>
      <w:r w:rsidR="00E427E6">
        <w:rPr>
          <w:shd w:val="clear" w:color="auto" w:fill="FFFFFF"/>
        </w:rPr>
        <w:t xml:space="preserve">EPA’s </w:t>
      </w:r>
      <w:r w:rsidRPr="00C66CED" w:rsidR="00E427E6">
        <w:t xml:space="preserve">Clean </w:t>
      </w:r>
      <w:r w:rsidRPr="00C66CED" w:rsidR="00E427E6">
        <w:t xml:space="preserve">Air Markets </w:t>
      </w:r>
      <w:r w:rsidR="00E427E6">
        <w:t>Program</w:t>
      </w:r>
      <w:r w:rsidR="00506055">
        <w:t xml:space="preserve"> Data</w:t>
      </w:r>
      <w:r w:rsidRPr="00C2600C" w:rsidR="0095590C">
        <w:rPr>
          <w:shd w:val="clear" w:color="auto" w:fill="FFFFFF"/>
        </w:rPr>
        <w:t>. I</w:t>
      </w:r>
      <w:r w:rsidR="00CA297D">
        <w:rPr>
          <w:shd w:val="clear" w:color="auto" w:fill="FFFFFF"/>
        </w:rPr>
        <w:t>f</w:t>
      </w:r>
      <w:r w:rsidRPr="00C2600C" w:rsidR="0095590C">
        <w:rPr>
          <w:shd w:val="clear" w:color="auto" w:fill="FFFFFF"/>
        </w:rPr>
        <w:t xml:space="preserve"> there is no such delegated authority, the EPA</w:t>
      </w:r>
      <w:r w:rsidR="00CA297D">
        <w:rPr>
          <w:shd w:val="clear" w:color="auto" w:fill="FFFFFF"/>
        </w:rPr>
        <w:t>’s</w:t>
      </w:r>
      <w:r w:rsidRPr="00C2600C" w:rsidR="0095590C">
        <w:rPr>
          <w:shd w:val="clear" w:color="auto" w:fill="FFFFFF"/>
        </w:rPr>
        <w:t xml:space="preserve"> </w:t>
      </w:r>
      <w:r w:rsidR="00CA297D">
        <w:rPr>
          <w:shd w:val="clear" w:color="auto" w:fill="FFFFFF"/>
        </w:rPr>
        <w:t>r</w:t>
      </w:r>
      <w:r w:rsidRPr="00C2600C" w:rsidR="0095590C">
        <w:rPr>
          <w:shd w:val="clear" w:color="auto" w:fill="FFFFFF"/>
        </w:rPr>
        <w:t>egional office</w:t>
      </w:r>
      <w:r w:rsidR="00CA297D">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CA297D">
        <w:rPr>
          <w:shd w:val="clear" w:color="auto" w:fill="FFFFFF"/>
        </w:rPr>
        <w:t>f</w:t>
      </w:r>
      <w:r w:rsidRPr="00C2600C" w:rsidR="0095590C">
        <w:rPr>
          <w:shd w:val="clear" w:color="auto" w:fill="FFFFFF"/>
        </w:rPr>
        <w:t xml:space="preserve"> there is no such delegated authority, the reports are sent directly to the EPA</w:t>
      </w:r>
      <w:r w:rsidR="00CA297D">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CA297D">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7A9C8B2E">
      <w:pPr>
        <w:pBdr>
          <w:top w:val="single" w:sz="6" w:space="0" w:color="FFFFFF"/>
          <w:left w:val="single" w:sz="6" w:space="0" w:color="FFFFFF"/>
          <w:bottom w:val="single" w:sz="6" w:space="0" w:color="FFFFFF"/>
          <w:right w:val="single" w:sz="6" w:space="0" w:color="FFFFFF"/>
        </w:pBdr>
        <w:ind w:firstLine="720"/>
        <w:rPr>
          <w:color w:val="000000"/>
        </w:rPr>
      </w:pPr>
      <w:r w:rsidRPr="00507A55">
        <w:t xml:space="preserve">The </w:t>
      </w:r>
      <w:r w:rsidR="00CA297D">
        <w:t>‘</w:t>
      </w:r>
      <w:r w:rsidRPr="00507A55">
        <w:t>burden</w:t>
      </w:r>
      <w:r w:rsidR="00CA297D">
        <w:t>’</w:t>
      </w:r>
      <w:r w:rsidRPr="00507A55">
        <w:t xml:space="preserve"> to the “Affected Public” may be found</w:t>
      </w:r>
      <w:r w:rsidR="00CA297D">
        <w:t xml:space="preserve"> below</w:t>
      </w:r>
      <w:r w:rsidRPr="00507A55">
        <w:t xml:space="preserve"> in Table 1: Annual Respondent Burden and Cost – </w:t>
      </w:r>
      <w:r w:rsidRPr="00507A55" w:rsidR="00E17ACF">
        <w:t>NSPS</w:t>
      </w:r>
      <w:r w:rsidRPr="00507A55">
        <w:t xml:space="preserve"> for </w:t>
      </w:r>
      <w:r w:rsidRPr="00507A55" w:rsidR="00E17ACF">
        <w:t xml:space="preserve">GHG Emissions for Newly Constructed, Modified, and Reconstructed EGUs (40 CFR </w:t>
      </w:r>
      <w:r w:rsidR="00EA696C">
        <w:t>P</w:t>
      </w:r>
      <w:r w:rsidRPr="00507A55" w:rsidR="00E17ACF">
        <w:t xml:space="preserve">art 60, </w:t>
      </w:r>
      <w:r w:rsidR="00EA696C">
        <w:t>S</w:t>
      </w:r>
      <w:r w:rsidRPr="00507A55" w:rsidR="00EA696C">
        <w:t xml:space="preserve">ubpart </w:t>
      </w:r>
      <w:r w:rsidRPr="00507A55" w:rsidR="00E17ACF">
        <w:t xml:space="preserve">TTTT) </w:t>
      </w:r>
      <w:r w:rsidRPr="00507A55">
        <w:t>(Renewal).</w:t>
      </w:r>
      <w:r w:rsidRPr="00507A55" w:rsidR="009C7E97">
        <w:t xml:space="preserve"> </w:t>
      </w:r>
      <w:r w:rsidRPr="00507A55" w:rsidR="00E17ACF">
        <w:t>T</w:t>
      </w:r>
      <w:r w:rsidRPr="00507A55">
        <w:t xml:space="preserve">he </w:t>
      </w:r>
      <w:r w:rsidR="00CA297D">
        <w:t>‘</w:t>
      </w:r>
      <w:r w:rsidRPr="00507A55">
        <w:t>burden</w:t>
      </w:r>
      <w:r w:rsidR="00CA297D">
        <w:t>’</w:t>
      </w:r>
      <w:r w:rsidRPr="00507A55">
        <w:t xml:space="preserve"> to the “Federal Government” is attributed entirely to work performed by </w:t>
      </w:r>
      <w:r w:rsidR="00CA297D">
        <w:t>either F</w:t>
      </w:r>
      <w:r w:rsidRPr="00507A55">
        <w:t xml:space="preserve">ederal employees or government contractors </w:t>
      </w:r>
      <w:r w:rsidRPr="00507A55" w:rsidR="00E17ACF">
        <w:t xml:space="preserve">and may be found </w:t>
      </w:r>
      <w:r w:rsidR="00CA297D">
        <w:t xml:space="preserve">below </w:t>
      </w:r>
      <w:r w:rsidRPr="00507A55" w:rsidR="00E17ACF">
        <w:t>in</w:t>
      </w:r>
      <w:r w:rsidRPr="00507A55">
        <w:t xml:space="preserve"> Table 2: Average Annual EPA Burden and Cost – </w:t>
      </w:r>
      <w:r w:rsidRPr="00507A55" w:rsidR="00E17ACF">
        <w:t xml:space="preserve">NSPS for GHG Emissions for Newly Constructed, Modified, and Reconstructed EGUs (40 CFR part 60, subpart TTTT) </w:t>
      </w:r>
      <w:r w:rsidRPr="00507A55">
        <w:t xml:space="preserve">(Renewal). There are approximately </w:t>
      </w:r>
      <w:r w:rsidR="00507A55">
        <w:t>60 existing</w:t>
      </w:r>
      <w:r w:rsidRPr="00507A55" w:rsidR="00E17ACF">
        <w:t xml:space="preserve"> </w:t>
      </w:r>
      <w:r w:rsidRPr="00507A55">
        <w:t>facilities</w:t>
      </w:r>
      <w:r w:rsidRPr="00507A55" w:rsidR="00E17ACF">
        <w:t xml:space="preserve"> operating </w:t>
      </w:r>
      <w:r w:rsidRPr="00507A55" w:rsidR="00507A55">
        <w:t xml:space="preserve">affected </w:t>
      </w:r>
      <w:r w:rsidR="00944288">
        <w:t xml:space="preserve">natural gas-fired combined cycle and </w:t>
      </w:r>
      <w:r w:rsidRPr="00507A55" w:rsidR="00944288">
        <w:t xml:space="preserve">simple cycle </w:t>
      </w:r>
      <w:r w:rsidR="00944288">
        <w:t>combustion turbine</w:t>
      </w:r>
      <w:r w:rsidRPr="00507A55" w:rsidR="00944288">
        <w:t xml:space="preserve"> </w:t>
      </w:r>
      <w:r w:rsidRPr="00507A55" w:rsidR="00507A55">
        <w:t>units</w:t>
      </w:r>
      <w:r w:rsidRPr="00507A55">
        <w:t xml:space="preserve">, which are owned and operated by the </w:t>
      </w:r>
      <w:r w:rsidRPr="00507A55" w:rsidR="00507A55">
        <w:t>electric utility</w:t>
      </w:r>
      <w:r w:rsidRPr="00507A55">
        <w:t xml:space="preserve"> industry.</w:t>
      </w:r>
      <w:r w:rsidRPr="00507A55" w:rsidR="009C7E97">
        <w:t xml:space="preserve"> </w:t>
      </w:r>
      <w:r w:rsidRPr="00507A55">
        <w:t xml:space="preserve">None of the </w:t>
      </w:r>
      <w:r w:rsidR="00944288">
        <w:t>60</w:t>
      </w:r>
      <w:r w:rsidRPr="00507A55">
        <w:t xml:space="preserve"> facilities in the United States are owned by </w:t>
      </w:r>
      <w:r w:rsidR="0046339F">
        <w:t xml:space="preserve">either </w:t>
      </w:r>
      <w:r w:rsidRPr="00507A55">
        <w:t xml:space="preserve">state, local, </w:t>
      </w:r>
      <w:r w:rsidR="0046339F">
        <w:t xml:space="preserve">or </w:t>
      </w:r>
      <w:r w:rsidRPr="00507A55">
        <w:t>tribal</w:t>
      </w:r>
      <w:r w:rsidR="0046339F">
        <w:t xml:space="preserve"> entities</w:t>
      </w:r>
      <w:r w:rsidRPr="00507A55">
        <w:t xml:space="preserve"> or </w:t>
      </w:r>
      <w:r w:rsidR="0046339F">
        <w:t xml:space="preserve">by </w:t>
      </w:r>
      <w:r w:rsidRPr="00507A55">
        <w:t>the Federal government</w:t>
      </w:r>
      <w:r>
        <w:rPr>
          <w:color w:val="000000"/>
        </w:rPr>
        <w: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46339F">
        <w:rPr>
          <w:color w:val="000000"/>
        </w:rPr>
        <w:t xml:space="preserve"> to EPA </w:t>
      </w:r>
      <w:r w:rsidR="0046339F">
        <w:rPr>
          <w:color w:val="000000"/>
        </w:rPr>
        <w:t>inquries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65001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w:t>
      </w:r>
      <w:r w:rsidRPr="00507A55">
        <w:t xml:space="preserve">average of </w:t>
      </w:r>
      <w:r w:rsidRPr="00507A55" w:rsidR="00507A55">
        <w:t xml:space="preserve">1.1 </w:t>
      </w:r>
      <w:r>
        <w:rPr>
          <w:color w:val="000000"/>
        </w:rPr>
        <w:t>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rsidRPr="006B32BB" w14:paraId="74FF05E4" w14:textId="6A680689">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w:t>
      </w:r>
      <w:r w:rsidRPr="00D36E14">
        <w:t xml:space="preserve">years, </w:t>
      </w:r>
      <w:r w:rsidRPr="00D36E14" w:rsidR="00D91C34">
        <w:t xml:space="preserve">approximately </w:t>
      </w:r>
      <w:r w:rsidRPr="00D36E14" w:rsidR="00944288">
        <w:t>60</w:t>
      </w:r>
      <w:r w:rsidRPr="00D36E14">
        <w:t xml:space="preserve"> respondents </w:t>
      </w:r>
      <w:r w:rsidRPr="00D36E14">
        <w:t>per year will be subject to the</w:t>
      </w:r>
      <w:r w:rsidR="0046339F">
        <w:t>se</w:t>
      </w:r>
      <w:r w:rsidRPr="00D36E14">
        <w:t xml:space="preserve"> standard</w:t>
      </w:r>
      <w:r w:rsidR="0046339F">
        <w:t>s</w:t>
      </w:r>
      <w:r w:rsidRPr="00D36E14">
        <w:t xml:space="preserve">, and </w:t>
      </w:r>
      <w:r w:rsidRPr="00D36E14" w:rsidR="00944288">
        <w:t>16</w:t>
      </w:r>
      <w:r w:rsidRPr="00D36E14">
        <w:t xml:space="preserve"> </w:t>
      </w:r>
      <w:r w:rsidRPr="00D36E14">
        <w:t xml:space="preserve">additional </w:t>
      </w:r>
      <w:r w:rsidRPr="00D36E14">
        <w:t xml:space="preserve">respondents </w:t>
      </w:r>
      <w:r w:rsidRPr="00D36E14">
        <w:t xml:space="preserve">per year </w:t>
      </w:r>
      <w:r w:rsidRPr="00D36E14">
        <w:t>will become subject to the</w:t>
      </w:r>
      <w:r w:rsidR="0046339F">
        <w:t>se same</w:t>
      </w:r>
      <w:r w:rsidRPr="00D36E14">
        <w:t xml:space="preserve"> </w:t>
      </w:r>
      <w:r w:rsidRPr="00D36E14">
        <w:t>standard</w:t>
      </w:r>
      <w:r w:rsidR="0046339F">
        <w:t>s</w:t>
      </w:r>
      <w:r w:rsidRPr="00D36E14">
        <w:t>.</w:t>
      </w:r>
      <w:r w:rsidRPr="00D36E14" w:rsidR="009C7E97">
        <w:t xml:space="preserve"> </w:t>
      </w:r>
      <w:r w:rsidRPr="00D36E14" w:rsidR="00944288">
        <w:t xml:space="preserve">This results in an </w:t>
      </w:r>
      <w:r w:rsidRPr="006B32BB" w:rsidR="00944288">
        <w:t xml:space="preserve">overall average of 92 respondents per year. </w:t>
      </w:r>
    </w:p>
    <w:p w:rsidR="00CA4CD6" w:rsidRPr="006B32BB" w14:paraId="7691F7E8" w14:textId="77777777">
      <w:pPr>
        <w:pBdr>
          <w:top w:val="single" w:sz="6" w:space="0" w:color="FFFFFF"/>
          <w:left w:val="single" w:sz="6" w:space="0" w:color="FFFFFF"/>
          <w:bottom w:val="single" w:sz="6" w:space="0" w:color="FFFFFF"/>
          <w:right w:val="single" w:sz="6" w:space="0" w:color="FFFFFF"/>
        </w:pBdr>
      </w:pPr>
    </w:p>
    <w:p w:rsidR="00CA4CD6" w:rsidRPr="006B32BB" w14:paraId="58E077B1" w14:textId="62944EEE">
      <w:pPr>
        <w:pBdr>
          <w:top w:val="single" w:sz="6" w:space="0" w:color="FFFFFF"/>
          <w:left w:val="single" w:sz="6" w:space="0" w:color="FFFFFF"/>
          <w:bottom w:val="single" w:sz="6" w:space="0" w:color="FFFFFF"/>
          <w:right w:val="single" w:sz="6" w:space="0" w:color="FFFFFF"/>
        </w:pBdr>
        <w:ind w:firstLine="720"/>
      </w:pPr>
      <w:r w:rsidRPr="006B32BB">
        <w:t>The Office of Management and Budget (</w:t>
      </w:r>
      <w:r w:rsidRPr="006B32BB">
        <w:t>OMB</w:t>
      </w:r>
      <w:r w:rsidRPr="006B32BB">
        <w:t>)</w:t>
      </w:r>
      <w:r w:rsidRPr="006B32BB">
        <w:t xml:space="preserve"> approved the </w:t>
      </w:r>
      <w:r w:rsidRPr="006B32BB">
        <w:t>currently</w:t>
      </w:r>
      <w:r w:rsidR="0046339F">
        <w:t>-</w:t>
      </w:r>
      <w:r w:rsidRPr="006B32BB">
        <w:t>active</w:t>
      </w:r>
      <w:r w:rsidRPr="006B32BB">
        <w:t xml:space="preserve"> ICR without any </w:t>
      </w:r>
      <w:r w:rsidRPr="006B32BB">
        <w:t>“</w:t>
      </w:r>
      <w:r w:rsidRPr="006B32BB">
        <w:t>Terms of Clearance</w:t>
      </w:r>
      <w:r w:rsidRPr="006B32BB" w:rsidR="004318A0">
        <w:t>.</w:t>
      </w:r>
      <w:r w:rsidRPr="006B32BB">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6B32BB" w14:paraId="7A39E35B" w14:textId="5EEDE843">
      <w:pPr>
        <w:pBdr>
          <w:top w:val="single" w:sz="6" w:space="0" w:color="FFFFFF"/>
          <w:left w:val="single" w:sz="6" w:space="0" w:color="FFFFFF"/>
          <w:bottom w:val="single" w:sz="6" w:space="0" w:color="FFFFFF"/>
          <w:right w:val="single" w:sz="6" w:space="0" w:color="FFFFFF"/>
        </w:pBdr>
        <w:ind w:firstLine="720"/>
      </w:pPr>
      <w:r w:rsidRPr="006B32BB">
        <w:t xml:space="preserve">The EPA is charged under Section 111 of the Clean Air Act (CAA), as amended, to establish standards of performance for new stationary sources that reflect: </w:t>
      </w:r>
    </w:p>
    <w:p w:rsidR="00CA4CD6" w:rsidRPr="006B32BB" w14:paraId="19D40895" w14:textId="77777777">
      <w:pPr>
        <w:pBdr>
          <w:top w:val="single" w:sz="6" w:space="0" w:color="FFFFFF"/>
          <w:left w:val="single" w:sz="6" w:space="0" w:color="FFFFFF"/>
          <w:bottom w:val="single" w:sz="6" w:space="0" w:color="FFFFFF"/>
          <w:right w:val="single" w:sz="6" w:space="0" w:color="FFFFFF"/>
        </w:pBdr>
      </w:pPr>
    </w:p>
    <w:p w:rsidR="00CA4CD6" w:rsidRPr="006B32BB" w14:paraId="765A0388" w14:textId="36FE537D">
      <w:pPr>
        <w:pBdr>
          <w:top w:val="single" w:sz="6" w:space="0" w:color="FFFFFF"/>
          <w:left w:val="single" w:sz="6" w:space="0" w:color="FFFFFF"/>
          <w:bottom w:val="single" w:sz="6" w:space="0" w:color="FFFFFF"/>
          <w:right w:val="single" w:sz="6" w:space="0" w:color="FFFFFF"/>
        </w:pBdr>
        <w:ind w:left="1440" w:right="1440"/>
      </w:pPr>
      <w:r w:rsidRPr="006B32BB">
        <w:rPr>
          <w:b/>
          <w:bCs/>
        </w:rPr>
        <w:t>. . .</w:t>
      </w:r>
      <w:r w:rsidRPr="006B32B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B32BB" w:rsidR="009C7E97">
        <w:t xml:space="preserve"> </w:t>
      </w:r>
      <w:r w:rsidRPr="006B32BB">
        <w:t>Section 111(a)(l).</w:t>
      </w:r>
    </w:p>
    <w:p w:rsidR="00CA4CD6" w:rsidRPr="006B32BB" w14:paraId="76467C94" w14:textId="77777777">
      <w:pPr>
        <w:pBdr>
          <w:top w:val="single" w:sz="6" w:space="0" w:color="FFFFFF"/>
          <w:left w:val="single" w:sz="6" w:space="0" w:color="FFFFFF"/>
          <w:bottom w:val="single" w:sz="6" w:space="0" w:color="FFFFFF"/>
          <w:right w:val="single" w:sz="6" w:space="0" w:color="FFFFFF"/>
        </w:pBdr>
      </w:pPr>
    </w:p>
    <w:p w:rsidR="00CA4CD6" w:rsidRPr="006B32BB" w:rsidP="003C677A" w14:paraId="0926237E" w14:textId="69FCABAB">
      <w:pPr>
        <w:pBdr>
          <w:top w:val="single" w:sz="6" w:space="0" w:color="FFFFFF"/>
          <w:left w:val="single" w:sz="6" w:space="0" w:color="FFFFFF"/>
          <w:bottom w:val="single" w:sz="6" w:space="0" w:color="FFFFFF"/>
          <w:right w:val="single" w:sz="6" w:space="0" w:color="FFFFFF"/>
        </w:pBdr>
        <w:ind w:firstLine="720"/>
      </w:pPr>
      <w:r w:rsidRPr="006B32BB">
        <w:t>The Agency refers to this charge as selecting the best demonstrated technology (BDT).</w:t>
      </w:r>
      <w:r w:rsidRPr="006B32BB" w:rsidR="009C7E97">
        <w:t xml:space="preserve"> </w:t>
      </w:r>
      <w:r w:rsidRPr="006B32BB">
        <w:t xml:space="preserve">Section 111 also requires that the Administrator review and, if appropriate, revise such standards every </w:t>
      </w:r>
      <w:r w:rsidRPr="006B32BB" w:rsidR="00E90E82">
        <w:t>eight</w:t>
      </w:r>
      <w:r w:rsidRPr="006B32BB">
        <w:t xml:space="preserve"> years.</w:t>
      </w:r>
    </w:p>
    <w:p w:rsidR="00CA4CD6" w:rsidRPr="006B32BB" w14:paraId="172C57A4" w14:textId="77777777">
      <w:pPr>
        <w:pBdr>
          <w:top w:val="single" w:sz="6" w:space="0" w:color="FFFFFF"/>
          <w:left w:val="single" w:sz="6" w:space="0" w:color="FFFFFF"/>
          <w:bottom w:val="single" w:sz="6" w:space="0" w:color="FFFFFF"/>
          <w:right w:val="single" w:sz="6" w:space="0" w:color="FFFFFF"/>
        </w:pBdr>
      </w:pPr>
    </w:p>
    <w:p w:rsidR="00CA4CD6" w:rsidRPr="006B32BB" w14:paraId="1B2AF144" w14:textId="147F160A">
      <w:pPr>
        <w:pBdr>
          <w:top w:val="single" w:sz="6" w:space="0" w:color="FFFFFF"/>
          <w:left w:val="single" w:sz="6" w:space="0" w:color="FFFFFF"/>
          <w:bottom w:val="single" w:sz="6" w:space="0" w:color="FFFFFF"/>
          <w:right w:val="single" w:sz="6" w:space="0" w:color="FFFFFF"/>
        </w:pBdr>
        <w:ind w:firstLine="720"/>
      </w:pPr>
      <w:r w:rsidRPr="006B32BB">
        <w:t xml:space="preserve">In addition, section 114(a) states that the Administrator may require any owner/operator subject to any requirement of this Act to: </w:t>
      </w:r>
    </w:p>
    <w:p w:rsidR="00CA4CD6" w:rsidRPr="006B32BB" w14:paraId="59768A81" w14:textId="77777777">
      <w:pPr>
        <w:pBdr>
          <w:top w:val="single" w:sz="6" w:space="0" w:color="FFFFFF"/>
          <w:left w:val="single" w:sz="6" w:space="0" w:color="FFFFFF"/>
          <w:bottom w:val="single" w:sz="6" w:space="0" w:color="FFFFFF"/>
          <w:right w:val="single" w:sz="6" w:space="0" w:color="FFFFFF"/>
        </w:pBdr>
      </w:pPr>
    </w:p>
    <w:p w:rsidR="00CA4CD6" w:rsidRPr="006B32BB" w14:paraId="33AC57AC" w14:textId="44728A30">
      <w:pPr>
        <w:pBdr>
          <w:top w:val="single" w:sz="6" w:space="0" w:color="FFFFFF"/>
          <w:left w:val="single" w:sz="6" w:space="0" w:color="FFFFFF"/>
          <w:bottom w:val="single" w:sz="6" w:space="0" w:color="FFFFFF"/>
          <w:right w:val="single" w:sz="6" w:space="0" w:color="FFFFFF"/>
        </w:pBdr>
        <w:ind w:left="1440" w:right="1440"/>
      </w:pPr>
      <w:r w:rsidRPr="006B32B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757FB16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D3420B" w:rsidR="006B32BB">
        <w:t>CO</w:t>
      </w:r>
      <w:r w:rsidRPr="00D3420B" w:rsidR="006B32BB">
        <w:rPr>
          <w:vertAlign w:val="subscript"/>
        </w:rPr>
        <w:t>2</w:t>
      </w:r>
      <w:r w:rsidRPr="00D3420B" w:rsidR="006B32BB">
        <w:t xml:space="preserve"> emissions from EGUs </w:t>
      </w:r>
      <w:r w:rsidR="0046339F">
        <w:t xml:space="preserve">either </w:t>
      </w:r>
      <w:r>
        <w:rPr>
          <w:color w:val="000000"/>
        </w:rPr>
        <w:t xml:space="preserve">cause or contribute to air pollution that may reasonably be anticipated to endanger public health </w:t>
      </w:r>
      <w:r w:rsidR="0046339F">
        <w:rPr>
          <w:color w:val="000000"/>
        </w:rPr>
        <w:t>and/</w:t>
      </w:r>
      <w:r>
        <w:rPr>
          <w:color w:val="000000"/>
        </w:rPr>
        <w:t>or welfare.</w:t>
      </w:r>
      <w:r w:rsidR="009C7E97">
        <w:rPr>
          <w:color w:val="000000"/>
        </w:rPr>
        <w:t xml:space="preserve"> </w:t>
      </w:r>
      <w:r>
        <w:rPr>
          <w:color w:val="000000"/>
        </w:rPr>
        <w:t xml:space="preserve">Therefore, the </w:t>
      </w:r>
      <w:r w:rsidRPr="006B32BB">
        <w:t>NSPS</w:t>
      </w:r>
      <w:r w:rsidRPr="006B32BB" w:rsidR="006B32BB">
        <w:t xml:space="preserve">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6B32BB">
        <w:rPr>
          <w:color w:val="000000"/>
        </w:rPr>
        <w:t>TTTT</w:t>
      </w:r>
      <w:r>
        <w:rPr>
          <w:color w:val="000000"/>
        </w:rPr>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FFF0B0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6339F">
        <w:rPr>
          <w:color w:val="000000"/>
        </w:rPr>
        <w:t>se</w:t>
      </w:r>
      <w:r>
        <w:rPr>
          <w:color w:val="000000"/>
        </w:rPr>
        <w:t xml:space="preserve"> standard</w:t>
      </w:r>
      <w:r w:rsidR="006B32B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P="00774364" w14:paraId="5AE16A17" w14:textId="7DD93413">
      <w:pPr>
        <w:pBdr>
          <w:top w:val="single" w:sz="6" w:space="0" w:color="FFFFFF"/>
          <w:left w:val="single" w:sz="6" w:space="0" w:color="FFFFFF"/>
          <w:bottom w:val="single" w:sz="6" w:space="0" w:color="FFFFFF"/>
          <w:right w:val="single" w:sz="6" w:space="0" w:color="FFFFFF"/>
        </w:pBdr>
        <w:ind w:firstLine="720"/>
      </w:pPr>
      <w:r w:rsidRPr="00D3420B">
        <w:t>The rule requires continuous emission monitors to measure CO</w:t>
      </w:r>
      <w:r w:rsidRPr="00D3420B">
        <w:rPr>
          <w:vertAlign w:val="subscript"/>
        </w:rPr>
        <w:t>2</w:t>
      </w:r>
      <w:r w:rsidRPr="00D3420B">
        <w:t xml:space="preserve"> concentration, stack gas flow rate, and stack gas moisture content in accordance with 40 CFR </w:t>
      </w:r>
      <w:r>
        <w:t>P</w:t>
      </w:r>
      <w:r w:rsidRPr="00D3420B">
        <w:t>art 75 in order to determine hourly CO</w:t>
      </w:r>
      <w:r w:rsidRPr="00D3420B">
        <w:rPr>
          <w:vertAlign w:val="subscript"/>
        </w:rPr>
        <w:t>2</w:t>
      </w:r>
      <w:r w:rsidRPr="00D3420B">
        <w:t xml:space="preserve"> mass emissions rates. The rule allows owners or operators of EGUs that burn exclusively gaseous or liquid fuels to install fuel flow meters and monitor fuel flow rate, the gross calorific value (GCV) of the fuel, unit operating time, and gross output in place of a continuous emissions monitor. The initial performance compliance demonstration consists of calculating the CO</w:t>
      </w:r>
      <w:r w:rsidRPr="00D3420B">
        <w:rPr>
          <w:vertAlign w:val="subscript"/>
        </w:rPr>
        <w:t>2</w:t>
      </w:r>
      <w:r w:rsidRPr="00D3420B">
        <w:t xml:space="preserve"> mass emissions rate using the first 12 operating months of data (hourly CO</w:t>
      </w:r>
      <w:r w:rsidRPr="00D3420B">
        <w:rPr>
          <w:vertAlign w:val="subscript"/>
        </w:rPr>
        <w:t>2</w:t>
      </w:r>
      <w:r w:rsidRPr="00D3420B">
        <w:t xml:space="preserve"> average concentration, mass flow rate, and electrical power generation) on a rolling average basis. </w:t>
      </w:r>
    </w:p>
    <w:p w:rsidR="00774364" w14:paraId="10AFA8F4"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63418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46339F">
        <w:rPr>
          <w:color w:val="000000"/>
        </w:rPr>
        <w:t>se</w:t>
      </w:r>
      <w:r>
        <w:rPr>
          <w:color w:val="000000"/>
        </w:rPr>
        <w:t xml:space="preserve"> </w:t>
      </w:r>
      <w:r w:rsidRPr="0018597C">
        <w:t>standard</w:t>
      </w:r>
      <w:r w:rsidRPr="0018597C" w:rsidR="0062215C">
        <w:t>s</w:t>
      </w:r>
      <w:r w:rsidRPr="0018597C">
        <w:t xml:space="preserve"> are used to inform the Agency or delegated </w:t>
      </w:r>
      <w:r w:rsidRPr="0018597C">
        <w:t>authority when a source becomes subject to the requirements of the</w:t>
      </w:r>
      <w:r w:rsidR="0046339F">
        <w:t>se</w:t>
      </w:r>
      <w:r w:rsidRPr="0018597C">
        <w:t xml:space="preserve"> regulations.</w:t>
      </w:r>
      <w:r w:rsidRPr="0018597C" w:rsidR="009C7E97">
        <w:t xml:space="preserve"> </w:t>
      </w:r>
      <w:r w:rsidRPr="0018597C">
        <w:t>The reviewing authority may then inspect the source to check if the pollution control</w:t>
      </w:r>
      <w:r w:rsidRPr="0018597C" w:rsidR="0018597C">
        <w:t>/monitoring</w:t>
      </w:r>
      <w:r w:rsidRPr="0018597C">
        <w:t xml:space="preserve"> devices are properly installed and operated</w:t>
      </w:r>
      <w:r w:rsidR="0046339F">
        <w:t>,</w:t>
      </w:r>
      <w:r w:rsidRPr="0018597C">
        <w:t xml:space="preserve"> and </w:t>
      </w:r>
      <w:r w:rsidR="0046339F">
        <w:t xml:space="preserve">that </w:t>
      </w:r>
      <w:r w:rsidRPr="0018597C">
        <w:t>the standard</w:t>
      </w:r>
      <w:r w:rsidRPr="0018597C" w:rsidR="0062215C">
        <w:t>s</w:t>
      </w:r>
      <w:r w:rsidRPr="0018597C">
        <w:t xml:space="preserve"> are being met.</w:t>
      </w:r>
      <w:r w:rsidRPr="0018597C" w:rsidR="009C7E97">
        <w:t xml:space="preserve"> </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638C58D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18597C">
        <w:t>quarterly</w:t>
      </w:r>
      <w:r w:rsidRPr="0018597C" w:rsidR="0018597C">
        <w:t xml:space="preserve"> </w:t>
      </w:r>
      <w:r>
        <w:rPr>
          <w:color w:val="000000"/>
        </w:rPr>
        <w:t>reports are used to determine periods of excess emissions, identify problems at the facility, verify operation/maintenance procedures</w:t>
      </w:r>
      <w:r w:rsidR="0046339F">
        <w:rPr>
          <w:color w:val="000000"/>
        </w:rPr>
        <w:t>,</w:t>
      </w:r>
      <w:r>
        <w:rPr>
          <w:color w:val="000000"/>
        </w:rPr>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P="00C66CED" w14:paraId="44885690" w14:textId="37514041">
      <w:pPr>
        <w:ind w:firstLine="720"/>
      </w:pPr>
      <w:r w:rsidRPr="00C66CED">
        <w:t>Additionally, the EPA is requiring electronic reporting for certain notifications or reports.</w:t>
      </w:r>
      <w:r>
        <w:t xml:space="preserve"> </w:t>
      </w:r>
      <w:r>
        <w:t xml:space="preserve">The EPA is </w:t>
      </w:r>
      <w:r w:rsidRPr="00C66CED">
        <w:t>requiring</w:t>
      </w:r>
      <w:r>
        <w:t xml:space="preserve"> that owners or operators of affected sources would submit electronic copies </w:t>
      </w:r>
      <w:r w:rsidRPr="00C66CED">
        <w:t xml:space="preserve">of </w:t>
      </w:r>
      <w:r w:rsidRPr="00C66CED" w:rsidR="00C66CED">
        <w:t>quarterly reports</w:t>
      </w:r>
      <w:r w:rsidR="0046339F">
        <w:t>,</w:t>
      </w:r>
      <w:r w:rsidRPr="00C66CED">
        <w:t xml:space="preserve"> required in 40 CFR </w:t>
      </w:r>
      <w:r w:rsidRPr="00C66CED" w:rsidR="00C66CED">
        <w:t>60.5555</w:t>
      </w:r>
      <w:r w:rsidR="0046339F">
        <w:t>,</w:t>
      </w:r>
      <w:r w:rsidRPr="00C66CED">
        <w:t xml:space="preserve"> </w:t>
      </w:r>
      <w:r w:rsidRPr="00C66CED" w:rsidR="00C66CED">
        <w:t>using the Emissions Collection and Monitoring Plan System (ECMPS) Client Tool provided by the Clean Air Markets Division in the Office of Atmospheric Programs of EPA.</w:t>
      </w:r>
    </w:p>
    <w:p w:rsidR="00774364" w:rsidP="00C66CED" w14:paraId="327EDE74" w14:textId="5F44DBF7">
      <w:pPr>
        <w:ind w:firstLine="720"/>
      </w:pPr>
    </w:p>
    <w:p w:rsidR="00774364" w:rsidP="00EB65EA" w14:paraId="43E22D2A" w14:textId="1DD3A650">
      <w:pPr>
        <w:ind w:firstLine="720"/>
      </w:pPr>
      <w:r w:rsidRPr="001D220E">
        <w:t xml:space="preserve">The ECMPS is a desktop software tool that sources must use to submit </w:t>
      </w:r>
      <w:r w:rsidR="00217C00">
        <w:t xml:space="preserve">quarterly </w:t>
      </w:r>
      <w:r w:rsidRPr="001D220E">
        <w:t xml:space="preserve">emissions </w:t>
      </w:r>
      <w:r w:rsidR="00217C00">
        <w:t>summary reports</w:t>
      </w:r>
      <w:r w:rsidRPr="001D220E">
        <w:t xml:space="preserve"> to EPA to comply with </w:t>
      </w:r>
      <w:r w:rsidR="00217C00">
        <w:t>40 CFR Part 60, Subpart TTTT</w:t>
      </w:r>
      <w:r w:rsidRPr="001D220E">
        <w:t>.</w:t>
      </w:r>
      <w:r w:rsidR="00EB65EA">
        <w:t xml:space="preserve"> Using the ECMPS, the emissions summary reports are submitted to the EPA in extensible-markup language (XML) format.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31ABD1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6339F">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213F73" w14:paraId="07713F45" w14:textId="0A5163B5">
      <w:pPr>
        <w:pBdr>
          <w:top w:val="single" w:sz="6" w:space="0" w:color="FFFFFF"/>
          <w:left w:val="single" w:sz="6" w:space="0" w:color="FFFFFF"/>
          <w:bottom w:val="single" w:sz="6" w:space="0" w:color="FFFFFF"/>
          <w:right w:val="single" w:sz="6" w:space="0" w:color="FFFFFF"/>
        </w:pBdr>
        <w:ind w:firstLine="720"/>
        <w:rPr>
          <w:b/>
          <w:bCs/>
        </w:rPr>
      </w:pPr>
      <w:r w:rsidRPr="00213F73">
        <w:t>The requested recordkeeping an</w:t>
      </w:r>
      <w:r w:rsidRPr="00213F73" w:rsidR="003F1AFC">
        <w:t xml:space="preserve">d reporting are required under </w:t>
      </w:r>
      <w:r w:rsidRPr="00213F73">
        <w:t xml:space="preserve">40 CFR </w:t>
      </w:r>
      <w:r w:rsidRPr="00213F73" w:rsidR="006810C3">
        <w:t xml:space="preserve">Part </w:t>
      </w:r>
      <w:r w:rsidRPr="00213F73">
        <w:t xml:space="preserve">60, </w:t>
      </w:r>
      <w:r w:rsidRPr="00213F73" w:rsidR="006810C3">
        <w:t>Subpart</w:t>
      </w:r>
      <w:r w:rsidRPr="00213F73" w:rsidR="003F1AFC">
        <w:t xml:space="preserve"> </w:t>
      </w:r>
      <w:r w:rsidRPr="00213F73" w:rsidR="00213F73">
        <w:t>TTTT</w:t>
      </w:r>
      <w:r w:rsidRPr="00213F73">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3D47C5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6339F">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EA4FDF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the information is sent through the EPA's </w:t>
      </w:r>
      <w:r w:rsidR="00FF6CA5">
        <w:rPr>
          <w:shd w:val="clear" w:color="auto" w:fill="FFFFFF"/>
        </w:rPr>
        <w:t>ECMPS</w:t>
      </w:r>
      <w:r w:rsidRPr="00C2600C">
        <w:rPr>
          <w:shd w:val="clear" w:color="auto" w:fill="FFFFFF"/>
        </w:rPr>
        <w:t>, where the appropriate EPA regional office can review it, as well as</w:t>
      </w:r>
      <w:r w:rsidR="0046339F">
        <w:rPr>
          <w:shd w:val="clear" w:color="auto" w:fill="FFFFFF"/>
        </w:rPr>
        <w:t xml:space="preserve"> 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5BDC9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213F73">
        <w:rPr>
          <w:i/>
        </w:rPr>
        <w:t>Register</w:t>
      </w:r>
      <w:r w:rsidRPr="00213F73">
        <w:t xml:space="preserve"> (</w:t>
      </w:r>
      <w:r w:rsidRPr="00213F73" w:rsidR="00213F73">
        <w:t>87 FR 20847</w:t>
      </w:r>
      <w:r w:rsidRPr="00213F73">
        <w:t xml:space="preserve">) on </w:t>
      </w:r>
      <w:r w:rsidRPr="00F07E99" w:rsidR="00213F73">
        <w:t>April</w:t>
      </w:r>
      <w:r w:rsidRPr="00213F73" w:rsidR="00213F73">
        <w:t xml:space="preserve"> 8, 2022</w:t>
      </w:r>
      <w:r w:rsidRPr="00213F73">
        <w:t>.</w:t>
      </w:r>
      <w:r w:rsidRPr="00213F73" w:rsidR="009C7E97">
        <w:t xml:space="preserve"> </w:t>
      </w:r>
      <w:r w:rsidRPr="00213F73">
        <w:t xml:space="preserve">No comments were received on the </w:t>
      </w:r>
      <w:r w:rsidRPr="00213F73">
        <w:t xml:space="preserve">burden published in the </w:t>
      </w:r>
      <w:r w:rsidRPr="00213F73">
        <w:rPr>
          <w:i/>
        </w:rPr>
        <w:t>Federal Register</w:t>
      </w:r>
      <w:r w:rsidRPr="00213F73" w:rsidR="00DC56DE">
        <w:rPr>
          <w:i/>
        </w:rPr>
        <w:t xml:space="preserve"> </w:t>
      </w:r>
      <w:r w:rsidRPr="00213F73" w:rsidR="00DC56DE">
        <w:t>for this renewal</w:t>
      </w:r>
      <w:r w:rsidRPr="00213F73">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7B0F96" w:rsidP="00CC5B39" w14:paraId="7E521393" w14:textId="3A5C157D">
      <w:pPr>
        <w:ind w:firstLine="720"/>
        <w:rPr>
          <w:strike/>
          <w:sz w:val="22"/>
          <w:szCs w:val="22"/>
        </w:rPr>
      </w:pPr>
      <w:r w:rsidRPr="007B0F96">
        <w:t>The Agency has consulted i</w:t>
      </w:r>
      <w:r w:rsidRPr="007B0F96" w:rsidR="00E25DB6">
        <w:rPr>
          <w:bCs/>
        </w:rPr>
        <w:t xml:space="preserve">ndustry experts and internal data sources </w:t>
      </w:r>
      <w:r w:rsidRPr="007B0F96">
        <w:rPr>
          <w:bCs/>
        </w:rPr>
        <w:t xml:space="preserve">to </w:t>
      </w:r>
      <w:r w:rsidRPr="007B0F96" w:rsidR="00E25DB6">
        <w:rPr>
          <w:bCs/>
        </w:rPr>
        <w:t>project</w:t>
      </w:r>
      <w:r w:rsidRPr="007B0F96">
        <w:rPr>
          <w:bCs/>
        </w:rPr>
        <w:t xml:space="preserve"> the number of affected facilities and </w:t>
      </w:r>
      <w:r w:rsidRPr="007B0F96" w:rsidR="00E25DB6">
        <w:rPr>
          <w:bCs/>
        </w:rPr>
        <w:t>industry growth over the next three years.</w:t>
      </w:r>
      <w:r w:rsidRPr="007B0F96" w:rsidR="009C7E97">
        <w:rPr>
          <w:b/>
          <w:bCs/>
        </w:rPr>
        <w:t xml:space="preserve"> </w:t>
      </w:r>
      <w:r w:rsidRPr="007B0F96">
        <w:t>The primary source of information as reported by industry, in compliance with the recordkeeping and reporting provisions in the</w:t>
      </w:r>
      <w:r w:rsidR="0046339F">
        <w:t>se</w:t>
      </w:r>
      <w:r w:rsidRPr="007B0F96">
        <w:t xml:space="preserve"> standard</w:t>
      </w:r>
      <w:r w:rsidR="0046339F">
        <w:t>s</w:t>
      </w:r>
      <w:r w:rsidRPr="007B0F96">
        <w:t xml:space="preserve">, </w:t>
      </w:r>
      <w:r w:rsidRPr="007B0F96" w:rsidR="00CC5B39">
        <w:t>is the Integrated Compliance Information System (ICIS).</w:t>
      </w:r>
      <w:r w:rsidRPr="007B0F96" w:rsidR="009C7E97">
        <w:t xml:space="preserve"> </w:t>
      </w:r>
      <w:r w:rsidRPr="007B0F96" w:rsidR="00CC5B39">
        <w:t>ICIS is EPA’s database for the collection, maintenance, and retrieval of compliance data for industrial and government-owned facilities.</w:t>
      </w:r>
      <w:r w:rsidRPr="007B0F96" w:rsidR="009C7E97">
        <w:rPr>
          <w:sz w:val="22"/>
          <w:szCs w:val="22"/>
        </w:rPr>
        <w:t xml:space="preserve"> </w:t>
      </w:r>
      <w:r w:rsidRPr="007B0F96">
        <w:t xml:space="preserve">The growth rate for the industry is based on our consultations with </w:t>
      </w:r>
      <w:bookmarkStart w:id="2" w:name="_Hlk106894020"/>
      <w:r w:rsidRPr="007B0F96">
        <w:t xml:space="preserve">the Agency’s internal industry experts. </w:t>
      </w:r>
      <w:bookmarkEnd w:id="2"/>
      <w:r w:rsidRPr="007B0F96">
        <w:t xml:space="preserve">Approximately </w:t>
      </w:r>
      <w:r w:rsidRPr="007B0F96" w:rsidR="007B0F96">
        <w:t>92</w:t>
      </w:r>
      <w:r w:rsidRPr="007B0F96">
        <w:t xml:space="preserve"> respondents will be subject to the</w:t>
      </w:r>
      <w:r w:rsidR="0046339F">
        <w:t>se</w:t>
      </w:r>
      <w:r w:rsidRPr="007B0F96">
        <w:t xml:space="preserve"> standard</w:t>
      </w:r>
      <w:r w:rsidR="0046339F">
        <w:t>s</w:t>
      </w:r>
      <w:r w:rsidRPr="007B0F96">
        <w:t xml:space="preserve"> over the </w:t>
      </w:r>
      <w:r w:rsidRPr="007B0F96" w:rsidR="00647BBB">
        <w:t>three-year</w:t>
      </w:r>
      <w:r w:rsidRPr="007B0F96">
        <w:t xml:space="preserve"> period covered by this ICR.</w:t>
      </w:r>
    </w:p>
    <w:p w:rsidR="00277F42" w:rsidRPr="00277F42" w:rsidP="00277F42" w14:paraId="2DC5F7D3" w14:textId="77777777">
      <w:pPr>
        <w:rPr>
          <w:color w:val="FF0000"/>
        </w:rPr>
      </w:pPr>
    </w:p>
    <w:p w:rsidR="00123889" w:rsidP="007B0F96" w14:paraId="1EC1123A" w14:textId="1FBA07C9">
      <w:pPr>
        <w:ind w:firstLine="720"/>
        <w:rPr>
          <w:color w:val="FF0000"/>
        </w:rPr>
      </w:pPr>
      <w:r w:rsidRPr="00716FF6">
        <w:t>I</w:t>
      </w:r>
      <w:r w:rsidRPr="00716FF6">
        <w:t>ndustry trade associations</w:t>
      </w:r>
      <w:r w:rsidR="00716FF6">
        <w:t xml:space="preserve"> </w:t>
      </w:r>
      <w:r w:rsidRPr="00716FF6">
        <w:t xml:space="preserve">and other interested parties were provided an opportunity to comment on the </w:t>
      </w:r>
      <w:r w:rsidR="0046339F">
        <w:t>‘</w:t>
      </w:r>
      <w:r w:rsidRPr="00716FF6">
        <w:t>burden</w:t>
      </w:r>
      <w:r w:rsidR="0046339F">
        <w:t>’</w:t>
      </w:r>
      <w:r w:rsidRPr="00716FF6">
        <w:t xml:space="preserve"> associated with the</w:t>
      </w:r>
      <w:r w:rsidR="00950512">
        <w:t>se</w:t>
      </w:r>
      <w:r w:rsidRPr="00716FF6">
        <w:t xml:space="preserve"> standard</w:t>
      </w:r>
      <w:r w:rsidR="00950512">
        <w:t>s</w:t>
      </w:r>
      <w:r w:rsidRPr="00716FF6">
        <w:t xml:space="preserve"> as </w:t>
      </w:r>
      <w:r w:rsidR="00950512">
        <w:t xml:space="preserve">they were </w:t>
      </w:r>
      <w:r w:rsidRPr="00716FF6">
        <w:t>being developed and the</w:t>
      </w:r>
      <w:r w:rsidR="00950512">
        <w:t>se same</w:t>
      </w:r>
      <w:r w:rsidRPr="00716FF6">
        <w:t xml:space="preserve"> standard</w:t>
      </w:r>
      <w:r w:rsidR="00950512">
        <w:t>s</w:t>
      </w:r>
      <w:r w:rsidRPr="00716FF6">
        <w:t xml:space="preserve"> ha</w:t>
      </w:r>
      <w:r w:rsidR="00950512">
        <w:t>ve</w:t>
      </w:r>
      <w:r w:rsidRPr="00716FF6">
        <w:t xml:space="preserve"> been reviewed </w:t>
      </w:r>
      <w:r w:rsidRPr="00950512" w:rsidR="00950512">
        <w:t xml:space="preserve">previously </w:t>
      </w:r>
      <w:r w:rsidRPr="00716FF6">
        <w:t>to determine the minimum information needed for compliance purposes.</w:t>
      </w:r>
      <w:r w:rsidRPr="00716FF6" w:rsidR="001433D3">
        <w:t xml:space="preserve"> In developing this ICR, we contacted</w:t>
      </w:r>
      <w:r w:rsidR="00950512">
        <w:t>: 1)</w:t>
      </w:r>
      <w:r w:rsidRPr="00716FF6" w:rsidR="001433D3">
        <w:t xml:space="preserve"> the </w:t>
      </w:r>
      <w:r w:rsidRPr="00716FF6" w:rsidR="007B0F96">
        <w:t>Environmental Council of the States (ECOS)</w:t>
      </w:r>
      <w:r w:rsidR="00950512">
        <w:t>,</w:t>
      </w:r>
      <w:r w:rsidRPr="00716FF6" w:rsidR="00716FF6">
        <w:t xml:space="preserve"> </w:t>
      </w:r>
      <w:r w:rsidRPr="00716FF6" w:rsidR="001433D3">
        <w:t xml:space="preserve">at </w:t>
      </w:r>
      <w:r w:rsidRPr="00716FF6" w:rsidR="00716FF6">
        <w:t>202-266-4920</w:t>
      </w:r>
      <w:r w:rsidR="00950512">
        <w:t>; 2)</w:t>
      </w:r>
      <w:r w:rsidRPr="00716FF6" w:rsidR="007B0F96">
        <w:t xml:space="preserve"> </w:t>
      </w:r>
      <w:r w:rsidRPr="00716FF6" w:rsidR="001433D3">
        <w:t xml:space="preserve">the </w:t>
      </w:r>
      <w:r w:rsidRPr="00716FF6" w:rsidR="00716FF6">
        <w:t>Electric Power Research Institute (EPRI)</w:t>
      </w:r>
      <w:r w:rsidR="00950512">
        <w:t>,</w:t>
      </w:r>
      <w:r w:rsidRPr="00716FF6" w:rsidR="001433D3">
        <w:t xml:space="preserve"> at </w:t>
      </w:r>
      <w:r w:rsidRPr="00716FF6" w:rsidR="00716FF6">
        <w:t>650-855-2121</w:t>
      </w:r>
      <w:r w:rsidR="00950512">
        <w:t>; 3)</w:t>
      </w:r>
      <w:r w:rsidRPr="00716FF6" w:rsidR="00716FF6">
        <w:t xml:space="preserve"> the Edison Electric Institute (EEI)</w:t>
      </w:r>
      <w:r w:rsidR="00950512">
        <w:t>,</w:t>
      </w:r>
      <w:r w:rsidRPr="00716FF6" w:rsidR="00716FF6">
        <w:t xml:space="preserve"> at 202-508-5000</w:t>
      </w:r>
      <w:r w:rsidR="00950512">
        <w:t>;</w:t>
      </w:r>
      <w:r w:rsidRPr="00716FF6" w:rsidR="00716FF6">
        <w:t xml:space="preserve"> and </w:t>
      </w:r>
      <w:r w:rsidR="00950512">
        <w:t xml:space="preserve">4) </w:t>
      </w:r>
      <w:r w:rsidRPr="00716FF6" w:rsidR="00716FF6">
        <w:t>the National Conference of State Legislatures (NCSL)</w:t>
      </w:r>
      <w:r w:rsidR="00950512">
        <w:t>,</w:t>
      </w:r>
      <w:r w:rsidRPr="00716FF6" w:rsidR="00716FF6">
        <w:t xml:space="preserve"> at 202-624-5400</w:t>
      </w:r>
      <w:r w:rsidRPr="00716FF6" w:rsidR="001433D3">
        <w:t>.</w:t>
      </w:r>
    </w:p>
    <w:p w:rsidR="00277F42" w:rsidRPr="00716FF6" w:rsidP="00123889" w14:paraId="6FE4F3DD" w14:textId="77777777"/>
    <w:p w:rsidR="00277F42" w:rsidRPr="00716FF6" w:rsidP="00716FF6" w14:paraId="00AC931D" w14:textId="04253F4B">
      <w:pPr>
        <w:widowControl/>
        <w:ind w:firstLine="720"/>
      </w:pPr>
      <w:r w:rsidRPr="00716FF6">
        <w:rPr>
          <w:bCs/>
        </w:rPr>
        <w:t>It is our policy to respond after a thorough review of comments received since the last ICR renewal</w:t>
      </w:r>
      <w:r w:rsidR="00950512">
        <w:rPr>
          <w:bCs/>
        </w:rPr>
        <w:t>,</w:t>
      </w:r>
      <w:r w:rsidRPr="00716FF6">
        <w:rPr>
          <w:bCs/>
        </w:rPr>
        <w:t xml:space="preserve"> as well as </w:t>
      </w:r>
      <w:r w:rsidR="00950512">
        <w:rPr>
          <w:bCs/>
        </w:rPr>
        <w:t xml:space="preserve">for </w:t>
      </w:r>
      <w:r w:rsidRPr="00716FF6">
        <w:rPr>
          <w:bCs/>
        </w:rPr>
        <w:t xml:space="preserve">those submitted in response to the </w:t>
      </w:r>
      <w:r w:rsidRPr="00716FF6" w:rsidR="005253D4">
        <w:rPr>
          <w:bCs/>
        </w:rPr>
        <w:t>f</w:t>
      </w:r>
      <w:r w:rsidRPr="00716FF6">
        <w:rPr>
          <w:bCs/>
        </w:rPr>
        <w:t xml:space="preserve">irst </w:t>
      </w:r>
      <w:r w:rsidRPr="00716FF6">
        <w:rPr>
          <w:i/>
        </w:rPr>
        <w:t>Federal Register</w:t>
      </w:r>
      <w:r w:rsidRPr="00716FF6">
        <w:rPr>
          <w:bCs/>
        </w:rPr>
        <w:t xml:space="preserve"> </w:t>
      </w:r>
      <w:r w:rsidRPr="00716FF6" w:rsidR="005253D4">
        <w:rPr>
          <w:bCs/>
        </w:rPr>
        <w:t>n</w:t>
      </w:r>
      <w:r w:rsidRPr="00716FF6">
        <w:rPr>
          <w:bCs/>
        </w:rPr>
        <w:t>otice.</w:t>
      </w:r>
      <w:r w:rsidRPr="00716FF6" w:rsidR="009C7E97">
        <w:rPr>
          <w:bCs/>
        </w:rPr>
        <w:t xml:space="preserve"> </w:t>
      </w:r>
      <w:r w:rsidRPr="00716FF6" w:rsidR="0029006A">
        <w:t>In this case, no comments were received.</w:t>
      </w:r>
      <w:r w:rsidRPr="00716FF6" w:rsidR="009C7E97">
        <w:t xml:space="preserve"> </w:t>
      </w:r>
    </w:p>
    <w:p w:rsidR="00716FF6" w:rsidP="00716FF6" w14:paraId="1BE6C402" w14:textId="77777777">
      <w:pPr>
        <w:widowControl/>
        <w:ind w:firstLine="720"/>
        <w:rPr>
          <w:color w:val="FF0000"/>
        </w:rPr>
      </w:pPr>
    </w:p>
    <w:p w:rsidR="00CA4CD6" w14:paraId="3DB64864" w14:textId="3EC978D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50512">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431BB2A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50512">
        <w:rPr>
          <w:color w:val="000000"/>
        </w:rPr>
        <w:t>-</w:t>
      </w:r>
      <w:r>
        <w:rPr>
          <w:color w:val="000000"/>
        </w:rPr>
        <w:t>frequent information collection would decrease the margin of assurance that facilities are continuing to meet the</w:t>
      </w:r>
      <w:r w:rsidR="0095051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50512">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w:t>
      </w:r>
      <w:r w:rsidR="00950512">
        <w:rPr>
          <w:color w:val="000000"/>
        </w:rPr>
        <w:t xml:space="preserve">same </w:t>
      </w:r>
      <w:r>
        <w:rPr>
          <w:color w:val="000000"/>
        </w:rPr>
        <w:t>standards was collected less</w:t>
      </w:r>
      <w:r w:rsidR="0095051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F8656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t>subpart B - Confidentiality of Business Information</w:t>
      </w:r>
      <w:r w:rsidR="00950512">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C68D75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950512">
        <w:rPr>
          <w:color w:val="000000"/>
        </w:rPr>
        <w:t>se</w:t>
      </w:r>
      <w:r>
        <w:rPr>
          <w:color w:val="000000"/>
        </w:rPr>
        <w:t xml:space="preserve"> standard</w:t>
      </w:r>
      <w:r w:rsidR="00950512">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3F05BBF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D3420B" w:rsidR="00482C39">
        <w:t>fossil fuel-fired electric utility steam generating units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82C39">
        <w:rPr>
          <w:color w:val="000000"/>
        </w:rPr>
        <w:t>s</w:t>
      </w:r>
      <w:r>
        <w:rPr>
          <w:color w:val="000000"/>
        </w:rPr>
        <w:t xml:space="preserve"> for the respondents affected by </w:t>
      </w:r>
      <w:r w:rsidRPr="00482C39">
        <w:t xml:space="preserve">the standards </w:t>
      </w:r>
      <w:r w:rsidRPr="00482C39" w:rsidR="00482C39">
        <w:t xml:space="preserve">and the </w:t>
      </w:r>
      <w:r w:rsidRPr="00482C39">
        <w:t>correspond</w:t>
      </w:r>
      <w:r w:rsidRPr="00482C39" w:rsidR="00482C39">
        <w:t>ing</w:t>
      </w:r>
      <w:r w:rsidRPr="00482C39">
        <w:t xml:space="preserve"> North American Industry Classification System</w:t>
      </w:r>
      <w:r w:rsidRPr="00482C39" w:rsidR="00CF2B37">
        <w:t xml:space="preserve"> (NAICS</w:t>
      </w:r>
      <w:r w:rsidRPr="00482C39">
        <w:t xml:space="preserve">) </w:t>
      </w:r>
      <w:r w:rsidRPr="00482C39" w:rsidR="00482C39">
        <w:t>are shown in the table below</w:t>
      </w:r>
      <w:r w:rsidRPr="00482C39">
        <w:t>.</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482C39" w:rsidP="009C7E97" w14:paraId="4DA07103" w14:textId="6BF640AA">
            <w:pPr>
              <w:pBdr>
                <w:top w:val="single" w:sz="6" w:space="0" w:color="FFFFFF"/>
                <w:left w:val="single" w:sz="6" w:space="0" w:color="FFFFFF"/>
                <w:bottom w:val="single" w:sz="6" w:space="0" w:color="FFFFFF"/>
                <w:right w:val="single" w:sz="6" w:space="0" w:color="FFFFFF"/>
              </w:pBdr>
              <w:jc w:val="center"/>
              <w:rPr>
                <w:b/>
                <w:bCs/>
                <w:color w:val="000000"/>
              </w:rPr>
            </w:pPr>
            <w:r w:rsidRPr="00482C39">
              <w:rPr>
                <w:b/>
                <w:bCs/>
              </w:rPr>
              <w:t>Standard</w:t>
            </w:r>
            <w:r w:rsidRPr="00482C39" w:rsidR="004C701D">
              <w:rPr>
                <w:b/>
                <w:bCs/>
              </w:rPr>
              <w:t xml:space="preserve"> (40 CFR </w:t>
            </w:r>
            <w:r w:rsidRPr="00482C39" w:rsidR="00CF2B37">
              <w:rPr>
                <w:b/>
                <w:bCs/>
              </w:rPr>
              <w:t>P</w:t>
            </w:r>
            <w:r w:rsidRPr="00482C39" w:rsidR="004C701D">
              <w:rPr>
                <w:b/>
                <w:bCs/>
              </w:rPr>
              <w:t xml:space="preserve">art 60, </w:t>
            </w:r>
            <w:r w:rsidRPr="00482C39" w:rsidR="00CF2B37">
              <w:rPr>
                <w:b/>
                <w:bCs/>
              </w:rPr>
              <w:t>S</w:t>
            </w:r>
            <w:r w:rsidRPr="00482C39" w:rsidR="004C701D">
              <w:rPr>
                <w:b/>
                <w:bCs/>
              </w:rPr>
              <w:t xml:space="preserve">ubpart </w:t>
            </w:r>
            <w:r w:rsidRPr="00482C39" w:rsidR="00482C39">
              <w:rPr>
                <w:b/>
                <w:bCs/>
              </w:rPr>
              <w:t>TTTT</w:t>
            </w:r>
            <w:r w:rsidRPr="00482C39"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82C39" w:rsidP="00482C39" w14:paraId="69D88A48" w14:textId="1DC8F504">
            <w:pPr>
              <w:pBdr>
                <w:top w:val="single" w:sz="6" w:space="0" w:color="FFFFFF"/>
                <w:left w:val="single" w:sz="6" w:space="0" w:color="FFFFFF"/>
                <w:bottom w:val="single" w:sz="6" w:space="0" w:color="FFFFFF"/>
                <w:right w:val="single" w:sz="6" w:space="0" w:color="FFFFFF"/>
              </w:pBdr>
              <w:rPr>
                <w:color w:val="000000"/>
              </w:rPr>
            </w:pPr>
            <w:r w:rsidRPr="00D3420B">
              <w:t>Fossil Fuel Electric Power Generation</w:t>
            </w:r>
          </w:p>
        </w:tc>
        <w:tc>
          <w:tcPr>
            <w:tcW w:w="2610" w:type="dxa"/>
            <w:tcBorders>
              <w:top w:val="single" w:sz="7" w:space="0" w:color="000000"/>
              <w:left w:val="single" w:sz="7" w:space="0" w:color="000000"/>
              <w:bottom w:val="single" w:sz="6" w:space="0" w:color="FFFFFF"/>
              <w:right w:val="single" w:sz="6" w:space="0" w:color="FFFFFF"/>
            </w:tcBorders>
          </w:tcPr>
          <w:p w:rsidR="00482C39" w:rsidP="00482C39" w14:paraId="65180B57" w14:textId="416C678E">
            <w:pPr>
              <w:pBdr>
                <w:top w:val="single" w:sz="6" w:space="0" w:color="FFFFFF"/>
                <w:left w:val="single" w:sz="6" w:space="0" w:color="FFFFFF"/>
                <w:bottom w:val="single" w:sz="6" w:space="0" w:color="FFFFFF"/>
                <w:right w:val="single" w:sz="6" w:space="0" w:color="FFFFFF"/>
              </w:pBdr>
              <w:rPr>
                <w:color w:val="000000"/>
              </w:rPr>
            </w:pPr>
            <w:r w:rsidRPr="00D3420B">
              <w:t>4931, 4939, 4911</w:t>
            </w:r>
          </w:p>
        </w:tc>
        <w:tc>
          <w:tcPr>
            <w:tcW w:w="2430" w:type="dxa"/>
            <w:tcBorders>
              <w:top w:val="single" w:sz="7" w:space="0" w:color="000000"/>
              <w:left w:val="single" w:sz="7" w:space="0" w:color="000000"/>
              <w:bottom w:val="single" w:sz="6" w:space="0" w:color="FFFFFF"/>
              <w:right w:val="single" w:sz="7" w:space="0" w:color="000000"/>
            </w:tcBorders>
          </w:tcPr>
          <w:p w:rsidR="00482C39" w:rsidP="00482C39" w14:paraId="2270277B" w14:textId="76CD88E6">
            <w:pPr>
              <w:pBdr>
                <w:top w:val="single" w:sz="6" w:space="0" w:color="FFFFFF"/>
                <w:left w:val="single" w:sz="6" w:space="0" w:color="FFFFFF"/>
                <w:bottom w:val="single" w:sz="6" w:space="0" w:color="FFFFFF"/>
                <w:right w:val="single" w:sz="6" w:space="0" w:color="FFFFFF"/>
              </w:pBdr>
              <w:rPr>
                <w:color w:val="000000"/>
              </w:rPr>
            </w:pPr>
            <w:r w:rsidRPr="00D3420B">
              <w:t>221112</w:t>
            </w:r>
          </w:p>
        </w:tc>
      </w:tr>
      <w:tr w14:paraId="1381BC79" w14:textId="77777777" w:rsidTr="00482C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482C39" w:rsidP="00482C39" w14:paraId="5BF69ED4" w14:textId="0549D6AC">
            <w:pPr>
              <w:tabs>
                <w:tab w:val="left" w:pos="3045"/>
              </w:tabs>
              <w:rPr>
                <w:color w:val="000000"/>
              </w:rPr>
            </w:pPr>
            <w:r w:rsidRPr="00D3420B">
              <w:t>Electric Power Generation, Transmission and Distribution</w:t>
            </w:r>
          </w:p>
        </w:tc>
        <w:tc>
          <w:tcPr>
            <w:tcW w:w="2610" w:type="dxa"/>
            <w:tcBorders>
              <w:top w:val="single" w:sz="7" w:space="0" w:color="000000"/>
              <w:left w:val="single" w:sz="7" w:space="0" w:color="000000"/>
              <w:bottom w:val="single" w:sz="8" w:space="0" w:color="000000"/>
              <w:right w:val="single" w:sz="6" w:space="0" w:color="FFFFFF"/>
            </w:tcBorders>
          </w:tcPr>
          <w:p w:rsidR="00482C39" w:rsidP="00482C39" w14:paraId="44CB63F6" w14:textId="7CBD4811">
            <w:pPr>
              <w:pBdr>
                <w:top w:val="single" w:sz="6" w:space="0" w:color="FFFFFF"/>
                <w:left w:val="single" w:sz="6" w:space="0" w:color="FFFFFF"/>
                <w:bottom w:val="single" w:sz="6" w:space="0" w:color="FFFFFF"/>
                <w:right w:val="single" w:sz="6" w:space="0" w:color="FFFFFF"/>
              </w:pBdr>
              <w:rPr>
                <w:color w:val="000000"/>
              </w:rPr>
            </w:pPr>
            <w:r w:rsidRPr="00D3420B">
              <w:t>4931, 4939, 4911</w:t>
            </w:r>
          </w:p>
        </w:tc>
        <w:tc>
          <w:tcPr>
            <w:tcW w:w="2430" w:type="dxa"/>
            <w:tcBorders>
              <w:top w:val="single" w:sz="7" w:space="0" w:color="000000"/>
              <w:left w:val="single" w:sz="7" w:space="0" w:color="000000"/>
              <w:bottom w:val="single" w:sz="8" w:space="0" w:color="000000"/>
              <w:right w:val="single" w:sz="7" w:space="0" w:color="000000"/>
            </w:tcBorders>
          </w:tcPr>
          <w:p w:rsidR="00482C39" w:rsidP="00482C39" w14:paraId="65FC1A16" w14:textId="0482AE3D">
            <w:pPr>
              <w:pBdr>
                <w:top w:val="single" w:sz="6" w:space="0" w:color="FFFFFF"/>
                <w:left w:val="single" w:sz="6" w:space="0" w:color="FFFFFF"/>
                <w:bottom w:val="single" w:sz="6" w:space="0" w:color="FFFFFF"/>
                <w:right w:val="single" w:sz="6" w:space="0" w:color="FFFFFF"/>
              </w:pBdr>
              <w:rPr>
                <w:color w:val="000000"/>
              </w:rPr>
            </w:pPr>
            <w:r w:rsidRPr="00D3420B">
              <w:t>2211</w:t>
            </w:r>
          </w:p>
        </w:tc>
      </w:tr>
      <w:tr w14:paraId="671F5B03" w14:textId="77777777" w:rsidTr="00482C39">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8" w:space="0" w:color="000000"/>
              <w:right w:val="single" w:sz="8" w:space="0" w:color="000000"/>
            </w:tcBorders>
          </w:tcPr>
          <w:p w:rsidR="00482C39" w:rsidP="00482C39" w14:paraId="691848A5" w14:textId="64D68B7C">
            <w:pPr>
              <w:pBdr>
                <w:top w:val="single" w:sz="6" w:space="0" w:color="FFFFFF"/>
                <w:left w:val="single" w:sz="6" w:space="0" w:color="FFFFFF"/>
                <w:bottom w:val="single" w:sz="6" w:space="0" w:color="FFFFFF"/>
                <w:right w:val="single" w:sz="6" w:space="0" w:color="FFFFFF"/>
              </w:pBdr>
              <w:rPr>
                <w:color w:val="000000"/>
              </w:rPr>
            </w:pPr>
            <w:r w:rsidRPr="00D3420B">
              <w:t xml:space="preserve">Fossil fuel electric power generating units in </w:t>
            </w:r>
            <w:r w:rsidR="00321EA5">
              <w:t>American Indian and Alaska Native lands</w:t>
            </w:r>
            <w:r w:rsidRPr="00D3420B">
              <w:tab/>
            </w:r>
          </w:p>
        </w:tc>
        <w:tc>
          <w:tcPr>
            <w:tcW w:w="2610" w:type="dxa"/>
            <w:tcBorders>
              <w:top w:val="single" w:sz="8" w:space="0" w:color="000000"/>
              <w:left w:val="single" w:sz="8" w:space="0" w:color="000000"/>
              <w:bottom w:val="single" w:sz="8" w:space="0" w:color="000000"/>
              <w:right w:val="single" w:sz="8" w:space="0" w:color="000000"/>
            </w:tcBorders>
          </w:tcPr>
          <w:p w:rsidR="00482C39" w:rsidP="00482C39" w14:paraId="379919C6" w14:textId="0673BEE0">
            <w:pPr>
              <w:pBdr>
                <w:top w:val="single" w:sz="6" w:space="0" w:color="FFFFFF"/>
                <w:left w:val="single" w:sz="6" w:space="0" w:color="FFFFFF"/>
                <w:bottom w:val="single" w:sz="6" w:space="0" w:color="FFFFFF"/>
                <w:right w:val="single" w:sz="6" w:space="0" w:color="FFFFFF"/>
              </w:pBdr>
              <w:rPr>
                <w:color w:val="000000"/>
              </w:rPr>
            </w:pPr>
            <w:r w:rsidRPr="00D3420B">
              <w:t>8641</w:t>
            </w:r>
          </w:p>
        </w:tc>
        <w:tc>
          <w:tcPr>
            <w:tcW w:w="2430" w:type="dxa"/>
            <w:tcBorders>
              <w:top w:val="single" w:sz="8" w:space="0" w:color="000000"/>
              <w:left w:val="single" w:sz="8" w:space="0" w:color="000000"/>
              <w:bottom w:val="single" w:sz="8" w:space="0" w:color="000000"/>
              <w:right w:val="single" w:sz="8" w:space="0" w:color="000000"/>
            </w:tcBorders>
          </w:tcPr>
          <w:p w:rsidR="00482C39" w:rsidP="00482C39" w14:paraId="1DBC97FC" w14:textId="216E42C3">
            <w:pPr>
              <w:pBdr>
                <w:top w:val="single" w:sz="6" w:space="0" w:color="FFFFFF"/>
                <w:left w:val="single" w:sz="6" w:space="0" w:color="FFFFFF"/>
                <w:bottom w:val="single" w:sz="6" w:space="0" w:color="FFFFFF"/>
                <w:right w:val="single" w:sz="6" w:space="0" w:color="FFFFFF"/>
              </w:pBdr>
              <w:rPr>
                <w:color w:val="000000"/>
              </w:rPr>
            </w:pPr>
            <w:r w:rsidRPr="00D3420B">
              <w:t>921150</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4BB54C9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1056C3" w:rsidP="001056C3" w14:paraId="204513B5" w14:textId="41CBBC68">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1056C3" w:rsidR="001056C3">
        <w:t>NSPS for Greenhouse Gas Emissions for New Electric Utility Generating Units (40 CFR Part 60, Subpart TTTT).</w:t>
      </w:r>
    </w:p>
    <w:p w:rsidR="001056C3" w:rsidP="001056C3" w14:paraId="4007A777"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09CF01B" w14:textId="376AC2EF">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4D6DD4" w14:paraId="15C50FFC" w14:textId="44030320">
      <w:pPr>
        <w:pBdr>
          <w:top w:val="single" w:sz="6" w:space="0" w:color="FFFFFF"/>
          <w:left w:val="single" w:sz="6" w:space="0" w:color="FFFFFF"/>
          <w:bottom w:val="single" w:sz="6" w:space="0" w:color="FFFFFF"/>
          <w:right w:val="single" w:sz="6" w:space="0" w:color="FFFFFF"/>
        </w:pBdr>
        <w:ind w:firstLine="720"/>
        <w:rPr>
          <w:color w:val="000000"/>
        </w:rPr>
      </w:pPr>
    </w:p>
    <w:p w:rsidR="004D6DD4" w14:paraId="429BAE87"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056C3" w:rsidRPr="00FD56E3" w:rsidP="001056C3" w14:paraId="567D45F6" w14:textId="085CC555">
            <w:pPr>
              <w:pBdr>
                <w:top w:val="single" w:sz="6" w:space="0" w:color="FFFFFF"/>
                <w:left w:val="single" w:sz="6" w:space="0" w:color="FFFFFF"/>
                <w:bottom w:val="single" w:sz="6" w:space="0" w:color="FFFFFF"/>
                <w:right w:val="single" w:sz="6" w:space="0" w:color="FFFFFF"/>
              </w:pBdr>
              <w:spacing w:after="58"/>
              <w:rPr>
                <w:b/>
                <w:bCs/>
              </w:rPr>
            </w:pPr>
            <w:r w:rsidRPr="00D3420B">
              <w:t>Notification of construction</w:t>
            </w:r>
          </w:p>
        </w:tc>
        <w:tc>
          <w:tcPr>
            <w:tcW w:w="2529" w:type="dxa"/>
            <w:tcBorders>
              <w:top w:val="single" w:sz="7" w:space="0" w:color="000000"/>
              <w:left w:val="single" w:sz="7" w:space="0" w:color="000000"/>
              <w:bottom w:val="single" w:sz="7" w:space="0" w:color="000000"/>
              <w:right w:val="single" w:sz="7" w:space="0" w:color="000000"/>
            </w:tcBorders>
          </w:tcPr>
          <w:p w:rsidR="001056C3" w:rsidRPr="00FD56E3" w:rsidP="001056C3" w14:paraId="1EF1C74F" w14:textId="6A0B0DA4">
            <w:pPr>
              <w:pBdr>
                <w:top w:val="single" w:sz="6" w:space="0" w:color="FFFFFF"/>
                <w:left w:val="single" w:sz="6" w:space="0" w:color="FFFFFF"/>
                <w:bottom w:val="single" w:sz="6" w:space="0" w:color="FFFFFF"/>
                <w:right w:val="single" w:sz="6" w:space="0" w:color="FFFFFF"/>
              </w:pBdr>
              <w:spacing w:after="58"/>
              <w:rPr>
                <w:b/>
                <w:bCs/>
              </w:rPr>
            </w:pPr>
            <w:r w:rsidRPr="00D3420B">
              <w:t xml:space="preserve">§60.7(a)(1), §60.5550(a) </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056C3" w:rsidRPr="00CF2B37" w:rsidP="001056C3" w14:paraId="5FB7E8CC" w14:textId="45173C85">
            <w:pPr>
              <w:pBdr>
                <w:top w:val="single" w:sz="6" w:space="0" w:color="FFFFFF"/>
                <w:left w:val="single" w:sz="6" w:space="0" w:color="FFFFFF"/>
                <w:bottom w:val="single" w:sz="6" w:space="0" w:color="FFFFFF"/>
                <w:right w:val="single" w:sz="6" w:space="0" w:color="FFFFFF"/>
              </w:pBdr>
              <w:spacing w:after="58"/>
            </w:pPr>
            <w:r w:rsidRPr="00D3420B">
              <w:t>Notification of startup</w:t>
            </w:r>
          </w:p>
        </w:tc>
        <w:tc>
          <w:tcPr>
            <w:tcW w:w="2529" w:type="dxa"/>
            <w:tcBorders>
              <w:top w:val="single" w:sz="7" w:space="0" w:color="000000"/>
              <w:left w:val="single" w:sz="7" w:space="0" w:color="000000"/>
              <w:bottom w:val="single" w:sz="7" w:space="0" w:color="000000"/>
              <w:right w:val="single" w:sz="7" w:space="0" w:color="000000"/>
            </w:tcBorders>
          </w:tcPr>
          <w:p w:rsidR="001056C3" w:rsidRPr="00CF2B37" w:rsidP="001056C3" w14:paraId="2D6ACA34" w14:textId="2779A265">
            <w:pPr>
              <w:pBdr>
                <w:top w:val="single" w:sz="6" w:space="0" w:color="FFFFFF"/>
                <w:left w:val="single" w:sz="6" w:space="0" w:color="FFFFFF"/>
                <w:bottom w:val="single" w:sz="6" w:space="0" w:color="FFFFFF"/>
                <w:right w:val="single" w:sz="6" w:space="0" w:color="FFFFFF"/>
              </w:pBdr>
              <w:spacing w:after="58"/>
            </w:pPr>
            <w:r w:rsidRPr="00D3420B">
              <w:t>§60.7(a)(3), §60.5550(a)</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741"/>
        <w:gridCol w:w="2619"/>
      </w:tblGrid>
      <w:tr w14:paraId="47D81F2C" w14:textId="77777777" w:rsidTr="001056C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1056C3">
        <w:tblPrEx>
          <w:tblW w:w="9360" w:type="dxa"/>
          <w:jc w:val="center"/>
          <w:tblLayout w:type="fixed"/>
          <w:tblCellMar>
            <w:left w:w="120" w:type="dxa"/>
            <w:right w:w="120" w:type="dxa"/>
          </w:tblCellMar>
          <w:tblLook w:val="0000"/>
        </w:tblPrEx>
        <w:trPr>
          <w:jc w:val="center"/>
        </w:trPr>
        <w:tc>
          <w:tcPr>
            <w:tcW w:w="674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056C3" w:rsidRPr="00CF2B37" w:rsidP="001056C3" w14:paraId="4930BE0A" w14:textId="4075B3EC">
            <w:pPr>
              <w:pBdr>
                <w:top w:val="single" w:sz="6" w:space="0" w:color="FFFFFF"/>
                <w:left w:val="single" w:sz="6" w:space="0" w:color="FFFFFF"/>
                <w:bottom w:val="single" w:sz="6" w:space="0" w:color="FFFFFF"/>
                <w:right w:val="single" w:sz="6" w:space="0" w:color="FFFFFF"/>
              </w:pBdr>
              <w:spacing w:after="58"/>
            </w:pPr>
            <w:r w:rsidRPr="00D3420B">
              <w:t>Electronic quarterly compliance reports (includes excess emissions and downtime)</w:t>
            </w:r>
          </w:p>
        </w:tc>
        <w:tc>
          <w:tcPr>
            <w:tcW w:w="261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056C3" w:rsidRPr="00CF2B37" w:rsidP="001056C3" w14:paraId="6DF7646A" w14:textId="423482D7">
            <w:pPr>
              <w:pBdr>
                <w:top w:val="single" w:sz="6" w:space="0" w:color="FFFFFF"/>
                <w:left w:val="single" w:sz="6" w:space="0" w:color="FFFFFF"/>
                <w:bottom w:val="single" w:sz="6" w:space="0" w:color="FFFFFF"/>
                <w:right w:val="single" w:sz="6" w:space="0" w:color="FFFFFF"/>
              </w:pBdr>
              <w:spacing w:after="58"/>
            </w:pPr>
            <w:r w:rsidRPr="00D3420B">
              <w:t>§§60.5555(a),</w:t>
            </w:r>
            <w:r>
              <w:t xml:space="preserve"> </w:t>
            </w:r>
            <w:r w:rsidRPr="00D3420B">
              <w:t>(b)</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651"/>
        <w:gridCol w:w="2709"/>
      </w:tblGrid>
      <w:tr w14:paraId="1F0D0E86" w14:textId="77777777" w:rsidTr="001056C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056C3">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1056C3" w:rsidRPr="00E116DC" w:rsidP="001056C3" w14:paraId="52F2EF63" w14:textId="38BE9E90">
            <w:pPr>
              <w:pBdr>
                <w:top w:val="single" w:sz="6" w:space="0" w:color="FFFFFF"/>
                <w:left w:val="single" w:sz="6" w:space="0" w:color="FFFFFF"/>
                <w:bottom w:val="single" w:sz="6" w:space="0" w:color="FFFFFF"/>
                <w:right w:val="single" w:sz="6" w:space="0" w:color="FFFFFF"/>
              </w:pBdr>
              <w:spacing w:after="58"/>
            </w:pPr>
            <w:r w:rsidRPr="00D3420B">
              <w:t>Records of hourly and total CO</w:t>
            </w:r>
            <w:r w:rsidRPr="0056572A">
              <w:rPr>
                <w:vertAlign w:val="subscript"/>
              </w:rPr>
              <w:t>2</w:t>
            </w:r>
            <w:r w:rsidRPr="00D3420B">
              <w:t xml:space="preserve"> mass emissions calculations</w:t>
            </w:r>
          </w:p>
        </w:tc>
        <w:tc>
          <w:tcPr>
            <w:tcW w:w="2709" w:type="dxa"/>
            <w:tcBorders>
              <w:top w:val="single" w:sz="7" w:space="0" w:color="000000"/>
              <w:left w:val="single" w:sz="7" w:space="0" w:color="000000"/>
              <w:bottom w:val="single" w:sz="7" w:space="0" w:color="000000"/>
              <w:right w:val="single" w:sz="7" w:space="0" w:color="000000"/>
            </w:tcBorders>
          </w:tcPr>
          <w:p w:rsidR="001056C3" w:rsidRPr="00E116DC" w:rsidP="001056C3" w14:paraId="4CD69875" w14:textId="38F0C135">
            <w:pPr>
              <w:pBdr>
                <w:top w:val="single" w:sz="6" w:space="0" w:color="FFFFFF"/>
                <w:left w:val="single" w:sz="6" w:space="0" w:color="FFFFFF"/>
                <w:bottom w:val="single" w:sz="6" w:space="0" w:color="FFFFFF"/>
                <w:right w:val="single" w:sz="6" w:space="0" w:color="FFFFFF"/>
              </w:pBdr>
              <w:spacing w:after="58"/>
            </w:pPr>
            <w:r w:rsidRPr="00D3420B">
              <w:t>§§60.5560(</w:t>
            </w:r>
            <w:r w:rsidR="0056572A">
              <w:t>c</w:t>
            </w:r>
            <w:r w:rsidRPr="00D3420B">
              <w:t>)-(g)</w:t>
            </w:r>
          </w:p>
        </w:tc>
      </w:tr>
      <w:tr w14:paraId="36691C85" w14:textId="77777777" w:rsidTr="001056C3">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1056C3" w:rsidRPr="00CF2B37" w:rsidP="001056C3" w14:paraId="2402E105" w14:textId="3BF3DC74">
            <w:pPr>
              <w:pBdr>
                <w:top w:val="single" w:sz="6" w:space="0" w:color="FFFFFF"/>
                <w:left w:val="single" w:sz="6" w:space="0" w:color="FFFFFF"/>
                <w:bottom w:val="single" w:sz="6" w:space="0" w:color="FFFFFF"/>
                <w:right w:val="single" w:sz="6" w:space="0" w:color="FFFFFF"/>
              </w:pBdr>
              <w:spacing w:after="58"/>
            </w:pPr>
            <w:r w:rsidRPr="00D3420B">
              <w:t>Records of malfunctions or downtime</w:t>
            </w:r>
          </w:p>
        </w:tc>
        <w:tc>
          <w:tcPr>
            <w:tcW w:w="2709" w:type="dxa"/>
            <w:tcBorders>
              <w:top w:val="single" w:sz="7" w:space="0" w:color="000000"/>
              <w:left w:val="single" w:sz="7" w:space="0" w:color="000000"/>
              <w:bottom w:val="single" w:sz="7" w:space="0" w:color="000000"/>
              <w:right w:val="single" w:sz="7" w:space="0" w:color="000000"/>
            </w:tcBorders>
          </w:tcPr>
          <w:p w:rsidR="0056572A" w:rsidP="001056C3" w14:paraId="6A2DED07" w14:textId="77777777">
            <w:pPr>
              <w:pBdr>
                <w:top w:val="single" w:sz="6" w:space="0" w:color="FFFFFF"/>
                <w:left w:val="single" w:sz="6" w:space="0" w:color="FFFFFF"/>
                <w:bottom w:val="single" w:sz="6" w:space="0" w:color="FFFFFF"/>
                <w:right w:val="single" w:sz="6" w:space="0" w:color="FFFFFF"/>
              </w:pBdr>
              <w:spacing w:after="58"/>
            </w:pPr>
            <w:r w:rsidRPr="00D3420B">
              <w:t>§§60.7(b),</w:t>
            </w:r>
            <w:r w:rsidRPr="00D3420B">
              <w:t xml:space="preserve"> </w:t>
            </w:r>
          </w:p>
          <w:p w:rsidR="001056C3" w:rsidRPr="00CF2B37" w:rsidP="001056C3" w14:paraId="1D7F443A" w14:textId="4A318E53">
            <w:pPr>
              <w:pBdr>
                <w:top w:val="single" w:sz="6" w:space="0" w:color="FFFFFF"/>
                <w:left w:val="single" w:sz="6" w:space="0" w:color="FFFFFF"/>
                <w:bottom w:val="single" w:sz="6" w:space="0" w:color="FFFFFF"/>
                <w:right w:val="single" w:sz="6" w:space="0" w:color="FFFFFF"/>
              </w:pBdr>
              <w:spacing w:after="58"/>
            </w:pPr>
            <w:r w:rsidRPr="00D3420B">
              <w:t>§</w:t>
            </w:r>
            <w:r w:rsidRPr="00D3420B">
              <w:t>60.5560(a)</w:t>
            </w:r>
          </w:p>
        </w:tc>
      </w:tr>
      <w:tr w14:paraId="7B98B13A" w14:textId="77777777" w:rsidTr="001056C3">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1056C3" w:rsidRPr="00CF2B37" w:rsidP="001056C3" w14:paraId="7977DDAC" w14:textId="328E7173">
            <w:pPr>
              <w:pBdr>
                <w:top w:val="single" w:sz="6" w:space="0" w:color="FFFFFF"/>
                <w:left w:val="single" w:sz="6" w:space="0" w:color="FFFFFF"/>
                <w:bottom w:val="single" w:sz="6" w:space="0" w:color="FFFFFF"/>
                <w:right w:val="single" w:sz="6" w:space="0" w:color="FFFFFF"/>
              </w:pBdr>
              <w:spacing w:after="58"/>
            </w:pPr>
            <w:r w:rsidRPr="00D3420B">
              <w:t>Records of performance evaluations</w:t>
            </w:r>
          </w:p>
        </w:tc>
        <w:tc>
          <w:tcPr>
            <w:tcW w:w="2709" w:type="dxa"/>
            <w:tcBorders>
              <w:top w:val="single" w:sz="7" w:space="0" w:color="000000"/>
              <w:left w:val="single" w:sz="7" w:space="0" w:color="000000"/>
              <w:bottom w:val="single" w:sz="7" w:space="0" w:color="000000"/>
              <w:right w:val="single" w:sz="7" w:space="0" w:color="000000"/>
            </w:tcBorders>
          </w:tcPr>
          <w:p w:rsidR="0056572A" w:rsidP="001056C3" w14:paraId="597309DE" w14:textId="77777777">
            <w:pPr>
              <w:pBdr>
                <w:top w:val="single" w:sz="6" w:space="0" w:color="FFFFFF"/>
                <w:left w:val="single" w:sz="6" w:space="0" w:color="FFFFFF"/>
                <w:bottom w:val="single" w:sz="6" w:space="0" w:color="FFFFFF"/>
                <w:right w:val="single" w:sz="6" w:space="0" w:color="FFFFFF"/>
              </w:pBdr>
              <w:spacing w:after="58"/>
            </w:pPr>
            <w:r w:rsidRPr="00D3420B">
              <w:t>§§60.7(f)</w:t>
            </w:r>
            <w:r>
              <w:t>,</w:t>
            </w:r>
            <w:r w:rsidRPr="00D3420B">
              <w:t xml:space="preserve"> </w:t>
            </w:r>
          </w:p>
          <w:p w:rsidR="001056C3" w:rsidRPr="00CF2B37" w:rsidP="001056C3" w14:paraId="06801B01" w14:textId="76E20F54">
            <w:pPr>
              <w:pBdr>
                <w:top w:val="single" w:sz="6" w:space="0" w:color="FFFFFF"/>
                <w:left w:val="single" w:sz="6" w:space="0" w:color="FFFFFF"/>
                <w:bottom w:val="single" w:sz="6" w:space="0" w:color="FFFFFF"/>
                <w:right w:val="single" w:sz="6" w:space="0" w:color="FFFFFF"/>
              </w:pBdr>
              <w:spacing w:after="58"/>
            </w:pPr>
            <w:r w:rsidRPr="00D3420B">
              <w:t>§</w:t>
            </w:r>
            <w:r w:rsidRPr="00D3420B">
              <w:t>60.5560(a)</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56572A" w14:paraId="33D2BE8B" w14:textId="051445E4">
      <w:pPr>
        <w:ind w:firstLine="720"/>
      </w:pPr>
      <w:r>
        <w:t xml:space="preserve">Respondents are required to </w:t>
      </w:r>
      <w:r w:rsidRPr="00F307CE" w:rsidR="0010646A">
        <w:t>use the EPA’s ECMPS Client Tool</w:t>
      </w:r>
      <w:r w:rsidRPr="00F307CE" w:rsidR="0010646A">
        <w:t xml:space="preserve"> </w:t>
      </w:r>
      <w:r w:rsidRPr="00F307CE" w:rsidR="0010646A">
        <w:t xml:space="preserve">to develop </w:t>
      </w:r>
      <w:r w:rsidRPr="000934AE" w:rsidR="000934AE">
        <w:t>quarterly emissions summary reports that include excess emissions and continuous monitoring systems performance data</w:t>
      </w:r>
      <w:r w:rsidRPr="006606C1" w:rsidR="006606C1">
        <w:t xml:space="preserve"> </w:t>
      </w:r>
      <w:r w:rsidRPr="00F307CE" w:rsidR="006606C1">
        <w:t>and submit them through the EPA’s ECMPS, which can be accessed on the EPA’s ECMPS Support website</w:t>
      </w:r>
      <w:r w:rsidRPr="00D418A6" w:rsidR="006606C1">
        <w:t xml:space="preserve"> (</w:t>
      </w:r>
      <w:hyperlink r:id="rId10" w:history="1">
        <w:r w:rsidRPr="00D418A6" w:rsidR="006606C1">
          <w:rPr>
            <w:rStyle w:val="Hyperlink"/>
            <w:i/>
            <w:iCs/>
            <w:color w:val="auto"/>
          </w:rPr>
          <w:t>https://ecmps.camdsupport.com/downloads.shtml</w:t>
        </w:r>
      </w:hyperlink>
      <w:r w:rsidRPr="00F307CE" w:rsidR="006606C1">
        <w:t>). The ECMPS Client Tool is an application</w:t>
      </w:r>
      <w:r w:rsidR="004D6DD4">
        <w:t>,</w:t>
      </w:r>
      <w:r w:rsidRPr="00F307CE" w:rsidR="006606C1">
        <w:t xml:space="preserve"> rather than a form, and the requirement to use the ECMPS is applicable to numerous regulations (Acid Rain Program, Cross-State Air Pollution Rule, Greenhouse Gas Reporting Program, </w:t>
      </w:r>
      <w:r w:rsidR="006606C1">
        <w:t>Mercury Air Toxics Standards “MATS”</w:t>
      </w:r>
      <w:r w:rsidRPr="00F307CE" w:rsidR="006606C1">
        <w:t xml:space="preserve"> etc.)</w:t>
      </w:r>
      <w:r w:rsidRPr="000934AE" w:rsidR="000934AE">
        <w:t xml:space="preserve">. </w:t>
      </w:r>
      <w:r>
        <w:t xml:space="preserve">For purposes of this ICR, it is assumed </w:t>
      </w:r>
      <w:r w:rsidRPr="000934AE">
        <w:t xml:space="preserve">that there </w:t>
      </w:r>
      <w:r w:rsidRPr="000934AE" w:rsidR="002F4D5D">
        <w:t>is</w:t>
      </w:r>
      <w:r w:rsidRPr="000934AE">
        <w:t xml:space="preserve"> no </w:t>
      </w:r>
      <w:r>
        <w:t>additional burden associated with the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06979DC4">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w:t>
      </w:r>
      <w:r w:rsidRPr="00004ED8">
        <w:rPr>
          <w:bdr w:val="none" w:sz="0" w:space="0" w:color="auto" w:frame="1"/>
          <w:shd w:val="clear" w:color="auto" w:fill="FFFFFF"/>
        </w:rPr>
        <w:t xml:space="preserve">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 xml:space="preserve"> this rule, see:</w:t>
      </w:r>
      <w:r w:rsidR="005A3C9F">
        <w:rPr>
          <w:bdr w:val="none" w:sz="0" w:space="0" w:color="auto" w:frame="1"/>
          <w:shd w:val="clear" w:color="auto" w:fill="FFFFFF"/>
        </w:rPr>
        <w:t xml:space="preserve"> </w:t>
      </w:r>
      <w:hyperlink r:id="rId11" w:history="1">
        <w:r w:rsidRPr="00D418A6" w:rsidR="005A3C9F">
          <w:rPr>
            <w:rStyle w:val="Hyperlink"/>
            <w:i/>
            <w:iCs/>
            <w:color w:val="auto"/>
            <w:bdr w:val="none" w:sz="0" w:space="0" w:color="auto" w:frame="1"/>
            <w:shd w:val="clear" w:color="auto" w:fill="FFFFFF"/>
          </w:rPr>
          <w:t>https://www.epa.gov/electronic-reporting-air-emissions/paperwork-reduction-act-pra-cedri-and-ert</w:t>
        </w:r>
      </w:hyperlink>
      <w:r w:rsidRPr="00D418A6"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856F84C">
            <w:pPr>
              <w:outlineLvl w:val="0"/>
              <w:rPr>
                <w:color w:val="000000"/>
              </w:rPr>
            </w:pPr>
            <w:r w:rsidRPr="00252E42">
              <w:rPr>
                <w:color w:val="000000"/>
              </w:rPr>
              <w:t>Install, calibrate, maintain, and operate CEMS for CO2 or monitors for fuel flow rate, and unit operating time of the EGU.</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972F46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8A2A11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612B26C2">
            <w:pPr>
              <w:rPr>
                <w:color w:val="000000"/>
              </w:rPr>
            </w:pPr>
            <w:r w:rsidRPr="00E835B0">
              <w:rPr>
                <w:color w:val="000000"/>
              </w:rPr>
              <w:t xml:space="preserve">Review notifications and reports, including </w:t>
            </w:r>
            <w:r w:rsidR="00252E42">
              <w:rPr>
                <w:color w:val="000000"/>
              </w:rPr>
              <w:t>quarterly emissions summary reports</w:t>
            </w:r>
            <w:r w:rsidR="00E6748A">
              <w:rPr>
                <w:color w:val="000000"/>
              </w:rPr>
              <w:t xml:space="preserve"> </w:t>
            </w:r>
            <w:r w:rsidR="00252E42">
              <w:rPr>
                <w:color w:val="000000"/>
              </w:rPr>
              <w:t xml:space="preserve">(includes </w:t>
            </w:r>
            <w:r w:rsidRPr="00E835B0">
              <w:rPr>
                <w:color w:val="000000"/>
              </w:rPr>
              <w:t>excess emissions reports</w:t>
            </w:r>
            <w:r w:rsidR="00252E42">
              <w:rPr>
                <w:color w:val="000000"/>
              </w:rPr>
              <w:t>)</w:t>
            </w:r>
            <w:r w:rsidRPr="00E835B0">
              <w:rPr>
                <w:color w:val="000000"/>
              </w:rPr>
              <w:t xml:space="preserve">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252E42" w14:paraId="2CF35A7F" w14:textId="22019FC9">
      <w:pPr>
        <w:pBdr>
          <w:top w:val="single" w:sz="6" w:space="0" w:color="FFFFFF"/>
          <w:left w:val="single" w:sz="6" w:space="0" w:color="FFFFFF"/>
          <w:bottom w:val="single" w:sz="6" w:space="0" w:color="FFFFFF"/>
          <w:right w:val="single" w:sz="6" w:space="0" w:color="FFFFFF"/>
        </w:pBdr>
        <w:ind w:firstLine="720"/>
      </w:pPr>
      <w:r w:rsidRPr="00252E42">
        <w:t xml:space="preserve">Following notification of startup, the reviewing authority </w:t>
      </w:r>
      <w:r w:rsidRPr="00252E42" w:rsidR="002B29A7">
        <w:t xml:space="preserve">could </w:t>
      </w:r>
      <w:r w:rsidRPr="00252E42">
        <w:t xml:space="preserve">inspect the source to determine whether the </w:t>
      </w:r>
      <w:r w:rsidRPr="00252E42" w:rsidR="00252E42">
        <w:t>CO</w:t>
      </w:r>
      <w:r w:rsidRPr="00252E42" w:rsidR="00252E42">
        <w:rPr>
          <w:vertAlign w:val="subscript"/>
        </w:rPr>
        <w:t>2</w:t>
      </w:r>
      <w:r w:rsidRPr="00252E42" w:rsidR="00252E42">
        <w:t xml:space="preserve"> CEMS and the associated automatic data acquisition system </w:t>
      </w:r>
      <w:r w:rsidRPr="00252E42">
        <w:t>are properly installed and operated.</w:t>
      </w:r>
      <w:r w:rsidRPr="00252E42" w:rsidR="009C7E97">
        <w:t xml:space="preserve"> </w:t>
      </w:r>
      <w:r w:rsidRPr="00252E42">
        <w:t>Data and records maintained by the respondents are tabulated and published for use in compliance and enforcement programs.</w:t>
      </w:r>
      <w:r w:rsidRPr="00252E42" w:rsidR="009C7E97">
        <w:t xml:space="preserve"> </w:t>
      </w:r>
      <w:r w:rsidRPr="00252E42">
        <w:t xml:space="preserve">The </w:t>
      </w:r>
      <w:r w:rsidRPr="00252E42" w:rsidR="00252E42">
        <w:t>quarterly</w:t>
      </w:r>
      <w:r w:rsidRPr="00252E42">
        <w:t xml:space="preserve">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02BC9041">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4D6DD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D414B">
        <w:rPr>
          <w:color w:val="000000"/>
        </w:rPr>
        <w:t>,</w:t>
      </w:r>
      <w:r>
        <w:rPr>
          <w:color w:val="000000"/>
        </w:rPr>
        <w:t xml:space="preserve"> and EPA headquarters.</w:t>
      </w:r>
      <w:r w:rsidR="009C7E97">
        <w:rPr>
          <w:color w:val="000000"/>
        </w:rPr>
        <w:t xml:space="preserve"> </w:t>
      </w:r>
      <w:r w:rsidR="005D414B">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09C029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252E42" w:rsidR="00252E42">
        <w:t>three</w:t>
      </w:r>
      <w:r w:rsidRPr="00252E42">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252E42" w:rsidP="00252E42" w14:paraId="4F4B437F" w14:textId="47AB7936">
      <w:pPr>
        <w:pBdr>
          <w:top w:val="single" w:sz="6" w:space="0" w:color="FFFFFF"/>
          <w:left w:val="single" w:sz="6" w:space="0" w:color="FFFFFF"/>
          <w:bottom w:val="single" w:sz="6" w:space="0" w:color="FFFFFF"/>
          <w:right w:val="single" w:sz="6" w:space="0" w:color="FFFFFF"/>
        </w:pBdr>
        <w:ind w:firstLine="720"/>
      </w:pPr>
      <w:r>
        <w:t>The</w:t>
      </w:r>
      <w:r w:rsidRPr="00252E42">
        <w:t xml:space="preserve"> majority of</w:t>
      </w:r>
      <w:r w:rsidRPr="00252E42">
        <w:t xml:space="preserve"> the respondents are large entities (i.e., large businesses).</w:t>
      </w:r>
      <w:r w:rsidRPr="00252E42" w:rsidR="009C7E97">
        <w:t xml:space="preserve"> </w:t>
      </w:r>
      <w:r w:rsidRPr="00252E42">
        <w:t>However, the impact on small entities (i.e., small businesses) was taken into consideration during the development of the</w:t>
      </w:r>
      <w:r>
        <w:t>se</w:t>
      </w:r>
      <w:r w:rsidRPr="00252E42">
        <w:t xml:space="preserve"> regulation</w:t>
      </w:r>
      <w:r>
        <w:t>s</w:t>
      </w:r>
      <w:r w:rsidRPr="00252E42">
        <w:t>.</w:t>
      </w:r>
      <w:r w:rsidRPr="00252E42" w:rsidR="00252E42">
        <w:t xml:space="preserve"> </w:t>
      </w:r>
      <w:r w:rsidRPr="00252E42">
        <w:t>Due to technical considerations involving the process operations and the types of control equipment employed, the recordkeeping and reporting requirements are the same for both small and large entities.</w:t>
      </w:r>
      <w:r w:rsidRPr="00252E42" w:rsidR="009C7E97">
        <w:t xml:space="preserve"> </w:t>
      </w:r>
      <w:r w:rsidRPr="00252E42">
        <w:t xml:space="preserve">The Agency considers these </w:t>
      </w:r>
      <w:r w:rsidRPr="00252E42" w:rsidR="002B29A7">
        <w:t xml:space="preserve">to be the minimum </w:t>
      </w:r>
      <w:r w:rsidRPr="00252E42">
        <w:t>requirements needed to ensure compliance and, therefore, cannot reduce them further for small entities.</w:t>
      </w:r>
      <w:r w:rsidRPr="00252E42" w:rsidR="009C7E97">
        <w:t xml:space="preserve"> </w:t>
      </w:r>
      <w:r w:rsidRPr="00252E42">
        <w:t>To the extent that larger businesses can use economies of scale to reduce their burden, the overall burden will be reduced.</w:t>
      </w:r>
    </w:p>
    <w:p w:rsidR="00CA4CD6" w:rsidRPr="003F1AFC" w14:paraId="15694245" w14:textId="77777777">
      <w:pPr>
        <w:pBdr>
          <w:top w:val="single" w:sz="6" w:space="0" w:color="FFFFFF"/>
          <w:left w:val="single" w:sz="6" w:space="0" w:color="FFFFFF"/>
          <w:bottom w:val="single" w:sz="6" w:space="0" w:color="FFFFFF"/>
          <w:right w:val="single" w:sz="6" w:space="0" w:color="FFFFFF"/>
        </w:pBdr>
        <w:rPr>
          <w:color w:val="FF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RPr="00727FAF" w14:paraId="3E842D25" w14:textId="3FD24124">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27FAF" w:rsidR="00727FAF">
        <w:t>NSPS for GHG Emissions for Newly Constructed, Modified, and Reconstructed EGUs (40 CFR Part 60, Subpart TTTT) (Renewal)</w:t>
      </w:r>
      <w:r w:rsidRPr="00727FAF">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855DD8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w:t>
      </w:r>
      <w:r>
        <w:rPr>
          <w:color w:val="000000"/>
        </w:rPr>
        <w:t>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D414B">
        <w:rPr>
          <w:color w:val="000000"/>
        </w:rPr>
        <w:t>‘B</w:t>
      </w:r>
      <w:r>
        <w:rPr>
          <w:color w:val="000000"/>
        </w:rPr>
        <w:t>urden</w:t>
      </w:r>
      <w:r w:rsidR="005D414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120D79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D414B">
        <w:rPr>
          <w:color w:val="000000"/>
        </w:rPr>
        <w:t>either</w:t>
      </w:r>
      <w:r>
        <w:rPr>
          <w:color w:val="000000"/>
        </w:rPr>
        <w:t xml:space="preserve"> conduct </w:t>
      </w:r>
      <w:r w:rsidR="005D414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A8A6A4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Pr="001D697D" w:rsidR="004C701D">
        <w:t xml:space="preserve">estimated to be </w:t>
      </w:r>
      <w:r w:rsidRPr="001D697D" w:rsidR="00727FAF">
        <w:t>3</w:t>
      </w:r>
      <w:r w:rsidRPr="001D697D" w:rsidR="00AE4B87">
        <w:t>,</w:t>
      </w:r>
      <w:r w:rsidRPr="001D697D" w:rsidR="00727FAF">
        <w:t>130</w:t>
      </w:r>
      <w:r w:rsidRPr="001D697D" w:rsidR="004C701D">
        <w:t xml:space="preserve"> </w:t>
      </w:r>
      <w:r w:rsidR="005D414B">
        <w:t xml:space="preserve">hours </w:t>
      </w:r>
      <w:r w:rsidRPr="001D697D" w:rsidR="004C701D">
        <w:t>(</w:t>
      </w:r>
      <w:r w:rsidRPr="001D697D">
        <w:t xml:space="preserve">Total Labor Hours </w:t>
      </w:r>
      <w:r>
        <w:rPr>
          <w:color w:val="000000"/>
        </w:rPr>
        <w:t>from Table 1</w:t>
      </w:r>
      <w:r w:rsidR="005D414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5D414B">
        <w:rPr>
          <w:color w:val="000000"/>
        </w:rPr>
        <w:t>is</w:t>
      </w:r>
      <w:r w:rsidR="004C701D">
        <w:rPr>
          <w:color w:val="000000"/>
        </w:rPr>
        <w:t xml:space="preserve"> </w:t>
      </w:r>
      <w:r>
        <w:rPr>
          <w:color w:val="000000"/>
        </w:rPr>
        <w:t xml:space="preserve">regulation, Agency knowledge and experience with the </w:t>
      </w:r>
      <w:r w:rsidRPr="00727FAF">
        <w:t>NSPS</w:t>
      </w:r>
      <w:r w:rsidRPr="00727FAF" w:rsidR="00727FAF">
        <w:t xml:space="preserve"> </w:t>
      </w:r>
      <w:r>
        <w:rPr>
          <w:color w:val="000000"/>
        </w:rPr>
        <w:t xml:space="preserve">program, the </w:t>
      </w:r>
      <w:r>
        <w:rPr>
          <w:color w:val="000000"/>
        </w:rPr>
        <w:t>previously</w:t>
      </w:r>
      <w:r w:rsidR="005D414B">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71BB014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26B8FD7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1E0364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E3FE2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90674" w:rsidR="006D381C">
        <w:rPr>
          <w:color w:val="000000"/>
        </w:rPr>
        <w:t xml:space="preserve">September </w:t>
      </w:r>
      <w:r w:rsidRPr="00A90674" w:rsidR="007822E0">
        <w:rPr>
          <w:color w:val="000000"/>
        </w:rPr>
        <w:t>2021</w:t>
      </w:r>
      <w:r w:rsidRPr="00A90674">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727FAF" w14:paraId="3ABDD58F"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727FAF" w14:paraId="728A7CA7" w14:textId="4166529C">
      <w:pPr>
        <w:pBdr>
          <w:top w:val="single" w:sz="6" w:space="0" w:color="FFFFFF"/>
          <w:left w:val="single" w:sz="6" w:space="0" w:color="FFFFFF"/>
          <w:bottom w:val="single" w:sz="6" w:space="0" w:color="FFFFFF"/>
          <w:right w:val="single" w:sz="6" w:space="0" w:color="FFFFFF"/>
        </w:pBdr>
        <w:ind w:firstLine="720"/>
      </w:pPr>
      <w:r w:rsidRPr="00727FAF">
        <w:t>The only costs to the regulated industry resulting from information collection activities required by the subject standard(s) are labor costs.</w:t>
      </w:r>
      <w:r w:rsidRPr="00727FAF" w:rsidR="009C7E97">
        <w:t xml:space="preserve"> </w:t>
      </w:r>
      <w:r w:rsidRPr="00727FAF">
        <w:t xml:space="preserve">There are no capital/startup </w:t>
      </w:r>
      <w:r w:rsidR="005D414B">
        <w:t>and/</w:t>
      </w:r>
      <w:r w:rsidRPr="00727FAF">
        <w:t>or operation and maintenance costs.</w:t>
      </w:r>
    </w:p>
    <w:p w:rsidR="00CA4CD6" w:rsidRPr="00727FAF" w14:paraId="2DD142A4" w14:textId="77777777">
      <w:pPr>
        <w:pBdr>
          <w:top w:val="single" w:sz="6" w:space="0" w:color="FFFFFF"/>
          <w:left w:val="single" w:sz="6" w:space="0" w:color="FFFFFF"/>
          <w:bottom w:val="single" w:sz="6" w:space="0" w:color="FFFFFF"/>
          <w:right w:val="single" w:sz="6" w:space="0" w:color="FFFFFF"/>
        </w:pBdr>
      </w:pPr>
    </w:p>
    <w:p w:rsidR="00CA4CD6" w:rsidRPr="00727FAF"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pPr>
      <w:r w:rsidRPr="00727FAF">
        <w:rPr>
          <w:b/>
          <w:bCs/>
        </w:rPr>
        <w:t>(iii)</w:t>
      </w:r>
      <w:r w:rsidRPr="00727FAF" w:rsidR="009C7E97">
        <w:rPr>
          <w:b/>
          <w:bCs/>
        </w:rPr>
        <w:t xml:space="preserve"> </w:t>
      </w:r>
      <w:r w:rsidRPr="00727FAF">
        <w:rPr>
          <w:b/>
          <w:bCs/>
        </w:rPr>
        <w:t>Capital/Startup vs. Operation and Maintenance (O&amp;M) Costs</w:t>
      </w:r>
    </w:p>
    <w:p w:rsidR="00CA4CD6" w:rsidRPr="00727FAF" w14:paraId="36CE34E1" w14:textId="77777777">
      <w:pPr>
        <w:pBdr>
          <w:top w:val="single" w:sz="6" w:space="0" w:color="FFFFFF"/>
          <w:left w:val="single" w:sz="6" w:space="0" w:color="FFFFFF"/>
          <w:bottom w:val="single" w:sz="6" w:space="0" w:color="FFFFFF"/>
          <w:right w:val="single" w:sz="6" w:space="0" w:color="FFFFFF"/>
        </w:pBdr>
      </w:pPr>
    </w:p>
    <w:p w:rsidR="00CA4CD6" w:rsidRPr="00727FAF" w:rsidP="00727FAF" w14:paraId="1FCF5AE8" w14:textId="2B1D2175">
      <w:pPr>
        <w:pBdr>
          <w:top w:val="single" w:sz="6" w:space="0" w:color="FFFFFF"/>
          <w:left w:val="single" w:sz="6" w:space="0" w:color="FFFFFF"/>
          <w:bottom w:val="single" w:sz="6" w:space="0" w:color="FFFFFF"/>
          <w:right w:val="single" w:sz="6" w:space="0" w:color="FFFFFF"/>
        </w:pBdr>
        <w:ind w:firstLine="720"/>
      </w:pPr>
      <w:r w:rsidRPr="00727FAF">
        <w:t xml:space="preserve">The only type of industry costs associated with the information collection activity in </w:t>
      </w:r>
      <w:r w:rsidRPr="00727FAF">
        <w:t>th</w:t>
      </w:r>
      <w:r w:rsidR="005D414B">
        <w:t>is</w:t>
      </w:r>
      <w:r w:rsidRPr="00727FAF">
        <w:t xml:space="preserve"> regulations</w:t>
      </w:r>
      <w:r w:rsidRPr="00727FAF">
        <w:t xml:space="preserve"> are labor costs.</w:t>
      </w:r>
      <w:r w:rsidRPr="00727FAF" w:rsidR="009C7E97">
        <w:t xml:space="preserve"> </w:t>
      </w:r>
      <w:r w:rsidRPr="00727FAF">
        <w:t xml:space="preserve">There are no capital/startup </w:t>
      </w:r>
      <w:r w:rsidR="005D414B">
        <w:t>and/</w:t>
      </w:r>
      <w:r w:rsidRPr="00727FAF">
        <w:t>or operation and maintenance costs.</w:t>
      </w:r>
    </w:p>
    <w:p w:rsidR="00CA4CD6" w14:paraId="6FBF4AEF" w14:textId="7F1AA7C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B4803F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5D414B">
        <w:rPr>
          <w:color w:val="000000"/>
        </w:rPr>
        <w:t xml:space="preserve">The </w:t>
      </w:r>
      <w:r>
        <w:rPr>
          <w:color w:val="000000"/>
        </w:rPr>
        <w:t>EPA's overall compliance and enforcement program i</w:t>
      </w:r>
      <w:r w:rsidR="005C42AC">
        <w:rPr>
          <w:color w:val="000000"/>
        </w:rPr>
        <w:t xml:space="preserve">ncludes </w:t>
      </w:r>
      <w:r w:rsidR="005D414B">
        <w:rPr>
          <w:color w:val="000000"/>
        </w:rPr>
        <w:t xml:space="preserve">such </w:t>
      </w:r>
      <w:r w:rsidR="005C42AC">
        <w:rPr>
          <w:color w:val="000000"/>
        </w:rPr>
        <w:t xml:space="preserve">activities </w:t>
      </w:r>
      <w:r w:rsidR="005D414B">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1D697D" w14:paraId="45E549F0" w14:textId="632C9A91">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1D697D">
        <w:t>$</w:t>
      </w:r>
      <w:r w:rsidRPr="001D697D" w:rsidR="005A23D3">
        <w:t>88,300</w:t>
      </w:r>
      <w:r w:rsidRPr="001D697D">
        <w:t>.</w:t>
      </w:r>
      <w:r w:rsidRPr="001D697D" w:rsidR="009C7E97">
        <w:t xml:space="preserve"> </w:t>
      </w:r>
    </w:p>
    <w:p w:rsidR="00CA4CD6" w:rsidRPr="001D697D" w14:paraId="0852465F" w14:textId="77777777">
      <w:pPr>
        <w:pBdr>
          <w:top w:val="single" w:sz="6" w:space="0" w:color="FFFFFF"/>
          <w:left w:val="single" w:sz="6" w:space="0" w:color="FFFFFF"/>
          <w:bottom w:val="single" w:sz="6" w:space="0" w:color="FFFFFF"/>
          <w:right w:val="single" w:sz="6" w:space="0" w:color="FFFFFF"/>
        </w:pBdr>
      </w:pPr>
    </w:p>
    <w:p w:rsidR="00CA4CD6" w:rsidRPr="001D697D" w14:paraId="5762573E" w14:textId="77777777">
      <w:pPr>
        <w:pBdr>
          <w:top w:val="single" w:sz="6" w:space="0" w:color="FFFFFF"/>
          <w:left w:val="single" w:sz="6" w:space="0" w:color="FFFFFF"/>
          <w:bottom w:val="single" w:sz="6" w:space="0" w:color="FFFFFF"/>
          <w:right w:val="single" w:sz="6" w:space="0" w:color="FFFFFF"/>
        </w:pBdr>
        <w:ind w:firstLine="720"/>
      </w:pPr>
      <w:r w:rsidRPr="001D697D">
        <w:t>This cost is based on the average hourly labor rate as follows:</w:t>
      </w:r>
    </w:p>
    <w:p w:rsidR="00D2273E" w:rsidRPr="001D697D" w:rsidP="00D2273E" w14:paraId="72B9D038" w14:textId="77777777"/>
    <w:p w:rsidR="00CA4CD6" w:rsidRPr="001D697D" w:rsidP="00D2273E" w14:paraId="5D75E75B" w14:textId="70ACE6F9">
      <w:r w:rsidRPr="001D697D">
        <w:tab/>
      </w:r>
      <w:r w:rsidRPr="001D697D">
        <w:tab/>
      </w:r>
      <w:r w:rsidRPr="001D697D">
        <w:t>Managerial</w:t>
      </w:r>
      <w:r w:rsidRPr="001D697D">
        <w:tab/>
      </w:r>
      <w:r w:rsidRPr="001D697D" w:rsidR="00C94F0E">
        <w:t>$</w:t>
      </w:r>
      <w:r w:rsidRPr="001D697D" w:rsidR="000E6AAE">
        <w:t>70.56</w:t>
      </w:r>
      <w:r w:rsidRPr="001D697D" w:rsidR="00C94F0E">
        <w:t xml:space="preserve"> </w:t>
      </w:r>
      <w:r w:rsidRPr="001D697D" w:rsidR="00991AF7">
        <w:t xml:space="preserve">(GS-13, Step 5, </w:t>
      </w:r>
      <w:r w:rsidRPr="001D697D" w:rsidR="00C94F0E">
        <w:t>$</w:t>
      </w:r>
      <w:r w:rsidRPr="001D697D" w:rsidR="000E6AAE">
        <w:t>44.10</w:t>
      </w:r>
      <w:r w:rsidRPr="001D697D" w:rsidR="00C94F0E">
        <w:t xml:space="preserve"> </w:t>
      </w:r>
      <w:r w:rsidRPr="001D697D" w:rsidR="00991AF7">
        <w:t>+ 60%)</w:t>
      </w:r>
    </w:p>
    <w:p w:rsidR="00CA4CD6" w:rsidRPr="001D697D" w:rsidP="00D2273E" w14:paraId="0F39875F" w14:textId="2ABF37DF">
      <w:r w:rsidRPr="001D697D">
        <w:tab/>
      </w:r>
      <w:r w:rsidRPr="001D697D">
        <w:tab/>
      </w:r>
      <w:r w:rsidRPr="001D697D">
        <w:t>Technical</w:t>
      </w:r>
      <w:r w:rsidRPr="001D697D">
        <w:tab/>
      </w:r>
      <w:r w:rsidRPr="001D697D" w:rsidR="00C94F0E">
        <w:t>$</w:t>
      </w:r>
      <w:r w:rsidRPr="001D697D" w:rsidR="000E6AAE">
        <w:t>52.37</w:t>
      </w:r>
      <w:r w:rsidRPr="001D697D" w:rsidR="00C94F0E">
        <w:t xml:space="preserve"> </w:t>
      </w:r>
      <w:r w:rsidRPr="001D697D" w:rsidR="00991AF7">
        <w:t>(GS-12, Step 1, $</w:t>
      </w:r>
      <w:r w:rsidRPr="001D697D" w:rsidR="000E6AAE">
        <w:t>32.73</w:t>
      </w:r>
      <w:r w:rsidRPr="001D697D" w:rsidR="00C94F0E">
        <w:t xml:space="preserve"> </w:t>
      </w:r>
      <w:r w:rsidRPr="001D697D" w:rsidR="00991AF7">
        <w:t>+ 60%)</w:t>
      </w:r>
    </w:p>
    <w:p w:rsidR="00CA4CD6" w:rsidRPr="001D697D" w:rsidP="00D2273E" w14:paraId="2D0AFDE9" w14:textId="4935C775">
      <w:r w:rsidRPr="001D697D">
        <w:tab/>
      </w:r>
      <w:r w:rsidRPr="001D697D">
        <w:tab/>
      </w:r>
      <w:r w:rsidRPr="001D697D">
        <w:t>Clerical</w:t>
      </w:r>
      <w:r w:rsidRPr="001D697D">
        <w:tab/>
      </w:r>
      <w:r w:rsidRPr="001D697D" w:rsidR="00C94F0E">
        <w:t>$</w:t>
      </w:r>
      <w:r w:rsidRPr="001D697D" w:rsidR="000E6AAE">
        <w:t>28.34</w:t>
      </w:r>
      <w:r w:rsidRPr="001D697D" w:rsidR="00991AF7">
        <w:t>(GS-6, Step 3, $</w:t>
      </w:r>
      <w:r w:rsidRPr="001D697D" w:rsidR="000E6AAE">
        <w:t>17.17</w:t>
      </w:r>
      <w:r w:rsidRPr="001D697D" w:rsidR="00991AF7">
        <w:t xml:space="preserve"> + 60%)</w:t>
      </w:r>
    </w:p>
    <w:p w:rsidR="00CA4CD6" w:rsidRPr="001D697D" w14:paraId="19BBA88A" w14:textId="77777777">
      <w:pPr>
        <w:pBdr>
          <w:top w:val="single" w:sz="6" w:space="0" w:color="FFFFFF"/>
          <w:left w:val="single" w:sz="6" w:space="0" w:color="FFFFFF"/>
          <w:bottom w:val="single" w:sz="6" w:space="0" w:color="FFFFFF"/>
          <w:right w:val="single" w:sz="6" w:space="0" w:color="FFFFFF"/>
        </w:pBdr>
      </w:pPr>
    </w:p>
    <w:p w:rsidR="00CA4CD6" w:rsidRPr="001D697D" w:rsidP="003C677A" w14:paraId="4F3D8841" w14:textId="143CCFF0">
      <w:pPr>
        <w:pBdr>
          <w:top w:val="single" w:sz="6" w:space="0" w:color="FFFFFF"/>
          <w:left w:val="single" w:sz="6" w:space="0" w:color="FFFFFF"/>
          <w:bottom w:val="single" w:sz="6" w:space="0" w:color="FFFFFF"/>
          <w:right w:val="single" w:sz="6" w:space="0" w:color="FFFFFF"/>
        </w:pBdr>
        <w:ind w:firstLine="720"/>
      </w:pPr>
      <w:r w:rsidRPr="001D697D">
        <w:t>These rates are from the Office of Personnel Management (OPM)</w:t>
      </w:r>
      <w:r w:rsidRPr="001D697D" w:rsidR="007A458D">
        <w:t>,</w:t>
      </w:r>
      <w:r w:rsidRPr="001D697D">
        <w:t xml:space="preserve"> </w:t>
      </w:r>
      <w:r w:rsidRPr="001D697D" w:rsidR="006D381C">
        <w:t xml:space="preserve">2022 </w:t>
      </w:r>
      <w:r w:rsidRPr="001D697D">
        <w:t>General Schedule</w:t>
      </w:r>
      <w:r w:rsidRPr="001D697D" w:rsidR="007A458D">
        <w:t>,</w:t>
      </w:r>
      <w:r w:rsidRPr="001D697D">
        <w:t xml:space="preserve"> which excludes locality rates of pay.</w:t>
      </w:r>
      <w:r w:rsidRPr="001D697D" w:rsidR="009C7E97">
        <w:t xml:space="preserve"> </w:t>
      </w:r>
      <w:r w:rsidRPr="001D697D" w:rsidR="00E77D5E">
        <w:t>The rates have been increased by 60</w:t>
      </w:r>
      <w:r w:rsidRPr="001D697D" w:rsidR="00D2273E">
        <w:t xml:space="preserve"> percent</w:t>
      </w:r>
      <w:r w:rsidRPr="001D697D" w:rsidR="00E77D5E">
        <w:t xml:space="preserve"> to account for the benefit packages available to </w:t>
      </w:r>
      <w:r w:rsidR="005D414B">
        <w:t xml:space="preserve">Federal </w:t>
      </w:r>
      <w:r w:rsidRPr="001D697D" w:rsidR="00E77D5E">
        <w:t>government employees.</w:t>
      </w:r>
      <w:r w:rsidRPr="001D697D" w:rsidR="009C7E97">
        <w:t xml:space="preserve"> </w:t>
      </w:r>
      <w:r w:rsidRPr="001D697D">
        <w:t xml:space="preserve">Details upon which this estimate is based appear </w:t>
      </w:r>
      <w:r w:rsidRPr="001D697D" w:rsidR="0095132C">
        <w:t xml:space="preserve">at the end of this document </w:t>
      </w:r>
      <w:r w:rsidRPr="001D697D" w:rsidR="007A458D">
        <w:t xml:space="preserve">in </w:t>
      </w:r>
      <w:r w:rsidRPr="001D697D">
        <w:t xml:space="preserve">Table 2: </w:t>
      </w:r>
      <w:r w:rsidRPr="001D697D" w:rsidR="00CF2B37">
        <w:t>Average Annual EPA Burden and Cost –</w:t>
      </w:r>
      <w:r w:rsidRPr="001D697D" w:rsidR="00144F35">
        <w:t xml:space="preserve"> </w:t>
      </w:r>
      <w:r w:rsidRPr="001D697D" w:rsidR="0069555D">
        <w:t>NSPS for GHG Emissions for Newly Constructed, Modified, and Reconstructed EGUs (40 CFR Part 60, Subpart TTTT) (Renewal).</w:t>
      </w:r>
    </w:p>
    <w:p w:rsidR="00CA4CD6" w:rsidRPr="001D697D" w14:paraId="7D624E93" w14:textId="77777777">
      <w:pPr>
        <w:pBdr>
          <w:top w:val="single" w:sz="6" w:space="0" w:color="FFFFFF"/>
          <w:left w:val="single" w:sz="6" w:space="0" w:color="FFFFFF"/>
          <w:bottom w:val="single" w:sz="6" w:space="0" w:color="FFFFFF"/>
          <w:right w:val="single" w:sz="6" w:space="0" w:color="FFFFFF"/>
        </w:pBdr>
      </w:pPr>
    </w:p>
    <w:p w:rsidR="00CA4CD6" w:rsidRPr="001D697D"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1D697D">
        <w:rPr>
          <w:b/>
          <w:bCs/>
        </w:rPr>
        <w:t>6(d)</w:t>
      </w:r>
      <w:r w:rsidRPr="001D697D" w:rsidR="009C7E97">
        <w:rPr>
          <w:b/>
          <w:bCs/>
        </w:rPr>
        <w:t xml:space="preserve"> </w:t>
      </w:r>
      <w:r w:rsidRPr="001D697D">
        <w:rPr>
          <w:b/>
          <w:bCs/>
        </w:rPr>
        <w:t>Estimating the Respondent Universe and Total Burden and Costs</w:t>
      </w:r>
    </w:p>
    <w:p w:rsidR="00CA4CD6" w:rsidRPr="001D697D" w14:paraId="622E2F29" w14:textId="77777777">
      <w:pPr>
        <w:pBdr>
          <w:top w:val="single" w:sz="6" w:space="0" w:color="FFFFFF"/>
          <w:left w:val="single" w:sz="6" w:space="0" w:color="FFFFFF"/>
          <w:bottom w:val="single" w:sz="6" w:space="0" w:color="FFFFFF"/>
          <w:right w:val="single" w:sz="6" w:space="0" w:color="FFFFFF"/>
        </w:pBdr>
        <w:rPr>
          <w:b/>
          <w:bCs/>
        </w:rPr>
      </w:pPr>
    </w:p>
    <w:p w:rsidR="00CA4CD6" w:rsidRPr="001D697D" w14:paraId="20D417A8" w14:textId="5575AD31">
      <w:pPr>
        <w:pBdr>
          <w:top w:val="single" w:sz="6" w:space="0" w:color="FFFFFF"/>
          <w:left w:val="single" w:sz="6" w:space="0" w:color="FFFFFF"/>
          <w:bottom w:val="single" w:sz="6" w:space="0" w:color="FFFFFF"/>
          <w:right w:val="single" w:sz="6" w:space="0" w:color="FFFFFF"/>
        </w:pBdr>
        <w:ind w:firstLine="720"/>
      </w:pPr>
      <w:r w:rsidRPr="001D697D">
        <w:t xml:space="preserve">Based on our research for this ICR, on average over the next three years, approximately </w:t>
      </w:r>
      <w:r w:rsidRPr="001D697D" w:rsidR="0069555D">
        <w:t>60</w:t>
      </w:r>
      <w:r w:rsidRPr="001D697D">
        <w:t xml:space="preserve"> existing respondents will be subject to the</w:t>
      </w:r>
      <w:r w:rsidR="005D414B">
        <w:t>se</w:t>
      </w:r>
      <w:r w:rsidRPr="001D697D">
        <w:t xml:space="preserve"> standard</w:t>
      </w:r>
      <w:r w:rsidR="005D414B">
        <w:t>s</w:t>
      </w:r>
      <w:r w:rsidRPr="001D697D">
        <w:t>.</w:t>
      </w:r>
      <w:r w:rsidRPr="001D697D" w:rsidR="009C7E97">
        <w:t xml:space="preserve"> </w:t>
      </w:r>
      <w:r w:rsidRPr="001D697D">
        <w:t xml:space="preserve">It is estimated that an additional </w:t>
      </w:r>
      <w:r w:rsidRPr="001D697D" w:rsidR="0069555D">
        <w:t>16</w:t>
      </w:r>
      <w:r w:rsidRPr="001D697D">
        <w:t xml:space="preserve"> respondents per year will become subject.</w:t>
      </w:r>
      <w:r w:rsidRPr="001D697D" w:rsidR="009C7E97">
        <w:t xml:space="preserve"> </w:t>
      </w:r>
      <w:r w:rsidRPr="001D697D">
        <w:t>The overall average number of responden</w:t>
      </w:r>
      <w:r w:rsidRPr="001D697D" w:rsidR="0035325B">
        <w:t>ts, as shown in the table below,</w:t>
      </w:r>
      <w:r w:rsidRPr="001D697D">
        <w:t xml:space="preserve"> is </w:t>
      </w:r>
      <w:r w:rsidRPr="001D697D" w:rsidR="0069555D">
        <w:t>92</w:t>
      </w:r>
      <w:r w:rsidRPr="001D697D">
        <w:t xml:space="preserve"> per year.</w:t>
      </w:r>
    </w:p>
    <w:p w:rsidR="00CA4CD6" w:rsidRPr="001D697D" w14:paraId="039C40C2" w14:textId="77777777">
      <w:pPr>
        <w:pBdr>
          <w:top w:val="single" w:sz="6" w:space="0" w:color="FFFFFF"/>
          <w:left w:val="single" w:sz="6" w:space="0" w:color="FFFFFF"/>
          <w:bottom w:val="single" w:sz="6" w:space="0" w:color="FFFFFF"/>
          <w:right w:val="single" w:sz="6" w:space="0" w:color="FFFFFF"/>
        </w:pBdr>
      </w:pPr>
    </w:p>
    <w:p w:rsidR="005D414B" w14:paraId="5EF9BE39" w14:textId="34CC9782">
      <w:pPr>
        <w:pBdr>
          <w:top w:val="single" w:sz="6" w:space="0" w:color="FFFFFF"/>
          <w:left w:val="single" w:sz="6" w:space="0" w:color="FFFFFF"/>
          <w:bottom w:val="single" w:sz="6" w:space="0" w:color="FFFFFF"/>
          <w:right w:val="single" w:sz="6" w:space="0" w:color="FFFFFF"/>
        </w:pBdr>
        <w:ind w:firstLine="720"/>
        <w:rPr>
          <w:color w:val="000000"/>
        </w:rPr>
      </w:pPr>
      <w:r w:rsidRPr="001D697D">
        <w:t xml:space="preserve">The number of respondents </w:t>
      </w:r>
      <w:r>
        <w:rPr>
          <w:color w:val="000000"/>
        </w:rPr>
        <w:t xml:space="preserve">is calculated using the following table </w:t>
      </w:r>
      <w:r w:rsidR="002B29A7">
        <w:rPr>
          <w:color w:val="000000"/>
        </w:rPr>
        <w:t xml:space="preserve">that </w:t>
      </w:r>
      <w:r>
        <w:rPr>
          <w:color w:val="000000"/>
        </w:rPr>
        <w:t>addresses the three years covered by this ICR</w:t>
      </w:r>
      <w:r>
        <w:rPr>
          <w:color w:val="000000"/>
        </w:rPr>
        <w:t>:</w:t>
      </w:r>
    </w:p>
    <w:p w:rsidR="005D414B" w14:paraId="56AAB10B"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38D71E91"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6AFFFF48"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3A0F216F"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341BE131"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4CD3717E" w14:textId="77777777">
      <w:pPr>
        <w:pBdr>
          <w:top w:val="single" w:sz="6" w:space="0" w:color="FFFFFF"/>
          <w:left w:val="single" w:sz="6" w:space="0" w:color="FFFFFF"/>
          <w:bottom w:val="single" w:sz="6" w:space="0" w:color="FFFFFF"/>
          <w:right w:val="single" w:sz="6" w:space="0" w:color="FFFFFF"/>
        </w:pBdr>
        <w:ind w:firstLine="720"/>
        <w:rPr>
          <w:color w:val="000000"/>
        </w:rPr>
      </w:pPr>
    </w:p>
    <w:p w:rsidR="005D414B" w14:paraId="698A21E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66B5DA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69555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69555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69555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69555D">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69555D" w:rsidP="0069555D"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69555D" w:rsidP="0069555D" w14:paraId="3108CE70" w14:textId="1CA0F4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82" w:type="dxa"/>
            <w:tcBorders>
              <w:top w:val="single" w:sz="8" w:space="0" w:color="000000"/>
              <w:left w:val="single" w:sz="6" w:space="0" w:color="000000"/>
              <w:bottom w:val="single" w:sz="6" w:space="0" w:color="000000"/>
              <w:right w:val="single" w:sz="6" w:space="0" w:color="000000"/>
            </w:tcBorders>
            <w:vAlign w:val="center"/>
          </w:tcPr>
          <w:p w:rsidR="0069555D" w:rsidP="0069555D" w14:paraId="0B137A30" w14:textId="65DB6F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60</w:t>
            </w:r>
          </w:p>
        </w:tc>
        <w:tc>
          <w:tcPr>
            <w:tcW w:w="2070" w:type="dxa"/>
            <w:tcBorders>
              <w:top w:val="single" w:sz="8" w:space="0" w:color="000000"/>
              <w:left w:val="single" w:sz="6" w:space="0" w:color="000000"/>
              <w:bottom w:val="single" w:sz="6" w:space="0" w:color="000000"/>
              <w:right w:val="single" w:sz="6" w:space="0" w:color="000000"/>
            </w:tcBorders>
            <w:vAlign w:val="center"/>
          </w:tcPr>
          <w:p w:rsidR="0069555D" w:rsidP="0069555D" w14:paraId="7D960C93" w14:textId="2E4124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69555D" w:rsidP="0069555D" w14:paraId="7ED54B96" w14:textId="142666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69555D" w:rsidP="0069555D" w14:paraId="3F7C0DAD" w14:textId="2033C0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76</w:t>
            </w:r>
          </w:p>
        </w:tc>
      </w:tr>
      <w:tr w14:paraId="75ED52D9" w14:textId="77777777" w:rsidTr="0069555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9555D" w:rsidP="0069555D"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69555D" w:rsidP="0069555D" w14:paraId="7564DEC3" w14:textId="7C59DB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6" w:space="0" w:color="000000"/>
              <w:right w:val="single" w:sz="6" w:space="0" w:color="000000"/>
            </w:tcBorders>
            <w:vAlign w:val="center"/>
          </w:tcPr>
          <w:p w:rsidR="0069555D" w:rsidP="0069555D" w14:paraId="002226B8" w14:textId="1E540C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76</w:t>
            </w:r>
          </w:p>
        </w:tc>
        <w:tc>
          <w:tcPr>
            <w:tcW w:w="2070" w:type="dxa"/>
            <w:tcBorders>
              <w:top w:val="single" w:sz="6" w:space="0" w:color="000000"/>
              <w:left w:val="single" w:sz="6" w:space="0" w:color="000000"/>
              <w:bottom w:val="single" w:sz="6" w:space="0" w:color="000000"/>
              <w:right w:val="single" w:sz="6" w:space="0" w:color="000000"/>
            </w:tcBorders>
            <w:vAlign w:val="center"/>
          </w:tcPr>
          <w:p w:rsidR="0069555D" w:rsidP="0069555D" w14:paraId="1C3913C5" w14:textId="197D7B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9555D" w:rsidP="0069555D" w14:paraId="3802688A" w14:textId="7DF517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9555D" w:rsidP="0069555D" w14:paraId="45C01B8A" w14:textId="3E8BFE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92</w:t>
            </w:r>
          </w:p>
        </w:tc>
      </w:tr>
      <w:tr w14:paraId="0C60FE4C" w14:textId="77777777" w:rsidTr="0069555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9555D" w:rsidP="0069555D"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69555D" w:rsidP="0069555D" w14:paraId="1A6EA395" w14:textId="1BA3D5E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6" w:space="0" w:color="000000"/>
              <w:right w:val="single" w:sz="6" w:space="0" w:color="000000"/>
            </w:tcBorders>
            <w:vAlign w:val="center"/>
          </w:tcPr>
          <w:p w:rsidR="0069555D" w:rsidP="0069555D" w14:paraId="37336570" w14:textId="7751BD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92</w:t>
            </w:r>
          </w:p>
        </w:tc>
        <w:tc>
          <w:tcPr>
            <w:tcW w:w="2070" w:type="dxa"/>
            <w:tcBorders>
              <w:top w:val="single" w:sz="6" w:space="0" w:color="000000"/>
              <w:left w:val="single" w:sz="6" w:space="0" w:color="000000"/>
              <w:bottom w:val="single" w:sz="6" w:space="0" w:color="000000"/>
              <w:right w:val="single" w:sz="6" w:space="0" w:color="000000"/>
            </w:tcBorders>
            <w:vAlign w:val="center"/>
          </w:tcPr>
          <w:p w:rsidR="0069555D" w:rsidP="0069555D" w14:paraId="7C60F04B" w14:textId="15E1EB1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9555D" w:rsidP="0069555D" w14:paraId="53B7186D" w14:textId="1704D0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9555D" w:rsidP="0069555D" w14:paraId="18B5AAAA" w14:textId="2ED12DA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108</w:t>
            </w:r>
          </w:p>
        </w:tc>
      </w:tr>
      <w:tr w14:paraId="6B3C1DEA" w14:textId="77777777" w:rsidTr="0069555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69555D" w:rsidP="0069555D"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69555D" w:rsidP="0069555D" w14:paraId="1581E97D" w14:textId="29D15A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8" w:space="0" w:color="000000"/>
              <w:right w:val="single" w:sz="6" w:space="0" w:color="000000"/>
            </w:tcBorders>
            <w:vAlign w:val="center"/>
          </w:tcPr>
          <w:p w:rsidR="0069555D" w:rsidP="0069555D" w14:paraId="47314C40" w14:textId="5F7789C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76</w:t>
            </w:r>
          </w:p>
        </w:tc>
        <w:tc>
          <w:tcPr>
            <w:tcW w:w="2070" w:type="dxa"/>
            <w:tcBorders>
              <w:top w:val="single" w:sz="6" w:space="0" w:color="000000"/>
              <w:left w:val="single" w:sz="6" w:space="0" w:color="000000"/>
              <w:bottom w:val="single" w:sz="8" w:space="0" w:color="000000"/>
              <w:right w:val="single" w:sz="6" w:space="0" w:color="000000"/>
            </w:tcBorders>
            <w:vAlign w:val="center"/>
          </w:tcPr>
          <w:p w:rsidR="0069555D" w:rsidP="0069555D" w14:paraId="480163AE" w14:textId="07ED32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69555D" w:rsidP="0069555D" w14:paraId="2B2CDCCB" w14:textId="31B6E32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69555D" w:rsidP="0069555D" w14:paraId="0CAD30F7" w14:textId="100317C1">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sz w:val="18"/>
                <w:szCs w:val="18"/>
              </w:rPr>
              <w:t>92</w:t>
            </w:r>
          </w:p>
        </w:tc>
      </w:tr>
    </w:tbl>
    <w:p w:rsidR="00CA4CD6" w14:paraId="7C547DF5" w14:textId="7D889857">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RPr="001D697D" w14:paraId="20B94E50" w14:textId="06BCDEB7">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1D697D">
        <w:t xml:space="preserve">ICR is </w:t>
      </w:r>
      <w:r w:rsidRPr="001D697D" w:rsidR="0069555D">
        <w:t>92</w:t>
      </w:r>
      <w:r w:rsidRPr="001D697D" w:rsidR="00507EC5">
        <w:t xml:space="preserve">. </w:t>
      </w:r>
    </w:p>
    <w:p w:rsidR="00CA4CD6" w:rsidRPr="001D697D" w:rsidP="0069555D" w14:paraId="6343745F" w14:textId="77777777">
      <w:pPr>
        <w:pBdr>
          <w:top w:val="single" w:sz="6" w:space="0" w:color="FFFFFF"/>
          <w:left w:val="single" w:sz="6" w:space="0" w:color="FFFFFF"/>
          <w:bottom w:val="single" w:sz="6" w:space="0" w:color="FFFFFF"/>
          <w:right w:val="single" w:sz="6" w:space="0" w:color="FFFFFF"/>
        </w:pBdr>
      </w:pPr>
    </w:p>
    <w:p w:rsidR="00CA4CD6" w:rsidRPr="001D697D" w14:paraId="2DD44DAF" w14:textId="2AFA7B3D">
      <w:pPr>
        <w:pBdr>
          <w:top w:val="single" w:sz="6" w:space="0" w:color="FFFFFF"/>
          <w:left w:val="single" w:sz="6" w:space="0" w:color="FFFFFF"/>
          <w:bottom w:val="single" w:sz="6" w:space="0" w:color="FFFFFF"/>
          <w:right w:val="single" w:sz="6" w:space="0" w:color="FFFFFF"/>
        </w:pBdr>
        <w:ind w:firstLine="720"/>
      </w:pPr>
      <w:r w:rsidRPr="001D697D">
        <w:t>The total number of annual responses per year is calculated using the following table:</w:t>
      </w:r>
    </w:p>
    <w:p w:rsidR="00CA4CD6" w:rsidRPr="001D697D"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69555D">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1D697D" w:rsidP="00FD56E3" w14:paraId="6EA78754" w14:textId="77777777">
            <w:pPr>
              <w:spacing w:line="120" w:lineRule="exact"/>
            </w:pPr>
          </w:p>
          <w:p w:rsidR="00CA4CD6" w:rsidRPr="001D697D"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D697D">
              <w:rPr>
                <w:b/>
                <w:bCs/>
              </w:rPr>
              <w:t>Total Annual Responses</w:t>
            </w:r>
          </w:p>
        </w:tc>
      </w:tr>
      <w:tr w14:paraId="081547E5" w14:textId="77777777" w:rsidTr="0069555D">
        <w:tblPrEx>
          <w:tblW w:w="9180" w:type="dxa"/>
          <w:tblInd w:w="201" w:type="dxa"/>
          <w:tblLayout w:type="fixed"/>
          <w:tblCellMar>
            <w:left w:w="111" w:type="dxa"/>
            <w:right w:w="111" w:type="dxa"/>
          </w:tblCellMar>
          <w:tblLook w:val="0000"/>
        </w:tblPrEx>
        <w:tc>
          <w:tcPr>
            <w:tcW w:w="2700" w:type="dxa"/>
          </w:tcPr>
          <w:p w:rsidR="00CA4CD6" w:rsidRPr="001D697D" w:rsidP="0035325B" w14:paraId="1FF13FEE" w14:textId="77777777">
            <w:pPr>
              <w:spacing w:line="120" w:lineRule="exact"/>
              <w:jc w:val="center"/>
              <w:rPr>
                <w:b/>
                <w:bCs/>
                <w:sz w:val="18"/>
                <w:szCs w:val="18"/>
              </w:rPr>
            </w:pPr>
          </w:p>
          <w:p w:rsidR="00CA4CD6" w:rsidRPr="001D697D"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(A)</w:t>
            </w:r>
          </w:p>
          <w:p w:rsidR="00CA4CD6" w:rsidRPr="001D697D"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1D697D"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D697D">
              <w:rPr>
                <w:sz w:val="18"/>
                <w:szCs w:val="18"/>
              </w:rPr>
              <w:t>Information Collection Activity</w:t>
            </w:r>
          </w:p>
        </w:tc>
        <w:tc>
          <w:tcPr>
            <w:tcW w:w="1260" w:type="dxa"/>
          </w:tcPr>
          <w:p w:rsidR="00CA4CD6" w:rsidRPr="001D697D" w:rsidP="0035325B" w14:paraId="1512DB18" w14:textId="77777777">
            <w:pPr>
              <w:spacing w:line="120" w:lineRule="exact"/>
              <w:jc w:val="center"/>
              <w:rPr>
                <w:sz w:val="18"/>
                <w:szCs w:val="18"/>
              </w:rPr>
            </w:pPr>
          </w:p>
          <w:p w:rsidR="00CA4CD6" w:rsidRPr="001D697D"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(B)</w:t>
            </w:r>
          </w:p>
          <w:p w:rsidR="00CA4CD6" w:rsidRPr="001D697D"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1D697D"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D697D">
              <w:rPr>
                <w:sz w:val="18"/>
                <w:szCs w:val="18"/>
              </w:rPr>
              <w:t>Number of Respondents</w:t>
            </w:r>
          </w:p>
        </w:tc>
        <w:tc>
          <w:tcPr>
            <w:tcW w:w="1260" w:type="dxa"/>
          </w:tcPr>
          <w:p w:rsidR="00CA4CD6" w:rsidRPr="001D697D" w:rsidP="0035325B" w14:paraId="7C8774CA" w14:textId="77777777">
            <w:pPr>
              <w:spacing w:line="120" w:lineRule="exact"/>
              <w:jc w:val="center"/>
              <w:rPr>
                <w:sz w:val="18"/>
                <w:szCs w:val="18"/>
              </w:rPr>
            </w:pPr>
          </w:p>
          <w:p w:rsidR="00CA4CD6" w:rsidRPr="001D697D"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(C)</w:t>
            </w:r>
          </w:p>
          <w:p w:rsidR="00CA4CD6" w:rsidRPr="001D697D"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1D697D"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D697D">
              <w:rPr>
                <w:sz w:val="18"/>
                <w:szCs w:val="18"/>
              </w:rPr>
              <w:t>Number of Responses</w:t>
            </w:r>
          </w:p>
        </w:tc>
        <w:tc>
          <w:tcPr>
            <w:tcW w:w="1890" w:type="dxa"/>
          </w:tcPr>
          <w:p w:rsidR="00CA4CD6" w:rsidRPr="001D697D" w:rsidP="0035325B" w14:paraId="3214EDCF" w14:textId="77777777">
            <w:pPr>
              <w:spacing w:line="120" w:lineRule="exact"/>
              <w:jc w:val="center"/>
              <w:rPr>
                <w:sz w:val="18"/>
                <w:szCs w:val="18"/>
              </w:rPr>
            </w:pPr>
          </w:p>
          <w:p w:rsidR="00CA4CD6" w:rsidRPr="001D697D"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(D)</w:t>
            </w:r>
          </w:p>
          <w:p w:rsidR="00CA4CD6" w:rsidRPr="001D697D"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D697D">
              <w:rPr>
                <w:sz w:val="18"/>
                <w:szCs w:val="18"/>
              </w:rPr>
              <w:t>Number of Existing Respondents That Keep Records But Do Not Submit Reports</w:t>
            </w:r>
          </w:p>
        </w:tc>
        <w:tc>
          <w:tcPr>
            <w:tcW w:w="2070" w:type="dxa"/>
          </w:tcPr>
          <w:p w:rsidR="00CA4CD6" w:rsidRPr="001D697D" w:rsidP="0035325B" w14:paraId="2EDBD8A8" w14:textId="77777777">
            <w:pPr>
              <w:spacing w:line="120" w:lineRule="exact"/>
              <w:jc w:val="center"/>
              <w:rPr>
                <w:sz w:val="18"/>
                <w:szCs w:val="18"/>
              </w:rPr>
            </w:pPr>
          </w:p>
          <w:p w:rsidR="00CA4CD6" w:rsidRPr="001D697D"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(E)</w:t>
            </w:r>
          </w:p>
          <w:p w:rsidR="00CA4CD6" w:rsidRPr="001D697D" w:rsidP="0035325B" w14:paraId="5E83DC58" w14:textId="645CCDB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Total Annual</w:t>
            </w:r>
            <w:r w:rsidRPr="001D697D" w:rsidR="009C7E97">
              <w:rPr>
                <w:sz w:val="18"/>
                <w:szCs w:val="18"/>
              </w:rPr>
              <w:t xml:space="preserve"> </w:t>
            </w:r>
            <w:r w:rsidRPr="001D697D">
              <w:rPr>
                <w:sz w:val="18"/>
                <w:szCs w:val="18"/>
              </w:rPr>
              <w:t>Responses</w:t>
            </w:r>
          </w:p>
          <w:p w:rsidR="00CA4CD6" w:rsidRPr="001D697D"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D697D">
              <w:rPr>
                <w:sz w:val="18"/>
                <w:szCs w:val="18"/>
              </w:rPr>
              <w:t>E=(</w:t>
            </w:r>
            <w:r w:rsidRPr="001D697D">
              <w:rPr>
                <w:sz w:val="18"/>
                <w:szCs w:val="18"/>
              </w:rPr>
              <w:t>BxC</w:t>
            </w:r>
            <w:r w:rsidRPr="001D697D">
              <w:rPr>
                <w:sz w:val="18"/>
                <w:szCs w:val="18"/>
              </w:rPr>
              <w:t>)+D</w:t>
            </w:r>
          </w:p>
        </w:tc>
      </w:tr>
      <w:tr w14:paraId="16C1203F" w14:textId="77777777" w:rsidTr="0069555D">
        <w:tblPrEx>
          <w:tblW w:w="9180" w:type="dxa"/>
          <w:tblInd w:w="201" w:type="dxa"/>
          <w:tblLayout w:type="fixed"/>
          <w:tblCellMar>
            <w:left w:w="111" w:type="dxa"/>
            <w:right w:w="111" w:type="dxa"/>
          </w:tblCellMar>
          <w:tblLook w:val="0000"/>
        </w:tblPrEx>
        <w:trPr>
          <w:trHeight w:val="366"/>
        </w:trPr>
        <w:tc>
          <w:tcPr>
            <w:tcW w:w="2700" w:type="dxa"/>
            <w:vAlign w:val="center"/>
          </w:tcPr>
          <w:p w:rsidR="0069555D" w:rsidRPr="001D697D" w:rsidP="0069555D" w14:paraId="7DB8FBDE" w14:textId="3346CB6F">
            <w:pPr>
              <w:pBdr>
                <w:top w:val="single" w:sz="6" w:space="0" w:color="FFFFFF"/>
                <w:left w:val="single" w:sz="6" w:space="0" w:color="FFFFFF"/>
                <w:bottom w:val="single" w:sz="6" w:space="0" w:color="FFFFFF"/>
                <w:right w:val="single" w:sz="6" w:space="0" w:color="FFFFFF"/>
              </w:pBdr>
              <w:rPr>
                <w:sz w:val="18"/>
                <w:szCs w:val="18"/>
              </w:rPr>
            </w:pPr>
            <w:r w:rsidRPr="001D697D">
              <w:rPr>
                <w:sz w:val="20"/>
                <w:szCs w:val="20"/>
              </w:rPr>
              <w:t>Prepare/Submit Emissions Summary Report</w:t>
            </w:r>
          </w:p>
        </w:tc>
        <w:tc>
          <w:tcPr>
            <w:tcW w:w="1260" w:type="dxa"/>
            <w:vAlign w:val="center"/>
          </w:tcPr>
          <w:p w:rsidR="0069555D" w:rsidRPr="001D697D" w:rsidP="0069555D" w14:paraId="63308014" w14:textId="3DF73F23">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92</w:t>
            </w:r>
          </w:p>
        </w:tc>
        <w:tc>
          <w:tcPr>
            <w:tcW w:w="1260" w:type="dxa"/>
            <w:vAlign w:val="center"/>
          </w:tcPr>
          <w:p w:rsidR="0069555D" w:rsidRPr="001D697D" w:rsidP="0069555D" w14:paraId="7D6BA6A3" w14:textId="513DE513">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4</w:t>
            </w:r>
          </w:p>
        </w:tc>
        <w:tc>
          <w:tcPr>
            <w:tcW w:w="1890" w:type="dxa"/>
            <w:vAlign w:val="center"/>
          </w:tcPr>
          <w:p w:rsidR="0069555D" w:rsidRPr="001D697D" w:rsidP="0069555D" w14:paraId="508145DD" w14:textId="4E89EF0E">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0</w:t>
            </w:r>
          </w:p>
        </w:tc>
        <w:tc>
          <w:tcPr>
            <w:tcW w:w="2070" w:type="dxa"/>
            <w:vAlign w:val="center"/>
          </w:tcPr>
          <w:p w:rsidR="0069555D" w:rsidRPr="001D697D" w:rsidP="0069555D" w14:paraId="70F8E048" w14:textId="1CA4CE2B">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368</w:t>
            </w:r>
          </w:p>
        </w:tc>
      </w:tr>
      <w:tr w14:paraId="300564D1" w14:textId="77777777" w:rsidTr="0069555D">
        <w:tblPrEx>
          <w:tblW w:w="9180" w:type="dxa"/>
          <w:tblInd w:w="201" w:type="dxa"/>
          <w:tblLayout w:type="fixed"/>
          <w:tblCellMar>
            <w:left w:w="111" w:type="dxa"/>
            <w:right w:w="111" w:type="dxa"/>
          </w:tblCellMar>
          <w:tblLook w:val="0000"/>
        </w:tblPrEx>
        <w:trPr>
          <w:trHeight w:val="366"/>
        </w:trPr>
        <w:tc>
          <w:tcPr>
            <w:tcW w:w="2700" w:type="dxa"/>
            <w:vAlign w:val="center"/>
          </w:tcPr>
          <w:p w:rsidR="0069555D" w:rsidRPr="001D697D" w:rsidP="0069555D" w14:paraId="0F46E3DF" w14:textId="7986188A">
            <w:pPr>
              <w:pBdr>
                <w:top w:val="single" w:sz="6" w:space="0" w:color="FFFFFF"/>
                <w:left w:val="single" w:sz="6" w:space="0" w:color="FFFFFF"/>
                <w:bottom w:val="single" w:sz="6" w:space="0" w:color="FFFFFF"/>
                <w:right w:val="single" w:sz="6" w:space="0" w:color="FFFFFF"/>
              </w:pBdr>
              <w:rPr>
                <w:sz w:val="18"/>
                <w:szCs w:val="18"/>
              </w:rPr>
            </w:pPr>
            <w:r w:rsidRPr="001D697D">
              <w:rPr>
                <w:sz w:val="20"/>
                <w:szCs w:val="20"/>
              </w:rPr>
              <w:t>Notification of construction</w:t>
            </w:r>
          </w:p>
        </w:tc>
        <w:tc>
          <w:tcPr>
            <w:tcW w:w="1260" w:type="dxa"/>
            <w:vAlign w:val="center"/>
          </w:tcPr>
          <w:p w:rsidR="0069555D" w:rsidRPr="001D697D" w:rsidP="0069555D" w14:paraId="06C154FF" w14:textId="28686CEE">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16</w:t>
            </w:r>
          </w:p>
        </w:tc>
        <w:tc>
          <w:tcPr>
            <w:tcW w:w="1260" w:type="dxa"/>
            <w:vAlign w:val="center"/>
          </w:tcPr>
          <w:p w:rsidR="0069555D" w:rsidRPr="001D697D" w:rsidP="0069555D" w14:paraId="40F59661" w14:textId="4927B79C">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w:t>
            </w:r>
          </w:p>
        </w:tc>
        <w:tc>
          <w:tcPr>
            <w:tcW w:w="1890" w:type="dxa"/>
            <w:vAlign w:val="center"/>
          </w:tcPr>
          <w:p w:rsidR="0069555D" w:rsidRPr="001D697D" w:rsidP="0069555D" w14:paraId="3E42D994" w14:textId="13BBAAA6">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0</w:t>
            </w:r>
          </w:p>
        </w:tc>
        <w:tc>
          <w:tcPr>
            <w:tcW w:w="2070" w:type="dxa"/>
            <w:vAlign w:val="center"/>
          </w:tcPr>
          <w:p w:rsidR="0069555D" w:rsidRPr="001D697D" w:rsidP="0069555D" w14:paraId="4B9F0EBE" w14:textId="218E6704">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16</w:t>
            </w:r>
          </w:p>
        </w:tc>
      </w:tr>
      <w:tr w14:paraId="4FB1550D" w14:textId="77777777" w:rsidTr="0069555D">
        <w:tblPrEx>
          <w:tblW w:w="9180" w:type="dxa"/>
          <w:tblInd w:w="201" w:type="dxa"/>
          <w:tblLayout w:type="fixed"/>
          <w:tblCellMar>
            <w:left w:w="111" w:type="dxa"/>
            <w:right w:w="111" w:type="dxa"/>
          </w:tblCellMar>
          <w:tblLook w:val="0000"/>
        </w:tblPrEx>
        <w:trPr>
          <w:trHeight w:val="366"/>
        </w:trPr>
        <w:tc>
          <w:tcPr>
            <w:tcW w:w="2700" w:type="dxa"/>
            <w:vAlign w:val="center"/>
          </w:tcPr>
          <w:p w:rsidR="0069555D" w:rsidRPr="001D697D" w:rsidP="0069555D" w14:paraId="5387B54C" w14:textId="6F12CD95">
            <w:pPr>
              <w:pBdr>
                <w:top w:val="single" w:sz="6" w:space="0" w:color="FFFFFF"/>
                <w:left w:val="single" w:sz="6" w:space="0" w:color="FFFFFF"/>
                <w:bottom w:val="single" w:sz="6" w:space="0" w:color="FFFFFF"/>
                <w:right w:val="single" w:sz="6" w:space="0" w:color="FFFFFF"/>
              </w:pBdr>
              <w:rPr>
                <w:sz w:val="18"/>
                <w:szCs w:val="18"/>
              </w:rPr>
            </w:pPr>
            <w:r w:rsidRPr="001D697D">
              <w:rPr>
                <w:sz w:val="20"/>
                <w:szCs w:val="20"/>
              </w:rPr>
              <w:t>Notification of startup</w:t>
            </w:r>
          </w:p>
        </w:tc>
        <w:tc>
          <w:tcPr>
            <w:tcW w:w="1260" w:type="dxa"/>
            <w:vAlign w:val="center"/>
          </w:tcPr>
          <w:p w:rsidR="0069555D" w:rsidRPr="001D697D" w:rsidP="0069555D" w14:paraId="5E226832" w14:textId="3F65B1C2">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16</w:t>
            </w:r>
          </w:p>
        </w:tc>
        <w:tc>
          <w:tcPr>
            <w:tcW w:w="1260" w:type="dxa"/>
            <w:vAlign w:val="center"/>
          </w:tcPr>
          <w:p w:rsidR="0069555D" w:rsidRPr="001D697D" w:rsidP="0069555D" w14:paraId="61FE4D7C" w14:textId="3B613738">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w:t>
            </w:r>
          </w:p>
        </w:tc>
        <w:tc>
          <w:tcPr>
            <w:tcW w:w="1890" w:type="dxa"/>
            <w:vAlign w:val="center"/>
          </w:tcPr>
          <w:p w:rsidR="0069555D" w:rsidRPr="001D697D" w:rsidP="0069555D" w14:paraId="4628B654" w14:textId="1B902DB9">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0</w:t>
            </w:r>
          </w:p>
        </w:tc>
        <w:tc>
          <w:tcPr>
            <w:tcW w:w="2070" w:type="dxa"/>
            <w:vAlign w:val="center"/>
          </w:tcPr>
          <w:p w:rsidR="0069555D" w:rsidRPr="001D697D" w:rsidP="0069555D" w14:paraId="2ACB2E06" w14:textId="0536C589">
            <w:pPr>
              <w:pBdr>
                <w:top w:val="single" w:sz="6" w:space="0" w:color="FFFFFF"/>
                <w:left w:val="single" w:sz="6" w:space="0" w:color="FFFFFF"/>
                <w:bottom w:val="single" w:sz="6" w:space="0" w:color="FFFFFF"/>
                <w:right w:val="single" w:sz="6" w:space="0" w:color="FFFFFF"/>
              </w:pBdr>
              <w:jc w:val="center"/>
              <w:rPr>
                <w:sz w:val="18"/>
                <w:szCs w:val="18"/>
              </w:rPr>
            </w:pPr>
            <w:r w:rsidRPr="001D697D">
              <w:rPr>
                <w:sz w:val="20"/>
                <w:szCs w:val="20"/>
              </w:rPr>
              <w:t>16</w:t>
            </w:r>
          </w:p>
        </w:tc>
      </w:tr>
      <w:tr w14:paraId="6C13DEF4" w14:textId="77777777" w:rsidTr="0069555D">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RPr="001D697D" w:rsidP="00D91C34" w14:paraId="7BBFA3A2"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CA4CD6" w:rsidRPr="001D697D" w:rsidP="00D91C34" w14:paraId="435BE08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CA4CD6" w:rsidRPr="001D697D" w:rsidP="00D91C34" w14:paraId="45D39C5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CA4CD6" w:rsidRPr="001D697D" w:rsidP="00D91C34" w14:paraId="191EB1FB" w14:textId="77777777">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Total</w:t>
            </w:r>
          </w:p>
        </w:tc>
        <w:tc>
          <w:tcPr>
            <w:tcW w:w="2070" w:type="dxa"/>
            <w:vAlign w:val="center"/>
          </w:tcPr>
          <w:p w:rsidR="00CA4CD6" w:rsidRPr="001D697D" w:rsidP="00D91C34" w14:paraId="69A7F94D" w14:textId="304A2A40">
            <w:pPr>
              <w:pBdr>
                <w:top w:val="single" w:sz="6" w:space="0" w:color="FFFFFF"/>
                <w:left w:val="single" w:sz="6" w:space="0" w:color="FFFFFF"/>
                <w:bottom w:val="single" w:sz="6" w:space="0" w:color="FFFFFF"/>
                <w:right w:val="single" w:sz="6" w:space="0" w:color="FFFFFF"/>
              </w:pBdr>
              <w:jc w:val="center"/>
              <w:rPr>
                <w:sz w:val="18"/>
                <w:szCs w:val="18"/>
              </w:rPr>
            </w:pPr>
            <w:r w:rsidRPr="001D697D">
              <w:rPr>
                <w:sz w:val="18"/>
                <w:szCs w:val="18"/>
              </w:rPr>
              <w:t>400</w:t>
            </w:r>
          </w:p>
        </w:tc>
      </w:tr>
    </w:tbl>
    <w:p w:rsidR="00CA4CD6" w:rsidRPr="001D697D" w14:paraId="515D2AA1" w14:textId="77777777">
      <w:pPr>
        <w:pBdr>
          <w:top w:val="single" w:sz="6" w:space="0" w:color="FFFFFF"/>
          <w:left w:val="single" w:sz="6" w:space="0" w:color="FFFFFF"/>
          <w:bottom w:val="single" w:sz="6" w:space="0" w:color="FFFFFF"/>
          <w:right w:val="single" w:sz="6" w:space="0" w:color="FFFFFF"/>
        </w:pBdr>
      </w:pPr>
    </w:p>
    <w:p w:rsidR="00CA4CD6" w:rsidRPr="001D697D" w14:paraId="7E394338" w14:textId="267E8DCE">
      <w:pPr>
        <w:pBdr>
          <w:top w:val="single" w:sz="6" w:space="0" w:color="FFFFFF"/>
          <w:left w:val="single" w:sz="6" w:space="0" w:color="FFFFFF"/>
          <w:bottom w:val="single" w:sz="6" w:space="0" w:color="FFFFFF"/>
          <w:right w:val="single" w:sz="6" w:space="0" w:color="FFFFFF"/>
        </w:pBdr>
        <w:ind w:firstLine="720"/>
      </w:pPr>
      <w:r w:rsidRPr="001D697D">
        <w:t>The number of Total Annual Responses is</w:t>
      </w:r>
      <w:r w:rsidRPr="001D697D" w:rsidR="0069555D">
        <w:t xml:space="preserve"> 400</w:t>
      </w:r>
      <w:r w:rsidRPr="001D697D">
        <w:t>.</w:t>
      </w:r>
    </w:p>
    <w:p w:rsidR="00CA4CD6" w:rsidRPr="001D697D" w14:paraId="00EB0D7F" w14:textId="77777777">
      <w:pPr>
        <w:pBdr>
          <w:top w:val="single" w:sz="6" w:space="0" w:color="FFFFFF"/>
          <w:left w:val="single" w:sz="6" w:space="0" w:color="FFFFFF"/>
          <w:bottom w:val="single" w:sz="6" w:space="0" w:color="FFFFFF"/>
          <w:right w:val="single" w:sz="6" w:space="0" w:color="FFFFFF"/>
        </w:pBdr>
      </w:pPr>
    </w:p>
    <w:p w:rsidR="00CA4CD6" w:rsidRPr="0069555D" w:rsidP="0069555D" w14:paraId="48CA59B8" w14:textId="7701F3C4">
      <w:pPr>
        <w:pBdr>
          <w:top w:val="single" w:sz="6" w:space="0" w:color="FFFFFF"/>
          <w:left w:val="single" w:sz="6" w:space="0" w:color="FFFFFF"/>
          <w:bottom w:val="single" w:sz="6" w:space="0" w:color="FFFFFF"/>
          <w:right w:val="single" w:sz="6" w:space="0" w:color="FFFFFF"/>
        </w:pBdr>
        <w:ind w:firstLine="720"/>
        <w:rPr>
          <w:color w:val="000000"/>
        </w:rPr>
      </w:pPr>
      <w:r w:rsidRPr="001D697D">
        <w:t xml:space="preserve">The total annual labor costs are </w:t>
      </w:r>
      <w:r w:rsidRPr="001D697D" w:rsidR="1B76139F">
        <w:t>$</w:t>
      </w:r>
      <w:r w:rsidRPr="001D697D" w:rsidR="0069555D">
        <w:t>376,000</w:t>
      </w:r>
      <w:r w:rsidR="005D414B">
        <w:t xml:space="preserve"> (rounded)</w:t>
      </w:r>
      <w:r w:rsidRPr="001D697D">
        <w:t>.</w:t>
      </w:r>
      <w:r w:rsidRPr="001D697D" w:rsidR="009C7E97">
        <w:t xml:space="preserve"> </w:t>
      </w:r>
      <w:r w:rsidRPr="001D697D">
        <w:t xml:space="preserve">Details regarding these estimates may be found </w:t>
      </w:r>
      <w:r w:rsidRPr="001D697D" w:rsidR="00C52476">
        <w:t xml:space="preserve">at the end of this document </w:t>
      </w:r>
      <w:r w:rsidRPr="001D697D" w:rsidR="0035325B">
        <w:t>in Table 1:</w:t>
      </w:r>
      <w:r w:rsidRPr="001D697D">
        <w:t xml:space="preserve"> Annual Respondent Burden and </w:t>
      </w:r>
      <w:r w:rsidRPr="0069555D">
        <w:t>Cost</w:t>
      </w:r>
      <w:r w:rsidRPr="0069555D" w:rsidR="00CF2B37">
        <w:t xml:space="preserve"> –</w:t>
      </w:r>
      <w:r w:rsidRPr="0069555D">
        <w:t xml:space="preserve"> </w:t>
      </w:r>
      <w:r w:rsidRPr="0069555D" w:rsidR="0069555D">
        <w:t>NSPS for GHG Emissions for Newly Constructed, Modified, and Reconstructed EGUs (40 CFR Part 60, Subpart TTTT) (Renewal)</w:t>
      </w:r>
      <w:r w:rsidRPr="0069555D">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5D414B" w14:paraId="6E0BBDA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5D414B" w14:paraId="4AE94CB8"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9F4ADEF" w14:textId="5378588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AE4B87" w:rsidP="0021722B" w14:paraId="78F35924" w14:textId="0FF61DAA">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1D697D" w:rsidR="002C416A">
        <w:t>hours are</w:t>
      </w:r>
      <w:r w:rsidRPr="001D697D">
        <w:t xml:space="preserve"> </w:t>
      </w:r>
      <w:r w:rsidRPr="001D697D" w:rsidR="00AE4B87">
        <w:t>3,130</w:t>
      </w:r>
      <w:r w:rsidR="00CB44D2">
        <w:t xml:space="preserve"> hours (rounded)</w:t>
      </w:r>
      <w:r w:rsidRPr="001D697D">
        <w:t>.</w:t>
      </w:r>
      <w:r w:rsidRPr="001D697D" w:rsidR="009C7E97">
        <w:t xml:space="preserve"> </w:t>
      </w:r>
      <w:r w:rsidRPr="001D697D">
        <w:t xml:space="preserve">Details regarding these </w:t>
      </w:r>
      <w:r>
        <w:rPr>
          <w:color w:val="000000"/>
        </w:rPr>
        <w:t xml:space="preserve">estimates may be found </w:t>
      </w:r>
      <w:r w:rsidR="00CB44D2">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AE4B87" w:rsidR="00AE4B87">
        <w:t>NSPS for GHG Emissions for Newly Constructed, Modified, and Reconstructed EGUs (40 CFR Part 60, Subpart TTTT) (Renewal)</w:t>
      </w:r>
      <w:r w:rsidRPr="00AE4B87">
        <w:t>.</w:t>
      </w:r>
      <w:r w:rsidRPr="00AE4B87"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4E9181B">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E93732">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734C6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87FFC">
        <w:rPr>
          <w:color w:val="000000"/>
        </w:rPr>
        <w:t xml:space="preserve">8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D13EEF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AE4B87">
        <w:rPr>
          <w:color w:val="000000"/>
        </w:rPr>
        <w:t>re are no</w:t>
      </w:r>
      <w:r>
        <w:rPr>
          <w:color w:val="000000"/>
        </w:rPr>
        <w:t xml:space="preserve"> annual capital/startup </w:t>
      </w:r>
      <w:r w:rsidR="00050069">
        <w:rPr>
          <w:color w:val="000000"/>
        </w:rPr>
        <w:t xml:space="preserve">or </w:t>
      </w:r>
      <w:r>
        <w:rPr>
          <w:color w:val="000000"/>
        </w:rPr>
        <w:t>O&amp;M costs to the regulated entity</w:t>
      </w:r>
      <w:r w:rsidR="00E6748A">
        <w:rPr>
          <w:color w:val="000000"/>
        </w:rPr>
        <w:t>.</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14F9D7C1">
      <w:pPr>
        <w:pBdr>
          <w:top w:val="single" w:sz="6" w:space="0" w:color="FFFFFF"/>
          <w:left w:val="single" w:sz="6" w:space="0" w:color="FFFFFF"/>
          <w:bottom w:val="single" w:sz="6" w:space="0" w:color="FFFFFF"/>
          <w:right w:val="single" w:sz="6" w:space="0" w:color="FFFFFF"/>
        </w:pBdr>
        <w:ind w:firstLine="720"/>
        <w:rPr>
          <w:color w:val="FF0000"/>
        </w:rPr>
      </w:pPr>
      <w:r w:rsidRPr="00E6748A">
        <w:t xml:space="preserve">The average annual Agency burden and cost over next three years is estimated to be </w:t>
      </w:r>
      <w:r w:rsidRPr="00E6748A" w:rsidR="00050069">
        <w:t>1,730</w:t>
      </w:r>
      <w:r w:rsidRPr="00E6748A">
        <w:t xml:space="preserve"> labor hours at a cost of $</w:t>
      </w:r>
      <w:r w:rsidRPr="00E6748A" w:rsidR="00050069">
        <w:t>88,300</w:t>
      </w:r>
      <w:r w:rsidR="00E93732">
        <w:t>; s</w:t>
      </w:r>
      <w:r w:rsidRPr="00E6748A" w:rsidR="00144F35">
        <w:t>ee</w:t>
      </w:r>
      <w:r w:rsidR="00E93732">
        <w:t xml:space="preserve"> below in </w:t>
      </w:r>
      <w:r w:rsidRPr="00E6748A" w:rsidR="00144F35">
        <w:t xml:space="preserve">Table 2: </w:t>
      </w:r>
      <w:r w:rsidRPr="00E6748A" w:rsidR="00CF2B37">
        <w:t>Average Annual EPA Burden and Cost</w:t>
      </w:r>
      <w:r w:rsidRPr="00E6748A" w:rsidR="00050069">
        <w:t xml:space="preserve"> - NSPS for GHG Emissions for Newly </w:t>
      </w:r>
      <w:r w:rsidRPr="00050069" w:rsidR="00050069">
        <w:t>Constructed, Modified, and Reconstructed EGUs (40 CFR Part 60, Subpart TTTT) (Renewal)</w:t>
      </w:r>
      <w:r w:rsidRPr="00050069">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016E7B" w:rsidP="00050069" w14:paraId="7935AC64" w14:textId="209C9215">
      <w:pPr>
        <w:pBdr>
          <w:top w:val="single" w:sz="6" w:space="0" w:color="FFFFFF"/>
          <w:left w:val="single" w:sz="6" w:space="0" w:color="FFFFFF"/>
          <w:bottom w:val="single" w:sz="6" w:space="0" w:color="FFFFFF"/>
          <w:right w:val="single" w:sz="6" w:space="0" w:color="FFFFFF"/>
        </w:pBdr>
        <w:ind w:firstLine="720"/>
      </w:pPr>
      <w:bookmarkStart w:id="3" w:name="_Hlk106896665"/>
      <w:r w:rsidRPr="00016E7B">
        <w:t>The increase</w:t>
      </w:r>
      <w:r w:rsidRPr="00016E7B" w:rsidR="00050069">
        <w:t xml:space="preserve"> </w:t>
      </w:r>
      <w:r w:rsidRPr="00016E7B">
        <w:t xml:space="preserve">in </w:t>
      </w:r>
      <w:r w:rsidR="00E93732">
        <w:t>‘</w:t>
      </w:r>
      <w:r w:rsidRPr="00016E7B">
        <w:t>burden</w:t>
      </w:r>
      <w:r w:rsidR="00E93732">
        <w:t>’</w:t>
      </w:r>
      <w:r w:rsidRPr="00016E7B">
        <w:t xml:space="preserve"> from the most</w:t>
      </w:r>
      <w:r w:rsidR="00E93732">
        <w:t>-</w:t>
      </w:r>
      <w:r w:rsidRPr="00016E7B">
        <w:t>recently approved ICR is due to an adjustment.</w:t>
      </w:r>
      <w:r w:rsidRPr="00016E7B" w:rsidR="00050069">
        <w:t xml:space="preserve"> </w:t>
      </w:r>
      <w:r w:rsidRPr="00016E7B">
        <w:t>The adjustment increase in burden from the most</w:t>
      </w:r>
      <w:r w:rsidR="00E93732">
        <w:t>-</w:t>
      </w:r>
      <w:r w:rsidRPr="00016E7B">
        <w:t xml:space="preserve">recently approved ICR is due to an increase in the number of </w:t>
      </w:r>
      <w:r w:rsidRPr="00016E7B" w:rsidR="00050069">
        <w:t xml:space="preserve">respondents. Based on our consultation with the Agency’s internal industry experts and </w:t>
      </w:r>
      <w:r w:rsidR="00E93732">
        <w:t xml:space="preserve">the </w:t>
      </w:r>
      <w:r w:rsidRPr="00016E7B" w:rsidR="00050069">
        <w:t>review of</w:t>
      </w:r>
      <w:r w:rsidRPr="00016E7B" w:rsidR="00016E7B">
        <w:t xml:space="preserve"> data from EPA’s Clean Air Markets Division and the U.S. Energy Information Administration, the electric utility sector is undergoing significant changes and the number of respondents and new sources expected over the next three years has increased </w:t>
      </w:r>
      <w:r w:rsidRPr="00016E7B" w:rsidR="00016E7B">
        <w:t>significantly from the most</w:t>
      </w:r>
      <w:r w:rsidR="00E93732">
        <w:t>-</w:t>
      </w:r>
      <w:r w:rsidRPr="00016E7B" w:rsidR="00016E7B">
        <w:t>recently approved ICR</w:t>
      </w:r>
      <w:r w:rsidRPr="00016E7B" w:rsidR="00050069">
        <w:t>.</w:t>
      </w:r>
      <w:r w:rsidRPr="00016E7B" w:rsidR="00016E7B">
        <w:t xml:space="preserve"> Additionally, the estimated costs have increased due to the use of updated labor rates from the most</w:t>
      </w:r>
      <w:r w:rsidR="00E93732">
        <w:t>-</w:t>
      </w:r>
      <w:r w:rsidRPr="00016E7B" w:rsidR="00016E7B">
        <w:t>recent Bureau of Labor Statistics report (September 2021).</w:t>
      </w:r>
    </w:p>
    <w:p w:rsidR="00CA4CD6" w:rsidRPr="00516952" w14:paraId="25807A9B" w14:textId="77777777">
      <w:pPr>
        <w:pBdr>
          <w:top w:val="single" w:sz="6" w:space="0" w:color="FFFFFF"/>
          <w:left w:val="single" w:sz="6" w:space="0" w:color="FFFFFF"/>
          <w:bottom w:val="single" w:sz="6" w:space="0" w:color="FFFFFF"/>
          <w:right w:val="single" w:sz="6" w:space="0" w:color="FFFFFF"/>
        </w:pBdr>
        <w:rPr>
          <w:color w:val="FF0000"/>
        </w:rPr>
      </w:pPr>
    </w:p>
    <w:p w:rsidR="00CD2069" w:rsidRPr="00516952" w:rsidP="003C5E24" w14:paraId="1F660789" w14:textId="319CEF65">
      <w:pPr>
        <w:pBdr>
          <w:top w:val="single" w:sz="6" w:space="0" w:color="FFFFFF"/>
          <w:left w:val="single" w:sz="6" w:space="0" w:color="FFFFFF"/>
          <w:bottom w:val="single" w:sz="6" w:space="0" w:color="FFFFFF"/>
          <w:right w:val="single" w:sz="6" w:space="0" w:color="FFFFFF"/>
        </w:pBdr>
        <w:ind w:firstLine="720"/>
        <w:rPr>
          <w:color w:val="FF0000"/>
        </w:rPr>
      </w:pPr>
      <w:r w:rsidRPr="003C5E24">
        <w:t xml:space="preserve">Although </w:t>
      </w:r>
      <w:r w:rsidRPr="003C5E24" w:rsidR="00BE728A">
        <w:t xml:space="preserve">we are assuming there will be 16 new sources per year subject to 40 CFR Part 60, Subpart TTTT, there is no change in the </w:t>
      </w:r>
      <w:r w:rsidRPr="003C5E24" w:rsidR="00631517">
        <w:t>c</w:t>
      </w:r>
      <w:r w:rsidRPr="003C5E24" w:rsidR="00CA4CD6">
        <w:t>apital/</w:t>
      </w:r>
      <w:r w:rsidRPr="003C5E24" w:rsidR="00631517">
        <w:t>s</w:t>
      </w:r>
      <w:r w:rsidRPr="003C5E24" w:rsidR="00CA4CD6">
        <w:t xml:space="preserve">tartup vs. </w:t>
      </w:r>
      <w:r w:rsidRPr="003C5E24" w:rsidR="00631517">
        <w:t>o</w:t>
      </w:r>
      <w:r w:rsidRPr="003C5E24" w:rsidR="00CA4CD6">
        <w:t xml:space="preserve">peration and </w:t>
      </w:r>
      <w:r w:rsidRPr="003C5E24" w:rsidR="00631517">
        <w:t>m</w:t>
      </w:r>
      <w:r w:rsidRPr="003C5E24" w:rsidR="00CA4CD6">
        <w:t xml:space="preserve">aintenance (O&amp;M) </w:t>
      </w:r>
      <w:r w:rsidRPr="003C5E24" w:rsidR="00631517">
        <w:t>c</w:t>
      </w:r>
      <w:r w:rsidRPr="003C5E24" w:rsidR="00CA4CD6">
        <w:t>osts as</w:t>
      </w:r>
      <w:r w:rsidRPr="003C5E24" w:rsidR="009C7E97">
        <w:t xml:space="preserve"> </w:t>
      </w:r>
      <w:r w:rsidRPr="003C5E24" w:rsidR="00BE728A">
        <w:t>discussed</w:t>
      </w:r>
      <w:r w:rsidRPr="003C5E24" w:rsidR="00CA4CD6">
        <w:t xml:space="preserve"> in section 6(b)(iii) compared with the costs in the </w:t>
      </w:r>
      <w:r w:rsidRPr="003C5E24" w:rsidR="003C5E24">
        <w:t>most</w:t>
      </w:r>
      <w:r w:rsidR="00E93732">
        <w:t>-</w:t>
      </w:r>
      <w:r w:rsidRPr="003C5E24" w:rsidR="003C5E24">
        <w:t>recently approved</w:t>
      </w:r>
      <w:r w:rsidRPr="003C5E24" w:rsidR="00CA4CD6">
        <w:t xml:space="preserve"> ICR.</w:t>
      </w:r>
      <w:r w:rsidRPr="003C5E24" w:rsidR="009C7E97">
        <w:t xml:space="preserve"> </w:t>
      </w:r>
      <w:bookmarkStart w:id="4" w:name="_Hlk106953894"/>
      <w:r w:rsidRPr="00B9376F" w:rsidR="00B9376F">
        <w:t xml:space="preserve">There are no capital/startup or </w:t>
      </w:r>
      <w:r w:rsidR="00B9376F">
        <w:t>O&amp;M</w:t>
      </w:r>
      <w:r w:rsidRPr="00B9376F" w:rsidR="00B9376F">
        <w:t xml:space="preserve"> costs</w:t>
      </w:r>
      <w:r w:rsidR="00B9376F">
        <w:t xml:space="preserve"> for this ICR. </w:t>
      </w:r>
      <w:r w:rsidR="007872F3">
        <w:t xml:space="preserve">As described in a previous </w:t>
      </w:r>
      <w:r w:rsidRPr="003C677A" w:rsidR="007872F3">
        <w:rPr>
          <w:i/>
          <w:color w:val="000000"/>
        </w:rPr>
        <w:t xml:space="preserve">Federal </w:t>
      </w:r>
      <w:r w:rsidRPr="00213F73" w:rsidR="007872F3">
        <w:rPr>
          <w:i/>
        </w:rPr>
        <w:t>Register</w:t>
      </w:r>
      <w:r w:rsidRPr="00F66257" w:rsidR="007872F3">
        <w:t xml:space="preserve"> </w:t>
      </w:r>
      <w:r w:rsidR="007872F3">
        <w:t>notice (84 FR 25046), t</w:t>
      </w:r>
      <w:r w:rsidRPr="00F66257" w:rsidR="00F66257">
        <w:t xml:space="preserve">his NSPS imposes a minimal information collection burden on affected sources beyond what sources would already be subject to under the authorities of CAA </w:t>
      </w:r>
      <w:r w:rsidR="007872F3">
        <w:t>P</w:t>
      </w:r>
      <w:r w:rsidRPr="00F66257" w:rsidR="00F66257">
        <w:t>arts 75 (Acid Rain Program CEM requirements) and 98 (Mandatory GHG Reporting, applicable to EGUs that capture CO</w:t>
      </w:r>
      <w:r w:rsidRPr="007872F3" w:rsidR="00F66257">
        <w:rPr>
          <w:vertAlign w:val="subscript"/>
        </w:rPr>
        <w:t>2</w:t>
      </w:r>
      <w:r w:rsidRPr="00F66257" w:rsidR="00F66257">
        <w:t xml:space="preserve">). OMB has previously approved the information collection requirements contained in the existing </w:t>
      </w:r>
      <w:r w:rsidR="007872F3">
        <w:t>P</w:t>
      </w:r>
      <w:r w:rsidRPr="00F66257" w:rsidR="00F66257">
        <w:t xml:space="preserve">art 75 and 98 regulations (40 CFR </w:t>
      </w:r>
      <w:r w:rsidR="007872F3">
        <w:t>P</w:t>
      </w:r>
      <w:r w:rsidRPr="00F66257" w:rsidR="00F66257">
        <w:t xml:space="preserve">art 75 and 40 CFR </w:t>
      </w:r>
      <w:r w:rsidR="007872F3">
        <w:t>P</w:t>
      </w:r>
      <w:r w:rsidRPr="00F66257" w:rsidR="00F66257">
        <w:t>art 98) under the provisions of the</w:t>
      </w:r>
      <w:r w:rsidR="007872F3">
        <w:t xml:space="preserve"> </w:t>
      </w:r>
      <w:r w:rsidRPr="00F66257" w:rsidR="00F66257">
        <w:t>Paperwork Reduction Act, 44 U.S.C. 3501 et seq. and has assigned OMB control numbers 2060-0626 and 2060-0629, respectively. Apart from certain reporting costs to comply with the emission standards under the rule, there are no additional information collection costs, as the information required by the rule is already collected and reported by other regulatory programs.</w:t>
      </w:r>
      <w:bookmarkEnd w:id="4"/>
    </w:p>
    <w:bookmarkEnd w:id="3"/>
    <w:p w:rsidR="00CD2069" w:rsidRPr="00516952" w:rsidP="00CD2069" w14:paraId="283BE86A" w14:textId="77777777">
      <w:pPr>
        <w:pBdr>
          <w:top w:val="single" w:sz="6" w:space="0" w:color="FFFFFF"/>
          <w:left w:val="single" w:sz="6" w:space="0" w:color="FFFFFF"/>
          <w:bottom w:val="single" w:sz="6" w:space="0" w:color="FFFFFF"/>
          <w:right w:val="single" w:sz="6" w:space="0" w:color="FFFFFF"/>
        </w:pBdr>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8B66D2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D697D">
        <w:t xml:space="preserve">average </w:t>
      </w:r>
      <w:r w:rsidRPr="001D697D" w:rsidR="000921AB">
        <w:t>8</w:t>
      </w:r>
      <w:r w:rsidRPr="001D697D">
        <w:t xml:space="preserve"> hours per </w:t>
      </w:r>
      <w:r>
        <w:rPr>
          <w:color w:val="000000"/>
        </w:rPr>
        <w:t>response.</w:t>
      </w:r>
      <w:r w:rsidR="009C7E97">
        <w:rPr>
          <w:color w:val="000000"/>
        </w:rPr>
        <w:t xml:space="preserve"> </w:t>
      </w:r>
      <w:r w:rsidR="004831BE">
        <w:rPr>
          <w:color w:val="000000"/>
        </w:rPr>
        <w:t>‘</w:t>
      </w:r>
      <w:r>
        <w:rPr>
          <w:color w:val="000000"/>
        </w:rPr>
        <w:t>Burden</w:t>
      </w:r>
      <w:r w:rsidR="004831BE">
        <w:rPr>
          <w:color w:val="000000"/>
        </w:rPr>
        <w:t>’</w:t>
      </w:r>
      <w:r>
        <w:rPr>
          <w:color w:val="000000"/>
        </w:rPr>
        <w:t xml:space="preserve"> means the total time, effort, or financial resources expended by persons to generate, maintain, retain, or disclose or provide information </w:t>
      </w:r>
      <w:r w:rsidR="004831BE">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4831BE">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9854F8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831BE">
        <w:rPr>
          <w:color w:val="000000"/>
        </w:rPr>
        <w:t>either</w:t>
      </w:r>
      <w:r>
        <w:rPr>
          <w:color w:val="000000"/>
        </w:rPr>
        <w:t xml:space="preserve"> conduct </w:t>
      </w:r>
      <w:r w:rsidR="004831BE">
        <w:rPr>
          <w:color w:val="000000"/>
        </w:rPr>
        <w:t>n</w:t>
      </w:r>
      <w:r>
        <w:rPr>
          <w:color w:val="000000"/>
        </w:rPr>
        <w:t xml:space="preserve">or sponsor, and a person is not required to respond </w:t>
      </w:r>
      <w:r>
        <w:rPr>
          <w:color w:val="000000"/>
        </w:rPr>
        <w:t xml:space="preserve">to, </w:t>
      </w:r>
      <w:r w:rsidR="004831B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312A24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13F73" w:rsidR="00213F73">
        <w:t>EPA-HQ-OAR-2022-0047</w:t>
      </w:r>
      <w:r w:rsidRPr="00213F73">
        <w:t>.</w:t>
      </w:r>
      <w:r w:rsidRPr="00213F73" w:rsidR="009C7E97">
        <w:t xml:space="preserve"> </w:t>
      </w:r>
      <w:r w:rsidRPr="00354C15">
        <w:t xml:space="preserve">An electronic version of the public docket is available at </w:t>
      </w:r>
      <w:hyperlink r:id="rId12" w:history="1">
        <w:r w:rsidRPr="00D418A6" w:rsidR="00377D7F">
          <w:rPr>
            <w:rStyle w:val="Hyperlink"/>
            <w:i/>
            <w:iCs/>
            <w:color w:val="auto"/>
          </w:rPr>
          <w:t>http://www.regulations.gov/</w:t>
        </w:r>
      </w:hyperlink>
      <w:r w:rsidR="004831BE">
        <w:rPr>
          <w:rStyle w:val="Hyperlink"/>
          <w:i/>
          <w:iCs/>
          <w:color w:val="auto"/>
        </w:rPr>
        <w:t>,</w:t>
      </w:r>
      <w:r w:rsidRPr="00D418A6" w:rsidR="00377D7F">
        <w:t xml:space="preserve"> </w:t>
      </w:r>
      <w:r>
        <w:t xml:space="preserve">which may be used </w:t>
      </w:r>
      <w:r w:rsidRPr="00354C15">
        <w:t xml:space="preserve">to obtain a copy of the draft collection of information, submit or view public comments, access the index listing of the contents of the docket, and to access those documents in the public docket that are available </w:t>
      </w:r>
      <w:r w:rsidRPr="00354C15">
        <w:t>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4831B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831B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213F73" w:rsidR="00213F73">
        <w:t>EPA-HQ-OAR-2022-0047</w:t>
      </w:r>
      <w:r w:rsidR="00213F73">
        <w:t xml:space="preserve"> </w:t>
      </w:r>
      <w:r w:rsidR="00CA4CD6">
        <w:t xml:space="preserve">and OMB Control Number </w:t>
      </w:r>
      <w:r w:rsidRPr="001C249A" w:rsidR="000921AB">
        <w:rPr>
          <w:bCs/>
        </w:rPr>
        <w:t>2060-0685</w:t>
      </w:r>
      <w:r w:rsidR="000921AB">
        <w:rPr>
          <w:bCs/>
        </w:rPr>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0921AB" w:rsidP="00504745" w14:paraId="2577A3D9" w14:textId="77777777">
      <w:pPr>
        <w:outlineLvl w:val="0"/>
        <w:rPr>
          <w:b/>
          <w:bCs/>
          <w:color w:val="000000"/>
        </w:rPr>
        <w:sectPr w:rsidSect="009606BB">
          <w:headerReference w:type="default" r:id="rId13"/>
          <w:footerReference w:type="default" r:id="rId14"/>
          <w:pgSz w:w="12240" w:h="15840"/>
          <w:pgMar w:top="1350" w:right="1440" w:bottom="1440" w:left="1440" w:header="1350" w:footer="1440" w:gutter="0"/>
          <w:cols w:space="720"/>
          <w:noEndnote/>
          <w:docGrid w:linePitch="326"/>
        </w:sectPr>
      </w:pPr>
    </w:p>
    <w:p w:rsidR="00144F35" w:rsidP="00504745" w14:paraId="273D1098" w14:textId="1EA6EB72">
      <w:pPr>
        <w:outlineLvl w:val="0"/>
        <w:rPr>
          <w:b/>
          <w:bCs/>
          <w:color w:val="000000"/>
        </w:rPr>
      </w:pPr>
      <w:r w:rsidRPr="00C4183F">
        <w:rPr>
          <w:b/>
          <w:bCs/>
          <w:color w:val="000000"/>
        </w:rPr>
        <w:t>Table 1: Annual Respondent Burden and Cost</w:t>
      </w:r>
      <w:r>
        <w:rPr>
          <w:b/>
          <w:bCs/>
          <w:color w:val="000000"/>
        </w:rPr>
        <w:t xml:space="preserve"> – </w:t>
      </w:r>
      <w:r w:rsidRPr="001D697D" w:rsidR="001D697D">
        <w:rPr>
          <w:b/>
          <w:bCs/>
        </w:rPr>
        <w:t>NSPS for GHG Emissions for Newly Constructed, Modified, and Reconstructed EGUs (40 CFR Part 60, Subpart TTTT) (Renewal)</w:t>
      </w:r>
    </w:p>
    <w:p w:rsidR="00144F35" w:rsidP="00F340DF" w14:paraId="6CB24DB0" w14:textId="77777777">
      <w:pPr>
        <w:rPr>
          <w:b/>
          <w:bCs/>
          <w:color w:val="000000"/>
        </w:rPr>
      </w:pPr>
    </w:p>
    <w:tbl>
      <w:tblPr>
        <w:tblW w:w="13030" w:type="dxa"/>
        <w:tblLook w:val="04A0"/>
      </w:tblPr>
      <w:tblGrid>
        <w:gridCol w:w="2420"/>
        <w:gridCol w:w="1260"/>
        <w:gridCol w:w="1350"/>
        <w:gridCol w:w="1440"/>
        <w:gridCol w:w="1440"/>
        <w:gridCol w:w="1260"/>
        <w:gridCol w:w="1260"/>
        <w:gridCol w:w="1260"/>
        <w:gridCol w:w="1340"/>
      </w:tblGrid>
      <w:tr w14:paraId="143B0DDA" w14:textId="77777777" w:rsidTr="00862282">
        <w:tblPrEx>
          <w:tblW w:w="13030" w:type="dxa"/>
          <w:tblLook w:val="04A0"/>
        </w:tblPrEx>
        <w:trPr>
          <w:trHeight w:val="1380"/>
        </w:trPr>
        <w:tc>
          <w:tcPr>
            <w:tcW w:w="2420" w:type="dxa"/>
            <w:tcBorders>
              <w:top w:val="single" w:sz="8" w:space="0" w:color="auto"/>
              <w:left w:val="single" w:sz="8" w:space="0" w:color="auto"/>
              <w:bottom w:val="single" w:sz="8" w:space="0" w:color="000000"/>
              <w:right w:val="nil"/>
            </w:tcBorders>
            <w:shd w:val="clear" w:color="auto" w:fill="auto"/>
            <w:hideMark/>
          </w:tcPr>
          <w:p w:rsidR="001D697D" w:rsidRPr="001D697D" w:rsidP="001D697D" w14:paraId="3F18E03D" w14:textId="77777777">
            <w:pPr>
              <w:widowControl/>
              <w:autoSpaceDE/>
              <w:autoSpaceDN/>
              <w:adjustRightInd/>
              <w:jc w:val="center"/>
              <w:rPr>
                <w:b/>
                <w:bCs/>
                <w:color w:val="000000"/>
                <w:sz w:val="20"/>
                <w:szCs w:val="20"/>
              </w:rPr>
            </w:pPr>
            <w:r w:rsidRPr="001D697D">
              <w:rPr>
                <w:b/>
                <w:bCs/>
                <w:color w:val="000000"/>
                <w:sz w:val="20"/>
                <w:szCs w:val="20"/>
              </w:rPr>
              <w:t> </w:t>
            </w: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1D697D" w:rsidRPr="001D697D" w:rsidP="001D697D" w14:paraId="385F4F77" w14:textId="77777777">
            <w:pPr>
              <w:widowControl/>
              <w:autoSpaceDE/>
              <w:autoSpaceDN/>
              <w:adjustRightInd/>
              <w:jc w:val="center"/>
              <w:rPr>
                <w:b/>
                <w:bCs/>
                <w:color w:val="000000"/>
                <w:sz w:val="20"/>
                <w:szCs w:val="20"/>
              </w:rPr>
            </w:pPr>
            <w:r w:rsidRPr="001D697D">
              <w:rPr>
                <w:b/>
                <w:bCs/>
                <w:color w:val="000000"/>
                <w:sz w:val="20"/>
                <w:szCs w:val="20"/>
              </w:rPr>
              <w:t>(A)</w:t>
            </w:r>
            <w:r w:rsidRPr="001D697D">
              <w:rPr>
                <w:b/>
                <w:bCs/>
                <w:color w:val="000000"/>
                <w:sz w:val="20"/>
                <w:szCs w:val="20"/>
              </w:rPr>
              <w:br/>
              <w:t>Hours per Occurrence</w:t>
            </w:r>
          </w:p>
        </w:tc>
        <w:tc>
          <w:tcPr>
            <w:tcW w:w="1350" w:type="dxa"/>
            <w:tcBorders>
              <w:top w:val="single" w:sz="8" w:space="0" w:color="auto"/>
              <w:left w:val="nil"/>
              <w:bottom w:val="single" w:sz="8" w:space="0" w:color="auto"/>
              <w:right w:val="single" w:sz="8" w:space="0" w:color="auto"/>
            </w:tcBorders>
            <w:shd w:val="clear" w:color="auto" w:fill="auto"/>
            <w:hideMark/>
          </w:tcPr>
          <w:p w:rsidR="001D697D" w:rsidRPr="001D697D" w:rsidP="001D697D" w14:paraId="3B7850C3" w14:textId="77777777">
            <w:pPr>
              <w:widowControl/>
              <w:autoSpaceDE/>
              <w:autoSpaceDN/>
              <w:adjustRightInd/>
              <w:jc w:val="center"/>
              <w:rPr>
                <w:b/>
                <w:bCs/>
                <w:color w:val="000000"/>
                <w:sz w:val="20"/>
                <w:szCs w:val="20"/>
              </w:rPr>
            </w:pPr>
            <w:r w:rsidRPr="001D697D">
              <w:rPr>
                <w:b/>
                <w:bCs/>
                <w:color w:val="000000"/>
                <w:sz w:val="20"/>
                <w:szCs w:val="20"/>
              </w:rPr>
              <w:t xml:space="preserve"> (B)  Occurrences/ Respondent/ Year</w:t>
            </w:r>
          </w:p>
        </w:tc>
        <w:tc>
          <w:tcPr>
            <w:tcW w:w="1440" w:type="dxa"/>
            <w:tcBorders>
              <w:top w:val="single" w:sz="8" w:space="0" w:color="auto"/>
              <w:left w:val="nil"/>
              <w:bottom w:val="single" w:sz="8" w:space="0" w:color="auto"/>
              <w:right w:val="single" w:sz="8" w:space="0" w:color="auto"/>
            </w:tcBorders>
            <w:shd w:val="clear" w:color="auto" w:fill="auto"/>
            <w:hideMark/>
          </w:tcPr>
          <w:p w:rsidR="001D697D" w:rsidP="001D697D" w14:paraId="45EA73F6" w14:textId="77777777">
            <w:pPr>
              <w:widowControl/>
              <w:autoSpaceDE/>
              <w:autoSpaceDN/>
              <w:adjustRightInd/>
              <w:jc w:val="center"/>
              <w:rPr>
                <w:b/>
                <w:bCs/>
                <w:color w:val="000000"/>
                <w:sz w:val="20"/>
                <w:szCs w:val="20"/>
              </w:rPr>
            </w:pPr>
            <w:r w:rsidRPr="001D697D">
              <w:rPr>
                <w:b/>
                <w:bCs/>
                <w:color w:val="000000"/>
                <w:sz w:val="20"/>
                <w:szCs w:val="20"/>
              </w:rPr>
              <w:t>(C)</w:t>
            </w:r>
            <w:r w:rsidRPr="001D697D">
              <w:rPr>
                <w:b/>
                <w:bCs/>
                <w:color w:val="000000"/>
                <w:sz w:val="20"/>
                <w:szCs w:val="20"/>
              </w:rPr>
              <w:br/>
              <w:t>Hours/ Respondent/</w:t>
            </w:r>
            <w:r w:rsidRPr="001D697D">
              <w:rPr>
                <w:b/>
                <w:bCs/>
                <w:color w:val="000000"/>
                <w:sz w:val="20"/>
                <w:szCs w:val="20"/>
              </w:rPr>
              <w:br/>
              <w:t xml:space="preserve">Year </w:t>
            </w:r>
          </w:p>
          <w:p w:rsidR="00862282" w:rsidRPr="001D697D" w:rsidP="001D697D" w14:paraId="11BF1C17" w14:textId="3EBDCC75">
            <w:pPr>
              <w:widowControl/>
              <w:autoSpaceDE/>
              <w:autoSpaceDN/>
              <w:adjustRightInd/>
              <w:jc w:val="center"/>
              <w:rPr>
                <w:b/>
                <w:bCs/>
                <w:color w:val="000000"/>
                <w:sz w:val="20"/>
                <w:szCs w:val="20"/>
              </w:rPr>
            </w:pPr>
            <w:r w:rsidRPr="001D697D">
              <w:rPr>
                <w:b/>
                <w:bCs/>
                <w:color w:val="000000"/>
                <w:sz w:val="20"/>
                <w:szCs w:val="20"/>
              </w:rPr>
              <w:t>(A x B)</w:t>
            </w:r>
          </w:p>
        </w:tc>
        <w:tc>
          <w:tcPr>
            <w:tcW w:w="1440" w:type="dxa"/>
            <w:tcBorders>
              <w:top w:val="single" w:sz="8" w:space="0" w:color="auto"/>
              <w:left w:val="nil"/>
              <w:bottom w:val="single" w:sz="8" w:space="0" w:color="auto"/>
              <w:right w:val="single" w:sz="8" w:space="0" w:color="auto"/>
            </w:tcBorders>
            <w:shd w:val="clear" w:color="auto" w:fill="auto"/>
            <w:hideMark/>
          </w:tcPr>
          <w:p w:rsidR="001D697D" w:rsidRPr="001D697D" w:rsidP="001D697D" w14:paraId="6BA54A43" w14:textId="77777777">
            <w:pPr>
              <w:widowControl/>
              <w:autoSpaceDE/>
              <w:autoSpaceDN/>
              <w:adjustRightInd/>
              <w:jc w:val="center"/>
              <w:rPr>
                <w:b/>
                <w:bCs/>
                <w:color w:val="000000"/>
                <w:sz w:val="20"/>
                <w:szCs w:val="20"/>
              </w:rPr>
            </w:pPr>
            <w:r w:rsidRPr="001D697D">
              <w:rPr>
                <w:b/>
                <w:bCs/>
                <w:color w:val="000000"/>
                <w:sz w:val="20"/>
                <w:szCs w:val="20"/>
              </w:rPr>
              <w:t xml:space="preserve">(D)  Respondents/ </w:t>
            </w:r>
            <w:r w:rsidRPr="001D697D">
              <w:rPr>
                <w:b/>
                <w:bCs/>
                <w:color w:val="000000"/>
                <w:sz w:val="20"/>
                <w:szCs w:val="20"/>
              </w:rPr>
              <w:t>Year</w:t>
            </w:r>
            <w:r w:rsidRPr="001D697D">
              <w:rPr>
                <w:b/>
                <w:bCs/>
                <w:color w:val="000000"/>
                <w:sz w:val="20"/>
                <w:szCs w:val="20"/>
                <w:vertAlign w:val="superscript"/>
              </w:rPr>
              <w:t>a</w:t>
            </w:r>
          </w:p>
        </w:tc>
        <w:tc>
          <w:tcPr>
            <w:tcW w:w="1260" w:type="dxa"/>
            <w:tcBorders>
              <w:top w:val="single" w:sz="8" w:space="0" w:color="auto"/>
              <w:left w:val="nil"/>
              <w:bottom w:val="single" w:sz="8" w:space="0" w:color="auto"/>
              <w:right w:val="single" w:sz="8" w:space="0" w:color="auto"/>
            </w:tcBorders>
            <w:shd w:val="clear" w:color="auto" w:fill="auto"/>
            <w:hideMark/>
          </w:tcPr>
          <w:p w:rsidR="001D697D" w:rsidP="001D697D" w14:paraId="02A4C7EC" w14:textId="77777777">
            <w:pPr>
              <w:widowControl/>
              <w:autoSpaceDE/>
              <w:autoSpaceDN/>
              <w:adjustRightInd/>
              <w:jc w:val="center"/>
              <w:rPr>
                <w:b/>
                <w:bCs/>
                <w:color w:val="000000"/>
                <w:sz w:val="20"/>
                <w:szCs w:val="20"/>
              </w:rPr>
            </w:pPr>
            <w:r w:rsidRPr="001D697D">
              <w:rPr>
                <w:b/>
                <w:bCs/>
                <w:color w:val="000000"/>
                <w:sz w:val="20"/>
                <w:szCs w:val="20"/>
              </w:rPr>
              <w:t>(E)  Technical Hours/Year</w:t>
            </w:r>
          </w:p>
          <w:p w:rsidR="00862282" w:rsidRPr="001D697D" w:rsidP="001D697D" w14:paraId="3F1ED71D" w14:textId="56E39239">
            <w:pPr>
              <w:widowControl/>
              <w:autoSpaceDE/>
              <w:autoSpaceDN/>
              <w:adjustRightInd/>
              <w:jc w:val="center"/>
              <w:rPr>
                <w:b/>
                <w:bCs/>
                <w:color w:val="000000"/>
                <w:sz w:val="20"/>
                <w:szCs w:val="20"/>
              </w:rPr>
            </w:pPr>
            <w:r w:rsidRPr="001D697D">
              <w:rPr>
                <w:b/>
                <w:bCs/>
                <w:color w:val="000000"/>
                <w:sz w:val="20"/>
                <w:szCs w:val="20"/>
              </w:rPr>
              <w:t>(C x D)</w:t>
            </w:r>
          </w:p>
        </w:tc>
        <w:tc>
          <w:tcPr>
            <w:tcW w:w="1260" w:type="dxa"/>
            <w:tcBorders>
              <w:top w:val="single" w:sz="8" w:space="0" w:color="auto"/>
              <w:left w:val="nil"/>
              <w:bottom w:val="single" w:sz="8" w:space="0" w:color="auto"/>
              <w:right w:val="single" w:sz="8" w:space="0" w:color="auto"/>
            </w:tcBorders>
            <w:shd w:val="clear" w:color="auto" w:fill="auto"/>
            <w:hideMark/>
          </w:tcPr>
          <w:p w:rsidR="001D697D" w:rsidP="001D697D" w14:paraId="00C42676" w14:textId="77777777">
            <w:pPr>
              <w:widowControl/>
              <w:autoSpaceDE/>
              <w:autoSpaceDN/>
              <w:adjustRightInd/>
              <w:jc w:val="center"/>
              <w:rPr>
                <w:b/>
                <w:bCs/>
                <w:color w:val="000000"/>
                <w:sz w:val="20"/>
                <w:szCs w:val="20"/>
              </w:rPr>
            </w:pPr>
            <w:r w:rsidRPr="001D697D">
              <w:rPr>
                <w:b/>
                <w:bCs/>
                <w:color w:val="000000"/>
                <w:sz w:val="20"/>
                <w:szCs w:val="20"/>
              </w:rPr>
              <w:t>(F)</w:t>
            </w:r>
            <w:r w:rsidRPr="001D697D">
              <w:rPr>
                <w:b/>
                <w:bCs/>
                <w:color w:val="000000"/>
                <w:sz w:val="20"/>
                <w:szCs w:val="20"/>
              </w:rPr>
              <w:br/>
              <w:t>Managerial Hours/Year</w:t>
            </w:r>
          </w:p>
          <w:p w:rsidR="00862282" w:rsidRPr="001D697D" w:rsidP="001D697D" w14:paraId="1D2F473C" w14:textId="15A92672">
            <w:pPr>
              <w:widowControl/>
              <w:autoSpaceDE/>
              <w:autoSpaceDN/>
              <w:adjustRightInd/>
              <w:jc w:val="center"/>
              <w:rPr>
                <w:b/>
                <w:bCs/>
                <w:color w:val="000000"/>
                <w:sz w:val="20"/>
                <w:szCs w:val="20"/>
              </w:rPr>
            </w:pPr>
            <w:r w:rsidRPr="001D697D">
              <w:rPr>
                <w:b/>
                <w:bCs/>
                <w:color w:val="000000"/>
                <w:sz w:val="20"/>
                <w:szCs w:val="20"/>
              </w:rPr>
              <w:t>(E x .05)</w:t>
            </w:r>
          </w:p>
        </w:tc>
        <w:tc>
          <w:tcPr>
            <w:tcW w:w="1260" w:type="dxa"/>
            <w:tcBorders>
              <w:top w:val="single" w:sz="8" w:space="0" w:color="auto"/>
              <w:left w:val="nil"/>
              <w:bottom w:val="single" w:sz="8" w:space="0" w:color="auto"/>
              <w:right w:val="single" w:sz="8" w:space="0" w:color="auto"/>
            </w:tcBorders>
            <w:shd w:val="clear" w:color="auto" w:fill="auto"/>
            <w:hideMark/>
          </w:tcPr>
          <w:p w:rsidR="001D697D" w:rsidP="001D697D" w14:paraId="0CB4B115" w14:textId="77777777">
            <w:pPr>
              <w:widowControl/>
              <w:autoSpaceDE/>
              <w:autoSpaceDN/>
              <w:adjustRightInd/>
              <w:jc w:val="center"/>
              <w:rPr>
                <w:b/>
                <w:bCs/>
                <w:color w:val="000000"/>
                <w:sz w:val="20"/>
                <w:szCs w:val="20"/>
              </w:rPr>
            </w:pPr>
            <w:r w:rsidRPr="001D697D">
              <w:rPr>
                <w:b/>
                <w:bCs/>
                <w:color w:val="000000"/>
                <w:sz w:val="20"/>
                <w:szCs w:val="20"/>
              </w:rPr>
              <w:t>(G)</w:t>
            </w:r>
            <w:r w:rsidRPr="001D697D">
              <w:rPr>
                <w:b/>
                <w:bCs/>
                <w:color w:val="000000"/>
                <w:sz w:val="20"/>
                <w:szCs w:val="20"/>
              </w:rPr>
              <w:br/>
              <w:t>Clerical Hours/Year</w:t>
            </w:r>
          </w:p>
          <w:p w:rsidR="00862282" w:rsidRPr="001D697D" w:rsidP="001D697D" w14:paraId="39CC7827" w14:textId="5FD42F25">
            <w:pPr>
              <w:widowControl/>
              <w:autoSpaceDE/>
              <w:autoSpaceDN/>
              <w:adjustRightInd/>
              <w:jc w:val="center"/>
              <w:rPr>
                <w:b/>
                <w:bCs/>
                <w:color w:val="000000"/>
                <w:sz w:val="20"/>
                <w:szCs w:val="20"/>
              </w:rPr>
            </w:pPr>
            <w:r w:rsidRPr="001D697D">
              <w:rPr>
                <w:b/>
                <w:bCs/>
                <w:color w:val="000000"/>
                <w:sz w:val="20"/>
                <w:szCs w:val="20"/>
              </w:rPr>
              <w:t>(E x .10)</w:t>
            </w:r>
          </w:p>
        </w:tc>
        <w:tc>
          <w:tcPr>
            <w:tcW w:w="1340" w:type="dxa"/>
            <w:tcBorders>
              <w:top w:val="single" w:sz="8" w:space="0" w:color="auto"/>
              <w:left w:val="nil"/>
              <w:bottom w:val="single" w:sz="8" w:space="0" w:color="auto"/>
              <w:right w:val="single" w:sz="8" w:space="0" w:color="auto"/>
            </w:tcBorders>
            <w:shd w:val="clear" w:color="auto" w:fill="auto"/>
            <w:hideMark/>
          </w:tcPr>
          <w:p w:rsidR="001D697D" w:rsidRPr="001D697D" w:rsidP="001D697D" w14:paraId="742A4236" w14:textId="77777777">
            <w:pPr>
              <w:widowControl/>
              <w:autoSpaceDE/>
              <w:autoSpaceDN/>
              <w:adjustRightInd/>
              <w:jc w:val="center"/>
              <w:rPr>
                <w:b/>
                <w:bCs/>
                <w:color w:val="000000"/>
                <w:sz w:val="20"/>
                <w:szCs w:val="20"/>
              </w:rPr>
            </w:pPr>
            <w:r w:rsidRPr="001D697D">
              <w:rPr>
                <w:b/>
                <w:bCs/>
                <w:color w:val="000000"/>
                <w:sz w:val="20"/>
                <w:szCs w:val="20"/>
              </w:rPr>
              <w:t>(H)</w:t>
            </w:r>
            <w:r w:rsidRPr="001D697D">
              <w:rPr>
                <w:b/>
                <w:bCs/>
                <w:color w:val="000000"/>
                <w:sz w:val="20"/>
                <w:szCs w:val="20"/>
              </w:rPr>
              <w:br/>
              <w:t xml:space="preserve">Cost/ </w:t>
            </w:r>
            <w:r w:rsidRPr="001D697D">
              <w:rPr>
                <w:b/>
                <w:bCs/>
                <w:color w:val="000000"/>
                <w:sz w:val="20"/>
                <w:szCs w:val="20"/>
              </w:rPr>
              <w:t>Year</w:t>
            </w:r>
            <w:r w:rsidRPr="001D697D">
              <w:rPr>
                <w:b/>
                <w:bCs/>
                <w:color w:val="000000"/>
                <w:sz w:val="20"/>
                <w:szCs w:val="20"/>
                <w:vertAlign w:val="superscript"/>
              </w:rPr>
              <w:t>c</w:t>
            </w:r>
          </w:p>
        </w:tc>
      </w:tr>
      <w:tr w14:paraId="46C4428C" w14:textId="77777777" w:rsidTr="00862282">
        <w:tblPrEx>
          <w:tblW w:w="13030" w:type="dxa"/>
          <w:tblLook w:val="04A0"/>
        </w:tblPrEx>
        <w:trPr>
          <w:trHeight w:val="450"/>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1D697D" w14:paraId="4F0727A3" w14:textId="77777777">
            <w:pPr>
              <w:widowControl/>
              <w:autoSpaceDE/>
              <w:autoSpaceDN/>
              <w:adjustRightInd/>
              <w:rPr>
                <w:color w:val="000000"/>
                <w:sz w:val="20"/>
                <w:szCs w:val="20"/>
              </w:rPr>
            </w:pPr>
            <w:r w:rsidRPr="001D697D">
              <w:rPr>
                <w:color w:val="000000"/>
                <w:sz w:val="20"/>
                <w:szCs w:val="20"/>
              </w:rPr>
              <w:t>1. Applications</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697D" w:rsidRPr="001D697D" w:rsidP="001D697D" w14:paraId="608877AC"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6E63EB0E"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0A3D75AB"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72D7E514"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5F7C26CD"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38E96E19"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6E3196F0" w14:textId="77777777">
            <w:pPr>
              <w:widowControl/>
              <w:autoSpaceDE/>
              <w:autoSpaceDN/>
              <w:adjustRightInd/>
              <w:rPr>
                <w:color w:val="000000"/>
                <w:sz w:val="20"/>
                <w:szCs w:val="20"/>
              </w:rPr>
            </w:pPr>
            <w:r w:rsidRPr="001D697D">
              <w:rPr>
                <w:color w:val="000000"/>
                <w:sz w:val="20"/>
                <w:szCs w:val="20"/>
              </w:rPr>
              <w:t> </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7F785791" w14:textId="77777777">
            <w:pPr>
              <w:widowControl/>
              <w:autoSpaceDE/>
              <w:autoSpaceDN/>
              <w:adjustRightInd/>
              <w:rPr>
                <w:color w:val="000000"/>
                <w:sz w:val="20"/>
                <w:szCs w:val="20"/>
              </w:rPr>
            </w:pPr>
            <w:r w:rsidRPr="001D697D">
              <w:rPr>
                <w:color w:val="000000"/>
                <w:sz w:val="20"/>
                <w:szCs w:val="20"/>
              </w:rPr>
              <w:t> </w:t>
            </w:r>
          </w:p>
        </w:tc>
      </w:tr>
      <w:tr w14:paraId="3E040762" w14:textId="77777777" w:rsidTr="00862282">
        <w:tblPrEx>
          <w:tblW w:w="13030" w:type="dxa"/>
          <w:tblLook w:val="04A0"/>
        </w:tblPrEx>
        <w:trPr>
          <w:trHeight w:val="450"/>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1D697D" w14:paraId="7239CBD9" w14:textId="77777777">
            <w:pPr>
              <w:widowControl/>
              <w:autoSpaceDE/>
              <w:autoSpaceDN/>
              <w:adjustRightInd/>
              <w:rPr>
                <w:color w:val="000000"/>
                <w:sz w:val="20"/>
                <w:szCs w:val="20"/>
              </w:rPr>
            </w:pPr>
            <w:r w:rsidRPr="001D697D">
              <w:rPr>
                <w:color w:val="000000"/>
                <w:sz w:val="20"/>
                <w:szCs w:val="20"/>
              </w:rPr>
              <w:t>2. Survey and studies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2E4E3F9D"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0AEB4693"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7EFF3563"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1FB01BD1"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4227D65A"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0D5701BB"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5DEA1DE7" w14:textId="77777777">
            <w:pPr>
              <w:widowControl/>
              <w:autoSpaceDE/>
              <w:autoSpaceDN/>
              <w:adjustRightInd/>
              <w:rPr>
                <w:color w:val="000000"/>
                <w:sz w:val="20"/>
                <w:szCs w:val="20"/>
              </w:rPr>
            </w:pPr>
            <w:r w:rsidRPr="001D697D">
              <w:rPr>
                <w:color w:val="000000"/>
                <w:sz w:val="20"/>
                <w:szCs w:val="20"/>
              </w:rPr>
              <w:t> </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1D697D" w:rsidRPr="001D697D" w:rsidP="001D697D" w14:paraId="7989FEE1" w14:textId="77777777">
            <w:pPr>
              <w:widowControl/>
              <w:autoSpaceDE/>
              <w:autoSpaceDN/>
              <w:adjustRightInd/>
              <w:rPr>
                <w:color w:val="000000"/>
                <w:sz w:val="20"/>
                <w:szCs w:val="20"/>
              </w:rPr>
            </w:pPr>
            <w:r w:rsidRPr="001D697D">
              <w:rPr>
                <w:color w:val="000000"/>
                <w:sz w:val="20"/>
                <w:szCs w:val="20"/>
              </w:rPr>
              <w:t> </w:t>
            </w:r>
          </w:p>
        </w:tc>
      </w:tr>
      <w:tr w14:paraId="1BE23FD4" w14:textId="77777777" w:rsidTr="00862282">
        <w:tblPrEx>
          <w:tblW w:w="13030" w:type="dxa"/>
          <w:tblLook w:val="04A0"/>
        </w:tblPrEx>
        <w:trPr>
          <w:trHeight w:val="450"/>
        </w:trPr>
        <w:tc>
          <w:tcPr>
            <w:tcW w:w="2420" w:type="dxa"/>
            <w:tcBorders>
              <w:top w:val="nil"/>
              <w:left w:val="single" w:sz="8" w:space="0" w:color="auto"/>
              <w:bottom w:val="single" w:sz="8" w:space="0" w:color="auto"/>
              <w:right w:val="nil"/>
            </w:tcBorders>
            <w:shd w:val="clear" w:color="auto" w:fill="auto"/>
            <w:noWrap/>
            <w:vAlign w:val="bottom"/>
            <w:hideMark/>
          </w:tcPr>
          <w:p w:rsidR="001D697D" w:rsidRPr="001D697D" w:rsidP="001D697D" w14:paraId="3B9C0801" w14:textId="77777777">
            <w:pPr>
              <w:widowControl/>
              <w:autoSpaceDE/>
              <w:autoSpaceDN/>
              <w:adjustRightInd/>
              <w:rPr>
                <w:color w:val="000000"/>
                <w:sz w:val="20"/>
                <w:szCs w:val="20"/>
              </w:rPr>
            </w:pPr>
            <w:r w:rsidRPr="001D697D">
              <w:rPr>
                <w:color w:val="000000"/>
                <w:sz w:val="20"/>
                <w:szCs w:val="20"/>
              </w:rPr>
              <w:t>3. Acquisition, installation, and utilization of technical systems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6BEBDA30"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bottom"/>
            <w:hideMark/>
          </w:tcPr>
          <w:p w:rsidR="001D697D" w:rsidRPr="001D697D" w:rsidP="001D697D" w14:paraId="521E5CBF"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71D8E838"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2951AE92"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3DA2E531"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2D3F4D96"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70904397" w14:textId="77777777">
            <w:pPr>
              <w:widowControl/>
              <w:autoSpaceDE/>
              <w:autoSpaceDN/>
              <w:adjustRightInd/>
              <w:rPr>
                <w:color w:val="000000"/>
                <w:sz w:val="20"/>
                <w:szCs w:val="20"/>
              </w:rPr>
            </w:pPr>
            <w:r w:rsidRPr="001D697D">
              <w:rPr>
                <w:color w:val="000000"/>
                <w:sz w:val="20"/>
                <w:szCs w:val="20"/>
              </w:rPr>
              <w:t> </w:t>
            </w:r>
          </w:p>
        </w:tc>
        <w:tc>
          <w:tcPr>
            <w:tcW w:w="1340" w:type="dxa"/>
            <w:tcBorders>
              <w:top w:val="nil"/>
              <w:left w:val="nil"/>
              <w:bottom w:val="single" w:sz="8" w:space="0" w:color="auto"/>
              <w:right w:val="single" w:sz="8" w:space="0" w:color="auto"/>
            </w:tcBorders>
            <w:shd w:val="clear" w:color="auto" w:fill="auto"/>
            <w:vAlign w:val="bottom"/>
            <w:hideMark/>
          </w:tcPr>
          <w:p w:rsidR="001D697D" w:rsidRPr="001D697D" w:rsidP="001D697D" w14:paraId="697DD85C" w14:textId="77777777">
            <w:pPr>
              <w:widowControl/>
              <w:autoSpaceDE/>
              <w:autoSpaceDN/>
              <w:adjustRightInd/>
              <w:rPr>
                <w:color w:val="000000"/>
                <w:sz w:val="20"/>
                <w:szCs w:val="20"/>
              </w:rPr>
            </w:pPr>
            <w:r w:rsidRPr="001D697D">
              <w:rPr>
                <w:color w:val="000000"/>
                <w:sz w:val="20"/>
                <w:szCs w:val="20"/>
              </w:rPr>
              <w:t> </w:t>
            </w:r>
          </w:p>
        </w:tc>
      </w:tr>
      <w:tr w14:paraId="0351003A" w14:textId="77777777" w:rsidTr="00862282">
        <w:tblPrEx>
          <w:tblW w:w="13030" w:type="dxa"/>
          <w:tblLook w:val="04A0"/>
        </w:tblPrEx>
        <w:trPr>
          <w:trHeight w:val="450"/>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1D697D" w14:paraId="51B76BE6" w14:textId="77777777">
            <w:pPr>
              <w:widowControl/>
              <w:autoSpaceDE/>
              <w:autoSpaceDN/>
              <w:adjustRightInd/>
              <w:rPr>
                <w:color w:val="000000"/>
                <w:sz w:val="20"/>
                <w:szCs w:val="20"/>
              </w:rPr>
            </w:pPr>
            <w:r w:rsidRPr="001D697D">
              <w:rPr>
                <w:color w:val="000000"/>
                <w:sz w:val="20"/>
                <w:szCs w:val="20"/>
              </w:rPr>
              <w:t>4. Reporting Requirements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04B34620"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bottom"/>
            <w:hideMark/>
          </w:tcPr>
          <w:p w:rsidR="001D697D" w:rsidRPr="001D697D" w:rsidP="001D697D" w14:paraId="6C95FEDB"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515F1177"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472DF073"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486E4D09"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4A8E2344"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49EBCF1B" w14:textId="77777777">
            <w:pPr>
              <w:widowControl/>
              <w:autoSpaceDE/>
              <w:autoSpaceDN/>
              <w:adjustRightInd/>
              <w:rPr>
                <w:color w:val="000000"/>
                <w:sz w:val="20"/>
                <w:szCs w:val="20"/>
              </w:rPr>
            </w:pPr>
            <w:r w:rsidRPr="001D697D">
              <w:rPr>
                <w:color w:val="000000"/>
                <w:sz w:val="20"/>
                <w:szCs w:val="20"/>
              </w:rPr>
              <w:t> </w:t>
            </w:r>
          </w:p>
        </w:tc>
        <w:tc>
          <w:tcPr>
            <w:tcW w:w="1340" w:type="dxa"/>
            <w:tcBorders>
              <w:top w:val="nil"/>
              <w:left w:val="nil"/>
              <w:bottom w:val="single" w:sz="8" w:space="0" w:color="auto"/>
              <w:right w:val="single" w:sz="8" w:space="0" w:color="auto"/>
            </w:tcBorders>
            <w:shd w:val="clear" w:color="auto" w:fill="auto"/>
            <w:vAlign w:val="bottom"/>
            <w:hideMark/>
          </w:tcPr>
          <w:p w:rsidR="001D697D" w:rsidRPr="001D697D" w:rsidP="001D697D" w14:paraId="76750BC2" w14:textId="77777777">
            <w:pPr>
              <w:widowControl/>
              <w:autoSpaceDE/>
              <w:autoSpaceDN/>
              <w:adjustRightInd/>
              <w:rPr>
                <w:color w:val="000000"/>
                <w:sz w:val="20"/>
                <w:szCs w:val="20"/>
              </w:rPr>
            </w:pPr>
            <w:r w:rsidRPr="001D697D">
              <w:rPr>
                <w:color w:val="000000"/>
                <w:sz w:val="20"/>
                <w:szCs w:val="20"/>
              </w:rPr>
              <w:t> </w:t>
            </w:r>
          </w:p>
        </w:tc>
      </w:tr>
      <w:tr w14:paraId="7E65E764"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5E7024" w14:paraId="5582502A" w14:textId="77777777">
            <w:pPr>
              <w:widowControl/>
              <w:autoSpaceDE/>
              <w:autoSpaceDN/>
              <w:adjustRightInd/>
              <w:ind w:left="330" w:hanging="180"/>
              <w:rPr>
                <w:color w:val="000000"/>
                <w:sz w:val="20"/>
                <w:szCs w:val="20"/>
              </w:rPr>
            </w:pPr>
            <w:r w:rsidRPr="001D697D">
              <w:rPr>
                <w:color w:val="000000"/>
                <w:sz w:val="20"/>
                <w:szCs w:val="20"/>
              </w:rPr>
              <w:t xml:space="preserve">A. Familiarization with regulatory requirements </w:t>
            </w:r>
            <w:r w:rsidRPr="001D697D">
              <w:rPr>
                <w:color w:val="000000"/>
                <w:sz w:val="20"/>
                <w:szCs w:val="20"/>
                <w:vertAlign w:val="superscript"/>
              </w:rPr>
              <w:t>b</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034A43B7"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bottom"/>
            <w:hideMark/>
          </w:tcPr>
          <w:p w:rsidR="001D697D" w:rsidRPr="001D697D" w:rsidP="001D697D" w14:paraId="53146F8A"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5207D37B" w14:textId="77777777">
            <w:pPr>
              <w:widowControl/>
              <w:autoSpaceDE/>
              <w:autoSpaceDN/>
              <w:adjustRightInd/>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1148F811"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37616A9C"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2F43B29F" w14:textId="77777777">
            <w:pPr>
              <w:widowControl/>
              <w:autoSpaceDE/>
              <w:autoSpaceDN/>
              <w:adjustRightInd/>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rsidR="001D697D" w:rsidRPr="001D697D" w:rsidP="001D697D" w14:paraId="53285055" w14:textId="77777777">
            <w:pPr>
              <w:widowControl/>
              <w:autoSpaceDE/>
              <w:autoSpaceDN/>
              <w:adjustRightInd/>
              <w:rPr>
                <w:color w:val="000000"/>
                <w:sz w:val="20"/>
                <w:szCs w:val="20"/>
              </w:rPr>
            </w:pPr>
            <w:r w:rsidRPr="001D697D">
              <w:rPr>
                <w:color w:val="000000"/>
                <w:sz w:val="20"/>
                <w:szCs w:val="20"/>
              </w:rPr>
              <w:t> </w:t>
            </w:r>
          </w:p>
        </w:tc>
        <w:tc>
          <w:tcPr>
            <w:tcW w:w="1340" w:type="dxa"/>
            <w:tcBorders>
              <w:top w:val="nil"/>
              <w:left w:val="nil"/>
              <w:bottom w:val="single" w:sz="8" w:space="0" w:color="auto"/>
              <w:right w:val="single" w:sz="8" w:space="0" w:color="auto"/>
            </w:tcBorders>
            <w:shd w:val="clear" w:color="auto" w:fill="auto"/>
            <w:vAlign w:val="bottom"/>
            <w:hideMark/>
          </w:tcPr>
          <w:p w:rsidR="001D697D" w:rsidRPr="001D697D" w:rsidP="001D697D" w14:paraId="4C9EAD29" w14:textId="77777777">
            <w:pPr>
              <w:widowControl/>
              <w:autoSpaceDE/>
              <w:autoSpaceDN/>
              <w:adjustRightInd/>
              <w:rPr>
                <w:color w:val="000000"/>
                <w:sz w:val="20"/>
                <w:szCs w:val="20"/>
              </w:rPr>
            </w:pPr>
            <w:r w:rsidRPr="001D697D">
              <w:rPr>
                <w:color w:val="000000"/>
                <w:sz w:val="20"/>
                <w:szCs w:val="20"/>
              </w:rPr>
              <w:t> </w:t>
            </w:r>
          </w:p>
        </w:tc>
      </w:tr>
      <w:tr w14:paraId="6B424B55"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5E7024" w14:paraId="266ADDF1" w14:textId="3D44972E">
            <w:pPr>
              <w:widowControl/>
              <w:autoSpaceDE/>
              <w:autoSpaceDN/>
              <w:adjustRightInd/>
              <w:ind w:left="330"/>
              <w:rPr>
                <w:color w:val="000000"/>
                <w:sz w:val="20"/>
                <w:szCs w:val="20"/>
              </w:rPr>
            </w:pPr>
            <w:r w:rsidRPr="001D697D">
              <w:rPr>
                <w:color w:val="000000"/>
                <w:sz w:val="20"/>
                <w:szCs w:val="20"/>
              </w:rPr>
              <w:t>Existing Facilities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6CD12EB4" w14:textId="77777777">
            <w:pPr>
              <w:widowControl/>
              <w:autoSpaceDE/>
              <w:autoSpaceDN/>
              <w:adjustRightInd/>
              <w:jc w:val="center"/>
              <w:rPr>
                <w:color w:val="000000"/>
                <w:sz w:val="20"/>
                <w:szCs w:val="20"/>
              </w:rPr>
            </w:pPr>
            <w:r w:rsidRPr="001D697D">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1D697D" w:rsidRPr="001D697D" w:rsidP="001D697D" w14:paraId="2FF9AC86"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185C5158" w14:textId="77777777">
            <w:pPr>
              <w:widowControl/>
              <w:autoSpaceDE/>
              <w:autoSpaceDN/>
              <w:adjustRightInd/>
              <w:jc w:val="center"/>
              <w:rPr>
                <w:color w:val="000000"/>
                <w:sz w:val="20"/>
                <w:szCs w:val="20"/>
              </w:rPr>
            </w:pPr>
            <w:r w:rsidRPr="001D697D">
              <w:rPr>
                <w:color w:val="000000"/>
                <w:sz w:val="20"/>
                <w:szCs w:val="20"/>
              </w:rPr>
              <w:t>8</w:t>
            </w:r>
          </w:p>
        </w:tc>
        <w:tc>
          <w:tcPr>
            <w:tcW w:w="1440" w:type="dxa"/>
            <w:tcBorders>
              <w:top w:val="nil"/>
              <w:left w:val="nil"/>
              <w:bottom w:val="single" w:sz="8" w:space="0" w:color="auto"/>
              <w:right w:val="single" w:sz="8" w:space="0" w:color="auto"/>
            </w:tcBorders>
            <w:shd w:val="clear" w:color="auto" w:fill="auto"/>
            <w:noWrap/>
            <w:vAlign w:val="center"/>
            <w:hideMark/>
          </w:tcPr>
          <w:p w:rsidR="001D697D" w:rsidRPr="001D697D" w:rsidP="001D697D" w14:paraId="28A96D72" w14:textId="77777777">
            <w:pPr>
              <w:widowControl/>
              <w:autoSpaceDE/>
              <w:autoSpaceDN/>
              <w:adjustRightInd/>
              <w:jc w:val="center"/>
              <w:rPr>
                <w:color w:val="000000"/>
                <w:sz w:val="20"/>
                <w:szCs w:val="20"/>
              </w:rPr>
            </w:pPr>
            <w:r w:rsidRPr="001D697D">
              <w:rPr>
                <w:color w:val="000000"/>
                <w:sz w:val="20"/>
                <w:szCs w:val="20"/>
              </w:rPr>
              <w:t>92</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06D8650A" w14:textId="77777777">
            <w:pPr>
              <w:widowControl/>
              <w:autoSpaceDE/>
              <w:autoSpaceDN/>
              <w:adjustRightInd/>
              <w:jc w:val="center"/>
              <w:rPr>
                <w:color w:val="000000"/>
                <w:sz w:val="20"/>
                <w:szCs w:val="20"/>
              </w:rPr>
            </w:pPr>
            <w:r w:rsidRPr="001D697D">
              <w:rPr>
                <w:color w:val="000000"/>
                <w:sz w:val="20"/>
                <w:szCs w:val="20"/>
              </w:rPr>
              <w:t>736</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36A8F412" w14:textId="77777777">
            <w:pPr>
              <w:widowControl/>
              <w:autoSpaceDE/>
              <w:autoSpaceDN/>
              <w:adjustRightInd/>
              <w:jc w:val="center"/>
              <w:rPr>
                <w:color w:val="000000"/>
                <w:sz w:val="20"/>
                <w:szCs w:val="20"/>
              </w:rPr>
            </w:pPr>
            <w:r w:rsidRPr="001D697D">
              <w:rPr>
                <w:color w:val="000000"/>
                <w:sz w:val="20"/>
                <w:szCs w:val="20"/>
              </w:rPr>
              <w:t>37</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0AA81C4D" w14:textId="77777777">
            <w:pPr>
              <w:widowControl/>
              <w:autoSpaceDE/>
              <w:autoSpaceDN/>
              <w:adjustRightInd/>
              <w:jc w:val="center"/>
              <w:rPr>
                <w:color w:val="000000"/>
                <w:sz w:val="20"/>
                <w:szCs w:val="20"/>
              </w:rPr>
            </w:pPr>
            <w:r w:rsidRPr="001D697D">
              <w:rPr>
                <w:color w:val="000000"/>
                <w:sz w:val="20"/>
                <w:szCs w:val="20"/>
              </w:rPr>
              <w:t>74</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6E526D91" w14:textId="77777777">
            <w:pPr>
              <w:widowControl/>
              <w:autoSpaceDE/>
              <w:autoSpaceDN/>
              <w:adjustRightInd/>
              <w:jc w:val="right"/>
              <w:rPr>
                <w:color w:val="000000"/>
                <w:sz w:val="20"/>
                <w:szCs w:val="20"/>
              </w:rPr>
            </w:pPr>
            <w:r w:rsidRPr="001D697D">
              <w:rPr>
                <w:color w:val="000000"/>
                <w:sz w:val="20"/>
                <w:szCs w:val="20"/>
              </w:rPr>
              <w:t>$101,621.36</w:t>
            </w:r>
          </w:p>
        </w:tc>
      </w:tr>
      <w:tr w14:paraId="3C6C3491"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5E7024" w14:paraId="6950FF3A" w14:textId="35DFD17E">
            <w:pPr>
              <w:widowControl/>
              <w:autoSpaceDE/>
              <w:autoSpaceDN/>
              <w:adjustRightInd/>
              <w:ind w:left="330"/>
              <w:rPr>
                <w:color w:val="000000"/>
                <w:sz w:val="20"/>
                <w:szCs w:val="20"/>
              </w:rPr>
            </w:pPr>
            <w:r w:rsidRPr="001D697D">
              <w:rPr>
                <w:color w:val="000000"/>
                <w:sz w:val="20"/>
                <w:szCs w:val="20"/>
              </w:rPr>
              <w:t>New Facilities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635C3DF1" w14:textId="77777777">
            <w:pPr>
              <w:widowControl/>
              <w:autoSpaceDE/>
              <w:autoSpaceDN/>
              <w:adjustRightInd/>
              <w:jc w:val="center"/>
              <w:rPr>
                <w:color w:val="000000"/>
                <w:sz w:val="20"/>
                <w:szCs w:val="20"/>
              </w:rPr>
            </w:pPr>
            <w:r w:rsidRPr="001D697D">
              <w:rPr>
                <w:color w:val="000000"/>
                <w:sz w:val="20"/>
                <w:szCs w:val="20"/>
              </w:rPr>
              <w:t>30</w:t>
            </w:r>
          </w:p>
        </w:tc>
        <w:tc>
          <w:tcPr>
            <w:tcW w:w="1350" w:type="dxa"/>
            <w:tcBorders>
              <w:top w:val="nil"/>
              <w:left w:val="nil"/>
              <w:bottom w:val="single" w:sz="8" w:space="0" w:color="auto"/>
              <w:right w:val="single" w:sz="8" w:space="0" w:color="auto"/>
            </w:tcBorders>
            <w:shd w:val="clear" w:color="auto" w:fill="auto"/>
            <w:vAlign w:val="center"/>
            <w:hideMark/>
          </w:tcPr>
          <w:p w:rsidR="001D697D" w:rsidRPr="001D697D" w:rsidP="001D697D" w14:paraId="64C139A4"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63CD226A" w14:textId="77777777">
            <w:pPr>
              <w:widowControl/>
              <w:autoSpaceDE/>
              <w:autoSpaceDN/>
              <w:adjustRightInd/>
              <w:jc w:val="center"/>
              <w:rPr>
                <w:color w:val="000000"/>
                <w:sz w:val="20"/>
                <w:szCs w:val="20"/>
              </w:rPr>
            </w:pPr>
            <w:r w:rsidRPr="001D697D">
              <w:rPr>
                <w:color w:val="000000"/>
                <w:sz w:val="20"/>
                <w:szCs w:val="20"/>
              </w:rPr>
              <w:t>30</w:t>
            </w:r>
          </w:p>
        </w:tc>
        <w:tc>
          <w:tcPr>
            <w:tcW w:w="1440" w:type="dxa"/>
            <w:tcBorders>
              <w:top w:val="nil"/>
              <w:left w:val="nil"/>
              <w:bottom w:val="single" w:sz="8" w:space="0" w:color="auto"/>
              <w:right w:val="single" w:sz="8" w:space="0" w:color="auto"/>
            </w:tcBorders>
            <w:shd w:val="clear" w:color="auto" w:fill="auto"/>
            <w:noWrap/>
            <w:vAlign w:val="center"/>
            <w:hideMark/>
          </w:tcPr>
          <w:p w:rsidR="001D697D" w:rsidRPr="001D697D" w:rsidP="001D697D" w14:paraId="4FAE348B" w14:textId="77777777">
            <w:pPr>
              <w:widowControl/>
              <w:autoSpaceDE/>
              <w:autoSpaceDN/>
              <w:adjustRightInd/>
              <w:jc w:val="center"/>
              <w:rPr>
                <w:color w:val="000000"/>
                <w:sz w:val="20"/>
                <w:szCs w:val="20"/>
              </w:rPr>
            </w:pPr>
            <w:r w:rsidRPr="001D697D">
              <w:rPr>
                <w:color w:val="000000"/>
                <w:sz w:val="20"/>
                <w:szCs w:val="20"/>
              </w:rPr>
              <w:t>16</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692291E2" w14:textId="77777777">
            <w:pPr>
              <w:widowControl/>
              <w:autoSpaceDE/>
              <w:autoSpaceDN/>
              <w:adjustRightInd/>
              <w:jc w:val="center"/>
              <w:rPr>
                <w:color w:val="000000"/>
                <w:sz w:val="20"/>
                <w:szCs w:val="20"/>
              </w:rPr>
            </w:pPr>
            <w:r w:rsidRPr="001D697D">
              <w:rPr>
                <w:color w:val="000000"/>
                <w:sz w:val="20"/>
                <w:szCs w:val="20"/>
              </w:rPr>
              <w:t>480</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6E437FB0" w14:textId="77777777">
            <w:pPr>
              <w:widowControl/>
              <w:autoSpaceDE/>
              <w:autoSpaceDN/>
              <w:adjustRightInd/>
              <w:jc w:val="center"/>
              <w:rPr>
                <w:color w:val="000000"/>
                <w:sz w:val="20"/>
                <w:szCs w:val="20"/>
              </w:rPr>
            </w:pPr>
            <w:r w:rsidRPr="001D697D">
              <w:rPr>
                <w:color w:val="000000"/>
                <w:sz w:val="20"/>
                <w:szCs w:val="20"/>
              </w:rPr>
              <w:t>24</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2E86750E" w14:textId="77777777">
            <w:pPr>
              <w:widowControl/>
              <w:autoSpaceDE/>
              <w:autoSpaceDN/>
              <w:adjustRightInd/>
              <w:jc w:val="center"/>
              <w:rPr>
                <w:color w:val="000000"/>
                <w:sz w:val="20"/>
                <w:szCs w:val="20"/>
              </w:rPr>
            </w:pPr>
            <w:r w:rsidRPr="001D697D">
              <w:rPr>
                <w:color w:val="000000"/>
                <w:sz w:val="20"/>
                <w:szCs w:val="20"/>
              </w:rPr>
              <w:t>48</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77456623" w14:textId="77777777">
            <w:pPr>
              <w:widowControl/>
              <w:autoSpaceDE/>
              <w:autoSpaceDN/>
              <w:adjustRightInd/>
              <w:jc w:val="right"/>
              <w:rPr>
                <w:color w:val="000000"/>
                <w:sz w:val="20"/>
                <w:szCs w:val="20"/>
              </w:rPr>
            </w:pPr>
            <w:r w:rsidRPr="001D697D">
              <w:rPr>
                <w:color w:val="000000"/>
                <w:sz w:val="20"/>
                <w:szCs w:val="20"/>
              </w:rPr>
              <w:t>$66,274.80</w:t>
            </w:r>
          </w:p>
        </w:tc>
      </w:tr>
      <w:tr w14:paraId="24BFE254"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5E7024" w14:paraId="1E296F3A" w14:textId="77777777">
            <w:pPr>
              <w:widowControl/>
              <w:autoSpaceDE/>
              <w:autoSpaceDN/>
              <w:adjustRightInd/>
              <w:ind w:left="330" w:hanging="180"/>
              <w:rPr>
                <w:color w:val="000000"/>
                <w:sz w:val="20"/>
                <w:szCs w:val="20"/>
              </w:rPr>
            </w:pPr>
            <w:r w:rsidRPr="001D697D">
              <w:rPr>
                <w:color w:val="000000"/>
                <w:sz w:val="20"/>
                <w:szCs w:val="20"/>
              </w:rPr>
              <w:t>B. Required activities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369CC1AA"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1D697D" w:rsidRPr="001D697D" w:rsidP="001D697D" w14:paraId="36BE5613"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3EF8DD09"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center"/>
            <w:hideMark/>
          </w:tcPr>
          <w:p w:rsidR="001D697D" w:rsidRPr="001D697D" w:rsidP="001D697D" w14:paraId="6C447CB5"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1A710ED0"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7E51FA21"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29F5C983" w14:textId="77777777">
            <w:pPr>
              <w:widowControl/>
              <w:autoSpaceDE/>
              <w:autoSpaceDN/>
              <w:adjustRightInd/>
              <w:jc w:val="center"/>
              <w:rPr>
                <w:color w:val="000000"/>
                <w:sz w:val="20"/>
                <w:szCs w:val="20"/>
              </w:rPr>
            </w:pPr>
            <w:r w:rsidRPr="001D697D">
              <w:rPr>
                <w:color w:val="000000"/>
                <w:sz w:val="20"/>
                <w:szCs w:val="20"/>
              </w:rPr>
              <w:t> </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55407470" w14:textId="77777777">
            <w:pPr>
              <w:widowControl/>
              <w:autoSpaceDE/>
              <w:autoSpaceDN/>
              <w:adjustRightInd/>
              <w:jc w:val="right"/>
              <w:rPr>
                <w:color w:val="000000"/>
                <w:sz w:val="20"/>
                <w:szCs w:val="20"/>
              </w:rPr>
            </w:pPr>
            <w:r w:rsidRPr="001D697D">
              <w:rPr>
                <w:color w:val="000000"/>
                <w:sz w:val="20"/>
                <w:szCs w:val="20"/>
              </w:rPr>
              <w:t> </w:t>
            </w:r>
          </w:p>
        </w:tc>
      </w:tr>
      <w:tr w14:paraId="294FDA7D"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center"/>
            <w:hideMark/>
          </w:tcPr>
          <w:p w:rsidR="001D697D" w:rsidRPr="001D697D" w:rsidP="005E7024" w14:paraId="705A6ABB" w14:textId="66E41DE9">
            <w:pPr>
              <w:widowControl/>
              <w:autoSpaceDE/>
              <w:autoSpaceDN/>
              <w:adjustRightInd/>
              <w:ind w:left="330"/>
              <w:rPr>
                <w:color w:val="000000"/>
                <w:sz w:val="20"/>
                <w:szCs w:val="20"/>
              </w:rPr>
            </w:pPr>
            <w:r w:rsidRPr="001D697D">
              <w:rPr>
                <w:color w:val="000000"/>
                <w:sz w:val="20"/>
                <w:szCs w:val="20"/>
              </w:rPr>
              <w:t>Notification of construction</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697D" w:rsidRPr="001D697D" w:rsidP="001D697D" w14:paraId="57BD8D4E" w14:textId="77777777">
            <w:pPr>
              <w:widowControl/>
              <w:autoSpaceDE/>
              <w:autoSpaceDN/>
              <w:adjustRightInd/>
              <w:jc w:val="center"/>
              <w:rPr>
                <w:color w:val="000000"/>
                <w:sz w:val="20"/>
                <w:szCs w:val="20"/>
              </w:rPr>
            </w:pPr>
            <w:r w:rsidRPr="001D697D">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1D697D" w:rsidRPr="001D697D" w:rsidP="001D697D" w14:paraId="1DE2CF77"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213DD1D0"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nil"/>
              <w:left w:val="nil"/>
              <w:bottom w:val="single" w:sz="8" w:space="0" w:color="auto"/>
              <w:right w:val="single" w:sz="8" w:space="0" w:color="auto"/>
            </w:tcBorders>
            <w:shd w:val="clear" w:color="auto" w:fill="auto"/>
            <w:noWrap/>
            <w:vAlign w:val="center"/>
            <w:hideMark/>
          </w:tcPr>
          <w:p w:rsidR="001D697D" w:rsidRPr="001D697D" w:rsidP="001D697D" w14:paraId="5BA6DA46" w14:textId="77777777">
            <w:pPr>
              <w:widowControl/>
              <w:autoSpaceDE/>
              <w:autoSpaceDN/>
              <w:adjustRightInd/>
              <w:jc w:val="center"/>
              <w:rPr>
                <w:color w:val="000000"/>
                <w:sz w:val="20"/>
                <w:szCs w:val="20"/>
              </w:rPr>
            </w:pPr>
            <w:r w:rsidRPr="001D697D">
              <w:rPr>
                <w:color w:val="000000"/>
                <w:sz w:val="20"/>
                <w:szCs w:val="20"/>
              </w:rPr>
              <w:t>16</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2B1094BC" w14:textId="77777777">
            <w:pPr>
              <w:widowControl/>
              <w:autoSpaceDE/>
              <w:autoSpaceDN/>
              <w:adjustRightInd/>
              <w:jc w:val="center"/>
              <w:rPr>
                <w:color w:val="000000"/>
                <w:sz w:val="20"/>
                <w:szCs w:val="20"/>
              </w:rPr>
            </w:pPr>
            <w:r w:rsidRPr="001D697D">
              <w:rPr>
                <w:color w:val="000000"/>
                <w:sz w:val="20"/>
                <w:szCs w:val="20"/>
              </w:rPr>
              <w:t>16</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3626B9F4" w14:textId="77777777">
            <w:pPr>
              <w:widowControl/>
              <w:autoSpaceDE/>
              <w:autoSpaceDN/>
              <w:adjustRightInd/>
              <w:jc w:val="center"/>
              <w:rPr>
                <w:color w:val="000000"/>
                <w:sz w:val="20"/>
                <w:szCs w:val="20"/>
              </w:rPr>
            </w:pPr>
            <w:r w:rsidRPr="001D697D">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06B88E53" w14:textId="77777777">
            <w:pPr>
              <w:widowControl/>
              <w:autoSpaceDE/>
              <w:autoSpaceDN/>
              <w:adjustRightInd/>
              <w:jc w:val="center"/>
              <w:rPr>
                <w:color w:val="000000"/>
                <w:sz w:val="20"/>
                <w:szCs w:val="20"/>
              </w:rPr>
            </w:pPr>
            <w:r w:rsidRPr="001D697D">
              <w:rPr>
                <w:color w:val="000000"/>
                <w:sz w:val="20"/>
                <w:szCs w:val="20"/>
              </w:rPr>
              <w:t>2</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7138C0F8" w14:textId="77777777">
            <w:pPr>
              <w:widowControl/>
              <w:autoSpaceDE/>
              <w:autoSpaceDN/>
              <w:adjustRightInd/>
              <w:jc w:val="right"/>
              <w:rPr>
                <w:color w:val="000000"/>
                <w:sz w:val="20"/>
                <w:szCs w:val="20"/>
              </w:rPr>
            </w:pPr>
            <w:r w:rsidRPr="001D697D">
              <w:rPr>
                <w:color w:val="000000"/>
                <w:sz w:val="20"/>
                <w:szCs w:val="20"/>
              </w:rPr>
              <w:t>$2,209.16</w:t>
            </w:r>
          </w:p>
        </w:tc>
      </w:tr>
      <w:tr w14:paraId="637551EB" w14:textId="77777777" w:rsidTr="00862282">
        <w:tblPrEx>
          <w:tblW w:w="13030" w:type="dxa"/>
          <w:tblLook w:val="04A0"/>
        </w:tblPrEx>
        <w:trPr>
          <w:trHeight w:val="645"/>
        </w:trPr>
        <w:tc>
          <w:tcPr>
            <w:tcW w:w="2420" w:type="dxa"/>
            <w:tcBorders>
              <w:top w:val="single" w:sz="8" w:space="0" w:color="auto"/>
              <w:left w:val="single" w:sz="8" w:space="0" w:color="auto"/>
              <w:bottom w:val="single" w:sz="8" w:space="0" w:color="auto"/>
              <w:right w:val="nil"/>
            </w:tcBorders>
            <w:shd w:val="clear" w:color="auto" w:fill="auto"/>
            <w:vAlign w:val="center"/>
            <w:hideMark/>
          </w:tcPr>
          <w:p w:rsidR="001D697D" w:rsidRPr="001D697D" w:rsidP="005E7024" w14:paraId="777DB291" w14:textId="1A3B5759">
            <w:pPr>
              <w:widowControl/>
              <w:autoSpaceDE/>
              <w:autoSpaceDN/>
              <w:adjustRightInd/>
              <w:ind w:left="330"/>
              <w:rPr>
                <w:color w:val="000000"/>
                <w:sz w:val="20"/>
                <w:szCs w:val="20"/>
              </w:rPr>
            </w:pPr>
            <w:r w:rsidRPr="001D697D">
              <w:rPr>
                <w:color w:val="000000"/>
                <w:sz w:val="20"/>
                <w:szCs w:val="20"/>
              </w:rPr>
              <w:t>Notification of startup</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697D" w:rsidRPr="001D697D" w:rsidP="001D697D" w14:paraId="2C38579E" w14:textId="77777777">
            <w:pPr>
              <w:widowControl/>
              <w:autoSpaceDE/>
              <w:autoSpaceDN/>
              <w:adjustRightInd/>
              <w:jc w:val="center"/>
              <w:rPr>
                <w:color w:val="000000"/>
                <w:sz w:val="20"/>
                <w:szCs w:val="20"/>
              </w:rPr>
            </w:pPr>
            <w:r w:rsidRPr="001D697D">
              <w:rPr>
                <w:color w:val="000000"/>
                <w:sz w:val="20"/>
                <w:szCs w:val="20"/>
              </w:rPr>
              <w:t>2</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08861474"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1ACB67A1" w14:textId="77777777">
            <w:pPr>
              <w:widowControl/>
              <w:autoSpaceDE/>
              <w:autoSpaceDN/>
              <w:adjustRightInd/>
              <w:jc w:val="center"/>
              <w:rPr>
                <w:color w:val="000000"/>
                <w:sz w:val="20"/>
                <w:szCs w:val="20"/>
              </w:rPr>
            </w:pPr>
            <w:r w:rsidRPr="001D697D">
              <w:rPr>
                <w:color w:val="000000"/>
                <w:sz w:val="20"/>
                <w:szCs w:val="20"/>
              </w:rPr>
              <w:t>1</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1D697D" w:rsidRPr="001D697D" w:rsidP="001D697D" w14:paraId="08535BE4" w14:textId="77777777">
            <w:pPr>
              <w:widowControl/>
              <w:autoSpaceDE/>
              <w:autoSpaceDN/>
              <w:adjustRightInd/>
              <w:jc w:val="center"/>
              <w:rPr>
                <w:color w:val="000000"/>
                <w:sz w:val="20"/>
                <w:szCs w:val="20"/>
              </w:rPr>
            </w:pPr>
            <w:r w:rsidRPr="001D697D">
              <w:rPr>
                <w:color w:val="000000"/>
                <w:sz w:val="20"/>
                <w:szCs w:val="20"/>
              </w:rPr>
              <w:t>16</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00F8E97D" w14:textId="77777777">
            <w:pPr>
              <w:widowControl/>
              <w:autoSpaceDE/>
              <w:autoSpaceDN/>
              <w:adjustRightInd/>
              <w:jc w:val="center"/>
              <w:rPr>
                <w:color w:val="000000"/>
                <w:sz w:val="20"/>
                <w:szCs w:val="20"/>
              </w:rPr>
            </w:pPr>
            <w:r w:rsidRPr="001D697D">
              <w:rPr>
                <w:color w:val="000000"/>
                <w:sz w:val="20"/>
                <w:szCs w:val="20"/>
              </w:rPr>
              <w:t>16</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6822019A" w14:textId="77777777">
            <w:pPr>
              <w:widowControl/>
              <w:autoSpaceDE/>
              <w:autoSpaceDN/>
              <w:adjustRightInd/>
              <w:jc w:val="center"/>
              <w:rPr>
                <w:color w:val="000000"/>
                <w:sz w:val="20"/>
                <w:szCs w:val="20"/>
              </w:rPr>
            </w:pPr>
            <w:r w:rsidRPr="001D697D">
              <w:rPr>
                <w:color w:val="000000"/>
                <w:sz w:val="20"/>
                <w:szCs w:val="20"/>
              </w:rPr>
              <w:t>1</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7BA45CB1" w14:textId="77777777">
            <w:pPr>
              <w:widowControl/>
              <w:autoSpaceDE/>
              <w:autoSpaceDN/>
              <w:adjustRightInd/>
              <w:jc w:val="center"/>
              <w:rPr>
                <w:color w:val="000000"/>
                <w:sz w:val="20"/>
                <w:szCs w:val="20"/>
              </w:rPr>
            </w:pPr>
            <w:r w:rsidRPr="001D697D">
              <w:rPr>
                <w:color w:val="000000"/>
                <w:sz w:val="20"/>
                <w:szCs w:val="20"/>
              </w:rPr>
              <w:t>2</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6B84DF3F" w14:textId="77777777">
            <w:pPr>
              <w:widowControl/>
              <w:autoSpaceDE/>
              <w:autoSpaceDN/>
              <w:adjustRightInd/>
              <w:jc w:val="right"/>
              <w:rPr>
                <w:color w:val="000000"/>
                <w:sz w:val="20"/>
                <w:szCs w:val="20"/>
              </w:rPr>
            </w:pPr>
            <w:r w:rsidRPr="001D697D">
              <w:rPr>
                <w:color w:val="000000"/>
                <w:sz w:val="20"/>
                <w:szCs w:val="20"/>
              </w:rPr>
              <w:t>$2,209.16</w:t>
            </w:r>
          </w:p>
        </w:tc>
      </w:tr>
      <w:tr w14:paraId="30CC82BA" w14:textId="77777777" w:rsidTr="00862282">
        <w:tblPrEx>
          <w:tblW w:w="13030" w:type="dxa"/>
          <w:tblLook w:val="04A0"/>
        </w:tblPrEx>
        <w:trPr>
          <w:trHeight w:val="645"/>
        </w:trPr>
        <w:tc>
          <w:tcPr>
            <w:tcW w:w="2420" w:type="dxa"/>
            <w:tcBorders>
              <w:top w:val="single" w:sz="8" w:space="0" w:color="auto"/>
              <w:left w:val="single" w:sz="8" w:space="0" w:color="auto"/>
              <w:bottom w:val="single" w:sz="8" w:space="0" w:color="auto"/>
              <w:right w:val="nil"/>
            </w:tcBorders>
            <w:shd w:val="clear" w:color="auto" w:fill="auto"/>
            <w:vAlign w:val="bottom"/>
            <w:hideMark/>
          </w:tcPr>
          <w:p w:rsidR="001D697D" w:rsidRPr="001D697D" w:rsidP="005E7024" w14:paraId="26D4A314" w14:textId="77777777">
            <w:pPr>
              <w:widowControl/>
              <w:autoSpaceDE/>
              <w:autoSpaceDN/>
              <w:adjustRightInd/>
              <w:ind w:left="330" w:hanging="180"/>
              <w:rPr>
                <w:color w:val="000000"/>
                <w:sz w:val="20"/>
                <w:szCs w:val="20"/>
              </w:rPr>
            </w:pPr>
            <w:r w:rsidRPr="001D697D">
              <w:rPr>
                <w:color w:val="000000"/>
                <w:sz w:val="20"/>
                <w:szCs w:val="20"/>
              </w:rPr>
              <w:t>C. Create information</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4680EFA9" w14:textId="77777777">
            <w:pPr>
              <w:widowControl/>
              <w:autoSpaceDE/>
              <w:autoSpaceDN/>
              <w:adjustRightInd/>
              <w:jc w:val="center"/>
              <w:rPr>
                <w:color w:val="000000"/>
                <w:sz w:val="20"/>
                <w:szCs w:val="20"/>
              </w:rPr>
            </w:pPr>
            <w:r w:rsidRPr="001D697D">
              <w:rPr>
                <w:color w:val="000000"/>
                <w:sz w:val="20"/>
                <w:szCs w:val="20"/>
              </w:rPr>
              <w:t>See 4E</w:t>
            </w:r>
          </w:p>
        </w:tc>
        <w:tc>
          <w:tcPr>
            <w:tcW w:w="1350" w:type="dxa"/>
            <w:tcBorders>
              <w:top w:val="single" w:sz="8" w:space="0" w:color="auto"/>
              <w:left w:val="nil"/>
              <w:bottom w:val="nil"/>
              <w:right w:val="single" w:sz="8" w:space="0" w:color="auto"/>
            </w:tcBorders>
            <w:shd w:val="clear" w:color="auto" w:fill="auto"/>
            <w:vAlign w:val="center"/>
            <w:hideMark/>
          </w:tcPr>
          <w:p w:rsidR="001D697D" w:rsidRPr="001D697D" w:rsidP="001D697D" w14:paraId="5B77057A"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vAlign w:val="center"/>
            <w:hideMark/>
          </w:tcPr>
          <w:p w:rsidR="001D697D" w:rsidRPr="001D697D" w:rsidP="001D697D" w14:paraId="001A066C"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noWrap/>
            <w:vAlign w:val="center"/>
            <w:hideMark/>
          </w:tcPr>
          <w:p w:rsidR="001D697D" w:rsidRPr="001D697D" w:rsidP="001D697D" w14:paraId="0174FC55"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00010AF9"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430E95E3"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2198F0B3" w14:textId="77777777">
            <w:pPr>
              <w:widowControl/>
              <w:autoSpaceDE/>
              <w:autoSpaceDN/>
              <w:adjustRightInd/>
              <w:jc w:val="center"/>
              <w:rPr>
                <w:color w:val="000000"/>
                <w:sz w:val="20"/>
                <w:szCs w:val="20"/>
              </w:rPr>
            </w:pPr>
            <w:r w:rsidRPr="001D697D">
              <w:rPr>
                <w:color w:val="000000"/>
                <w:sz w:val="20"/>
                <w:szCs w:val="20"/>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0356B78E" w14:textId="77777777">
            <w:pPr>
              <w:widowControl/>
              <w:autoSpaceDE/>
              <w:autoSpaceDN/>
              <w:adjustRightInd/>
              <w:jc w:val="right"/>
              <w:rPr>
                <w:color w:val="000000"/>
                <w:sz w:val="20"/>
                <w:szCs w:val="20"/>
              </w:rPr>
            </w:pPr>
            <w:r w:rsidRPr="001D697D">
              <w:rPr>
                <w:color w:val="000000"/>
                <w:sz w:val="20"/>
                <w:szCs w:val="20"/>
              </w:rPr>
              <w:t> </w:t>
            </w:r>
          </w:p>
        </w:tc>
      </w:tr>
      <w:tr w14:paraId="5EF6A96F"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bottom"/>
            <w:hideMark/>
          </w:tcPr>
          <w:p w:rsidR="001D697D" w:rsidRPr="001D697D" w:rsidP="005E7024" w14:paraId="30BFDFA1" w14:textId="77777777">
            <w:pPr>
              <w:widowControl/>
              <w:autoSpaceDE/>
              <w:autoSpaceDN/>
              <w:adjustRightInd/>
              <w:ind w:left="330" w:hanging="180"/>
              <w:rPr>
                <w:color w:val="000000"/>
                <w:sz w:val="20"/>
                <w:szCs w:val="20"/>
              </w:rPr>
            </w:pPr>
            <w:r w:rsidRPr="001D697D">
              <w:rPr>
                <w:color w:val="000000"/>
                <w:sz w:val="20"/>
                <w:szCs w:val="20"/>
              </w:rPr>
              <w:t>D. Gather existing information</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4BF2F6F5" w14:textId="77777777">
            <w:pPr>
              <w:widowControl/>
              <w:autoSpaceDE/>
              <w:autoSpaceDN/>
              <w:adjustRightInd/>
              <w:jc w:val="center"/>
              <w:rPr>
                <w:color w:val="000000"/>
                <w:sz w:val="20"/>
                <w:szCs w:val="20"/>
              </w:rPr>
            </w:pPr>
            <w:r w:rsidRPr="001D697D">
              <w:rPr>
                <w:color w:val="000000"/>
                <w:sz w:val="20"/>
                <w:szCs w:val="20"/>
              </w:rPr>
              <w:t>See 4E</w:t>
            </w:r>
          </w:p>
        </w:tc>
        <w:tc>
          <w:tcPr>
            <w:tcW w:w="1350" w:type="dxa"/>
            <w:tcBorders>
              <w:top w:val="single" w:sz="8" w:space="0" w:color="auto"/>
              <w:left w:val="nil"/>
              <w:bottom w:val="nil"/>
              <w:right w:val="single" w:sz="8" w:space="0" w:color="auto"/>
            </w:tcBorders>
            <w:shd w:val="clear" w:color="auto" w:fill="auto"/>
            <w:vAlign w:val="center"/>
            <w:hideMark/>
          </w:tcPr>
          <w:p w:rsidR="001D697D" w:rsidRPr="001D697D" w:rsidP="001D697D" w14:paraId="42F8FC2E"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vAlign w:val="center"/>
            <w:hideMark/>
          </w:tcPr>
          <w:p w:rsidR="001D697D" w:rsidRPr="001D697D" w:rsidP="001D697D" w14:paraId="64EF4F1E"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noWrap/>
            <w:vAlign w:val="center"/>
            <w:hideMark/>
          </w:tcPr>
          <w:p w:rsidR="001D697D" w:rsidRPr="001D697D" w:rsidP="001D697D" w14:paraId="4BBB2D01"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66BA69E9" w14:textId="5BA5D9FC">
            <w:pPr>
              <w:widowControl/>
              <w:autoSpaceDE/>
              <w:autoSpaceDN/>
              <w:adjustRightInd/>
              <w:jc w:val="center"/>
              <w:rPr>
                <w:color w:val="000000"/>
                <w:sz w:val="20"/>
                <w:szCs w:val="20"/>
              </w:rPr>
            </w:pPr>
            <w:r w:rsidRPr="00862282">
              <w:rPr>
                <w:noProof/>
                <w:color w:val="000000"/>
                <w:sz w:val="20"/>
                <w:szCs w:val="20"/>
              </w:rPr>
              <mc:AlternateContent>
                <mc:Choice Requires="wpi">
                  <w:drawing>
                    <wp:anchor distT="0" distB="0" distL="114300" distR="114300" simplePos="0" relativeHeight="251658240" behindDoc="0" locked="0" layoutInCell="1" allowOverlap="1">
                      <wp:simplePos x="0" y="0"/>
                      <wp:positionH relativeFrom="column">
                        <wp:posOffset>0</wp:posOffset>
                      </wp:positionH>
                      <wp:positionV relativeFrom="paragraph">
                        <wp:posOffset>161925</wp:posOffset>
                      </wp:positionV>
                      <wp:extent cx="0" cy="0"/>
                      <wp:effectExtent l="38100" t="38100" r="57150" b="57150"/>
                      <wp:wrapNone/>
                      <wp:docPr id="10" name="Ink 10">
                        <a:extLst xmlns:a="http://schemas.openxmlformats.org/drawingml/2006/main">
                          <a:ext xmlns:a="http://schemas.openxmlformats.org/drawingml/2006/main" uri="{FF2B5EF4-FFF2-40B4-BE49-F238E27FC236}">
                            <a16:creationId xmlns:a16="http://schemas.microsoft.com/office/drawing/2014/main" id="{57CB14D2-5641-4740-8A5C-8E72B0F5F5BF}"/>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5">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5" type="#_x0000_t75" style="width:1.4pt;height:1.4pt;margin-top:12.05pt;margin-left:-0.7pt;mso-height-percent:0;mso-height-relative:page;mso-width-percent:0;mso-width-relative:page;mso-wrap-distance-bottom:0;mso-wrap-distance-left:9pt;mso-wrap-distance-right:9pt;mso-wrap-distance-top:0;mso-wrap-style:square;position:absolute;visibility:visible;z-index:251659264">
                      <v:imagedata r:id="rId16" o:title=""/>
                    </v:shape>
                  </w:pict>
                </mc:Fallback>
              </mc:AlternateConten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187DF4BA"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33223852" w14:textId="77777777">
            <w:pPr>
              <w:widowControl/>
              <w:autoSpaceDE/>
              <w:autoSpaceDN/>
              <w:adjustRightInd/>
              <w:jc w:val="center"/>
              <w:rPr>
                <w:color w:val="000000"/>
                <w:sz w:val="20"/>
                <w:szCs w:val="20"/>
              </w:rPr>
            </w:pPr>
            <w:r w:rsidRPr="001D697D">
              <w:rPr>
                <w:color w:val="000000"/>
                <w:sz w:val="20"/>
                <w:szCs w:val="20"/>
              </w:rPr>
              <w:t> </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42D776D5" w14:textId="77777777">
            <w:pPr>
              <w:widowControl/>
              <w:autoSpaceDE/>
              <w:autoSpaceDN/>
              <w:adjustRightInd/>
              <w:jc w:val="right"/>
              <w:rPr>
                <w:color w:val="000000"/>
                <w:sz w:val="20"/>
                <w:szCs w:val="20"/>
              </w:rPr>
            </w:pPr>
            <w:r w:rsidRPr="001D697D">
              <w:rPr>
                <w:color w:val="000000"/>
                <w:sz w:val="20"/>
                <w:szCs w:val="20"/>
              </w:rPr>
              <w:t> </w:t>
            </w:r>
          </w:p>
        </w:tc>
      </w:tr>
      <w:tr w14:paraId="13A04051" w14:textId="77777777" w:rsidTr="00862282">
        <w:tblPrEx>
          <w:tblW w:w="13030" w:type="dxa"/>
          <w:tblLook w:val="04A0"/>
        </w:tblPrEx>
        <w:trPr>
          <w:trHeight w:val="1125"/>
        </w:trPr>
        <w:tc>
          <w:tcPr>
            <w:tcW w:w="2420" w:type="dxa"/>
            <w:tcBorders>
              <w:top w:val="nil"/>
              <w:left w:val="single" w:sz="8" w:space="0" w:color="auto"/>
              <w:bottom w:val="nil"/>
              <w:right w:val="nil"/>
            </w:tcBorders>
            <w:shd w:val="clear" w:color="auto" w:fill="auto"/>
            <w:vAlign w:val="center"/>
            <w:hideMark/>
          </w:tcPr>
          <w:p w:rsidR="001D697D" w:rsidRPr="001D697D" w:rsidP="005E7024" w14:paraId="37CF0248" w14:textId="5840446C">
            <w:pPr>
              <w:widowControl/>
              <w:autoSpaceDE/>
              <w:autoSpaceDN/>
              <w:adjustRightInd/>
              <w:ind w:left="330" w:hanging="180"/>
              <w:rPr>
                <w:color w:val="000000"/>
                <w:sz w:val="20"/>
                <w:szCs w:val="20"/>
              </w:rPr>
            </w:pPr>
            <w:r w:rsidRPr="001D697D">
              <w:rPr>
                <w:color w:val="000000"/>
                <w:sz w:val="20"/>
                <w:szCs w:val="20"/>
              </w:rPr>
              <w:t>E. Prepare/Submit Emissions Summary Report</w:t>
            </w:r>
            <w:r w:rsidRPr="001D697D">
              <w:rPr>
                <w:color w:val="000000"/>
                <w:sz w:val="20"/>
                <w:szCs w:val="20"/>
              </w:rPr>
              <w:br/>
              <w:t>Includes reporting of excess emissions &amp; downtime</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1B9760C5" w14:textId="77777777">
            <w:pPr>
              <w:widowControl/>
              <w:autoSpaceDE/>
              <w:autoSpaceDN/>
              <w:adjustRightInd/>
              <w:jc w:val="center"/>
              <w:rPr>
                <w:color w:val="000000"/>
                <w:sz w:val="20"/>
                <w:szCs w:val="20"/>
              </w:rPr>
            </w:pPr>
            <w:r w:rsidRPr="001D697D">
              <w:rPr>
                <w:color w:val="000000"/>
                <w:sz w:val="20"/>
                <w:szCs w:val="20"/>
              </w:rPr>
              <w:t>4</w:t>
            </w:r>
          </w:p>
        </w:tc>
        <w:tc>
          <w:tcPr>
            <w:tcW w:w="1350" w:type="dxa"/>
            <w:tcBorders>
              <w:top w:val="single" w:sz="8" w:space="0" w:color="auto"/>
              <w:left w:val="nil"/>
              <w:bottom w:val="nil"/>
              <w:right w:val="single" w:sz="8" w:space="0" w:color="auto"/>
            </w:tcBorders>
            <w:shd w:val="clear" w:color="auto" w:fill="auto"/>
            <w:vAlign w:val="center"/>
            <w:hideMark/>
          </w:tcPr>
          <w:p w:rsidR="001D697D" w:rsidRPr="001D697D" w:rsidP="001D697D" w14:paraId="19682C87" w14:textId="77777777">
            <w:pPr>
              <w:widowControl/>
              <w:autoSpaceDE/>
              <w:autoSpaceDN/>
              <w:adjustRightInd/>
              <w:jc w:val="center"/>
              <w:rPr>
                <w:color w:val="000000"/>
                <w:sz w:val="20"/>
                <w:szCs w:val="20"/>
              </w:rPr>
            </w:pPr>
            <w:r w:rsidRPr="001D697D">
              <w:rPr>
                <w:color w:val="000000"/>
                <w:sz w:val="20"/>
                <w:szCs w:val="20"/>
              </w:rPr>
              <w:t>4</w:t>
            </w:r>
          </w:p>
        </w:tc>
        <w:tc>
          <w:tcPr>
            <w:tcW w:w="1440" w:type="dxa"/>
            <w:tcBorders>
              <w:top w:val="single" w:sz="8" w:space="0" w:color="auto"/>
              <w:left w:val="nil"/>
              <w:bottom w:val="nil"/>
              <w:right w:val="single" w:sz="8" w:space="0" w:color="auto"/>
            </w:tcBorders>
            <w:shd w:val="clear" w:color="auto" w:fill="auto"/>
            <w:vAlign w:val="center"/>
            <w:hideMark/>
          </w:tcPr>
          <w:p w:rsidR="001D697D" w:rsidRPr="001D697D" w:rsidP="001D697D" w14:paraId="4C80EB0B" w14:textId="77777777">
            <w:pPr>
              <w:widowControl/>
              <w:autoSpaceDE/>
              <w:autoSpaceDN/>
              <w:adjustRightInd/>
              <w:jc w:val="center"/>
              <w:rPr>
                <w:color w:val="000000"/>
                <w:sz w:val="20"/>
                <w:szCs w:val="20"/>
              </w:rPr>
            </w:pPr>
            <w:r w:rsidRPr="001D697D">
              <w:rPr>
                <w:color w:val="000000"/>
                <w:sz w:val="20"/>
                <w:szCs w:val="20"/>
              </w:rPr>
              <w:t>16</w:t>
            </w:r>
          </w:p>
        </w:tc>
        <w:tc>
          <w:tcPr>
            <w:tcW w:w="1440" w:type="dxa"/>
            <w:tcBorders>
              <w:top w:val="single" w:sz="8" w:space="0" w:color="auto"/>
              <w:left w:val="nil"/>
              <w:bottom w:val="nil"/>
              <w:right w:val="single" w:sz="8" w:space="0" w:color="auto"/>
            </w:tcBorders>
            <w:shd w:val="clear" w:color="auto" w:fill="auto"/>
            <w:noWrap/>
            <w:vAlign w:val="center"/>
            <w:hideMark/>
          </w:tcPr>
          <w:p w:rsidR="001D697D" w:rsidRPr="001D697D" w:rsidP="001D697D" w14:paraId="08C5E116" w14:textId="77777777">
            <w:pPr>
              <w:widowControl/>
              <w:autoSpaceDE/>
              <w:autoSpaceDN/>
              <w:adjustRightInd/>
              <w:jc w:val="center"/>
              <w:rPr>
                <w:color w:val="000000"/>
                <w:sz w:val="20"/>
                <w:szCs w:val="20"/>
              </w:rPr>
            </w:pPr>
            <w:r w:rsidRPr="001D697D">
              <w:rPr>
                <w:color w:val="000000"/>
                <w:sz w:val="20"/>
                <w:szCs w:val="20"/>
              </w:rPr>
              <w:t>92</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2A58C589" w14:textId="77777777">
            <w:pPr>
              <w:widowControl/>
              <w:autoSpaceDE/>
              <w:autoSpaceDN/>
              <w:adjustRightInd/>
              <w:jc w:val="center"/>
              <w:rPr>
                <w:color w:val="000000"/>
                <w:sz w:val="20"/>
                <w:szCs w:val="20"/>
              </w:rPr>
            </w:pPr>
            <w:r w:rsidRPr="001D697D">
              <w:rPr>
                <w:color w:val="000000"/>
                <w:sz w:val="20"/>
                <w:szCs w:val="20"/>
              </w:rPr>
              <w:t>1,472</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2A9EE99E" w14:textId="77777777">
            <w:pPr>
              <w:widowControl/>
              <w:autoSpaceDE/>
              <w:autoSpaceDN/>
              <w:adjustRightInd/>
              <w:jc w:val="center"/>
              <w:rPr>
                <w:color w:val="000000"/>
                <w:sz w:val="20"/>
                <w:szCs w:val="20"/>
              </w:rPr>
            </w:pPr>
            <w:r w:rsidRPr="001D697D">
              <w:rPr>
                <w:color w:val="000000"/>
                <w:sz w:val="20"/>
                <w:szCs w:val="20"/>
              </w:rPr>
              <w:t>74</w:t>
            </w:r>
          </w:p>
        </w:tc>
        <w:tc>
          <w:tcPr>
            <w:tcW w:w="1260" w:type="dxa"/>
            <w:tcBorders>
              <w:top w:val="single" w:sz="8" w:space="0" w:color="auto"/>
              <w:left w:val="nil"/>
              <w:bottom w:val="nil"/>
              <w:right w:val="single" w:sz="8" w:space="0" w:color="auto"/>
            </w:tcBorders>
            <w:shd w:val="clear" w:color="auto" w:fill="auto"/>
            <w:vAlign w:val="center"/>
            <w:hideMark/>
          </w:tcPr>
          <w:p w:rsidR="001D697D" w:rsidRPr="001D697D" w:rsidP="001D697D" w14:paraId="2D752BDD" w14:textId="77777777">
            <w:pPr>
              <w:widowControl/>
              <w:autoSpaceDE/>
              <w:autoSpaceDN/>
              <w:adjustRightInd/>
              <w:jc w:val="center"/>
              <w:rPr>
                <w:color w:val="000000"/>
                <w:sz w:val="20"/>
                <w:szCs w:val="20"/>
              </w:rPr>
            </w:pPr>
            <w:r w:rsidRPr="001D697D">
              <w:rPr>
                <w:color w:val="000000"/>
                <w:sz w:val="20"/>
                <w:szCs w:val="20"/>
              </w:rPr>
              <w:t>147</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0320927C" w14:textId="77777777">
            <w:pPr>
              <w:widowControl/>
              <w:autoSpaceDE/>
              <w:autoSpaceDN/>
              <w:adjustRightInd/>
              <w:jc w:val="right"/>
              <w:rPr>
                <w:color w:val="000000"/>
                <w:sz w:val="20"/>
                <w:szCs w:val="20"/>
              </w:rPr>
            </w:pPr>
            <w:r w:rsidRPr="001D697D">
              <w:rPr>
                <w:color w:val="000000"/>
                <w:sz w:val="20"/>
                <w:szCs w:val="20"/>
              </w:rPr>
              <w:t>$203,242.72</w:t>
            </w:r>
          </w:p>
        </w:tc>
      </w:tr>
      <w:tr w14:paraId="6FCA093E" w14:textId="77777777" w:rsidTr="00862282">
        <w:tblPrEx>
          <w:tblW w:w="13030" w:type="dxa"/>
          <w:tblLook w:val="04A0"/>
        </w:tblPrEx>
        <w:trPr>
          <w:trHeight w:val="645"/>
        </w:trPr>
        <w:tc>
          <w:tcPr>
            <w:tcW w:w="2420" w:type="dxa"/>
            <w:tcBorders>
              <w:top w:val="single" w:sz="8" w:space="0" w:color="auto"/>
              <w:left w:val="single" w:sz="8" w:space="0" w:color="auto"/>
              <w:bottom w:val="single" w:sz="8" w:space="0" w:color="auto"/>
              <w:right w:val="nil"/>
            </w:tcBorders>
            <w:shd w:val="clear" w:color="auto" w:fill="auto"/>
            <w:vAlign w:val="bottom"/>
            <w:hideMark/>
          </w:tcPr>
          <w:p w:rsidR="001D697D" w:rsidRPr="001D697D" w:rsidP="001D697D" w14:paraId="05D02FC9" w14:textId="77777777">
            <w:pPr>
              <w:widowControl/>
              <w:autoSpaceDE/>
              <w:autoSpaceDN/>
              <w:adjustRightInd/>
              <w:rPr>
                <w:b/>
                <w:bCs/>
                <w:i/>
                <w:iCs/>
                <w:color w:val="000000"/>
                <w:sz w:val="20"/>
                <w:szCs w:val="20"/>
              </w:rPr>
            </w:pPr>
            <w:r w:rsidRPr="001D697D">
              <w:rPr>
                <w:b/>
                <w:bCs/>
                <w:i/>
                <w:iCs/>
                <w:color w:val="000000"/>
                <w:sz w:val="20"/>
                <w:szCs w:val="20"/>
              </w:rPr>
              <w:t>Reporting Subtotal</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1D697D" w:rsidRPr="001D697D" w:rsidP="001D697D" w14:paraId="1EC5D9A9" w14:textId="77777777">
            <w:pPr>
              <w:widowControl/>
              <w:autoSpaceDE/>
              <w:autoSpaceDN/>
              <w:adjustRightInd/>
              <w:jc w:val="center"/>
              <w:rPr>
                <w:color w:val="000000"/>
                <w:sz w:val="20"/>
                <w:szCs w:val="20"/>
              </w:rPr>
            </w:pPr>
            <w:r w:rsidRPr="001D697D">
              <w:rPr>
                <w:color w:val="000000"/>
                <w:sz w:val="20"/>
                <w:szCs w:val="20"/>
              </w:rPr>
              <w:t> </w:t>
            </w:r>
          </w:p>
        </w:tc>
        <w:tc>
          <w:tcPr>
            <w:tcW w:w="1350" w:type="dxa"/>
            <w:tcBorders>
              <w:top w:val="single" w:sz="8" w:space="0" w:color="auto"/>
              <w:left w:val="nil"/>
              <w:bottom w:val="nil"/>
              <w:right w:val="single" w:sz="8" w:space="0" w:color="auto"/>
            </w:tcBorders>
            <w:shd w:val="clear" w:color="auto" w:fill="auto"/>
            <w:vAlign w:val="center"/>
            <w:hideMark/>
          </w:tcPr>
          <w:p w:rsidR="001D697D" w:rsidRPr="001D697D" w:rsidP="001D697D" w14:paraId="273BDF3E"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vAlign w:val="center"/>
            <w:hideMark/>
          </w:tcPr>
          <w:p w:rsidR="001D697D" w:rsidRPr="001D697D" w:rsidP="001D697D" w14:paraId="3EF025DD"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nil"/>
              <w:right w:val="single" w:sz="8" w:space="0" w:color="auto"/>
            </w:tcBorders>
            <w:shd w:val="clear" w:color="auto" w:fill="auto"/>
            <w:noWrap/>
            <w:vAlign w:val="center"/>
            <w:hideMark/>
          </w:tcPr>
          <w:p w:rsidR="001D697D" w:rsidRPr="001D697D" w:rsidP="001D697D" w14:paraId="1DE96F0C" w14:textId="77777777">
            <w:pPr>
              <w:widowControl/>
              <w:autoSpaceDE/>
              <w:autoSpaceDN/>
              <w:adjustRightInd/>
              <w:jc w:val="center"/>
              <w:rPr>
                <w:color w:val="000000"/>
                <w:sz w:val="20"/>
                <w:szCs w:val="20"/>
              </w:rPr>
            </w:pPr>
            <w:r w:rsidRPr="001D697D">
              <w:rPr>
                <w:color w:val="000000"/>
                <w:sz w:val="20"/>
                <w:szCs w:val="20"/>
              </w:rPr>
              <w:t> </w:t>
            </w:r>
          </w:p>
        </w:tc>
        <w:tc>
          <w:tcPr>
            <w:tcW w:w="3780" w:type="dxa"/>
            <w:gridSpan w:val="3"/>
            <w:tcBorders>
              <w:top w:val="single" w:sz="8" w:space="0" w:color="auto"/>
              <w:left w:val="nil"/>
              <w:bottom w:val="single" w:sz="8" w:space="0" w:color="auto"/>
              <w:right w:val="single" w:sz="8" w:space="0" w:color="000000"/>
            </w:tcBorders>
            <w:shd w:val="clear" w:color="auto" w:fill="auto"/>
            <w:vAlign w:val="center"/>
            <w:hideMark/>
          </w:tcPr>
          <w:p w:rsidR="001D697D" w:rsidRPr="001D697D" w:rsidP="001D697D" w14:paraId="1F55D815" w14:textId="77777777">
            <w:pPr>
              <w:widowControl/>
              <w:autoSpaceDE/>
              <w:autoSpaceDN/>
              <w:adjustRightInd/>
              <w:jc w:val="center"/>
              <w:rPr>
                <w:b/>
                <w:bCs/>
                <w:color w:val="000000"/>
                <w:sz w:val="20"/>
                <w:szCs w:val="20"/>
              </w:rPr>
            </w:pPr>
            <w:r w:rsidRPr="001D697D">
              <w:rPr>
                <w:b/>
                <w:bCs/>
                <w:color w:val="000000"/>
                <w:sz w:val="20"/>
                <w:szCs w:val="20"/>
              </w:rPr>
              <w:t>3,128</w:t>
            </w:r>
          </w:p>
        </w:tc>
        <w:tc>
          <w:tcPr>
            <w:tcW w:w="1340" w:type="dxa"/>
            <w:tcBorders>
              <w:top w:val="nil"/>
              <w:left w:val="nil"/>
              <w:bottom w:val="nil"/>
              <w:right w:val="single" w:sz="8" w:space="0" w:color="auto"/>
            </w:tcBorders>
            <w:shd w:val="clear" w:color="auto" w:fill="auto"/>
            <w:vAlign w:val="center"/>
            <w:hideMark/>
          </w:tcPr>
          <w:p w:rsidR="001D697D" w:rsidRPr="001D697D" w:rsidP="001D697D" w14:paraId="3B4F645D" w14:textId="77777777">
            <w:pPr>
              <w:widowControl/>
              <w:autoSpaceDE/>
              <w:autoSpaceDN/>
              <w:adjustRightInd/>
              <w:jc w:val="right"/>
              <w:rPr>
                <w:b/>
                <w:bCs/>
                <w:color w:val="000000"/>
                <w:sz w:val="20"/>
                <w:szCs w:val="20"/>
              </w:rPr>
            </w:pPr>
            <w:r w:rsidRPr="001D697D">
              <w:rPr>
                <w:b/>
                <w:bCs/>
                <w:color w:val="000000"/>
                <w:sz w:val="20"/>
                <w:szCs w:val="20"/>
              </w:rPr>
              <w:t>$375,557</w:t>
            </w:r>
          </w:p>
        </w:tc>
      </w:tr>
      <w:tr w14:paraId="6E605F2A" w14:textId="77777777" w:rsidTr="00862282">
        <w:tblPrEx>
          <w:tblW w:w="13030" w:type="dxa"/>
          <w:tblLook w:val="04A0"/>
        </w:tblPrEx>
        <w:trPr>
          <w:trHeight w:val="645"/>
        </w:trPr>
        <w:tc>
          <w:tcPr>
            <w:tcW w:w="2420" w:type="dxa"/>
            <w:tcBorders>
              <w:top w:val="nil"/>
              <w:left w:val="single" w:sz="8" w:space="0" w:color="auto"/>
              <w:bottom w:val="single" w:sz="8" w:space="0" w:color="auto"/>
              <w:right w:val="nil"/>
            </w:tcBorders>
            <w:shd w:val="clear" w:color="auto" w:fill="auto"/>
            <w:vAlign w:val="bottom"/>
            <w:hideMark/>
          </w:tcPr>
          <w:p w:rsidR="001D697D" w:rsidRPr="001D697D" w:rsidP="001D697D" w14:paraId="34D177F9" w14:textId="77777777">
            <w:pPr>
              <w:widowControl/>
              <w:autoSpaceDE/>
              <w:autoSpaceDN/>
              <w:adjustRightInd/>
              <w:rPr>
                <w:color w:val="000000"/>
                <w:sz w:val="20"/>
                <w:szCs w:val="20"/>
              </w:rPr>
            </w:pPr>
            <w:r w:rsidRPr="001D697D">
              <w:rPr>
                <w:color w:val="000000"/>
                <w:sz w:val="20"/>
                <w:szCs w:val="20"/>
              </w:rPr>
              <w:t>5. Recordkeeping requirements</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697D" w:rsidRPr="001D697D" w:rsidP="001D697D" w14:paraId="62F46D63" w14:textId="77777777">
            <w:pPr>
              <w:widowControl/>
              <w:autoSpaceDE/>
              <w:autoSpaceDN/>
              <w:adjustRightInd/>
              <w:jc w:val="center"/>
              <w:rPr>
                <w:color w:val="000000"/>
                <w:sz w:val="20"/>
                <w:szCs w:val="20"/>
              </w:rPr>
            </w:pPr>
            <w:r w:rsidRPr="001D697D">
              <w:rPr>
                <w:color w:val="000000"/>
                <w:sz w:val="20"/>
                <w:szCs w:val="20"/>
              </w:rPr>
              <w:t>See 4A-E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56155850"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0BE9DDBE"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1D697D" w:rsidRPr="001D697D" w:rsidP="001D697D" w14:paraId="25EC6BFC" w14:textId="6680979C">
            <w:pPr>
              <w:widowControl/>
              <w:autoSpaceDE/>
              <w:autoSpaceDN/>
              <w:adjustRightInd/>
              <w:jc w:val="center"/>
              <w:rPr>
                <w:color w:val="000000"/>
                <w:sz w:val="20"/>
                <w:szCs w:val="20"/>
              </w:rPr>
            </w:pPr>
            <w:r w:rsidRPr="00862282">
              <w:rPr>
                <w:noProof/>
                <w:color w:val="000000"/>
                <w:sz w:val="20"/>
                <w:szCs w:val="20"/>
              </w:rPr>
              <mc:AlternateContent>
                <mc:Choice Requires="wpi">
                  <w:drawing>
                    <wp:anchor distT="0" distB="0" distL="114300" distR="114300" simplePos="0" relativeHeight="251660288" behindDoc="0" locked="0" layoutInCell="1" allowOverlap="1">
                      <wp:simplePos x="0" y="0"/>
                      <wp:positionH relativeFrom="column">
                        <wp:posOffset>609600</wp:posOffset>
                      </wp:positionH>
                      <wp:positionV relativeFrom="paragraph">
                        <wp:posOffset>323850</wp:posOffset>
                      </wp:positionV>
                      <wp:extent cx="0" cy="0"/>
                      <wp:effectExtent l="38100" t="38100" r="57150" b="57150"/>
                      <wp:wrapNone/>
                      <wp:docPr id="4" name="Ink 4">
                        <a:extLst xmlns:a="http://schemas.openxmlformats.org/drawingml/2006/main">
                          <a:ext xmlns:a="http://schemas.openxmlformats.org/drawingml/2006/main" uri="{FF2B5EF4-FFF2-40B4-BE49-F238E27FC236}">
                            <a16:creationId xmlns:a16="http://schemas.microsoft.com/office/drawing/2014/main" id="{5EA0A798-6023-48E4-81B0-9C393ABDED38}"/>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7">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4" o:spid="_x0000_s1026" type="#_x0000_t75" style="width:1.4pt;height:1.4pt;margin-top:24.8pt;margin-left:47.3pt;mso-height-percent:0;mso-height-relative:page;mso-width-percent:0;mso-width-relative:page;mso-wrap-distance-bottom:0;mso-wrap-distance-left:9pt;mso-wrap-distance-right:9pt;mso-wrap-distance-top:0;mso-wrap-style:square;position:absolute;visibility:visible;z-index:251661312">
                      <v:imagedata r:id="rId16" o:title=""/>
                    </v:shape>
                  </w:pict>
                </mc:Fallback>
              </mc:AlternateConten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79F77198" w14:textId="125BF0FC">
            <w:pPr>
              <w:widowControl/>
              <w:autoSpaceDE/>
              <w:autoSpaceDN/>
              <w:adjustRightInd/>
              <w:jc w:val="center"/>
              <w:rPr>
                <w:color w:val="000000"/>
                <w:sz w:val="20"/>
                <w:szCs w:val="20"/>
              </w:rPr>
            </w:pPr>
            <w:r w:rsidRPr="00862282">
              <w:rPr>
                <w:noProof/>
                <w:color w:val="000000"/>
                <w:sz w:val="20"/>
                <w:szCs w:val="20"/>
              </w:rPr>
              <mc:AlternateContent>
                <mc:Choice Requires="wpi">
                  <w:drawing>
                    <wp:anchor distT="0" distB="0" distL="114300" distR="114300" simplePos="0" relativeHeight="251662336" behindDoc="0" locked="0" layoutInCell="1" allowOverlap="1">
                      <wp:simplePos x="0" y="0"/>
                      <wp:positionH relativeFrom="column">
                        <wp:posOffset>0</wp:posOffset>
                      </wp:positionH>
                      <wp:positionV relativeFrom="paragraph">
                        <wp:posOffset>161925</wp:posOffset>
                      </wp:positionV>
                      <wp:extent cx="0" cy="0"/>
                      <wp:effectExtent l="38100" t="38100" r="57150" b="57150"/>
                      <wp:wrapNone/>
                      <wp:docPr id="11" name="Ink 11">
                        <a:extLst xmlns:a="http://schemas.openxmlformats.org/drawingml/2006/main">
                          <a:ext xmlns:a="http://schemas.openxmlformats.org/drawingml/2006/main" uri="{FF2B5EF4-FFF2-40B4-BE49-F238E27FC236}">
                            <a16:creationId xmlns:a16="http://schemas.microsoft.com/office/drawing/2014/main" id="{25D9EAB4-B21C-41AB-9FA1-2FEEFEBDC1F0}"/>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8">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11" o:spid="_x0000_s1027" type="#_x0000_t75" style="width:1.4pt;height:1.4pt;margin-top:12.05pt;margin-left:-0.7pt;mso-height-percent:0;mso-height-relative:page;mso-width-percent:0;mso-width-relative:page;mso-wrap-distance-bottom:0;mso-wrap-distance-left:9pt;mso-wrap-distance-right:9pt;mso-wrap-distance-top:0;mso-wrap-style:square;position:absolute;visibility:visible;z-index:251663360">
                      <v:imagedata r:id="rId16" o:title=""/>
                    </v:shape>
                  </w:pict>
                </mc:Fallback>
              </mc:AlternateConten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24CDC643" w14:textId="77777777">
            <w:pPr>
              <w:widowControl/>
              <w:autoSpaceDE/>
              <w:autoSpaceDN/>
              <w:adjustRightInd/>
              <w:jc w:val="center"/>
              <w:rPr>
                <w:color w:val="000000"/>
                <w:sz w:val="20"/>
                <w:szCs w:val="20"/>
              </w:rPr>
            </w:pPr>
            <w:r w:rsidRPr="001D697D">
              <w:rPr>
                <w:color w:val="000000"/>
                <w:sz w:val="20"/>
                <w:szCs w:val="20"/>
              </w:rPr>
              <w:t> </w: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053BBD81" w14:textId="77777777">
            <w:pPr>
              <w:widowControl/>
              <w:autoSpaceDE/>
              <w:autoSpaceDN/>
              <w:adjustRightInd/>
              <w:jc w:val="center"/>
              <w:rPr>
                <w:color w:val="000000"/>
                <w:sz w:val="20"/>
                <w:szCs w:val="20"/>
              </w:rPr>
            </w:pPr>
            <w:r w:rsidRPr="001D697D">
              <w:rPr>
                <w:color w:val="000000"/>
                <w:sz w:val="20"/>
                <w:szCs w:val="20"/>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D697D" w:rsidRPr="001D697D" w:rsidP="001D697D" w14:paraId="5FE1A413" w14:textId="77777777">
            <w:pPr>
              <w:widowControl/>
              <w:autoSpaceDE/>
              <w:autoSpaceDN/>
              <w:adjustRightInd/>
              <w:jc w:val="right"/>
              <w:rPr>
                <w:color w:val="000000"/>
                <w:sz w:val="20"/>
                <w:szCs w:val="20"/>
              </w:rPr>
            </w:pPr>
            <w:r w:rsidRPr="001D697D">
              <w:rPr>
                <w:color w:val="000000"/>
                <w:sz w:val="20"/>
                <w:szCs w:val="20"/>
              </w:rPr>
              <w:t> </w:t>
            </w:r>
          </w:p>
        </w:tc>
      </w:tr>
      <w:tr w14:paraId="2E2551A9" w14:textId="77777777" w:rsidTr="00862282">
        <w:tblPrEx>
          <w:tblW w:w="13030" w:type="dxa"/>
          <w:tblLook w:val="04A0"/>
        </w:tblPrEx>
        <w:trPr>
          <w:trHeight w:val="39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1D697D" w:rsidRPr="001D697D" w:rsidP="001D697D" w14:paraId="022FCE8A" w14:textId="77777777">
            <w:pPr>
              <w:widowControl/>
              <w:autoSpaceDE/>
              <w:autoSpaceDN/>
              <w:adjustRightInd/>
              <w:rPr>
                <w:b/>
                <w:bCs/>
                <w:i/>
                <w:iCs/>
                <w:color w:val="000000"/>
                <w:sz w:val="20"/>
                <w:szCs w:val="20"/>
              </w:rPr>
            </w:pPr>
            <w:r w:rsidRPr="001D697D">
              <w:rPr>
                <w:b/>
                <w:bCs/>
                <w:i/>
                <w:iCs/>
                <w:color w:val="000000"/>
                <w:sz w:val="20"/>
                <w:szCs w:val="20"/>
              </w:rPr>
              <w:t xml:space="preserve">Recordkeeping Subtotal </w:t>
            </w:r>
            <w:r w:rsidRPr="001D697D">
              <w:rPr>
                <w:b/>
                <w:bCs/>
                <w:color w:val="000000"/>
                <w:sz w:val="20"/>
                <w:szCs w:val="20"/>
                <w:vertAlign w:val="superscript"/>
              </w:rPr>
              <w:t>d</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7F133668" w14:textId="5D580BB1">
            <w:pPr>
              <w:widowControl/>
              <w:autoSpaceDE/>
              <w:autoSpaceDN/>
              <w:adjustRightInd/>
              <w:jc w:val="center"/>
              <w:rPr>
                <w:color w:val="000000"/>
                <w:sz w:val="20"/>
                <w:szCs w:val="20"/>
              </w:rPr>
            </w:pPr>
            <w:r w:rsidRPr="00862282">
              <w:rPr>
                <w:noProof/>
                <w:color w:val="000000"/>
                <w:sz w:val="20"/>
                <w:szCs w:val="20"/>
              </w:rPr>
              <mc:AlternateContent>
                <mc:Choice Requires="wpi">
                  <w:drawing>
                    <wp:anchor distT="0" distB="0" distL="114300" distR="114300" simplePos="0" relativeHeight="251664384" behindDoc="0" locked="0" layoutInCell="1" allowOverlap="1">
                      <wp:simplePos x="0" y="0"/>
                      <wp:positionH relativeFrom="column">
                        <wp:posOffset>57150</wp:posOffset>
                      </wp:positionH>
                      <wp:positionV relativeFrom="paragraph">
                        <wp:posOffset>47625</wp:posOffset>
                      </wp:positionV>
                      <wp:extent cx="0" cy="0"/>
                      <wp:effectExtent l="38100" t="38100" r="57150" b="57150"/>
                      <wp:wrapNone/>
                      <wp:docPr id="7" name="Ink 7">
                        <a:extLst xmlns:a="http://schemas.openxmlformats.org/drawingml/2006/main">
                          <a:ext xmlns:a="http://schemas.openxmlformats.org/drawingml/2006/main" uri="{FF2B5EF4-FFF2-40B4-BE49-F238E27FC236}">
                            <a16:creationId xmlns:a16="http://schemas.microsoft.com/office/drawing/2014/main" id="{A670C837-33DC-4ADF-91E4-AC29AB7A82B8}"/>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9">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7" o:spid="_x0000_s1028" type="#_x0000_t75" style="width:1.4pt;height:1.4pt;margin-top:3.05pt;margin-left:3.8pt;mso-height-percent:0;mso-height-relative:page;mso-width-percent:0;mso-width-relative:page;mso-wrap-distance-bottom:0;mso-wrap-distance-left:9pt;mso-wrap-distance-right:9pt;mso-wrap-distance-top:0;mso-wrap-style:square;position:absolute;visibility:visible;z-index:251665408">
                      <v:imagedata r:id="rId16" o:title=""/>
                    </v:shape>
                  </w:pict>
                </mc:Fallback>
              </mc:AlternateContent>
            </w:r>
          </w:p>
        </w:tc>
        <w:tc>
          <w:tcPr>
            <w:tcW w:w="1350" w:type="dxa"/>
            <w:tcBorders>
              <w:top w:val="nil"/>
              <w:left w:val="nil"/>
              <w:bottom w:val="single" w:sz="8" w:space="0" w:color="auto"/>
              <w:right w:val="single" w:sz="8" w:space="0" w:color="auto"/>
            </w:tcBorders>
            <w:shd w:val="clear" w:color="auto" w:fill="auto"/>
            <w:vAlign w:val="center"/>
            <w:hideMark/>
          </w:tcPr>
          <w:p w:rsidR="001D697D" w:rsidRPr="001D697D" w:rsidP="001D697D" w14:paraId="1F1B2F6B"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70F6DB2F" w14:textId="77777777">
            <w:pPr>
              <w:widowControl/>
              <w:autoSpaceDE/>
              <w:autoSpaceDN/>
              <w:adjustRightInd/>
              <w:jc w:val="center"/>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center"/>
            <w:hideMark/>
          </w:tcPr>
          <w:p w:rsidR="001D697D" w:rsidRPr="001D697D" w:rsidP="001D697D" w14:paraId="49438692" w14:textId="77777777">
            <w:pPr>
              <w:widowControl/>
              <w:autoSpaceDE/>
              <w:autoSpaceDN/>
              <w:adjustRightInd/>
              <w:jc w:val="center"/>
              <w:rPr>
                <w:color w:val="000000"/>
                <w:sz w:val="20"/>
                <w:szCs w:val="20"/>
              </w:rPr>
            </w:pPr>
            <w:r w:rsidRPr="001D697D">
              <w:rPr>
                <w:color w:val="000000"/>
                <w:sz w:val="20"/>
                <w:szCs w:val="20"/>
              </w:rPr>
              <w:t> </w:t>
            </w:r>
          </w:p>
        </w:tc>
        <w:tc>
          <w:tcPr>
            <w:tcW w:w="3780" w:type="dxa"/>
            <w:gridSpan w:val="3"/>
            <w:tcBorders>
              <w:top w:val="single" w:sz="8" w:space="0" w:color="auto"/>
              <w:left w:val="nil"/>
              <w:bottom w:val="single" w:sz="8" w:space="0" w:color="auto"/>
              <w:right w:val="single" w:sz="8" w:space="0" w:color="000000"/>
            </w:tcBorders>
            <w:shd w:val="clear" w:color="auto" w:fill="auto"/>
            <w:vAlign w:val="center"/>
            <w:hideMark/>
          </w:tcPr>
          <w:p w:rsidR="001D697D" w:rsidRPr="001D697D" w:rsidP="001D697D" w14:paraId="3E8E697A" w14:textId="77777777">
            <w:pPr>
              <w:widowControl/>
              <w:autoSpaceDE/>
              <w:autoSpaceDN/>
              <w:adjustRightInd/>
              <w:jc w:val="center"/>
              <w:rPr>
                <w:color w:val="000000"/>
                <w:sz w:val="20"/>
                <w:szCs w:val="20"/>
              </w:rPr>
            </w:pPr>
            <w:r w:rsidRPr="001D697D">
              <w:rPr>
                <w:color w:val="000000"/>
                <w:sz w:val="20"/>
                <w:szCs w:val="20"/>
              </w:rPr>
              <w:t>0</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7871505F" w14:textId="77777777">
            <w:pPr>
              <w:widowControl/>
              <w:autoSpaceDE/>
              <w:autoSpaceDN/>
              <w:adjustRightInd/>
              <w:jc w:val="right"/>
              <w:rPr>
                <w:color w:val="000000"/>
                <w:sz w:val="20"/>
                <w:szCs w:val="20"/>
              </w:rPr>
            </w:pPr>
            <w:r w:rsidRPr="001D697D">
              <w:rPr>
                <w:color w:val="000000"/>
                <w:sz w:val="20"/>
                <w:szCs w:val="20"/>
              </w:rPr>
              <w:t>$0</w:t>
            </w:r>
          </w:p>
        </w:tc>
      </w:tr>
      <w:tr w14:paraId="5A74F780" w14:textId="77777777" w:rsidTr="00862282">
        <w:tblPrEx>
          <w:tblW w:w="13030" w:type="dxa"/>
          <w:tblLook w:val="04A0"/>
        </w:tblPrEx>
        <w:trPr>
          <w:trHeight w:val="36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1D697D" w:rsidRPr="001D697D" w:rsidP="001D697D" w14:paraId="68BA91B1" w14:textId="77777777">
            <w:pPr>
              <w:widowControl/>
              <w:autoSpaceDE/>
              <w:autoSpaceDN/>
              <w:adjustRightInd/>
              <w:rPr>
                <w:b/>
                <w:bCs/>
                <w:color w:val="000000"/>
                <w:sz w:val="20"/>
                <w:szCs w:val="20"/>
              </w:rPr>
            </w:pPr>
            <w:r w:rsidRPr="001D697D">
              <w:rPr>
                <w:b/>
                <w:bCs/>
                <w:color w:val="000000"/>
                <w:sz w:val="20"/>
                <w:szCs w:val="20"/>
              </w:rPr>
              <w:t>TOTAL LABOR BURDEN AND COST (rounded)</w:t>
            </w:r>
            <w:r w:rsidRPr="001D697D">
              <w:rPr>
                <w:b/>
                <w:bCs/>
                <w:color w:val="000000"/>
                <w:sz w:val="20"/>
                <w:szCs w:val="20"/>
                <w:vertAlign w:val="superscript"/>
              </w:rPr>
              <w:t>e</w:t>
            </w:r>
          </w:p>
        </w:tc>
        <w:tc>
          <w:tcPr>
            <w:tcW w:w="1260" w:type="dxa"/>
            <w:tcBorders>
              <w:top w:val="nil"/>
              <w:left w:val="nil"/>
              <w:bottom w:val="single" w:sz="8" w:space="0" w:color="auto"/>
              <w:right w:val="single" w:sz="8" w:space="0" w:color="auto"/>
            </w:tcBorders>
            <w:shd w:val="clear" w:color="auto" w:fill="auto"/>
            <w:vAlign w:val="center"/>
            <w:hideMark/>
          </w:tcPr>
          <w:p w:rsidR="001D697D" w:rsidRPr="001D697D" w:rsidP="001D697D" w14:paraId="58741036" w14:textId="47CF15D8">
            <w:pPr>
              <w:widowControl/>
              <w:autoSpaceDE/>
              <w:autoSpaceDN/>
              <w:adjustRightInd/>
              <w:jc w:val="right"/>
              <w:rPr>
                <w:color w:val="000000"/>
                <w:sz w:val="20"/>
                <w:szCs w:val="20"/>
              </w:rPr>
            </w:pPr>
            <w:r w:rsidRPr="00862282">
              <w:rPr>
                <w:noProof/>
                <w:color w:val="000000"/>
                <w:sz w:val="20"/>
                <w:szCs w:val="20"/>
              </w:rPr>
              <mc:AlternateContent>
                <mc:Choice Requires="wpi">
                  <w:drawing>
                    <wp:anchor distT="0" distB="0" distL="114300" distR="114300" simplePos="0" relativeHeight="251666432" behindDoc="0" locked="0" layoutInCell="1" allowOverlap="1">
                      <wp:simplePos x="0" y="0"/>
                      <wp:positionH relativeFrom="column">
                        <wp:posOffset>619125</wp:posOffset>
                      </wp:positionH>
                      <wp:positionV relativeFrom="paragraph">
                        <wp:posOffset>9525</wp:posOffset>
                      </wp:positionV>
                      <wp:extent cx="0" cy="0"/>
                      <wp:effectExtent l="38100" t="38100" r="57150" b="57150"/>
                      <wp:wrapNone/>
                      <wp:docPr id="6" name="Ink 6">
                        <a:extLst xmlns:a="http://schemas.openxmlformats.org/drawingml/2006/main">
                          <a:ext xmlns:a="http://schemas.openxmlformats.org/drawingml/2006/main" uri="{FF2B5EF4-FFF2-40B4-BE49-F238E27FC236}">
                            <a16:creationId xmlns:a16="http://schemas.microsoft.com/office/drawing/2014/main" id="{B8319D28-E086-4CAA-B521-D9862A84C8EA}"/>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0">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6" o:spid="_x0000_s1029" type="#_x0000_t75" style="width:1.4pt;height:1.4pt;margin-top:0.05pt;margin-left:48.05pt;mso-height-percent:0;mso-height-relative:page;mso-width-percent:0;mso-width-relative:page;mso-wrap-distance-bottom:0;mso-wrap-distance-left:9pt;mso-wrap-distance-right:9pt;mso-wrap-distance-top:0;mso-wrap-style:square;position:absolute;visibility:visible;z-index:251667456">
                      <v:imagedata r:id="rId16" o:title=""/>
                    </v:shape>
                  </w:pict>
                </mc:Fallback>
              </mc:AlternateContent>
            </w:r>
          </w:p>
        </w:tc>
        <w:tc>
          <w:tcPr>
            <w:tcW w:w="1350" w:type="dxa"/>
            <w:tcBorders>
              <w:top w:val="nil"/>
              <w:left w:val="nil"/>
              <w:bottom w:val="single" w:sz="8" w:space="0" w:color="auto"/>
              <w:right w:val="single" w:sz="8" w:space="0" w:color="auto"/>
            </w:tcBorders>
            <w:shd w:val="clear" w:color="auto" w:fill="auto"/>
            <w:vAlign w:val="bottom"/>
            <w:hideMark/>
          </w:tcPr>
          <w:p w:rsidR="001D697D" w:rsidRPr="001D697D" w:rsidP="001D697D" w14:paraId="779ECA72" w14:textId="6C470FD0">
            <w:pPr>
              <w:widowControl/>
              <w:autoSpaceDE/>
              <w:autoSpaceDN/>
              <w:adjustRightInd/>
              <w:rPr>
                <w:color w:val="000000"/>
                <w:sz w:val="20"/>
                <w:szCs w:val="20"/>
              </w:rPr>
            </w:pPr>
            <w:r w:rsidRPr="00862282">
              <w:rPr>
                <w:noProof/>
                <w:color w:val="000000"/>
                <w:sz w:val="20"/>
                <w:szCs w:val="20"/>
              </w:rPr>
              <mc:AlternateContent>
                <mc:Choice Requires="wpi">
                  <w:drawing>
                    <wp:anchor distT="0" distB="0" distL="114300" distR="114300" simplePos="0" relativeHeight="251668480" behindDoc="0" locked="0" layoutInCell="1" allowOverlap="1">
                      <wp:simplePos x="0" y="0"/>
                      <wp:positionH relativeFrom="column">
                        <wp:posOffset>885825</wp:posOffset>
                      </wp:positionH>
                      <wp:positionV relativeFrom="paragraph">
                        <wp:posOffset>85725</wp:posOffset>
                      </wp:positionV>
                      <wp:extent cx="0" cy="9525"/>
                      <wp:effectExtent l="38100" t="38100" r="57150" b="47625"/>
                      <wp:wrapNone/>
                      <wp:docPr id="5" name="Ink 5">
                        <a:extLst xmlns:a="http://schemas.openxmlformats.org/drawingml/2006/main">
                          <a:ext xmlns:a="http://schemas.openxmlformats.org/drawingml/2006/main" uri="{FF2B5EF4-FFF2-40B4-BE49-F238E27FC236}">
                            <a16:creationId xmlns:a16="http://schemas.microsoft.com/office/drawing/2014/main" id="{3B98F13B-E740-49C6-A1C2-7564B7D623BC}"/>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1">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5" o:spid="_x0000_s1030" type="#_x0000_t75" style="width:1.4pt;height:1.45pt;margin-top:6.05pt;margin-left:69.05pt;mso-height-percent:0;mso-height-relative:page;mso-width-percent:0;mso-width-relative:page;mso-wrap-distance-bottom:0;mso-wrap-distance-left:9pt;mso-wrap-distance-right:9pt;mso-wrap-distance-top:0;mso-wrap-style:square;position:absolute;visibility:visible;z-index:251669504">
                      <v:imagedata r:id="rId16" o:title="" cropbottom="-2340f"/>
                    </v:shape>
                  </w:pict>
                </mc:Fallback>
              </mc:AlternateContent>
            </w:r>
          </w:p>
        </w:tc>
        <w:tc>
          <w:tcPr>
            <w:tcW w:w="1440" w:type="dxa"/>
            <w:tcBorders>
              <w:top w:val="nil"/>
              <w:left w:val="nil"/>
              <w:bottom w:val="single" w:sz="8" w:space="0" w:color="auto"/>
              <w:right w:val="single" w:sz="8" w:space="0" w:color="auto"/>
            </w:tcBorders>
            <w:shd w:val="clear" w:color="auto" w:fill="auto"/>
            <w:vAlign w:val="center"/>
            <w:hideMark/>
          </w:tcPr>
          <w:p w:rsidR="001D697D" w:rsidRPr="001D697D" w:rsidP="001D697D" w14:paraId="21C967A9" w14:textId="77777777">
            <w:pPr>
              <w:widowControl/>
              <w:autoSpaceDE/>
              <w:autoSpaceDN/>
              <w:adjustRightInd/>
              <w:jc w:val="right"/>
              <w:rPr>
                <w:color w:val="000000"/>
                <w:sz w:val="20"/>
                <w:szCs w:val="20"/>
              </w:rPr>
            </w:pPr>
            <w:r w:rsidRPr="001D697D">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1D697D" w:rsidRPr="001D697D" w:rsidP="001D697D" w14:paraId="469A75C4" w14:textId="77777777">
            <w:pPr>
              <w:widowControl/>
              <w:autoSpaceDE/>
              <w:autoSpaceDN/>
              <w:adjustRightInd/>
              <w:rPr>
                <w:color w:val="000000"/>
                <w:sz w:val="20"/>
                <w:szCs w:val="20"/>
              </w:rPr>
            </w:pPr>
            <w:r w:rsidRPr="001D697D">
              <w:rPr>
                <w:color w:val="000000"/>
                <w:sz w:val="20"/>
                <w:szCs w:val="20"/>
              </w:rPr>
              <w:t> </w:t>
            </w:r>
          </w:p>
        </w:tc>
        <w:tc>
          <w:tcPr>
            <w:tcW w:w="3780" w:type="dxa"/>
            <w:gridSpan w:val="3"/>
            <w:tcBorders>
              <w:top w:val="single" w:sz="8" w:space="0" w:color="auto"/>
              <w:left w:val="nil"/>
              <w:bottom w:val="single" w:sz="8" w:space="0" w:color="auto"/>
              <w:right w:val="single" w:sz="8" w:space="0" w:color="000000"/>
            </w:tcBorders>
            <w:shd w:val="clear" w:color="auto" w:fill="auto"/>
            <w:vAlign w:val="center"/>
            <w:hideMark/>
          </w:tcPr>
          <w:p w:rsidR="001D697D" w:rsidRPr="001D697D" w:rsidP="001D697D" w14:paraId="2EA4C2F6" w14:textId="77777777">
            <w:pPr>
              <w:widowControl/>
              <w:autoSpaceDE/>
              <w:autoSpaceDN/>
              <w:adjustRightInd/>
              <w:jc w:val="center"/>
              <w:rPr>
                <w:b/>
                <w:bCs/>
                <w:color w:val="000000"/>
                <w:sz w:val="20"/>
                <w:szCs w:val="20"/>
              </w:rPr>
            </w:pPr>
            <w:r w:rsidRPr="001D697D">
              <w:rPr>
                <w:b/>
                <w:bCs/>
                <w:color w:val="000000"/>
                <w:sz w:val="20"/>
                <w:szCs w:val="20"/>
              </w:rPr>
              <w:t>3,130</w:t>
            </w:r>
          </w:p>
        </w:tc>
        <w:tc>
          <w:tcPr>
            <w:tcW w:w="1340" w:type="dxa"/>
            <w:tcBorders>
              <w:top w:val="nil"/>
              <w:left w:val="nil"/>
              <w:bottom w:val="single" w:sz="8" w:space="0" w:color="auto"/>
              <w:right w:val="single" w:sz="8" w:space="0" w:color="auto"/>
            </w:tcBorders>
            <w:shd w:val="clear" w:color="auto" w:fill="auto"/>
            <w:vAlign w:val="center"/>
            <w:hideMark/>
          </w:tcPr>
          <w:p w:rsidR="001D697D" w:rsidRPr="001D697D" w:rsidP="001D697D" w14:paraId="01D81A48" w14:textId="77777777">
            <w:pPr>
              <w:widowControl/>
              <w:autoSpaceDE/>
              <w:autoSpaceDN/>
              <w:adjustRightInd/>
              <w:jc w:val="right"/>
              <w:rPr>
                <w:b/>
                <w:bCs/>
                <w:color w:val="000000"/>
                <w:sz w:val="20"/>
                <w:szCs w:val="20"/>
              </w:rPr>
            </w:pPr>
            <w:r w:rsidRPr="001D697D">
              <w:rPr>
                <w:b/>
                <w:bCs/>
                <w:color w:val="000000"/>
                <w:sz w:val="20"/>
                <w:szCs w:val="20"/>
              </w:rPr>
              <w:t>$376,000</w:t>
            </w:r>
          </w:p>
        </w:tc>
      </w:tr>
      <w:tr w14:paraId="26BE8A23" w14:textId="77777777" w:rsidTr="00862282">
        <w:tblPrEx>
          <w:tblW w:w="13030" w:type="dxa"/>
          <w:tblLook w:val="04A0"/>
        </w:tblPrEx>
        <w:trPr>
          <w:trHeight w:val="39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1D697D" w:rsidRPr="001D697D" w:rsidP="001D697D" w14:paraId="5447BDF2" w14:textId="77777777">
            <w:pPr>
              <w:widowControl/>
              <w:autoSpaceDE/>
              <w:autoSpaceDN/>
              <w:adjustRightInd/>
              <w:rPr>
                <w:b/>
                <w:bCs/>
                <w:color w:val="000000"/>
                <w:sz w:val="20"/>
                <w:szCs w:val="20"/>
              </w:rPr>
            </w:pPr>
            <w:r w:rsidRPr="001D697D">
              <w:rPr>
                <w:b/>
                <w:bCs/>
                <w:color w:val="000000"/>
                <w:sz w:val="20"/>
                <w:szCs w:val="20"/>
              </w:rPr>
              <w:t>TOTAL CAPITAL AND O&amp;M COSTS (rounded)</w:t>
            </w:r>
            <w:r w:rsidRPr="001D697D">
              <w:rPr>
                <w:b/>
                <w:bCs/>
                <w:color w:val="000000"/>
                <w:sz w:val="20"/>
                <w:szCs w:val="20"/>
                <w:vertAlign w:val="superscript"/>
              </w:rPr>
              <w:t>e</w: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5F4ED297" w14:textId="77777777">
            <w:pPr>
              <w:widowControl/>
              <w:autoSpaceDE/>
              <w:autoSpaceDN/>
              <w:adjustRightInd/>
              <w:jc w:val="right"/>
              <w:rPr>
                <w:color w:val="000000"/>
                <w:sz w:val="20"/>
                <w:szCs w:val="20"/>
              </w:rPr>
            </w:pPr>
            <w:r w:rsidRPr="001D697D">
              <w:rPr>
                <w:color w:val="000000"/>
                <w:sz w:val="20"/>
                <w:szCs w:val="20"/>
              </w:rPr>
              <w:t> </w:t>
            </w:r>
          </w:p>
        </w:tc>
        <w:tc>
          <w:tcPr>
            <w:tcW w:w="1350" w:type="dxa"/>
            <w:tcBorders>
              <w:top w:val="nil"/>
              <w:left w:val="nil"/>
              <w:bottom w:val="nil"/>
              <w:right w:val="single" w:sz="8" w:space="0" w:color="auto"/>
            </w:tcBorders>
            <w:shd w:val="clear" w:color="auto" w:fill="auto"/>
            <w:vAlign w:val="center"/>
            <w:hideMark/>
          </w:tcPr>
          <w:p w:rsidR="001D697D" w:rsidRPr="001D697D" w:rsidP="001D697D" w14:paraId="6DF1D759" w14:textId="77777777">
            <w:pPr>
              <w:widowControl/>
              <w:autoSpaceDE/>
              <w:autoSpaceDN/>
              <w:adjustRightInd/>
              <w:jc w:val="right"/>
              <w:rPr>
                <w:color w:val="000000"/>
                <w:sz w:val="20"/>
                <w:szCs w:val="20"/>
              </w:rPr>
            </w:pPr>
            <w:r w:rsidRPr="001D697D">
              <w:rPr>
                <w:color w:val="000000"/>
                <w:sz w:val="20"/>
                <w:szCs w:val="20"/>
              </w:rPr>
              <w:t> </w:t>
            </w:r>
          </w:p>
        </w:tc>
        <w:tc>
          <w:tcPr>
            <w:tcW w:w="1440" w:type="dxa"/>
            <w:tcBorders>
              <w:top w:val="nil"/>
              <w:left w:val="nil"/>
              <w:bottom w:val="nil"/>
              <w:right w:val="single" w:sz="8" w:space="0" w:color="auto"/>
            </w:tcBorders>
            <w:shd w:val="clear" w:color="auto" w:fill="auto"/>
            <w:vAlign w:val="center"/>
            <w:hideMark/>
          </w:tcPr>
          <w:p w:rsidR="001D697D" w:rsidRPr="001D697D" w:rsidP="001D697D" w14:paraId="71DF7222" w14:textId="77777777">
            <w:pPr>
              <w:widowControl/>
              <w:autoSpaceDE/>
              <w:autoSpaceDN/>
              <w:adjustRightInd/>
              <w:jc w:val="right"/>
              <w:rPr>
                <w:color w:val="000000"/>
                <w:sz w:val="20"/>
                <w:szCs w:val="20"/>
              </w:rPr>
            </w:pPr>
            <w:r w:rsidRPr="001D697D">
              <w:rPr>
                <w:color w:val="000000"/>
                <w:sz w:val="20"/>
                <w:szCs w:val="20"/>
              </w:rPr>
              <w:t> </w:t>
            </w:r>
          </w:p>
        </w:tc>
        <w:tc>
          <w:tcPr>
            <w:tcW w:w="1440" w:type="dxa"/>
            <w:tcBorders>
              <w:top w:val="nil"/>
              <w:left w:val="nil"/>
              <w:bottom w:val="nil"/>
              <w:right w:val="single" w:sz="8" w:space="0" w:color="auto"/>
            </w:tcBorders>
            <w:shd w:val="clear" w:color="auto" w:fill="auto"/>
            <w:vAlign w:val="center"/>
            <w:hideMark/>
          </w:tcPr>
          <w:p w:rsidR="001D697D" w:rsidRPr="001D697D" w:rsidP="001D697D" w14:paraId="242A657C" w14:textId="77777777">
            <w:pPr>
              <w:widowControl/>
              <w:autoSpaceDE/>
              <w:autoSpaceDN/>
              <w:adjustRightInd/>
              <w:jc w:val="right"/>
              <w:rPr>
                <w:color w:val="000000"/>
                <w:sz w:val="20"/>
                <w:szCs w:val="20"/>
              </w:rPr>
            </w:pPr>
            <w:r w:rsidRPr="001D697D">
              <w:rPr>
                <w:color w:val="000000"/>
                <w:sz w:val="20"/>
                <w:szCs w:val="20"/>
              </w:rPr>
              <w:t> </w: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09840584" w14:textId="77777777">
            <w:pPr>
              <w:widowControl/>
              <w:autoSpaceDE/>
              <w:autoSpaceDN/>
              <w:adjustRightInd/>
              <w:jc w:val="center"/>
              <w:rPr>
                <w:b/>
                <w:bCs/>
                <w:color w:val="000000"/>
                <w:sz w:val="20"/>
                <w:szCs w:val="20"/>
              </w:rPr>
            </w:pPr>
            <w:r w:rsidRPr="001D697D">
              <w:rPr>
                <w:b/>
                <w:bCs/>
                <w:color w:val="000000"/>
                <w:sz w:val="20"/>
                <w:szCs w:val="20"/>
              </w:rPr>
              <w:t> </w:t>
            </w:r>
          </w:p>
        </w:tc>
        <w:tc>
          <w:tcPr>
            <w:tcW w:w="1260" w:type="dxa"/>
            <w:tcBorders>
              <w:top w:val="nil"/>
              <w:left w:val="nil"/>
              <w:bottom w:val="nil"/>
              <w:right w:val="single" w:sz="8" w:space="0" w:color="auto"/>
            </w:tcBorders>
            <w:shd w:val="clear" w:color="000000" w:fill="FFFFFF"/>
            <w:vAlign w:val="center"/>
            <w:hideMark/>
          </w:tcPr>
          <w:p w:rsidR="001D697D" w:rsidRPr="001D697D" w:rsidP="001D697D" w14:paraId="28D446A9" w14:textId="77777777">
            <w:pPr>
              <w:widowControl/>
              <w:autoSpaceDE/>
              <w:autoSpaceDN/>
              <w:adjustRightInd/>
              <w:jc w:val="center"/>
              <w:rPr>
                <w:b/>
                <w:bCs/>
                <w:color w:val="000000"/>
                <w:sz w:val="20"/>
                <w:szCs w:val="20"/>
              </w:rPr>
            </w:pPr>
            <w:r w:rsidRPr="001D697D">
              <w:rPr>
                <w:b/>
                <w:bCs/>
                <w:color w:val="000000"/>
                <w:sz w:val="20"/>
                <w:szCs w:val="20"/>
              </w:rPr>
              <w:t> </w:t>
            </w:r>
          </w:p>
        </w:tc>
        <w:tc>
          <w:tcPr>
            <w:tcW w:w="1260" w:type="dxa"/>
            <w:tcBorders>
              <w:top w:val="nil"/>
              <w:left w:val="nil"/>
              <w:bottom w:val="nil"/>
              <w:right w:val="single" w:sz="8" w:space="0" w:color="auto"/>
            </w:tcBorders>
            <w:shd w:val="clear" w:color="auto" w:fill="auto"/>
            <w:vAlign w:val="center"/>
            <w:hideMark/>
          </w:tcPr>
          <w:p w:rsidR="001D697D" w:rsidRPr="001D697D" w:rsidP="001D697D" w14:paraId="72A79397" w14:textId="77777777">
            <w:pPr>
              <w:widowControl/>
              <w:autoSpaceDE/>
              <w:autoSpaceDN/>
              <w:adjustRightInd/>
              <w:jc w:val="center"/>
              <w:rPr>
                <w:b/>
                <w:bCs/>
                <w:color w:val="000000"/>
                <w:sz w:val="20"/>
                <w:szCs w:val="20"/>
              </w:rPr>
            </w:pPr>
            <w:r w:rsidRPr="001D697D">
              <w:rPr>
                <w:b/>
                <w:bCs/>
                <w:color w:val="000000"/>
                <w:sz w:val="20"/>
                <w:szCs w:val="20"/>
              </w:rPr>
              <w:t> </w:t>
            </w:r>
          </w:p>
        </w:tc>
        <w:tc>
          <w:tcPr>
            <w:tcW w:w="1340" w:type="dxa"/>
            <w:tcBorders>
              <w:top w:val="nil"/>
              <w:left w:val="nil"/>
              <w:bottom w:val="nil"/>
              <w:right w:val="single" w:sz="8" w:space="0" w:color="auto"/>
            </w:tcBorders>
            <w:shd w:val="clear" w:color="auto" w:fill="auto"/>
            <w:vAlign w:val="center"/>
            <w:hideMark/>
          </w:tcPr>
          <w:p w:rsidR="001D697D" w:rsidRPr="001D697D" w:rsidP="001D697D" w14:paraId="21D5EBAA" w14:textId="77777777">
            <w:pPr>
              <w:widowControl/>
              <w:autoSpaceDE/>
              <w:autoSpaceDN/>
              <w:adjustRightInd/>
              <w:jc w:val="right"/>
              <w:rPr>
                <w:b/>
                <w:bCs/>
                <w:color w:val="000000"/>
                <w:sz w:val="20"/>
                <w:szCs w:val="20"/>
              </w:rPr>
            </w:pPr>
            <w:r w:rsidRPr="001D697D">
              <w:rPr>
                <w:b/>
                <w:bCs/>
                <w:color w:val="000000"/>
                <w:sz w:val="20"/>
                <w:szCs w:val="20"/>
              </w:rPr>
              <w:t>$0</w:t>
            </w:r>
          </w:p>
        </w:tc>
      </w:tr>
      <w:tr w14:paraId="2C275F59" w14:textId="77777777" w:rsidTr="00862282">
        <w:tblPrEx>
          <w:tblW w:w="13030" w:type="dxa"/>
          <w:tblLook w:val="04A0"/>
        </w:tblPrEx>
        <w:trPr>
          <w:trHeight w:val="390"/>
        </w:trPr>
        <w:tc>
          <w:tcPr>
            <w:tcW w:w="2420" w:type="dxa"/>
            <w:tcBorders>
              <w:top w:val="nil"/>
              <w:left w:val="single" w:sz="8" w:space="0" w:color="auto"/>
              <w:bottom w:val="single" w:sz="8" w:space="0" w:color="auto"/>
              <w:right w:val="single" w:sz="8" w:space="0" w:color="auto"/>
            </w:tcBorders>
            <w:shd w:val="clear" w:color="auto" w:fill="auto"/>
            <w:noWrap/>
            <w:vAlign w:val="bottom"/>
            <w:hideMark/>
          </w:tcPr>
          <w:p w:rsidR="001D697D" w:rsidRPr="001D697D" w:rsidP="001D697D" w14:paraId="76C62F16" w14:textId="77777777">
            <w:pPr>
              <w:widowControl/>
              <w:autoSpaceDE/>
              <w:autoSpaceDN/>
              <w:adjustRightInd/>
              <w:rPr>
                <w:b/>
                <w:bCs/>
                <w:color w:val="000000"/>
                <w:sz w:val="20"/>
                <w:szCs w:val="20"/>
              </w:rPr>
            </w:pPr>
            <w:r w:rsidRPr="001D697D">
              <w:rPr>
                <w:b/>
                <w:bCs/>
                <w:color w:val="000000"/>
                <w:sz w:val="20"/>
                <w:szCs w:val="20"/>
              </w:rPr>
              <w:t>GRAND TOTAL (rounded)</w:t>
            </w:r>
            <w:r w:rsidRPr="001D697D">
              <w:rPr>
                <w:b/>
                <w:bCs/>
                <w:color w:val="000000"/>
                <w:sz w:val="20"/>
                <w:szCs w:val="20"/>
                <w:vertAlign w:val="superscript"/>
              </w:rPr>
              <w:t>e</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2C095F0C" w14:textId="77777777">
            <w:pPr>
              <w:widowControl/>
              <w:autoSpaceDE/>
              <w:autoSpaceDN/>
              <w:adjustRightInd/>
              <w:rPr>
                <w:color w:val="000000"/>
                <w:sz w:val="20"/>
                <w:szCs w:val="20"/>
              </w:rPr>
            </w:pPr>
            <w:r w:rsidRPr="001D697D">
              <w:rPr>
                <w:color w:val="000000"/>
                <w:sz w:val="20"/>
                <w:szCs w:val="20"/>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7E90132A"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783C4138" w14:textId="77777777">
            <w:pPr>
              <w:widowControl/>
              <w:autoSpaceDE/>
              <w:autoSpaceDN/>
              <w:adjustRightInd/>
              <w:rPr>
                <w:color w:val="000000"/>
                <w:sz w:val="20"/>
                <w:szCs w:val="20"/>
              </w:rPr>
            </w:pPr>
            <w:r w:rsidRPr="001D697D">
              <w:rPr>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3A9EF110" w14:textId="77777777">
            <w:pPr>
              <w:widowControl/>
              <w:autoSpaceDE/>
              <w:autoSpaceDN/>
              <w:adjustRightInd/>
              <w:rPr>
                <w:color w:val="000000"/>
                <w:sz w:val="20"/>
                <w:szCs w:val="20"/>
              </w:rPr>
            </w:pPr>
            <w:r w:rsidRPr="001D697D">
              <w:rPr>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7E92C60E" w14:textId="77777777">
            <w:pPr>
              <w:widowControl/>
              <w:autoSpaceDE/>
              <w:autoSpaceDN/>
              <w:adjustRightInd/>
              <w:rPr>
                <w:b/>
                <w:bCs/>
                <w:color w:val="000000"/>
                <w:sz w:val="20"/>
                <w:szCs w:val="20"/>
              </w:rPr>
            </w:pPr>
            <w:r w:rsidRPr="001D697D">
              <w:rPr>
                <w:b/>
                <w:bCs/>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5FC4FFB8" w14:textId="77777777">
            <w:pPr>
              <w:widowControl/>
              <w:autoSpaceDE/>
              <w:autoSpaceDN/>
              <w:adjustRightInd/>
              <w:rPr>
                <w:b/>
                <w:bCs/>
                <w:color w:val="000000"/>
                <w:sz w:val="20"/>
                <w:szCs w:val="20"/>
              </w:rPr>
            </w:pPr>
            <w:r w:rsidRPr="001D697D">
              <w:rPr>
                <w:b/>
                <w:bCs/>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239320C5" w14:textId="77777777">
            <w:pPr>
              <w:widowControl/>
              <w:autoSpaceDE/>
              <w:autoSpaceDN/>
              <w:adjustRightInd/>
              <w:rPr>
                <w:b/>
                <w:bCs/>
                <w:color w:val="000000"/>
                <w:sz w:val="20"/>
                <w:szCs w:val="20"/>
              </w:rPr>
            </w:pPr>
            <w:r w:rsidRPr="001D697D">
              <w:rPr>
                <w:b/>
                <w:bCs/>
                <w:color w:val="000000"/>
                <w:sz w:val="20"/>
                <w:szCs w:val="20"/>
              </w:rPr>
              <w:t>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1D697D" w:rsidRPr="001D697D" w:rsidP="001D697D" w14:paraId="5E5CE0C2" w14:textId="77777777">
            <w:pPr>
              <w:widowControl/>
              <w:autoSpaceDE/>
              <w:autoSpaceDN/>
              <w:adjustRightInd/>
              <w:jc w:val="right"/>
              <w:rPr>
                <w:b/>
                <w:bCs/>
                <w:color w:val="000000"/>
                <w:sz w:val="20"/>
                <w:szCs w:val="20"/>
              </w:rPr>
            </w:pPr>
            <w:r w:rsidRPr="001D697D">
              <w:rPr>
                <w:b/>
                <w:bCs/>
                <w:color w:val="000000"/>
                <w:sz w:val="20"/>
                <w:szCs w:val="20"/>
              </w:rPr>
              <w:t>$376,000</w:t>
            </w:r>
          </w:p>
        </w:tc>
      </w:tr>
      <w:tr w14:paraId="286137B3" w14:textId="77777777" w:rsidTr="00862282">
        <w:tblPrEx>
          <w:tblW w:w="13030" w:type="dxa"/>
          <w:tblLook w:val="04A0"/>
        </w:tblPrEx>
        <w:trPr>
          <w:trHeight w:val="315"/>
        </w:trPr>
        <w:tc>
          <w:tcPr>
            <w:tcW w:w="2420" w:type="dxa"/>
            <w:tcBorders>
              <w:top w:val="nil"/>
              <w:left w:val="nil"/>
              <w:bottom w:val="nil"/>
              <w:right w:val="nil"/>
            </w:tcBorders>
            <w:shd w:val="clear" w:color="auto" w:fill="auto"/>
            <w:noWrap/>
            <w:vAlign w:val="bottom"/>
            <w:hideMark/>
          </w:tcPr>
          <w:p w:rsidR="001D697D" w:rsidRPr="001D697D" w:rsidP="001D697D" w14:paraId="7D81B03F" w14:textId="77777777">
            <w:pPr>
              <w:widowControl/>
              <w:autoSpaceDE/>
              <w:autoSpaceDN/>
              <w:adjustRightInd/>
              <w:jc w:val="right"/>
              <w:rPr>
                <w:color w:val="000000"/>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735355B2" w14:textId="63A28444">
            <w:pPr>
              <w:widowControl/>
              <w:autoSpaceDE/>
              <w:autoSpaceDN/>
              <w:adjustRightInd/>
              <w:rPr>
                <w:color w:val="000000"/>
                <w:sz w:val="20"/>
                <w:szCs w:val="20"/>
              </w:rPr>
            </w:pPr>
            <w:r w:rsidRPr="00862282">
              <w:rPr>
                <w:noProof/>
                <w:color w:val="000000"/>
                <w:sz w:val="20"/>
                <w:szCs w:val="20"/>
              </w:rPr>
              <mc:AlternateContent>
                <mc:Choice Requires="wpi">
                  <w:drawing>
                    <wp:anchor distT="0" distB="0" distL="114300" distR="114300" simplePos="0" relativeHeight="251670528" behindDoc="0" locked="0" layoutInCell="1" allowOverlap="1">
                      <wp:simplePos x="0" y="0"/>
                      <wp:positionH relativeFrom="column">
                        <wp:posOffset>142875</wp:posOffset>
                      </wp:positionH>
                      <wp:positionV relativeFrom="paragraph">
                        <wp:posOffset>9525</wp:posOffset>
                      </wp:positionV>
                      <wp:extent cx="0" cy="0"/>
                      <wp:effectExtent l="38100" t="38100" r="57150" b="57150"/>
                      <wp:wrapNone/>
                      <wp:docPr id="8" name="Ink 8">
                        <a:extLst xmlns:a="http://schemas.openxmlformats.org/drawingml/2006/main">
                          <a:ext xmlns:a="http://schemas.openxmlformats.org/drawingml/2006/main" uri="{FF2B5EF4-FFF2-40B4-BE49-F238E27FC236}">
                            <a16:creationId xmlns:a16="http://schemas.microsoft.com/office/drawing/2014/main" id="{02083C34-F3C5-4A58-A34B-F062FCEAF9B9}"/>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2">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8" o:spid="_x0000_s1031" type="#_x0000_t75" style="width:1.4pt;height:1.4pt;margin-top:0.05pt;margin-left:10.55pt;mso-height-percent:0;mso-height-relative:page;mso-width-percent:0;mso-width-relative:page;mso-wrap-distance-bottom:0;mso-wrap-distance-left:9pt;mso-wrap-distance-right:9pt;mso-wrap-distance-top:0;mso-wrap-style:square;position:absolute;visibility:visible;z-index:251671552">
                      <v:imagedata r:id="rId16" o:title=""/>
                    </v:shape>
                  </w:pict>
                </mc:Fallback>
              </mc:AlternateContent>
            </w:r>
          </w:p>
        </w:tc>
        <w:tc>
          <w:tcPr>
            <w:tcW w:w="1350" w:type="dxa"/>
            <w:tcBorders>
              <w:top w:val="nil"/>
              <w:left w:val="nil"/>
              <w:bottom w:val="nil"/>
              <w:right w:val="nil"/>
            </w:tcBorders>
            <w:shd w:val="clear" w:color="auto" w:fill="auto"/>
            <w:noWrap/>
            <w:vAlign w:val="bottom"/>
            <w:hideMark/>
          </w:tcPr>
          <w:p w:rsidR="001D697D" w:rsidRPr="001D697D" w:rsidP="001D697D" w14:paraId="5F0B94C2" w14:textId="77777777">
            <w:pPr>
              <w:widowControl/>
              <w:autoSpaceDE/>
              <w:autoSpaceDN/>
              <w:adjustRightInd/>
              <w:rPr>
                <w:color w:val="000000"/>
                <w:sz w:val="20"/>
                <w:szCs w:val="20"/>
              </w:rPr>
            </w:pPr>
          </w:p>
        </w:tc>
        <w:tc>
          <w:tcPr>
            <w:tcW w:w="1440" w:type="dxa"/>
            <w:tcBorders>
              <w:top w:val="nil"/>
              <w:left w:val="nil"/>
              <w:bottom w:val="nil"/>
              <w:right w:val="nil"/>
            </w:tcBorders>
            <w:shd w:val="clear" w:color="auto" w:fill="auto"/>
            <w:noWrap/>
            <w:vAlign w:val="bottom"/>
            <w:hideMark/>
          </w:tcPr>
          <w:p w:rsidR="001D697D" w:rsidRPr="001D697D" w:rsidP="001D697D" w14:paraId="5A56C37F"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1D697D" w:rsidRPr="001D697D" w:rsidP="001D697D" w14:paraId="4D96C3FD"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2BE9AD7C"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3EB12917"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2D82364B"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1D697D" w:rsidRPr="001D697D" w:rsidP="001D697D" w14:paraId="7769940A" w14:textId="77777777">
            <w:pPr>
              <w:widowControl/>
              <w:autoSpaceDE/>
              <w:autoSpaceDN/>
              <w:adjustRightInd/>
              <w:rPr>
                <w:sz w:val="20"/>
                <w:szCs w:val="20"/>
              </w:rPr>
            </w:pPr>
          </w:p>
        </w:tc>
      </w:tr>
      <w:tr w14:paraId="4EF5A81D" w14:textId="77777777" w:rsidTr="00862282">
        <w:tblPrEx>
          <w:tblW w:w="13030" w:type="dxa"/>
          <w:tblLook w:val="04A0"/>
        </w:tblPrEx>
        <w:trPr>
          <w:trHeight w:val="315"/>
        </w:trPr>
        <w:tc>
          <w:tcPr>
            <w:tcW w:w="2420" w:type="dxa"/>
            <w:tcBorders>
              <w:top w:val="nil"/>
              <w:left w:val="nil"/>
              <w:bottom w:val="nil"/>
              <w:right w:val="nil"/>
            </w:tcBorders>
            <w:shd w:val="clear" w:color="auto" w:fill="auto"/>
            <w:noWrap/>
            <w:vAlign w:val="bottom"/>
            <w:hideMark/>
          </w:tcPr>
          <w:p w:rsidR="001D697D" w:rsidRPr="001D697D" w:rsidP="001D697D" w14:paraId="34A28F71" w14:textId="77777777">
            <w:pPr>
              <w:widowControl/>
              <w:autoSpaceDE/>
              <w:autoSpaceDN/>
              <w:adjustRightInd/>
              <w:rPr>
                <w:b/>
                <w:bCs/>
                <w:color w:val="000000"/>
                <w:sz w:val="20"/>
                <w:szCs w:val="20"/>
              </w:rPr>
            </w:pPr>
            <w:r w:rsidRPr="001D697D">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001D697D" w:rsidRPr="001D697D" w:rsidP="001D697D" w14:paraId="5B65AB7B" w14:textId="77777777">
            <w:pPr>
              <w:widowControl/>
              <w:autoSpaceDE/>
              <w:autoSpaceDN/>
              <w:adjustRightInd/>
              <w:rPr>
                <w:b/>
                <w:bCs/>
                <w:color w:val="000000"/>
                <w:sz w:val="20"/>
                <w:szCs w:val="20"/>
              </w:rPr>
            </w:pPr>
          </w:p>
        </w:tc>
        <w:tc>
          <w:tcPr>
            <w:tcW w:w="1350" w:type="dxa"/>
            <w:tcBorders>
              <w:top w:val="nil"/>
              <w:left w:val="nil"/>
              <w:bottom w:val="nil"/>
              <w:right w:val="nil"/>
            </w:tcBorders>
            <w:shd w:val="clear" w:color="auto" w:fill="auto"/>
            <w:noWrap/>
            <w:vAlign w:val="bottom"/>
            <w:hideMark/>
          </w:tcPr>
          <w:p w:rsidR="001D697D" w:rsidRPr="001D697D" w:rsidP="001D697D" w14:paraId="667067D2"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1D697D" w:rsidRPr="001D697D" w:rsidP="001D697D" w14:paraId="014BD0D7"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1D697D" w:rsidRPr="001D697D" w:rsidP="001D697D" w14:paraId="54976AA6"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4FE33207"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5A032609"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1D697D" w:rsidRPr="001D697D" w:rsidP="001D697D" w14:paraId="45D70BE6"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1D697D" w:rsidRPr="001D697D" w:rsidP="001D697D" w14:paraId="65F04E38" w14:textId="77777777">
            <w:pPr>
              <w:widowControl/>
              <w:autoSpaceDE/>
              <w:autoSpaceDN/>
              <w:adjustRightInd/>
              <w:rPr>
                <w:sz w:val="20"/>
                <w:szCs w:val="20"/>
              </w:rPr>
            </w:pPr>
          </w:p>
        </w:tc>
      </w:tr>
      <w:tr w14:paraId="32479FB2" w14:textId="77777777" w:rsidTr="00862282">
        <w:tblPrEx>
          <w:tblW w:w="13030" w:type="dxa"/>
          <w:tblLook w:val="04A0"/>
        </w:tblPrEx>
        <w:trPr>
          <w:trHeight w:val="930"/>
        </w:trPr>
        <w:tc>
          <w:tcPr>
            <w:tcW w:w="13030" w:type="dxa"/>
            <w:gridSpan w:val="9"/>
            <w:tcBorders>
              <w:top w:val="nil"/>
              <w:left w:val="nil"/>
              <w:bottom w:val="nil"/>
              <w:right w:val="nil"/>
            </w:tcBorders>
            <w:shd w:val="clear" w:color="auto" w:fill="auto"/>
            <w:vAlign w:val="center"/>
            <w:hideMark/>
          </w:tcPr>
          <w:p w:rsidR="001D697D" w:rsidRPr="001D697D" w:rsidP="001D697D" w14:paraId="413F3E58" w14:textId="094AA42C">
            <w:pPr>
              <w:widowControl/>
              <w:autoSpaceDE/>
              <w:autoSpaceDN/>
              <w:adjustRightInd/>
              <w:rPr>
                <w:color w:val="000000"/>
                <w:sz w:val="20"/>
                <w:szCs w:val="20"/>
              </w:rPr>
            </w:pPr>
            <w:r w:rsidRPr="001D697D">
              <w:rPr>
                <w:color w:val="000000"/>
                <w:sz w:val="20"/>
                <w:szCs w:val="20"/>
                <w:vertAlign w:val="superscript"/>
              </w:rPr>
              <w:t>a</w:t>
            </w:r>
            <w:r w:rsidRPr="001D697D">
              <w:rPr>
                <w:color w:val="000000"/>
                <w:sz w:val="20"/>
                <w:szCs w:val="20"/>
              </w:rPr>
              <w:t xml:space="preserve"> We have assumed there are approximately 60 existing sources and 16 new sources per year antic</w:t>
            </w:r>
            <w:r w:rsidR="00D001DF">
              <w:rPr>
                <w:color w:val="000000"/>
                <w:sz w:val="20"/>
                <w:szCs w:val="20"/>
              </w:rPr>
              <w:t>i</w:t>
            </w:r>
            <w:r w:rsidRPr="001D697D">
              <w:rPr>
                <w:color w:val="000000"/>
                <w:sz w:val="20"/>
                <w:szCs w:val="20"/>
              </w:rPr>
              <w:t>pated over the next 3 years, resulting in overall average of 92 respondents per year. We have further assumed that there are approximately 106 units (34 combined cycle CT facilities and 72 simple cycle CT units) at 92 facilities.</w:t>
            </w:r>
          </w:p>
        </w:tc>
      </w:tr>
      <w:tr w14:paraId="3B515005" w14:textId="77777777" w:rsidTr="00862282">
        <w:tblPrEx>
          <w:tblW w:w="13030" w:type="dxa"/>
          <w:tblLook w:val="04A0"/>
        </w:tblPrEx>
        <w:trPr>
          <w:trHeight w:val="709"/>
        </w:trPr>
        <w:tc>
          <w:tcPr>
            <w:tcW w:w="13030" w:type="dxa"/>
            <w:gridSpan w:val="9"/>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2814"/>
            </w:tblGrid>
            <w:tr w14:paraId="30BC2DA2" w14:textId="77777777" w:rsidTr="005E7024">
              <w:tblPrEx>
                <w:tblW w:w="0" w:type="auto"/>
                <w:tblCellSpacing w:w="0" w:type="dxa"/>
                <w:tblCellMar>
                  <w:left w:w="0" w:type="dxa"/>
                  <w:right w:w="0" w:type="dxa"/>
                </w:tblCellMar>
                <w:tblLook w:val="04A0"/>
              </w:tblPrEx>
              <w:trPr>
                <w:trHeight w:val="709"/>
                <w:tblCellSpacing w:w="0" w:type="dxa"/>
              </w:trPr>
              <w:tc>
                <w:tcPr>
                  <w:tcW w:w="12814" w:type="dxa"/>
                  <w:tcBorders>
                    <w:top w:val="nil"/>
                    <w:left w:val="nil"/>
                    <w:bottom w:val="nil"/>
                    <w:right w:val="nil"/>
                  </w:tcBorders>
                  <w:shd w:val="clear" w:color="auto" w:fill="auto"/>
                  <w:vAlign w:val="center"/>
                  <w:hideMark/>
                </w:tcPr>
                <w:p w:rsidR="001D697D" w:rsidRPr="001D697D" w:rsidP="001D697D" w14:paraId="4DF0FA39" w14:textId="7D5CC18A">
                  <w:pPr>
                    <w:widowControl/>
                    <w:autoSpaceDE/>
                    <w:autoSpaceDN/>
                    <w:adjustRightInd/>
                    <w:rPr>
                      <w:color w:val="000000"/>
                      <w:sz w:val="20"/>
                      <w:szCs w:val="20"/>
                    </w:rPr>
                  </w:pPr>
                  <w:r w:rsidRPr="00862282">
                    <w:rPr>
                      <w:noProof/>
                      <w:color w:val="000000"/>
                      <w:sz w:val="20"/>
                      <w:szCs w:val="20"/>
                    </w:rPr>
                    <mc:AlternateContent>
                      <mc:Choice Requires="wpi">
                        <w:drawing>
                          <wp:anchor distT="0" distB="0" distL="114300" distR="114300" simplePos="0" relativeHeight="251672576" behindDoc="0" locked="0" layoutInCell="1" allowOverlap="1">
                            <wp:simplePos x="0" y="0"/>
                            <wp:positionH relativeFrom="column">
                              <wp:posOffset>4324350</wp:posOffset>
                            </wp:positionH>
                            <wp:positionV relativeFrom="paragraph">
                              <wp:posOffset>104775</wp:posOffset>
                            </wp:positionV>
                            <wp:extent cx="0" cy="0"/>
                            <wp:effectExtent l="38100" t="38100" r="57150" b="57150"/>
                            <wp:wrapNone/>
                            <wp:docPr id="9" name="Ink 9">
                              <a:extLst xmlns:a="http://schemas.openxmlformats.org/drawingml/2006/main">
                                <a:ext xmlns:a="http://schemas.openxmlformats.org/drawingml/2006/main" uri="{FF2B5EF4-FFF2-40B4-BE49-F238E27FC236}">
                                  <a16:creationId xmlns:a16="http://schemas.microsoft.com/office/drawing/2014/main" id="{AE55D3A0-3519-42E2-9195-3E7C1A644672}"/>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3">
                                  <w14:nvContentPartPr>
                                    <w14:cNvContentPartPr/>
                                  </w14:nvContentPartPr>
                                  <w14:xfrm>
                                    <a:off x="0" y="0"/>
                                    <a:ext cx="360" cy="360"/>
                                  </w14:xfrm>
                                </w14:contentPart>
                              </a:graphicData>
                            </a:graphic>
                            <wp14:sizeRelH relativeFrom="page">
                              <wp14:pctWidth>0</wp14:pctWidth>
                            </wp14:sizeRelH>
                            <wp14:sizeRelV relativeFrom="page">
                              <wp14:pctHeight>0</wp14:pctHeight>
                            </wp14:sizeRelV>
                          </wp:anchor>
                        </w:drawing>
                      </mc:Choice>
                      <mc:Fallback>
                        <w:pict>
                          <v:shape id="Ink 9" o:spid="_x0000_s1032" type="#_x0000_t75" style="width:1.4pt;height:1.4pt;margin-top:7.55pt;margin-left:339.8pt;mso-height-percent:0;mso-height-relative:page;mso-width-percent:0;mso-width-relative:page;mso-wrap-distance-bottom:0;mso-wrap-distance-left:9pt;mso-wrap-distance-right:9pt;mso-wrap-distance-top:0;mso-wrap-style:square;position:absolute;visibility:visible;z-index:251673600">
                            <v:imagedata r:id="rId16" o:title=""/>
                          </v:shape>
                        </w:pict>
                      </mc:Fallback>
                    </mc:AlternateContent>
                  </w:r>
                  <w:r w:rsidRPr="001D697D">
                    <w:rPr>
                      <w:color w:val="000000"/>
                      <w:sz w:val="20"/>
                      <w:szCs w:val="20"/>
                      <w:vertAlign w:val="superscript"/>
                    </w:rPr>
                    <w:t>b</w:t>
                  </w:r>
                  <w:r w:rsidRPr="001D697D">
                    <w:rPr>
                      <w:color w:val="000000"/>
                      <w:sz w:val="20"/>
                      <w:szCs w:val="20"/>
                    </w:rPr>
                    <w:t xml:space="preserve"> Assumes one-time burden of 30 hours for new sources to read and understand rule requirements. Assumes existing respondents will spend 8 hours to refamiliarize with the regulatory requirements each year.</w:t>
                  </w:r>
                </w:p>
              </w:tc>
            </w:tr>
          </w:tbl>
          <w:p w:rsidR="001D697D" w:rsidRPr="001D697D" w:rsidP="001D697D" w14:paraId="3E2F6563" w14:textId="77777777">
            <w:pPr>
              <w:widowControl/>
              <w:autoSpaceDE/>
              <w:autoSpaceDN/>
              <w:adjustRightInd/>
              <w:rPr>
                <w:color w:val="000000"/>
                <w:sz w:val="20"/>
                <w:szCs w:val="20"/>
              </w:rPr>
            </w:pPr>
          </w:p>
        </w:tc>
      </w:tr>
      <w:tr w14:paraId="3F46FD1C" w14:textId="77777777" w:rsidTr="00862282">
        <w:tblPrEx>
          <w:tblW w:w="13030" w:type="dxa"/>
          <w:tblLook w:val="04A0"/>
        </w:tblPrEx>
        <w:trPr>
          <w:trHeight w:val="1635"/>
        </w:trPr>
        <w:tc>
          <w:tcPr>
            <w:tcW w:w="13030" w:type="dxa"/>
            <w:gridSpan w:val="9"/>
            <w:tcBorders>
              <w:top w:val="nil"/>
              <w:left w:val="nil"/>
              <w:bottom w:val="nil"/>
              <w:right w:val="nil"/>
            </w:tcBorders>
            <w:shd w:val="clear" w:color="auto" w:fill="auto"/>
            <w:vAlign w:val="center"/>
            <w:hideMark/>
          </w:tcPr>
          <w:p w:rsidR="001D697D" w:rsidRPr="001D697D" w:rsidP="001D697D" w14:paraId="3977AD7A" w14:textId="306FFF16">
            <w:pPr>
              <w:widowControl/>
              <w:autoSpaceDE/>
              <w:autoSpaceDN/>
              <w:adjustRightInd/>
              <w:rPr>
                <w:sz w:val="20"/>
                <w:szCs w:val="20"/>
              </w:rPr>
            </w:pPr>
            <w:r w:rsidRPr="001D697D">
              <w:rPr>
                <w:sz w:val="20"/>
                <w:szCs w:val="20"/>
                <w:vertAlign w:val="superscript"/>
              </w:rPr>
              <w:t>c</w:t>
            </w:r>
            <w:r w:rsidRPr="001D697D">
              <w:rPr>
                <w:sz w:val="20"/>
                <w:szCs w:val="20"/>
              </w:rPr>
              <w:t xml:space="preserve"> This ICR uses the following labor rates: Technical $123.94 ($59.02 + 110%); Managerial $157.61 ($75.05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 This ICR assumes that Managerial hours are 5 percent of Technical hours, and Clerical hours are 10 percent of Technical hours.</w:t>
            </w:r>
          </w:p>
        </w:tc>
      </w:tr>
      <w:tr w14:paraId="4FBAC639" w14:textId="77777777" w:rsidTr="00862282">
        <w:tblPrEx>
          <w:tblW w:w="13030" w:type="dxa"/>
          <w:tblLook w:val="04A0"/>
        </w:tblPrEx>
        <w:trPr>
          <w:trHeight w:val="360"/>
        </w:trPr>
        <w:tc>
          <w:tcPr>
            <w:tcW w:w="13030" w:type="dxa"/>
            <w:gridSpan w:val="9"/>
            <w:tcBorders>
              <w:top w:val="nil"/>
              <w:left w:val="nil"/>
              <w:bottom w:val="nil"/>
              <w:right w:val="nil"/>
            </w:tcBorders>
            <w:shd w:val="clear" w:color="auto" w:fill="auto"/>
            <w:vAlign w:val="bottom"/>
            <w:hideMark/>
          </w:tcPr>
          <w:p w:rsidR="001D697D" w:rsidRPr="001D697D" w:rsidP="001D697D" w14:paraId="2168E235" w14:textId="77777777">
            <w:pPr>
              <w:widowControl/>
              <w:autoSpaceDE/>
              <w:autoSpaceDN/>
              <w:adjustRightInd/>
              <w:rPr>
                <w:color w:val="000000"/>
                <w:sz w:val="20"/>
                <w:szCs w:val="20"/>
              </w:rPr>
            </w:pPr>
            <w:r w:rsidRPr="001D697D">
              <w:rPr>
                <w:color w:val="000000"/>
                <w:sz w:val="20"/>
                <w:szCs w:val="20"/>
                <w:vertAlign w:val="superscript"/>
              </w:rPr>
              <w:t>d</w:t>
            </w:r>
            <w:r w:rsidRPr="001D697D">
              <w:rPr>
                <w:color w:val="000000"/>
                <w:sz w:val="20"/>
                <w:szCs w:val="20"/>
              </w:rPr>
              <w:t xml:space="preserve"> All recordkeeping burden is accounted for in the listed reporting activities.</w:t>
            </w:r>
          </w:p>
        </w:tc>
      </w:tr>
      <w:tr w14:paraId="564AB9C3" w14:textId="77777777" w:rsidTr="00862282">
        <w:tblPrEx>
          <w:tblW w:w="13030" w:type="dxa"/>
          <w:tblLook w:val="04A0"/>
        </w:tblPrEx>
        <w:trPr>
          <w:trHeight w:val="570"/>
        </w:trPr>
        <w:tc>
          <w:tcPr>
            <w:tcW w:w="13030" w:type="dxa"/>
            <w:gridSpan w:val="9"/>
            <w:tcBorders>
              <w:top w:val="nil"/>
              <w:left w:val="nil"/>
              <w:bottom w:val="nil"/>
              <w:right w:val="nil"/>
            </w:tcBorders>
            <w:shd w:val="clear" w:color="auto" w:fill="auto"/>
            <w:vAlign w:val="center"/>
            <w:hideMark/>
          </w:tcPr>
          <w:p w:rsidR="001D697D" w:rsidRPr="001D697D" w:rsidP="001D697D" w14:paraId="4B5350AC" w14:textId="77777777">
            <w:pPr>
              <w:widowControl/>
              <w:autoSpaceDE/>
              <w:autoSpaceDN/>
              <w:adjustRightInd/>
              <w:rPr>
                <w:sz w:val="20"/>
                <w:szCs w:val="20"/>
              </w:rPr>
            </w:pPr>
            <w:r w:rsidRPr="001D697D">
              <w:rPr>
                <w:sz w:val="20"/>
                <w:szCs w:val="20"/>
                <w:vertAlign w:val="superscript"/>
              </w:rPr>
              <w:t xml:space="preserve">e  </w:t>
            </w:r>
            <w:r w:rsidRPr="001D697D">
              <w:rPr>
                <w:sz w:val="20"/>
                <w:szCs w:val="20"/>
              </w:rPr>
              <w:t xml:space="preserve">Totals have been rounded to 3 significant figures. Figures may not add exactly due to rounding. </w:t>
            </w:r>
          </w:p>
        </w:tc>
      </w:tr>
    </w:tbl>
    <w:p w:rsidR="00144F35" w:rsidRPr="00144F35" w:rsidP="00144F35" w14:paraId="0F5B5B2B" w14:textId="3388705A">
      <w:pPr>
        <w:rPr>
          <w:bCs/>
          <w:color w:val="FF0000"/>
        </w:rPr>
      </w:pPr>
    </w:p>
    <w:p w:rsidR="00B03B74" w14:paraId="32565620" w14:textId="77777777">
      <w:pPr>
        <w:widowControl/>
        <w:autoSpaceDE/>
        <w:autoSpaceDN/>
        <w:adjustRightInd/>
        <w:rPr>
          <w:b/>
          <w:bCs/>
          <w:color w:val="000000"/>
        </w:rPr>
      </w:pPr>
      <w:r>
        <w:rPr>
          <w:b/>
          <w:bCs/>
          <w:color w:val="000000"/>
        </w:rPr>
        <w:br w:type="page"/>
      </w:r>
    </w:p>
    <w:p w:rsidR="00144F35" w:rsidP="00504745" w14:paraId="5EDF628F" w14:textId="185FE80F">
      <w:pPr>
        <w:outlineLvl w:val="0"/>
        <w:rPr>
          <w:b/>
          <w:bCs/>
          <w:color w:val="000000"/>
        </w:rPr>
      </w:pPr>
      <w:r w:rsidRPr="00C4183F">
        <w:rPr>
          <w:b/>
          <w:bCs/>
          <w:color w:val="000000"/>
        </w:rPr>
        <w:t>Table 2:</w:t>
      </w:r>
      <w:r>
        <w:rPr>
          <w:b/>
          <w:bCs/>
          <w:color w:val="000000"/>
        </w:rPr>
        <w:t xml:space="preserve"> Average Annual EPA Burden and Cost – </w:t>
      </w:r>
      <w:r w:rsidRPr="005E7024" w:rsidR="005E7024">
        <w:rPr>
          <w:b/>
          <w:bCs/>
        </w:rPr>
        <w:t>NSPS for GHG Emissions for Newly Constructed, Modified, and Reconstructed EGUs (40 CFR Part 60, Subpart TTTT) (Renewal)</w:t>
      </w:r>
    </w:p>
    <w:p w:rsidR="00144F35" w:rsidP="00F340DF" w14:paraId="3AD4E875" w14:textId="77777777">
      <w:pPr>
        <w:rPr>
          <w:b/>
          <w:bCs/>
          <w:color w:val="000000"/>
        </w:rPr>
      </w:pPr>
    </w:p>
    <w:tbl>
      <w:tblPr>
        <w:tblW w:w="12960" w:type="dxa"/>
        <w:tblLayout w:type="fixed"/>
        <w:tblLook w:val="04A0"/>
      </w:tblPr>
      <w:tblGrid>
        <w:gridCol w:w="2240"/>
        <w:gridCol w:w="1350"/>
        <w:gridCol w:w="1350"/>
        <w:gridCol w:w="1350"/>
        <w:gridCol w:w="1440"/>
        <w:gridCol w:w="1350"/>
        <w:gridCol w:w="1440"/>
        <w:gridCol w:w="1350"/>
        <w:gridCol w:w="1090"/>
      </w:tblGrid>
      <w:tr w14:paraId="0F27566C" w14:textId="77777777" w:rsidTr="00412C68">
        <w:tblPrEx>
          <w:tblW w:w="12960" w:type="dxa"/>
          <w:tblLayout w:type="fixed"/>
          <w:tblLook w:val="04A0"/>
        </w:tblPrEx>
        <w:trPr>
          <w:trHeight w:val="88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2C68" w:rsidRPr="00412C68" w:rsidP="00412C68" w14:paraId="13314DCF" w14:textId="77777777">
            <w:pPr>
              <w:widowControl/>
              <w:autoSpaceDE/>
              <w:autoSpaceDN/>
              <w:adjustRightInd/>
              <w:jc w:val="center"/>
              <w:rPr>
                <w:b/>
                <w:bCs/>
                <w:color w:val="000000"/>
                <w:sz w:val="20"/>
                <w:szCs w:val="20"/>
              </w:rPr>
            </w:pPr>
            <w:r w:rsidRPr="00412C68">
              <w:rPr>
                <w:b/>
                <w:bCs/>
                <w:color w:val="000000"/>
                <w:sz w:val="20"/>
                <w:szCs w:val="20"/>
              </w:rPr>
              <w:t>Burden Item</w:t>
            </w:r>
          </w:p>
        </w:tc>
        <w:tc>
          <w:tcPr>
            <w:tcW w:w="1350" w:type="dxa"/>
            <w:tcBorders>
              <w:top w:val="single" w:sz="8" w:space="0" w:color="auto"/>
              <w:left w:val="nil"/>
              <w:bottom w:val="single" w:sz="8" w:space="0" w:color="auto"/>
              <w:right w:val="single" w:sz="8" w:space="0" w:color="auto"/>
            </w:tcBorders>
            <w:shd w:val="clear" w:color="auto" w:fill="auto"/>
            <w:hideMark/>
          </w:tcPr>
          <w:p w:rsidR="00412C68" w:rsidRPr="00412C68" w:rsidP="00412C68" w14:paraId="6582BFAF" w14:textId="77777777">
            <w:pPr>
              <w:widowControl/>
              <w:autoSpaceDE/>
              <w:autoSpaceDN/>
              <w:adjustRightInd/>
              <w:jc w:val="center"/>
              <w:rPr>
                <w:b/>
                <w:bCs/>
                <w:color w:val="000000"/>
                <w:sz w:val="20"/>
                <w:szCs w:val="20"/>
              </w:rPr>
            </w:pPr>
            <w:r w:rsidRPr="00412C68">
              <w:rPr>
                <w:b/>
                <w:bCs/>
                <w:color w:val="000000"/>
                <w:sz w:val="20"/>
                <w:szCs w:val="20"/>
              </w:rPr>
              <w:t>(A)</w:t>
            </w:r>
            <w:r w:rsidRPr="00412C68">
              <w:rPr>
                <w:b/>
                <w:bCs/>
                <w:color w:val="000000"/>
                <w:sz w:val="20"/>
                <w:szCs w:val="20"/>
              </w:rPr>
              <w:br/>
              <w:t>Hours per Occurrence</w:t>
            </w:r>
          </w:p>
        </w:tc>
        <w:tc>
          <w:tcPr>
            <w:tcW w:w="1350" w:type="dxa"/>
            <w:tcBorders>
              <w:top w:val="single" w:sz="8" w:space="0" w:color="auto"/>
              <w:left w:val="nil"/>
              <w:bottom w:val="single" w:sz="8" w:space="0" w:color="auto"/>
              <w:right w:val="single" w:sz="8" w:space="0" w:color="auto"/>
            </w:tcBorders>
            <w:shd w:val="clear" w:color="auto" w:fill="auto"/>
            <w:hideMark/>
          </w:tcPr>
          <w:p w:rsidR="00412C68" w:rsidRPr="00412C68" w:rsidP="00412C68" w14:paraId="64009355" w14:textId="0DB25868">
            <w:pPr>
              <w:widowControl/>
              <w:autoSpaceDE/>
              <w:autoSpaceDN/>
              <w:adjustRightInd/>
              <w:jc w:val="center"/>
              <w:rPr>
                <w:b/>
                <w:bCs/>
                <w:color w:val="000000"/>
                <w:sz w:val="20"/>
                <w:szCs w:val="20"/>
              </w:rPr>
            </w:pPr>
            <w:r w:rsidRPr="00412C68">
              <w:rPr>
                <w:b/>
                <w:bCs/>
                <w:color w:val="000000"/>
                <w:sz w:val="20"/>
                <w:szCs w:val="20"/>
              </w:rPr>
              <w:t>(B)  Occurrences/ Respondent/</w:t>
            </w:r>
            <w:r>
              <w:rPr>
                <w:b/>
                <w:bCs/>
                <w:color w:val="000000"/>
                <w:sz w:val="20"/>
                <w:szCs w:val="20"/>
              </w:rPr>
              <w:t>Year</w:t>
            </w:r>
            <w:r w:rsidRPr="00412C68">
              <w:rPr>
                <w:b/>
                <w:bCs/>
                <w:color w:val="000000"/>
                <w:sz w:val="20"/>
                <w:szCs w:val="20"/>
              </w:rPr>
              <w:t xml:space="preserve"> </w:t>
            </w:r>
          </w:p>
        </w:tc>
        <w:tc>
          <w:tcPr>
            <w:tcW w:w="1350" w:type="dxa"/>
            <w:tcBorders>
              <w:top w:val="single" w:sz="8" w:space="0" w:color="auto"/>
              <w:left w:val="nil"/>
              <w:bottom w:val="single" w:sz="8" w:space="0" w:color="auto"/>
              <w:right w:val="single" w:sz="8" w:space="0" w:color="auto"/>
            </w:tcBorders>
            <w:shd w:val="clear" w:color="auto" w:fill="auto"/>
            <w:hideMark/>
          </w:tcPr>
          <w:p w:rsidR="00412C68" w:rsidP="00412C68" w14:paraId="2BC28B8C" w14:textId="77777777">
            <w:pPr>
              <w:widowControl/>
              <w:autoSpaceDE/>
              <w:autoSpaceDN/>
              <w:adjustRightInd/>
              <w:jc w:val="center"/>
              <w:rPr>
                <w:b/>
                <w:bCs/>
                <w:color w:val="000000"/>
                <w:sz w:val="20"/>
                <w:szCs w:val="20"/>
              </w:rPr>
            </w:pPr>
            <w:r w:rsidRPr="00412C68">
              <w:rPr>
                <w:b/>
                <w:bCs/>
                <w:color w:val="000000"/>
                <w:sz w:val="20"/>
                <w:szCs w:val="20"/>
              </w:rPr>
              <w:t>(C)</w:t>
            </w:r>
            <w:r w:rsidRPr="00412C68">
              <w:rPr>
                <w:b/>
                <w:bCs/>
                <w:color w:val="000000"/>
                <w:sz w:val="20"/>
                <w:szCs w:val="20"/>
              </w:rPr>
              <w:br/>
              <w:t>Hours/ Respondent</w:t>
            </w:r>
            <w:r>
              <w:rPr>
                <w:b/>
                <w:bCs/>
                <w:color w:val="000000"/>
                <w:sz w:val="20"/>
                <w:szCs w:val="20"/>
              </w:rPr>
              <w:t>/</w:t>
            </w:r>
            <w:r w:rsidRPr="00412C68">
              <w:rPr>
                <w:b/>
                <w:bCs/>
                <w:color w:val="000000"/>
                <w:sz w:val="20"/>
                <w:szCs w:val="20"/>
              </w:rPr>
              <w:t>Year</w:t>
            </w:r>
          </w:p>
          <w:p w:rsidR="00412C68" w:rsidRPr="00412C68" w:rsidP="00412C68" w14:paraId="05212044" w14:textId="1F2E6355">
            <w:pPr>
              <w:widowControl/>
              <w:autoSpaceDE/>
              <w:autoSpaceDN/>
              <w:adjustRightInd/>
              <w:jc w:val="center"/>
              <w:rPr>
                <w:b/>
                <w:bCs/>
                <w:color w:val="000000"/>
                <w:sz w:val="20"/>
                <w:szCs w:val="20"/>
              </w:rPr>
            </w:pPr>
            <w:r w:rsidRPr="00412C68">
              <w:rPr>
                <w:b/>
                <w:bCs/>
                <w:color w:val="000000"/>
                <w:sz w:val="20"/>
                <w:szCs w:val="20"/>
              </w:rPr>
              <w:t xml:space="preserve">(A x B) </w:t>
            </w:r>
          </w:p>
        </w:tc>
        <w:tc>
          <w:tcPr>
            <w:tcW w:w="1440" w:type="dxa"/>
            <w:tcBorders>
              <w:top w:val="single" w:sz="8" w:space="0" w:color="auto"/>
              <w:left w:val="nil"/>
              <w:bottom w:val="single" w:sz="8" w:space="0" w:color="auto"/>
              <w:right w:val="single" w:sz="8" w:space="0" w:color="auto"/>
            </w:tcBorders>
            <w:shd w:val="clear" w:color="auto" w:fill="auto"/>
            <w:hideMark/>
          </w:tcPr>
          <w:p w:rsidR="00412C68" w:rsidRPr="00412C68" w:rsidP="00412C68" w14:paraId="62DF71E5" w14:textId="77777777">
            <w:pPr>
              <w:widowControl/>
              <w:autoSpaceDE/>
              <w:autoSpaceDN/>
              <w:adjustRightInd/>
              <w:jc w:val="center"/>
              <w:rPr>
                <w:b/>
                <w:bCs/>
                <w:color w:val="000000"/>
                <w:sz w:val="20"/>
                <w:szCs w:val="20"/>
              </w:rPr>
            </w:pPr>
            <w:r w:rsidRPr="00412C68">
              <w:rPr>
                <w:b/>
                <w:bCs/>
                <w:color w:val="000000"/>
                <w:sz w:val="20"/>
                <w:szCs w:val="20"/>
              </w:rPr>
              <w:t xml:space="preserve">(D)  Respondents/ </w:t>
            </w:r>
            <w:r w:rsidRPr="00412C68">
              <w:rPr>
                <w:b/>
                <w:bCs/>
                <w:color w:val="000000"/>
                <w:sz w:val="20"/>
                <w:szCs w:val="20"/>
              </w:rPr>
              <w:t>Year</w:t>
            </w:r>
            <w:r w:rsidRPr="00412C68">
              <w:rPr>
                <w:b/>
                <w:bCs/>
                <w:color w:val="000000"/>
                <w:sz w:val="20"/>
                <w:szCs w:val="20"/>
                <w:vertAlign w:val="superscript"/>
              </w:rPr>
              <w:t>a</w:t>
            </w:r>
          </w:p>
        </w:tc>
        <w:tc>
          <w:tcPr>
            <w:tcW w:w="1350" w:type="dxa"/>
            <w:tcBorders>
              <w:top w:val="single" w:sz="8" w:space="0" w:color="auto"/>
              <w:left w:val="nil"/>
              <w:bottom w:val="single" w:sz="8" w:space="0" w:color="auto"/>
              <w:right w:val="single" w:sz="8" w:space="0" w:color="auto"/>
            </w:tcBorders>
            <w:shd w:val="clear" w:color="auto" w:fill="auto"/>
            <w:hideMark/>
          </w:tcPr>
          <w:p w:rsidR="00412C68" w:rsidP="00412C68" w14:paraId="3488B1EA" w14:textId="77777777">
            <w:pPr>
              <w:widowControl/>
              <w:autoSpaceDE/>
              <w:autoSpaceDN/>
              <w:adjustRightInd/>
              <w:jc w:val="center"/>
              <w:rPr>
                <w:b/>
                <w:bCs/>
                <w:color w:val="000000"/>
                <w:sz w:val="20"/>
                <w:szCs w:val="20"/>
              </w:rPr>
            </w:pPr>
            <w:r w:rsidRPr="00412C68">
              <w:rPr>
                <w:b/>
                <w:bCs/>
                <w:color w:val="000000"/>
                <w:sz w:val="20"/>
                <w:szCs w:val="20"/>
              </w:rPr>
              <w:t>(F)  Technical Hours/ Year</w:t>
            </w:r>
          </w:p>
          <w:p w:rsidR="00412C68" w:rsidRPr="00412C68" w:rsidP="00412C68" w14:paraId="312149F1" w14:textId="71087D07">
            <w:pPr>
              <w:widowControl/>
              <w:autoSpaceDE/>
              <w:autoSpaceDN/>
              <w:adjustRightInd/>
              <w:jc w:val="center"/>
              <w:rPr>
                <w:b/>
                <w:bCs/>
                <w:color w:val="000000"/>
                <w:sz w:val="20"/>
                <w:szCs w:val="20"/>
              </w:rPr>
            </w:pPr>
            <w:r w:rsidRPr="00412C68">
              <w:rPr>
                <w:b/>
                <w:bCs/>
                <w:color w:val="000000"/>
                <w:sz w:val="20"/>
                <w:szCs w:val="20"/>
              </w:rPr>
              <w:t>(C x D)</w:t>
            </w:r>
          </w:p>
        </w:tc>
        <w:tc>
          <w:tcPr>
            <w:tcW w:w="1440" w:type="dxa"/>
            <w:tcBorders>
              <w:top w:val="single" w:sz="8" w:space="0" w:color="auto"/>
              <w:left w:val="nil"/>
              <w:bottom w:val="single" w:sz="8" w:space="0" w:color="auto"/>
              <w:right w:val="single" w:sz="8" w:space="0" w:color="auto"/>
            </w:tcBorders>
            <w:shd w:val="clear" w:color="auto" w:fill="auto"/>
            <w:hideMark/>
          </w:tcPr>
          <w:p w:rsidR="00412C68" w:rsidP="00412C68" w14:paraId="1F76A021" w14:textId="77777777">
            <w:pPr>
              <w:widowControl/>
              <w:autoSpaceDE/>
              <w:autoSpaceDN/>
              <w:adjustRightInd/>
              <w:jc w:val="center"/>
              <w:rPr>
                <w:b/>
                <w:bCs/>
                <w:color w:val="000000"/>
                <w:sz w:val="20"/>
                <w:szCs w:val="20"/>
              </w:rPr>
            </w:pPr>
            <w:r w:rsidRPr="00412C68">
              <w:rPr>
                <w:b/>
                <w:bCs/>
                <w:color w:val="000000"/>
                <w:sz w:val="20"/>
                <w:szCs w:val="20"/>
              </w:rPr>
              <w:t>(G)</w:t>
            </w:r>
            <w:r w:rsidRPr="00412C68">
              <w:rPr>
                <w:b/>
                <w:bCs/>
                <w:color w:val="000000"/>
                <w:sz w:val="20"/>
                <w:szCs w:val="20"/>
              </w:rPr>
              <w:br/>
              <w:t>Managerial Hours/ Year</w:t>
            </w:r>
          </w:p>
          <w:p w:rsidR="00412C68" w:rsidRPr="00412C68" w:rsidP="00412C68" w14:paraId="651E5DAB" w14:textId="4B5D6D92">
            <w:pPr>
              <w:widowControl/>
              <w:autoSpaceDE/>
              <w:autoSpaceDN/>
              <w:adjustRightInd/>
              <w:jc w:val="center"/>
              <w:rPr>
                <w:b/>
                <w:bCs/>
                <w:color w:val="000000"/>
                <w:sz w:val="20"/>
                <w:szCs w:val="20"/>
              </w:rPr>
            </w:pPr>
            <w:r w:rsidRPr="00412C68">
              <w:rPr>
                <w:b/>
                <w:bCs/>
                <w:color w:val="000000"/>
                <w:sz w:val="20"/>
                <w:szCs w:val="20"/>
              </w:rPr>
              <w:t>(E x .05)</w:t>
            </w:r>
          </w:p>
        </w:tc>
        <w:tc>
          <w:tcPr>
            <w:tcW w:w="1350" w:type="dxa"/>
            <w:tcBorders>
              <w:top w:val="single" w:sz="8" w:space="0" w:color="auto"/>
              <w:left w:val="nil"/>
              <w:bottom w:val="single" w:sz="8" w:space="0" w:color="auto"/>
              <w:right w:val="single" w:sz="8" w:space="0" w:color="auto"/>
            </w:tcBorders>
            <w:shd w:val="clear" w:color="auto" w:fill="auto"/>
            <w:hideMark/>
          </w:tcPr>
          <w:p w:rsidR="00412C68" w:rsidP="00412C68" w14:paraId="6CF8F855" w14:textId="77777777">
            <w:pPr>
              <w:widowControl/>
              <w:autoSpaceDE/>
              <w:autoSpaceDN/>
              <w:adjustRightInd/>
              <w:jc w:val="center"/>
              <w:rPr>
                <w:b/>
                <w:bCs/>
                <w:color w:val="000000"/>
                <w:sz w:val="20"/>
                <w:szCs w:val="20"/>
              </w:rPr>
            </w:pPr>
            <w:r w:rsidRPr="00412C68">
              <w:rPr>
                <w:b/>
                <w:bCs/>
                <w:color w:val="000000"/>
                <w:sz w:val="20"/>
                <w:szCs w:val="20"/>
              </w:rPr>
              <w:t>(H) Clerical Hours/Year</w:t>
            </w:r>
          </w:p>
          <w:p w:rsidR="00412C68" w:rsidRPr="00412C68" w:rsidP="00412C68" w14:paraId="58FC4F06" w14:textId="2C273CE5">
            <w:pPr>
              <w:widowControl/>
              <w:autoSpaceDE/>
              <w:autoSpaceDN/>
              <w:adjustRightInd/>
              <w:jc w:val="center"/>
              <w:rPr>
                <w:b/>
                <w:bCs/>
                <w:color w:val="000000"/>
                <w:sz w:val="20"/>
                <w:szCs w:val="20"/>
              </w:rPr>
            </w:pPr>
            <w:r w:rsidRPr="00412C68">
              <w:rPr>
                <w:b/>
                <w:bCs/>
                <w:color w:val="000000"/>
                <w:sz w:val="20"/>
                <w:szCs w:val="20"/>
              </w:rPr>
              <w:t>(E x .10)</w:t>
            </w:r>
          </w:p>
        </w:tc>
        <w:tc>
          <w:tcPr>
            <w:tcW w:w="1090" w:type="dxa"/>
            <w:tcBorders>
              <w:top w:val="single" w:sz="8" w:space="0" w:color="auto"/>
              <w:left w:val="nil"/>
              <w:bottom w:val="single" w:sz="8" w:space="0" w:color="auto"/>
              <w:right w:val="single" w:sz="8" w:space="0" w:color="auto"/>
            </w:tcBorders>
            <w:shd w:val="clear" w:color="auto" w:fill="auto"/>
            <w:hideMark/>
          </w:tcPr>
          <w:p w:rsidR="00412C68" w:rsidRPr="00412C68" w:rsidP="00412C68" w14:paraId="62707437" w14:textId="77777777">
            <w:pPr>
              <w:widowControl/>
              <w:autoSpaceDE/>
              <w:autoSpaceDN/>
              <w:adjustRightInd/>
              <w:jc w:val="center"/>
              <w:rPr>
                <w:b/>
                <w:bCs/>
                <w:color w:val="000000"/>
                <w:sz w:val="20"/>
                <w:szCs w:val="20"/>
              </w:rPr>
            </w:pPr>
            <w:r w:rsidRPr="00412C68">
              <w:rPr>
                <w:b/>
                <w:bCs/>
                <w:color w:val="000000"/>
                <w:sz w:val="20"/>
                <w:szCs w:val="20"/>
              </w:rPr>
              <w:t>(I)</w:t>
            </w:r>
            <w:r w:rsidRPr="00412C68">
              <w:rPr>
                <w:b/>
                <w:bCs/>
                <w:color w:val="000000"/>
                <w:sz w:val="20"/>
                <w:szCs w:val="20"/>
              </w:rPr>
              <w:br/>
              <w:t xml:space="preserve">Cost/ </w:t>
            </w:r>
            <w:r w:rsidRPr="00412C68">
              <w:rPr>
                <w:b/>
                <w:bCs/>
                <w:color w:val="000000"/>
                <w:sz w:val="20"/>
                <w:szCs w:val="20"/>
              </w:rPr>
              <w:t>Year</w:t>
            </w:r>
            <w:r w:rsidRPr="00412C68">
              <w:rPr>
                <w:b/>
                <w:bCs/>
                <w:color w:val="000000"/>
                <w:sz w:val="20"/>
                <w:szCs w:val="20"/>
                <w:vertAlign w:val="superscript"/>
              </w:rPr>
              <w:t>b</w:t>
            </w:r>
          </w:p>
        </w:tc>
      </w:tr>
      <w:tr w14:paraId="2B804997" w14:textId="77777777" w:rsidTr="00412C68">
        <w:tblPrEx>
          <w:tblW w:w="12960" w:type="dxa"/>
          <w:tblLayout w:type="fixed"/>
          <w:tblLook w:val="04A0"/>
        </w:tblPrEx>
        <w:trPr>
          <w:trHeight w:val="48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2C68" w:rsidRPr="00412C68" w:rsidP="00412C68" w14:paraId="634C5B86" w14:textId="77777777">
            <w:pPr>
              <w:widowControl/>
              <w:autoSpaceDE/>
              <w:autoSpaceDN/>
              <w:adjustRightInd/>
              <w:rPr>
                <w:color w:val="000000"/>
                <w:sz w:val="20"/>
                <w:szCs w:val="20"/>
              </w:rPr>
            </w:pPr>
            <w:r w:rsidRPr="00412C68">
              <w:rPr>
                <w:color w:val="000000"/>
                <w:sz w:val="20"/>
                <w:szCs w:val="20"/>
              </w:rPr>
              <w:t>Notification of construction</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0360150D"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18144062"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5BF6ACF7" w14:textId="77777777">
            <w:pPr>
              <w:widowControl/>
              <w:autoSpaceDE/>
              <w:autoSpaceDN/>
              <w:adjustRightInd/>
              <w:jc w:val="center"/>
              <w:rPr>
                <w:color w:val="000000"/>
                <w:sz w:val="20"/>
                <w:szCs w:val="20"/>
              </w:rPr>
            </w:pPr>
            <w:r w:rsidRPr="00412C68">
              <w:rPr>
                <w:color w:val="000000"/>
                <w:sz w:val="20"/>
                <w:szCs w:val="20"/>
              </w:rPr>
              <w:t>1</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412C68" w:rsidRPr="00412C68" w:rsidP="00412C68" w14:paraId="215676DE" w14:textId="77777777">
            <w:pPr>
              <w:widowControl/>
              <w:autoSpaceDE/>
              <w:autoSpaceDN/>
              <w:adjustRightInd/>
              <w:jc w:val="center"/>
              <w:rPr>
                <w:color w:val="000000"/>
                <w:sz w:val="20"/>
                <w:szCs w:val="20"/>
              </w:rPr>
            </w:pPr>
            <w:r w:rsidRPr="00412C68">
              <w:rPr>
                <w:color w:val="000000"/>
                <w:sz w:val="20"/>
                <w:szCs w:val="20"/>
              </w:rPr>
              <w:t>16</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0D1AF526" w14:textId="77777777">
            <w:pPr>
              <w:widowControl/>
              <w:autoSpaceDE/>
              <w:autoSpaceDN/>
              <w:adjustRightInd/>
              <w:jc w:val="center"/>
              <w:rPr>
                <w:color w:val="000000"/>
                <w:sz w:val="20"/>
                <w:szCs w:val="20"/>
              </w:rPr>
            </w:pPr>
            <w:r w:rsidRPr="00412C68">
              <w:rPr>
                <w:color w:val="000000"/>
                <w:sz w:val="20"/>
                <w:szCs w:val="20"/>
              </w:rPr>
              <w:t>16</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5E3B65C1"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27BB8ABC" w14:textId="77777777">
            <w:pPr>
              <w:widowControl/>
              <w:autoSpaceDE/>
              <w:autoSpaceDN/>
              <w:adjustRightInd/>
              <w:jc w:val="center"/>
              <w:rPr>
                <w:color w:val="000000"/>
                <w:sz w:val="20"/>
                <w:szCs w:val="20"/>
              </w:rPr>
            </w:pPr>
            <w:r w:rsidRPr="00412C68">
              <w:rPr>
                <w:color w:val="000000"/>
                <w:sz w:val="20"/>
                <w:szCs w:val="20"/>
              </w:rPr>
              <w:t>2</w:t>
            </w:r>
          </w:p>
        </w:tc>
        <w:tc>
          <w:tcPr>
            <w:tcW w:w="1090" w:type="dxa"/>
            <w:tcBorders>
              <w:top w:val="single" w:sz="8" w:space="0" w:color="auto"/>
              <w:left w:val="nil"/>
              <w:bottom w:val="single" w:sz="8" w:space="0" w:color="auto"/>
              <w:right w:val="single" w:sz="8" w:space="0" w:color="auto"/>
            </w:tcBorders>
            <w:shd w:val="clear" w:color="auto" w:fill="auto"/>
            <w:vAlign w:val="center"/>
            <w:hideMark/>
          </w:tcPr>
          <w:p w:rsidR="00412C68" w:rsidRPr="00412C68" w:rsidP="00412C68" w14:paraId="60C61E2B" w14:textId="77777777">
            <w:pPr>
              <w:widowControl/>
              <w:autoSpaceDE/>
              <w:autoSpaceDN/>
              <w:adjustRightInd/>
              <w:jc w:val="right"/>
              <w:rPr>
                <w:color w:val="000000"/>
                <w:sz w:val="20"/>
                <w:szCs w:val="20"/>
              </w:rPr>
            </w:pPr>
            <w:r w:rsidRPr="00412C68">
              <w:rPr>
                <w:color w:val="000000"/>
                <w:sz w:val="20"/>
                <w:szCs w:val="20"/>
              </w:rPr>
              <w:t>$940</w:t>
            </w:r>
          </w:p>
        </w:tc>
      </w:tr>
      <w:tr w14:paraId="34E03723" w14:textId="77777777" w:rsidTr="00412C68">
        <w:tblPrEx>
          <w:tblW w:w="12960" w:type="dxa"/>
          <w:tblLayout w:type="fixed"/>
          <w:tblLook w:val="04A0"/>
        </w:tblPrEx>
        <w:trPr>
          <w:trHeight w:val="48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412C68" w:rsidRPr="00412C68" w:rsidP="00412C68" w14:paraId="7393E3E5" w14:textId="77777777">
            <w:pPr>
              <w:widowControl/>
              <w:autoSpaceDE/>
              <w:autoSpaceDN/>
              <w:adjustRightInd/>
              <w:rPr>
                <w:color w:val="000000"/>
                <w:sz w:val="20"/>
                <w:szCs w:val="20"/>
              </w:rPr>
            </w:pPr>
            <w:r w:rsidRPr="00412C68">
              <w:rPr>
                <w:color w:val="000000"/>
                <w:sz w:val="20"/>
                <w:szCs w:val="20"/>
              </w:rPr>
              <w:t>Notification of startup</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0B9AB152"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48914445"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07F4EEBA" w14:textId="77777777">
            <w:pPr>
              <w:widowControl/>
              <w:autoSpaceDE/>
              <w:autoSpaceDN/>
              <w:adjustRightInd/>
              <w:jc w:val="center"/>
              <w:rPr>
                <w:color w:val="000000"/>
                <w:sz w:val="20"/>
                <w:szCs w:val="20"/>
              </w:rPr>
            </w:pPr>
            <w:r w:rsidRPr="00412C68">
              <w:rPr>
                <w:color w:val="000000"/>
                <w:sz w:val="20"/>
                <w:szCs w:val="20"/>
              </w:rPr>
              <w:t>1</w:t>
            </w:r>
          </w:p>
        </w:tc>
        <w:tc>
          <w:tcPr>
            <w:tcW w:w="1440" w:type="dxa"/>
            <w:tcBorders>
              <w:top w:val="nil"/>
              <w:left w:val="nil"/>
              <w:bottom w:val="single" w:sz="8" w:space="0" w:color="auto"/>
              <w:right w:val="single" w:sz="8" w:space="0" w:color="auto"/>
            </w:tcBorders>
            <w:shd w:val="clear" w:color="auto" w:fill="auto"/>
            <w:noWrap/>
            <w:vAlign w:val="center"/>
            <w:hideMark/>
          </w:tcPr>
          <w:p w:rsidR="00412C68" w:rsidRPr="00412C68" w:rsidP="00412C68" w14:paraId="5A76F903" w14:textId="77777777">
            <w:pPr>
              <w:widowControl/>
              <w:autoSpaceDE/>
              <w:autoSpaceDN/>
              <w:adjustRightInd/>
              <w:jc w:val="center"/>
              <w:rPr>
                <w:color w:val="000000"/>
                <w:sz w:val="20"/>
                <w:szCs w:val="20"/>
              </w:rPr>
            </w:pPr>
            <w:r w:rsidRPr="00412C68">
              <w:rPr>
                <w:color w:val="000000"/>
                <w:sz w:val="20"/>
                <w:szCs w:val="20"/>
              </w:rPr>
              <w:t>16</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213BBEB6" w14:textId="77777777">
            <w:pPr>
              <w:widowControl/>
              <w:autoSpaceDE/>
              <w:autoSpaceDN/>
              <w:adjustRightInd/>
              <w:jc w:val="center"/>
              <w:rPr>
                <w:color w:val="000000"/>
                <w:sz w:val="20"/>
                <w:szCs w:val="20"/>
              </w:rPr>
            </w:pPr>
            <w:r w:rsidRPr="00412C68">
              <w:rPr>
                <w:color w:val="000000"/>
                <w:sz w:val="20"/>
                <w:szCs w:val="20"/>
              </w:rPr>
              <w:t>16</w:t>
            </w:r>
          </w:p>
        </w:tc>
        <w:tc>
          <w:tcPr>
            <w:tcW w:w="1440" w:type="dxa"/>
            <w:tcBorders>
              <w:top w:val="nil"/>
              <w:left w:val="nil"/>
              <w:bottom w:val="single" w:sz="8" w:space="0" w:color="auto"/>
              <w:right w:val="single" w:sz="8" w:space="0" w:color="auto"/>
            </w:tcBorders>
            <w:shd w:val="clear" w:color="auto" w:fill="auto"/>
            <w:vAlign w:val="center"/>
            <w:hideMark/>
          </w:tcPr>
          <w:p w:rsidR="00412C68" w:rsidRPr="00412C68" w:rsidP="00412C68" w14:paraId="0C0FFEB3" w14:textId="77777777">
            <w:pPr>
              <w:widowControl/>
              <w:autoSpaceDE/>
              <w:autoSpaceDN/>
              <w:adjustRightInd/>
              <w:jc w:val="center"/>
              <w:rPr>
                <w:color w:val="000000"/>
                <w:sz w:val="20"/>
                <w:szCs w:val="20"/>
              </w:rPr>
            </w:pPr>
            <w:r w:rsidRPr="00412C68">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5CAABD71" w14:textId="77777777">
            <w:pPr>
              <w:widowControl/>
              <w:autoSpaceDE/>
              <w:autoSpaceDN/>
              <w:adjustRightInd/>
              <w:jc w:val="center"/>
              <w:rPr>
                <w:color w:val="000000"/>
                <w:sz w:val="20"/>
                <w:szCs w:val="20"/>
              </w:rPr>
            </w:pPr>
            <w:r w:rsidRPr="00412C68">
              <w:rPr>
                <w:color w:val="000000"/>
                <w:sz w:val="20"/>
                <w:szCs w:val="20"/>
              </w:rPr>
              <w:t>2</w:t>
            </w:r>
          </w:p>
        </w:tc>
        <w:tc>
          <w:tcPr>
            <w:tcW w:w="1090" w:type="dxa"/>
            <w:tcBorders>
              <w:top w:val="nil"/>
              <w:left w:val="nil"/>
              <w:bottom w:val="single" w:sz="8" w:space="0" w:color="auto"/>
              <w:right w:val="single" w:sz="8" w:space="0" w:color="auto"/>
            </w:tcBorders>
            <w:shd w:val="clear" w:color="auto" w:fill="auto"/>
            <w:vAlign w:val="center"/>
            <w:hideMark/>
          </w:tcPr>
          <w:p w:rsidR="00412C68" w:rsidRPr="00412C68" w:rsidP="00412C68" w14:paraId="1D327C88" w14:textId="77777777">
            <w:pPr>
              <w:widowControl/>
              <w:autoSpaceDE/>
              <w:autoSpaceDN/>
              <w:adjustRightInd/>
              <w:jc w:val="right"/>
              <w:rPr>
                <w:color w:val="000000"/>
                <w:sz w:val="20"/>
                <w:szCs w:val="20"/>
              </w:rPr>
            </w:pPr>
            <w:r w:rsidRPr="00412C68">
              <w:rPr>
                <w:color w:val="000000"/>
                <w:sz w:val="20"/>
                <w:szCs w:val="20"/>
              </w:rPr>
              <w:t>$940</w:t>
            </w:r>
          </w:p>
        </w:tc>
      </w:tr>
      <w:tr w14:paraId="5A89905B" w14:textId="77777777" w:rsidTr="00412C68">
        <w:tblPrEx>
          <w:tblW w:w="12960" w:type="dxa"/>
          <w:tblLayout w:type="fixed"/>
          <w:tblLook w:val="04A0"/>
        </w:tblPrEx>
        <w:trPr>
          <w:trHeight w:val="84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412C68" w:rsidRPr="00412C68" w:rsidP="00412C68" w14:paraId="18B0095E" w14:textId="6A73287A">
            <w:pPr>
              <w:widowControl/>
              <w:autoSpaceDE/>
              <w:autoSpaceDN/>
              <w:adjustRightInd/>
              <w:rPr>
                <w:color w:val="000000"/>
                <w:sz w:val="20"/>
                <w:szCs w:val="20"/>
              </w:rPr>
            </w:pPr>
            <w:r w:rsidRPr="00412C68">
              <w:rPr>
                <w:color w:val="000000"/>
                <w:sz w:val="20"/>
                <w:szCs w:val="20"/>
              </w:rPr>
              <w:t>Review Emissions Summary Report</w:t>
            </w:r>
            <w:r w:rsidRPr="00412C68">
              <w:rPr>
                <w:color w:val="000000"/>
                <w:sz w:val="20"/>
                <w:szCs w:val="20"/>
              </w:rPr>
              <w:br/>
              <w:t>Includes reporting of excess emissions &amp; downtime</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346411D9" w14:textId="77777777">
            <w:pPr>
              <w:widowControl/>
              <w:autoSpaceDE/>
              <w:autoSpaceDN/>
              <w:adjustRightInd/>
              <w:jc w:val="center"/>
              <w:rPr>
                <w:color w:val="000000"/>
                <w:sz w:val="20"/>
                <w:szCs w:val="20"/>
              </w:rPr>
            </w:pPr>
            <w:r w:rsidRPr="00412C68">
              <w:rPr>
                <w:color w:val="000000"/>
                <w:sz w:val="20"/>
                <w:szCs w:val="20"/>
              </w:rPr>
              <w:t>4</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7E0D7C3B" w14:textId="77777777">
            <w:pPr>
              <w:widowControl/>
              <w:autoSpaceDE/>
              <w:autoSpaceDN/>
              <w:adjustRightInd/>
              <w:jc w:val="center"/>
              <w:rPr>
                <w:color w:val="000000"/>
                <w:sz w:val="20"/>
                <w:szCs w:val="20"/>
              </w:rPr>
            </w:pPr>
            <w:r w:rsidRPr="00412C68">
              <w:rPr>
                <w:color w:val="000000"/>
                <w:sz w:val="20"/>
                <w:szCs w:val="20"/>
              </w:rPr>
              <w:t>4</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6663F1CC" w14:textId="77777777">
            <w:pPr>
              <w:widowControl/>
              <w:autoSpaceDE/>
              <w:autoSpaceDN/>
              <w:adjustRightInd/>
              <w:jc w:val="center"/>
              <w:rPr>
                <w:color w:val="000000"/>
                <w:sz w:val="20"/>
                <w:szCs w:val="20"/>
              </w:rPr>
            </w:pPr>
            <w:r w:rsidRPr="00412C68">
              <w:rPr>
                <w:color w:val="000000"/>
                <w:sz w:val="20"/>
                <w:szCs w:val="20"/>
              </w:rPr>
              <w:t>16</w:t>
            </w:r>
          </w:p>
        </w:tc>
        <w:tc>
          <w:tcPr>
            <w:tcW w:w="1440" w:type="dxa"/>
            <w:tcBorders>
              <w:top w:val="nil"/>
              <w:left w:val="nil"/>
              <w:bottom w:val="single" w:sz="8" w:space="0" w:color="auto"/>
              <w:right w:val="single" w:sz="8" w:space="0" w:color="auto"/>
            </w:tcBorders>
            <w:shd w:val="clear" w:color="auto" w:fill="auto"/>
            <w:noWrap/>
            <w:vAlign w:val="center"/>
            <w:hideMark/>
          </w:tcPr>
          <w:p w:rsidR="00412C68" w:rsidRPr="00412C68" w:rsidP="00412C68" w14:paraId="233FFD72" w14:textId="77777777">
            <w:pPr>
              <w:widowControl/>
              <w:autoSpaceDE/>
              <w:autoSpaceDN/>
              <w:adjustRightInd/>
              <w:jc w:val="center"/>
              <w:rPr>
                <w:color w:val="000000"/>
                <w:sz w:val="20"/>
                <w:szCs w:val="20"/>
              </w:rPr>
            </w:pPr>
            <w:r w:rsidRPr="00412C68">
              <w:rPr>
                <w:color w:val="000000"/>
                <w:sz w:val="20"/>
                <w:szCs w:val="20"/>
              </w:rPr>
              <w:t>92</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68EACC30" w14:textId="77777777">
            <w:pPr>
              <w:widowControl/>
              <w:autoSpaceDE/>
              <w:autoSpaceDN/>
              <w:adjustRightInd/>
              <w:jc w:val="center"/>
              <w:rPr>
                <w:color w:val="000000"/>
                <w:sz w:val="20"/>
                <w:szCs w:val="20"/>
              </w:rPr>
            </w:pPr>
            <w:r w:rsidRPr="00412C68">
              <w:rPr>
                <w:color w:val="000000"/>
                <w:sz w:val="20"/>
                <w:szCs w:val="20"/>
              </w:rPr>
              <w:t>1,472</w:t>
            </w:r>
          </w:p>
        </w:tc>
        <w:tc>
          <w:tcPr>
            <w:tcW w:w="1440" w:type="dxa"/>
            <w:tcBorders>
              <w:top w:val="nil"/>
              <w:left w:val="nil"/>
              <w:bottom w:val="single" w:sz="8" w:space="0" w:color="auto"/>
              <w:right w:val="single" w:sz="8" w:space="0" w:color="auto"/>
            </w:tcBorders>
            <w:shd w:val="clear" w:color="auto" w:fill="auto"/>
            <w:vAlign w:val="center"/>
            <w:hideMark/>
          </w:tcPr>
          <w:p w:rsidR="00412C68" w:rsidRPr="00412C68" w:rsidP="00412C68" w14:paraId="12A83C1C" w14:textId="77777777">
            <w:pPr>
              <w:widowControl/>
              <w:autoSpaceDE/>
              <w:autoSpaceDN/>
              <w:adjustRightInd/>
              <w:jc w:val="center"/>
              <w:rPr>
                <w:color w:val="000000"/>
                <w:sz w:val="20"/>
                <w:szCs w:val="20"/>
              </w:rPr>
            </w:pPr>
            <w:r w:rsidRPr="00412C68">
              <w:rPr>
                <w:color w:val="000000"/>
                <w:sz w:val="20"/>
                <w:szCs w:val="20"/>
              </w:rPr>
              <w:t>74</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5B16BC83" w14:textId="77777777">
            <w:pPr>
              <w:widowControl/>
              <w:autoSpaceDE/>
              <w:autoSpaceDN/>
              <w:adjustRightInd/>
              <w:jc w:val="center"/>
              <w:rPr>
                <w:color w:val="000000"/>
                <w:sz w:val="20"/>
                <w:szCs w:val="20"/>
              </w:rPr>
            </w:pPr>
            <w:r w:rsidRPr="00412C68">
              <w:rPr>
                <w:color w:val="000000"/>
                <w:sz w:val="20"/>
                <w:szCs w:val="20"/>
              </w:rPr>
              <w:t>147</w:t>
            </w:r>
          </w:p>
        </w:tc>
        <w:tc>
          <w:tcPr>
            <w:tcW w:w="1090" w:type="dxa"/>
            <w:tcBorders>
              <w:top w:val="nil"/>
              <w:left w:val="nil"/>
              <w:bottom w:val="single" w:sz="8" w:space="0" w:color="auto"/>
              <w:right w:val="single" w:sz="8" w:space="0" w:color="auto"/>
            </w:tcBorders>
            <w:shd w:val="clear" w:color="auto" w:fill="auto"/>
            <w:vAlign w:val="center"/>
            <w:hideMark/>
          </w:tcPr>
          <w:p w:rsidR="00412C68" w:rsidRPr="00412C68" w:rsidP="00412C68" w14:paraId="124ACC3A" w14:textId="77777777">
            <w:pPr>
              <w:widowControl/>
              <w:autoSpaceDE/>
              <w:autoSpaceDN/>
              <w:adjustRightInd/>
              <w:jc w:val="right"/>
              <w:rPr>
                <w:color w:val="000000"/>
                <w:sz w:val="20"/>
                <w:szCs w:val="20"/>
              </w:rPr>
            </w:pPr>
            <w:r w:rsidRPr="00412C68">
              <w:rPr>
                <w:color w:val="000000"/>
                <w:sz w:val="20"/>
                <w:szCs w:val="20"/>
              </w:rPr>
              <w:t>$86,454</w:t>
            </w:r>
          </w:p>
        </w:tc>
      </w:tr>
      <w:tr w14:paraId="22D8FB2F" w14:textId="77777777" w:rsidTr="00412C68">
        <w:tblPrEx>
          <w:tblW w:w="12960" w:type="dxa"/>
          <w:tblLayout w:type="fixed"/>
          <w:tblLook w:val="04A0"/>
        </w:tblPrEx>
        <w:trPr>
          <w:trHeight w:val="390"/>
        </w:trPr>
        <w:tc>
          <w:tcPr>
            <w:tcW w:w="2240" w:type="dxa"/>
            <w:tcBorders>
              <w:top w:val="nil"/>
              <w:left w:val="single" w:sz="8" w:space="0" w:color="auto"/>
              <w:bottom w:val="single" w:sz="8" w:space="0" w:color="auto"/>
              <w:right w:val="nil"/>
            </w:tcBorders>
            <w:shd w:val="clear" w:color="auto" w:fill="auto"/>
            <w:vAlign w:val="center"/>
            <w:hideMark/>
          </w:tcPr>
          <w:p w:rsidR="00412C68" w:rsidRPr="00412C68" w:rsidP="00412C68" w14:paraId="6A73D13E" w14:textId="77777777">
            <w:pPr>
              <w:widowControl/>
              <w:autoSpaceDE/>
              <w:autoSpaceDN/>
              <w:adjustRightInd/>
              <w:rPr>
                <w:color w:val="000000"/>
                <w:sz w:val="20"/>
                <w:szCs w:val="20"/>
              </w:rPr>
            </w:pPr>
            <w:r w:rsidRPr="00412C68">
              <w:rPr>
                <w:color w:val="000000"/>
                <w:sz w:val="20"/>
                <w:szCs w:val="20"/>
              </w:rPr>
              <w:t>GRAND TOTAL (rounded)</w:t>
            </w:r>
            <w:r w:rsidRPr="00412C68">
              <w:rPr>
                <w:color w:val="000000"/>
                <w:sz w:val="20"/>
                <w:szCs w:val="20"/>
                <w:vertAlign w:val="superscript"/>
              </w:rPr>
              <w:t>c</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412C68" w:rsidRPr="00412C68" w:rsidP="00412C68" w14:paraId="782F1DB9" w14:textId="77777777">
            <w:pPr>
              <w:widowControl/>
              <w:autoSpaceDE/>
              <w:autoSpaceDN/>
              <w:adjustRightInd/>
              <w:jc w:val="center"/>
              <w:rPr>
                <w:color w:val="000000"/>
                <w:sz w:val="20"/>
                <w:szCs w:val="20"/>
              </w:rPr>
            </w:pPr>
            <w:r w:rsidRPr="00412C6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bottom"/>
            <w:hideMark/>
          </w:tcPr>
          <w:p w:rsidR="00412C68" w:rsidRPr="00412C68" w:rsidP="00412C68" w14:paraId="4294391E" w14:textId="77777777">
            <w:pPr>
              <w:widowControl/>
              <w:autoSpaceDE/>
              <w:autoSpaceDN/>
              <w:adjustRightInd/>
              <w:rPr>
                <w:color w:val="000000"/>
                <w:sz w:val="20"/>
                <w:szCs w:val="20"/>
              </w:rPr>
            </w:pPr>
            <w:r w:rsidRPr="00412C6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412C68" w:rsidRPr="00412C68" w:rsidP="00412C68" w14:paraId="4B6017ED" w14:textId="77777777">
            <w:pPr>
              <w:widowControl/>
              <w:autoSpaceDE/>
              <w:autoSpaceDN/>
              <w:adjustRightInd/>
              <w:jc w:val="right"/>
              <w:rPr>
                <w:color w:val="000000"/>
                <w:sz w:val="20"/>
                <w:szCs w:val="20"/>
              </w:rPr>
            </w:pPr>
            <w:r w:rsidRPr="00412C68">
              <w:rPr>
                <w:color w:val="000000"/>
                <w:sz w:val="20"/>
                <w:szCs w:val="20"/>
              </w:rPr>
              <w:t> </w:t>
            </w:r>
          </w:p>
        </w:tc>
        <w:tc>
          <w:tcPr>
            <w:tcW w:w="1440" w:type="dxa"/>
            <w:tcBorders>
              <w:top w:val="nil"/>
              <w:left w:val="nil"/>
              <w:bottom w:val="single" w:sz="8" w:space="0" w:color="auto"/>
              <w:right w:val="single" w:sz="8" w:space="0" w:color="auto"/>
            </w:tcBorders>
            <w:shd w:val="clear" w:color="auto" w:fill="auto"/>
            <w:vAlign w:val="bottom"/>
            <w:hideMark/>
          </w:tcPr>
          <w:p w:rsidR="00412C68" w:rsidRPr="00412C68" w:rsidP="00412C68" w14:paraId="4082CBBE" w14:textId="77777777">
            <w:pPr>
              <w:widowControl/>
              <w:autoSpaceDE/>
              <w:autoSpaceDN/>
              <w:adjustRightInd/>
              <w:rPr>
                <w:color w:val="000000"/>
                <w:sz w:val="20"/>
                <w:szCs w:val="20"/>
              </w:rPr>
            </w:pPr>
            <w:r w:rsidRPr="00412C68">
              <w:rPr>
                <w:color w:val="000000"/>
                <w:sz w:val="20"/>
                <w:szCs w:val="20"/>
              </w:rPr>
              <w:t> </w:t>
            </w:r>
          </w:p>
        </w:tc>
        <w:tc>
          <w:tcPr>
            <w:tcW w:w="4140" w:type="dxa"/>
            <w:gridSpan w:val="3"/>
            <w:tcBorders>
              <w:top w:val="single" w:sz="8" w:space="0" w:color="auto"/>
              <w:left w:val="nil"/>
              <w:bottom w:val="single" w:sz="8" w:space="0" w:color="auto"/>
              <w:right w:val="single" w:sz="8" w:space="0" w:color="000000"/>
            </w:tcBorders>
            <w:shd w:val="clear" w:color="auto" w:fill="auto"/>
            <w:vAlign w:val="center"/>
            <w:hideMark/>
          </w:tcPr>
          <w:p w:rsidR="00412C68" w:rsidRPr="00412C68" w:rsidP="00412C68" w14:paraId="74CF2065" w14:textId="77777777">
            <w:pPr>
              <w:widowControl/>
              <w:autoSpaceDE/>
              <w:autoSpaceDN/>
              <w:adjustRightInd/>
              <w:jc w:val="center"/>
              <w:rPr>
                <w:color w:val="000000"/>
                <w:sz w:val="20"/>
                <w:szCs w:val="20"/>
              </w:rPr>
            </w:pPr>
            <w:r w:rsidRPr="00412C68">
              <w:rPr>
                <w:color w:val="000000"/>
                <w:sz w:val="20"/>
                <w:szCs w:val="20"/>
              </w:rPr>
              <w:t>1,730</w:t>
            </w:r>
          </w:p>
        </w:tc>
        <w:tc>
          <w:tcPr>
            <w:tcW w:w="1090" w:type="dxa"/>
            <w:tcBorders>
              <w:top w:val="nil"/>
              <w:left w:val="nil"/>
              <w:bottom w:val="single" w:sz="8" w:space="0" w:color="auto"/>
              <w:right w:val="single" w:sz="8" w:space="0" w:color="auto"/>
            </w:tcBorders>
            <w:shd w:val="clear" w:color="auto" w:fill="auto"/>
            <w:vAlign w:val="center"/>
            <w:hideMark/>
          </w:tcPr>
          <w:p w:rsidR="00412C68" w:rsidRPr="00412C68" w:rsidP="00412C68" w14:paraId="491AC3DE" w14:textId="77777777">
            <w:pPr>
              <w:widowControl/>
              <w:autoSpaceDE/>
              <w:autoSpaceDN/>
              <w:adjustRightInd/>
              <w:jc w:val="right"/>
              <w:rPr>
                <w:color w:val="000000"/>
                <w:sz w:val="20"/>
                <w:szCs w:val="20"/>
              </w:rPr>
            </w:pPr>
            <w:r w:rsidRPr="00412C68">
              <w:rPr>
                <w:color w:val="000000"/>
                <w:sz w:val="20"/>
                <w:szCs w:val="20"/>
              </w:rPr>
              <w:t>$88,300</w:t>
            </w:r>
          </w:p>
        </w:tc>
      </w:tr>
      <w:tr w14:paraId="2E18E312" w14:textId="77777777" w:rsidTr="00412C68">
        <w:tblPrEx>
          <w:tblW w:w="12960" w:type="dxa"/>
          <w:tblLayout w:type="fixed"/>
          <w:tblLook w:val="04A0"/>
        </w:tblPrEx>
        <w:trPr>
          <w:trHeight w:val="315"/>
        </w:trPr>
        <w:tc>
          <w:tcPr>
            <w:tcW w:w="2240" w:type="dxa"/>
            <w:tcBorders>
              <w:top w:val="nil"/>
              <w:left w:val="nil"/>
              <w:bottom w:val="nil"/>
              <w:right w:val="nil"/>
            </w:tcBorders>
            <w:shd w:val="clear" w:color="auto" w:fill="auto"/>
            <w:noWrap/>
            <w:vAlign w:val="bottom"/>
            <w:hideMark/>
          </w:tcPr>
          <w:p w:rsidR="00412C68" w:rsidRPr="00412C68" w:rsidP="00412C68" w14:paraId="79290440" w14:textId="77777777">
            <w:pPr>
              <w:widowControl/>
              <w:autoSpaceDE/>
              <w:autoSpaceDN/>
              <w:adjustRightInd/>
              <w:jc w:val="center"/>
              <w:rPr>
                <w:color w:val="000000"/>
                <w:sz w:val="20"/>
                <w:szCs w:val="20"/>
              </w:rPr>
            </w:pPr>
            <w:r w:rsidRPr="00412C68">
              <w:rPr>
                <w:color w:val="000000"/>
                <w:sz w:val="20"/>
                <w:szCs w:val="20"/>
              </w:rPr>
              <w:t> </w:t>
            </w:r>
          </w:p>
        </w:tc>
        <w:tc>
          <w:tcPr>
            <w:tcW w:w="1350" w:type="dxa"/>
            <w:tcBorders>
              <w:top w:val="nil"/>
              <w:left w:val="nil"/>
              <w:bottom w:val="nil"/>
              <w:right w:val="nil"/>
            </w:tcBorders>
            <w:shd w:val="clear" w:color="auto" w:fill="auto"/>
            <w:noWrap/>
            <w:vAlign w:val="bottom"/>
            <w:hideMark/>
          </w:tcPr>
          <w:p w:rsidR="00412C68" w:rsidRPr="00412C68" w:rsidP="00412C68" w14:paraId="359504B6" w14:textId="77777777">
            <w:pPr>
              <w:widowControl/>
              <w:autoSpaceDE/>
              <w:autoSpaceDN/>
              <w:adjustRightInd/>
              <w:jc w:val="center"/>
              <w:rPr>
                <w:color w:val="000000"/>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30E27E87"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7C1CD4A9"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12C68" w:rsidRPr="00412C68" w:rsidP="00412C68" w14:paraId="79174C81"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0DDEED79"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12C68" w:rsidRPr="00412C68" w:rsidP="00412C68" w14:paraId="3C48F121"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55576557" w14:textId="77777777">
            <w:pPr>
              <w:widowControl/>
              <w:autoSpaceDE/>
              <w:autoSpaceDN/>
              <w:adjustRightInd/>
              <w:rPr>
                <w:sz w:val="20"/>
                <w:szCs w:val="20"/>
              </w:rPr>
            </w:pPr>
          </w:p>
        </w:tc>
        <w:tc>
          <w:tcPr>
            <w:tcW w:w="1090" w:type="dxa"/>
            <w:tcBorders>
              <w:top w:val="nil"/>
              <w:left w:val="nil"/>
              <w:bottom w:val="nil"/>
              <w:right w:val="nil"/>
            </w:tcBorders>
            <w:shd w:val="clear" w:color="auto" w:fill="auto"/>
            <w:noWrap/>
            <w:vAlign w:val="bottom"/>
            <w:hideMark/>
          </w:tcPr>
          <w:p w:rsidR="00412C68" w:rsidRPr="00412C68" w:rsidP="00412C68" w14:paraId="14D79918" w14:textId="77777777">
            <w:pPr>
              <w:widowControl/>
              <w:autoSpaceDE/>
              <w:autoSpaceDN/>
              <w:adjustRightInd/>
              <w:rPr>
                <w:sz w:val="20"/>
                <w:szCs w:val="20"/>
              </w:rPr>
            </w:pPr>
          </w:p>
        </w:tc>
      </w:tr>
      <w:tr w14:paraId="2A4DCF80" w14:textId="77777777" w:rsidTr="00412C68">
        <w:tblPrEx>
          <w:tblW w:w="12960" w:type="dxa"/>
          <w:tblLayout w:type="fixed"/>
          <w:tblLook w:val="04A0"/>
        </w:tblPrEx>
        <w:trPr>
          <w:trHeight w:val="315"/>
        </w:trPr>
        <w:tc>
          <w:tcPr>
            <w:tcW w:w="2240" w:type="dxa"/>
            <w:tcBorders>
              <w:top w:val="nil"/>
              <w:left w:val="nil"/>
              <w:bottom w:val="nil"/>
              <w:right w:val="nil"/>
            </w:tcBorders>
            <w:shd w:val="clear" w:color="auto" w:fill="auto"/>
            <w:noWrap/>
            <w:vAlign w:val="bottom"/>
            <w:hideMark/>
          </w:tcPr>
          <w:p w:rsidR="00412C68" w:rsidRPr="00412C68" w:rsidP="00412C68" w14:paraId="0BCBE99B" w14:textId="77777777">
            <w:pPr>
              <w:widowControl/>
              <w:autoSpaceDE/>
              <w:autoSpaceDN/>
              <w:adjustRightInd/>
              <w:rPr>
                <w:b/>
                <w:bCs/>
                <w:color w:val="000000"/>
                <w:sz w:val="20"/>
                <w:szCs w:val="20"/>
              </w:rPr>
            </w:pPr>
            <w:r w:rsidRPr="00412C68">
              <w:rPr>
                <w:b/>
                <w:bCs/>
                <w:color w:val="000000"/>
                <w:sz w:val="20"/>
                <w:szCs w:val="20"/>
              </w:rPr>
              <w:t>Assumptions</w:t>
            </w:r>
          </w:p>
        </w:tc>
        <w:tc>
          <w:tcPr>
            <w:tcW w:w="1350" w:type="dxa"/>
            <w:tcBorders>
              <w:top w:val="nil"/>
              <w:left w:val="nil"/>
              <w:bottom w:val="nil"/>
              <w:right w:val="nil"/>
            </w:tcBorders>
            <w:shd w:val="clear" w:color="auto" w:fill="auto"/>
            <w:noWrap/>
            <w:vAlign w:val="bottom"/>
            <w:hideMark/>
          </w:tcPr>
          <w:p w:rsidR="00412C68" w:rsidRPr="00412C68" w:rsidP="00412C68" w14:paraId="28CD9E66" w14:textId="77777777">
            <w:pPr>
              <w:widowControl/>
              <w:autoSpaceDE/>
              <w:autoSpaceDN/>
              <w:adjustRightInd/>
              <w:rPr>
                <w:b/>
                <w:bCs/>
                <w:color w:val="000000"/>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734286A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5A344EBE"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12C68" w:rsidRPr="00412C68" w:rsidP="00412C68" w14:paraId="23BDB0F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3F3A69FD"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12C68" w:rsidRPr="00412C68" w:rsidP="00412C68" w14:paraId="3F00F796"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412C68" w:rsidRPr="00412C68" w:rsidP="00412C68" w14:paraId="232705D1" w14:textId="77777777">
            <w:pPr>
              <w:widowControl/>
              <w:autoSpaceDE/>
              <w:autoSpaceDN/>
              <w:adjustRightInd/>
              <w:rPr>
                <w:sz w:val="20"/>
                <w:szCs w:val="20"/>
              </w:rPr>
            </w:pPr>
          </w:p>
        </w:tc>
        <w:tc>
          <w:tcPr>
            <w:tcW w:w="1090" w:type="dxa"/>
            <w:tcBorders>
              <w:top w:val="nil"/>
              <w:left w:val="nil"/>
              <w:bottom w:val="nil"/>
              <w:right w:val="nil"/>
            </w:tcBorders>
            <w:shd w:val="clear" w:color="auto" w:fill="auto"/>
            <w:noWrap/>
            <w:vAlign w:val="bottom"/>
            <w:hideMark/>
          </w:tcPr>
          <w:p w:rsidR="00412C68" w:rsidRPr="00412C68" w:rsidP="00412C68" w14:paraId="2B16F1FA" w14:textId="77777777">
            <w:pPr>
              <w:widowControl/>
              <w:autoSpaceDE/>
              <w:autoSpaceDN/>
              <w:adjustRightInd/>
              <w:rPr>
                <w:sz w:val="20"/>
                <w:szCs w:val="20"/>
              </w:rPr>
            </w:pPr>
          </w:p>
        </w:tc>
      </w:tr>
      <w:tr w14:paraId="4DB82E3B" w14:textId="77777777" w:rsidTr="00412C68">
        <w:tblPrEx>
          <w:tblW w:w="12960" w:type="dxa"/>
          <w:tblLayout w:type="fixed"/>
          <w:tblLook w:val="04A0"/>
        </w:tblPrEx>
        <w:trPr>
          <w:trHeight w:val="919"/>
        </w:trPr>
        <w:tc>
          <w:tcPr>
            <w:tcW w:w="12960" w:type="dxa"/>
            <w:gridSpan w:val="9"/>
            <w:tcBorders>
              <w:top w:val="nil"/>
              <w:left w:val="nil"/>
              <w:bottom w:val="nil"/>
              <w:right w:val="nil"/>
            </w:tcBorders>
            <w:shd w:val="clear" w:color="auto" w:fill="auto"/>
            <w:vAlign w:val="center"/>
            <w:hideMark/>
          </w:tcPr>
          <w:p w:rsidR="00412C68" w:rsidRPr="00412C68" w:rsidP="00412C68" w14:paraId="061E2683" w14:textId="7CDD532B">
            <w:pPr>
              <w:widowControl/>
              <w:autoSpaceDE/>
              <w:autoSpaceDN/>
              <w:adjustRightInd/>
              <w:rPr>
                <w:color w:val="000000"/>
                <w:sz w:val="20"/>
                <w:szCs w:val="20"/>
              </w:rPr>
            </w:pPr>
            <w:r w:rsidRPr="00412C68">
              <w:rPr>
                <w:color w:val="000000"/>
                <w:sz w:val="20"/>
                <w:szCs w:val="20"/>
                <w:vertAlign w:val="superscript"/>
              </w:rPr>
              <w:t>a</w:t>
            </w:r>
            <w:r w:rsidRPr="00412C68">
              <w:rPr>
                <w:color w:val="000000"/>
                <w:sz w:val="20"/>
                <w:szCs w:val="20"/>
              </w:rPr>
              <w:t xml:space="preserve"> We have assumed there are approximately 60 existing sources and 16 new sources per year antic</w:t>
            </w:r>
            <w:r w:rsidR="00D001DF">
              <w:rPr>
                <w:color w:val="000000"/>
                <w:sz w:val="20"/>
                <w:szCs w:val="20"/>
              </w:rPr>
              <w:t>i</w:t>
            </w:r>
            <w:r w:rsidRPr="00412C68">
              <w:rPr>
                <w:color w:val="000000"/>
                <w:sz w:val="20"/>
                <w:szCs w:val="20"/>
              </w:rPr>
              <w:t>pated over the next 3 years, resulting in overall average of 92 respondents per year. We have further assumed that there are approximately 106 units (34 combined cycle CT facilities and 72 simple cycle CT units) at 92 facilities.</w:t>
            </w:r>
          </w:p>
        </w:tc>
      </w:tr>
      <w:tr w14:paraId="7AF643ED" w14:textId="77777777" w:rsidTr="00412C68">
        <w:tblPrEx>
          <w:tblW w:w="12960" w:type="dxa"/>
          <w:tblLayout w:type="fixed"/>
          <w:tblLook w:val="04A0"/>
        </w:tblPrEx>
        <w:trPr>
          <w:trHeight w:val="990"/>
        </w:trPr>
        <w:tc>
          <w:tcPr>
            <w:tcW w:w="12960" w:type="dxa"/>
            <w:gridSpan w:val="9"/>
            <w:tcBorders>
              <w:top w:val="nil"/>
              <w:left w:val="nil"/>
              <w:bottom w:val="nil"/>
              <w:right w:val="nil"/>
            </w:tcBorders>
            <w:shd w:val="clear" w:color="auto" w:fill="auto"/>
            <w:vAlign w:val="center"/>
            <w:hideMark/>
          </w:tcPr>
          <w:p w:rsidR="00412C68" w:rsidRPr="00412C68" w:rsidP="00412C68" w14:paraId="2DD26194" w14:textId="77777777">
            <w:pPr>
              <w:widowControl/>
              <w:autoSpaceDE/>
              <w:autoSpaceDN/>
              <w:adjustRightInd/>
              <w:rPr>
                <w:sz w:val="20"/>
                <w:szCs w:val="20"/>
              </w:rPr>
            </w:pPr>
            <w:r w:rsidRPr="00412C68">
              <w:rPr>
                <w:sz w:val="20"/>
                <w:szCs w:val="20"/>
                <w:vertAlign w:val="superscript"/>
              </w:rPr>
              <w:t>b</w:t>
            </w:r>
            <w:r w:rsidRPr="00412C68">
              <w:rPr>
                <w:sz w:val="20"/>
                <w:szCs w:val="20"/>
              </w:rPr>
              <w:t xml:space="preserve"> This cost is based on the average hourly labor rate as follows: Technical $52.37 (GS-12, Step 1, $32.73 + 60%); Managerial $70.56 (GS-13, Step 5, $44.10 + 60%); and Clerical $28.34(GS-6,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080220A3" w14:textId="77777777" w:rsidTr="00412C68">
        <w:tblPrEx>
          <w:tblW w:w="12960" w:type="dxa"/>
          <w:tblLayout w:type="fixed"/>
          <w:tblLook w:val="04A0"/>
        </w:tblPrEx>
        <w:trPr>
          <w:trHeight w:val="315"/>
        </w:trPr>
        <w:tc>
          <w:tcPr>
            <w:tcW w:w="12960" w:type="dxa"/>
            <w:gridSpan w:val="9"/>
            <w:tcBorders>
              <w:top w:val="nil"/>
              <w:left w:val="nil"/>
              <w:bottom w:val="nil"/>
              <w:right w:val="nil"/>
            </w:tcBorders>
            <w:shd w:val="clear" w:color="auto" w:fill="auto"/>
            <w:vAlign w:val="center"/>
            <w:hideMark/>
          </w:tcPr>
          <w:p w:rsidR="00412C68" w:rsidRPr="00412C68" w:rsidP="00412C68" w14:paraId="5498E125" w14:textId="77777777">
            <w:pPr>
              <w:widowControl/>
              <w:autoSpaceDE/>
              <w:autoSpaceDN/>
              <w:adjustRightInd/>
              <w:rPr>
                <w:sz w:val="20"/>
                <w:szCs w:val="20"/>
              </w:rPr>
            </w:pPr>
            <w:r w:rsidRPr="00412C68">
              <w:rPr>
                <w:sz w:val="20"/>
                <w:szCs w:val="20"/>
                <w:vertAlign w:val="superscript"/>
              </w:rPr>
              <w:t xml:space="preserve">c  </w:t>
            </w:r>
            <w:r w:rsidRPr="00412C68">
              <w:rPr>
                <w:sz w:val="20"/>
                <w:szCs w:val="20"/>
              </w:rPr>
              <w:t xml:space="preserve">Totals have been rounded to 3 significant figures. Figures may not add exactly due to rounding. </w:t>
            </w:r>
          </w:p>
        </w:tc>
      </w:tr>
    </w:tbl>
    <w:p w:rsidR="00C838C6" w:rsidRPr="00D54DCD" w:rsidP="000921AB" w14:paraId="586E85F2" w14:textId="43C94C9F">
      <w:pPr>
        <w:rPr>
          <w:b/>
          <w:bCs/>
          <w:color w:val="000000"/>
        </w:rPr>
      </w:pPr>
      <w:r>
        <w:rPr>
          <w:b/>
          <w:color w:val="FF0000"/>
        </w:rPr>
        <w:t xml:space="preserve"> </w:t>
      </w:r>
    </w:p>
    <w:sectPr w:rsidSect="000921A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6E7B"/>
    <w:rsid w:val="0002420F"/>
    <w:rsid w:val="0003619B"/>
    <w:rsid w:val="0004349A"/>
    <w:rsid w:val="00047104"/>
    <w:rsid w:val="00050069"/>
    <w:rsid w:val="00055BDF"/>
    <w:rsid w:val="00055DC5"/>
    <w:rsid w:val="000921AB"/>
    <w:rsid w:val="000934AE"/>
    <w:rsid w:val="000A118B"/>
    <w:rsid w:val="000A1FBB"/>
    <w:rsid w:val="000A687C"/>
    <w:rsid w:val="000A759F"/>
    <w:rsid w:val="000B2E1C"/>
    <w:rsid w:val="000C52CF"/>
    <w:rsid w:val="000C6F58"/>
    <w:rsid w:val="000D2272"/>
    <w:rsid w:val="000D39BB"/>
    <w:rsid w:val="000D78EF"/>
    <w:rsid w:val="000E187E"/>
    <w:rsid w:val="000E6AAE"/>
    <w:rsid w:val="000F772C"/>
    <w:rsid w:val="00101B40"/>
    <w:rsid w:val="00102B52"/>
    <w:rsid w:val="001056C3"/>
    <w:rsid w:val="0010646A"/>
    <w:rsid w:val="0010697C"/>
    <w:rsid w:val="00113C4B"/>
    <w:rsid w:val="00122CF4"/>
    <w:rsid w:val="00123889"/>
    <w:rsid w:val="00126A7C"/>
    <w:rsid w:val="00131F6A"/>
    <w:rsid w:val="001356D4"/>
    <w:rsid w:val="0014079D"/>
    <w:rsid w:val="001414C4"/>
    <w:rsid w:val="001433D3"/>
    <w:rsid w:val="00144978"/>
    <w:rsid w:val="00144A82"/>
    <w:rsid w:val="00144F35"/>
    <w:rsid w:val="0015433E"/>
    <w:rsid w:val="00162ECC"/>
    <w:rsid w:val="00165DCF"/>
    <w:rsid w:val="0017388D"/>
    <w:rsid w:val="00175F39"/>
    <w:rsid w:val="00176616"/>
    <w:rsid w:val="00176CA3"/>
    <w:rsid w:val="00180F3A"/>
    <w:rsid w:val="0018597C"/>
    <w:rsid w:val="00186DA3"/>
    <w:rsid w:val="00186E35"/>
    <w:rsid w:val="001908D7"/>
    <w:rsid w:val="0019277D"/>
    <w:rsid w:val="00194F34"/>
    <w:rsid w:val="00195034"/>
    <w:rsid w:val="00195753"/>
    <w:rsid w:val="001A0B41"/>
    <w:rsid w:val="001A3D80"/>
    <w:rsid w:val="001A4833"/>
    <w:rsid w:val="001B0B9A"/>
    <w:rsid w:val="001B29C3"/>
    <w:rsid w:val="001B35F2"/>
    <w:rsid w:val="001B4351"/>
    <w:rsid w:val="001C249A"/>
    <w:rsid w:val="001C5991"/>
    <w:rsid w:val="001D0E0A"/>
    <w:rsid w:val="001D220E"/>
    <w:rsid w:val="001D501D"/>
    <w:rsid w:val="001D5D9E"/>
    <w:rsid w:val="001D697D"/>
    <w:rsid w:val="001D762C"/>
    <w:rsid w:val="001F19FF"/>
    <w:rsid w:val="002041C5"/>
    <w:rsid w:val="002063FE"/>
    <w:rsid w:val="00206932"/>
    <w:rsid w:val="00206E8E"/>
    <w:rsid w:val="002130D1"/>
    <w:rsid w:val="00213F73"/>
    <w:rsid w:val="00215395"/>
    <w:rsid w:val="0021722B"/>
    <w:rsid w:val="00217C00"/>
    <w:rsid w:val="002271E6"/>
    <w:rsid w:val="0022738C"/>
    <w:rsid w:val="00233B5E"/>
    <w:rsid w:val="00233F0F"/>
    <w:rsid w:val="00234A28"/>
    <w:rsid w:val="00236DB3"/>
    <w:rsid w:val="002431D9"/>
    <w:rsid w:val="00246378"/>
    <w:rsid w:val="00246932"/>
    <w:rsid w:val="002524DD"/>
    <w:rsid w:val="00252E42"/>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0034"/>
    <w:rsid w:val="003139FC"/>
    <w:rsid w:val="00316428"/>
    <w:rsid w:val="00320AAC"/>
    <w:rsid w:val="00321EA5"/>
    <w:rsid w:val="00336B9D"/>
    <w:rsid w:val="00341540"/>
    <w:rsid w:val="0034387F"/>
    <w:rsid w:val="00344B82"/>
    <w:rsid w:val="003511C6"/>
    <w:rsid w:val="0035325B"/>
    <w:rsid w:val="00354C15"/>
    <w:rsid w:val="00377D7F"/>
    <w:rsid w:val="00387FFC"/>
    <w:rsid w:val="003949EA"/>
    <w:rsid w:val="00396DD7"/>
    <w:rsid w:val="003A54D3"/>
    <w:rsid w:val="003B1E92"/>
    <w:rsid w:val="003B384B"/>
    <w:rsid w:val="003C4B46"/>
    <w:rsid w:val="003C5023"/>
    <w:rsid w:val="003C5E24"/>
    <w:rsid w:val="003C677A"/>
    <w:rsid w:val="003D4C54"/>
    <w:rsid w:val="003D6951"/>
    <w:rsid w:val="003E2DB7"/>
    <w:rsid w:val="003E30B5"/>
    <w:rsid w:val="003E3BD0"/>
    <w:rsid w:val="003E47DB"/>
    <w:rsid w:val="003E4C18"/>
    <w:rsid w:val="003E6EA6"/>
    <w:rsid w:val="003F1AFC"/>
    <w:rsid w:val="00400527"/>
    <w:rsid w:val="0040391F"/>
    <w:rsid w:val="00404A15"/>
    <w:rsid w:val="00412C68"/>
    <w:rsid w:val="00414085"/>
    <w:rsid w:val="00416668"/>
    <w:rsid w:val="00420169"/>
    <w:rsid w:val="00423995"/>
    <w:rsid w:val="004318A0"/>
    <w:rsid w:val="0044133C"/>
    <w:rsid w:val="00442D84"/>
    <w:rsid w:val="00455557"/>
    <w:rsid w:val="00455CCB"/>
    <w:rsid w:val="00456B7B"/>
    <w:rsid w:val="0046339F"/>
    <w:rsid w:val="004812B0"/>
    <w:rsid w:val="00482C39"/>
    <w:rsid w:val="00483112"/>
    <w:rsid w:val="004831BE"/>
    <w:rsid w:val="00484A45"/>
    <w:rsid w:val="004912E8"/>
    <w:rsid w:val="0049327D"/>
    <w:rsid w:val="004A084D"/>
    <w:rsid w:val="004A4B25"/>
    <w:rsid w:val="004A5A52"/>
    <w:rsid w:val="004B2693"/>
    <w:rsid w:val="004B727B"/>
    <w:rsid w:val="004C5E95"/>
    <w:rsid w:val="004C701D"/>
    <w:rsid w:val="004C789C"/>
    <w:rsid w:val="004D4CAD"/>
    <w:rsid w:val="004D6DD4"/>
    <w:rsid w:val="004E66BE"/>
    <w:rsid w:val="004F0729"/>
    <w:rsid w:val="004F1469"/>
    <w:rsid w:val="004F305E"/>
    <w:rsid w:val="004F48CD"/>
    <w:rsid w:val="004F56DC"/>
    <w:rsid w:val="004F6FCD"/>
    <w:rsid w:val="00501A6E"/>
    <w:rsid w:val="00504745"/>
    <w:rsid w:val="00506055"/>
    <w:rsid w:val="005062F9"/>
    <w:rsid w:val="00507A55"/>
    <w:rsid w:val="00507EC5"/>
    <w:rsid w:val="0051004C"/>
    <w:rsid w:val="00516952"/>
    <w:rsid w:val="005225A2"/>
    <w:rsid w:val="005253D4"/>
    <w:rsid w:val="0053277C"/>
    <w:rsid w:val="00547974"/>
    <w:rsid w:val="00550428"/>
    <w:rsid w:val="00551815"/>
    <w:rsid w:val="00552085"/>
    <w:rsid w:val="00556535"/>
    <w:rsid w:val="00560AD2"/>
    <w:rsid w:val="005648E8"/>
    <w:rsid w:val="0056572A"/>
    <w:rsid w:val="00565A51"/>
    <w:rsid w:val="00571260"/>
    <w:rsid w:val="0057280A"/>
    <w:rsid w:val="00583626"/>
    <w:rsid w:val="00595934"/>
    <w:rsid w:val="005A0AE0"/>
    <w:rsid w:val="005A1986"/>
    <w:rsid w:val="005A23D3"/>
    <w:rsid w:val="005A33F9"/>
    <w:rsid w:val="005A3C9F"/>
    <w:rsid w:val="005A7AE1"/>
    <w:rsid w:val="005B0089"/>
    <w:rsid w:val="005B5DE8"/>
    <w:rsid w:val="005C3665"/>
    <w:rsid w:val="005C42AC"/>
    <w:rsid w:val="005C711F"/>
    <w:rsid w:val="005D385C"/>
    <w:rsid w:val="005D414B"/>
    <w:rsid w:val="005E0A9B"/>
    <w:rsid w:val="005E194B"/>
    <w:rsid w:val="005E7024"/>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606C1"/>
    <w:rsid w:val="00673313"/>
    <w:rsid w:val="006741F7"/>
    <w:rsid w:val="006810C3"/>
    <w:rsid w:val="006815C9"/>
    <w:rsid w:val="00683B4D"/>
    <w:rsid w:val="00694B55"/>
    <w:rsid w:val="00695112"/>
    <w:rsid w:val="0069555D"/>
    <w:rsid w:val="00697D24"/>
    <w:rsid w:val="006A4EDC"/>
    <w:rsid w:val="006A6978"/>
    <w:rsid w:val="006B32BB"/>
    <w:rsid w:val="006B75F9"/>
    <w:rsid w:val="006D128B"/>
    <w:rsid w:val="006D1B12"/>
    <w:rsid w:val="006D381C"/>
    <w:rsid w:val="006D4402"/>
    <w:rsid w:val="006E4A6E"/>
    <w:rsid w:val="006E642B"/>
    <w:rsid w:val="006F0095"/>
    <w:rsid w:val="006F14DD"/>
    <w:rsid w:val="00716FF6"/>
    <w:rsid w:val="0072202C"/>
    <w:rsid w:val="00724BC7"/>
    <w:rsid w:val="0072514C"/>
    <w:rsid w:val="00727FAF"/>
    <w:rsid w:val="007412F1"/>
    <w:rsid w:val="00752FC1"/>
    <w:rsid w:val="00754D1E"/>
    <w:rsid w:val="00762AC8"/>
    <w:rsid w:val="00763160"/>
    <w:rsid w:val="00774364"/>
    <w:rsid w:val="00780612"/>
    <w:rsid w:val="00780CEE"/>
    <w:rsid w:val="007813DF"/>
    <w:rsid w:val="007822E0"/>
    <w:rsid w:val="00783351"/>
    <w:rsid w:val="00786A20"/>
    <w:rsid w:val="007872F3"/>
    <w:rsid w:val="00795948"/>
    <w:rsid w:val="0079715F"/>
    <w:rsid w:val="007A0634"/>
    <w:rsid w:val="007A16F4"/>
    <w:rsid w:val="007A2F55"/>
    <w:rsid w:val="007A34A3"/>
    <w:rsid w:val="007A458D"/>
    <w:rsid w:val="007A4A00"/>
    <w:rsid w:val="007B0F96"/>
    <w:rsid w:val="007B5114"/>
    <w:rsid w:val="007C00B1"/>
    <w:rsid w:val="007C0FAA"/>
    <w:rsid w:val="007C17DE"/>
    <w:rsid w:val="007E2F8A"/>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2282"/>
    <w:rsid w:val="00863731"/>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44288"/>
    <w:rsid w:val="00945831"/>
    <w:rsid w:val="00950512"/>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55BC"/>
    <w:rsid w:val="009C06F5"/>
    <w:rsid w:val="009C6138"/>
    <w:rsid w:val="009C7CBB"/>
    <w:rsid w:val="009C7E97"/>
    <w:rsid w:val="009D6567"/>
    <w:rsid w:val="009D6998"/>
    <w:rsid w:val="009D6A8C"/>
    <w:rsid w:val="009E0F31"/>
    <w:rsid w:val="009E7032"/>
    <w:rsid w:val="009F5BB7"/>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0674"/>
    <w:rsid w:val="00A949F7"/>
    <w:rsid w:val="00A95BC7"/>
    <w:rsid w:val="00A962DF"/>
    <w:rsid w:val="00A97D2E"/>
    <w:rsid w:val="00AA4008"/>
    <w:rsid w:val="00AC4478"/>
    <w:rsid w:val="00AE12FA"/>
    <w:rsid w:val="00AE4304"/>
    <w:rsid w:val="00AE4B87"/>
    <w:rsid w:val="00AE52C4"/>
    <w:rsid w:val="00AF3156"/>
    <w:rsid w:val="00AF3AED"/>
    <w:rsid w:val="00AF70A1"/>
    <w:rsid w:val="00B01AD9"/>
    <w:rsid w:val="00B03B74"/>
    <w:rsid w:val="00B04A5C"/>
    <w:rsid w:val="00B06051"/>
    <w:rsid w:val="00B07F79"/>
    <w:rsid w:val="00B16C07"/>
    <w:rsid w:val="00B20E02"/>
    <w:rsid w:val="00B301B3"/>
    <w:rsid w:val="00B311CB"/>
    <w:rsid w:val="00B34310"/>
    <w:rsid w:val="00B41FFF"/>
    <w:rsid w:val="00B46A57"/>
    <w:rsid w:val="00B63934"/>
    <w:rsid w:val="00B65754"/>
    <w:rsid w:val="00B66231"/>
    <w:rsid w:val="00B769F1"/>
    <w:rsid w:val="00B82025"/>
    <w:rsid w:val="00B8740D"/>
    <w:rsid w:val="00B907B1"/>
    <w:rsid w:val="00B9376F"/>
    <w:rsid w:val="00BA0A91"/>
    <w:rsid w:val="00BA4887"/>
    <w:rsid w:val="00BA64DF"/>
    <w:rsid w:val="00BA7B1D"/>
    <w:rsid w:val="00BB3390"/>
    <w:rsid w:val="00BB3C1A"/>
    <w:rsid w:val="00BC6DEF"/>
    <w:rsid w:val="00BD0BEE"/>
    <w:rsid w:val="00BD75B9"/>
    <w:rsid w:val="00BD7CAE"/>
    <w:rsid w:val="00BE2989"/>
    <w:rsid w:val="00BE728A"/>
    <w:rsid w:val="00BE7A11"/>
    <w:rsid w:val="00BF722F"/>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66CED"/>
    <w:rsid w:val="00C75CF0"/>
    <w:rsid w:val="00C808B5"/>
    <w:rsid w:val="00C82DB6"/>
    <w:rsid w:val="00C838C6"/>
    <w:rsid w:val="00C85086"/>
    <w:rsid w:val="00C86847"/>
    <w:rsid w:val="00C94F0E"/>
    <w:rsid w:val="00CA28F1"/>
    <w:rsid w:val="00CA297D"/>
    <w:rsid w:val="00CA3F30"/>
    <w:rsid w:val="00CA4CD6"/>
    <w:rsid w:val="00CA749B"/>
    <w:rsid w:val="00CA7DA0"/>
    <w:rsid w:val="00CB44D2"/>
    <w:rsid w:val="00CC48AB"/>
    <w:rsid w:val="00CC58F6"/>
    <w:rsid w:val="00CC5B39"/>
    <w:rsid w:val="00CD0739"/>
    <w:rsid w:val="00CD2069"/>
    <w:rsid w:val="00CD280D"/>
    <w:rsid w:val="00CF011E"/>
    <w:rsid w:val="00CF2B37"/>
    <w:rsid w:val="00D001DF"/>
    <w:rsid w:val="00D0747D"/>
    <w:rsid w:val="00D10C1E"/>
    <w:rsid w:val="00D13D9A"/>
    <w:rsid w:val="00D14A8D"/>
    <w:rsid w:val="00D21198"/>
    <w:rsid w:val="00D2273E"/>
    <w:rsid w:val="00D22A33"/>
    <w:rsid w:val="00D230D0"/>
    <w:rsid w:val="00D23BDD"/>
    <w:rsid w:val="00D3420B"/>
    <w:rsid w:val="00D36E14"/>
    <w:rsid w:val="00D373C5"/>
    <w:rsid w:val="00D402BC"/>
    <w:rsid w:val="00D418A6"/>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1A64"/>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17ACF"/>
    <w:rsid w:val="00E23ECB"/>
    <w:rsid w:val="00E25DB6"/>
    <w:rsid w:val="00E27011"/>
    <w:rsid w:val="00E2733D"/>
    <w:rsid w:val="00E276CD"/>
    <w:rsid w:val="00E30B71"/>
    <w:rsid w:val="00E32EDA"/>
    <w:rsid w:val="00E427E6"/>
    <w:rsid w:val="00E42A8D"/>
    <w:rsid w:val="00E46272"/>
    <w:rsid w:val="00E53137"/>
    <w:rsid w:val="00E546A1"/>
    <w:rsid w:val="00E661B8"/>
    <w:rsid w:val="00E6748A"/>
    <w:rsid w:val="00E702F6"/>
    <w:rsid w:val="00E70A48"/>
    <w:rsid w:val="00E70C48"/>
    <w:rsid w:val="00E72D70"/>
    <w:rsid w:val="00E77D5E"/>
    <w:rsid w:val="00E835B0"/>
    <w:rsid w:val="00E868BB"/>
    <w:rsid w:val="00E872BF"/>
    <w:rsid w:val="00E90E82"/>
    <w:rsid w:val="00E93732"/>
    <w:rsid w:val="00EA37A9"/>
    <w:rsid w:val="00EA696C"/>
    <w:rsid w:val="00EA7026"/>
    <w:rsid w:val="00EB65EA"/>
    <w:rsid w:val="00EB6FBE"/>
    <w:rsid w:val="00EC13D8"/>
    <w:rsid w:val="00EC3CBB"/>
    <w:rsid w:val="00EC4074"/>
    <w:rsid w:val="00ED34DB"/>
    <w:rsid w:val="00ED5945"/>
    <w:rsid w:val="00ED741E"/>
    <w:rsid w:val="00EE1D38"/>
    <w:rsid w:val="00EE7B80"/>
    <w:rsid w:val="00EF113F"/>
    <w:rsid w:val="00EF7C57"/>
    <w:rsid w:val="00F02EB3"/>
    <w:rsid w:val="00F033F0"/>
    <w:rsid w:val="00F03803"/>
    <w:rsid w:val="00F066C9"/>
    <w:rsid w:val="00F06755"/>
    <w:rsid w:val="00F07E99"/>
    <w:rsid w:val="00F17898"/>
    <w:rsid w:val="00F20822"/>
    <w:rsid w:val="00F307CE"/>
    <w:rsid w:val="00F31C2C"/>
    <w:rsid w:val="00F340DF"/>
    <w:rsid w:val="00F524FA"/>
    <w:rsid w:val="00F5262C"/>
    <w:rsid w:val="00F538BC"/>
    <w:rsid w:val="00F5584C"/>
    <w:rsid w:val="00F65FC0"/>
    <w:rsid w:val="00F66257"/>
    <w:rsid w:val="00F6735A"/>
    <w:rsid w:val="00F853D6"/>
    <w:rsid w:val="00F87E6A"/>
    <w:rsid w:val="00F9092B"/>
    <w:rsid w:val="00F92D22"/>
    <w:rsid w:val="00F9559F"/>
    <w:rsid w:val="00FB0650"/>
    <w:rsid w:val="00FB3986"/>
    <w:rsid w:val="00FB4D98"/>
    <w:rsid w:val="00FB6378"/>
    <w:rsid w:val="00FB6ADA"/>
    <w:rsid w:val="00FB7BCE"/>
    <w:rsid w:val="00FC4E09"/>
    <w:rsid w:val="00FD3D8C"/>
    <w:rsid w:val="00FD56E3"/>
    <w:rsid w:val="00FD72B2"/>
    <w:rsid w:val="00FE2099"/>
    <w:rsid w:val="00FE4B13"/>
    <w:rsid w:val="00FF57A3"/>
    <w:rsid w:val="00FF5BCF"/>
    <w:rsid w:val="00FF6CA5"/>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7872F3"/>
    <w:rPr>
      <w:sz w:val="20"/>
      <w:szCs w:val="20"/>
    </w:rPr>
  </w:style>
  <w:style w:type="character" w:customStyle="1" w:styleId="FootnoteTextChar">
    <w:name w:val="Footnote Text Char"/>
    <w:basedOn w:val="DefaultParagraphFont"/>
    <w:link w:val="FootnoteText"/>
    <w:semiHidden/>
    <w:rsid w:val="0078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mps.camdsupport.com/downloads.shtml"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customXml" Target="ink/ink1.xml" /><Relationship Id="rId16" Type="http://schemas.openxmlformats.org/officeDocument/2006/relationships/image" Target="media/image1.png" /><Relationship Id="rId17" Type="http://schemas.openxmlformats.org/officeDocument/2006/relationships/customXml" Target="ink/ink2.xml" /><Relationship Id="rId18" Type="http://schemas.openxmlformats.org/officeDocument/2006/relationships/customXml" Target="ink/ink3.xml" /><Relationship Id="rId19" Type="http://schemas.openxmlformats.org/officeDocument/2006/relationships/customXml" Target="ink/ink4.xml" /><Relationship Id="rId2" Type="http://schemas.openxmlformats.org/officeDocument/2006/relationships/endnotes" Target="endnotes.xml" /><Relationship Id="rId20" Type="http://schemas.openxmlformats.org/officeDocument/2006/relationships/customXml" Target="ink/ink5.xml" /><Relationship Id="rId21" Type="http://schemas.openxmlformats.org/officeDocument/2006/relationships/customXml" Target="ink/ink6.xml" /><Relationship Id="rId22" Type="http://schemas.openxmlformats.org/officeDocument/2006/relationships/customXml" Target="ink/ink7.xml" /><Relationship Id="rId23" Type="http://schemas.openxmlformats.org/officeDocument/2006/relationships/customXml" Target="ink/ink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4.326"/>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0.885"/>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6.016"/>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2.088"/>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1.666"/>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1.291"/>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2.448"/>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1T14:46:52.791"/>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2022-09-16T15:12:00Z</dcterms:created>
  <dcterms:modified xsi:type="dcterms:W3CDTF">2022-09-16T15:12:00Z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