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7E9E" w:rsidRPr="00476C39" w:rsidP="005F158F" w14:paraId="4D0CA50B" w14:textId="77777777">
      <w:pPr>
        <w:pStyle w:val="Title"/>
        <w:spacing w:before="0" w:after="0"/>
        <w:rPr>
          <w:rFonts w:ascii="Times New Roman" w:hAnsi="Times New Roman"/>
          <w:snapToGrid/>
          <w:sz w:val="24"/>
          <w:szCs w:val="24"/>
        </w:rPr>
      </w:pPr>
      <w:r w:rsidRPr="00476C39">
        <w:rPr>
          <w:rFonts w:ascii="Times New Roman" w:hAnsi="Times New Roman"/>
          <w:snapToGrid/>
          <w:sz w:val="24"/>
          <w:szCs w:val="24"/>
        </w:rPr>
        <w:t>Department of Transportation</w:t>
      </w:r>
    </w:p>
    <w:p w:rsidR="00DD7E9E" w:rsidRPr="00476C39" w:rsidP="005F158F" w14:paraId="792476D4" w14:textId="77777777">
      <w:pPr>
        <w:autoSpaceDE w:val="0"/>
        <w:autoSpaceDN w:val="0"/>
        <w:adjustRightInd w:val="0"/>
        <w:jc w:val="center"/>
        <w:rPr>
          <w:rFonts w:ascii="Times New Roman" w:hAnsi="Times New Roman"/>
          <w:b/>
          <w:bCs/>
          <w:snapToGrid/>
          <w:szCs w:val="24"/>
          <w:u w:val="single"/>
        </w:rPr>
      </w:pPr>
      <w:r w:rsidRPr="00476C39">
        <w:rPr>
          <w:rFonts w:ascii="Times New Roman" w:hAnsi="Times New Roman"/>
          <w:b/>
          <w:bCs/>
          <w:snapToGrid/>
          <w:szCs w:val="24"/>
          <w:u w:val="single"/>
        </w:rPr>
        <w:t>SUPPORTING STATEMENT</w:t>
      </w:r>
    </w:p>
    <w:p w:rsidR="00DD7E9E" w:rsidRPr="00476C39" w:rsidP="005F158F" w14:paraId="06EF8912" w14:textId="77777777">
      <w:pPr>
        <w:autoSpaceDE w:val="0"/>
        <w:autoSpaceDN w:val="0"/>
        <w:adjustRightInd w:val="0"/>
        <w:jc w:val="center"/>
        <w:rPr>
          <w:rFonts w:ascii="Times New Roman" w:hAnsi="Times New Roman"/>
          <w:b/>
          <w:bCs/>
          <w:snapToGrid/>
          <w:color w:val="FF0000"/>
          <w:szCs w:val="24"/>
        </w:rPr>
      </w:pPr>
      <w:r w:rsidRPr="00476C39">
        <w:rPr>
          <w:rFonts w:ascii="Times New Roman" w:hAnsi="Times New Roman"/>
          <w:b/>
          <w:szCs w:val="24"/>
        </w:rPr>
        <w:t>Effective U.S. Control (EUSC) Parent Company</w:t>
      </w:r>
      <w:r w:rsidRPr="00476C39">
        <w:rPr>
          <w:rFonts w:ascii="Times New Roman" w:hAnsi="Times New Roman"/>
          <w:b/>
          <w:bCs/>
          <w:snapToGrid/>
          <w:color w:val="FF0000"/>
          <w:szCs w:val="24"/>
        </w:rPr>
        <w:t xml:space="preserve"> </w:t>
      </w:r>
    </w:p>
    <w:p w:rsidR="00DD7E9E" w:rsidRPr="00476C39" w:rsidP="005F158F" w14:paraId="2E6A3A4D" w14:textId="77777777">
      <w:pPr>
        <w:autoSpaceDE w:val="0"/>
        <w:autoSpaceDN w:val="0"/>
        <w:adjustRightInd w:val="0"/>
        <w:rPr>
          <w:rFonts w:ascii="Times New Roman" w:hAnsi="Times New Roman"/>
          <w:b/>
          <w:bCs/>
          <w:snapToGrid/>
          <w:szCs w:val="24"/>
        </w:rPr>
      </w:pPr>
    </w:p>
    <w:p w:rsidR="00DD7E9E" w:rsidRPr="00476C39" w:rsidP="005F158F" w14:paraId="3C4B6FBE" w14:textId="77777777">
      <w:pPr>
        <w:autoSpaceDE w:val="0"/>
        <w:autoSpaceDN w:val="0"/>
        <w:adjustRightInd w:val="0"/>
        <w:rPr>
          <w:rFonts w:ascii="Times New Roman" w:hAnsi="Times New Roman"/>
          <w:b/>
          <w:bCs/>
          <w:snapToGrid/>
          <w:szCs w:val="24"/>
          <w:u w:val="single"/>
        </w:rPr>
      </w:pPr>
      <w:r w:rsidRPr="00476C39">
        <w:rPr>
          <w:rFonts w:ascii="Times New Roman" w:hAnsi="Times New Roman"/>
          <w:b/>
          <w:bCs/>
          <w:snapToGrid/>
          <w:szCs w:val="24"/>
          <w:u w:val="single"/>
        </w:rPr>
        <w:t>INTRODUCTION</w:t>
      </w:r>
    </w:p>
    <w:p w:rsidR="00DD7E9E" w:rsidRPr="00476C39" w:rsidP="005F158F" w14:paraId="350AA8B6" w14:textId="77777777">
      <w:pPr>
        <w:autoSpaceDE w:val="0"/>
        <w:autoSpaceDN w:val="0"/>
        <w:adjustRightInd w:val="0"/>
        <w:rPr>
          <w:rFonts w:ascii="Times New Roman" w:hAnsi="Times New Roman"/>
          <w:b/>
          <w:bCs/>
          <w:snapToGrid/>
          <w:szCs w:val="24"/>
        </w:rPr>
      </w:pPr>
    </w:p>
    <w:p w:rsidR="00780374" w:rsidRPr="00476C39" w:rsidP="00780374" w14:paraId="74F71C0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napToGrid/>
          <w:szCs w:val="24"/>
        </w:rPr>
        <w:t xml:space="preserve">This is to request the Office of Management and Budget’s (OMB) three-year approval clearance for the information collection entitled, </w:t>
      </w:r>
      <w:r w:rsidRPr="00476C39">
        <w:rPr>
          <w:rFonts w:ascii="Times New Roman" w:hAnsi="Times New Roman"/>
          <w:szCs w:val="24"/>
        </w:rPr>
        <w:t>Effective U.S. Control (EUSC) Parent Company</w:t>
      </w:r>
      <w:r w:rsidRPr="00476C39">
        <w:rPr>
          <w:rFonts w:ascii="Times New Roman" w:hAnsi="Times New Roman"/>
          <w:snapToGrid/>
          <w:color w:val="FF0000"/>
          <w:szCs w:val="24"/>
        </w:rPr>
        <w:t xml:space="preserve"> </w:t>
      </w:r>
      <w:r w:rsidRPr="00476C39">
        <w:rPr>
          <w:rFonts w:ascii="Times New Roman" w:hAnsi="Times New Roman"/>
          <w:snapToGrid/>
          <w:szCs w:val="24"/>
        </w:rPr>
        <w:t xml:space="preserve">(OMB Control No. 2133-0511), which is currently due to expire on </w:t>
      </w:r>
      <w:r w:rsidR="00476C39">
        <w:rPr>
          <w:rFonts w:ascii="Times New Roman" w:hAnsi="Times New Roman"/>
          <w:snapToGrid/>
          <w:szCs w:val="24"/>
        </w:rPr>
        <w:t>September</w:t>
      </w:r>
      <w:r w:rsidRPr="00476C39">
        <w:rPr>
          <w:rFonts w:ascii="Times New Roman" w:hAnsi="Times New Roman"/>
          <w:snapToGrid/>
          <w:szCs w:val="24"/>
        </w:rPr>
        <w:t xml:space="preserve"> 3</w:t>
      </w:r>
      <w:r w:rsidR="00476C39">
        <w:rPr>
          <w:rFonts w:ascii="Times New Roman" w:hAnsi="Times New Roman"/>
          <w:snapToGrid/>
          <w:szCs w:val="24"/>
        </w:rPr>
        <w:t>0</w:t>
      </w:r>
      <w:r w:rsidRPr="00476C39">
        <w:rPr>
          <w:rFonts w:ascii="Times New Roman" w:hAnsi="Times New Roman"/>
          <w:snapToGrid/>
          <w:szCs w:val="24"/>
        </w:rPr>
        <w:t>, 20</w:t>
      </w:r>
      <w:r w:rsidR="00476C39">
        <w:rPr>
          <w:rFonts w:ascii="Times New Roman" w:hAnsi="Times New Roman"/>
          <w:snapToGrid/>
          <w:szCs w:val="24"/>
        </w:rPr>
        <w:t>22</w:t>
      </w:r>
      <w:r w:rsidRPr="00476C39">
        <w:rPr>
          <w:rFonts w:ascii="Times New Roman" w:hAnsi="Times New Roman"/>
          <w:snapToGrid/>
          <w:szCs w:val="24"/>
        </w:rPr>
        <w:t>.</w:t>
      </w:r>
      <w:r w:rsidRPr="00476C39">
        <w:rPr>
          <w:rFonts w:ascii="Times New Roman" w:hAnsi="Times New Roman"/>
          <w:snapToGrid/>
          <w:szCs w:val="24"/>
        </w:rPr>
        <w:t xml:space="preserve">  This an extension without </w:t>
      </w:r>
      <w:r w:rsidRPr="00476C39">
        <w:rPr>
          <w:rFonts w:ascii="Times New Roman" w:hAnsi="Times New Roman"/>
          <w:snapToGrid/>
          <w:szCs w:val="24"/>
        </w:rPr>
        <w:t>change</w:t>
      </w:r>
      <w:r w:rsidRPr="00476C39">
        <w:rPr>
          <w:rFonts w:ascii="Times New Roman" w:hAnsi="Times New Roman"/>
          <w:snapToGrid/>
          <w:szCs w:val="24"/>
        </w:rPr>
        <w:t xml:space="preserve"> of a currently approved collection.  </w:t>
      </w:r>
      <w:r w:rsidRPr="00476C39">
        <w:rPr>
          <w:rFonts w:ascii="Times New Roman" w:hAnsi="Times New Roman"/>
          <w:szCs w:val="24"/>
        </w:rPr>
        <w:t>No changes or adjustments were reported in items 13 or 14 of OMB Form 83-I.</w:t>
      </w:r>
    </w:p>
    <w:p w:rsidR="00DD7E9E" w:rsidRPr="00476C39" w:rsidP="005F158F" w14:paraId="46FBA83D" w14:textId="77777777">
      <w:pPr>
        <w:autoSpaceDE w:val="0"/>
        <w:autoSpaceDN w:val="0"/>
        <w:adjustRightInd w:val="0"/>
        <w:rPr>
          <w:rFonts w:ascii="Times New Roman" w:hAnsi="Times New Roman"/>
          <w:b/>
          <w:bCs/>
          <w:snapToGrid/>
          <w:szCs w:val="24"/>
        </w:rPr>
      </w:pPr>
    </w:p>
    <w:p w:rsidR="00476C39" w:rsidP="00476C39" w14:paraId="3F7208B2" w14:textId="77777777">
      <w:pPr>
        <w:tabs>
          <w:tab w:val="left" w:pos="-1440"/>
        </w:tabs>
        <w:ind w:left="720" w:hanging="720"/>
        <w:rPr>
          <w:rFonts w:ascii="Times New Roman" w:hAnsi="Times New Roman"/>
          <w:b/>
          <w:szCs w:val="24"/>
          <w:u w:val="single"/>
        </w:rPr>
      </w:pPr>
      <w:r w:rsidRPr="00476C39">
        <w:rPr>
          <w:rFonts w:ascii="Times New Roman" w:hAnsi="Times New Roman"/>
          <w:b/>
          <w:szCs w:val="24"/>
          <w:u w:val="single"/>
        </w:rPr>
        <w:t xml:space="preserve">JUSTIFICATION </w:t>
      </w:r>
    </w:p>
    <w:p w:rsidR="00476C39" w:rsidP="00476C39" w14:paraId="14C47B05" w14:textId="77777777">
      <w:pPr>
        <w:tabs>
          <w:tab w:val="left" w:pos="-1440"/>
        </w:tabs>
        <w:rPr>
          <w:rFonts w:ascii="Times New Roman" w:hAnsi="Times New Roman"/>
          <w:b/>
          <w:szCs w:val="24"/>
          <w:u w:val="single"/>
        </w:rPr>
      </w:pPr>
    </w:p>
    <w:p w:rsidR="0077022A" w:rsidRPr="00476C39" w:rsidP="00476C39" w14:paraId="50B026F0" w14:textId="77777777">
      <w:pPr>
        <w:numPr>
          <w:ilvl w:val="0"/>
          <w:numId w:val="34"/>
        </w:numPr>
        <w:tabs>
          <w:tab w:val="left" w:pos="-1440"/>
        </w:tabs>
        <w:rPr>
          <w:rFonts w:ascii="Times New Roman" w:hAnsi="Times New Roman"/>
          <w:b/>
          <w:szCs w:val="24"/>
          <w:u w:val="single"/>
        </w:rPr>
      </w:pPr>
      <w:r w:rsidRPr="00097A64">
        <w:rPr>
          <w:rFonts w:ascii="Times New Roman" w:hAnsi="Times New Roman"/>
          <w:b/>
          <w:bCs/>
          <w:szCs w:val="24"/>
          <w:u w:val="single"/>
        </w:rPr>
        <w:t>Circumstances that make collection of information necessary.</w:t>
      </w:r>
      <w:r w:rsidRPr="00097A64">
        <w:rPr>
          <w:rFonts w:ascii="Times New Roman" w:hAnsi="Times New Roman"/>
          <w:b/>
          <w:bCs/>
          <w:szCs w:val="24"/>
          <w:u w:val="single"/>
        </w:rPr>
        <w:br/>
      </w:r>
    </w:p>
    <w:p w:rsidR="00E53BE8" w:rsidRPr="00E53BE8" w:rsidP="00E53BE8" w14:paraId="10D2A0E7" w14:textId="77777777">
      <w:pPr>
        <w:rPr>
          <w:rFonts w:ascii="Times New Roman" w:hAnsi="Times New Roman"/>
          <w:szCs w:val="24"/>
        </w:rPr>
      </w:pPr>
      <w:r w:rsidRPr="00E53BE8">
        <w:rPr>
          <w:rFonts w:ascii="Times New Roman" w:hAnsi="Times New Roman"/>
          <w:szCs w:val="24"/>
        </w:rPr>
        <w:t xml:space="preserve">The purpose of the collection is to aid in identifying oceangoing vessels that may be both useful and available to the Department of Defense for deploying U.S. military equipment (such as tanks and other tracked and wheeled vehicles) and the full range of supplies (including petroleum products and fuel) necessary to sustain a force in a foreign theater of operations.  </w:t>
      </w:r>
      <w:r w:rsidRPr="00E53BE8">
        <w:rPr>
          <w:rFonts w:ascii="Times New Roman" w:hAnsi="Times New Roman"/>
          <w:szCs w:val="24"/>
        </w:rPr>
        <w:t>In order to</w:t>
      </w:r>
      <w:r w:rsidRPr="00E53BE8">
        <w:rPr>
          <w:rFonts w:ascii="Times New Roman" w:hAnsi="Times New Roman"/>
          <w:szCs w:val="24"/>
        </w:rPr>
        <w:t xml:space="preserve"> identify “militarily useful” vessels, MARAD consults Lloyd’s Register of Shipping (Lloyd’s List), S and P Global’s Market Intelligence Maritime Portal, and other commercial shipping registry sources.  These sources represent the principal standard compendium of information on commercial cargo vessels.  They describe, classify, and register vessels according to certain criteria of physical structure and equipment as well as ownership.  Thus, these sources are principally a list of vessels and the corporate entities that own and operate them, not of persons.  MARAD is satisfied that these sources effectively capture all vessels which might be considered “</w:t>
      </w:r>
      <w:r w:rsidRPr="00E53BE8">
        <w:rPr>
          <w:rFonts w:ascii="Times New Roman" w:hAnsi="Times New Roman"/>
          <w:szCs w:val="24"/>
        </w:rPr>
        <w:t>militarily</w:t>
      </w:r>
      <w:r w:rsidRPr="00E53BE8">
        <w:rPr>
          <w:rFonts w:ascii="Times New Roman" w:hAnsi="Times New Roman"/>
          <w:szCs w:val="24"/>
        </w:rPr>
        <w:t xml:space="preserve"> useful.”  MARAD is interested in persons to the extent that their nationality is relevant to a determination of the citizenship of the owners of a vessel.</w:t>
      </w:r>
    </w:p>
    <w:p w:rsidR="00E53BE8" w:rsidRPr="00E53BE8" w:rsidP="00E53BE8" w14:paraId="7B737DFA" w14:textId="77777777">
      <w:pPr>
        <w:rPr>
          <w:rFonts w:ascii="Times New Roman" w:hAnsi="Times New Roman"/>
          <w:szCs w:val="24"/>
        </w:rPr>
      </w:pPr>
      <w:r w:rsidRPr="00E53BE8">
        <w:rPr>
          <w:rFonts w:ascii="Times New Roman" w:hAnsi="Times New Roman"/>
          <w:szCs w:val="24"/>
        </w:rPr>
        <w:t xml:space="preserve"> </w:t>
      </w:r>
    </w:p>
    <w:p w:rsidR="00E53BE8" w:rsidRPr="00E53BE8" w:rsidP="00E53BE8" w14:paraId="18B4EBA4" w14:textId="77777777">
      <w:pPr>
        <w:rPr>
          <w:rFonts w:ascii="Times New Roman" w:hAnsi="Times New Roman"/>
          <w:szCs w:val="24"/>
        </w:rPr>
      </w:pPr>
      <w:r w:rsidRPr="00E53BE8">
        <w:rPr>
          <w:rFonts w:ascii="Times New Roman" w:hAnsi="Times New Roman"/>
          <w:szCs w:val="24"/>
        </w:rPr>
        <w:t>In order for</w:t>
      </w:r>
      <w:r w:rsidRPr="00E53BE8">
        <w:rPr>
          <w:rFonts w:ascii="Times New Roman" w:hAnsi="Times New Roman"/>
          <w:szCs w:val="24"/>
        </w:rPr>
        <w:t xml:space="preserve"> a vessel to be considered available for DOD use (other than a U.S. or foreign flag vessel hired [chartered] by DOD) it must be subject to requisition pursuant to US law, 46 U.S.C. 56301 (2007).  This means that if the vessel in question is registered in a foreign country, it must be owned by U.S. citizens to be considered requisitionable.  MARAD uses the names of vessel owners (most commonly corporations) identified in vessel registry data as the starting point for a determination of the citizenship of the owners.  Ownership (and the nationality of owners) is verified through direct contact with owners identified in vessel registry data.  </w:t>
      </w:r>
    </w:p>
    <w:p w:rsidR="00E53BE8" w:rsidRPr="00E53BE8" w:rsidP="00E53BE8" w14:paraId="6FC0A3F4" w14:textId="77777777">
      <w:pPr>
        <w:rPr>
          <w:rFonts w:ascii="Times New Roman" w:hAnsi="Times New Roman"/>
          <w:szCs w:val="24"/>
        </w:rPr>
      </w:pPr>
    </w:p>
    <w:p w:rsidR="00B24543" w:rsidP="00E53BE8" w14:paraId="4C5EBC61" w14:textId="77777777">
      <w:pPr>
        <w:rPr>
          <w:rFonts w:ascii="Times New Roman" w:hAnsi="Times New Roman"/>
          <w:szCs w:val="24"/>
        </w:rPr>
      </w:pPr>
      <w:r w:rsidRPr="00E53BE8">
        <w:rPr>
          <w:rFonts w:ascii="Times New Roman" w:hAnsi="Times New Roman"/>
          <w:szCs w:val="24"/>
        </w:rPr>
        <w:t>This collection of information enhances the Department of Transportation’s strategic goal for security, preparedness, and response.</w:t>
      </w:r>
    </w:p>
    <w:p w:rsidR="00E53BE8" w:rsidRPr="00476C39" w:rsidP="00E53BE8" w14:paraId="696DAF13" w14:textId="77777777">
      <w:pPr>
        <w:ind w:left="720"/>
        <w:rPr>
          <w:rFonts w:ascii="Times New Roman" w:hAnsi="Times New Roman"/>
          <w:szCs w:val="24"/>
        </w:rPr>
      </w:pPr>
    </w:p>
    <w:p w:rsidR="005F158F" w:rsidRPr="00476C39" w:rsidP="00476C39" w14:paraId="2FE263F0" w14:textId="77777777">
      <w:pPr>
        <w:numPr>
          <w:ilvl w:val="0"/>
          <w:numId w:val="34"/>
        </w:numPr>
        <w:tabs>
          <w:tab w:val="left" w:pos="-1440"/>
        </w:tabs>
        <w:rPr>
          <w:rFonts w:ascii="Times New Roman" w:hAnsi="Times New Roman"/>
          <w:b/>
          <w:szCs w:val="24"/>
          <w:u w:val="single"/>
        </w:rPr>
      </w:pPr>
      <w:r w:rsidRPr="00476C39">
        <w:rPr>
          <w:rFonts w:ascii="Times New Roman" w:hAnsi="Times New Roman"/>
          <w:b/>
          <w:szCs w:val="24"/>
          <w:u w:val="single"/>
        </w:rPr>
        <w:t xml:space="preserve">How, by whom, and for what purpose is the information used.  </w:t>
      </w:r>
    </w:p>
    <w:p w:rsidR="00476C39" w:rsidRPr="00476C39" w:rsidP="00476C39" w14:paraId="1B20C794" w14:textId="77777777">
      <w:pPr>
        <w:tabs>
          <w:tab w:val="left" w:pos="-1440"/>
        </w:tabs>
        <w:rPr>
          <w:rFonts w:ascii="Times New Roman" w:hAnsi="Times New Roman"/>
          <w:b/>
          <w:szCs w:val="24"/>
        </w:rPr>
      </w:pPr>
    </w:p>
    <w:p w:rsidR="00E53BE8" w:rsidRPr="00E53BE8" w:rsidP="00E53BE8" w14:paraId="539546FD"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 xml:space="preserve">The information is used by MARAD's Office of Policy and Plans and the Division of Sealift Operations and Emergency Preparedness for contingency planning for sealift capacity.  Each respondent is requested to provide the following elements of information for vessels identified as owned by the respondent.  </w:t>
      </w:r>
    </w:p>
    <w:p w:rsidR="00E53BE8" w:rsidRPr="00E53BE8" w:rsidP="00E53BE8" w14:paraId="20D14A07" w14:textId="77777777">
      <w:pPr>
        <w:pStyle w:val="ListParagraph"/>
        <w:ind w:left="0"/>
        <w:rPr>
          <w:rFonts w:ascii="Times New Roman" w:eastAsia="Times New Roman" w:hAnsi="Times New Roman"/>
          <w:snapToGrid w:val="0"/>
          <w:sz w:val="24"/>
          <w:szCs w:val="24"/>
        </w:rPr>
      </w:pPr>
    </w:p>
    <w:p w:rsidR="00E53BE8" w:rsidRPr="00E53BE8" w:rsidP="00E53BE8" w14:paraId="1811BA86"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Vessel name</w:t>
      </w:r>
    </w:p>
    <w:p w:rsidR="00E53BE8" w:rsidRPr="00E53BE8" w:rsidP="00E53BE8" w14:paraId="7B2D6132"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Flag (country of registry)</w:t>
      </w:r>
    </w:p>
    <w:p w:rsidR="00E53BE8" w:rsidRPr="00E53BE8" w:rsidP="00E53BE8" w14:paraId="16F6B60D"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Vessel type (e. g., containership, tanker, bulk, roll-on/roll-off, breakbulk, refrigerated)</w:t>
      </w:r>
    </w:p>
    <w:p w:rsidR="00E53BE8" w:rsidRPr="00E53BE8" w:rsidP="00E53BE8" w14:paraId="11B2C001"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International Maritime Organization (IMO) number</w:t>
      </w:r>
    </w:p>
    <w:p w:rsidR="00E53BE8" w:rsidRPr="00E53BE8" w:rsidP="00E53BE8" w14:paraId="117CB172"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Call sign</w:t>
      </w:r>
    </w:p>
    <w:p w:rsidR="00E53BE8" w:rsidRPr="00E53BE8" w:rsidP="00E53BE8" w14:paraId="77B01609"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Cargo capacity</w:t>
      </w:r>
    </w:p>
    <w:p w:rsidR="00E53BE8" w:rsidRPr="00E53BE8" w:rsidP="00E53BE8" w14:paraId="394A5D3E"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Year of launch</w:t>
      </w:r>
    </w:p>
    <w:p w:rsidR="00E53BE8" w:rsidRPr="00E53BE8" w:rsidP="00E53BE8" w14:paraId="74E7E4AB"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Where built</w:t>
      </w:r>
    </w:p>
    <w:p w:rsidR="00E53BE8" w:rsidRPr="00E53BE8" w:rsidP="00E53BE8" w14:paraId="7F3C6975"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Dimensions (depth, breadth, length)</w:t>
      </w:r>
    </w:p>
    <w:p w:rsidR="00E53BE8" w:rsidRPr="00E53BE8" w:rsidP="00E53BE8" w14:paraId="4BA698BA"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Names of insurers</w:t>
      </w:r>
    </w:p>
    <w:p w:rsidR="00E53BE8" w:rsidRPr="00E53BE8" w:rsidP="00E53BE8" w14:paraId="513DEEB6"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Primary fuel type</w:t>
      </w:r>
    </w:p>
    <w:p w:rsidR="00E53BE8" w:rsidRPr="00E53BE8" w:rsidP="00E53BE8" w14:paraId="4FFB9F79"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 xml:space="preserve">Speed </w:t>
      </w:r>
    </w:p>
    <w:p w:rsidR="00E53BE8" w:rsidRPr="00E53BE8" w:rsidP="00E53BE8" w14:paraId="0321B941"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Current beneficial owner</w:t>
      </w:r>
    </w:p>
    <w:p w:rsidR="00E53BE8" w:rsidRPr="00E53BE8" w:rsidP="00E53BE8" w14:paraId="3FCCB35A" w14:textId="77777777">
      <w:pPr>
        <w:pStyle w:val="ListParagraph"/>
        <w:ind w:left="0"/>
        <w:rPr>
          <w:rFonts w:ascii="Times New Roman" w:eastAsia="Times New Roman" w:hAnsi="Times New Roman"/>
          <w:snapToGrid w:val="0"/>
          <w:sz w:val="24"/>
          <w:szCs w:val="24"/>
        </w:rPr>
      </w:pPr>
    </w:p>
    <w:p w:rsidR="00E53BE8" w:rsidRPr="00E53BE8" w:rsidP="00E53BE8" w14:paraId="2B095B24" w14:textId="77777777">
      <w:pPr>
        <w:pStyle w:val="ListParagraph"/>
        <w:ind w:left="0"/>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 xml:space="preserve">Incomplete or inaccurate information as to the ownership, flag, size, age, </w:t>
      </w:r>
      <w:r w:rsidRPr="00E53BE8">
        <w:rPr>
          <w:rFonts w:ascii="Times New Roman" w:eastAsia="Times New Roman" w:hAnsi="Times New Roman"/>
          <w:snapToGrid w:val="0"/>
          <w:sz w:val="24"/>
          <w:szCs w:val="24"/>
        </w:rPr>
        <w:t>speed</w:t>
      </w:r>
      <w:r w:rsidRPr="00E53BE8">
        <w:rPr>
          <w:rFonts w:ascii="Times New Roman" w:eastAsia="Times New Roman" w:hAnsi="Times New Roman"/>
          <w:snapToGrid w:val="0"/>
          <w:sz w:val="24"/>
          <w:szCs w:val="24"/>
        </w:rPr>
        <w:t xml:space="preserve"> and tonnage could lead to invalid conclusions and faulty analysis.</w:t>
      </w:r>
    </w:p>
    <w:p w:rsidR="00DF62C4" w:rsidRPr="00476C39" w:rsidP="005F158F" w14:paraId="20FA3D96" w14:textId="77777777">
      <w:pPr>
        <w:pStyle w:val="ListParagraph"/>
        <w:spacing w:after="0" w:line="240" w:lineRule="auto"/>
        <w:ind w:left="0"/>
        <w:rPr>
          <w:rFonts w:ascii="Times New Roman" w:hAnsi="Times New Roman"/>
          <w:sz w:val="24"/>
          <w:szCs w:val="24"/>
        </w:rPr>
      </w:pPr>
    </w:p>
    <w:p w:rsidR="00B24543" w:rsidRPr="00476C39" w:rsidP="00476C39" w14:paraId="3B195E3D" w14:textId="77777777">
      <w:pPr>
        <w:numPr>
          <w:ilvl w:val="0"/>
          <w:numId w:val="34"/>
        </w:numPr>
        <w:tabs>
          <w:tab w:val="left" w:pos="-1440"/>
        </w:tabs>
        <w:rPr>
          <w:rFonts w:ascii="Times New Roman" w:hAnsi="Times New Roman"/>
          <w:b/>
          <w:szCs w:val="24"/>
          <w:u w:val="single"/>
        </w:rPr>
      </w:pPr>
      <w:r w:rsidRPr="00476C39">
        <w:rPr>
          <w:rFonts w:ascii="Times New Roman" w:hAnsi="Times New Roman"/>
          <w:b/>
          <w:szCs w:val="24"/>
          <w:u w:val="single"/>
        </w:rPr>
        <w:t>Extent of automated information collection.</w:t>
      </w:r>
    </w:p>
    <w:p w:rsidR="00B24543" w:rsidRPr="00476C39" w:rsidP="005F158F" w14:paraId="57410D38" w14:textId="77777777">
      <w:pPr>
        <w:rPr>
          <w:rFonts w:ascii="Times New Roman" w:hAnsi="Times New Roman"/>
          <w:szCs w:val="24"/>
        </w:rPr>
      </w:pPr>
      <w:r>
        <w:rPr>
          <w:rFonts w:ascii="Times New Roman" w:hAnsi="Times New Roman"/>
          <w:szCs w:val="24"/>
        </w:rPr>
        <w:br/>
      </w:r>
      <w:r w:rsidRPr="00476C39">
        <w:rPr>
          <w:rFonts w:ascii="Times New Roman" w:hAnsi="Times New Roman"/>
          <w:szCs w:val="24"/>
        </w:rPr>
        <w:t>MARAD offers a total electronic option for this collection.</w:t>
      </w:r>
    </w:p>
    <w:p w:rsidR="00B24543" w:rsidRPr="00476C39" w:rsidP="005F158F" w14:paraId="75A50CFC" w14:textId="77777777">
      <w:pPr>
        <w:rPr>
          <w:rFonts w:ascii="Times New Roman" w:hAnsi="Times New Roman"/>
          <w:szCs w:val="24"/>
        </w:rPr>
      </w:pPr>
    </w:p>
    <w:p w:rsidR="00476C39" w:rsidRPr="00476C39" w:rsidP="00476C39" w14:paraId="57F0121C" w14:textId="77777777">
      <w:pPr>
        <w:numPr>
          <w:ilvl w:val="0"/>
          <w:numId w:val="34"/>
        </w:numPr>
        <w:tabs>
          <w:tab w:val="left" w:pos="-1440"/>
        </w:tabs>
        <w:rPr>
          <w:rFonts w:ascii="Times New Roman" w:hAnsi="Times New Roman"/>
          <w:b/>
          <w:szCs w:val="24"/>
          <w:u w:val="single"/>
        </w:rPr>
      </w:pPr>
      <w:r w:rsidRPr="00476C39">
        <w:rPr>
          <w:rFonts w:ascii="Times New Roman" w:hAnsi="Times New Roman"/>
          <w:b/>
          <w:szCs w:val="24"/>
          <w:u w:val="single"/>
        </w:rPr>
        <w:t xml:space="preserve">Efforts to identify duplication.  </w:t>
      </w:r>
      <w:r w:rsidRPr="00476C39">
        <w:rPr>
          <w:rFonts w:ascii="Times New Roman" w:hAnsi="Times New Roman"/>
          <w:b/>
          <w:szCs w:val="24"/>
          <w:u w:val="single"/>
        </w:rPr>
        <w:br/>
      </w:r>
    </w:p>
    <w:p w:rsidR="00E53BE8" w:rsidP="00476C39" w14:paraId="2FF3B209" w14:textId="77777777">
      <w:pPr>
        <w:widowControl/>
        <w:rPr>
          <w:rFonts w:ascii="Times New Roman" w:hAnsi="Times New Roman"/>
          <w:szCs w:val="24"/>
        </w:rPr>
      </w:pPr>
      <w:r w:rsidRPr="00E53BE8">
        <w:rPr>
          <w:rFonts w:ascii="Times New Roman" w:hAnsi="Times New Roman"/>
          <w:szCs w:val="24"/>
        </w:rPr>
        <w:t xml:space="preserve">We have identified commercial sources of shipping information as the primary source for information on vessel ownership and vessel characteristics.  Because relevant information of vessel ownership, characteristics, and country of registry may change between periodic publication of updates to these sources, we verify such information as necessary by direct contact with vessel owners, beginning with owners identified by these sources.   </w:t>
      </w:r>
    </w:p>
    <w:p w:rsidR="00B24543" w:rsidRPr="00476C39" w:rsidP="00476C39" w14:paraId="3301D265" w14:textId="77777777">
      <w:pPr>
        <w:widowControl/>
        <w:rPr>
          <w:rFonts w:ascii="Times New Roman" w:hAnsi="Times New Roman"/>
          <w:b/>
          <w:szCs w:val="24"/>
          <w:u w:val="single"/>
        </w:rPr>
      </w:pPr>
      <w:r>
        <w:rPr>
          <w:rFonts w:ascii="Times New Roman" w:hAnsi="Times New Roman"/>
          <w:b/>
          <w:szCs w:val="24"/>
        </w:rPr>
        <w:br/>
      </w:r>
      <w:r w:rsidRPr="00476C39">
        <w:rPr>
          <w:rFonts w:ascii="Times New Roman" w:hAnsi="Times New Roman"/>
          <w:b/>
          <w:szCs w:val="24"/>
        </w:rPr>
        <w:t>5.</w:t>
      </w:r>
      <w:r>
        <w:rPr>
          <w:rFonts w:ascii="Times New Roman" w:hAnsi="Times New Roman"/>
          <w:b/>
          <w:szCs w:val="24"/>
        </w:rPr>
        <w:tab/>
      </w:r>
      <w:r w:rsidRPr="00476C39">
        <w:rPr>
          <w:rFonts w:ascii="Times New Roman" w:hAnsi="Times New Roman"/>
          <w:b/>
          <w:szCs w:val="24"/>
          <w:u w:val="single"/>
        </w:rPr>
        <w:t xml:space="preserve">Efforts to minimize the burden on small businesses.  </w:t>
      </w:r>
    </w:p>
    <w:p w:rsidR="005A2A49" w:rsidRPr="00476C39" w:rsidP="005F158F" w14:paraId="67F13F56" w14:textId="77777777">
      <w:pPr>
        <w:rPr>
          <w:rFonts w:ascii="Times New Roman" w:hAnsi="Times New Roman"/>
          <w:szCs w:val="24"/>
        </w:rPr>
      </w:pPr>
    </w:p>
    <w:p w:rsidR="00B24543" w:rsidRPr="00476C39" w:rsidP="005F158F" w14:paraId="2D17AD7F" w14:textId="77777777">
      <w:pPr>
        <w:rPr>
          <w:rFonts w:ascii="Times New Roman" w:hAnsi="Times New Roman"/>
          <w:szCs w:val="24"/>
        </w:rPr>
      </w:pPr>
      <w:r w:rsidRPr="00476C39">
        <w:rPr>
          <w:rFonts w:ascii="Times New Roman" w:hAnsi="Times New Roman"/>
          <w:szCs w:val="24"/>
        </w:rPr>
        <w:t>This information collection does not impact small businesses.</w:t>
      </w:r>
    </w:p>
    <w:p w:rsidR="00323D6B" w:rsidRPr="00476C39" w:rsidP="005F158F" w14:paraId="0067A028" w14:textId="77777777">
      <w:pPr>
        <w:rPr>
          <w:rFonts w:ascii="Times New Roman" w:hAnsi="Times New Roman"/>
          <w:szCs w:val="24"/>
        </w:rPr>
      </w:pPr>
    </w:p>
    <w:p w:rsidR="00B24543" w:rsidRPr="00476C39" w:rsidP="00476C39" w14:paraId="2277C8CB" w14:textId="77777777">
      <w:pPr>
        <w:numPr>
          <w:ilvl w:val="0"/>
          <w:numId w:val="35"/>
        </w:numPr>
        <w:rPr>
          <w:rFonts w:ascii="Times New Roman" w:hAnsi="Times New Roman"/>
          <w:b/>
          <w:bCs/>
          <w:szCs w:val="24"/>
          <w:u w:val="single"/>
        </w:rPr>
      </w:pPr>
      <w:r w:rsidRPr="00476C39">
        <w:rPr>
          <w:rFonts w:ascii="Times New Roman" w:hAnsi="Times New Roman"/>
          <w:b/>
          <w:bCs/>
          <w:szCs w:val="24"/>
          <w:u w:val="single"/>
        </w:rPr>
        <w:t xml:space="preserve">Impact of less frequent collection of information.  </w:t>
      </w:r>
      <w:r w:rsidRPr="00476C39">
        <w:rPr>
          <w:rFonts w:ascii="Times New Roman" w:hAnsi="Times New Roman"/>
          <w:b/>
          <w:bCs/>
          <w:szCs w:val="24"/>
          <w:u w:val="single"/>
        </w:rPr>
        <w:br/>
      </w:r>
    </w:p>
    <w:p w:rsidR="00B24543" w:rsidRPr="00476C39" w:rsidP="005F158F" w14:paraId="685ED84E" w14:textId="77777777">
      <w:pPr>
        <w:rPr>
          <w:rFonts w:ascii="Times New Roman" w:hAnsi="Times New Roman"/>
          <w:szCs w:val="24"/>
        </w:rPr>
      </w:pPr>
      <w:r w:rsidRPr="00476C39">
        <w:rPr>
          <w:rFonts w:ascii="Times New Roman" w:hAnsi="Times New Roman"/>
          <w:szCs w:val="24"/>
        </w:rPr>
        <w:t>Mobilization plans would lack current information thereby reducing their accuracy.</w:t>
      </w:r>
    </w:p>
    <w:p w:rsidR="00B24543" w:rsidRPr="00476C39" w:rsidP="005F158F" w14:paraId="199D1848" w14:textId="77777777">
      <w:pPr>
        <w:rPr>
          <w:rFonts w:ascii="Times New Roman" w:hAnsi="Times New Roman"/>
          <w:szCs w:val="24"/>
        </w:rPr>
      </w:pPr>
    </w:p>
    <w:p w:rsidR="00B24543" w:rsidRPr="0044305A" w:rsidP="0044305A" w14:paraId="3AB943DE"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r w:rsidRPr="0044305A">
        <w:rPr>
          <w:rFonts w:ascii="Times New Roman" w:hAnsi="Times New Roman"/>
          <w:b/>
          <w:bCs/>
          <w:szCs w:val="24"/>
          <w:u w:val="single"/>
        </w:rPr>
        <w:t xml:space="preserve">Special Circumstances.  </w:t>
      </w:r>
      <w:r w:rsidRPr="0044305A">
        <w:rPr>
          <w:rFonts w:ascii="Times New Roman" w:hAnsi="Times New Roman"/>
          <w:b/>
          <w:bCs/>
          <w:szCs w:val="24"/>
          <w:u w:val="single"/>
        </w:rPr>
        <w:br/>
      </w:r>
    </w:p>
    <w:p w:rsidR="00B24543" w:rsidRPr="00476C39" w:rsidP="005F158F" w14:paraId="706D80F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There are no special circumstances that require the collection of information to be conducted in a manner described above.</w:t>
      </w:r>
    </w:p>
    <w:p w:rsidR="00323D6B" w:rsidRPr="00476C39" w:rsidP="005F158F" w14:paraId="33F8DA4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4305A" w:rsidP="0044305A" w14:paraId="6CDB5E5D"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r w:rsidRPr="0044305A">
        <w:rPr>
          <w:rFonts w:ascii="Times New Roman" w:hAnsi="Times New Roman"/>
          <w:b/>
          <w:szCs w:val="24"/>
          <w:u w:val="single"/>
        </w:rPr>
        <w:t xml:space="preserve">Compliance with 5 CFR 1320.8:  </w:t>
      </w:r>
      <w:r>
        <w:rPr>
          <w:rFonts w:ascii="Times New Roman" w:hAnsi="Times New Roman"/>
          <w:b/>
          <w:szCs w:val="24"/>
          <w:u w:val="single"/>
        </w:rPr>
        <w:br/>
      </w:r>
    </w:p>
    <w:p w:rsidR="0044305A" w:rsidP="005F158F" w14:paraId="36BFFDF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53BE8">
        <w:rPr>
          <w:rFonts w:ascii="Times New Roman" w:hAnsi="Times New Roman"/>
          <w:szCs w:val="24"/>
        </w:rPr>
        <w:t>MARAD published a 60-day notice and request for comments on this information collection in the Federal Register on August 10, 2022 (87 FR 48751), indicating comments should be submitted on or before September 11, 2022.  In addition, a 30-day notice and request for comments was published in the Federal Register</w:t>
      </w:r>
      <w:r w:rsidR="00792A0B">
        <w:rPr>
          <w:rFonts w:ascii="Times New Roman" w:hAnsi="Times New Roman"/>
          <w:szCs w:val="24"/>
        </w:rPr>
        <w:t xml:space="preserve"> (87 FR 57978)</w:t>
      </w:r>
      <w:r w:rsidRPr="00E53BE8">
        <w:rPr>
          <w:rFonts w:ascii="Times New Roman" w:hAnsi="Times New Roman"/>
          <w:szCs w:val="24"/>
        </w:rPr>
        <w:t xml:space="preserve"> on </w:t>
      </w:r>
      <w:r w:rsidR="00792A0B">
        <w:rPr>
          <w:rFonts w:ascii="Times New Roman" w:hAnsi="Times New Roman"/>
          <w:szCs w:val="24"/>
        </w:rPr>
        <w:t>September 22</w:t>
      </w:r>
      <w:r w:rsidRPr="00E53BE8">
        <w:rPr>
          <w:rFonts w:ascii="Times New Roman" w:hAnsi="Times New Roman"/>
          <w:szCs w:val="24"/>
        </w:rPr>
        <w:t xml:space="preserve">, </w:t>
      </w:r>
      <w:r w:rsidRPr="00E53BE8">
        <w:rPr>
          <w:rFonts w:ascii="Times New Roman" w:hAnsi="Times New Roman"/>
          <w:szCs w:val="24"/>
        </w:rPr>
        <w:t>2022</w:t>
      </w:r>
      <w:r w:rsidRPr="00E53BE8">
        <w:rPr>
          <w:rFonts w:ascii="Times New Roman" w:hAnsi="Times New Roman"/>
          <w:szCs w:val="24"/>
        </w:rPr>
        <w:t xml:space="preserve"> indicating comments should be submitted on or before </w:t>
      </w:r>
      <w:r w:rsidR="00792A0B">
        <w:rPr>
          <w:rFonts w:ascii="Times New Roman" w:hAnsi="Times New Roman"/>
          <w:szCs w:val="24"/>
        </w:rPr>
        <w:t>October 21</w:t>
      </w:r>
      <w:r w:rsidRPr="00E53BE8">
        <w:rPr>
          <w:rFonts w:ascii="Times New Roman" w:hAnsi="Times New Roman"/>
          <w:szCs w:val="24"/>
        </w:rPr>
        <w:t>, 2022.</w:t>
      </w:r>
    </w:p>
    <w:p w:rsidR="00E53BE8" w:rsidRPr="00476C39" w:rsidP="005F158F" w14:paraId="7E7DA63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4305A" w:rsidP="0044305A" w14:paraId="355F925C"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r w:rsidRPr="0044305A">
        <w:rPr>
          <w:rFonts w:ascii="Times New Roman" w:hAnsi="Times New Roman"/>
          <w:b/>
          <w:bCs/>
          <w:szCs w:val="24"/>
          <w:u w:val="single"/>
        </w:rPr>
        <w:t xml:space="preserve">Payments or gifts to respondents.  </w:t>
      </w:r>
      <w:r w:rsidRPr="0044305A">
        <w:rPr>
          <w:rFonts w:ascii="Times New Roman" w:hAnsi="Times New Roman"/>
          <w:b/>
          <w:bCs/>
          <w:szCs w:val="24"/>
          <w:u w:val="single"/>
        </w:rPr>
        <w:br/>
      </w:r>
    </w:p>
    <w:p w:rsidR="00B24543" w:rsidRPr="00476C39" w:rsidP="005F158F" w14:paraId="2E7E946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No payments or gifts are provided to respondents.</w:t>
      </w:r>
    </w:p>
    <w:p w:rsidR="00B24543" w:rsidRPr="00476C39" w:rsidP="005F158F" w14:paraId="490F5FF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4305A" w:rsidP="0044305A" w14:paraId="6DE0B9C7"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r w:rsidRPr="0044305A">
        <w:rPr>
          <w:rFonts w:ascii="Times New Roman" w:hAnsi="Times New Roman"/>
          <w:b/>
          <w:bCs/>
          <w:szCs w:val="24"/>
          <w:u w:val="single"/>
        </w:rPr>
        <w:t xml:space="preserve">Assurance of Confidentiality:  </w:t>
      </w:r>
      <w:r w:rsidRPr="0044305A">
        <w:rPr>
          <w:rFonts w:ascii="Times New Roman" w:hAnsi="Times New Roman"/>
          <w:b/>
          <w:bCs/>
          <w:szCs w:val="24"/>
          <w:u w:val="single"/>
        </w:rPr>
        <w:br/>
      </w:r>
    </w:p>
    <w:p w:rsidR="00B24543" w:rsidRPr="00476C39" w:rsidP="005F158F" w14:paraId="6143F29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The information requested is not of a confidential nature and, consequently, no assurance of confidentiality need be given.</w:t>
      </w:r>
    </w:p>
    <w:p w:rsidR="000B4568" w:rsidRPr="00476C39" w:rsidP="005F158F" w14:paraId="06BE68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4305A" w:rsidP="0044305A" w14:paraId="51CACB18"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r w:rsidRPr="0044305A">
        <w:rPr>
          <w:rFonts w:ascii="Times New Roman" w:hAnsi="Times New Roman"/>
          <w:b/>
          <w:bCs/>
          <w:szCs w:val="24"/>
          <w:u w:val="single"/>
        </w:rPr>
        <w:t xml:space="preserve">Justification for collection of sensitive information:  </w:t>
      </w:r>
      <w:r w:rsidRPr="0044305A">
        <w:rPr>
          <w:rFonts w:ascii="Times New Roman" w:hAnsi="Times New Roman"/>
          <w:b/>
          <w:bCs/>
          <w:szCs w:val="24"/>
          <w:u w:val="single"/>
        </w:rPr>
        <w:br/>
      </w:r>
    </w:p>
    <w:p w:rsidR="00B24543" w:rsidRPr="00476C39" w:rsidP="005F158F" w14:paraId="6BDE308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Not applicable.  There are no questions of a sensitive nature.</w:t>
      </w:r>
    </w:p>
    <w:p w:rsidR="00323D6B" w:rsidRPr="00476C39" w:rsidP="005F158F" w14:paraId="45F7CE6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p>
    <w:p w:rsidR="00B24543" w:rsidRPr="0044305A" w:rsidP="0044305A" w14:paraId="4EB73EAE"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r w:rsidRPr="0044305A">
        <w:rPr>
          <w:rFonts w:ascii="Times New Roman" w:hAnsi="Times New Roman"/>
          <w:b/>
          <w:szCs w:val="24"/>
          <w:u w:val="single"/>
        </w:rPr>
        <w:t xml:space="preserve">Estimate of burden hours for information requested:  </w:t>
      </w:r>
      <w:r w:rsidRPr="0044305A">
        <w:rPr>
          <w:rFonts w:ascii="Times New Roman" w:hAnsi="Times New Roman"/>
          <w:b/>
          <w:szCs w:val="24"/>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14:paraId="753DE60E" w14:textId="77777777" w:rsidTr="005C3A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shd w:val="clear" w:color="auto" w:fill="auto"/>
          </w:tcPr>
          <w:p w:rsidR="004533B3" w:rsidRPr="004533B3" w:rsidP="005C3A02" w14:paraId="66EC888D" w14:textId="77777777">
            <w:pPr>
              <w:rPr>
                <w:rFonts w:ascii="Times New Roman" w:hAnsi="Times New Roman"/>
                <w:b/>
                <w:bCs/>
              </w:rPr>
            </w:pPr>
            <w:r w:rsidRPr="004533B3">
              <w:rPr>
                <w:rFonts w:ascii="Times New Roman" w:hAnsi="Times New Roman"/>
                <w:b/>
                <w:bCs/>
              </w:rPr>
              <w:t>Number of Respondents</w:t>
            </w:r>
          </w:p>
        </w:tc>
        <w:tc>
          <w:tcPr>
            <w:tcW w:w="1915" w:type="dxa"/>
            <w:shd w:val="clear" w:color="auto" w:fill="auto"/>
          </w:tcPr>
          <w:p w:rsidR="004533B3" w:rsidRPr="004533B3" w:rsidP="005C3A02" w14:paraId="1B3F8648" w14:textId="77777777">
            <w:pPr>
              <w:rPr>
                <w:rFonts w:ascii="Times New Roman" w:hAnsi="Times New Roman"/>
                <w:b/>
                <w:bCs/>
              </w:rPr>
            </w:pPr>
            <w:r w:rsidRPr="004533B3">
              <w:rPr>
                <w:rFonts w:ascii="Times New Roman" w:hAnsi="Times New Roman"/>
                <w:b/>
                <w:bCs/>
              </w:rPr>
              <w:t>Responses Per Respondent</w:t>
            </w:r>
          </w:p>
        </w:tc>
        <w:tc>
          <w:tcPr>
            <w:tcW w:w="1915" w:type="dxa"/>
            <w:shd w:val="clear" w:color="auto" w:fill="auto"/>
          </w:tcPr>
          <w:p w:rsidR="004533B3" w:rsidRPr="004533B3" w:rsidP="005C3A02" w14:paraId="6F0F31B3" w14:textId="77777777">
            <w:pPr>
              <w:rPr>
                <w:rFonts w:ascii="Times New Roman" w:hAnsi="Times New Roman"/>
                <w:b/>
                <w:bCs/>
              </w:rPr>
            </w:pPr>
            <w:r w:rsidRPr="004533B3">
              <w:rPr>
                <w:rFonts w:ascii="Times New Roman" w:hAnsi="Times New Roman"/>
                <w:b/>
                <w:bCs/>
              </w:rPr>
              <w:t>Total Responses Annually</w:t>
            </w:r>
          </w:p>
        </w:tc>
        <w:tc>
          <w:tcPr>
            <w:tcW w:w="1915" w:type="dxa"/>
            <w:shd w:val="clear" w:color="auto" w:fill="auto"/>
          </w:tcPr>
          <w:p w:rsidR="004533B3" w:rsidRPr="004533B3" w:rsidP="005C3A02" w14:paraId="34F28D0D" w14:textId="77777777">
            <w:pPr>
              <w:rPr>
                <w:rFonts w:ascii="Times New Roman" w:hAnsi="Times New Roman"/>
                <w:b/>
                <w:bCs/>
              </w:rPr>
            </w:pPr>
            <w:r w:rsidRPr="004533B3">
              <w:rPr>
                <w:rFonts w:ascii="Times New Roman" w:hAnsi="Times New Roman"/>
                <w:b/>
                <w:bCs/>
              </w:rPr>
              <w:t>Hours Per Response</w:t>
            </w:r>
          </w:p>
        </w:tc>
        <w:tc>
          <w:tcPr>
            <w:tcW w:w="1916" w:type="dxa"/>
            <w:shd w:val="clear" w:color="auto" w:fill="auto"/>
          </w:tcPr>
          <w:p w:rsidR="004533B3" w:rsidRPr="004533B3" w:rsidP="005C3A02" w14:paraId="5819EA49" w14:textId="77777777">
            <w:pPr>
              <w:rPr>
                <w:rFonts w:ascii="Times New Roman" w:hAnsi="Times New Roman"/>
                <w:b/>
                <w:bCs/>
              </w:rPr>
            </w:pPr>
            <w:r w:rsidRPr="004533B3">
              <w:rPr>
                <w:rFonts w:ascii="Times New Roman" w:hAnsi="Times New Roman"/>
                <w:b/>
                <w:bCs/>
              </w:rPr>
              <w:t>Total Hours Annually</w:t>
            </w:r>
          </w:p>
        </w:tc>
      </w:tr>
      <w:tr w14:paraId="40210994" w14:textId="77777777" w:rsidTr="005C3A02">
        <w:tblPrEx>
          <w:tblW w:w="0" w:type="auto"/>
          <w:tblLook w:val="04A0"/>
        </w:tblPrEx>
        <w:tc>
          <w:tcPr>
            <w:tcW w:w="1915" w:type="dxa"/>
            <w:shd w:val="clear" w:color="auto" w:fill="auto"/>
          </w:tcPr>
          <w:p w:rsidR="004533B3" w:rsidRPr="004533B3" w:rsidP="005C3A02" w14:paraId="62AFAABC" w14:textId="77777777">
            <w:pPr>
              <w:rPr>
                <w:rFonts w:ascii="Times New Roman" w:hAnsi="Times New Roman"/>
              </w:rPr>
            </w:pPr>
            <w:r>
              <w:rPr>
                <w:rFonts w:ascii="Times New Roman" w:hAnsi="Times New Roman"/>
              </w:rPr>
              <w:t>60</w:t>
            </w:r>
          </w:p>
        </w:tc>
        <w:tc>
          <w:tcPr>
            <w:tcW w:w="1915" w:type="dxa"/>
            <w:shd w:val="clear" w:color="auto" w:fill="auto"/>
          </w:tcPr>
          <w:p w:rsidR="004533B3" w:rsidRPr="004533B3" w:rsidP="005C3A02" w14:paraId="0835CDAF" w14:textId="77777777">
            <w:pPr>
              <w:rPr>
                <w:rFonts w:ascii="Times New Roman" w:hAnsi="Times New Roman"/>
              </w:rPr>
            </w:pPr>
            <w:r w:rsidRPr="004533B3">
              <w:rPr>
                <w:rFonts w:ascii="Times New Roman" w:hAnsi="Times New Roman"/>
              </w:rPr>
              <w:t>1</w:t>
            </w:r>
          </w:p>
        </w:tc>
        <w:tc>
          <w:tcPr>
            <w:tcW w:w="1915" w:type="dxa"/>
            <w:shd w:val="clear" w:color="auto" w:fill="auto"/>
          </w:tcPr>
          <w:p w:rsidR="004533B3" w:rsidRPr="004533B3" w:rsidP="005C3A02" w14:paraId="13206ED2" w14:textId="77777777">
            <w:pPr>
              <w:rPr>
                <w:rFonts w:ascii="Times New Roman" w:hAnsi="Times New Roman"/>
              </w:rPr>
            </w:pPr>
            <w:r>
              <w:rPr>
                <w:rFonts w:ascii="Times New Roman" w:hAnsi="Times New Roman"/>
              </w:rPr>
              <w:t>60</w:t>
            </w:r>
          </w:p>
        </w:tc>
        <w:tc>
          <w:tcPr>
            <w:tcW w:w="1915" w:type="dxa"/>
            <w:shd w:val="clear" w:color="auto" w:fill="auto"/>
          </w:tcPr>
          <w:p w:rsidR="004533B3" w:rsidRPr="004533B3" w:rsidP="005C3A02" w14:paraId="5E482343" w14:textId="77777777">
            <w:pPr>
              <w:rPr>
                <w:rFonts w:ascii="Times New Roman" w:hAnsi="Times New Roman"/>
              </w:rPr>
            </w:pPr>
            <w:r>
              <w:rPr>
                <w:rFonts w:ascii="Times New Roman" w:hAnsi="Times New Roman"/>
              </w:rPr>
              <w:t>1</w:t>
            </w:r>
          </w:p>
        </w:tc>
        <w:tc>
          <w:tcPr>
            <w:tcW w:w="1916" w:type="dxa"/>
            <w:shd w:val="clear" w:color="auto" w:fill="auto"/>
          </w:tcPr>
          <w:p w:rsidR="004533B3" w:rsidRPr="004533B3" w:rsidP="005C3A02" w14:paraId="107DAB4B" w14:textId="77777777">
            <w:pPr>
              <w:rPr>
                <w:rFonts w:ascii="Times New Roman" w:hAnsi="Times New Roman"/>
              </w:rPr>
            </w:pPr>
            <w:r>
              <w:rPr>
                <w:rFonts w:ascii="Times New Roman" w:hAnsi="Times New Roman"/>
              </w:rPr>
              <w:t>6</w:t>
            </w:r>
            <w:r>
              <w:rPr>
                <w:rFonts w:ascii="Times New Roman" w:hAnsi="Times New Roman"/>
              </w:rPr>
              <w:t>0</w:t>
            </w:r>
          </w:p>
        </w:tc>
      </w:tr>
      <w:tr w14:paraId="1DDE8F19" w14:textId="77777777" w:rsidTr="005C3A02">
        <w:tblPrEx>
          <w:tblW w:w="0" w:type="auto"/>
          <w:tblLook w:val="04A0"/>
        </w:tblPrEx>
        <w:tc>
          <w:tcPr>
            <w:tcW w:w="9576" w:type="dxa"/>
            <w:gridSpan w:val="5"/>
            <w:shd w:val="clear" w:color="auto" w:fill="D9D9D9"/>
          </w:tcPr>
          <w:p w:rsidR="004533B3" w:rsidRPr="004533B3" w:rsidP="005C3A02" w14:paraId="4E79487C" w14:textId="77777777">
            <w:pPr>
              <w:rPr>
                <w:rFonts w:ascii="Times New Roman" w:hAnsi="Times New Roman"/>
              </w:rPr>
            </w:pPr>
          </w:p>
        </w:tc>
      </w:tr>
      <w:tr w14:paraId="3BF574A1" w14:textId="77777777" w:rsidTr="005C3A02">
        <w:tblPrEx>
          <w:tblW w:w="0" w:type="auto"/>
          <w:tblLook w:val="04A0"/>
        </w:tblPrEx>
        <w:trPr>
          <w:trHeight w:val="1160"/>
        </w:trPr>
        <w:tc>
          <w:tcPr>
            <w:tcW w:w="1915" w:type="dxa"/>
            <w:shd w:val="clear" w:color="auto" w:fill="auto"/>
          </w:tcPr>
          <w:p w:rsidR="004533B3" w:rsidRPr="004533B3" w:rsidP="005C3A02" w14:paraId="7E246195" w14:textId="77777777">
            <w:pPr>
              <w:rPr>
                <w:rFonts w:ascii="Times New Roman" w:hAnsi="Times New Roman"/>
                <w:b/>
                <w:bCs/>
              </w:rPr>
            </w:pPr>
            <w:r w:rsidRPr="004533B3">
              <w:rPr>
                <w:rFonts w:ascii="Times New Roman" w:hAnsi="Times New Roman"/>
                <w:b/>
                <w:bCs/>
              </w:rPr>
              <w:t>Estimated Annual Cost Pe</w:t>
            </w:r>
            <w:r>
              <w:rPr>
                <w:rFonts w:ascii="Times New Roman" w:hAnsi="Times New Roman"/>
                <w:b/>
                <w:bCs/>
              </w:rPr>
              <w:t>r Accountant Response</w:t>
            </w:r>
          </w:p>
        </w:tc>
        <w:tc>
          <w:tcPr>
            <w:tcW w:w="1915" w:type="dxa"/>
            <w:shd w:val="clear" w:color="auto" w:fill="auto"/>
          </w:tcPr>
          <w:p w:rsidR="004533B3" w:rsidRPr="004533B3" w:rsidP="005C3A02" w14:paraId="54C09779" w14:textId="77777777">
            <w:pPr>
              <w:rPr>
                <w:rFonts w:ascii="Times New Roman" w:hAnsi="Times New Roman"/>
                <w:b/>
                <w:bCs/>
              </w:rPr>
            </w:pPr>
            <w:r w:rsidRPr="004533B3">
              <w:rPr>
                <w:rFonts w:ascii="Times New Roman" w:hAnsi="Times New Roman"/>
                <w:b/>
                <w:bCs/>
              </w:rPr>
              <w:t>Hours Per Response</w:t>
            </w:r>
          </w:p>
        </w:tc>
        <w:tc>
          <w:tcPr>
            <w:tcW w:w="1915" w:type="dxa"/>
            <w:shd w:val="clear" w:color="auto" w:fill="auto"/>
          </w:tcPr>
          <w:p w:rsidR="004533B3" w:rsidRPr="004533B3" w:rsidP="005C3A02" w14:paraId="7B7FF105" w14:textId="77777777">
            <w:pPr>
              <w:rPr>
                <w:rFonts w:ascii="Times New Roman" w:hAnsi="Times New Roman"/>
                <w:b/>
                <w:bCs/>
              </w:rPr>
            </w:pPr>
            <w:r w:rsidRPr="004533B3">
              <w:rPr>
                <w:rFonts w:ascii="Times New Roman" w:hAnsi="Times New Roman"/>
                <w:b/>
                <w:bCs/>
              </w:rPr>
              <w:t>Total Per Response Before Multiplier</w:t>
            </w:r>
          </w:p>
        </w:tc>
        <w:tc>
          <w:tcPr>
            <w:tcW w:w="1915" w:type="dxa"/>
            <w:shd w:val="clear" w:color="auto" w:fill="auto"/>
          </w:tcPr>
          <w:p w:rsidR="004533B3" w:rsidRPr="004533B3" w:rsidP="005C3A02" w14:paraId="764E3484" w14:textId="77777777">
            <w:pPr>
              <w:rPr>
                <w:rFonts w:ascii="Times New Roman" w:hAnsi="Times New Roman"/>
                <w:b/>
                <w:bCs/>
              </w:rPr>
            </w:pPr>
            <w:r w:rsidRPr="004533B3">
              <w:rPr>
                <w:rFonts w:ascii="Times New Roman" w:hAnsi="Times New Roman"/>
                <w:b/>
                <w:bCs/>
              </w:rPr>
              <w:t>Benefits Multiplier of 1.4</w:t>
            </w:r>
          </w:p>
        </w:tc>
        <w:tc>
          <w:tcPr>
            <w:tcW w:w="1916" w:type="dxa"/>
            <w:shd w:val="clear" w:color="auto" w:fill="auto"/>
          </w:tcPr>
          <w:p w:rsidR="004533B3" w:rsidRPr="004533B3" w:rsidP="005C3A02" w14:paraId="314194C7" w14:textId="77777777">
            <w:pPr>
              <w:rPr>
                <w:rFonts w:ascii="Times New Roman" w:hAnsi="Times New Roman"/>
                <w:b/>
                <w:bCs/>
              </w:rPr>
            </w:pPr>
            <w:r w:rsidRPr="004533B3">
              <w:rPr>
                <w:rFonts w:ascii="Times New Roman" w:hAnsi="Times New Roman"/>
                <w:b/>
                <w:bCs/>
              </w:rPr>
              <w:t xml:space="preserve">Total Cost for </w:t>
            </w:r>
            <w:r w:rsidR="00BE31FE">
              <w:rPr>
                <w:rFonts w:ascii="Times New Roman" w:hAnsi="Times New Roman"/>
                <w:b/>
                <w:bCs/>
              </w:rPr>
              <w:t xml:space="preserve">60 </w:t>
            </w:r>
            <w:r w:rsidRPr="004533B3">
              <w:rPr>
                <w:rFonts w:ascii="Times New Roman" w:hAnsi="Times New Roman"/>
                <w:b/>
                <w:bCs/>
              </w:rPr>
              <w:t>Respondents Annually</w:t>
            </w:r>
          </w:p>
        </w:tc>
      </w:tr>
      <w:tr w14:paraId="246DA4D6" w14:textId="77777777" w:rsidTr="005C3A02">
        <w:tblPrEx>
          <w:tblW w:w="0" w:type="auto"/>
          <w:tblLook w:val="04A0"/>
        </w:tblPrEx>
        <w:tc>
          <w:tcPr>
            <w:tcW w:w="1915" w:type="dxa"/>
            <w:shd w:val="clear" w:color="auto" w:fill="auto"/>
          </w:tcPr>
          <w:p w:rsidR="004533B3" w:rsidRPr="004533B3" w:rsidP="005C3A02" w14:paraId="52881243" w14:textId="77777777">
            <w:pPr>
              <w:rPr>
                <w:rFonts w:ascii="Times New Roman" w:hAnsi="Times New Roman"/>
              </w:rPr>
            </w:pPr>
            <w:r w:rsidRPr="004533B3">
              <w:rPr>
                <w:rFonts w:ascii="Times New Roman" w:hAnsi="Times New Roman"/>
              </w:rPr>
              <w:t>$</w:t>
            </w:r>
            <w:r>
              <w:rPr>
                <w:rFonts w:ascii="Times New Roman" w:hAnsi="Times New Roman"/>
              </w:rPr>
              <w:t>40.37</w:t>
            </w:r>
          </w:p>
        </w:tc>
        <w:tc>
          <w:tcPr>
            <w:tcW w:w="1915" w:type="dxa"/>
            <w:shd w:val="clear" w:color="auto" w:fill="auto"/>
          </w:tcPr>
          <w:p w:rsidR="004533B3" w:rsidRPr="004533B3" w:rsidP="005C3A02" w14:paraId="49318302" w14:textId="77777777">
            <w:pPr>
              <w:rPr>
                <w:rFonts w:ascii="Times New Roman" w:hAnsi="Times New Roman"/>
              </w:rPr>
            </w:pPr>
            <w:r>
              <w:rPr>
                <w:rFonts w:ascii="Times New Roman" w:hAnsi="Times New Roman"/>
              </w:rPr>
              <w:t>1</w:t>
            </w:r>
          </w:p>
        </w:tc>
        <w:tc>
          <w:tcPr>
            <w:tcW w:w="1915" w:type="dxa"/>
            <w:shd w:val="clear" w:color="auto" w:fill="auto"/>
          </w:tcPr>
          <w:p w:rsidR="004533B3" w:rsidRPr="004533B3" w:rsidP="005C3A02" w14:paraId="0B7BC86F" w14:textId="77777777">
            <w:pPr>
              <w:rPr>
                <w:rFonts w:ascii="Times New Roman" w:hAnsi="Times New Roman"/>
              </w:rPr>
            </w:pPr>
            <w:r w:rsidRPr="004533B3">
              <w:rPr>
                <w:rFonts w:ascii="Times New Roman" w:hAnsi="Times New Roman"/>
              </w:rPr>
              <w:t>$</w:t>
            </w:r>
            <w:r w:rsidR="00C17059">
              <w:rPr>
                <w:rFonts w:ascii="Times New Roman" w:hAnsi="Times New Roman"/>
              </w:rPr>
              <w:t>40.37</w:t>
            </w:r>
          </w:p>
        </w:tc>
        <w:tc>
          <w:tcPr>
            <w:tcW w:w="1915" w:type="dxa"/>
            <w:shd w:val="clear" w:color="auto" w:fill="auto"/>
          </w:tcPr>
          <w:p w:rsidR="004533B3" w:rsidRPr="004533B3" w:rsidP="005C3A02" w14:paraId="26C50299" w14:textId="77777777">
            <w:pPr>
              <w:rPr>
                <w:rFonts w:ascii="Times New Roman" w:hAnsi="Times New Roman"/>
              </w:rPr>
            </w:pPr>
            <w:r w:rsidRPr="004533B3">
              <w:rPr>
                <w:rFonts w:ascii="Times New Roman" w:hAnsi="Times New Roman"/>
              </w:rPr>
              <w:t>$</w:t>
            </w:r>
            <w:r w:rsidR="00C17059">
              <w:rPr>
                <w:rFonts w:ascii="Times New Roman" w:hAnsi="Times New Roman"/>
              </w:rPr>
              <w:t>56.52</w:t>
            </w:r>
          </w:p>
        </w:tc>
        <w:tc>
          <w:tcPr>
            <w:tcW w:w="1916" w:type="dxa"/>
            <w:shd w:val="clear" w:color="auto" w:fill="auto"/>
          </w:tcPr>
          <w:p w:rsidR="004533B3" w:rsidRPr="004533B3" w:rsidP="005C3A02" w14:paraId="6F016ADD" w14:textId="77777777">
            <w:pPr>
              <w:rPr>
                <w:rFonts w:ascii="Times New Roman" w:hAnsi="Times New Roman"/>
              </w:rPr>
            </w:pPr>
            <w:r w:rsidRPr="004533B3">
              <w:rPr>
                <w:rFonts w:ascii="Times New Roman" w:hAnsi="Times New Roman"/>
              </w:rPr>
              <w:t>$</w:t>
            </w:r>
            <w:r w:rsidR="00C17059">
              <w:rPr>
                <w:rFonts w:ascii="Times New Roman" w:hAnsi="Times New Roman"/>
              </w:rPr>
              <w:t>3,391.20</w:t>
            </w:r>
          </w:p>
        </w:tc>
      </w:tr>
      <w:tr w14:paraId="74F82750" w14:textId="77777777" w:rsidTr="005C3A02">
        <w:tblPrEx>
          <w:tblW w:w="0" w:type="auto"/>
          <w:tblLook w:val="04A0"/>
        </w:tblPrEx>
        <w:tc>
          <w:tcPr>
            <w:tcW w:w="1915" w:type="dxa"/>
            <w:shd w:val="clear" w:color="auto" w:fill="auto"/>
          </w:tcPr>
          <w:p w:rsidR="004533B3" w:rsidRPr="004533B3" w:rsidP="004533B3" w14:paraId="1D5965A9" w14:textId="77777777">
            <w:pPr>
              <w:rPr>
                <w:rFonts w:ascii="Times New Roman" w:hAnsi="Times New Roman"/>
              </w:rPr>
            </w:pPr>
            <w:r w:rsidRPr="004533B3">
              <w:rPr>
                <w:rFonts w:ascii="Times New Roman" w:hAnsi="Times New Roman"/>
                <w:b/>
                <w:bCs/>
              </w:rPr>
              <w:t>Estimated Annual Cost Pe</w:t>
            </w:r>
            <w:r>
              <w:rPr>
                <w:rFonts w:ascii="Times New Roman" w:hAnsi="Times New Roman"/>
                <w:b/>
                <w:bCs/>
              </w:rPr>
              <w:t>r Clerical Worker Response</w:t>
            </w:r>
          </w:p>
        </w:tc>
        <w:tc>
          <w:tcPr>
            <w:tcW w:w="1915" w:type="dxa"/>
            <w:shd w:val="clear" w:color="auto" w:fill="auto"/>
          </w:tcPr>
          <w:p w:rsidR="004533B3" w:rsidRPr="004533B3" w:rsidP="004533B3" w14:paraId="099DB58D" w14:textId="77777777">
            <w:pPr>
              <w:rPr>
                <w:rFonts w:ascii="Times New Roman" w:hAnsi="Times New Roman"/>
              </w:rPr>
            </w:pPr>
            <w:r w:rsidRPr="004533B3">
              <w:rPr>
                <w:rFonts w:ascii="Times New Roman" w:hAnsi="Times New Roman"/>
                <w:b/>
                <w:bCs/>
              </w:rPr>
              <w:t>Hours Per Response</w:t>
            </w:r>
          </w:p>
        </w:tc>
        <w:tc>
          <w:tcPr>
            <w:tcW w:w="1915" w:type="dxa"/>
            <w:shd w:val="clear" w:color="auto" w:fill="auto"/>
          </w:tcPr>
          <w:p w:rsidR="004533B3" w:rsidRPr="004533B3" w:rsidP="004533B3" w14:paraId="024A9BB2" w14:textId="77777777">
            <w:pPr>
              <w:rPr>
                <w:rFonts w:ascii="Times New Roman" w:hAnsi="Times New Roman"/>
              </w:rPr>
            </w:pPr>
            <w:r w:rsidRPr="004533B3">
              <w:rPr>
                <w:rFonts w:ascii="Times New Roman" w:hAnsi="Times New Roman"/>
                <w:b/>
                <w:bCs/>
              </w:rPr>
              <w:t>Total Per Response Before Multiplier</w:t>
            </w:r>
          </w:p>
        </w:tc>
        <w:tc>
          <w:tcPr>
            <w:tcW w:w="1915" w:type="dxa"/>
            <w:shd w:val="clear" w:color="auto" w:fill="auto"/>
          </w:tcPr>
          <w:p w:rsidR="004533B3" w:rsidRPr="004533B3" w:rsidP="004533B3" w14:paraId="0343BB5B" w14:textId="77777777">
            <w:pPr>
              <w:rPr>
                <w:rFonts w:ascii="Times New Roman" w:hAnsi="Times New Roman"/>
              </w:rPr>
            </w:pPr>
            <w:r w:rsidRPr="004533B3">
              <w:rPr>
                <w:rFonts w:ascii="Times New Roman" w:hAnsi="Times New Roman"/>
                <w:b/>
                <w:bCs/>
              </w:rPr>
              <w:t>Benefits Multiplier of 1.4</w:t>
            </w:r>
          </w:p>
        </w:tc>
        <w:tc>
          <w:tcPr>
            <w:tcW w:w="1916" w:type="dxa"/>
            <w:shd w:val="clear" w:color="auto" w:fill="auto"/>
          </w:tcPr>
          <w:p w:rsidR="004533B3" w:rsidRPr="004533B3" w:rsidP="004533B3" w14:paraId="587754AC" w14:textId="77777777">
            <w:pPr>
              <w:rPr>
                <w:rFonts w:ascii="Times New Roman" w:hAnsi="Times New Roman"/>
              </w:rPr>
            </w:pPr>
            <w:r w:rsidRPr="004533B3">
              <w:rPr>
                <w:rFonts w:ascii="Times New Roman" w:hAnsi="Times New Roman"/>
                <w:b/>
                <w:bCs/>
              </w:rPr>
              <w:t xml:space="preserve">Total Cost for </w:t>
            </w:r>
            <w:r w:rsidR="00BE31FE">
              <w:rPr>
                <w:rFonts w:ascii="Times New Roman" w:hAnsi="Times New Roman"/>
                <w:b/>
                <w:bCs/>
              </w:rPr>
              <w:t xml:space="preserve">60 </w:t>
            </w:r>
            <w:r w:rsidRPr="004533B3">
              <w:rPr>
                <w:rFonts w:ascii="Times New Roman" w:hAnsi="Times New Roman"/>
                <w:b/>
                <w:bCs/>
              </w:rPr>
              <w:t>Respondents Annually</w:t>
            </w:r>
          </w:p>
        </w:tc>
      </w:tr>
      <w:tr w14:paraId="51F6E22D" w14:textId="77777777" w:rsidTr="005C3A02">
        <w:tblPrEx>
          <w:tblW w:w="0" w:type="auto"/>
          <w:tblLook w:val="04A0"/>
        </w:tblPrEx>
        <w:tc>
          <w:tcPr>
            <w:tcW w:w="1915" w:type="dxa"/>
            <w:shd w:val="clear" w:color="auto" w:fill="auto"/>
          </w:tcPr>
          <w:p w:rsidR="004533B3" w:rsidRPr="00BE31FE" w:rsidP="004533B3" w14:paraId="6F0922A5" w14:textId="77777777">
            <w:pPr>
              <w:rPr>
                <w:rFonts w:ascii="Times New Roman" w:hAnsi="Times New Roman"/>
              </w:rPr>
            </w:pPr>
            <w:r>
              <w:rPr>
                <w:rFonts w:ascii="Times New Roman" w:hAnsi="Times New Roman"/>
              </w:rPr>
              <w:t>$18.98</w:t>
            </w:r>
          </w:p>
        </w:tc>
        <w:tc>
          <w:tcPr>
            <w:tcW w:w="1915" w:type="dxa"/>
            <w:shd w:val="clear" w:color="auto" w:fill="auto"/>
          </w:tcPr>
          <w:p w:rsidR="004533B3" w:rsidRPr="00BE31FE" w:rsidP="004533B3" w14:paraId="4C82F413" w14:textId="77777777">
            <w:pPr>
              <w:rPr>
                <w:rFonts w:ascii="Times New Roman" w:hAnsi="Times New Roman"/>
              </w:rPr>
            </w:pPr>
            <w:r>
              <w:rPr>
                <w:rFonts w:ascii="Times New Roman" w:hAnsi="Times New Roman"/>
              </w:rPr>
              <w:t>1</w:t>
            </w:r>
          </w:p>
        </w:tc>
        <w:tc>
          <w:tcPr>
            <w:tcW w:w="1915" w:type="dxa"/>
            <w:shd w:val="clear" w:color="auto" w:fill="auto"/>
          </w:tcPr>
          <w:p w:rsidR="004533B3" w:rsidRPr="00BE31FE" w:rsidP="004533B3" w14:paraId="56DA588A" w14:textId="77777777">
            <w:pPr>
              <w:rPr>
                <w:rFonts w:ascii="Times New Roman" w:hAnsi="Times New Roman"/>
              </w:rPr>
            </w:pPr>
            <w:r>
              <w:rPr>
                <w:rFonts w:ascii="Times New Roman" w:hAnsi="Times New Roman"/>
              </w:rPr>
              <w:t>$</w:t>
            </w:r>
            <w:r w:rsidR="00C17059">
              <w:rPr>
                <w:rFonts w:ascii="Times New Roman" w:hAnsi="Times New Roman"/>
              </w:rPr>
              <w:t>18.98</w:t>
            </w:r>
          </w:p>
        </w:tc>
        <w:tc>
          <w:tcPr>
            <w:tcW w:w="1915" w:type="dxa"/>
            <w:shd w:val="clear" w:color="auto" w:fill="auto"/>
          </w:tcPr>
          <w:p w:rsidR="004533B3" w:rsidRPr="00BE31FE" w:rsidP="004533B3" w14:paraId="11838598" w14:textId="77777777">
            <w:pPr>
              <w:rPr>
                <w:rFonts w:ascii="Times New Roman" w:hAnsi="Times New Roman"/>
              </w:rPr>
            </w:pPr>
            <w:r>
              <w:rPr>
                <w:rFonts w:ascii="Times New Roman" w:hAnsi="Times New Roman"/>
              </w:rPr>
              <w:t>$</w:t>
            </w:r>
            <w:r w:rsidR="00C17059">
              <w:rPr>
                <w:rFonts w:ascii="Times New Roman" w:hAnsi="Times New Roman"/>
              </w:rPr>
              <w:t>26.57</w:t>
            </w:r>
          </w:p>
        </w:tc>
        <w:tc>
          <w:tcPr>
            <w:tcW w:w="1916" w:type="dxa"/>
            <w:shd w:val="clear" w:color="auto" w:fill="auto"/>
          </w:tcPr>
          <w:p w:rsidR="004533B3" w:rsidRPr="00BE31FE" w:rsidP="004533B3" w14:paraId="7DA8DB6D" w14:textId="77777777">
            <w:pPr>
              <w:rPr>
                <w:rFonts w:ascii="Times New Roman" w:hAnsi="Times New Roman"/>
              </w:rPr>
            </w:pPr>
            <w:r>
              <w:rPr>
                <w:rFonts w:ascii="Times New Roman" w:hAnsi="Times New Roman"/>
              </w:rPr>
              <w:t>$</w:t>
            </w:r>
            <w:r w:rsidR="00C17059">
              <w:rPr>
                <w:rFonts w:ascii="Times New Roman" w:hAnsi="Times New Roman"/>
              </w:rPr>
              <w:t>1,594.20</w:t>
            </w:r>
          </w:p>
        </w:tc>
      </w:tr>
      <w:tr w14:paraId="31162326" w14:textId="77777777" w:rsidTr="005C3A02">
        <w:tblPrEx>
          <w:tblW w:w="0" w:type="auto"/>
          <w:tblLook w:val="04A0"/>
        </w:tblPrEx>
        <w:tc>
          <w:tcPr>
            <w:tcW w:w="5745" w:type="dxa"/>
            <w:gridSpan w:val="3"/>
            <w:shd w:val="clear" w:color="auto" w:fill="BFBFBF"/>
          </w:tcPr>
          <w:p w:rsidR="004533B3" w:rsidRPr="004533B3" w:rsidP="004533B3" w14:paraId="074FC2AD" w14:textId="77777777">
            <w:pPr>
              <w:rPr>
                <w:rFonts w:ascii="Times New Roman" w:hAnsi="Times New Roman"/>
                <w:b/>
                <w:bCs/>
              </w:rPr>
            </w:pPr>
          </w:p>
        </w:tc>
        <w:tc>
          <w:tcPr>
            <w:tcW w:w="1915" w:type="dxa"/>
            <w:shd w:val="clear" w:color="auto" w:fill="auto"/>
          </w:tcPr>
          <w:p w:rsidR="004533B3" w:rsidRPr="004533B3" w:rsidP="004533B3" w14:paraId="19EC10A9" w14:textId="77777777">
            <w:pPr>
              <w:rPr>
                <w:rFonts w:ascii="Times New Roman" w:hAnsi="Times New Roman"/>
                <w:b/>
                <w:bCs/>
              </w:rPr>
            </w:pPr>
            <w:r>
              <w:rPr>
                <w:rFonts w:ascii="Times New Roman" w:hAnsi="Times New Roman"/>
                <w:b/>
                <w:bCs/>
              </w:rPr>
              <w:t>Combined Total</w:t>
            </w:r>
          </w:p>
        </w:tc>
        <w:tc>
          <w:tcPr>
            <w:tcW w:w="1916" w:type="dxa"/>
            <w:shd w:val="clear" w:color="auto" w:fill="auto"/>
          </w:tcPr>
          <w:p w:rsidR="004533B3" w:rsidRPr="00BE31FE" w:rsidP="004533B3" w14:paraId="1047E483" w14:textId="77777777">
            <w:pPr>
              <w:rPr>
                <w:rFonts w:ascii="Times New Roman" w:hAnsi="Times New Roman"/>
              </w:rPr>
            </w:pPr>
            <w:r>
              <w:rPr>
                <w:rFonts w:ascii="Times New Roman" w:hAnsi="Times New Roman"/>
              </w:rPr>
              <w:t>$</w:t>
            </w:r>
            <w:r w:rsidR="00C17059">
              <w:rPr>
                <w:rFonts w:ascii="Times New Roman" w:hAnsi="Times New Roman"/>
              </w:rPr>
              <w:t>4,985.40</w:t>
            </w:r>
          </w:p>
        </w:tc>
      </w:tr>
    </w:tbl>
    <w:p w:rsidR="00BE31FE" w:rsidRPr="00476C39" w:rsidP="00BE31FE" w14:paraId="394F2D1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A determination of the estimated number of hours required per response was made after consultation with several respondents.</w:t>
      </w:r>
    </w:p>
    <w:p w:rsidR="00BE31FE" w:rsidRPr="00476C39" w:rsidP="00BE31FE" w14:paraId="2D80AAD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E31FE" w:rsidRPr="00476C39" w:rsidP="00BE31FE" w14:paraId="3C2790E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 xml:space="preserve">In addition, it is estimated that 2 employees in the </w:t>
      </w:r>
      <w:r>
        <w:rPr>
          <w:rFonts w:ascii="Times New Roman" w:hAnsi="Times New Roman"/>
          <w:szCs w:val="24"/>
        </w:rPr>
        <w:t>above</w:t>
      </w:r>
      <w:r w:rsidRPr="00476C39">
        <w:rPr>
          <w:rFonts w:ascii="Times New Roman" w:hAnsi="Times New Roman"/>
          <w:szCs w:val="24"/>
        </w:rPr>
        <w:t xml:space="preserve"> listed areas together spend </w:t>
      </w:r>
      <w:r w:rsidR="00C17059">
        <w:rPr>
          <w:rFonts w:ascii="Times New Roman" w:hAnsi="Times New Roman"/>
          <w:szCs w:val="24"/>
        </w:rPr>
        <w:t>1</w:t>
      </w:r>
      <w:r w:rsidRPr="00476C39">
        <w:rPr>
          <w:rFonts w:ascii="Times New Roman" w:hAnsi="Times New Roman"/>
          <w:szCs w:val="24"/>
        </w:rPr>
        <w:t xml:space="preserve"> hour</w:t>
      </w:r>
      <w:r w:rsidR="00C17059">
        <w:rPr>
          <w:rFonts w:ascii="Times New Roman" w:hAnsi="Times New Roman"/>
          <w:szCs w:val="24"/>
        </w:rPr>
        <w:t xml:space="preserve"> each</w:t>
      </w:r>
      <w:r w:rsidRPr="00476C39">
        <w:rPr>
          <w:rFonts w:ascii="Times New Roman" w:hAnsi="Times New Roman"/>
          <w:szCs w:val="24"/>
        </w:rPr>
        <w:t xml:space="preserve"> of their time collecting and assimi</w:t>
      </w:r>
      <w:r w:rsidRPr="00476C39">
        <w:rPr>
          <w:rFonts w:ascii="Times New Roman" w:hAnsi="Times New Roman"/>
          <w:szCs w:val="24"/>
        </w:rPr>
        <w:softHyphen/>
        <w:t>lat</w:t>
      </w:r>
      <w:r w:rsidRPr="00476C39">
        <w:rPr>
          <w:rFonts w:ascii="Times New Roman" w:hAnsi="Times New Roman"/>
          <w:szCs w:val="24"/>
        </w:rPr>
        <w:softHyphen/>
        <w:t xml:space="preserve">ing the information submitted with each response. </w:t>
      </w:r>
    </w:p>
    <w:p w:rsidR="004533B3" w:rsidRPr="004533B3" w:rsidP="004533B3" w14:paraId="54EF366D" w14:textId="77777777">
      <w:pPr>
        <w:rPr>
          <w:rFonts w:ascii="Times New Roman" w:hAnsi="Times New Roman"/>
        </w:rPr>
      </w:pPr>
    </w:p>
    <w:p w:rsidR="004533B3" w:rsidRPr="004533B3" w:rsidP="004533B3" w14:paraId="7807D022" w14:textId="77777777">
      <w:pPr>
        <w:pStyle w:val="CommentText"/>
        <w:rPr>
          <w:rStyle w:val="Hyperlink"/>
          <w:rFonts w:ascii="Times New Roman" w:hAnsi="Times New Roman"/>
          <w:sz w:val="24"/>
          <w:szCs w:val="24"/>
        </w:rPr>
      </w:pPr>
      <w:r w:rsidRPr="004533B3">
        <w:rPr>
          <w:rFonts w:ascii="Times New Roman" w:hAnsi="Times New Roman"/>
          <w:sz w:val="24"/>
          <w:szCs w:val="24"/>
        </w:rPr>
        <w:t xml:space="preserve">* This mean hourly wage rate is based on the </w:t>
      </w:r>
      <w:hyperlink r:id="rId4" w:history="1">
        <w:r w:rsidRPr="00BE31FE">
          <w:rPr>
            <w:rStyle w:val="Hyperlink"/>
            <w:rFonts w:ascii="Times New Roman" w:hAnsi="Times New Roman"/>
            <w:sz w:val="24"/>
            <w:szCs w:val="24"/>
          </w:rPr>
          <w:t>Bureau of Labor Statistics Occup</w:t>
        </w:r>
        <w:r w:rsidRPr="00BE31FE">
          <w:rPr>
            <w:rStyle w:val="Hyperlink"/>
            <w:rFonts w:ascii="Times New Roman" w:hAnsi="Times New Roman"/>
            <w:sz w:val="24"/>
            <w:szCs w:val="24"/>
          </w:rPr>
          <w:t>a</w:t>
        </w:r>
        <w:r w:rsidRPr="00BE31FE">
          <w:rPr>
            <w:rStyle w:val="Hyperlink"/>
            <w:rFonts w:ascii="Times New Roman" w:hAnsi="Times New Roman"/>
            <w:sz w:val="24"/>
            <w:szCs w:val="24"/>
          </w:rPr>
          <w:t>tional Employment and Wages, May 2021 data for Category 13-2011 Accountants and 43-900 Administrative Assistants.</w:t>
        </w:r>
      </w:hyperlink>
      <w:r w:rsidRPr="004533B3">
        <w:rPr>
          <w:rFonts w:ascii="Times New Roman" w:hAnsi="Times New Roman"/>
          <w:sz w:val="24"/>
          <w:szCs w:val="24"/>
        </w:rPr>
        <w:t xml:space="preserve"> </w:t>
      </w:r>
    </w:p>
    <w:p w:rsidR="00B24543" w:rsidRPr="00476C39" w:rsidP="005F158F" w14:paraId="5EC88EB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P="0044305A" w14:paraId="4F176E06"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44305A">
        <w:rPr>
          <w:rFonts w:ascii="Times New Roman" w:hAnsi="Times New Roman"/>
          <w:b/>
          <w:szCs w:val="24"/>
          <w:u w:val="single"/>
        </w:rPr>
        <w:t>Estimate of total annual costs to respondents.</w:t>
      </w:r>
      <w:r w:rsidRPr="0044305A">
        <w:rPr>
          <w:rFonts w:ascii="Times New Roman" w:hAnsi="Times New Roman"/>
          <w:b/>
          <w:szCs w:val="24"/>
        </w:rPr>
        <w:t xml:space="preserve">  </w:t>
      </w:r>
    </w:p>
    <w:p w:rsidR="0044305A" w:rsidRPr="00476C39" w:rsidP="0044305A" w14:paraId="50E4C5D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szCs w:val="24"/>
        </w:rPr>
      </w:pPr>
    </w:p>
    <w:p w:rsidR="00B24543" w:rsidRPr="00476C39" w:rsidP="005F158F" w14:paraId="7386343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 xml:space="preserve">(a)  </w:t>
      </w:r>
      <w:r w:rsidRPr="00476C39">
        <w:rPr>
          <w:rFonts w:ascii="Times New Roman" w:hAnsi="Times New Roman"/>
          <w:szCs w:val="24"/>
          <w:u w:val="single"/>
        </w:rPr>
        <w:t>Total Capital and Start-Up Costs Estimate</w:t>
      </w:r>
      <w:r w:rsidRPr="00476C39">
        <w:rPr>
          <w:rFonts w:ascii="Times New Roman" w:hAnsi="Times New Roman"/>
          <w:szCs w:val="24"/>
        </w:rPr>
        <w:t xml:space="preserve">: </w:t>
      </w:r>
      <w:r w:rsidRPr="0044305A">
        <w:rPr>
          <w:rFonts w:ascii="Times New Roman" w:hAnsi="Times New Roman"/>
          <w:bCs/>
          <w:szCs w:val="24"/>
        </w:rPr>
        <w:t>None</w:t>
      </w:r>
    </w:p>
    <w:p w:rsidR="00B24543" w:rsidRPr="00476C39" w:rsidP="005F158F" w14:paraId="7E8D6EBA" w14:textId="7777777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76C39" w:rsidP="005F158F" w14:paraId="12DDCC7C" w14:textId="77777777">
      <w:pPr>
        <w:numPr>
          <w:ilvl w:val="0"/>
          <w:numId w:val="2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 xml:space="preserve"> </w:t>
      </w:r>
      <w:r w:rsidRPr="00476C39">
        <w:rPr>
          <w:rFonts w:ascii="Times New Roman" w:hAnsi="Times New Roman"/>
          <w:szCs w:val="24"/>
          <w:u w:val="single"/>
        </w:rPr>
        <w:t>Total Operation and Maintenance and Purchase of Services Estimate</w:t>
      </w:r>
      <w:r w:rsidRPr="00476C39">
        <w:rPr>
          <w:rFonts w:ascii="Times New Roman" w:hAnsi="Times New Roman"/>
          <w:szCs w:val="24"/>
        </w:rPr>
        <w:t xml:space="preserve">:  </w:t>
      </w:r>
      <w:r w:rsidRPr="0044305A">
        <w:rPr>
          <w:rFonts w:ascii="Times New Roman" w:hAnsi="Times New Roman"/>
          <w:bCs/>
          <w:szCs w:val="24"/>
        </w:rPr>
        <w:t>None</w:t>
      </w:r>
    </w:p>
    <w:p w:rsidR="00B24543" w:rsidRPr="00476C39" w:rsidP="005F158F" w14:paraId="61FA6EB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Cs w:val="24"/>
        </w:rPr>
      </w:pPr>
      <w:r w:rsidRPr="00476C39">
        <w:rPr>
          <w:rFonts w:ascii="Times New Roman" w:hAnsi="Times New Roman"/>
          <w:szCs w:val="24"/>
        </w:rPr>
        <w:tab/>
      </w:r>
      <w:r w:rsidRPr="00476C39">
        <w:rPr>
          <w:rFonts w:ascii="Times New Roman" w:hAnsi="Times New Roman"/>
          <w:szCs w:val="24"/>
        </w:rPr>
        <w:tab/>
      </w:r>
    </w:p>
    <w:p w:rsidR="00B24543" w:rsidRPr="0044305A" w:rsidP="0044305A" w14:paraId="5F7628C3"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r w:rsidRPr="0044305A">
        <w:rPr>
          <w:rFonts w:ascii="Times New Roman" w:hAnsi="Times New Roman"/>
          <w:b/>
          <w:szCs w:val="24"/>
          <w:u w:val="single"/>
        </w:rPr>
        <w:t xml:space="preserve">Estimate of cost to the Federal government.  </w:t>
      </w:r>
      <w:r>
        <w:rPr>
          <w:rFonts w:ascii="Times New Roman" w:hAnsi="Times New Roman"/>
          <w:b/>
          <w:szCs w:val="24"/>
          <w:u w:val="single"/>
        </w:rPr>
        <w:br/>
      </w:r>
    </w:p>
    <w:p w:rsidR="00B24543" w:rsidRPr="00476C39" w:rsidP="005F158F" w14:paraId="5306A93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The total annual cost to the Federal Government for processing the collection is estimated as follows:</w:t>
      </w:r>
    </w:p>
    <w:p w:rsidR="00B24543" w:rsidRPr="00476C39" w:rsidP="005F158F" w14:paraId="41967DC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76C39" w:rsidP="005F158F" w14:paraId="4564B44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476C39">
        <w:rPr>
          <w:rFonts w:ascii="Times New Roman" w:hAnsi="Times New Roman"/>
          <w:b/>
          <w:szCs w:val="24"/>
          <w:u w:val="single"/>
        </w:rPr>
        <w:t>One-time Costs</w:t>
      </w:r>
      <w:r w:rsidRPr="00476C39">
        <w:rPr>
          <w:rFonts w:ascii="Times New Roman" w:hAnsi="Times New Roman"/>
          <w:szCs w:val="24"/>
        </w:rPr>
        <w:t>: None</w:t>
      </w:r>
    </w:p>
    <w:p w:rsidR="00B24543" w:rsidRPr="00476C39" w:rsidP="005F158F" w14:paraId="4364F85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1671C" w:rsidRPr="00476C39" w:rsidP="005F158F" w14:paraId="1397CE5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476C39">
        <w:rPr>
          <w:rFonts w:ascii="Times New Roman" w:hAnsi="Times New Roman"/>
          <w:b/>
          <w:szCs w:val="24"/>
          <w:u w:val="single"/>
        </w:rPr>
        <w:t>Annual Costs</w:t>
      </w:r>
      <w:r w:rsidRPr="00476C39">
        <w:rPr>
          <w:rFonts w:ascii="Times New Roman" w:hAnsi="Times New Roman"/>
          <w:szCs w:val="24"/>
        </w:rPr>
        <w:t>: $</w:t>
      </w:r>
      <w:r w:rsidR="00C17059">
        <w:rPr>
          <w:rFonts w:ascii="Times New Roman" w:hAnsi="Times New Roman"/>
          <w:szCs w:val="24"/>
        </w:rPr>
        <w:t>4,050</w:t>
      </w:r>
    </w:p>
    <w:p w:rsidR="005F158F" w:rsidRPr="00476C39" w:rsidP="005F158F" w14:paraId="41D3A3F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B24543" w:rsidRPr="00476C39" w:rsidP="005F158F" w14:paraId="6F45213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 xml:space="preserve">One employee </w:t>
      </w:r>
      <w:r w:rsidRPr="00476C39" w:rsidR="00A13243">
        <w:rPr>
          <w:rFonts w:ascii="Times New Roman" w:hAnsi="Times New Roman"/>
          <w:szCs w:val="24"/>
        </w:rPr>
        <w:t xml:space="preserve">(GS-12 step 8) </w:t>
      </w:r>
      <w:r w:rsidRPr="00476C39">
        <w:rPr>
          <w:rFonts w:ascii="Times New Roman" w:hAnsi="Times New Roman"/>
          <w:szCs w:val="24"/>
        </w:rPr>
        <w:t>analyzes the primary service, requests the annual statement, receives the annual statement, incorporates the data, and files the statement.  Time required for these tasks is 30 minutes</w:t>
      </w:r>
      <w:r w:rsidR="0024728D">
        <w:rPr>
          <w:rFonts w:ascii="Times New Roman" w:hAnsi="Times New Roman"/>
          <w:szCs w:val="24"/>
        </w:rPr>
        <w:t xml:space="preserve">. </w:t>
      </w:r>
    </w:p>
    <w:p w:rsidR="00BE31FE" w:rsidP="0024728D" w14:paraId="4A179AC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514"/>
        <w:gridCol w:w="1423"/>
        <w:gridCol w:w="2001"/>
        <w:gridCol w:w="1578"/>
        <w:gridCol w:w="1548"/>
      </w:tblGrid>
      <w:tr w14:paraId="12C5E17F" w14:textId="77777777" w:rsidTr="002472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12" w:type="dxa"/>
            <w:shd w:val="clear" w:color="auto" w:fill="auto"/>
          </w:tcPr>
          <w:p w:rsidR="00E14D5C" w:rsidRPr="00E14D5C" w:rsidP="005C3A02" w14:paraId="06990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Number of Employees</w:t>
            </w:r>
          </w:p>
        </w:tc>
        <w:tc>
          <w:tcPr>
            <w:tcW w:w="1514" w:type="dxa"/>
            <w:shd w:val="clear" w:color="auto" w:fill="auto"/>
          </w:tcPr>
          <w:p w:rsidR="00E14D5C" w:rsidRPr="00E14D5C" w:rsidP="005C3A02" w14:paraId="36BFDF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Hourly Wage</w:t>
            </w:r>
          </w:p>
        </w:tc>
        <w:tc>
          <w:tcPr>
            <w:tcW w:w="1423" w:type="dxa"/>
            <w:shd w:val="clear" w:color="auto" w:fill="auto"/>
          </w:tcPr>
          <w:p w:rsidR="00E14D5C" w:rsidRPr="00E14D5C" w:rsidP="005C3A02" w14:paraId="79F22D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Project Time</w:t>
            </w:r>
          </w:p>
        </w:tc>
        <w:tc>
          <w:tcPr>
            <w:tcW w:w="2001" w:type="dxa"/>
          </w:tcPr>
          <w:p w:rsidR="00E14D5C" w:rsidP="005C3A02" w14:paraId="5ABBF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Responses</w:t>
            </w:r>
            <w:r w:rsidRPr="00E14D5C">
              <w:rPr>
                <w:rFonts w:ascii="Times New Roman" w:hAnsi="Times New Roman"/>
                <w:b/>
                <w:bCs/>
              </w:rPr>
              <w:t xml:space="preserve"> </w:t>
            </w:r>
          </w:p>
          <w:p w:rsidR="00E14D5C" w:rsidRPr="00E14D5C" w:rsidP="005C3A02" w14:paraId="783763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Annually</w:t>
            </w:r>
          </w:p>
        </w:tc>
        <w:tc>
          <w:tcPr>
            <w:tcW w:w="1578" w:type="dxa"/>
          </w:tcPr>
          <w:p w:rsidR="00E14D5C" w:rsidRPr="00E14D5C" w:rsidP="005C3A02" w14:paraId="7FF37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Total Project Time Annually</w:t>
            </w:r>
          </w:p>
        </w:tc>
        <w:tc>
          <w:tcPr>
            <w:tcW w:w="1548" w:type="dxa"/>
            <w:shd w:val="clear" w:color="auto" w:fill="auto"/>
          </w:tcPr>
          <w:p w:rsidR="00E14D5C" w:rsidRPr="00E14D5C" w:rsidP="005C3A02" w14:paraId="3AC0D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Annual </w:t>
            </w:r>
            <w:r w:rsidRPr="00E14D5C">
              <w:rPr>
                <w:rFonts w:ascii="Times New Roman" w:hAnsi="Times New Roman"/>
                <w:b/>
                <w:bCs/>
              </w:rPr>
              <w:t xml:space="preserve"> Application</w:t>
            </w:r>
            <w:r>
              <w:rPr>
                <w:rFonts w:ascii="Times New Roman" w:hAnsi="Times New Roman"/>
                <w:b/>
                <w:bCs/>
              </w:rPr>
              <w:t xml:space="preserve"> Cost</w:t>
            </w:r>
          </w:p>
        </w:tc>
      </w:tr>
      <w:tr w14:paraId="4F95C795" w14:textId="77777777" w:rsidTr="0024728D">
        <w:tblPrEx>
          <w:tblW w:w="0" w:type="auto"/>
          <w:tblLook w:val="04A0"/>
        </w:tblPrEx>
        <w:tc>
          <w:tcPr>
            <w:tcW w:w="1512" w:type="dxa"/>
            <w:shd w:val="clear" w:color="auto" w:fill="auto"/>
          </w:tcPr>
          <w:p w:rsidR="00E14D5C" w:rsidRPr="00E14D5C" w:rsidP="005C3A02" w14:paraId="4C688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w:t>
            </w:r>
            <w:r w:rsidRPr="00BE31FE">
              <w:rPr>
                <w:rFonts w:ascii="Times New Roman" w:hAnsi="Times New Roman"/>
              </w:rPr>
              <w:t xml:space="preserve"> (GS-1</w:t>
            </w:r>
            <w:r>
              <w:rPr>
                <w:rFonts w:ascii="Times New Roman" w:hAnsi="Times New Roman"/>
              </w:rPr>
              <w:t>2</w:t>
            </w:r>
            <w:r w:rsidRPr="00BE31FE">
              <w:rPr>
                <w:rFonts w:ascii="Times New Roman" w:hAnsi="Times New Roman"/>
              </w:rPr>
              <w:t xml:space="preserve"> Step 8)</w:t>
            </w:r>
          </w:p>
        </w:tc>
        <w:tc>
          <w:tcPr>
            <w:tcW w:w="1514" w:type="dxa"/>
            <w:shd w:val="clear" w:color="auto" w:fill="auto"/>
          </w:tcPr>
          <w:p w:rsidR="00E14D5C" w:rsidRPr="00E14D5C" w:rsidP="005C3A02" w14:paraId="61D06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4D5C">
              <w:rPr>
                <w:rFonts w:ascii="Times New Roman" w:hAnsi="Times New Roman"/>
              </w:rPr>
              <w:t>$</w:t>
            </w:r>
            <w:r>
              <w:rPr>
                <w:rFonts w:ascii="Times New Roman" w:hAnsi="Times New Roman"/>
              </w:rPr>
              <w:t>48</w:t>
            </w:r>
          </w:p>
        </w:tc>
        <w:tc>
          <w:tcPr>
            <w:tcW w:w="1423" w:type="dxa"/>
            <w:shd w:val="clear" w:color="auto" w:fill="auto"/>
          </w:tcPr>
          <w:p w:rsidR="00E14D5C" w:rsidRPr="00E14D5C" w:rsidP="005C3A02" w14:paraId="14474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w:t>
            </w:r>
            <w:r w:rsidRPr="00E14D5C">
              <w:rPr>
                <w:rFonts w:ascii="Times New Roman" w:hAnsi="Times New Roman"/>
              </w:rPr>
              <w:t xml:space="preserve"> Hours Per Request</w:t>
            </w:r>
          </w:p>
        </w:tc>
        <w:tc>
          <w:tcPr>
            <w:tcW w:w="2001" w:type="dxa"/>
          </w:tcPr>
          <w:p w:rsidR="00E14D5C" w:rsidRPr="00E14D5C" w:rsidP="005C3A02" w14:paraId="0E0E6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60</w:t>
            </w:r>
          </w:p>
        </w:tc>
        <w:tc>
          <w:tcPr>
            <w:tcW w:w="1578" w:type="dxa"/>
          </w:tcPr>
          <w:p w:rsidR="00E14D5C" w:rsidRPr="00E14D5C" w:rsidP="005C3A02" w14:paraId="58FFD6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C17059">
              <w:rPr>
                <w:rFonts w:ascii="Times New Roman" w:hAnsi="Times New Roman"/>
              </w:rPr>
              <w:t>2,880</w:t>
            </w:r>
          </w:p>
        </w:tc>
        <w:tc>
          <w:tcPr>
            <w:tcW w:w="1548" w:type="dxa"/>
            <w:shd w:val="clear" w:color="auto" w:fill="auto"/>
          </w:tcPr>
          <w:p w:rsidR="00E14D5C" w:rsidRPr="00E14D5C" w:rsidP="005C3A02" w14:paraId="69D29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4D5C">
              <w:rPr>
                <w:rFonts w:ascii="Times New Roman" w:hAnsi="Times New Roman"/>
              </w:rPr>
              <w:t>$</w:t>
            </w:r>
            <w:r w:rsidR="00C17059">
              <w:rPr>
                <w:rFonts w:ascii="Times New Roman" w:hAnsi="Times New Roman"/>
              </w:rPr>
              <w:t>2,880</w:t>
            </w:r>
          </w:p>
        </w:tc>
      </w:tr>
      <w:tr w14:paraId="391494CD" w14:textId="77777777" w:rsidTr="00E14D5C">
        <w:tblPrEx>
          <w:tblW w:w="0" w:type="auto"/>
          <w:tblLook w:val="04A0"/>
        </w:tblPrEx>
        <w:tc>
          <w:tcPr>
            <w:tcW w:w="9576" w:type="dxa"/>
            <w:gridSpan w:val="6"/>
            <w:shd w:val="clear" w:color="auto" w:fill="D9D9D9"/>
          </w:tcPr>
          <w:p w:rsidR="00E14D5C" w:rsidRPr="00E14D5C" w:rsidP="005C3A02" w14:paraId="401678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r>
      <w:tr w14:paraId="5080573A" w14:textId="77777777" w:rsidTr="0024728D">
        <w:tblPrEx>
          <w:tblW w:w="0" w:type="auto"/>
          <w:tblLook w:val="04A0"/>
        </w:tblPrEx>
        <w:tc>
          <w:tcPr>
            <w:tcW w:w="4449" w:type="dxa"/>
            <w:gridSpan w:val="3"/>
            <w:vMerge w:val="restart"/>
            <w:shd w:val="clear" w:color="auto" w:fill="D9D9D9"/>
          </w:tcPr>
          <w:p w:rsidR="00E14D5C" w:rsidRPr="00E14D5C" w:rsidP="005C3A02" w14:paraId="659D5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2001" w:type="dxa"/>
          </w:tcPr>
          <w:p w:rsidR="00E14D5C" w:rsidRPr="00E14D5C" w:rsidP="005C3A02" w14:paraId="5F24D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Cost Per Application</w:t>
            </w:r>
          </w:p>
        </w:tc>
        <w:tc>
          <w:tcPr>
            <w:tcW w:w="1578" w:type="dxa"/>
          </w:tcPr>
          <w:p w:rsidR="00E14D5C" w:rsidRPr="00E14D5C" w:rsidP="005C3A02" w14:paraId="23521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Benefits Multiplier of 1.4</w:t>
            </w:r>
          </w:p>
        </w:tc>
        <w:tc>
          <w:tcPr>
            <w:tcW w:w="1548" w:type="dxa"/>
            <w:shd w:val="clear" w:color="auto" w:fill="auto"/>
          </w:tcPr>
          <w:p w:rsidR="00E14D5C" w:rsidRPr="00E14D5C" w:rsidP="005C3A02" w14:paraId="205DF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 xml:space="preserve">Cost </w:t>
            </w:r>
            <w:r w:rsidR="0024728D">
              <w:rPr>
                <w:rFonts w:ascii="Times New Roman" w:hAnsi="Times New Roman"/>
                <w:b/>
                <w:bCs/>
              </w:rPr>
              <w:t>with Benefit</w:t>
            </w:r>
          </w:p>
        </w:tc>
      </w:tr>
      <w:tr w14:paraId="0BA8ACA9" w14:textId="77777777" w:rsidTr="0024728D">
        <w:tblPrEx>
          <w:tblW w:w="0" w:type="auto"/>
          <w:tblLook w:val="04A0"/>
        </w:tblPrEx>
        <w:tc>
          <w:tcPr>
            <w:tcW w:w="4449" w:type="dxa"/>
            <w:gridSpan w:val="3"/>
            <w:vMerge/>
            <w:shd w:val="clear" w:color="auto" w:fill="D9D9D9"/>
          </w:tcPr>
          <w:p w:rsidR="00E14D5C" w:rsidRPr="00E14D5C" w:rsidP="005C3A02" w14:paraId="669F3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2001" w:type="dxa"/>
          </w:tcPr>
          <w:p w:rsidR="00E14D5C" w:rsidRPr="00E14D5C" w:rsidP="005C3A02" w14:paraId="058EE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4D5C">
              <w:rPr>
                <w:rFonts w:ascii="Times New Roman" w:hAnsi="Times New Roman"/>
              </w:rPr>
              <w:t>$</w:t>
            </w:r>
            <w:r w:rsidR="00C17059">
              <w:rPr>
                <w:rFonts w:ascii="Times New Roman" w:hAnsi="Times New Roman"/>
              </w:rPr>
              <w:t>2,880</w:t>
            </w:r>
          </w:p>
        </w:tc>
        <w:tc>
          <w:tcPr>
            <w:tcW w:w="1578" w:type="dxa"/>
          </w:tcPr>
          <w:p w:rsidR="00E14D5C" w:rsidRPr="00E14D5C" w:rsidP="005C3A02" w14:paraId="56B441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C17059">
              <w:rPr>
                <w:rFonts w:ascii="Times New Roman" w:hAnsi="Times New Roman"/>
              </w:rPr>
              <w:t>4,032</w:t>
            </w:r>
          </w:p>
        </w:tc>
        <w:tc>
          <w:tcPr>
            <w:tcW w:w="1548" w:type="dxa"/>
            <w:shd w:val="clear" w:color="auto" w:fill="auto"/>
          </w:tcPr>
          <w:p w:rsidR="00E14D5C" w:rsidRPr="00E14D5C" w:rsidP="005C3A02" w14:paraId="5C538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4D5C">
              <w:rPr>
                <w:rFonts w:ascii="Times New Roman" w:hAnsi="Times New Roman"/>
              </w:rPr>
              <w:t>$</w:t>
            </w:r>
            <w:r w:rsidR="00C17059">
              <w:rPr>
                <w:rFonts w:ascii="Times New Roman" w:hAnsi="Times New Roman"/>
              </w:rPr>
              <w:t>4,032</w:t>
            </w:r>
          </w:p>
        </w:tc>
      </w:tr>
      <w:tr w14:paraId="767E3D3B" w14:textId="77777777" w:rsidTr="0024728D">
        <w:tblPrEx>
          <w:tblW w:w="0" w:type="auto"/>
          <w:tblLook w:val="04A0"/>
        </w:tblPrEx>
        <w:tc>
          <w:tcPr>
            <w:tcW w:w="4449" w:type="dxa"/>
            <w:gridSpan w:val="3"/>
            <w:vMerge/>
            <w:shd w:val="clear" w:color="auto" w:fill="D9D9D9"/>
          </w:tcPr>
          <w:p w:rsidR="00E14D5C" w:rsidRPr="00E14D5C" w:rsidP="005C3A02" w14:paraId="60F48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2001" w:type="dxa"/>
          </w:tcPr>
          <w:p w:rsidR="00E14D5C" w:rsidRPr="00E14D5C" w:rsidP="005C3A02" w14:paraId="1F58F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 xml:space="preserve">Letters </w:t>
            </w:r>
            <w:r>
              <w:rPr>
                <w:rFonts w:ascii="Times New Roman" w:hAnsi="Times New Roman"/>
                <w:b/>
                <w:bCs/>
              </w:rPr>
              <w:t>e-Mailed</w:t>
            </w:r>
            <w:r w:rsidRPr="00E14D5C">
              <w:rPr>
                <w:rFonts w:ascii="Times New Roman" w:hAnsi="Times New Roman"/>
                <w:b/>
                <w:bCs/>
              </w:rPr>
              <w:t xml:space="preserve"> Annually</w:t>
            </w:r>
          </w:p>
        </w:tc>
        <w:tc>
          <w:tcPr>
            <w:tcW w:w="1578" w:type="dxa"/>
          </w:tcPr>
          <w:p w:rsidR="00E14D5C" w:rsidRPr="00E14D5C" w:rsidP="005C3A02" w14:paraId="32E89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Postage</w:t>
            </w:r>
          </w:p>
        </w:tc>
        <w:tc>
          <w:tcPr>
            <w:tcW w:w="1548" w:type="dxa"/>
            <w:shd w:val="clear" w:color="auto" w:fill="auto"/>
          </w:tcPr>
          <w:p w:rsidR="00E14D5C" w:rsidRPr="00E14D5C" w:rsidP="005C3A02" w14:paraId="20304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14D5C">
              <w:rPr>
                <w:rFonts w:ascii="Times New Roman" w:hAnsi="Times New Roman"/>
                <w:b/>
                <w:bCs/>
              </w:rPr>
              <w:t xml:space="preserve">Total Cost </w:t>
            </w:r>
          </w:p>
        </w:tc>
      </w:tr>
      <w:tr w14:paraId="3719359D" w14:textId="77777777" w:rsidTr="0024728D">
        <w:tblPrEx>
          <w:tblW w:w="0" w:type="auto"/>
          <w:tblLook w:val="04A0"/>
        </w:tblPrEx>
        <w:tc>
          <w:tcPr>
            <w:tcW w:w="4449" w:type="dxa"/>
            <w:gridSpan w:val="3"/>
            <w:vMerge/>
            <w:shd w:val="clear" w:color="auto" w:fill="D9D9D9"/>
          </w:tcPr>
          <w:p w:rsidR="00E14D5C" w:rsidRPr="00E14D5C" w:rsidP="005C3A02" w14:paraId="63FFE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2001" w:type="dxa"/>
          </w:tcPr>
          <w:p w:rsidR="00E14D5C" w:rsidP="005C3A02" w14:paraId="6C370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30</w:t>
            </w:r>
          </w:p>
        </w:tc>
        <w:tc>
          <w:tcPr>
            <w:tcW w:w="1578" w:type="dxa"/>
          </w:tcPr>
          <w:p w:rsidR="00E14D5C" w:rsidP="005C3A02" w14:paraId="15262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.60</w:t>
            </w:r>
          </w:p>
        </w:tc>
        <w:tc>
          <w:tcPr>
            <w:tcW w:w="1548" w:type="dxa"/>
            <w:shd w:val="clear" w:color="auto" w:fill="auto"/>
          </w:tcPr>
          <w:p w:rsidR="00E14D5C" w:rsidP="005C3A02" w14:paraId="74C4A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$18</w:t>
            </w:r>
          </w:p>
        </w:tc>
      </w:tr>
      <w:tr w14:paraId="539F3DAD" w14:textId="77777777" w:rsidTr="005C3A02">
        <w:tblPrEx>
          <w:tblW w:w="0" w:type="auto"/>
          <w:tblLook w:val="04A0"/>
        </w:tblPrEx>
        <w:tc>
          <w:tcPr>
            <w:tcW w:w="8028" w:type="dxa"/>
            <w:gridSpan w:val="5"/>
            <w:shd w:val="clear" w:color="auto" w:fill="FFFFFF"/>
          </w:tcPr>
          <w:p w:rsidR="00E14D5C" w:rsidRPr="00E14D5C" w:rsidP="00E14D5C" w14:paraId="5D2A8B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r w:rsidRPr="00E14D5C">
              <w:rPr>
                <w:rFonts w:ascii="Times New Roman" w:hAnsi="Times New Roman"/>
                <w:b/>
                <w:bCs/>
              </w:rPr>
              <w:t>Combined Total Cost to Government</w:t>
            </w:r>
          </w:p>
        </w:tc>
        <w:tc>
          <w:tcPr>
            <w:tcW w:w="1548" w:type="dxa"/>
            <w:shd w:val="clear" w:color="auto" w:fill="auto"/>
          </w:tcPr>
          <w:p w:rsidR="00E14D5C" w:rsidP="005C3A02" w14:paraId="44498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C17059">
              <w:rPr>
                <w:rFonts w:ascii="Times New Roman" w:hAnsi="Times New Roman"/>
              </w:rPr>
              <w:t>4,050</w:t>
            </w:r>
          </w:p>
        </w:tc>
      </w:tr>
    </w:tbl>
    <w:p w:rsidR="00BE31FE" w:rsidRPr="00BE31FE" w:rsidP="00BE31FE" w14:paraId="1F0DE9C5" w14:textId="77777777">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s>
        <w:spacing w:before="120"/>
        <w:rPr>
          <w:rFonts w:ascii="Times New Roman" w:hAnsi="Times New Roman"/>
          <w:b/>
        </w:rPr>
      </w:pPr>
      <w:r w:rsidRPr="00BE31FE">
        <w:rPr>
          <w:rFonts w:ascii="Times New Roman" w:hAnsi="Times New Roman"/>
          <w:b/>
        </w:rPr>
        <w:t>Hourly wage was taken from the 2022 Wage table for GS-1</w:t>
      </w:r>
      <w:r w:rsidR="0024728D">
        <w:rPr>
          <w:rFonts w:ascii="Times New Roman" w:hAnsi="Times New Roman"/>
          <w:b/>
        </w:rPr>
        <w:t>2</w:t>
      </w:r>
      <w:r w:rsidRPr="00BE31FE">
        <w:rPr>
          <w:rFonts w:ascii="Times New Roman" w:hAnsi="Times New Roman"/>
          <w:b/>
        </w:rPr>
        <w:t xml:space="preserve"> step 8 (rounded up to the nearest dollar);  </w:t>
      </w:r>
      <w:hyperlink r:id="rId5" w:history="1">
        <w:r w:rsidRPr="00BE31FE">
          <w:rPr>
            <w:rStyle w:val="Hyperlink"/>
            <w:rFonts w:ascii="Times New Roman" w:hAnsi="Times New Roman"/>
          </w:rPr>
          <w:t>https://www.opm.gov/policy-data-oversight/pay-leave/salaries-wages/salary-tables/22Tables/html/BN%</w:t>
        </w:r>
        <w:r w:rsidRPr="00BE31FE">
          <w:rPr>
            <w:rStyle w:val="Hyperlink"/>
            <w:rFonts w:ascii="Times New Roman" w:hAnsi="Times New Roman"/>
          </w:rPr>
          <w:t>2</w:t>
        </w:r>
        <w:r w:rsidRPr="00BE31FE">
          <w:rPr>
            <w:rStyle w:val="Hyperlink"/>
            <w:rFonts w:ascii="Times New Roman" w:hAnsi="Times New Roman"/>
          </w:rPr>
          <w:t>0(LEO)_h.aspx</w:t>
        </w:r>
      </w:hyperlink>
      <w:r w:rsidRPr="00BE31FE">
        <w:rPr>
          <w:rFonts w:ascii="Times New Roman" w:hAnsi="Times New Roman"/>
        </w:rPr>
        <w:t xml:space="preserve"> </w:t>
      </w:r>
    </w:p>
    <w:p w:rsidR="000B4568" w:rsidRPr="00476C39" w:rsidP="005F158F" w14:paraId="73CDEED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44305A" w:rsidP="0044305A" w14:paraId="3E5000B3"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r w:rsidRPr="0044305A">
        <w:rPr>
          <w:rFonts w:ascii="Times New Roman" w:hAnsi="Times New Roman"/>
          <w:b/>
          <w:bCs/>
          <w:szCs w:val="24"/>
          <w:u w:val="single"/>
        </w:rPr>
        <w:t xml:space="preserve">Explanation of program changes or adjustments. </w:t>
      </w:r>
      <w:r w:rsidRPr="0044305A">
        <w:rPr>
          <w:rFonts w:ascii="Times New Roman" w:hAnsi="Times New Roman"/>
          <w:b/>
          <w:bCs/>
          <w:szCs w:val="24"/>
          <w:u w:val="single"/>
        </w:rPr>
        <w:br/>
      </w:r>
    </w:p>
    <w:p w:rsidR="000B3340" w:rsidRPr="00476C39" w:rsidP="005F158F" w14:paraId="1E37AA2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No changes</w:t>
      </w:r>
      <w:r w:rsidRPr="00476C39" w:rsidR="0056190E">
        <w:rPr>
          <w:rFonts w:ascii="Times New Roman" w:hAnsi="Times New Roman"/>
          <w:szCs w:val="24"/>
        </w:rPr>
        <w:t xml:space="preserve"> or adjustments were reported in items 13 or 14 of OMB Form 83-I</w:t>
      </w:r>
      <w:r w:rsidRPr="00476C39" w:rsidR="00004825">
        <w:rPr>
          <w:rFonts w:ascii="Times New Roman" w:hAnsi="Times New Roman"/>
          <w:szCs w:val="24"/>
        </w:rPr>
        <w:t>.</w:t>
      </w:r>
    </w:p>
    <w:p w:rsidR="000B3340" w:rsidRPr="00476C39" w:rsidP="005F158F" w14:paraId="588816F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4305A" w:rsidRPr="00AE0CB4" w:rsidP="00AE0CB4" w14:paraId="77E6491D"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r w:rsidRPr="00AE0CB4">
        <w:rPr>
          <w:rFonts w:ascii="Times New Roman" w:hAnsi="Times New Roman"/>
          <w:b/>
          <w:szCs w:val="24"/>
          <w:u w:val="single"/>
        </w:rPr>
        <w:t>Publication of results of data collection.</w:t>
      </w:r>
      <w:r w:rsidR="00AE0CB4">
        <w:rPr>
          <w:rFonts w:ascii="Times New Roman" w:hAnsi="Times New Roman"/>
          <w:b/>
          <w:szCs w:val="24"/>
          <w:u w:val="single"/>
        </w:rPr>
        <w:br/>
      </w:r>
    </w:p>
    <w:p w:rsidR="00B24543" w:rsidRPr="00476C39" w:rsidP="005F158F" w14:paraId="588FC4A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zCs w:val="24"/>
        </w:rPr>
        <w:t>The schedule for collecting and publishing the data is as follows:</w:t>
      </w:r>
    </w:p>
    <w:p w:rsidR="00AE0CB4" w:rsidP="00AE0CB4" w14:paraId="1E7778A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tbl>
      <w:tblPr>
        <w:tblW w:w="110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793"/>
        <w:gridCol w:w="796"/>
        <w:gridCol w:w="805"/>
        <w:gridCol w:w="801"/>
        <w:gridCol w:w="806"/>
        <w:gridCol w:w="793"/>
        <w:gridCol w:w="793"/>
        <w:gridCol w:w="801"/>
        <w:gridCol w:w="797"/>
        <w:gridCol w:w="801"/>
        <w:gridCol w:w="801"/>
        <w:gridCol w:w="801"/>
      </w:tblGrid>
      <w:tr w14:paraId="4422445D" w14:textId="77777777" w:rsidTr="005C3A02">
        <w:tblPrEx>
          <w:tblW w:w="110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11032" w:type="dxa"/>
            <w:gridSpan w:val="13"/>
            <w:shd w:val="clear" w:color="auto" w:fill="auto"/>
          </w:tcPr>
          <w:p w:rsidR="00AE0CB4" w:rsidRPr="005C3A02" w:rsidP="005C3A02" w14:paraId="685C9D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Cs w:val="24"/>
              </w:rPr>
            </w:pPr>
            <w:r w:rsidRPr="005C3A02">
              <w:rPr>
                <w:rFonts w:ascii="Times New Roman" w:hAnsi="Times New Roman"/>
                <w:b/>
                <w:bCs/>
                <w:szCs w:val="24"/>
              </w:rPr>
              <w:t>Months of the Year (By First Initial)</w:t>
            </w:r>
          </w:p>
        </w:tc>
      </w:tr>
      <w:tr w14:paraId="34DF3EFB" w14:textId="77777777" w:rsidTr="005C3A02">
        <w:tblPrEx>
          <w:tblW w:w="11032" w:type="dxa"/>
          <w:tblInd w:w="-522" w:type="dxa"/>
          <w:tblLook w:val="04A0"/>
        </w:tblPrEx>
        <w:trPr>
          <w:trHeight w:val="497"/>
        </w:trPr>
        <w:tc>
          <w:tcPr>
            <w:tcW w:w="1444" w:type="dxa"/>
            <w:shd w:val="clear" w:color="auto" w:fill="auto"/>
          </w:tcPr>
          <w:p w:rsidR="00AE0CB4" w:rsidRPr="005C3A02" w:rsidP="005C3A02" w14:paraId="71A58C6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7077B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J</w:t>
            </w:r>
          </w:p>
        </w:tc>
        <w:tc>
          <w:tcPr>
            <w:tcW w:w="796" w:type="dxa"/>
            <w:shd w:val="clear" w:color="auto" w:fill="auto"/>
          </w:tcPr>
          <w:p w:rsidR="00AE0CB4" w:rsidRPr="005C3A02" w:rsidP="005C3A02" w14:paraId="7512CC0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F</w:t>
            </w:r>
          </w:p>
        </w:tc>
        <w:tc>
          <w:tcPr>
            <w:tcW w:w="805" w:type="dxa"/>
            <w:shd w:val="clear" w:color="auto" w:fill="auto"/>
          </w:tcPr>
          <w:p w:rsidR="00AE0CB4" w:rsidRPr="005C3A02" w:rsidP="005C3A02" w14:paraId="6D2A479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M</w:t>
            </w:r>
          </w:p>
        </w:tc>
        <w:tc>
          <w:tcPr>
            <w:tcW w:w="801" w:type="dxa"/>
            <w:shd w:val="clear" w:color="auto" w:fill="auto"/>
          </w:tcPr>
          <w:p w:rsidR="00AE0CB4" w:rsidRPr="005C3A02" w:rsidP="005C3A02" w14:paraId="0A0A43D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A</w:t>
            </w:r>
          </w:p>
        </w:tc>
        <w:tc>
          <w:tcPr>
            <w:tcW w:w="806" w:type="dxa"/>
            <w:shd w:val="clear" w:color="auto" w:fill="auto"/>
          </w:tcPr>
          <w:p w:rsidR="00AE0CB4" w:rsidRPr="005C3A02" w:rsidP="005C3A02" w14:paraId="46D9D8B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M</w:t>
            </w:r>
          </w:p>
        </w:tc>
        <w:tc>
          <w:tcPr>
            <w:tcW w:w="793" w:type="dxa"/>
            <w:shd w:val="clear" w:color="auto" w:fill="auto"/>
          </w:tcPr>
          <w:p w:rsidR="00AE0CB4" w:rsidRPr="005C3A02" w:rsidP="005C3A02" w14:paraId="2E5C9CA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J</w:t>
            </w:r>
          </w:p>
        </w:tc>
        <w:tc>
          <w:tcPr>
            <w:tcW w:w="793" w:type="dxa"/>
            <w:shd w:val="clear" w:color="auto" w:fill="auto"/>
          </w:tcPr>
          <w:p w:rsidR="00AE0CB4" w:rsidRPr="005C3A02" w:rsidP="005C3A02" w14:paraId="31F1C1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J</w:t>
            </w:r>
          </w:p>
        </w:tc>
        <w:tc>
          <w:tcPr>
            <w:tcW w:w="801" w:type="dxa"/>
            <w:shd w:val="clear" w:color="auto" w:fill="auto"/>
          </w:tcPr>
          <w:p w:rsidR="00AE0CB4" w:rsidRPr="005C3A02" w:rsidP="005C3A02" w14:paraId="22A2C6D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 xml:space="preserve">A </w:t>
            </w:r>
          </w:p>
        </w:tc>
        <w:tc>
          <w:tcPr>
            <w:tcW w:w="797" w:type="dxa"/>
            <w:shd w:val="clear" w:color="auto" w:fill="auto"/>
          </w:tcPr>
          <w:p w:rsidR="00AE0CB4" w:rsidRPr="005C3A02" w:rsidP="005C3A02" w14:paraId="59B38CC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S</w:t>
            </w:r>
          </w:p>
        </w:tc>
        <w:tc>
          <w:tcPr>
            <w:tcW w:w="801" w:type="dxa"/>
            <w:shd w:val="clear" w:color="auto" w:fill="auto"/>
          </w:tcPr>
          <w:p w:rsidR="00AE0CB4" w:rsidRPr="005C3A02" w:rsidP="005C3A02" w14:paraId="582DC57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O</w:t>
            </w:r>
          </w:p>
        </w:tc>
        <w:tc>
          <w:tcPr>
            <w:tcW w:w="801" w:type="dxa"/>
            <w:shd w:val="clear" w:color="auto" w:fill="auto"/>
          </w:tcPr>
          <w:p w:rsidR="00AE0CB4" w:rsidRPr="005C3A02" w:rsidP="005C3A02" w14:paraId="6EFCCE5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N</w:t>
            </w:r>
          </w:p>
        </w:tc>
        <w:tc>
          <w:tcPr>
            <w:tcW w:w="801" w:type="dxa"/>
            <w:shd w:val="clear" w:color="auto" w:fill="auto"/>
          </w:tcPr>
          <w:p w:rsidR="00AE0CB4" w:rsidRPr="005C3A02" w:rsidP="005C3A02" w14:paraId="7384488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D</w:t>
            </w:r>
          </w:p>
        </w:tc>
      </w:tr>
      <w:tr w14:paraId="61494A3A" w14:textId="77777777" w:rsidTr="005C3A02">
        <w:tblPrEx>
          <w:tblW w:w="11032" w:type="dxa"/>
          <w:tblInd w:w="-522" w:type="dxa"/>
          <w:tblLook w:val="04A0"/>
        </w:tblPrEx>
        <w:trPr>
          <w:trHeight w:val="476"/>
        </w:trPr>
        <w:tc>
          <w:tcPr>
            <w:tcW w:w="1444" w:type="dxa"/>
            <w:shd w:val="clear" w:color="auto" w:fill="auto"/>
          </w:tcPr>
          <w:p w:rsidR="00AE0CB4" w:rsidRPr="005C3A02" w:rsidP="005C3A02" w14:paraId="737FF83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Analysis of Commercial Source</w:t>
            </w:r>
          </w:p>
        </w:tc>
        <w:tc>
          <w:tcPr>
            <w:tcW w:w="793" w:type="dxa"/>
            <w:shd w:val="clear" w:color="auto" w:fill="auto"/>
          </w:tcPr>
          <w:p w:rsidR="00AE0CB4" w:rsidRPr="005C3A02" w:rsidP="005C3A02" w14:paraId="0F62A92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56FF2BB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163D8F7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52B646C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6" w:type="dxa"/>
            <w:shd w:val="clear" w:color="auto" w:fill="auto"/>
          </w:tcPr>
          <w:p w:rsidR="00AE0CB4" w:rsidRPr="005C3A02" w:rsidP="005C3A02" w14:paraId="35C581F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51742A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186613A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F0C029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2ACC6BC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7F4F234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A095C4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7425981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230C8CE6" w14:textId="77777777" w:rsidTr="005C3A02">
        <w:tblPrEx>
          <w:tblW w:w="11032" w:type="dxa"/>
          <w:tblInd w:w="-522" w:type="dxa"/>
          <w:tblLook w:val="04A0"/>
        </w:tblPrEx>
        <w:trPr>
          <w:trHeight w:val="476"/>
        </w:trPr>
        <w:tc>
          <w:tcPr>
            <w:tcW w:w="1444" w:type="dxa"/>
            <w:shd w:val="clear" w:color="auto" w:fill="auto"/>
          </w:tcPr>
          <w:p w:rsidR="00AE0CB4" w:rsidRPr="005C3A02" w:rsidP="005C3A02" w14:paraId="53B18E2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Interoffice Consultation</w:t>
            </w:r>
          </w:p>
        </w:tc>
        <w:tc>
          <w:tcPr>
            <w:tcW w:w="793" w:type="dxa"/>
            <w:shd w:val="clear" w:color="auto" w:fill="auto"/>
          </w:tcPr>
          <w:p w:rsidR="00AE0CB4" w:rsidRPr="005C3A02" w:rsidP="005C3A02" w14:paraId="5DA83E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1A81BC4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7E207E2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3F957F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6" w:type="dxa"/>
            <w:shd w:val="clear" w:color="auto" w:fill="auto"/>
          </w:tcPr>
          <w:p w:rsidR="00AE0CB4" w:rsidRPr="005C3A02" w:rsidP="005C3A02" w14:paraId="6552EF3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39B11F7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5B10574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CF0B96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5A0554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996C30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47C5150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6EC552F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06C88B30" w14:textId="77777777" w:rsidTr="005C3A02">
        <w:tblPrEx>
          <w:tblW w:w="11032" w:type="dxa"/>
          <w:tblInd w:w="-522" w:type="dxa"/>
          <w:tblLook w:val="04A0"/>
        </w:tblPrEx>
        <w:trPr>
          <w:trHeight w:val="476"/>
        </w:trPr>
        <w:tc>
          <w:tcPr>
            <w:tcW w:w="1444" w:type="dxa"/>
            <w:shd w:val="clear" w:color="auto" w:fill="auto"/>
          </w:tcPr>
          <w:p w:rsidR="00AE0CB4" w:rsidRPr="005C3A02" w:rsidP="005C3A02" w14:paraId="33860BD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Preparation and Mailing</w:t>
            </w:r>
          </w:p>
          <w:p w:rsidR="00AE0CB4" w:rsidRPr="005C3A02" w:rsidP="005C3A02" w14:paraId="3880874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Of Verification Letters/e-mail</w:t>
            </w:r>
          </w:p>
        </w:tc>
        <w:tc>
          <w:tcPr>
            <w:tcW w:w="793" w:type="dxa"/>
            <w:shd w:val="clear" w:color="auto" w:fill="auto"/>
          </w:tcPr>
          <w:p w:rsidR="00AE0CB4" w:rsidRPr="005C3A02" w:rsidP="005C3A02" w14:paraId="35D3732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0BF5ABB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6ACA1BD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669B11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6" w:type="dxa"/>
            <w:shd w:val="clear" w:color="auto" w:fill="auto"/>
          </w:tcPr>
          <w:p w:rsidR="00AE0CB4" w:rsidRPr="005C3A02" w:rsidP="005C3A02" w14:paraId="65F8420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000B33E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48D2374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43A0426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7620C1E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61BAF2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BE620E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689929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0FA9E858" w14:textId="77777777" w:rsidTr="005C3A02">
        <w:tblPrEx>
          <w:tblW w:w="11032" w:type="dxa"/>
          <w:tblInd w:w="-522" w:type="dxa"/>
          <w:tblLook w:val="04A0"/>
        </w:tblPrEx>
        <w:trPr>
          <w:trHeight w:val="476"/>
        </w:trPr>
        <w:tc>
          <w:tcPr>
            <w:tcW w:w="1444" w:type="dxa"/>
            <w:shd w:val="clear" w:color="auto" w:fill="auto"/>
          </w:tcPr>
          <w:p w:rsidR="00AE0CB4" w:rsidRPr="005C3A02" w:rsidP="005C3A02" w14:paraId="569060F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Receipt of Responses</w:t>
            </w:r>
            <w:r w:rsidRPr="005C3A02">
              <w:rPr>
                <w:rFonts w:ascii="Times New Roman" w:hAnsi="Times New Roman"/>
                <w:szCs w:val="24"/>
              </w:rPr>
              <w:tab/>
            </w:r>
          </w:p>
        </w:tc>
        <w:tc>
          <w:tcPr>
            <w:tcW w:w="793" w:type="dxa"/>
            <w:shd w:val="clear" w:color="auto" w:fill="auto"/>
          </w:tcPr>
          <w:p w:rsidR="00AE0CB4" w:rsidRPr="005C3A02" w:rsidP="005C3A02" w14:paraId="7BE5BEB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37D29FD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264BC76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442DF7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326CEF1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181C447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0F7BEC5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0268E4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022D67B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2F02E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7331AA6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362C84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54AD9589" w14:textId="77777777" w:rsidTr="005C3A02">
        <w:tblPrEx>
          <w:tblW w:w="11032" w:type="dxa"/>
          <w:tblInd w:w="-522" w:type="dxa"/>
          <w:tblLook w:val="04A0"/>
        </w:tblPrEx>
        <w:trPr>
          <w:trHeight w:val="476"/>
        </w:trPr>
        <w:tc>
          <w:tcPr>
            <w:tcW w:w="1444" w:type="dxa"/>
            <w:shd w:val="clear" w:color="auto" w:fill="auto"/>
          </w:tcPr>
          <w:p w:rsidR="00AE0CB4" w:rsidRPr="005C3A02" w:rsidP="005C3A02" w14:paraId="044333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Follow-Up on Delinquent Respondents</w:t>
            </w:r>
          </w:p>
        </w:tc>
        <w:tc>
          <w:tcPr>
            <w:tcW w:w="793" w:type="dxa"/>
            <w:shd w:val="clear" w:color="auto" w:fill="auto"/>
          </w:tcPr>
          <w:p w:rsidR="00AE0CB4" w:rsidRPr="005C3A02" w:rsidP="005C3A02" w14:paraId="2114588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249441E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66B10A1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0DDFA8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4EE056B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793" w:type="dxa"/>
            <w:shd w:val="clear" w:color="auto" w:fill="auto"/>
          </w:tcPr>
          <w:p w:rsidR="00AE0CB4" w:rsidRPr="005C3A02" w:rsidP="005C3A02" w14:paraId="0F6BB69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3248D8A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FAD87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2F43194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C2CD43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ED70B2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AD33B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514FA876" w14:textId="77777777" w:rsidTr="005C3A02">
        <w:tblPrEx>
          <w:tblW w:w="11032" w:type="dxa"/>
          <w:tblInd w:w="-522" w:type="dxa"/>
          <w:tblLook w:val="04A0"/>
        </w:tblPrEx>
        <w:trPr>
          <w:trHeight w:val="476"/>
        </w:trPr>
        <w:tc>
          <w:tcPr>
            <w:tcW w:w="1444" w:type="dxa"/>
            <w:shd w:val="clear" w:color="auto" w:fill="auto"/>
          </w:tcPr>
          <w:p w:rsidR="00AE0CB4" w:rsidRPr="005C3A02" w:rsidP="005C3A02" w14:paraId="224E7E5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Compilation of Data</w:t>
            </w:r>
          </w:p>
        </w:tc>
        <w:tc>
          <w:tcPr>
            <w:tcW w:w="793" w:type="dxa"/>
            <w:shd w:val="clear" w:color="auto" w:fill="auto"/>
          </w:tcPr>
          <w:p w:rsidR="00AE0CB4" w:rsidRPr="005C3A02" w:rsidP="005C3A02" w14:paraId="385193B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2C9CB19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1255CD1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00A9C00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0B3889C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1309C0A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83193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0E49A3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7CFCB20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0545A68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C12850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4D870EC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29E968AB" w14:textId="77777777" w:rsidTr="005C3A02">
        <w:tblPrEx>
          <w:tblW w:w="11032" w:type="dxa"/>
          <w:tblInd w:w="-522" w:type="dxa"/>
          <w:tblLook w:val="04A0"/>
        </w:tblPrEx>
        <w:trPr>
          <w:trHeight w:val="476"/>
        </w:trPr>
        <w:tc>
          <w:tcPr>
            <w:tcW w:w="1444" w:type="dxa"/>
            <w:shd w:val="clear" w:color="auto" w:fill="auto"/>
          </w:tcPr>
          <w:p w:rsidR="00AE0CB4" w:rsidRPr="005C3A02" w:rsidP="005C3A02" w14:paraId="77FE967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Preparation of Publication</w:t>
            </w:r>
          </w:p>
        </w:tc>
        <w:tc>
          <w:tcPr>
            <w:tcW w:w="793" w:type="dxa"/>
            <w:shd w:val="clear" w:color="auto" w:fill="auto"/>
          </w:tcPr>
          <w:p w:rsidR="00AE0CB4" w:rsidRPr="005C3A02" w:rsidP="005C3A02" w14:paraId="7CDF977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28C2A5A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4E5976B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92B56A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6EA7B27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32762D6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AB8049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00959F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071E62E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3C48C0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63C238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C2A9D8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bl>
    <w:p w:rsidR="00B24543" w:rsidRPr="00476C39" w:rsidP="005F158F" w14:paraId="7A61418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E53BE8" w:rsidRPr="00E53BE8" w:rsidP="00E53BE8" w14:paraId="001C7C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53BE8">
        <w:rPr>
          <w:rFonts w:ascii="Times New Roman" w:hAnsi="Times New Roman"/>
          <w:szCs w:val="24"/>
        </w:rPr>
        <w:t>Information collected is used to determine which vessels are to be included in a table that shows the number of ships, gross tonnage, and deadweight tonnage by vessel type and flag.  The information is also included in a tabulation that exhibits the parent company, direct owner, vessel name, class of vessel, where built (country), year built, gross tonnage, deadweight tonnage, speed, and flag of registry.</w:t>
      </w:r>
    </w:p>
    <w:p w:rsidR="00E53BE8" w:rsidRPr="00E53BE8" w:rsidP="00E53BE8" w14:paraId="5FEAAEB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P="00E53BE8" w14:paraId="493E4C1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53BE8">
        <w:rPr>
          <w:rFonts w:ascii="Times New Roman" w:hAnsi="Times New Roman"/>
          <w:szCs w:val="24"/>
        </w:rPr>
        <w:t>Publication is released annually in May based on survey data as of January 1.</w:t>
      </w:r>
    </w:p>
    <w:p w:rsidR="00E53BE8" w:rsidRPr="00476C39" w:rsidP="00E53BE8" w14:paraId="75FA2F3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E0CB4" w:rsidRPr="004533B3" w:rsidP="00AE0CB4" w14:paraId="19F29D3D"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r w:rsidRPr="004533B3">
        <w:rPr>
          <w:rFonts w:ascii="Times New Roman" w:hAnsi="Times New Roman"/>
          <w:b/>
          <w:szCs w:val="24"/>
          <w:u w:val="single"/>
        </w:rPr>
        <w:t>Approval for not displaying the expiration date of OMB approval.</w:t>
      </w:r>
    </w:p>
    <w:p w:rsidR="00AE0CB4" w:rsidRPr="00AE0CB4" w:rsidP="00AE0CB4" w14:paraId="0B86E6A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AE0CB4" w:rsidRPr="00AE0CB4" w:rsidP="00AE0CB4" w14:paraId="514A948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Cs w:val="24"/>
        </w:rPr>
      </w:pPr>
      <w:r w:rsidRPr="00AE0CB4">
        <w:rPr>
          <w:rFonts w:ascii="Times New Roman" w:hAnsi="Times New Roman"/>
          <w:bCs/>
          <w:szCs w:val="24"/>
        </w:rPr>
        <w:t>No such approval is being sought.</w:t>
      </w:r>
    </w:p>
    <w:p w:rsidR="00AE0CB4" w:rsidRPr="00AE0CB4" w:rsidP="00AE0CB4" w14:paraId="35315B1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AE0CB4" w:rsidRPr="004533B3" w:rsidP="004533B3" w14:paraId="41810701" w14:textId="77777777">
      <w:pPr>
        <w:numPr>
          <w:ilvl w:val="0"/>
          <w:numId w:val="3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u w:val="single"/>
        </w:rPr>
      </w:pPr>
      <w:r w:rsidRPr="004533B3">
        <w:rPr>
          <w:rFonts w:ascii="Times New Roman" w:hAnsi="Times New Roman"/>
          <w:b/>
          <w:szCs w:val="24"/>
          <w:u w:val="single"/>
        </w:rPr>
        <w:t xml:space="preserve">Exceptions to certification statement.  </w:t>
      </w:r>
    </w:p>
    <w:p w:rsidR="00AE0CB4" w:rsidRPr="00AE0CB4" w:rsidP="00AE0CB4" w14:paraId="0DF6964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0B4568" w:rsidRPr="00AE0CB4" w:rsidP="00AE0CB4" w14:paraId="47F088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Cs w:val="24"/>
        </w:rPr>
      </w:pPr>
      <w:r w:rsidRPr="00AE0CB4">
        <w:rPr>
          <w:rFonts w:ascii="Times New Roman" w:hAnsi="Times New Roman"/>
          <w:bCs/>
          <w:szCs w:val="24"/>
        </w:rPr>
        <w:t>There are no exceptions to the certificate statement.</w:t>
      </w:r>
    </w:p>
    <w:sectPr w:rsidSect="005F158F">
      <w:headerReference w:type="default" r:id="rId6"/>
      <w:footerReference w:type="even" r:id="rId7"/>
      <w:footerReference w:type="default" r:id="rId8"/>
      <w:endnotePr>
        <w:numFmt w:val="decimal"/>
      </w:endnotePr>
      <w:type w:val="continuous"/>
      <w:pgSz w:w="12240" w:h="15840"/>
      <w:pgMar w:top="1296" w:right="1440" w:bottom="1296" w:left="1440" w:header="576"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DC8" w:rsidP="00DB15AC" w14:paraId="4C30333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F4DC8" w14:paraId="7029DA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05A" w:rsidRPr="0044305A" w14:paraId="0AA8F4B2" w14:textId="77777777">
    <w:pPr>
      <w:pStyle w:val="Footer"/>
      <w:jc w:val="right"/>
      <w:rPr>
        <w:rFonts w:ascii="Times New Roman" w:hAnsi="Times New Roman"/>
      </w:rPr>
    </w:pPr>
    <w:r w:rsidRPr="0044305A">
      <w:rPr>
        <w:rFonts w:ascii="Times New Roman" w:hAnsi="Times New Roman"/>
      </w:rPr>
      <w:t xml:space="preserve">Page </w:t>
    </w:r>
    <w:r w:rsidRPr="0044305A">
      <w:rPr>
        <w:rFonts w:ascii="Times New Roman" w:hAnsi="Times New Roman"/>
        <w:b/>
        <w:bCs/>
        <w:szCs w:val="24"/>
      </w:rPr>
      <w:fldChar w:fldCharType="begin"/>
    </w:r>
    <w:r w:rsidRPr="0044305A">
      <w:rPr>
        <w:rFonts w:ascii="Times New Roman" w:hAnsi="Times New Roman"/>
        <w:b/>
        <w:bCs/>
      </w:rPr>
      <w:instrText xml:space="preserve"> PAGE </w:instrText>
    </w:r>
    <w:r w:rsidRPr="0044305A">
      <w:rPr>
        <w:rFonts w:ascii="Times New Roman" w:hAnsi="Times New Roman"/>
        <w:b/>
        <w:bCs/>
        <w:szCs w:val="24"/>
      </w:rPr>
      <w:fldChar w:fldCharType="separate"/>
    </w:r>
    <w:r w:rsidRPr="0044305A">
      <w:rPr>
        <w:rFonts w:ascii="Times New Roman" w:hAnsi="Times New Roman"/>
        <w:b/>
        <w:bCs/>
        <w:noProof/>
      </w:rPr>
      <w:t>2</w:t>
    </w:r>
    <w:r w:rsidRPr="0044305A">
      <w:rPr>
        <w:rFonts w:ascii="Times New Roman" w:hAnsi="Times New Roman"/>
        <w:b/>
        <w:bCs/>
        <w:szCs w:val="24"/>
      </w:rPr>
      <w:fldChar w:fldCharType="end"/>
    </w:r>
    <w:r w:rsidRPr="0044305A">
      <w:rPr>
        <w:rFonts w:ascii="Times New Roman" w:hAnsi="Times New Roman"/>
      </w:rPr>
      <w:t xml:space="preserve"> of </w:t>
    </w:r>
    <w:r w:rsidRPr="0044305A">
      <w:rPr>
        <w:rFonts w:ascii="Times New Roman" w:hAnsi="Times New Roman"/>
        <w:b/>
        <w:bCs/>
        <w:szCs w:val="24"/>
      </w:rPr>
      <w:fldChar w:fldCharType="begin"/>
    </w:r>
    <w:r w:rsidRPr="0044305A">
      <w:rPr>
        <w:rFonts w:ascii="Times New Roman" w:hAnsi="Times New Roman"/>
        <w:b/>
        <w:bCs/>
      </w:rPr>
      <w:instrText xml:space="preserve"> NUMPAGES  </w:instrText>
    </w:r>
    <w:r w:rsidRPr="0044305A">
      <w:rPr>
        <w:rFonts w:ascii="Times New Roman" w:hAnsi="Times New Roman"/>
        <w:b/>
        <w:bCs/>
        <w:szCs w:val="24"/>
      </w:rPr>
      <w:fldChar w:fldCharType="separate"/>
    </w:r>
    <w:r w:rsidRPr="0044305A">
      <w:rPr>
        <w:rFonts w:ascii="Times New Roman" w:hAnsi="Times New Roman"/>
        <w:b/>
        <w:bCs/>
        <w:noProof/>
      </w:rPr>
      <w:t>2</w:t>
    </w:r>
    <w:r w:rsidRPr="0044305A">
      <w:rPr>
        <w:rFonts w:ascii="Times New Roman" w:hAnsi="Times New Roman"/>
        <w:b/>
        <w:bCs/>
        <w:szCs w:val="24"/>
      </w:rPr>
      <w:fldChar w:fldCharType="end"/>
    </w:r>
  </w:p>
  <w:p w:rsidR="00303089" w14:paraId="0EBFF7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DC8" w14:paraId="26B5E2D0"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E10D5"/>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1">
    <w:nsid w:val="062F6B9B"/>
    <w:multiLevelType w:val="singleLevel"/>
    <w:tmpl w:val="CBB8FF12"/>
    <w:lvl w:ilvl="0">
      <w:start w:val="0"/>
      <w:numFmt w:val="bullet"/>
      <w:lvlText w:val=""/>
      <w:lvlJc w:val="left"/>
      <w:pPr>
        <w:tabs>
          <w:tab w:val="num" w:pos="1155"/>
        </w:tabs>
        <w:ind w:left="1155" w:hanging="435"/>
      </w:pPr>
      <w:rPr>
        <w:rFonts w:ascii="Symbol" w:hAnsi="Symbol" w:hint="default"/>
      </w:rPr>
    </w:lvl>
  </w:abstractNum>
  <w:abstractNum w:abstractNumId="2">
    <w:nsid w:val="08832D81"/>
    <w:multiLevelType w:val="hybridMultilevel"/>
    <w:tmpl w:val="9D80B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A4611"/>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4">
    <w:nsid w:val="09790AE5"/>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5">
    <w:nsid w:val="107C247C"/>
    <w:multiLevelType w:val="hybridMultilevel"/>
    <w:tmpl w:val="718A5C7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C02C72"/>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7">
    <w:nsid w:val="15714571"/>
    <w:multiLevelType w:val="hybridMultilevel"/>
    <w:tmpl w:val="477A80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3D4850"/>
    <w:multiLevelType w:val="hybridMultilevel"/>
    <w:tmpl w:val="CB90FD00"/>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6010E0"/>
    <w:multiLevelType w:val="hybridMultilevel"/>
    <w:tmpl w:val="9F724A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22B0D03"/>
    <w:multiLevelType w:val="singleLevel"/>
    <w:tmpl w:val="AEA4421A"/>
    <w:lvl w:ilvl="0">
      <w:start w:val="3"/>
      <w:numFmt w:val="decimal"/>
      <w:lvlText w:val="%1."/>
      <w:lvlJc w:val="left"/>
      <w:pPr>
        <w:tabs>
          <w:tab w:val="num" w:pos="720"/>
        </w:tabs>
        <w:ind w:left="720" w:hanging="720"/>
      </w:pPr>
      <w:rPr>
        <w:rFonts w:hint="default"/>
      </w:rPr>
    </w:lvl>
  </w:abstractNum>
  <w:abstractNum w:abstractNumId="11">
    <w:nsid w:val="27F46312"/>
    <w:multiLevelType w:val="singleLevel"/>
    <w:tmpl w:val="C766496C"/>
    <w:lvl w:ilvl="0">
      <w:start w:val="92"/>
      <w:numFmt w:val="bullet"/>
      <w:lvlText w:val=""/>
      <w:lvlJc w:val="left"/>
      <w:pPr>
        <w:tabs>
          <w:tab w:val="num" w:pos="1800"/>
        </w:tabs>
        <w:ind w:left="1800" w:hanging="360"/>
      </w:pPr>
      <w:rPr>
        <w:rFonts w:ascii="Symbol" w:hAnsi="Symbol" w:hint="default"/>
      </w:rPr>
    </w:lvl>
  </w:abstractNum>
  <w:abstractNum w:abstractNumId="12">
    <w:nsid w:val="31386378"/>
    <w:multiLevelType w:val="singleLevel"/>
    <w:tmpl w:val="7882A458"/>
    <w:lvl w:ilvl="0">
      <w:start w:val="15"/>
      <w:numFmt w:val="decimal"/>
      <w:lvlText w:val="%1."/>
      <w:lvlJc w:val="left"/>
      <w:pPr>
        <w:tabs>
          <w:tab w:val="num" w:pos="720"/>
        </w:tabs>
        <w:ind w:left="720" w:hanging="720"/>
      </w:pPr>
      <w:rPr>
        <w:rFonts w:hint="default"/>
      </w:rPr>
    </w:lvl>
  </w:abstractNum>
  <w:abstractNum w:abstractNumId="13">
    <w:nsid w:val="35C74A3E"/>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14">
    <w:nsid w:val="3C653418"/>
    <w:multiLevelType w:val="singleLevel"/>
    <w:tmpl w:val="04090019"/>
    <w:lvl w:ilvl="0">
      <w:start w:val="2"/>
      <w:numFmt w:val="lowerLetter"/>
      <w:lvlText w:val="(%1)"/>
      <w:lvlJc w:val="left"/>
      <w:pPr>
        <w:tabs>
          <w:tab w:val="num" w:pos="360"/>
        </w:tabs>
        <w:ind w:left="360" w:hanging="360"/>
      </w:pPr>
      <w:rPr>
        <w:rFonts w:hint="default"/>
      </w:rPr>
    </w:lvl>
  </w:abstractNum>
  <w:abstractNum w:abstractNumId="15">
    <w:nsid w:val="3F433C25"/>
    <w:multiLevelType w:val="hybridMultilevel"/>
    <w:tmpl w:val="8B0494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93F41AC"/>
    <w:multiLevelType w:val="hybridMultilevel"/>
    <w:tmpl w:val="29307AC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4A4B5251"/>
    <w:multiLevelType w:val="hybridMultilevel"/>
    <w:tmpl w:val="6AB05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CB6D73"/>
    <w:multiLevelType w:val="singleLevel"/>
    <w:tmpl w:val="CBB8FF12"/>
    <w:lvl w:ilvl="0">
      <w:start w:val="92"/>
      <w:numFmt w:val="bullet"/>
      <w:lvlText w:val=""/>
      <w:lvlJc w:val="left"/>
      <w:pPr>
        <w:tabs>
          <w:tab w:val="num" w:pos="1155"/>
        </w:tabs>
        <w:ind w:left="1155" w:hanging="435"/>
      </w:pPr>
      <w:rPr>
        <w:rFonts w:ascii="Symbol" w:hAnsi="Symbol" w:hint="default"/>
      </w:rPr>
    </w:lvl>
  </w:abstractNum>
  <w:abstractNum w:abstractNumId="19">
    <w:nsid w:val="518F1EE7"/>
    <w:multiLevelType w:val="hybridMultilevel"/>
    <w:tmpl w:val="0F7A0F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212CD8"/>
    <w:multiLevelType w:val="singleLevel"/>
    <w:tmpl w:val="4364A57A"/>
    <w:lvl w:ilvl="0">
      <w:start w:val="11"/>
      <w:numFmt w:val="decimal"/>
      <w:lvlText w:val="%1."/>
      <w:lvlJc w:val="left"/>
      <w:pPr>
        <w:tabs>
          <w:tab w:val="num" w:pos="720"/>
        </w:tabs>
        <w:ind w:left="720" w:hanging="720"/>
      </w:pPr>
      <w:rPr>
        <w:rFonts w:hint="default"/>
      </w:rPr>
    </w:lvl>
  </w:abstractNum>
  <w:abstractNum w:abstractNumId="21">
    <w:nsid w:val="54BC0967"/>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2">
    <w:nsid w:val="58C134CA"/>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3">
    <w:nsid w:val="5914126B"/>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24">
    <w:nsid w:val="5AF41164"/>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5">
    <w:nsid w:val="5F330574"/>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6">
    <w:nsid w:val="60C8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520575E"/>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8">
    <w:nsid w:val="653F7A70"/>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9">
    <w:nsid w:val="66F75B21"/>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0">
    <w:nsid w:val="6E742540"/>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1">
    <w:nsid w:val="75AB5FFF"/>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2">
    <w:nsid w:val="78D83ADE"/>
    <w:multiLevelType w:val="singleLevel"/>
    <w:tmpl w:val="1DF6CD34"/>
    <w:lvl w:ilvl="0">
      <w:start w:val="2"/>
      <w:numFmt w:val="lowerLetter"/>
      <w:lvlText w:val="(%1)"/>
      <w:lvlJc w:val="left"/>
      <w:pPr>
        <w:tabs>
          <w:tab w:val="num" w:pos="1455"/>
        </w:tabs>
        <w:ind w:left="1455" w:hanging="735"/>
      </w:pPr>
      <w:rPr>
        <w:rFonts w:hint="default"/>
      </w:rPr>
    </w:lvl>
  </w:abstractNum>
  <w:abstractNum w:abstractNumId="33">
    <w:nsid w:val="7A6536E6"/>
    <w:multiLevelType w:val="singleLevel"/>
    <w:tmpl w:val="CBB8FF12"/>
    <w:lvl w:ilvl="0">
      <w:start w:val="0"/>
      <w:numFmt w:val="bullet"/>
      <w:lvlText w:val=""/>
      <w:lvlJc w:val="left"/>
      <w:pPr>
        <w:tabs>
          <w:tab w:val="num" w:pos="1155"/>
        </w:tabs>
        <w:ind w:left="1155" w:hanging="435"/>
      </w:pPr>
      <w:rPr>
        <w:rFonts w:ascii="Symbol" w:hAnsi="Symbol" w:hint="default"/>
      </w:rPr>
    </w:lvl>
  </w:abstractNum>
  <w:num w:numId="1">
    <w:abstractNumId w:val="11"/>
  </w:num>
  <w:num w:numId="2">
    <w:abstractNumId w:val="10"/>
  </w:num>
  <w:num w:numId="3">
    <w:abstractNumId w:val="1"/>
  </w:num>
  <w:num w:numId="4">
    <w:abstractNumId w:val="33"/>
  </w:num>
  <w:num w:numId="5">
    <w:abstractNumId w:val="23"/>
  </w:num>
  <w:num w:numId="6">
    <w:abstractNumId w:val="20"/>
  </w:num>
  <w:num w:numId="7">
    <w:abstractNumId w:val="32"/>
  </w:num>
  <w:num w:numId="8">
    <w:abstractNumId w:val="18"/>
  </w:num>
  <w:num w:numId="9">
    <w:abstractNumId w:val="26"/>
  </w:num>
  <w:num w:numId="10">
    <w:abstractNumId w:val="4"/>
  </w:num>
  <w:num w:numId="11">
    <w:abstractNumId w:val="6"/>
  </w:num>
  <w:num w:numId="12">
    <w:abstractNumId w:val="21"/>
  </w:num>
  <w:num w:numId="13">
    <w:abstractNumId w:val="25"/>
  </w:num>
  <w:num w:numId="14">
    <w:abstractNumId w:val="29"/>
  </w:num>
  <w:num w:numId="15">
    <w:abstractNumId w:val="24"/>
  </w:num>
  <w:num w:numId="16">
    <w:abstractNumId w:val="22"/>
  </w:num>
  <w:num w:numId="17">
    <w:abstractNumId w:val="31"/>
  </w:num>
  <w:num w:numId="18">
    <w:abstractNumId w:val="0"/>
  </w:num>
  <w:num w:numId="19">
    <w:abstractNumId w:val="28"/>
  </w:num>
  <w:num w:numId="20">
    <w:abstractNumId w:val="27"/>
  </w:num>
  <w:num w:numId="21">
    <w:abstractNumId w:val="3"/>
  </w:num>
  <w:num w:numId="22">
    <w:abstractNumId w:val="13"/>
  </w:num>
  <w:num w:numId="23">
    <w:abstractNumId w:val="30"/>
  </w:num>
  <w:num w:numId="24">
    <w:abstractNumId w:val="14"/>
  </w:num>
  <w:num w:numId="25">
    <w:abstractNumId w:val="12"/>
  </w:num>
  <w:num w:numId="26">
    <w:abstractNumId w:val="17"/>
    <w:lvlOverride w:ilvl="0"/>
    <w:lvlOverride w:ilvl="1"/>
    <w:lvlOverride w:ilvl="2"/>
    <w:lvlOverride w:ilvl="3"/>
    <w:lvlOverride w:ilvl="4"/>
    <w:lvlOverride w:ilvl="5"/>
    <w:lvlOverride w:ilvl="6"/>
    <w:lvlOverride w:ilvl="7"/>
    <w:lvlOverride w:ilvl="8"/>
  </w:num>
  <w:num w:numId="27">
    <w:abstractNumId w:val="17"/>
  </w:num>
  <w:num w:numId="28">
    <w:abstractNumId w:val="16"/>
  </w:num>
  <w:num w:numId="29">
    <w:abstractNumId w:val="15"/>
  </w:num>
  <w:num w:numId="30">
    <w:abstractNumId w:val="7"/>
  </w:num>
  <w:num w:numId="31">
    <w:abstractNumId w:val="2"/>
  </w:num>
  <w:num w:numId="32">
    <w:abstractNumId w:val="5"/>
  </w:num>
  <w:num w:numId="33">
    <w:abstractNumId w:val="19"/>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F8"/>
    <w:rsid w:val="00004825"/>
    <w:rsid w:val="00016EF8"/>
    <w:rsid w:val="000345E5"/>
    <w:rsid w:val="000736B9"/>
    <w:rsid w:val="00077862"/>
    <w:rsid w:val="00097A64"/>
    <w:rsid w:val="000B3340"/>
    <w:rsid w:val="000B4568"/>
    <w:rsid w:val="000C2FF5"/>
    <w:rsid w:val="000E2D43"/>
    <w:rsid w:val="000F74C1"/>
    <w:rsid w:val="00102AD2"/>
    <w:rsid w:val="00121BF6"/>
    <w:rsid w:val="00130AFC"/>
    <w:rsid w:val="001327F3"/>
    <w:rsid w:val="001576AF"/>
    <w:rsid w:val="00165048"/>
    <w:rsid w:val="00173B71"/>
    <w:rsid w:val="001950BD"/>
    <w:rsid w:val="001A450C"/>
    <w:rsid w:val="001C1D2E"/>
    <w:rsid w:val="00211E71"/>
    <w:rsid w:val="00244F99"/>
    <w:rsid w:val="0024728D"/>
    <w:rsid w:val="002872D8"/>
    <w:rsid w:val="002903AF"/>
    <w:rsid w:val="00290CE8"/>
    <w:rsid w:val="002C28FF"/>
    <w:rsid w:val="002F100D"/>
    <w:rsid w:val="00303089"/>
    <w:rsid w:val="00323D6B"/>
    <w:rsid w:val="00374810"/>
    <w:rsid w:val="003807C6"/>
    <w:rsid w:val="00394DAE"/>
    <w:rsid w:val="003D1316"/>
    <w:rsid w:val="003D2AAD"/>
    <w:rsid w:val="00403BB7"/>
    <w:rsid w:val="00442E56"/>
    <w:rsid w:val="0044305A"/>
    <w:rsid w:val="004533B3"/>
    <w:rsid w:val="00453C00"/>
    <w:rsid w:val="004648EA"/>
    <w:rsid w:val="00467369"/>
    <w:rsid w:val="00471CE5"/>
    <w:rsid w:val="00476C39"/>
    <w:rsid w:val="0048009A"/>
    <w:rsid w:val="004947BD"/>
    <w:rsid w:val="004968AD"/>
    <w:rsid w:val="004D2524"/>
    <w:rsid w:val="004F2A29"/>
    <w:rsid w:val="004F459C"/>
    <w:rsid w:val="00512615"/>
    <w:rsid w:val="00513D91"/>
    <w:rsid w:val="00522DD4"/>
    <w:rsid w:val="0056190E"/>
    <w:rsid w:val="005737BB"/>
    <w:rsid w:val="00575E56"/>
    <w:rsid w:val="00582BFB"/>
    <w:rsid w:val="005848F3"/>
    <w:rsid w:val="00584D42"/>
    <w:rsid w:val="00587006"/>
    <w:rsid w:val="005957F1"/>
    <w:rsid w:val="005A2A49"/>
    <w:rsid w:val="005C3A02"/>
    <w:rsid w:val="005D1201"/>
    <w:rsid w:val="005E549E"/>
    <w:rsid w:val="005F158F"/>
    <w:rsid w:val="006162A5"/>
    <w:rsid w:val="00622B7E"/>
    <w:rsid w:val="0063315B"/>
    <w:rsid w:val="00637B38"/>
    <w:rsid w:val="006A6E16"/>
    <w:rsid w:val="006D41E4"/>
    <w:rsid w:val="00703752"/>
    <w:rsid w:val="007074A6"/>
    <w:rsid w:val="00745485"/>
    <w:rsid w:val="0076255D"/>
    <w:rsid w:val="0077022A"/>
    <w:rsid w:val="00772865"/>
    <w:rsid w:val="00780374"/>
    <w:rsid w:val="00792A0B"/>
    <w:rsid w:val="00795115"/>
    <w:rsid w:val="007B2141"/>
    <w:rsid w:val="00863208"/>
    <w:rsid w:val="008B1618"/>
    <w:rsid w:val="008C0426"/>
    <w:rsid w:val="00920D92"/>
    <w:rsid w:val="00925143"/>
    <w:rsid w:val="009251D3"/>
    <w:rsid w:val="00945D9A"/>
    <w:rsid w:val="009873A6"/>
    <w:rsid w:val="00996361"/>
    <w:rsid w:val="009A66F4"/>
    <w:rsid w:val="009B5FFE"/>
    <w:rsid w:val="009B62E7"/>
    <w:rsid w:val="00A13243"/>
    <w:rsid w:val="00A22FF2"/>
    <w:rsid w:val="00A34825"/>
    <w:rsid w:val="00A423BD"/>
    <w:rsid w:val="00A72C0B"/>
    <w:rsid w:val="00A91FE8"/>
    <w:rsid w:val="00AA1A2F"/>
    <w:rsid w:val="00AA1B51"/>
    <w:rsid w:val="00AA3E1B"/>
    <w:rsid w:val="00AA51A6"/>
    <w:rsid w:val="00AD764D"/>
    <w:rsid w:val="00AE0CB4"/>
    <w:rsid w:val="00AF7E75"/>
    <w:rsid w:val="00B177D9"/>
    <w:rsid w:val="00B24543"/>
    <w:rsid w:val="00B4073C"/>
    <w:rsid w:val="00B63BD0"/>
    <w:rsid w:val="00B843D0"/>
    <w:rsid w:val="00BB43B1"/>
    <w:rsid w:val="00BD17C6"/>
    <w:rsid w:val="00BD3EA4"/>
    <w:rsid w:val="00BE31FE"/>
    <w:rsid w:val="00BF1F86"/>
    <w:rsid w:val="00C17059"/>
    <w:rsid w:val="00C31B81"/>
    <w:rsid w:val="00C57CB1"/>
    <w:rsid w:val="00C800BD"/>
    <w:rsid w:val="00C964A5"/>
    <w:rsid w:val="00CB0AB8"/>
    <w:rsid w:val="00CE626E"/>
    <w:rsid w:val="00D1671C"/>
    <w:rsid w:val="00D359F8"/>
    <w:rsid w:val="00D4691B"/>
    <w:rsid w:val="00D4701B"/>
    <w:rsid w:val="00D97CBA"/>
    <w:rsid w:val="00DA39DD"/>
    <w:rsid w:val="00DB15AC"/>
    <w:rsid w:val="00DD1D1E"/>
    <w:rsid w:val="00DD7E9E"/>
    <w:rsid w:val="00DF4DC8"/>
    <w:rsid w:val="00DF62C4"/>
    <w:rsid w:val="00E14D5C"/>
    <w:rsid w:val="00E21124"/>
    <w:rsid w:val="00E53BE8"/>
    <w:rsid w:val="00E94EFE"/>
    <w:rsid w:val="00ED589D"/>
    <w:rsid w:val="00F42ED6"/>
    <w:rsid w:val="00F67223"/>
    <w:rsid w:val="00F962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90A153"/>
  <w15:chartTrackingRefBased/>
  <w15:docId w15:val="{1E5112B0-F248-43C8-920C-255ADE1B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link w:val="FooterChar"/>
    <w:uiPriority w:val="99"/>
    <w:rsid w:val="00D1671C"/>
    <w:pPr>
      <w:tabs>
        <w:tab w:val="center" w:pos="4320"/>
        <w:tab w:val="right" w:pos="8640"/>
      </w:tabs>
    </w:pPr>
  </w:style>
  <w:style w:type="character" w:styleId="PageNumber">
    <w:name w:val="page number"/>
    <w:basedOn w:val="DefaultParagraphFont"/>
    <w:rsid w:val="00D1671C"/>
  </w:style>
  <w:style w:type="paragraph" w:styleId="Header">
    <w:name w:val="header"/>
    <w:basedOn w:val="Normal"/>
    <w:link w:val="HeaderChar"/>
    <w:uiPriority w:val="99"/>
    <w:rsid w:val="001576AF"/>
    <w:pPr>
      <w:tabs>
        <w:tab w:val="center" w:pos="4680"/>
        <w:tab w:val="right" w:pos="9360"/>
      </w:tabs>
    </w:pPr>
  </w:style>
  <w:style w:type="character" w:customStyle="1" w:styleId="HeaderChar">
    <w:name w:val="Header Char"/>
    <w:link w:val="Header"/>
    <w:uiPriority w:val="99"/>
    <w:rsid w:val="001576AF"/>
    <w:rPr>
      <w:rFonts w:ascii="Courier" w:hAnsi="Courier"/>
      <w:snapToGrid w:val="0"/>
      <w:sz w:val="24"/>
    </w:rPr>
  </w:style>
  <w:style w:type="paragraph" w:styleId="BalloonText">
    <w:name w:val="Balloon Text"/>
    <w:basedOn w:val="Normal"/>
    <w:link w:val="BalloonTextChar"/>
    <w:rsid w:val="00077862"/>
    <w:rPr>
      <w:rFonts w:ascii="Tahoma" w:hAnsi="Tahoma" w:cs="Tahoma"/>
      <w:sz w:val="16"/>
      <w:szCs w:val="16"/>
    </w:rPr>
  </w:style>
  <w:style w:type="character" w:customStyle="1" w:styleId="BalloonTextChar">
    <w:name w:val="Balloon Text Char"/>
    <w:link w:val="BalloonText"/>
    <w:rsid w:val="00077862"/>
    <w:rPr>
      <w:rFonts w:ascii="Tahoma" w:hAnsi="Tahoma" w:cs="Tahoma"/>
      <w:snapToGrid w:val="0"/>
      <w:sz w:val="16"/>
      <w:szCs w:val="16"/>
    </w:rPr>
  </w:style>
  <w:style w:type="character" w:styleId="Hyperlink">
    <w:name w:val="Hyperlink"/>
    <w:uiPriority w:val="99"/>
    <w:unhideWhenUsed/>
    <w:rsid w:val="00DF62C4"/>
    <w:rPr>
      <w:color w:val="0000FF"/>
      <w:u w:val="single"/>
    </w:rPr>
  </w:style>
  <w:style w:type="paragraph" w:styleId="ListParagraph">
    <w:name w:val="List Paragraph"/>
    <w:basedOn w:val="Normal"/>
    <w:uiPriority w:val="34"/>
    <w:qFormat/>
    <w:rsid w:val="00DF62C4"/>
    <w:pPr>
      <w:widowControl/>
      <w:spacing w:after="200" w:line="276" w:lineRule="auto"/>
      <w:ind w:left="720"/>
      <w:contextualSpacing/>
    </w:pPr>
    <w:rPr>
      <w:rFonts w:ascii="Calibri" w:eastAsia="Calibri" w:hAnsi="Calibri"/>
      <w:snapToGrid/>
      <w:sz w:val="22"/>
      <w:szCs w:val="22"/>
    </w:rPr>
  </w:style>
  <w:style w:type="paragraph" w:styleId="Title">
    <w:name w:val="Title"/>
    <w:basedOn w:val="Normal"/>
    <w:next w:val="Normal"/>
    <w:link w:val="TitleChar"/>
    <w:qFormat/>
    <w:rsid w:val="00DD7E9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D7E9E"/>
    <w:rPr>
      <w:rFonts w:ascii="Calibri Light" w:eastAsia="Times New Roman" w:hAnsi="Calibri Light" w:cs="Times New Roman"/>
      <w:b/>
      <w:bCs/>
      <w:snapToGrid w:val="0"/>
      <w:kern w:val="28"/>
      <w:sz w:val="32"/>
      <w:szCs w:val="32"/>
    </w:rPr>
  </w:style>
  <w:style w:type="character" w:styleId="CommentReference">
    <w:name w:val="annotation reference"/>
    <w:rsid w:val="009873A6"/>
    <w:rPr>
      <w:sz w:val="16"/>
      <w:szCs w:val="16"/>
    </w:rPr>
  </w:style>
  <w:style w:type="paragraph" w:styleId="CommentText">
    <w:name w:val="annotation text"/>
    <w:basedOn w:val="Normal"/>
    <w:link w:val="CommentTextChar"/>
    <w:rsid w:val="009873A6"/>
    <w:rPr>
      <w:sz w:val="20"/>
    </w:rPr>
  </w:style>
  <w:style w:type="character" w:customStyle="1" w:styleId="CommentTextChar">
    <w:name w:val="Comment Text Char"/>
    <w:link w:val="CommentText"/>
    <w:rsid w:val="009873A6"/>
    <w:rPr>
      <w:rFonts w:ascii="Courier" w:hAnsi="Courier"/>
      <w:snapToGrid w:val="0"/>
    </w:rPr>
  </w:style>
  <w:style w:type="paragraph" w:styleId="CommentSubject">
    <w:name w:val="annotation subject"/>
    <w:basedOn w:val="CommentText"/>
    <w:next w:val="CommentText"/>
    <w:link w:val="CommentSubjectChar"/>
    <w:rsid w:val="009873A6"/>
    <w:rPr>
      <w:b/>
      <w:bCs/>
    </w:rPr>
  </w:style>
  <w:style w:type="character" w:customStyle="1" w:styleId="CommentSubjectChar">
    <w:name w:val="Comment Subject Char"/>
    <w:link w:val="CommentSubject"/>
    <w:rsid w:val="009873A6"/>
    <w:rPr>
      <w:rFonts w:ascii="Courier" w:hAnsi="Courier"/>
      <w:b/>
      <w:bCs/>
      <w:snapToGrid w:val="0"/>
    </w:rPr>
  </w:style>
  <w:style w:type="paragraph" w:styleId="Revision">
    <w:name w:val="Revision"/>
    <w:hidden/>
    <w:uiPriority w:val="99"/>
    <w:semiHidden/>
    <w:rsid w:val="009873A6"/>
    <w:rPr>
      <w:rFonts w:ascii="Courier" w:hAnsi="Courier"/>
      <w:snapToGrid w:val="0"/>
      <w:sz w:val="24"/>
    </w:rPr>
  </w:style>
  <w:style w:type="character" w:customStyle="1" w:styleId="FooterChar">
    <w:name w:val="Footer Char"/>
    <w:link w:val="Footer"/>
    <w:uiPriority w:val="99"/>
    <w:rsid w:val="00303089"/>
    <w:rPr>
      <w:rFonts w:ascii="Courier" w:hAnsi="Courier"/>
      <w:snapToGrid w:val="0"/>
      <w:sz w:val="24"/>
    </w:rPr>
  </w:style>
  <w:style w:type="character" w:styleId="UnresolvedMention">
    <w:name w:val="Unresolved Mention"/>
    <w:uiPriority w:val="99"/>
    <w:semiHidden/>
    <w:unhideWhenUsed/>
    <w:rsid w:val="0048009A"/>
    <w:rPr>
      <w:color w:val="808080"/>
      <w:shd w:val="clear" w:color="auto" w:fill="E6E6E6"/>
    </w:rPr>
  </w:style>
  <w:style w:type="table" w:styleId="TableGrid">
    <w:name w:val="Table Grid"/>
    <w:basedOn w:val="TableNormal"/>
    <w:rsid w:val="00AE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2Tables/html/BN%20(LEO)_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Lewczuk, Katarzyna CTR (MARAD)</cp:lastModifiedBy>
  <cp:revision>2</cp:revision>
  <cp:lastPrinted>2019-06-03T18:34:00Z</cp:lastPrinted>
  <dcterms:created xsi:type="dcterms:W3CDTF">2022-09-23T15:34:00Z</dcterms:created>
  <dcterms:modified xsi:type="dcterms:W3CDTF">2022-09-23T15:34:00Z</dcterms:modified>
</cp:coreProperties>
</file>