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B1B" w:rsidRPr="005C6B1B" w:rsidP="005C6B1B" w14:paraId="1BB298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C6B1B">
        <w:rPr>
          <w:b/>
          <w:sz w:val="24"/>
          <w:szCs w:val="24"/>
        </w:rPr>
        <w:t>Supporting Statement for Paperwork Reduction Act Submissions</w:t>
      </w:r>
    </w:p>
    <w:p w:rsidR="005C6B1B" w:rsidRPr="005C6B1B" w:rsidP="005C6B1B" w14:paraId="5CFE803C" w14:textId="3F248C60">
      <w:pPr>
        <w:tabs>
          <w:tab w:val="left" w:pos="240"/>
        </w:tabs>
        <w:spacing w:after="40"/>
        <w:ind w:left="120" w:right="-120"/>
        <w:jc w:val="center"/>
        <w:rPr>
          <w:b/>
          <w:sz w:val="24"/>
          <w:szCs w:val="24"/>
        </w:rPr>
      </w:pPr>
      <w:bookmarkStart w:id="0" w:name="_Hlk73526624"/>
      <w:r w:rsidRPr="005C6B1B">
        <w:rPr>
          <w:b/>
          <w:sz w:val="24"/>
          <w:szCs w:val="24"/>
        </w:rPr>
        <w:t xml:space="preserve">Operating Fund Energy Incentives:  </w:t>
      </w:r>
      <w:r w:rsidRPr="005C6B1B">
        <w:rPr>
          <w:b/>
          <w:sz w:val="24"/>
          <w:szCs w:val="24"/>
        </w:rPr>
        <w:t>Energy Performance</w:t>
      </w:r>
      <w:r w:rsidRPr="005C6B1B">
        <w:rPr>
          <w:b/>
          <w:sz w:val="24"/>
          <w:szCs w:val="24"/>
        </w:rPr>
        <w:t xml:space="preserve"> Contracting Program, Rate Reduction Incentive</w:t>
      </w:r>
    </w:p>
    <w:p w:rsidR="005C6B1B" w:rsidRPr="00E37850" w:rsidP="005C6B1B" w14:paraId="029B4F4D" w14:textId="0F1CD998">
      <w:pPr>
        <w:tabs>
          <w:tab w:val="left" w:pos="240"/>
        </w:tabs>
        <w:spacing w:after="40"/>
        <w:ind w:left="120" w:right="-120"/>
        <w:jc w:val="center"/>
        <w:rPr>
          <w:b/>
          <w:bCs/>
          <w:sz w:val="24"/>
          <w:szCs w:val="24"/>
        </w:rPr>
      </w:pPr>
      <w:r w:rsidRPr="00E37850">
        <w:rPr>
          <w:b/>
          <w:bCs/>
          <w:sz w:val="24"/>
          <w:szCs w:val="24"/>
        </w:rPr>
        <w:t>2577-NEW</w:t>
      </w:r>
    </w:p>
    <w:bookmarkEnd w:id="0"/>
    <w:p w:rsidR="005C6B1B" w:rsidP="005C6B1B" w14:paraId="3AAE96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5C6B1B" w:rsidP="005C6B1B" w14:paraId="2D8493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5C6B1B" w:rsidP="005C6B1B" w14:paraId="5209FCA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5C6B1B" w:rsidP="005C6B1B" w14:paraId="642DEB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5C6B1B" w:rsidP="005C6B1B" w14:paraId="50BB2714" w14:textId="77777777">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C6B1B" w:rsidP="005C6B1B" w14:paraId="36D718C9" w14:textId="77777777">
      <w:pPr>
        <w:keepLines/>
        <w:tabs>
          <w:tab w:val="left" w:pos="360"/>
          <w:tab w:val="left" w:pos="720"/>
        </w:tabs>
        <w:ind w:left="360"/>
        <w:rPr>
          <w:sz w:val="22"/>
        </w:rPr>
      </w:pPr>
    </w:p>
    <w:p w:rsidR="005C6B1B" w:rsidRPr="00BE6480" w:rsidP="005C6B1B" w14:paraId="74DEADC9" w14:textId="77777777">
      <w:pPr>
        <w:pStyle w:val="Default"/>
        <w:ind w:left="720"/>
        <w:rPr>
          <w:rFonts w:ascii="Calibri" w:hAnsi="Calibri"/>
          <w:color w:val="auto"/>
          <w:sz w:val="22"/>
          <w:szCs w:val="22"/>
        </w:rPr>
      </w:pPr>
      <w:bookmarkStart w:id="1" w:name="_Hlk73526702"/>
      <w:r w:rsidRPr="00BE6480">
        <w:rPr>
          <w:rFonts w:ascii="Calibri" w:hAnsi="Calibri"/>
          <w:color w:val="auto"/>
          <w:sz w:val="22"/>
          <w:szCs w:val="22"/>
        </w:rPr>
        <w:t>Section 9(e)(2)(C) of the United States Housing Act of 1937 (1937 Act) authorizes Public Housing Agencies (PHAs) to “receive the full financial benefit from any reduction in the cost of utilities or waste management resulting from any contract with a third party to undertake energy conservation improvements in one or more of its public housing projects.” Energy Conservation Measures include improvements to other utilities such as water and gas. Under 24 CFR 990.185. PHAs may qualify for conservation incentives when undertaking ECMs that are financed by a third-party entity other than HUD.</w:t>
      </w:r>
    </w:p>
    <w:p w:rsidR="005C6B1B" w:rsidRPr="00BE6480" w:rsidP="005C6B1B" w14:paraId="1DBDDEE6" w14:textId="77777777">
      <w:pPr>
        <w:pStyle w:val="Default"/>
        <w:ind w:left="720"/>
        <w:rPr>
          <w:rFonts w:ascii="Calibri" w:hAnsi="Calibri"/>
          <w:color w:val="auto"/>
          <w:sz w:val="22"/>
          <w:szCs w:val="22"/>
        </w:rPr>
      </w:pPr>
    </w:p>
    <w:p w:rsidR="005C6B1B" w:rsidRPr="00BE6480" w:rsidP="005C6B1B" w14:paraId="181CE02B" w14:textId="77777777">
      <w:pPr>
        <w:pStyle w:val="Default"/>
        <w:ind w:left="720"/>
        <w:rPr>
          <w:rFonts w:ascii="Calibri" w:hAnsi="Calibri"/>
          <w:color w:val="auto"/>
          <w:sz w:val="22"/>
          <w:szCs w:val="22"/>
        </w:rPr>
      </w:pPr>
      <w:r w:rsidRPr="00BE6480">
        <w:rPr>
          <w:rFonts w:ascii="Calibri" w:hAnsi="Calibri"/>
          <w:color w:val="auto"/>
          <w:sz w:val="22"/>
          <w:szCs w:val="22"/>
        </w:rPr>
        <w:t>This third-party financing of energy consumption improvements is termed an Energy Performance Contract (EPC).  A PHA uses a loan from a third party to finance initial improvements (energy and water conservation measures (ECMs) in PHA infrastructure that will reduce a PHA’s energy and/or water consumption.  HUD will continue to provide the PHA operating subsidy based on a PHA’s energy consumption before the improvements were made.  The PHA will then use the energy savings to pay for the debt service on the loan.</w:t>
      </w:r>
    </w:p>
    <w:p w:rsidR="005C6B1B" w:rsidRPr="00BE6480" w:rsidP="005C6B1B" w14:paraId="26D09775" w14:textId="77777777">
      <w:pPr>
        <w:pStyle w:val="Default"/>
        <w:ind w:left="720"/>
        <w:rPr>
          <w:rFonts w:ascii="Calibri" w:hAnsi="Calibri"/>
          <w:color w:val="auto"/>
          <w:sz w:val="22"/>
          <w:szCs w:val="22"/>
        </w:rPr>
      </w:pPr>
    </w:p>
    <w:p w:rsidR="005C6B1B" w:rsidRPr="00BE6480" w:rsidP="005C6B1B" w14:paraId="2B4F2212" w14:textId="77777777">
      <w:pPr>
        <w:pStyle w:val="Default"/>
        <w:ind w:left="720"/>
        <w:rPr>
          <w:rFonts w:ascii="Calibri" w:hAnsi="Calibri"/>
          <w:color w:val="auto"/>
          <w:sz w:val="22"/>
          <w:szCs w:val="22"/>
        </w:rPr>
      </w:pPr>
      <w:r w:rsidRPr="00BE6480">
        <w:rPr>
          <w:rFonts w:ascii="Calibri" w:hAnsi="Calibri"/>
          <w:color w:val="auto"/>
          <w:sz w:val="22"/>
          <w:szCs w:val="22"/>
        </w:rPr>
        <w:t>There are three energy consumption incentives that are available to a PHA:</w:t>
      </w:r>
    </w:p>
    <w:p w:rsidR="005C6B1B" w:rsidRPr="00BE6480" w:rsidP="005C6B1B" w14:paraId="15DAD9B8" w14:textId="77777777">
      <w:pPr>
        <w:pStyle w:val="Default"/>
        <w:ind w:left="720"/>
        <w:rPr>
          <w:rFonts w:ascii="Calibri" w:hAnsi="Calibri"/>
          <w:color w:val="auto"/>
          <w:sz w:val="22"/>
          <w:szCs w:val="22"/>
        </w:rPr>
      </w:pPr>
    </w:p>
    <w:p w:rsidR="005C6B1B" w:rsidRPr="00BE6480" w:rsidP="005C6B1B" w14:paraId="07DF1EC5" w14:textId="77777777">
      <w:pPr>
        <w:pStyle w:val="Default"/>
        <w:numPr>
          <w:ilvl w:val="0"/>
          <w:numId w:val="3"/>
        </w:numPr>
        <w:rPr>
          <w:rFonts w:ascii="Calibri" w:hAnsi="Calibri"/>
          <w:color w:val="auto"/>
          <w:sz w:val="22"/>
          <w:szCs w:val="22"/>
        </w:rPr>
      </w:pPr>
      <w:r w:rsidRPr="00BE6480">
        <w:rPr>
          <w:rFonts w:ascii="Calibri" w:hAnsi="Calibri"/>
          <w:color w:val="auto"/>
          <w:sz w:val="22"/>
          <w:szCs w:val="22"/>
        </w:rPr>
        <w:t xml:space="preserve">The Frozen Rolling Base -where HUD freezes the PHA’s pre-EPC Rolling Base Consumption Level (RBCL) following the installation of ECMs so that the PHA can retain the savings from the decreased energy and/or water consumption for the term of the contract. </w:t>
      </w:r>
    </w:p>
    <w:p w:rsidR="005C6B1B" w:rsidRPr="00BE6480" w:rsidP="005C6B1B" w14:paraId="15AC2484" w14:textId="77777777">
      <w:pPr>
        <w:pStyle w:val="Default"/>
        <w:numPr>
          <w:ilvl w:val="0"/>
          <w:numId w:val="3"/>
        </w:numPr>
        <w:rPr>
          <w:rFonts w:ascii="Calibri" w:hAnsi="Calibri"/>
          <w:color w:val="auto"/>
          <w:sz w:val="22"/>
          <w:szCs w:val="22"/>
        </w:rPr>
      </w:pPr>
      <w:r w:rsidRPr="00BE6480">
        <w:rPr>
          <w:rFonts w:ascii="Calibri" w:hAnsi="Calibri"/>
          <w:color w:val="auto"/>
          <w:sz w:val="22"/>
          <w:szCs w:val="22"/>
        </w:rPr>
        <w:t>The Add-on Subsidy - an Additional Operating Subsidy (or “add-on”) is an increase in total operating subsidy eligibility provided by HUD as a conservation incentive, as described in 24 CFR § 990.185(a)(3). The additional subsidy is for amortization of the loan of the EPC and other direct costs related to the energy and/or water conservation project during the term of the contract.</w:t>
      </w:r>
    </w:p>
    <w:p w:rsidR="005C6B1B" w:rsidRPr="00BE6480" w:rsidP="005C6B1B" w14:paraId="0801913B" w14:textId="77777777">
      <w:pPr>
        <w:pStyle w:val="Default"/>
        <w:numPr>
          <w:ilvl w:val="0"/>
          <w:numId w:val="3"/>
        </w:numPr>
        <w:rPr>
          <w:rFonts w:ascii="Calibri" w:hAnsi="Calibri"/>
          <w:sz w:val="22"/>
          <w:szCs w:val="22"/>
        </w:rPr>
      </w:pPr>
      <w:r w:rsidRPr="00BE6480">
        <w:rPr>
          <w:rFonts w:ascii="Calibri" w:hAnsi="Calibri"/>
          <w:color w:val="auto"/>
          <w:sz w:val="22"/>
          <w:szCs w:val="22"/>
        </w:rPr>
        <w:t xml:space="preserve">The Resident-Paid Utility incentive (24 CFR </w:t>
      </w:r>
      <w:r w:rsidRPr="00BE6480">
        <w:rPr>
          <w:rFonts w:ascii="Calibri" w:hAnsi="Calibri" w:cs="Calibri"/>
          <w:color w:val="auto"/>
          <w:sz w:val="22"/>
          <w:szCs w:val="22"/>
        </w:rPr>
        <w:t>§</w:t>
      </w:r>
      <w:r w:rsidRPr="00BE6480">
        <w:rPr>
          <w:rFonts w:ascii="Calibri" w:hAnsi="Calibri"/>
          <w:color w:val="auto"/>
          <w:sz w:val="22"/>
          <w:szCs w:val="22"/>
        </w:rPr>
        <w:t xml:space="preserve">990.185(a)(2)).  PHAs undertaking energy and/or water conservation measures that are financed by a third-party entity other than HUD may include resident-paid utilities under the consumption reduction incentive. This approach allows a PHA to exclude from its Operating Fund rental income calculations any rents received that are a result of decreased utility allowances resulting from decreased consumption. </w:t>
      </w:r>
    </w:p>
    <w:bookmarkEnd w:id="1"/>
    <w:p w:rsidR="005C6B1B" w:rsidRPr="00BE6480" w:rsidP="005C6B1B" w14:paraId="3F2D3D88" w14:textId="77777777">
      <w:pPr>
        <w:pStyle w:val="Default"/>
        <w:ind w:left="1080"/>
        <w:rPr>
          <w:rFonts w:ascii="Calibri" w:hAnsi="Calibri"/>
          <w:color w:val="auto"/>
          <w:sz w:val="22"/>
          <w:szCs w:val="22"/>
        </w:rPr>
      </w:pPr>
    </w:p>
    <w:p w:rsidR="005C6B1B" w:rsidRPr="00BE6480" w:rsidP="005C6B1B" w14:paraId="459E4D9E" w14:textId="77777777">
      <w:pPr>
        <w:pStyle w:val="Default"/>
        <w:ind w:left="720"/>
        <w:rPr>
          <w:rFonts w:ascii="Calibri" w:hAnsi="Calibri"/>
          <w:sz w:val="22"/>
          <w:szCs w:val="22"/>
        </w:rPr>
      </w:pPr>
      <w:bookmarkStart w:id="2" w:name="_Hlk89257281"/>
      <w:r w:rsidRPr="00BE6480">
        <w:rPr>
          <w:rFonts w:ascii="Calibri" w:hAnsi="Calibri"/>
          <w:sz w:val="22"/>
          <w:szCs w:val="22"/>
        </w:rPr>
        <w:t xml:space="preserve">In addition to consumption incentives, PHAs are also eligible for a Rate Reduction Incentive (24 CFR </w:t>
      </w:r>
      <w:r w:rsidRPr="00BE6480">
        <w:rPr>
          <w:rFonts w:ascii="Calibri" w:hAnsi="Calibri" w:cs="Calibri"/>
          <w:sz w:val="22"/>
          <w:szCs w:val="22"/>
        </w:rPr>
        <w:t>§</w:t>
      </w:r>
      <w:r w:rsidRPr="00BE6480">
        <w:rPr>
          <w:rFonts w:ascii="Calibri" w:hAnsi="Calibri"/>
          <w:sz w:val="22"/>
          <w:szCs w:val="22"/>
        </w:rPr>
        <w:t>990.185(b)) which also allows PHAs to retain 50% of the annual savings attributable to taking specific actions to reduce the cost of their energy consumption, such as well-head purchase of natural gas, administrative appeals, or contract negotiation with a utility company.  The lower rate cannot be a result of factors that do not require the PHA to take an action and/or are beyond a PHA’s control including, but not limited to, market changes, legislative changes, rate changes for all customers, or consuming  energy at a different time of day.</w:t>
      </w:r>
      <w:bookmarkEnd w:id="2"/>
    </w:p>
    <w:p w:rsidR="005C6B1B" w:rsidRPr="00BE6480" w:rsidP="005C6B1B" w14:paraId="65147D9D" w14:textId="77777777">
      <w:pPr>
        <w:pStyle w:val="Default"/>
        <w:ind w:left="360" w:firstLine="720"/>
        <w:rPr>
          <w:rFonts w:ascii="Calibri" w:hAnsi="Calibri"/>
          <w:sz w:val="22"/>
          <w:szCs w:val="22"/>
        </w:rPr>
      </w:pPr>
    </w:p>
    <w:p w:rsidR="005C6B1B" w:rsidRPr="000C7AFE" w:rsidP="005C6B1B" w14:paraId="5E23DA5B" w14:textId="77777777">
      <w:pPr>
        <w:pStyle w:val="Default"/>
        <w:ind w:left="720"/>
        <w:rPr>
          <w:sz w:val="22"/>
          <w:szCs w:val="22"/>
        </w:rPr>
      </w:pPr>
      <w:r w:rsidRPr="00BE6480">
        <w:rPr>
          <w:rFonts w:ascii="Calibri" w:hAnsi="Calibri"/>
          <w:sz w:val="22"/>
          <w:szCs w:val="22"/>
        </w:rPr>
        <w:t>These incentives are not automatically offered, and must be applied for.  In addition, PHAs must measure and verify their savings and submit that information to correctly calculate subsidy.</w:t>
      </w:r>
    </w:p>
    <w:p w:rsidR="005C6B1B" w:rsidP="005C6B1B" w14:paraId="207CCB99" w14:textId="77777777">
      <w:pPr>
        <w:keepLines/>
        <w:tabs>
          <w:tab w:val="left" w:pos="360"/>
          <w:tab w:val="left" w:pos="720"/>
        </w:tabs>
        <w:ind w:left="360"/>
        <w:rPr>
          <w:sz w:val="18"/>
        </w:rPr>
      </w:pPr>
    </w:p>
    <w:p w:rsidR="005C6B1B" w:rsidP="005C6B1B" w14:paraId="6E9B6DB1" w14:textId="77777777">
      <w:pPr>
        <w:tabs>
          <w:tab w:val="left" w:pos="360"/>
        </w:tabs>
        <w:ind w:left="360" w:hanging="360"/>
        <w:rPr>
          <w:sz w:val="18"/>
        </w:rPr>
      </w:pPr>
    </w:p>
    <w:p w:rsidR="005C6B1B" w:rsidP="005C6B1B" w14:paraId="5BCC1995" w14:textId="77777777">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5C6B1B" w:rsidRPr="00C14D28" w:rsidP="005C6B1B" w14:paraId="3FFE53C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C14D28">
        <w:rPr>
          <w:rFonts w:ascii="Calibri" w:hAnsi="Calibri"/>
          <w:sz w:val="22"/>
          <w:szCs w:val="22"/>
        </w:rPr>
        <w:t>Applicants for an EPC program submit the following documents at the time of submission:</w:t>
      </w:r>
    </w:p>
    <w:p w:rsidR="005C6B1B" w:rsidRPr="00C14D28" w:rsidP="005C6B1B" w14:paraId="1ADFD8C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188CE11B"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A letter applying for an EPC incentive, identifying the project location, any PHA units that would fall under the EPC contract, the type of incentive that a PHA is applying for and whether or not the project will be managed by the PHA, using a consultant, and/or using an Energy Services Company (ESCO) to manage the EPC on their behalf. If applicable, PHAs should also note in this letter if they are pursuing the Rate Reduction Incentive in conjunction with the EPC (24 CFR § 990.185(b); Notice PIH 2019-24).</w:t>
      </w:r>
    </w:p>
    <w:p w:rsidR="005C6B1B" w:rsidRPr="00BE6480" w:rsidP="005C6B1B" w14:paraId="6FA477DC"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Completed an investment grade energy audit per ASHRAE (American Society of Heating, Refrigeration, and Air-conditioning Engineers) standard that supports the proposal.</w:t>
      </w:r>
    </w:p>
    <w:p w:rsidR="005C6B1B" w:rsidRPr="00BE6480" w:rsidP="005C6B1B" w14:paraId="139735D3"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 The Request for Proposals (RFP) used to solicit proposals from third-party lenders or ESCOs.</w:t>
      </w:r>
    </w:p>
    <w:p w:rsidR="005C6B1B" w:rsidRPr="00BE6480" w:rsidP="005C6B1B" w14:paraId="2AF89FB8"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A Cost summary sheet showing ECMs by project, funding type and measurement and verification (M&amp;V) type </w:t>
      </w:r>
    </w:p>
    <w:p w:rsidR="005C6B1B" w:rsidRPr="00BE6480" w:rsidP="005C6B1B" w14:paraId="1F1414F0"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Detailed utility baseline data summary sheet showing the RBCL and any adjustments to the data:</w:t>
      </w:r>
    </w:p>
    <w:p w:rsidR="005C6B1B" w:rsidRPr="00BE6480" w:rsidP="005C6B1B" w14:paraId="6073EC6A"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Copies of the HUD 52722 and 52723</w:t>
      </w:r>
      <w:r>
        <w:rPr>
          <w:rStyle w:val="FootnoteReference"/>
          <w:rFonts w:ascii="Calibri" w:hAnsi="Calibri"/>
          <w:sz w:val="22"/>
          <w:szCs w:val="22"/>
        </w:rPr>
        <w:footnoteReference w:id="2"/>
      </w:r>
      <w:r w:rsidRPr="00BE6480">
        <w:rPr>
          <w:rFonts w:ascii="Calibri" w:hAnsi="Calibri"/>
          <w:sz w:val="22"/>
          <w:szCs w:val="22"/>
        </w:rPr>
        <w:t xml:space="preserve"> forms by Asset Management Project (AMP) for each year of the required rolling base years.</w:t>
      </w:r>
    </w:p>
    <w:p w:rsidR="005C6B1B" w:rsidRPr="00BE6480" w:rsidP="005C6B1B" w14:paraId="5A41854F"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  Copy of the most recent HUD 52722 and 52723 forms by AMP.</w:t>
      </w:r>
    </w:p>
    <w:p w:rsidR="005C6B1B" w:rsidRPr="00BE6480" w:rsidP="005C6B1B" w14:paraId="1EA409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00"/>
        <w:rPr>
          <w:rFonts w:ascii="Calibri" w:hAnsi="Calibri"/>
          <w:sz w:val="22"/>
          <w:szCs w:val="22"/>
        </w:rPr>
      </w:pPr>
    </w:p>
    <w:p w:rsidR="005C6B1B" w:rsidRPr="00BE6480" w:rsidP="005C6B1B" w14:paraId="16124ED7"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A detailed Cash flow Summary, showing:</w:t>
      </w:r>
    </w:p>
    <w:p w:rsidR="005C6B1B" w:rsidRPr="00BE6480" w:rsidP="005C6B1B" w14:paraId="5767506A"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That the energy savings are sufficient to cover the project costs including replacement costs;</w:t>
      </w:r>
    </w:p>
    <w:p w:rsidR="005C6B1B" w:rsidRPr="00BE6480" w:rsidP="005C6B1B" w14:paraId="3184E932"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That 75% of the annual energy savings are utilized for payment of the debt for the contract; and</w:t>
      </w:r>
    </w:p>
    <w:p w:rsidR="005C6B1B" w:rsidRPr="00BE6480" w:rsidP="005C6B1B" w14:paraId="52F2F236"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Any Bureau of Labor and Statistics historical documentation supporting any utility rate escalations.</w:t>
      </w:r>
    </w:p>
    <w:p w:rsidR="005C6B1B" w:rsidRPr="00BE6480" w:rsidP="005C6B1B" w14:paraId="4D42F3A8"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Resident Paid Utility Allowances:</w:t>
      </w:r>
    </w:p>
    <w:p w:rsidR="005C6B1B" w:rsidRPr="00BE6480" w:rsidP="005C6B1B" w14:paraId="1C8A5F68"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Copies of EXISTING utility allowances with supportive documentation;</w:t>
      </w:r>
    </w:p>
    <w:p w:rsidR="005C6B1B" w:rsidRPr="00BE6480" w:rsidP="005C6B1B" w14:paraId="037AD76D"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Copies of the Pre-EPC utility allowances with supportive documentation; and </w:t>
      </w:r>
    </w:p>
    <w:p w:rsidR="005C6B1B" w:rsidRPr="00BE6480" w:rsidP="005C6B1B" w14:paraId="1AA71E62" w14:textId="77777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Copies of what the post-EPC utility allowances will be with supportive documentation.</w:t>
      </w:r>
    </w:p>
    <w:p w:rsidR="005C6B1B" w:rsidRPr="00BE6480" w:rsidP="005C6B1B" w14:paraId="18454868"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A copy of the Energy Services Agreement contract between the PHA and their third party lender/ESCO Energy Services Agreement (ESA)</w:t>
      </w:r>
    </w:p>
    <w:p w:rsidR="005C6B1B" w:rsidRPr="00BE6480" w:rsidP="005C6B1B" w14:paraId="34F7771A"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A certification that the PHA has performed a cost analysis per 2 CFR part 200, and that costs associated with the EPC are reasonable;</w:t>
      </w:r>
    </w:p>
    <w:p w:rsidR="005C6B1B" w:rsidRPr="00BE6480" w:rsidP="005C6B1B" w14:paraId="14A0F890"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HUD-5369A Representations, Certifications, and Other Statements of Bidders </w:t>
      </w:r>
    </w:p>
    <w:p w:rsidR="005C6B1B" w:rsidRPr="00BE6480" w:rsidP="005C6B1B" w14:paraId="7E6C772A"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A repayment certification that the PHA will pay for any debt using cost savings from implementing ECMs; and </w:t>
      </w:r>
    </w:p>
    <w:p w:rsidR="005C6B1B" w:rsidRPr="00BE6480" w:rsidP="005C6B1B" w14:paraId="222471B5" w14:textId="7777777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A letter from the PHA's legal counsel that states that the ESA complies with State and Local laws and the legal interests of the PHA are fairly represented in the ESA.</w:t>
      </w:r>
    </w:p>
    <w:p w:rsidR="005C6B1B" w:rsidRPr="00BE6480" w:rsidP="005C6B1B" w14:paraId="6B2AF2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69A6698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HUD uses collected information to determine whether applications meet eligibility requirements and application submission requirements.  Applicants provide information about the proposed contract to enable HUD to evaluate the applicant’s response to the criteria for rating the application and approving or disproving the contract.  </w:t>
      </w:r>
    </w:p>
    <w:p w:rsidR="005C6B1B" w:rsidRPr="00BE6480" w:rsidP="005C6B1B" w14:paraId="302C1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5C6B1B" w:rsidRPr="00BE6480" w:rsidP="005C6B1B" w14:paraId="2694E5F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bookmarkStart w:id="3" w:name="_Hlk89257121"/>
      <w:r w:rsidRPr="00BE6480">
        <w:rPr>
          <w:rFonts w:ascii="Calibri" w:hAnsi="Calibri"/>
          <w:sz w:val="22"/>
          <w:szCs w:val="22"/>
        </w:rPr>
        <w:t>Applications for the RRI must include the following information:</w:t>
      </w:r>
    </w:p>
    <w:p w:rsidR="005C6B1B" w:rsidRPr="00BE6480" w:rsidP="005C6B1B" w14:paraId="394735A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7BE3453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1. PHA Name and PHA code; </w:t>
      </w:r>
    </w:p>
    <w:p w:rsidR="005C6B1B" w:rsidRPr="00BE6480" w:rsidP="005C6B1B" w14:paraId="58E2B26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2. Asset Management Project (AMP) number for each AMP included in the proposed RRI; </w:t>
      </w:r>
    </w:p>
    <w:p w:rsidR="005C6B1B" w:rsidRPr="00BE6480" w:rsidP="005C6B1B" w14:paraId="0BE41E60"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3. A brief description of the action the PHA undertook to reduce the utility rate and </w:t>
      </w:r>
    </w:p>
    <w:p w:rsidR="005C6B1B" w:rsidRPr="00BE6480" w:rsidP="005C6B1B" w14:paraId="496DF861"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supporting documentation; </w:t>
      </w:r>
    </w:p>
    <w:p w:rsidR="005C6B1B" w:rsidRPr="00BE6480" w:rsidP="005C6B1B" w14:paraId="1ADE813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4. An explanation of how the PHA will calculate savings; and </w:t>
      </w:r>
    </w:p>
    <w:p w:rsidR="005C6B1B" w:rsidRPr="00BE6480" w:rsidP="005C6B1B" w14:paraId="6510355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5. Identification of the incentive the PHA will claim, whether it is 50 percent or 100 percent </w:t>
      </w:r>
    </w:p>
    <w:p w:rsidR="005C6B1B" w:rsidRPr="00BE6480" w:rsidP="005C6B1B" w14:paraId="39DADE9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of the actual savings.</w:t>
      </w:r>
    </w:p>
    <w:p w:rsidR="005C6B1B" w:rsidRPr="00BE6480" w:rsidP="005C6B1B" w14:paraId="1C9AF39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7F80D248"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bookmarkStart w:id="4" w:name="_Hlk100734984"/>
      <w:r w:rsidRPr="00BE6480">
        <w:rPr>
          <w:rFonts w:ascii="Calibri" w:hAnsi="Calibri"/>
          <w:sz w:val="22"/>
          <w:szCs w:val="22"/>
        </w:rPr>
        <w:t xml:space="preserve">RRIs executed at the same time as an EPC are eligible to retain up to 100 percent of the savings (rather than 50 percent of the savings with the RRI alone) during the EPC repayment period when the EPC and RRI impact the </w:t>
      </w:r>
      <w:r w:rsidRPr="00BE6480">
        <w:rPr>
          <w:rFonts w:ascii="Calibri" w:hAnsi="Calibri"/>
          <w:sz w:val="22"/>
          <w:szCs w:val="22"/>
        </w:rPr>
        <w:t>same AMP and utility. The requirements for a PHA to be eligible to retain 100 percent of the RRI savings are as follows:</w:t>
      </w:r>
    </w:p>
    <w:p w:rsidR="005C6B1B" w:rsidRPr="00BE6480" w:rsidP="005C6B1B" w14:paraId="0C1004D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5D96D9DD"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The PHA must be eligible for both EPC incentives and RRI incentives (1) at the same AMP, (2) for the same utility, and (3) in the same funding period. For an EPC and an RRI to be considered executed at the same time, the RRI action needs to be submitted to HUD for review after the PHA submits the EPC package to HUD for review and before HUD approves the EPC. </w:t>
      </w:r>
    </w:p>
    <w:p w:rsidR="005C6B1B" w:rsidRPr="00BE6480" w:rsidP="005C6B1B" w14:paraId="7F30D5BD"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The PHA’s RRI submission must state that it is requesting a 100 percent RRI benefit because it is being executed in conjunction with an EPC. A PHA’s EPC submission must state that the PHA is pursuing an RRI in conjunction with an EPC. </w:t>
      </w:r>
    </w:p>
    <w:p w:rsidR="005C6B1B" w:rsidRPr="00BE6480" w:rsidP="005C6B1B" w14:paraId="0F84A76D"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Both the RRI and EPC approval letters from HUD must indicate that the PHA is pursing both approvals in conjunction with each other. </w:t>
      </w:r>
    </w:p>
    <w:bookmarkEnd w:id="4"/>
    <w:p w:rsidR="005C6B1B" w:rsidRPr="00BE6480" w:rsidP="005C6B1B" w14:paraId="6F17CC7F" w14:textId="7777777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bookmarkEnd w:id="3"/>
    <w:p w:rsidR="005C6B1B" w:rsidRPr="00BE6480" w:rsidP="005C6B1B" w14:paraId="7F0D246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363ACF26"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As part of an EPC, the PHA or the ESCO is required to generate a Measurement and Verification Report on an annual basis.  The report must contain the actual usage amount of each utility under the EPC, the actual unit of measure, the consumption savings, and the cost savings, as well as any other information that is specified by the contract (which may differ from PHA to PHA).  PHAs are required to provide this report to HUD annually.     </w:t>
      </w:r>
      <w:r w:rsidRPr="00BE6480">
        <w:rPr>
          <w:rFonts w:ascii="Calibri" w:hAnsi="Calibri"/>
          <w:sz w:val="22"/>
          <w:szCs w:val="22"/>
        </w:rPr>
        <w:tab/>
        <w:t xml:space="preserve">  </w:t>
      </w:r>
    </w:p>
    <w:p w:rsidR="005C6B1B" w:rsidRPr="00BE6480" w:rsidP="005C6B1B" w14:paraId="0929BA2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alibri" w:hAnsi="Calibri"/>
          <w:sz w:val="22"/>
          <w:szCs w:val="22"/>
        </w:rPr>
      </w:pPr>
    </w:p>
    <w:p w:rsidR="005C6B1B" w:rsidRPr="00BE6480" w:rsidP="005C6B1B" w14:paraId="20D71960"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For the EPC program, in addition to the Measurement and Verification report, PHAs will be required to submit an Energy Savings Calculator Excel spreadsheet.  This calculator will contain utility usage data like the Measurement and Verification report; however the calculator will compare the  usage data against the HUD generated approval letter to ensure that the EPC savings have been calculated correctly.</w:t>
      </w:r>
    </w:p>
    <w:p w:rsidR="005C6B1B" w:rsidRPr="00BE6480" w:rsidP="005C6B1B" w14:paraId="76F53BF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390B10A8"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In the case of PHAs that have a resident paid utility (RPU) incentive as part of their EPC, the PHA must also submit the Resident Paid Utility Worksheet annually.</w:t>
      </w:r>
    </w:p>
    <w:p w:rsidR="005C6B1B" w:rsidRPr="00BE6480" w:rsidP="005C6B1B" w14:paraId="788ADC43"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BE6480" w:rsidP="005C6B1B" w14:paraId="0230F160"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The monitoring, measurement and verification information collected allows HUD to audit program performance accurately.  The quality of reported data is critical for ensuring an accurate distribution of the Operating Fund subsidy. </w:t>
      </w:r>
    </w:p>
    <w:p w:rsidR="005C6B1B" w:rsidRPr="00BE6480" w:rsidP="005C6B1B" w14:paraId="2AA8AD3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p>
    <w:p w:rsidR="005C6B1B" w:rsidRPr="00C14D28" w:rsidP="005C6B1B" w14:paraId="240AF44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For the RRI, PHAs must annually submit documentation on energy cost savings attributed to the reduction in the rate.  This data is submitted on an Asset Management Project (AMP) basis and must be submitted by the PHA in order to determine the amount to the incentive included in its Operating Subsidy calculation each year.</w:t>
      </w:r>
    </w:p>
    <w:p w:rsidR="005C6B1B" w:rsidP="005C6B1B" w14:paraId="534AF11C" w14:textId="77777777">
      <w:pPr>
        <w:keepLines/>
        <w:tabs>
          <w:tab w:val="left" w:pos="360"/>
          <w:tab w:val="left" w:pos="720"/>
        </w:tabs>
        <w:ind w:left="360"/>
        <w:rPr>
          <w:sz w:val="18"/>
        </w:rPr>
      </w:pPr>
    </w:p>
    <w:p w:rsidR="005C6B1B" w:rsidP="005C6B1B" w14:paraId="7D108F6B" w14:textId="77777777">
      <w:pPr>
        <w:tabs>
          <w:tab w:val="left" w:pos="360"/>
        </w:tabs>
        <w:rPr>
          <w:sz w:val="18"/>
        </w:rPr>
      </w:pPr>
    </w:p>
    <w:p w:rsidR="005C6B1B" w:rsidP="005C6B1B" w14:paraId="7F5AEA50" w14:textId="77777777">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6B1B" w:rsidP="005C6B1B" w14:paraId="5DDBF55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alibri" w:hAnsi="Calibri"/>
          <w:sz w:val="22"/>
          <w:szCs w:val="22"/>
        </w:rPr>
      </w:pPr>
      <w:r>
        <w:rPr>
          <w:rFonts w:ascii="Calibri" w:hAnsi="Calibri"/>
          <w:sz w:val="22"/>
          <w:szCs w:val="22"/>
        </w:rPr>
        <w:tab/>
      </w:r>
    </w:p>
    <w:p w:rsidR="005C6B1B" w:rsidRPr="00C14D28" w:rsidP="005C6B1B" w14:paraId="5A61368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alibri" w:hAnsi="Calibri"/>
          <w:sz w:val="22"/>
          <w:szCs w:val="22"/>
        </w:rPr>
      </w:pPr>
      <w:r w:rsidRPr="00BE6480">
        <w:rPr>
          <w:rFonts w:ascii="Calibri" w:hAnsi="Calibri"/>
          <w:sz w:val="22"/>
          <w:szCs w:val="22"/>
        </w:rPr>
        <w:t>HUD allows the PHA to submit all materials for applications and measurement and verification electronically.</w:t>
      </w:r>
    </w:p>
    <w:p w:rsidR="005C6B1B" w:rsidRPr="007D7A53" w:rsidP="005C6B1B" w14:paraId="5E7573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5C6B1B" w:rsidP="005C6B1B" w14:paraId="5ADF670D" w14:textId="77777777">
      <w:pPr>
        <w:keepLines/>
        <w:tabs>
          <w:tab w:val="left" w:pos="360"/>
          <w:tab w:val="left" w:pos="720"/>
        </w:tabs>
        <w:ind w:left="360"/>
        <w:rPr>
          <w:sz w:val="18"/>
        </w:rPr>
      </w:pPr>
      <w:r w:rsidRPr="00125A78">
        <w:t>Describe efforts to identify duplication.  Show specifically why any similar information already available cannot be used</w:t>
      </w:r>
    </w:p>
    <w:p w:rsidR="005C6B1B" w:rsidP="005C6B1B" w14:paraId="478154B5" w14:textId="77777777">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5C6B1B" w:rsidRPr="00C14D28" w:rsidP="005C6B1B" w14:paraId="479B8EA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There is no duplication of information collected.  The information collected is the application for either the RRI or the EPC, which is not duplicated in another program, and is the calculation of the amount of the RRI incentive each year or the measurement and verification of the EPC energy savings attained.</w:t>
      </w:r>
    </w:p>
    <w:p w:rsidR="005C6B1B" w:rsidP="005C6B1B" w14:paraId="35BD6468" w14:textId="77777777">
      <w:pPr>
        <w:keepLines/>
        <w:tabs>
          <w:tab w:val="left" w:pos="360"/>
          <w:tab w:val="left" w:pos="720"/>
        </w:tabs>
        <w:rPr>
          <w:sz w:val="18"/>
        </w:rPr>
      </w:pPr>
    </w:p>
    <w:p w:rsidR="005C6B1B" w:rsidP="005C6B1B" w14:paraId="3DC1B04A" w14:textId="77777777">
      <w:pPr>
        <w:tabs>
          <w:tab w:val="left" w:pos="360"/>
        </w:tabs>
        <w:ind w:left="360" w:hanging="360"/>
        <w:rPr>
          <w:sz w:val="18"/>
        </w:rPr>
      </w:pPr>
    </w:p>
    <w:p w:rsidR="005C6B1B" w:rsidP="005C6B1B" w14:paraId="4A94DDCD" w14:textId="77777777">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5C6B1B" w:rsidRPr="00C14D28" w:rsidP="005C6B1B" w14:paraId="4C0DCFE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For EPCs, the collection of information impacts the companies used to assist a PHA in implementing the EPC, and measuring and verifying the contract’s performance.  Burden is minimized by requiring verification on a yearly basis, as opposed to a quarterly or semi-annual basis.  For the RRI, the information does not affect any small businesses.</w:t>
      </w:r>
    </w:p>
    <w:p w:rsidR="005C6B1B" w:rsidP="005C6B1B" w14:paraId="48EE7164" w14:textId="77777777">
      <w:pPr>
        <w:keepLines/>
        <w:tabs>
          <w:tab w:val="left" w:pos="360"/>
          <w:tab w:val="left" w:pos="720"/>
        </w:tabs>
        <w:ind w:left="360"/>
        <w:rPr>
          <w:sz w:val="18"/>
        </w:rPr>
      </w:pPr>
    </w:p>
    <w:p w:rsidR="005C6B1B" w:rsidP="005C6B1B" w14:paraId="7E80EF4D" w14:textId="77777777">
      <w:pPr>
        <w:tabs>
          <w:tab w:val="left" w:pos="360"/>
        </w:tabs>
        <w:ind w:left="360" w:hanging="360"/>
        <w:rPr>
          <w:sz w:val="18"/>
        </w:rPr>
      </w:pPr>
    </w:p>
    <w:p w:rsidR="005C6B1B" w:rsidP="005C6B1B" w14:paraId="33696558" w14:textId="77777777">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5C6B1B" w:rsidRPr="00BE6480" w:rsidP="005C6B1B" w14:paraId="6D61AAEC" w14:textId="511BF1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 xml:space="preserve">EPCs:  The information is collected at the time of the application for the EPC program and during the performance period is required to identify the applicant, describe the contract terms and the financial stability of the project, and determine ongoing compliance with requirements.  If no records are collected, it will not be possible for HUD to undertake the program compliance assessments needed to approve EPCs for </w:t>
      </w:r>
      <w:r w:rsidRPr="00BE6480" w:rsidR="00FB29EA">
        <w:rPr>
          <w:rFonts w:ascii="Calibri" w:hAnsi="Calibri"/>
          <w:sz w:val="22"/>
          <w:szCs w:val="22"/>
        </w:rPr>
        <w:t>PHAs or</w:t>
      </w:r>
      <w:r w:rsidRPr="00BE6480">
        <w:rPr>
          <w:rFonts w:ascii="Calibri" w:hAnsi="Calibri"/>
          <w:sz w:val="22"/>
          <w:szCs w:val="22"/>
        </w:rPr>
        <w:t xml:space="preserve"> assess program performance and compliance throughout the term of the EPC.</w:t>
      </w:r>
    </w:p>
    <w:p w:rsidR="005C6B1B" w:rsidRPr="00BE6480" w:rsidP="005C6B1B" w14:paraId="56E7044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F46A74" w:rsidP="005C6B1B" w14:paraId="779C5BBA" w14:textId="0909FC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r w:rsidRPr="00BE6480">
        <w:rPr>
          <w:rFonts w:ascii="Calibri" w:hAnsi="Calibri"/>
          <w:sz w:val="22"/>
          <w:szCs w:val="22"/>
        </w:rPr>
        <w:t xml:space="preserve">RRI:  The information </w:t>
      </w:r>
      <w:r w:rsidRPr="00BE6480" w:rsidR="00FB29EA">
        <w:rPr>
          <w:rFonts w:ascii="Calibri" w:hAnsi="Calibri"/>
          <w:sz w:val="22"/>
          <w:szCs w:val="22"/>
        </w:rPr>
        <w:t>collected</w:t>
      </w:r>
      <w:r w:rsidRPr="00BE6480">
        <w:rPr>
          <w:rFonts w:ascii="Calibri" w:hAnsi="Calibri"/>
          <w:sz w:val="22"/>
          <w:szCs w:val="22"/>
        </w:rPr>
        <w:t xml:space="preserve"> at the time of the application for the RRI is required to identify the applicant, describe the contract terms and the eligibility of the PHA’s actions to reduce the utility rate. During the term of the RRI, the information is needed to determine the amount of incentive the PHA is eligible for each year.  If no records are collected, it will not be possible for HUD </w:t>
      </w:r>
      <w:r w:rsidRPr="00BE6480" w:rsidR="00FB29EA">
        <w:rPr>
          <w:rFonts w:ascii="Calibri" w:hAnsi="Calibri"/>
          <w:sz w:val="22"/>
          <w:szCs w:val="22"/>
        </w:rPr>
        <w:t>to undertake</w:t>
      </w:r>
      <w:r w:rsidRPr="00BE6480">
        <w:rPr>
          <w:rFonts w:ascii="Calibri" w:hAnsi="Calibri"/>
          <w:sz w:val="22"/>
          <w:szCs w:val="22"/>
        </w:rPr>
        <w:t xml:space="preserve"> the program compliance assessments needed to approve RRIs or to approve the amount of incentive the PHA was able to claim each year.</w:t>
      </w:r>
      <w:r w:rsidRPr="00C14D28">
        <w:rPr>
          <w:rFonts w:ascii="Calibri" w:hAnsi="Calibri"/>
          <w:sz w:val="22"/>
          <w:szCs w:val="22"/>
        </w:rPr>
        <w:t xml:space="preserve">  </w:t>
      </w:r>
    </w:p>
    <w:p w:rsidR="005C6B1B" w:rsidP="005C6B1B" w14:paraId="4477EE66" w14:textId="77777777">
      <w:pPr>
        <w:keepLines/>
        <w:tabs>
          <w:tab w:val="left" w:pos="360"/>
          <w:tab w:val="left" w:pos="720"/>
        </w:tabs>
        <w:ind w:left="360"/>
        <w:rPr>
          <w:sz w:val="18"/>
        </w:rPr>
      </w:pPr>
    </w:p>
    <w:p w:rsidR="005C6B1B" w:rsidP="005C6B1B" w14:paraId="48019466" w14:textId="77777777">
      <w:pPr>
        <w:tabs>
          <w:tab w:val="left" w:pos="360"/>
        </w:tabs>
        <w:ind w:left="360" w:hanging="360"/>
        <w:rPr>
          <w:sz w:val="18"/>
        </w:rPr>
      </w:pPr>
    </w:p>
    <w:p w:rsidR="005C6B1B" w:rsidP="005C6B1B" w14:paraId="7FA6E29F" w14:textId="77777777">
      <w:pPr>
        <w:numPr>
          <w:ilvl w:val="0"/>
          <w:numId w:val="1"/>
        </w:numPr>
        <w:tabs>
          <w:tab w:val="left" w:pos="360"/>
        </w:tabs>
        <w:rPr>
          <w:sz w:val="18"/>
        </w:rPr>
      </w:pPr>
      <w:r>
        <w:rPr>
          <w:sz w:val="18"/>
        </w:rPr>
        <w:t xml:space="preserve">Explain any special circumstances that would cause an information collection to be conducted in a manner: </w:t>
      </w:r>
    </w:p>
    <w:p w:rsidR="005C6B1B" w:rsidP="005C6B1B" w14:paraId="4050D83C" w14:textId="77777777">
      <w:pPr>
        <w:numPr>
          <w:ilvl w:val="0"/>
          <w:numId w:val="2"/>
        </w:numPr>
        <w:tabs>
          <w:tab w:val="left" w:pos="600"/>
        </w:tabs>
        <w:rPr>
          <w:sz w:val="18"/>
        </w:rPr>
      </w:pPr>
      <w:r>
        <w:rPr>
          <w:sz w:val="18"/>
        </w:rPr>
        <w:t>requiring respondents to report information to the agency more than quarterly</w:t>
      </w:r>
      <w:r w:rsidRPr="00BE6480">
        <w:rPr>
          <w:sz w:val="18"/>
        </w:rPr>
        <w:t xml:space="preserve">; </w:t>
      </w:r>
      <w:r w:rsidRPr="00BE6480">
        <w:rPr>
          <w:rFonts w:ascii="Calibri" w:hAnsi="Calibri" w:cs="Calibri"/>
          <w:sz w:val="22"/>
          <w:szCs w:val="22"/>
        </w:rPr>
        <w:t>Not Applicable</w:t>
      </w:r>
    </w:p>
    <w:p w:rsidR="005C6B1B" w:rsidP="005C6B1B" w14:paraId="788453FB" w14:textId="77777777">
      <w:pPr>
        <w:numPr>
          <w:ilvl w:val="0"/>
          <w:numId w:val="2"/>
        </w:numPr>
        <w:tabs>
          <w:tab w:val="left" w:pos="600"/>
        </w:tabs>
        <w:rPr>
          <w:sz w:val="18"/>
        </w:rPr>
      </w:pPr>
      <w:r>
        <w:rPr>
          <w:sz w:val="18"/>
        </w:rPr>
        <w:t xml:space="preserve">requiring respondents to prepare a written response to a collection of information in fewer than 30 days after receipt of it;  </w:t>
      </w:r>
      <w:r w:rsidRPr="00BE6480">
        <w:rPr>
          <w:rFonts w:ascii="Calibri" w:hAnsi="Calibri" w:cs="Calibri"/>
          <w:sz w:val="22"/>
          <w:szCs w:val="22"/>
        </w:rPr>
        <w:t>Not Applicable</w:t>
      </w:r>
    </w:p>
    <w:p w:rsidR="005C6B1B" w:rsidP="005C6B1B" w14:paraId="0796AA64" w14:textId="77777777">
      <w:pPr>
        <w:numPr>
          <w:ilvl w:val="0"/>
          <w:numId w:val="2"/>
        </w:numPr>
        <w:tabs>
          <w:tab w:val="left" w:pos="600"/>
        </w:tabs>
        <w:rPr>
          <w:sz w:val="18"/>
        </w:rPr>
      </w:pPr>
      <w:r>
        <w:rPr>
          <w:sz w:val="18"/>
        </w:rPr>
        <w:t xml:space="preserve">requiring respondents to submit more than an original and two copies of any document; </w:t>
      </w:r>
      <w:r w:rsidRPr="00BE6480">
        <w:rPr>
          <w:rFonts w:ascii="Calibri" w:hAnsi="Calibri" w:cs="Calibri"/>
          <w:sz w:val="22"/>
          <w:szCs w:val="22"/>
        </w:rPr>
        <w:t>Not Applicable</w:t>
      </w:r>
    </w:p>
    <w:p w:rsidR="005C6B1B" w:rsidP="005C6B1B" w14:paraId="3A136883" w14:textId="77777777">
      <w:pPr>
        <w:numPr>
          <w:ilvl w:val="0"/>
          <w:numId w:val="2"/>
        </w:numPr>
        <w:tabs>
          <w:tab w:val="left" w:pos="600"/>
        </w:tabs>
        <w:rPr>
          <w:sz w:val="18"/>
        </w:rPr>
      </w:pPr>
      <w:r>
        <w:rPr>
          <w:sz w:val="18"/>
        </w:rPr>
        <w:t xml:space="preserve">requiring respondents to retain records other than health, medical, government contract, grant-in-aid, or tax records for more than three years; </w:t>
      </w:r>
      <w:r w:rsidRPr="00BE6480">
        <w:rPr>
          <w:rFonts w:ascii="Calibri" w:hAnsi="Calibri" w:cs="Calibri"/>
          <w:sz w:val="22"/>
          <w:szCs w:val="22"/>
        </w:rPr>
        <w:t>PHAs are expected to keep copies of the HUD letter approving the EPC for the life of the contract, as the letter contains the terms of the HUD approval of the EPC incentives in the Operating Fund grant, and Measurement and Verification Reports are also expected to be kept for the life of the contract. For the RRI, PHAs are expected to keep copies of the HUD letter approving the RRI for the duration of the incentive.</w:t>
      </w:r>
    </w:p>
    <w:p w:rsidR="005C6B1B" w:rsidP="005C6B1B" w14:paraId="159D4D8C" w14:textId="77777777">
      <w:pPr>
        <w:numPr>
          <w:ilvl w:val="0"/>
          <w:numId w:val="2"/>
        </w:numPr>
        <w:tabs>
          <w:tab w:val="left" w:pos="600"/>
        </w:tabs>
        <w:rPr>
          <w:sz w:val="18"/>
        </w:rPr>
      </w:pPr>
      <w:r>
        <w:rPr>
          <w:sz w:val="18"/>
        </w:rPr>
        <w:t xml:space="preserve">in connection with a statistical survey, that is not designed to produce valid and reliable results than can be generalized to the universe of study; </w:t>
      </w:r>
      <w:r w:rsidRPr="00BE6480">
        <w:rPr>
          <w:rFonts w:ascii="Calibri" w:hAnsi="Calibri" w:cs="Calibri"/>
          <w:sz w:val="22"/>
          <w:szCs w:val="22"/>
        </w:rPr>
        <w:t>Not Applicable</w:t>
      </w:r>
    </w:p>
    <w:p w:rsidR="005C6B1B" w:rsidP="005C6B1B" w14:paraId="4EB4B32C" w14:textId="77777777">
      <w:pPr>
        <w:numPr>
          <w:ilvl w:val="0"/>
          <w:numId w:val="2"/>
        </w:numPr>
        <w:tabs>
          <w:tab w:val="left" w:pos="600"/>
        </w:tabs>
        <w:rPr>
          <w:sz w:val="18"/>
        </w:rPr>
      </w:pPr>
      <w:r>
        <w:rPr>
          <w:sz w:val="18"/>
        </w:rPr>
        <w:t xml:space="preserve">requiring the use of a statistical data classification that has not been reviewed and approved by OMB; </w:t>
      </w:r>
      <w:r w:rsidRPr="00BE6480">
        <w:rPr>
          <w:rFonts w:ascii="Calibri" w:hAnsi="Calibri" w:cs="Calibri"/>
          <w:sz w:val="22"/>
          <w:szCs w:val="22"/>
        </w:rPr>
        <w:t>Not Applicable</w:t>
      </w:r>
    </w:p>
    <w:p w:rsidR="005C6B1B" w:rsidP="005C6B1B" w14:paraId="054A8B7C" w14:textId="77777777">
      <w:pPr>
        <w:numPr>
          <w:ilvl w:val="0"/>
          <w:numId w:val="2"/>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BE6480">
        <w:rPr>
          <w:rFonts w:ascii="Calibri" w:hAnsi="Calibri" w:cs="Calibri"/>
          <w:sz w:val="22"/>
          <w:szCs w:val="22"/>
        </w:rPr>
        <w:t>Not Applicable</w:t>
      </w:r>
      <w:r>
        <w:rPr>
          <w:sz w:val="18"/>
        </w:rPr>
        <w:t xml:space="preserve"> or </w:t>
      </w:r>
    </w:p>
    <w:p w:rsidR="005C6B1B" w:rsidP="005C6B1B" w14:paraId="17D5C820" w14:textId="77777777">
      <w:pPr>
        <w:keepLines/>
        <w:numPr>
          <w:ilvl w:val="0"/>
          <w:numId w:val="2"/>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r w:rsidRPr="00BE6480">
        <w:rPr>
          <w:rFonts w:ascii="Calibri" w:hAnsi="Calibri" w:cs="Calibri"/>
          <w:sz w:val="22"/>
          <w:szCs w:val="22"/>
        </w:rPr>
        <w:t xml:space="preserve"> Not Applicable</w:t>
      </w:r>
    </w:p>
    <w:p w:rsidR="005C6B1B" w:rsidP="005C6B1B" w14:paraId="7F6B3050" w14:textId="77777777">
      <w:pPr>
        <w:keepLines/>
        <w:tabs>
          <w:tab w:val="left" w:pos="360"/>
          <w:tab w:val="left" w:pos="720"/>
        </w:tabs>
        <w:ind w:left="360"/>
        <w:rPr>
          <w:sz w:val="18"/>
        </w:rPr>
      </w:pPr>
      <w:r>
        <w:rPr>
          <w:sz w:val="22"/>
        </w:rPr>
        <w:fldChar w:fldCharType="begin">
          <w:ffData>
            <w:name w:val="Text22"/>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5C6B1B" w:rsidP="005C6B1B" w14:paraId="4E297236" w14:textId="77777777">
      <w:pPr>
        <w:tabs>
          <w:tab w:val="left" w:pos="360"/>
        </w:tabs>
        <w:ind w:left="360" w:hanging="360"/>
        <w:rPr>
          <w:sz w:val="18"/>
        </w:rPr>
      </w:pPr>
    </w:p>
    <w:p w:rsidR="005C6B1B" w:rsidP="005C6B1B" w14:paraId="270F52EB" w14:textId="77777777">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C6B1B" w:rsidP="005C6B1B" w14:paraId="11ECB7EC" w14:textId="77777777">
      <w:pPr>
        <w:numPr>
          <w:ilvl w:val="0"/>
          <w:numId w:val="2"/>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5C6B1B" w:rsidP="005C6B1B" w14:paraId="41589534" w14:textId="77777777">
      <w:pPr>
        <w:keepLines/>
        <w:numPr>
          <w:ilvl w:val="0"/>
          <w:numId w:val="2"/>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5C6B1B" w:rsidRPr="00BE6480" w:rsidP="005C6B1B" w14:paraId="7E60B5C4" w14:textId="096DD742">
      <w:pPr>
        <w:ind w:left="504"/>
        <w:rPr>
          <w:rFonts w:ascii="Calibri" w:hAnsi="Calibri" w:cs="Calibri"/>
          <w:sz w:val="22"/>
        </w:rPr>
      </w:pPr>
      <w:r w:rsidRPr="00BE6480">
        <w:rPr>
          <w:rFonts w:ascii="Calibri" w:hAnsi="Calibri" w:cs="Calibri"/>
          <w:sz w:val="22"/>
        </w:rPr>
        <w:t xml:space="preserve">HUD published a Notice of Proposed Information Collection for Public Comments in the </w:t>
      </w:r>
      <w:r w:rsidRPr="00BE6480">
        <w:rPr>
          <w:rFonts w:ascii="Calibri" w:hAnsi="Calibri" w:cs="Calibri"/>
          <w:i/>
          <w:sz w:val="22"/>
        </w:rPr>
        <w:t>Federal Register</w:t>
      </w:r>
      <w:r w:rsidRPr="00BE6480">
        <w:rPr>
          <w:rFonts w:ascii="Calibri" w:hAnsi="Calibri" w:cs="Calibri"/>
          <w:sz w:val="22"/>
        </w:rPr>
        <w:t xml:space="preserve">, Volume 87, No.132 Page 41344, on July 12, 2022.  The public was given until September 12, 2022, to submit comments on the proposed collection.  HUD received three </w:t>
      </w:r>
      <w:r w:rsidRPr="00BE6480" w:rsidR="00FB29EA">
        <w:rPr>
          <w:rFonts w:ascii="Calibri" w:hAnsi="Calibri" w:cs="Calibri"/>
          <w:sz w:val="22"/>
        </w:rPr>
        <w:t>comments on</w:t>
      </w:r>
      <w:r w:rsidRPr="00BE6480">
        <w:rPr>
          <w:rFonts w:ascii="Calibri" w:hAnsi="Calibri" w:cs="Calibri"/>
          <w:sz w:val="22"/>
        </w:rPr>
        <w:t xml:space="preserve"> this proposed collection about the addition of the EPC Savings Calculator to HUD’s requirements.  All comments were concerned about imposing an additional burden on PHAs, and stating that the reporting requirements could be duplicative of other requirements.  HUD has reviewed the </w:t>
      </w:r>
      <w:r w:rsidRPr="00BE6480" w:rsidR="00FB29EA">
        <w:rPr>
          <w:rFonts w:ascii="Calibri" w:hAnsi="Calibri" w:cs="Calibri"/>
          <w:sz w:val="22"/>
        </w:rPr>
        <w:t>requirements and</w:t>
      </w:r>
      <w:r w:rsidRPr="00BE6480">
        <w:rPr>
          <w:rFonts w:ascii="Calibri" w:hAnsi="Calibri" w:cs="Calibri"/>
          <w:sz w:val="22"/>
        </w:rPr>
        <w:t xml:space="preserve"> has determined that current reporting requirements and systems do not provide PHAs or HUD the ability to adequately validate accurate EPC Operating Fund incentives on an annual basis.  </w:t>
      </w:r>
    </w:p>
    <w:p w:rsidR="005C6B1B" w:rsidRPr="00BE6480" w:rsidP="005C6B1B" w14:paraId="5F2A2426" w14:textId="77777777">
      <w:pPr>
        <w:ind w:left="504"/>
        <w:rPr>
          <w:rFonts w:ascii="Calibri" w:hAnsi="Calibri" w:cs="Calibri"/>
          <w:sz w:val="22"/>
        </w:rPr>
      </w:pPr>
    </w:p>
    <w:p w:rsidR="005C6B1B" w:rsidRPr="00E25FF5" w:rsidP="005C6B1B" w14:paraId="6EB9C10F" w14:textId="3F76F06B">
      <w:pPr>
        <w:ind w:left="504"/>
        <w:rPr>
          <w:rFonts w:ascii="Calibri" w:hAnsi="Calibri" w:cs="Calibri"/>
          <w:sz w:val="22"/>
        </w:rPr>
      </w:pPr>
      <w:r w:rsidRPr="00BE6480">
        <w:rPr>
          <w:rFonts w:ascii="Calibri" w:hAnsi="Calibri" w:cs="Calibri"/>
          <w:sz w:val="22"/>
        </w:rPr>
        <w:t xml:space="preserve">Accordingly, HUD is not making changes to the information collection at this time.  However, to reduce burden and duplicate entering of information, at a future point, HUD will work </w:t>
      </w:r>
      <w:r w:rsidRPr="00BE6480" w:rsidR="00FB29EA">
        <w:rPr>
          <w:rFonts w:ascii="Calibri" w:hAnsi="Calibri" w:cs="Calibri"/>
          <w:sz w:val="22"/>
        </w:rPr>
        <w:t>to incorporate</w:t>
      </w:r>
      <w:r w:rsidRPr="00BE6480">
        <w:rPr>
          <w:rFonts w:ascii="Calibri" w:hAnsi="Calibri" w:cs="Calibri"/>
          <w:sz w:val="22"/>
        </w:rPr>
        <w:t xml:space="preserve"> </w:t>
      </w:r>
      <w:r w:rsidRPr="00BE6480" w:rsidR="00A17E6A">
        <w:rPr>
          <w:rFonts w:ascii="Calibri" w:hAnsi="Calibri" w:cs="Calibri"/>
          <w:sz w:val="22"/>
        </w:rPr>
        <w:t>this requirement</w:t>
      </w:r>
      <w:r w:rsidRPr="00BE6480">
        <w:rPr>
          <w:rFonts w:ascii="Calibri" w:hAnsi="Calibri" w:cs="Calibri"/>
          <w:sz w:val="22"/>
        </w:rPr>
        <w:t xml:space="preserve"> as a module in the Operating Fund Web Portal.  Where data exists in HUD systems, at that time, HUD will utilize that data in a manner so as not to require re-entry of the data by the PHA, reducing burden.</w:t>
      </w:r>
      <w:r w:rsidRPr="00E25FF5">
        <w:rPr>
          <w:rFonts w:ascii="Calibri" w:hAnsi="Calibri" w:cs="Calibri"/>
          <w:sz w:val="22"/>
        </w:rPr>
        <w:t xml:space="preserve">  </w:t>
      </w:r>
    </w:p>
    <w:p w:rsidR="005C6B1B" w:rsidP="005C6B1B" w14:paraId="673054EF" w14:textId="77777777">
      <w:pPr>
        <w:keepLines/>
        <w:tabs>
          <w:tab w:val="left" w:pos="360"/>
          <w:tab w:val="left" w:pos="720"/>
        </w:tabs>
        <w:ind w:left="360"/>
        <w:rPr>
          <w:sz w:val="18"/>
        </w:rPr>
      </w:pPr>
    </w:p>
    <w:p w:rsidR="005C6B1B" w:rsidP="005C6B1B" w14:paraId="443731A9" w14:textId="77777777">
      <w:pPr>
        <w:tabs>
          <w:tab w:val="left" w:pos="360"/>
        </w:tabs>
        <w:ind w:left="360" w:hanging="360"/>
        <w:rPr>
          <w:sz w:val="18"/>
        </w:rPr>
      </w:pPr>
    </w:p>
    <w:p w:rsidR="005C6B1B" w:rsidP="005C6B1B" w14:paraId="1478FC42" w14:textId="77777777">
      <w:pPr>
        <w:keepLines/>
        <w:tabs>
          <w:tab w:val="left" w:pos="360"/>
        </w:tabs>
        <w:spacing w:after="80"/>
        <w:ind w:left="360" w:hanging="360"/>
        <w:rPr>
          <w:sz w:val="18"/>
        </w:rPr>
      </w:pPr>
      <w:r>
        <w:rPr>
          <w:sz w:val="18"/>
        </w:rPr>
        <w:t>9.</w:t>
      </w:r>
      <w:r>
        <w:rPr>
          <w:sz w:val="18"/>
        </w:rPr>
        <w:tab/>
        <w:t xml:space="preserve">Explain any decision to provide any payment or gift to respondents, other than </w:t>
      </w:r>
      <w:r>
        <w:rPr>
          <w:sz w:val="18"/>
        </w:rPr>
        <w:t>reenumeration</w:t>
      </w:r>
      <w:r>
        <w:rPr>
          <w:sz w:val="18"/>
        </w:rPr>
        <w:t xml:space="preserve"> of contractors or grantees.</w:t>
      </w:r>
    </w:p>
    <w:p w:rsidR="005C6B1B" w:rsidRPr="00E25FF5" w:rsidP="005C6B1B" w14:paraId="00723DFB"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r w:rsidRPr="00BE6480">
        <w:rPr>
          <w:rFonts w:ascii="Calibri" w:hAnsi="Calibri" w:cs="Calibri"/>
          <w:sz w:val="22"/>
          <w:szCs w:val="22"/>
        </w:rPr>
        <w:t>There are no provisions to provide any payments or gifts to respondents, other than remuneration of contractors or grantees.</w:t>
      </w:r>
    </w:p>
    <w:p w:rsidR="005C6B1B" w:rsidP="005C6B1B" w14:paraId="39C07D08" w14:textId="77777777">
      <w:pPr>
        <w:tabs>
          <w:tab w:val="left" w:pos="360"/>
        </w:tabs>
        <w:ind w:left="360" w:hanging="360"/>
        <w:rPr>
          <w:sz w:val="18"/>
        </w:rPr>
      </w:pPr>
    </w:p>
    <w:p w:rsidR="005C6B1B" w:rsidP="005C6B1B" w14:paraId="28897440" w14:textId="77777777">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5C6B1B" w:rsidP="005C6B1B" w14:paraId="3C3D801C" w14:textId="77777777">
      <w:pPr>
        <w:keepLines/>
        <w:tabs>
          <w:tab w:val="left" w:pos="360"/>
          <w:tab w:val="left" w:pos="720"/>
        </w:tabs>
        <w:ind w:left="360"/>
        <w:rPr>
          <w:sz w:val="18"/>
        </w:rPr>
      </w:pPr>
      <w:r w:rsidRPr="00BE6480">
        <w:rPr>
          <w:sz w:val="18"/>
        </w:rPr>
        <w:t>There is no assurance of confidentiality.  This information is available under the Freedom of Information Act.  However, the information collected under this request does not include information on individuals.</w:t>
      </w:r>
    </w:p>
    <w:p w:rsidR="005C6B1B" w:rsidP="005C6B1B" w14:paraId="1E68893E" w14:textId="77777777">
      <w:pPr>
        <w:tabs>
          <w:tab w:val="left" w:pos="360"/>
        </w:tabs>
        <w:ind w:left="360" w:hanging="360"/>
        <w:rPr>
          <w:sz w:val="18"/>
        </w:rPr>
      </w:pPr>
    </w:p>
    <w:p w:rsidR="005C6B1B" w:rsidP="005C6B1B" w14:paraId="2B65C58C" w14:textId="77777777">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6B1B" w:rsidRPr="00AA64C8" w:rsidP="005C6B1B" w14:paraId="7A586446" w14:textId="77777777">
      <w:pPr>
        <w:tabs>
          <w:tab w:val="left" w:pos="360"/>
        </w:tabs>
        <w:ind w:left="360" w:hanging="360"/>
        <w:rPr>
          <w:rFonts w:ascii="Calibri" w:hAnsi="Calibri" w:cs="Calibri"/>
          <w:sz w:val="18"/>
        </w:rPr>
      </w:pPr>
      <w:r w:rsidRPr="00BE6480">
        <w:rPr>
          <w:rFonts w:ascii="Calibri" w:hAnsi="Calibri" w:cs="Calibri"/>
          <w:sz w:val="22"/>
        </w:rPr>
        <w:t>There are no questions of a sensitive nature included in the information to be collected.</w:t>
      </w:r>
    </w:p>
    <w:p w:rsidR="005C6B1B" w:rsidP="005C6B1B" w14:paraId="2C0BB828" w14:textId="77777777">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5C6B1B" w:rsidP="005C6B1B" w14:paraId="58A4B191" w14:textId="77777777">
      <w:pPr>
        <w:numPr>
          <w:ilvl w:val="0"/>
          <w:numId w:val="2"/>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C6B1B" w:rsidP="005C6B1B" w14:paraId="413CFC1D" w14:textId="77777777">
      <w:pPr>
        <w:numPr>
          <w:ilvl w:val="0"/>
          <w:numId w:val="2"/>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5C6B1B" w:rsidP="005C6B1B" w14:paraId="5BA0C8B7" w14:textId="77777777">
      <w:pPr>
        <w:keepLines/>
        <w:numPr>
          <w:ilvl w:val="0"/>
          <w:numId w:val="2"/>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C6B1B" w:rsidP="005C6B1B" w14:paraId="4240E8B3" w14:textId="77777777">
      <w:pPr>
        <w:tabs>
          <w:tab w:val="left" w:pos="360"/>
        </w:tabs>
        <w:ind w:left="360" w:hanging="360"/>
        <w:rPr>
          <w:sz w:val="22"/>
        </w:rPr>
      </w:pPr>
    </w:p>
    <w:p w:rsidR="005C6B1B" w:rsidRPr="00BE6480" w:rsidP="005C6B1B" w14:paraId="4F2BFB2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bookmarkStart w:id="5" w:name="_Hlk58396161"/>
      <w:r w:rsidRPr="00BE6480">
        <w:rPr>
          <w:rFonts w:ascii="Calibri" w:hAnsi="Calibri" w:cs="Calibri"/>
          <w:sz w:val="22"/>
          <w:szCs w:val="22"/>
        </w:rPr>
        <w:t>HUD receives approximately 10 applications for Energy Performance Contracts annually.  HUD estimates that each application takes approximately 560 hours to prepare for an EPC review, including finalizing the energy audit to identify ECMs, and project development and preparing the application form.  The price per hour is based on the average cost of an engineer qualified for this work.</w:t>
      </w:r>
    </w:p>
    <w:p w:rsidR="005C6B1B" w:rsidRPr="00BE6480" w:rsidP="005C6B1B" w14:paraId="654F2F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BE6480" w:rsidP="005C6B1B" w14:paraId="29DC73F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BE6480" w:rsidP="005C6B1B" w14:paraId="095AC4F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r w:rsidRPr="00BE6480">
        <w:rPr>
          <w:rFonts w:ascii="Calibri" w:hAnsi="Calibri" w:cs="Calibri"/>
          <w:sz w:val="22"/>
          <w:szCs w:val="22"/>
        </w:rPr>
        <w:t>In addition, there are approximately 200 contracts under active management that must send in Measurement and Verification Reports and EPC Savings Calculation annually.  The annual contractor time to generate and submit Measurement and Verification Reports and EPC Savings Calculation is 88 hours.  The price per hour is based on the average cost of an engineer qualified for this work.</w:t>
      </w:r>
    </w:p>
    <w:bookmarkEnd w:id="5"/>
    <w:p w:rsidR="005C6B1B" w:rsidRPr="00BE6480" w:rsidP="005C6B1B" w14:paraId="7A4334EF"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BE6480" w:rsidP="005C6B1B" w14:paraId="7F52A2A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r w:rsidRPr="00BE6480">
        <w:rPr>
          <w:rFonts w:ascii="Calibri" w:hAnsi="Calibri" w:cs="Calibri"/>
          <w:sz w:val="22"/>
          <w:szCs w:val="22"/>
        </w:rPr>
        <w:t>HUD receives approximately 20 RRI applications annually.  HUD estimates that each application takes approximately 2 hours to submit an RRI application.  The price per hour is based on the average cost of an engineer qualified for this work.</w:t>
      </w:r>
    </w:p>
    <w:p w:rsidR="005C6B1B" w:rsidRPr="00BE6480" w:rsidP="005C6B1B" w14:paraId="20375F0D"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BE6480" w:rsidP="005C6B1B" w14:paraId="074642FA"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r w:rsidRPr="00BE6480">
        <w:rPr>
          <w:rFonts w:ascii="Calibri" w:hAnsi="Calibri" w:cs="Calibri"/>
          <w:sz w:val="22"/>
          <w:szCs w:val="22"/>
        </w:rPr>
        <w:t>In addition, there are approximately 60 RRI contracts under active management that must send RRI savings calculations annually.  The annual time to generate and submit an RRI savings calculation is 10 hours.  The price per hour is based on the average cost of an engineer qualified for this work.</w:t>
      </w:r>
    </w:p>
    <w:p w:rsidR="005C6B1B" w:rsidRPr="00BE6480" w:rsidP="005C6B1B" w14:paraId="2D842EB6"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BE6480" w:rsidP="005C6B1B" w14:paraId="4300D74E"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p>
    <w:p w:rsidR="005C6B1B" w:rsidRPr="00BE6480" w:rsidP="005C6B1B" w14:paraId="1250A7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b/>
          <w:sz w:val="22"/>
          <w:szCs w:val="22"/>
        </w:rPr>
      </w:pPr>
    </w:p>
    <w:p w:rsidR="005C6B1B" w:rsidRPr="00BE6480" w:rsidP="005C6B1B" w14:paraId="3B30DD4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Calibri" w:hAnsi="Calibri" w:cs="Calibri"/>
          <w:b/>
          <w:sz w:val="22"/>
          <w:szCs w:val="22"/>
        </w:rPr>
      </w:pPr>
    </w:p>
    <w:p w:rsidR="005C6B1B" w:rsidRPr="00BE6480" w:rsidP="005C6B1B" w14:paraId="5CA5750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Calibri" w:hAnsi="Calibri" w:cs="Calibri"/>
          <w:b/>
          <w:sz w:val="22"/>
          <w:szCs w:val="22"/>
        </w:rPr>
      </w:pPr>
      <w:r w:rsidRPr="00BE6480">
        <w:rPr>
          <w:rFonts w:ascii="Calibri" w:hAnsi="Calibri" w:cs="Calibri"/>
          <w:b/>
          <w:sz w:val="22"/>
          <w:szCs w:val="22"/>
        </w:rPr>
        <w:t>Estimated Number of Respondents, Responses, and Burden Hours Per Annum</w:t>
      </w:r>
    </w:p>
    <w:p w:rsidR="005C6B1B" w:rsidRPr="00BE6480" w:rsidP="005C6B1B" w14:paraId="5287B35C"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Calibri" w:hAnsi="Calibri" w:cs="Calibri"/>
          <w:b/>
          <w:sz w:val="22"/>
          <w:szCs w:val="22"/>
        </w:rPr>
      </w:pPr>
    </w:p>
    <w:tbl>
      <w:tblPr>
        <w:tblW w:w="10133" w:type="dxa"/>
        <w:jc w:val="center"/>
        <w:tblLook w:val="04A0"/>
      </w:tblPr>
      <w:tblGrid>
        <w:gridCol w:w="2367"/>
        <w:gridCol w:w="1326"/>
        <w:gridCol w:w="1270"/>
        <w:gridCol w:w="1141"/>
        <w:gridCol w:w="970"/>
        <w:gridCol w:w="999"/>
        <w:gridCol w:w="814"/>
        <w:gridCol w:w="1246"/>
      </w:tblGrid>
      <w:tr w14:paraId="45BC6F68" w14:textId="77777777" w:rsidTr="0022528B">
        <w:tblPrEx>
          <w:tblW w:w="10133" w:type="dxa"/>
          <w:jc w:val="center"/>
          <w:tblLook w:val="04A0"/>
        </w:tblPrEx>
        <w:trPr>
          <w:trHeight w:val="1200"/>
          <w:jc w:val="center"/>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B1B" w:rsidRPr="00BE6480" w:rsidP="0022528B" w14:paraId="3AF8A923"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Type of Submission/Information Collection</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707D7FF3"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Number of Respondents</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19A27E1F"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Frequency of Submissions</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09CD3405"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Total Responses</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2051659B"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Estimate Average Time (Hours)</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6DB3B137"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Estimate Annual Burden (Hours)</w:t>
            </w:r>
          </w:p>
        </w:tc>
        <w:tc>
          <w:tcPr>
            <w:tcW w:w="814" w:type="dxa"/>
            <w:tcBorders>
              <w:top w:val="single" w:sz="4" w:space="0" w:color="auto"/>
              <w:left w:val="nil"/>
              <w:bottom w:val="single" w:sz="4" w:space="0" w:color="auto"/>
              <w:right w:val="single" w:sz="4" w:space="0" w:color="auto"/>
            </w:tcBorders>
          </w:tcPr>
          <w:p w:rsidR="005C6B1B" w:rsidRPr="00BE6480" w:rsidP="0022528B" w14:paraId="21A276E1"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Hourly Cost</w:t>
            </w:r>
          </w:p>
        </w:tc>
        <w:tc>
          <w:tcPr>
            <w:tcW w:w="1246" w:type="dxa"/>
            <w:tcBorders>
              <w:top w:val="single" w:sz="4" w:space="0" w:color="auto"/>
              <w:left w:val="nil"/>
              <w:bottom w:val="single" w:sz="4" w:space="0" w:color="auto"/>
              <w:right w:val="single" w:sz="4" w:space="0" w:color="auto"/>
            </w:tcBorders>
          </w:tcPr>
          <w:p w:rsidR="005C6B1B" w:rsidRPr="00BE6480" w:rsidP="0022528B" w14:paraId="70B75ECA" w14:textId="77777777">
            <w:pPr>
              <w:ind w:left="-30"/>
              <w:jc w:val="center"/>
              <w:rPr>
                <w:rFonts w:ascii="Calibri" w:hAnsi="Calibri" w:cs="Calibri"/>
                <w:i/>
                <w:iCs/>
                <w:color w:val="000000"/>
                <w:sz w:val="22"/>
                <w:szCs w:val="22"/>
              </w:rPr>
            </w:pPr>
            <w:r w:rsidRPr="00BE6480">
              <w:rPr>
                <w:rFonts w:ascii="Calibri" w:hAnsi="Calibri" w:cs="Calibri"/>
                <w:i/>
                <w:iCs/>
                <w:color w:val="000000"/>
                <w:sz w:val="22"/>
                <w:szCs w:val="22"/>
              </w:rPr>
              <w:t>Total Annual Cost</w:t>
            </w:r>
          </w:p>
        </w:tc>
      </w:tr>
      <w:tr w14:paraId="09AB81C6" w14:textId="77777777" w:rsidTr="0022528B">
        <w:tblPrEx>
          <w:tblW w:w="10133" w:type="dxa"/>
          <w:jc w:val="center"/>
          <w:tblLook w:val="04A0"/>
        </w:tblPrEx>
        <w:trPr>
          <w:trHeight w:val="975"/>
          <w:jc w:val="center"/>
        </w:trPr>
        <w:tc>
          <w:tcPr>
            <w:tcW w:w="2367" w:type="dxa"/>
            <w:tcBorders>
              <w:top w:val="nil"/>
              <w:left w:val="single" w:sz="4" w:space="0" w:color="auto"/>
              <w:bottom w:val="single" w:sz="4" w:space="0" w:color="auto"/>
              <w:right w:val="single" w:sz="4" w:space="0" w:color="auto"/>
            </w:tcBorders>
            <w:shd w:val="clear" w:color="auto" w:fill="auto"/>
            <w:vAlign w:val="center"/>
            <w:hideMark/>
          </w:tcPr>
          <w:p w:rsidR="005C6B1B" w:rsidRPr="00BE6480" w:rsidP="0022528B" w14:paraId="690AC4B7" w14:textId="77777777">
            <w:pPr>
              <w:ind w:left="-30"/>
              <w:rPr>
                <w:rFonts w:ascii="Calibri" w:hAnsi="Calibri" w:cs="Calibri"/>
                <w:color w:val="000000"/>
                <w:sz w:val="22"/>
                <w:szCs w:val="22"/>
              </w:rPr>
            </w:pPr>
            <w:r w:rsidRPr="00BE6480">
              <w:rPr>
                <w:rFonts w:ascii="Calibri" w:hAnsi="Calibri" w:cs="Calibri"/>
                <w:color w:val="000000"/>
                <w:sz w:val="22"/>
                <w:szCs w:val="22"/>
              </w:rPr>
              <w:t>EPC Application, Copy of HUD 52722</w:t>
            </w:r>
          </w:p>
          <w:p w:rsidR="005C6B1B" w:rsidRPr="00BE6480" w:rsidP="0022528B" w14:paraId="5D299BD0" w14:textId="77777777">
            <w:pPr>
              <w:ind w:left="-30"/>
              <w:rPr>
                <w:rFonts w:ascii="Calibri" w:hAnsi="Calibri" w:cs="Calibri"/>
                <w:color w:val="000000"/>
                <w:sz w:val="22"/>
                <w:szCs w:val="22"/>
              </w:rPr>
            </w:pPr>
            <w:r w:rsidRPr="00BE6480">
              <w:rPr>
                <w:rFonts w:ascii="Calibri" w:hAnsi="Calibri" w:cs="Calibri"/>
                <w:color w:val="000000"/>
                <w:sz w:val="22"/>
                <w:szCs w:val="22"/>
              </w:rPr>
              <w:t>Copy of 52723 and other supporting documentation</w:t>
            </w:r>
          </w:p>
        </w:tc>
        <w:tc>
          <w:tcPr>
            <w:tcW w:w="1326" w:type="dxa"/>
            <w:tcBorders>
              <w:top w:val="nil"/>
              <w:left w:val="nil"/>
              <w:bottom w:val="single" w:sz="4" w:space="0" w:color="auto"/>
              <w:right w:val="single" w:sz="4" w:space="0" w:color="auto"/>
            </w:tcBorders>
            <w:shd w:val="clear" w:color="auto" w:fill="auto"/>
            <w:vAlign w:val="center"/>
            <w:hideMark/>
          </w:tcPr>
          <w:p w:rsidR="005C6B1B" w:rsidRPr="00BE6480" w:rsidP="0022528B" w14:paraId="204B53A8"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1270" w:type="dxa"/>
            <w:tcBorders>
              <w:top w:val="nil"/>
              <w:left w:val="nil"/>
              <w:bottom w:val="single" w:sz="4" w:space="0" w:color="auto"/>
              <w:right w:val="single" w:sz="4" w:space="0" w:color="auto"/>
            </w:tcBorders>
            <w:shd w:val="clear" w:color="auto" w:fill="auto"/>
            <w:vAlign w:val="center"/>
            <w:hideMark/>
          </w:tcPr>
          <w:p w:rsidR="005C6B1B" w:rsidRPr="00BE6480" w:rsidP="0022528B" w14:paraId="04D50663"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hideMark/>
          </w:tcPr>
          <w:p w:rsidR="005C6B1B" w:rsidRPr="00BE6480" w:rsidP="0022528B" w14:paraId="7B62B9D6"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70" w:type="dxa"/>
            <w:tcBorders>
              <w:top w:val="nil"/>
              <w:left w:val="nil"/>
              <w:bottom w:val="single" w:sz="4" w:space="0" w:color="auto"/>
              <w:right w:val="single" w:sz="4" w:space="0" w:color="auto"/>
            </w:tcBorders>
            <w:shd w:val="clear" w:color="auto" w:fill="auto"/>
            <w:vAlign w:val="center"/>
            <w:hideMark/>
          </w:tcPr>
          <w:p w:rsidR="005C6B1B" w:rsidRPr="00BE6480" w:rsidP="0022528B" w14:paraId="15803796" w14:textId="77777777">
            <w:pPr>
              <w:ind w:left="-30"/>
              <w:jc w:val="center"/>
              <w:rPr>
                <w:rFonts w:ascii="Calibri" w:hAnsi="Calibri" w:cs="Calibri"/>
                <w:color w:val="000000"/>
                <w:sz w:val="22"/>
                <w:szCs w:val="22"/>
              </w:rPr>
            </w:pPr>
            <w:r w:rsidRPr="00BE6480">
              <w:rPr>
                <w:rFonts w:ascii="Calibri" w:hAnsi="Calibri" w:cs="Calibri"/>
                <w:color w:val="000000"/>
                <w:sz w:val="22"/>
                <w:szCs w:val="22"/>
              </w:rPr>
              <w:t>559.75</w:t>
            </w:r>
          </w:p>
        </w:tc>
        <w:tc>
          <w:tcPr>
            <w:tcW w:w="999" w:type="dxa"/>
            <w:tcBorders>
              <w:top w:val="nil"/>
              <w:left w:val="nil"/>
              <w:bottom w:val="single" w:sz="4" w:space="0" w:color="auto"/>
              <w:right w:val="single" w:sz="4" w:space="0" w:color="auto"/>
            </w:tcBorders>
            <w:shd w:val="clear" w:color="auto" w:fill="auto"/>
            <w:vAlign w:val="center"/>
            <w:hideMark/>
          </w:tcPr>
          <w:p w:rsidR="005C6B1B" w:rsidRPr="00BE6480" w:rsidP="0022528B" w14:paraId="72E13E3F" w14:textId="77777777">
            <w:pPr>
              <w:ind w:left="-30"/>
              <w:jc w:val="center"/>
              <w:rPr>
                <w:rFonts w:ascii="Calibri" w:hAnsi="Calibri" w:cs="Calibri"/>
                <w:color w:val="000000"/>
                <w:sz w:val="22"/>
                <w:szCs w:val="22"/>
              </w:rPr>
            </w:pPr>
            <w:r w:rsidRPr="00BE6480">
              <w:rPr>
                <w:rFonts w:ascii="Calibri" w:hAnsi="Calibri" w:cs="Calibri"/>
                <w:color w:val="000000"/>
                <w:sz w:val="22"/>
                <w:szCs w:val="22"/>
              </w:rPr>
              <w:t>5,597.50</w:t>
            </w:r>
          </w:p>
        </w:tc>
        <w:tc>
          <w:tcPr>
            <w:tcW w:w="814" w:type="dxa"/>
            <w:tcBorders>
              <w:top w:val="nil"/>
              <w:left w:val="nil"/>
              <w:bottom w:val="single" w:sz="4" w:space="0" w:color="auto"/>
              <w:right w:val="single" w:sz="4" w:space="0" w:color="auto"/>
            </w:tcBorders>
            <w:vAlign w:val="center"/>
          </w:tcPr>
          <w:p w:rsidR="005C6B1B" w:rsidRPr="00BE6480" w:rsidP="0022528B" w14:paraId="461DDF09"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030248B2" w14:textId="77777777">
            <w:pPr>
              <w:ind w:left="-30"/>
              <w:jc w:val="both"/>
              <w:rPr>
                <w:rFonts w:ascii="Calibri" w:hAnsi="Calibri" w:cs="Calibri"/>
                <w:color w:val="000000"/>
                <w:sz w:val="22"/>
                <w:szCs w:val="22"/>
              </w:rPr>
            </w:pPr>
            <w:r w:rsidRPr="00BE6480">
              <w:rPr>
                <w:rFonts w:ascii="Calibri" w:hAnsi="Calibri" w:cs="Calibri"/>
                <w:sz w:val="22"/>
                <w:szCs w:val="22"/>
              </w:rPr>
              <w:t>$699687.50</w:t>
            </w:r>
          </w:p>
        </w:tc>
      </w:tr>
      <w:tr w14:paraId="5192BD4C" w14:textId="77777777" w:rsidTr="0022528B">
        <w:tblPrEx>
          <w:tblW w:w="10133" w:type="dxa"/>
          <w:jc w:val="center"/>
          <w:tblLook w:val="04A0"/>
        </w:tblPrEx>
        <w:trPr>
          <w:trHeight w:val="975"/>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139E49BF" w14:textId="77777777">
            <w:pPr>
              <w:ind w:left="-30"/>
              <w:rPr>
                <w:rFonts w:ascii="Calibri" w:hAnsi="Calibri" w:cs="Calibri"/>
                <w:color w:val="000000"/>
                <w:sz w:val="22"/>
                <w:szCs w:val="22"/>
              </w:rPr>
            </w:pPr>
            <w:r w:rsidRPr="00BE6480">
              <w:rPr>
                <w:rFonts w:ascii="Calibri" w:hAnsi="Calibri" w:cs="Calibri"/>
                <w:color w:val="000000"/>
                <w:sz w:val="22"/>
                <w:szCs w:val="22"/>
              </w:rPr>
              <w:t>HUD-5369A,</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3A7FF36D"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59AA7F64"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7CE5F8F0"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1D8C18AF" w14:textId="77777777">
            <w:pPr>
              <w:ind w:left="-30"/>
              <w:jc w:val="center"/>
              <w:rPr>
                <w:rFonts w:ascii="Calibri" w:hAnsi="Calibri" w:cs="Calibri"/>
                <w:color w:val="000000"/>
                <w:sz w:val="22"/>
                <w:szCs w:val="22"/>
              </w:rPr>
            </w:pPr>
            <w:r w:rsidRPr="00BE6480">
              <w:rPr>
                <w:rFonts w:ascii="Calibri" w:hAnsi="Calibri" w:cs="Calibri"/>
                <w:color w:val="000000"/>
                <w:sz w:val="22"/>
                <w:szCs w:val="22"/>
              </w:rPr>
              <w:t>.09</w:t>
            </w: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229BB10A" w14:textId="77777777">
            <w:pPr>
              <w:ind w:left="-30"/>
              <w:jc w:val="center"/>
              <w:rPr>
                <w:rFonts w:ascii="Calibri" w:hAnsi="Calibri" w:cs="Calibri"/>
                <w:color w:val="000000"/>
                <w:sz w:val="22"/>
                <w:szCs w:val="22"/>
              </w:rPr>
            </w:pPr>
            <w:r w:rsidRPr="00BE6480">
              <w:rPr>
                <w:rFonts w:ascii="Calibri" w:hAnsi="Calibri" w:cs="Calibri"/>
                <w:color w:val="000000"/>
                <w:sz w:val="22"/>
                <w:szCs w:val="22"/>
              </w:rPr>
              <w:t>.9</w:t>
            </w:r>
          </w:p>
        </w:tc>
        <w:tc>
          <w:tcPr>
            <w:tcW w:w="814" w:type="dxa"/>
            <w:tcBorders>
              <w:top w:val="nil"/>
              <w:left w:val="nil"/>
              <w:bottom w:val="single" w:sz="4" w:space="0" w:color="auto"/>
              <w:right w:val="single" w:sz="4" w:space="0" w:color="auto"/>
            </w:tcBorders>
            <w:vAlign w:val="center"/>
          </w:tcPr>
          <w:p w:rsidR="005C6B1B" w:rsidRPr="00BE6480" w:rsidP="0022528B" w14:paraId="49E3A0B4"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3C98EB96" w14:textId="77777777">
            <w:pPr>
              <w:ind w:left="-30"/>
              <w:jc w:val="both"/>
              <w:rPr>
                <w:rFonts w:ascii="Calibri" w:hAnsi="Calibri" w:cs="Calibri"/>
                <w:sz w:val="22"/>
                <w:szCs w:val="22"/>
              </w:rPr>
            </w:pPr>
            <w:r w:rsidRPr="00BE6480">
              <w:rPr>
                <w:rFonts w:ascii="Calibri" w:hAnsi="Calibri" w:cs="Calibri"/>
                <w:sz w:val="22"/>
                <w:szCs w:val="22"/>
              </w:rPr>
              <w:t>$112.50</w:t>
            </w:r>
          </w:p>
        </w:tc>
      </w:tr>
      <w:tr w14:paraId="2838DB51" w14:textId="77777777" w:rsidTr="0022528B">
        <w:tblPrEx>
          <w:tblW w:w="10133" w:type="dxa"/>
          <w:jc w:val="center"/>
          <w:tblLook w:val="04A0"/>
        </w:tblPrEx>
        <w:trPr>
          <w:trHeight w:val="975"/>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0574E45B" w14:textId="77777777">
            <w:pPr>
              <w:ind w:left="-30"/>
              <w:rPr>
                <w:rFonts w:ascii="Calibri" w:hAnsi="Calibri" w:cs="Calibri"/>
                <w:color w:val="000000"/>
                <w:sz w:val="22"/>
                <w:szCs w:val="22"/>
              </w:rPr>
            </w:pPr>
            <w:r w:rsidRPr="00BE6480">
              <w:rPr>
                <w:rFonts w:ascii="Calibri" w:hAnsi="Calibri" w:cs="Calibri"/>
                <w:color w:val="000000"/>
                <w:sz w:val="22"/>
                <w:szCs w:val="22"/>
              </w:rPr>
              <w:t>Copy of HUD 52722</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70691F11"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0BD9CF3B"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3DEFCE3F"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33C80920" w14:textId="77777777">
            <w:pPr>
              <w:ind w:left="-30"/>
              <w:jc w:val="center"/>
              <w:rPr>
                <w:rFonts w:ascii="Calibri" w:hAnsi="Calibri" w:cs="Calibri"/>
                <w:color w:val="000000"/>
                <w:sz w:val="22"/>
                <w:szCs w:val="22"/>
              </w:rPr>
            </w:pPr>
            <w:r w:rsidRPr="00BE6480">
              <w:rPr>
                <w:rFonts w:ascii="Calibri" w:hAnsi="Calibri" w:cs="Calibri"/>
                <w:color w:val="000000"/>
                <w:sz w:val="22"/>
                <w:szCs w:val="22"/>
              </w:rPr>
              <w:t>.08</w:t>
            </w: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1C12D9FB" w14:textId="77777777">
            <w:pPr>
              <w:ind w:left="-30"/>
              <w:jc w:val="center"/>
              <w:rPr>
                <w:rFonts w:ascii="Calibri" w:hAnsi="Calibri" w:cs="Calibri"/>
                <w:color w:val="000000"/>
                <w:sz w:val="22"/>
                <w:szCs w:val="22"/>
              </w:rPr>
            </w:pPr>
            <w:r w:rsidRPr="00BE6480">
              <w:rPr>
                <w:rFonts w:ascii="Calibri" w:hAnsi="Calibri" w:cs="Calibri"/>
                <w:color w:val="000000"/>
                <w:sz w:val="22"/>
                <w:szCs w:val="22"/>
              </w:rPr>
              <w:t>.8</w:t>
            </w:r>
          </w:p>
        </w:tc>
        <w:tc>
          <w:tcPr>
            <w:tcW w:w="814" w:type="dxa"/>
            <w:tcBorders>
              <w:top w:val="nil"/>
              <w:left w:val="nil"/>
              <w:bottom w:val="single" w:sz="4" w:space="0" w:color="auto"/>
              <w:right w:val="single" w:sz="4" w:space="0" w:color="auto"/>
            </w:tcBorders>
            <w:vAlign w:val="center"/>
          </w:tcPr>
          <w:p w:rsidR="005C6B1B" w:rsidRPr="00BE6480" w:rsidP="0022528B" w14:paraId="1A41455B"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550E7F5C" w14:textId="77777777">
            <w:pPr>
              <w:ind w:left="-30"/>
              <w:jc w:val="both"/>
              <w:rPr>
                <w:rFonts w:ascii="Calibri" w:hAnsi="Calibri" w:cs="Calibri"/>
                <w:sz w:val="22"/>
                <w:szCs w:val="22"/>
              </w:rPr>
            </w:pPr>
            <w:r w:rsidRPr="00BE6480">
              <w:rPr>
                <w:rFonts w:ascii="Calibri" w:hAnsi="Calibri" w:cs="Calibri"/>
                <w:sz w:val="22"/>
                <w:szCs w:val="22"/>
              </w:rPr>
              <w:t>$100</w:t>
            </w:r>
          </w:p>
        </w:tc>
      </w:tr>
      <w:tr w14:paraId="05F35CFC" w14:textId="77777777" w:rsidTr="0022528B">
        <w:tblPrEx>
          <w:tblW w:w="10133" w:type="dxa"/>
          <w:jc w:val="center"/>
          <w:tblLook w:val="04A0"/>
        </w:tblPrEx>
        <w:trPr>
          <w:trHeight w:val="975"/>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284285AC" w14:textId="77777777">
            <w:pPr>
              <w:ind w:left="-30"/>
              <w:rPr>
                <w:rFonts w:ascii="Calibri" w:hAnsi="Calibri" w:cs="Calibri"/>
                <w:color w:val="000000"/>
                <w:sz w:val="22"/>
                <w:szCs w:val="22"/>
              </w:rPr>
            </w:pPr>
            <w:r w:rsidRPr="00BE6480">
              <w:rPr>
                <w:rFonts w:ascii="Calibri" w:hAnsi="Calibri" w:cs="Calibri"/>
                <w:color w:val="000000"/>
                <w:sz w:val="22"/>
                <w:szCs w:val="22"/>
              </w:rPr>
              <w:t>Copy of HUD 52723</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1B0EE9C2"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262A7BE3"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46DF8716"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084E25BF" w14:textId="77777777">
            <w:pPr>
              <w:ind w:left="-30"/>
              <w:jc w:val="center"/>
              <w:rPr>
                <w:rFonts w:ascii="Calibri" w:hAnsi="Calibri" w:cs="Calibri"/>
                <w:color w:val="000000"/>
                <w:sz w:val="22"/>
                <w:szCs w:val="22"/>
              </w:rPr>
            </w:pPr>
            <w:r w:rsidRPr="00BE6480">
              <w:rPr>
                <w:rFonts w:ascii="Calibri" w:hAnsi="Calibri" w:cs="Calibri"/>
                <w:color w:val="000000"/>
                <w:sz w:val="22"/>
                <w:szCs w:val="22"/>
              </w:rPr>
              <w:t>.08</w:t>
            </w: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390AC031" w14:textId="77777777">
            <w:pPr>
              <w:ind w:left="-30"/>
              <w:jc w:val="center"/>
              <w:rPr>
                <w:rFonts w:ascii="Calibri" w:hAnsi="Calibri" w:cs="Calibri"/>
                <w:color w:val="000000"/>
                <w:sz w:val="22"/>
                <w:szCs w:val="22"/>
              </w:rPr>
            </w:pPr>
            <w:r w:rsidRPr="00BE6480">
              <w:rPr>
                <w:rFonts w:ascii="Calibri" w:hAnsi="Calibri" w:cs="Calibri"/>
                <w:color w:val="000000"/>
                <w:sz w:val="22"/>
                <w:szCs w:val="22"/>
              </w:rPr>
              <w:t>.8</w:t>
            </w:r>
          </w:p>
        </w:tc>
        <w:tc>
          <w:tcPr>
            <w:tcW w:w="814" w:type="dxa"/>
            <w:tcBorders>
              <w:top w:val="nil"/>
              <w:left w:val="nil"/>
              <w:bottom w:val="single" w:sz="4" w:space="0" w:color="auto"/>
              <w:right w:val="single" w:sz="4" w:space="0" w:color="auto"/>
            </w:tcBorders>
            <w:vAlign w:val="center"/>
          </w:tcPr>
          <w:p w:rsidR="005C6B1B" w:rsidRPr="00BE6480" w:rsidP="0022528B" w14:paraId="6C7BED4B"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694B39C0" w14:textId="77777777">
            <w:pPr>
              <w:ind w:left="-30"/>
              <w:jc w:val="both"/>
              <w:rPr>
                <w:rFonts w:ascii="Calibri" w:hAnsi="Calibri" w:cs="Calibri"/>
                <w:sz w:val="22"/>
                <w:szCs w:val="22"/>
              </w:rPr>
            </w:pPr>
            <w:r w:rsidRPr="00BE6480">
              <w:rPr>
                <w:rFonts w:ascii="Calibri" w:hAnsi="Calibri" w:cs="Calibri"/>
                <w:sz w:val="22"/>
                <w:szCs w:val="22"/>
              </w:rPr>
              <w:t>$100</w:t>
            </w:r>
          </w:p>
        </w:tc>
      </w:tr>
      <w:tr w14:paraId="730EBFA6" w14:textId="77777777" w:rsidTr="0022528B">
        <w:tblPrEx>
          <w:tblW w:w="10133" w:type="dxa"/>
          <w:jc w:val="center"/>
          <w:tblLook w:val="04A0"/>
        </w:tblPrEx>
        <w:trPr>
          <w:trHeight w:val="810"/>
          <w:jc w:val="center"/>
        </w:trPr>
        <w:tc>
          <w:tcPr>
            <w:tcW w:w="2367" w:type="dxa"/>
            <w:tcBorders>
              <w:top w:val="nil"/>
              <w:left w:val="single" w:sz="4" w:space="0" w:color="auto"/>
              <w:bottom w:val="single" w:sz="4" w:space="0" w:color="auto"/>
              <w:right w:val="single" w:sz="4" w:space="0" w:color="auto"/>
            </w:tcBorders>
            <w:shd w:val="clear" w:color="auto" w:fill="auto"/>
            <w:vAlign w:val="center"/>
            <w:hideMark/>
          </w:tcPr>
          <w:p w:rsidR="005C6B1B" w:rsidRPr="00BE6480" w:rsidP="0022528B" w14:paraId="6442E80A" w14:textId="77777777">
            <w:pPr>
              <w:ind w:left="-30"/>
              <w:rPr>
                <w:rFonts w:ascii="Calibri" w:hAnsi="Calibri" w:cs="Calibri"/>
                <w:color w:val="000000"/>
                <w:sz w:val="22"/>
                <w:szCs w:val="22"/>
              </w:rPr>
            </w:pPr>
            <w:r w:rsidRPr="00BE6480">
              <w:rPr>
                <w:rFonts w:ascii="Calibri" w:hAnsi="Calibri" w:cs="Calibri"/>
                <w:color w:val="000000"/>
                <w:sz w:val="22"/>
                <w:szCs w:val="22"/>
              </w:rPr>
              <w:t xml:space="preserve">EPC Measurement and Verification Report and </w:t>
            </w:r>
          </w:p>
        </w:tc>
        <w:tc>
          <w:tcPr>
            <w:tcW w:w="1326" w:type="dxa"/>
            <w:tcBorders>
              <w:top w:val="nil"/>
              <w:left w:val="nil"/>
              <w:bottom w:val="single" w:sz="4" w:space="0" w:color="auto"/>
              <w:right w:val="single" w:sz="4" w:space="0" w:color="auto"/>
            </w:tcBorders>
            <w:shd w:val="clear" w:color="auto" w:fill="auto"/>
            <w:vAlign w:val="center"/>
            <w:hideMark/>
          </w:tcPr>
          <w:p w:rsidR="005C6B1B" w:rsidRPr="00BE6480" w:rsidP="0022528B" w14:paraId="75CCC62F" w14:textId="77777777">
            <w:pPr>
              <w:ind w:left="-30"/>
              <w:jc w:val="center"/>
              <w:rPr>
                <w:rFonts w:ascii="Calibri" w:hAnsi="Calibri" w:cs="Calibri"/>
                <w:color w:val="000000"/>
                <w:sz w:val="22"/>
                <w:szCs w:val="22"/>
              </w:rPr>
            </w:pPr>
            <w:r w:rsidRPr="00BE6480">
              <w:rPr>
                <w:rFonts w:ascii="Calibri" w:hAnsi="Calibri" w:cs="Calibri"/>
                <w:color w:val="000000"/>
                <w:sz w:val="22"/>
                <w:szCs w:val="22"/>
              </w:rPr>
              <w:t>200</w:t>
            </w:r>
          </w:p>
        </w:tc>
        <w:tc>
          <w:tcPr>
            <w:tcW w:w="1270" w:type="dxa"/>
            <w:tcBorders>
              <w:top w:val="nil"/>
              <w:left w:val="nil"/>
              <w:bottom w:val="single" w:sz="4" w:space="0" w:color="auto"/>
              <w:right w:val="single" w:sz="4" w:space="0" w:color="auto"/>
            </w:tcBorders>
            <w:shd w:val="clear" w:color="auto" w:fill="auto"/>
            <w:vAlign w:val="center"/>
            <w:hideMark/>
          </w:tcPr>
          <w:p w:rsidR="005C6B1B" w:rsidRPr="00BE6480" w:rsidP="0022528B" w14:paraId="4BDBF142"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hideMark/>
          </w:tcPr>
          <w:p w:rsidR="005C6B1B" w:rsidRPr="00BE6480" w:rsidP="0022528B" w14:paraId="4FC3584D" w14:textId="77777777">
            <w:pPr>
              <w:ind w:left="-30"/>
              <w:jc w:val="center"/>
              <w:rPr>
                <w:rFonts w:ascii="Calibri" w:hAnsi="Calibri" w:cs="Calibri"/>
                <w:color w:val="000000"/>
                <w:sz w:val="22"/>
                <w:szCs w:val="22"/>
              </w:rPr>
            </w:pPr>
            <w:r w:rsidRPr="00BE6480">
              <w:rPr>
                <w:rFonts w:ascii="Calibri" w:hAnsi="Calibri" w:cs="Calibri"/>
                <w:color w:val="000000"/>
                <w:sz w:val="22"/>
                <w:szCs w:val="22"/>
              </w:rPr>
              <w:t>200</w:t>
            </w:r>
          </w:p>
        </w:tc>
        <w:tc>
          <w:tcPr>
            <w:tcW w:w="970" w:type="dxa"/>
            <w:tcBorders>
              <w:top w:val="nil"/>
              <w:left w:val="nil"/>
              <w:bottom w:val="single" w:sz="4" w:space="0" w:color="auto"/>
              <w:right w:val="single" w:sz="4" w:space="0" w:color="auto"/>
            </w:tcBorders>
            <w:shd w:val="clear" w:color="auto" w:fill="auto"/>
            <w:vAlign w:val="center"/>
            <w:hideMark/>
          </w:tcPr>
          <w:p w:rsidR="005C6B1B" w:rsidRPr="00BE6480" w:rsidP="0022528B" w14:paraId="141F6E52"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99" w:type="dxa"/>
            <w:tcBorders>
              <w:top w:val="nil"/>
              <w:left w:val="nil"/>
              <w:bottom w:val="single" w:sz="4" w:space="0" w:color="auto"/>
              <w:right w:val="single" w:sz="4" w:space="0" w:color="auto"/>
            </w:tcBorders>
            <w:shd w:val="clear" w:color="auto" w:fill="auto"/>
            <w:vAlign w:val="center"/>
            <w:hideMark/>
          </w:tcPr>
          <w:p w:rsidR="005C6B1B" w:rsidRPr="00BE6480" w:rsidP="0022528B" w14:paraId="14D80C4B" w14:textId="77777777">
            <w:pPr>
              <w:ind w:left="-30"/>
              <w:jc w:val="center"/>
              <w:rPr>
                <w:rFonts w:ascii="Calibri" w:hAnsi="Calibri" w:cs="Calibri"/>
                <w:color w:val="000000"/>
                <w:sz w:val="22"/>
                <w:szCs w:val="22"/>
              </w:rPr>
            </w:pPr>
            <w:r w:rsidRPr="00BE6480">
              <w:rPr>
                <w:rFonts w:ascii="Calibri" w:hAnsi="Calibri" w:cs="Calibri"/>
                <w:color w:val="000000"/>
                <w:sz w:val="22"/>
                <w:szCs w:val="22"/>
              </w:rPr>
              <w:t>2,000</w:t>
            </w:r>
          </w:p>
        </w:tc>
        <w:tc>
          <w:tcPr>
            <w:tcW w:w="814" w:type="dxa"/>
            <w:tcBorders>
              <w:top w:val="nil"/>
              <w:left w:val="nil"/>
              <w:bottom w:val="single" w:sz="4" w:space="0" w:color="auto"/>
              <w:right w:val="single" w:sz="4" w:space="0" w:color="auto"/>
            </w:tcBorders>
            <w:vAlign w:val="center"/>
          </w:tcPr>
          <w:p w:rsidR="005C6B1B" w:rsidRPr="00BE6480" w:rsidP="0022528B" w14:paraId="3F5C5E2E"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5595E8BF" w14:textId="77777777">
            <w:pPr>
              <w:ind w:left="-30"/>
              <w:jc w:val="both"/>
              <w:rPr>
                <w:rFonts w:ascii="Calibri" w:hAnsi="Calibri" w:cs="Calibri"/>
                <w:color w:val="000000"/>
                <w:sz w:val="22"/>
                <w:szCs w:val="22"/>
              </w:rPr>
            </w:pPr>
            <w:r w:rsidRPr="00BE6480">
              <w:rPr>
                <w:rFonts w:ascii="Calibri" w:hAnsi="Calibri" w:cs="Calibri"/>
                <w:sz w:val="22"/>
                <w:szCs w:val="22"/>
              </w:rPr>
              <w:t>$250,000</w:t>
            </w:r>
          </w:p>
        </w:tc>
      </w:tr>
      <w:tr w14:paraId="1C1304F0" w14:textId="77777777" w:rsidTr="0022528B">
        <w:tblPrEx>
          <w:tblW w:w="10133" w:type="dxa"/>
          <w:jc w:val="center"/>
          <w:tblLook w:val="04A0"/>
        </w:tblPrEx>
        <w:trPr>
          <w:trHeight w:val="810"/>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17DB4276" w14:textId="77777777">
            <w:pPr>
              <w:ind w:left="-30"/>
              <w:rPr>
                <w:rFonts w:ascii="Calibri" w:hAnsi="Calibri" w:cs="Calibri"/>
                <w:color w:val="000000"/>
                <w:sz w:val="22"/>
                <w:szCs w:val="22"/>
              </w:rPr>
            </w:pPr>
            <w:r w:rsidRPr="00BE6480">
              <w:rPr>
                <w:rFonts w:ascii="Calibri" w:hAnsi="Calibri" w:cs="Calibri"/>
                <w:color w:val="000000"/>
                <w:sz w:val="22"/>
                <w:szCs w:val="22"/>
              </w:rPr>
              <w:t>EPC Savings Calculator</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519165C8" w14:textId="77777777">
            <w:pPr>
              <w:ind w:left="-30"/>
              <w:jc w:val="center"/>
              <w:rPr>
                <w:rFonts w:ascii="Calibri" w:hAnsi="Calibri" w:cs="Calibri"/>
                <w:color w:val="000000"/>
                <w:sz w:val="22"/>
                <w:szCs w:val="22"/>
              </w:rPr>
            </w:pPr>
            <w:r w:rsidRPr="00BE6480">
              <w:rPr>
                <w:rFonts w:ascii="Calibri" w:hAnsi="Calibri" w:cs="Calibri"/>
                <w:color w:val="000000"/>
                <w:sz w:val="22"/>
                <w:szCs w:val="22"/>
              </w:rPr>
              <w:t>200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51FA9D58"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16732432" w14:textId="77777777">
            <w:pPr>
              <w:ind w:left="-30"/>
              <w:jc w:val="center"/>
              <w:rPr>
                <w:rFonts w:ascii="Calibri" w:hAnsi="Calibri" w:cs="Calibri"/>
                <w:color w:val="000000"/>
                <w:sz w:val="22"/>
                <w:szCs w:val="22"/>
              </w:rPr>
            </w:pPr>
            <w:r w:rsidRPr="00BE6480">
              <w:rPr>
                <w:rFonts w:ascii="Calibri" w:hAnsi="Calibri" w:cs="Calibri"/>
                <w:color w:val="000000"/>
                <w:sz w:val="22"/>
                <w:szCs w:val="22"/>
              </w:rPr>
              <w:t>200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5A4042DE"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6E521B08" w14:textId="77777777">
            <w:pPr>
              <w:ind w:left="-30"/>
              <w:jc w:val="center"/>
              <w:rPr>
                <w:rFonts w:ascii="Calibri" w:hAnsi="Calibri" w:cs="Calibri"/>
                <w:color w:val="000000"/>
                <w:sz w:val="22"/>
                <w:szCs w:val="22"/>
              </w:rPr>
            </w:pPr>
            <w:r w:rsidRPr="00BE6480">
              <w:rPr>
                <w:rFonts w:ascii="Calibri" w:hAnsi="Calibri" w:cs="Calibri"/>
                <w:color w:val="000000"/>
                <w:sz w:val="22"/>
                <w:szCs w:val="22"/>
              </w:rPr>
              <w:t>2,000</w:t>
            </w:r>
          </w:p>
        </w:tc>
        <w:tc>
          <w:tcPr>
            <w:tcW w:w="814" w:type="dxa"/>
            <w:tcBorders>
              <w:top w:val="nil"/>
              <w:left w:val="nil"/>
              <w:bottom w:val="single" w:sz="4" w:space="0" w:color="auto"/>
              <w:right w:val="single" w:sz="4" w:space="0" w:color="auto"/>
            </w:tcBorders>
            <w:vAlign w:val="center"/>
          </w:tcPr>
          <w:p w:rsidR="005C6B1B" w:rsidRPr="00BE6480" w:rsidP="0022528B" w14:paraId="5EE400AF"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6BFB204C" w14:textId="77777777">
            <w:pPr>
              <w:ind w:left="-30"/>
              <w:jc w:val="both"/>
              <w:rPr>
                <w:rFonts w:ascii="Calibri" w:hAnsi="Calibri" w:cs="Calibri"/>
                <w:sz w:val="22"/>
                <w:szCs w:val="22"/>
              </w:rPr>
            </w:pPr>
            <w:r w:rsidRPr="00BE6480">
              <w:rPr>
                <w:rFonts w:ascii="Calibri" w:hAnsi="Calibri" w:cs="Calibri"/>
                <w:sz w:val="22"/>
                <w:szCs w:val="22"/>
              </w:rPr>
              <w:t>$250,000</w:t>
            </w:r>
          </w:p>
        </w:tc>
      </w:tr>
      <w:tr w14:paraId="5181C82B" w14:textId="77777777" w:rsidTr="0022528B">
        <w:tblPrEx>
          <w:tblW w:w="10133" w:type="dxa"/>
          <w:jc w:val="center"/>
          <w:tblLook w:val="04A0"/>
        </w:tblPrEx>
        <w:trPr>
          <w:trHeight w:val="810"/>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20B13272" w14:textId="77777777">
            <w:pPr>
              <w:ind w:left="-30"/>
              <w:rPr>
                <w:rFonts w:ascii="Calibri" w:hAnsi="Calibri" w:cs="Calibri"/>
                <w:color w:val="000000"/>
                <w:sz w:val="22"/>
                <w:szCs w:val="22"/>
              </w:rPr>
            </w:pPr>
            <w:r w:rsidRPr="00BE6480">
              <w:rPr>
                <w:rFonts w:ascii="Calibri" w:hAnsi="Calibri" w:cs="Calibri"/>
                <w:color w:val="000000"/>
                <w:sz w:val="22"/>
                <w:szCs w:val="22"/>
              </w:rPr>
              <w:t>RRI Application and supporting documentation</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48E90F4A" w14:textId="77777777">
            <w:pPr>
              <w:ind w:left="-30"/>
              <w:jc w:val="center"/>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30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2FFC557D" w14:textId="77777777">
            <w:pPr>
              <w:ind w:left="-30"/>
              <w:jc w:val="center"/>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1</w:t>
            </w: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7E685A73" w14:textId="77777777">
            <w:pPr>
              <w:ind w:left="-30"/>
              <w:jc w:val="center"/>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30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0462D6E8" w14:textId="77777777">
            <w:pPr>
              <w:ind w:left="-30"/>
              <w:jc w:val="center"/>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2</w:t>
            </w: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5EDB2FC3" w14:textId="77777777">
            <w:pPr>
              <w:ind w:left="-30"/>
              <w:jc w:val="center"/>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60</w:t>
            </w:r>
          </w:p>
        </w:tc>
        <w:tc>
          <w:tcPr>
            <w:tcW w:w="814" w:type="dxa"/>
            <w:tcBorders>
              <w:top w:val="nil"/>
              <w:left w:val="nil"/>
              <w:bottom w:val="single" w:sz="4" w:space="0" w:color="auto"/>
              <w:right w:val="single" w:sz="4" w:space="0" w:color="auto"/>
            </w:tcBorders>
            <w:vAlign w:val="center"/>
          </w:tcPr>
          <w:p w:rsidR="005C6B1B" w:rsidRPr="00BE6480" w:rsidP="0022528B" w14:paraId="19C42F7F" w14:textId="77777777">
            <w:pPr>
              <w:jc w:val="both"/>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$125</w:t>
            </w:r>
          </w:p>
        </w:tc>
        <w:tc>
          <w:tcPr>
            <w:tcW w:w="1246" w:type="dxa"/>
            <w:tcBorders>
              <w:top w:val="nil"/>
              <w:left w:val="nil"/>
              <w:bottom w:val="single" w:sz="4" w:space="0" w:color="auto"/>
              <w:right w:val="single" w:sz="4" w:space="0" w:color="auto"/>
            </w:tcBorders>
            <w:vAlign w:val="center"/>
          </w:tcPr>
          <w:p w:rsidR="005C6B1B" w:rsidRPr="00BE6480" w:rsidP="0022528B" w14:paraId="165EE4F2" w14:textId="77777777">
            <w:pPr>
              <w:ind w:left="-30"/>
              <w:jc w:val="both"/>
              <w:rPr>
                <w:rFonts w:ascii="Calibri" w:hAnsi="Calibri" w:cs="Calibri"/>
                <w:color w:val="000000"/>
                <w:sz w:val="22"/>
                <w:szCs w:val="22"/>
                <w:shd w:val="clear" w:color="auto" w:fill="E6E6E6"/>
              </w:rPr>
            </w:pPr>
            <w:r w:rsidRPr="00BE6480">
              <w:rPr>
                <w:rFonts w:ascii="Calibri" w:hAnsi="Calibri" w:cs="Calibri"/>
                <w:color w:val="000000"/>
                <w:sz w:val="22"/>
                <w:szCs w:val="22"/>
                <w:shd w:val="clear" w:color="auto" w:fill="E6E6E6"/>
              </w:rPr>
              <w:t>$7,500</w:t>
            </w:r>
          </w:p>
        </w:tc>
      </w:tr>
      <w:tr w14:paraId="07CC2C60" w14:textId="77777777" w:rsidTr="0022528B">
        <w:tblPrEx>
          <w:tblW w:w="10133" w:type="dxa"/>
          <w:jc w:val="center"/>
          <w:tblLook w:val="04A0"/>
        </w:tblPrEx>
        <w:trPr>
          <w:trHeight w:val="810"/>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7AE8F28F" w14:textId="77777777">
            <w:pPr>
              <w:ind w:left="-30"/>
              <w:rPr>
                <w:rFonts w:ascii="Calibri" w:hAnsi="Calibri" w:cs="Calibri"/>
                <w:color w:val="000000"/>
                <w:sz w:val="22"/>
                <w:szCs w:val="22"/>
              </w:rPr>
            </w:pPr>
            <w:r w:rsidRPr="00BE6480">
              <w:rPr>
                <w:rFonts w:ascii="Calibri" w:hAnsi="Calibri" w:cs="Calibri"/>
                <w:color w:val="000000"/>
                <w:sz w:val="22"/>
                <w:szCs w:val="22"/>
              </w:rPr>
              <w:t>RRI annual savings calculations</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55AE4917" w14:textId="77777777">
            <w:pPr>
              <w:ind w:left="-30"/>
              <w:jc w:val="center"/>
              <w:rPr>
                <w:rFonts w:ascii="Calibri" w:hAnsi="Calibri" w:cs="Calibri"/>
                <w:color w:val="000000"/>
                <w:sz w:val="22"/>
                <w:szCs w:val="22"/>
              </w:rPr>
            </w:pPr>
            <w:r w:rsidRPr="00BE6480">
              <w:rPr>
                <w:rFonts w:ascii="Calibri" w:hAnsi="Calibri" w:cs="Calibri"/>
                <w:color w:val="000000"/>
                <w:sz w:val="22"/>
                <w:szCs w:val="22"/>
              </w:rPr>
              <w:t>60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1A36DBFD" w14:textId="77777777">
            <w:pPr>
              <w:ind w:left="-30"/>
              <w:jc w:val="center"/>
              <w:rPr>
                <w:rFonts w:ascii="Calibri" w:hAnsi="Calibri" w:cs="Calibri"/>
                <w:color w:val="000000"/>
                <w:sz w:val="22"/>
                <w:szCs w:val="22"/>
              </w:rPr>
            </w:pPr>
            <w:r w:rsidRPr="00BE6480">
              <w:rPr>
                <w:rFonts w:ascii="Calibri" w:hAnsi="Calibri" w:cs="Calibri"/>
                <w:color w:val="000000"/>
                <w:sz w:val="22"/>
                <w:szCs w:val="22"/>
              </w:rPr>
              <w:t>1</w:t>
            </w: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45A22A37" w14:textId="77777777">
            <w:pPr>
              <w:ind w:left="-30"/>
              <w:jc w:val="center"/>
              <w:rPr>
                <w:rFonts w:ascii="Calibri" w:hAnsi="Calibri" w:cs="Calibri"/>
                <w:color w:val="000000"/>
                <w:sz w:val="22"/>
                <w:szCs w:val="22"/>
              </w:rPr>
            </w:pPr>
            <w:r w:rsidRPr="00BE6480">
              <w:rPr>
                <w:rFonts w:ascii="Calibri" w:hAnsi="Calibri" w:cs="Calibri"/>
                <w:color w:val="000000"/>
                <w:sz w:val="22"/>
                <w:szCs w:val="22"/>
              </w:rPr>
              <w:t>60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793A4762" w14:textId="77777777">
            <w:pPr>
              <w:ind w:left="-30"/>
              <w:jc w:val="center"/>
              <w:rPr>
                <w:rFonts w:ascii="Calibri" w:hAnsi="Calibri" w:cs="Calibri"/>
                <w:color w:val="000000"/>
                <w:sz w:val="22"/>
                <w:szCs w:val="22"/>
              </w:rPr>
            </w:pPr>
            <w:r w:rsidRPr="00BE6480">
              <w:rPr>
                <w:rFonts w:ascii="Calibri" w:hAnsi="Calibri" w:cs="Calibri"/>
                <w:color w:val="000000"/>
                <w:sz w:val="22"/>
                <w:szCs w:val="22"/>
              </w:rPr>
              <w:t>10</w:t>
            </w: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4BD17EC6" w14:textId="77777777">
            <w:pPr>
              <w:ind w:left="-30"/>
              <w:jc w:val="center"/>
              <w:rPr>
                <w:rFonts w:ascii="Calibri" w:hAnsi="Calibri" w:cs="Calibri"/>
                <w:color w:val="000000"/>
                <w:sz w:val="22"/>
                <w:szCs w:val="22"/>
              </w:rPr>
            </w:pPr>
            <w:r w:rsidRPr="00BE6480">
              <w:rPr>
                <w:rFonts w:ascii="Calibri" w:hAnsi="Calibri" w:cs="Calibri"/>
                <w:color w:val="000000"/>
                <w:sz w:val="22"/>
                <w:szCs w:val="22"/>
              </w:rPr>
              <w:t>600</w:t>
            </w:r>
          </w:p>
        </w:tc>
        <w:tc>
          <w:tcPr>
            <w:tcW w:w="814" w:type="dxa"/>
            <w:tcBorders>
              <w:top w:val="nil"/>
              <w:left w:val="nil"/>
              <w:bottom w:val="single" w:sz="4" w:space="0" w:color="auto"/>
              <w:right w:val="single" w:sz="4" w:space="0" w:color="auto"/>
            </w:tcBorders>
            <w:vAlign w:val="center"/>
          </w:tcPr>
          <w:p w:rsidR="005C6B1B" w:rsidRPr="00BE6480" w:rsidP="0022528B" w14:paraId="3EF95BA7" w14:textId="77777777">
            <w:pPr>
              <w:jc w:val="both"/>
              <w:rPr>
                <w:rFonts w:ascii="Calibri" w:hAnsi="Calibri" w:cs="Calibri"/>
                <w:color w:val="000000"/>
                <w:sz w:val="22"/>
                <w:szCs w:val="22"/>
              </w:rPr>
            </w:pPr>
            <w:r w:rsidRPr="00BE6480">
              <w:rPr>
                <w:rFonts w:ascii="Calibri" w:hAnsi="Calibri" w:cs="Calibri"/>
                <w:color w:val="000000"/>
                <w:sz w:val="22"/>
                <w:szCs w:val="22"/>
              </w:rPr>
              <w:t>$125</w:t>
            </w:r>
          </w:p>
        </w:tc>
        <w:tc>
          <w:tcPr>
            <w:tcW w:w="1246" w:type="dxa"/>
            <w:tcBorders>
              <w:top w:val="nil"/>
              <w:left w:val="nil"/>
              <w:bottom w:val="single" w:sz="4" w:space="0" w:color="auto"/>
              <w:right w:val="single" w:sz="4" w:space="0" w:color="auto"/>
            </w:tcBorders>
            <w:vAlign w:val="center"/>
          </w:tcPr>
          <w:p w:rsidR="005C6B1B" w:rsidRPr="00BE6480" w:rsidP="0022528B" w14:paraId="7F3DFAD1" w14:textId="77777777">
            <w:pPr>
              <w:ind w:left="-30"/>
              <w:jc w:val="both"/>
              <w:rPr>
                <w:rFonts w:ascii="Calibri" w:hAnsi="Calibri" w:cs="Calibri"/>
                <w:color w:val="000000"/>
                <w:sz w:val="22"/>
                <w:szCs w:val="22"/>
              </w:rPr>
            </w:pPr>
            <w:r w:rsidRPr="00BE6480">
              <w:rPr>
                <w:rFonts w:ascii="Calibri" w:hAnsi="Calibri" w:cs="Calibri"/>
                <w:color w:val="000000"/>
                <w:sz w:val="22"/>
                <w:szCs w:val="22"/>
              </w:rPr>
              <w:t>$75,000</w:t>
            </w:r>
          </w:p>
        </w:tc>
      </w:tr>
      <w:tr w14:paraId="323952E2" w14:textId="77777777" w:rsidTr="0022528B">
        <w:tblPrEx>
          <w:tblW w:w="10133" w:type="dxa"/>
          <w:jc w:val="center"/>
          <w:tblLook w:val="04A0"/>
        </w:tblPrEx>
        <w:trPr>
          <w:trHeight w:val="600"/>
          <w:jc w:val="center"/>
        </w:trPr>
        <w:tc>
          <w:tcPr>
            <w:tcW w:w="2367"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3ECF0982" w14:textId="77777777">
            <w:pPr>
              <w:ind w:left="-30"/>
              <w:rPr>
                <w:rFonts w:ascii="Calibri" w:hAnsi="Calibri" w:cs="Calibri"/>
                <w:b/>
                <w:bCs/>
                <w:color w:val="000000"/>
                <w:sz w:val="22"/>
                <w:szCs w:val="22"/>
              </w:rPr>
            </w:pPr>
            <w:r w:rsidRPr="00BE6480">
              <w:rPr>
                <w:rFonts w:ascii="Calibri" w:hAnsi="Calibri" w:cs="Calibri"/>
                <w:b/>
                <w:bCs/>
                <w:color w:val="000000"/>
                <w:sz w:val="22"/>
                <w:szCs w:val="22"/>
              </w:rPr>
              <w:t>Totals</w:t>
            </w:r>
          </w:p>
        </w:tc>
        <w:tc>
          <w:tcPr>
            <w:tcW w:w="1326" w:type="dxa"/>
            <w:tcBorders>
              <w:top w:val="nil"/>
              <w:left w:val="nil"/>
              <w:bottom w:val="single" w:sz="4" w:space="0" w:color="auto"/>
              <w:right w:val="single" w:sz="4" w:space="0" w:color="auto"/>
            </w:tcBorders>
            <w:shd w:val="clear" w:color="auto" w:fill="auto"/>
            <w:vAlign w:val="center"/>
          </w:tcPr>
          <w:p w:rsidR="005C6B1B" w:rsidRPr="00BE6480" w:rsidP="0022528B" w14:paraId="27ACA7A1" w14:textId="77777777">
            <w:pPr>
              <w:ind w:left="-30"/>
              <w:jc w:val="center"/>
              <w:rPr>
                <w:rFonts w:ascii="Calibri" w:hAnsi="Calibri" w:cs="Calibri"/>
                <w:b/>
                <w:bCs/>
                <w:color w:val="000000"/>
                <w:sz w:val="22"/>
                <w:szCs w:val="22"/>
              </w:rPr>
            </w:pPr>
            <w:r w:rsidRPr="00BE6480">
              <w:rPr>
                <w:rFonts w:ascii="Calibri" w:hAnsi="Calibri" w:cs="Calibri"/>
                <w:b/>
                <w:bCs/>
                <w:color w:val="000000"/>
                <w:sz w:val="22"/>
                <w:szCs w:val="22"/>
              </w:rPr>
              <w:t>300</w:t>
            </w:r>
          </w:p>
        </w:tc>
        <w:tc>
          <w:tcPr>
            <w:tcW w:w="1270" w:type="dxa"/>
            <w:tcBorders>
              <w:top w:val="nil"/>
              <w:left w:val="nil"/>
              <w:bottom w:val="single" w:sz="4" w:space="0" w:color="auto"/>
              <w:right w:val="single" w:sz="4" w:space="0" w:color="auto"/>
            </w:tcBorders>
            <w:shd w:val="clear" w:color="auto" w:fill="auto"/>
            <w:vAlign w:val="center"/>
          </w:tcPr>
          <w:p w:rsidR="005C6B1B" w:rsidRPr="00BE6480" w:rsidP="0022528B" w14:paraId="25A79871" w14:textId="77777777">
            <w:pPr>
              <w:ind w:left="-30"/>
              <w:jc w:val="center"/>
              <w:rPr>
                <w:rFonts w:ascii="Calibri" w:hAnsi="Calibri" w:cs="Calibri"/>
                <w:b/>
                <w:bCs/>
                <w:color w:val="000000"/>
                <w:sz w:val="22"/>
                <w:szCs w:val="22"/>
              </w:rPr>
            </w:pPr>
          </w:p>
        </w:tc>
        <w:tc>
          <w:tcPr>
            <w:tcW w:w="1141" w:type="dxa"/>
            <w:tcBorders>
              <w:top w:val="nil"/>
              <w:left w:val="nil"/>
              <w:bottom w:val="single" w:sz="4" w:space="0" w:color="auto"/>
              <w:right w:val="single" w:sz="4" w:space="0" w:color="auto"/>
            </w:tcBorders>
            <w:shd w:val="clear" w:color="auto" w:fill="auto"/>
            <w:vAlign w:val="center"/>
          </w:tcPr>
          <w:p w:rsidR="005C6B1B" w:rsidRPr="00BE6480" w:rsidP="0022528B" w14:paraId="298FEF6F" w14:textId="77777777">
            <w:pPr>
              <w:ind w:left="-30"/>
              <w:jc w:val="center"/>
              <w:rPr>
                <w:rFonts w:ascii="Calibri" w:hAnsi="Calibri" w:cs="Calibri"/>
                <w:b/>
                <w:bCs/>
                <w:color w:val="000000"/>
                <w:sz w:val="22"/>
                <w:szCs w:val="22"/>
              </w:rPr>
            </w:pPr>
            <w:r w:rsidRPr="00BE6480">
              <w:rPr>
                <w:rFonts w:ascii="Calibri" w:hAnsi="Calibri" w:cs="Calibri"/>
                <w:b/>
                <w:bCs/>
                <w:color w:val="000000"/>
                <w:sz w:val="22"/>
                <w:szCs w:val="22"/>
              </w:rPr>
              <w:t>300</w:t>
            </w:r>
          </w:p>
        </w:tc>
        <w:tc>
          <w:tcPr>
            <w:tcW w:w="970" w:type="dxa"/>
            <w:tcBorders>
              <w:top w:val="nil"/>
              <w:left w:val="nil"/>
              <w:bottom w:val="single" w:sz="4" w:space="0" w:color="auto"/>
              <w:right w:val="single" w:sz="4" w:space="0" w:color="auto"/>
            </w:tcBorders>
            <w:shd w:val="clear" w:color="auto" w:fill="auto"/>
            <w:vAlign w:val="center"/>
          </w:tcPr>
          <w:p w:rsidR="005C6B1B" w:rsidRPr="00BE6480" w:rsidP="0022528B" w14:paraId="11E13AA3" w14:textId="77777777">
            <w:pPr>
              <w:ind w:left="-30"/>
              <w:jc w:val="center"/>
              <w:rPr>
                <w:rFonts w:ascii="Calibri" w:hAnsi="Calibri" w:cs="Calibri"/>
                <w:b/>
                <w:bCs/>
                <w:color w:val="000000"/>
                <w:sz w:val="22"/>
                <w:szCs w:val="22"/>
              </w:rPr>
            </w:pPr>
          </w:p>
        </w:tc>
        <w:tc>
          <w:tcPr>
            <w:tcW w:w="999" w:type="dxa"/>
            <w:tcBorders>
              <w:top w:val="nil"/>
              <w:left w:val="nil"/>
              <w:bottom w:val="single" w:sz="4" w:space="0" w:color="auto"/>
              <w:right w:val="single" w:sz="4" w:space="0" w:color="auto"/>
            </w:tcBorders>
            <w:shd w:val="clear" w:color="auto" w:fill="auto"/>
            <w:vAlign w:val="center"/>
          </w:tcPr>
          <w:p w:rsidR="005C6B1B" w:rsidRPr="00BE6480" w:rsidP="0022528B" w14:paraId="0893335E" w14:textId="77777777">
            <w:pPr>
              <w:ind w:left="-30"/>
              <w:jc w:val="center"/>
              <w:rPr>
                <w:rFonts w:ascii="Calibri" w:hAnsi="Calibri" w:cs="Calibri"/>
                <w:b/>
                <w:bCs/>
                <w:color w:val="000000"/>
                <w:sz w:val="22"/>
                <w:szCs w:val="22"/>
              </w:rPr>
            </w:pPr>
            <w:r w:rsidRPr="00BE6480">
              <w:rPr>
                <w:rFonts w:ascii="Calibri" w:hAnsi="Calibri" w:cs="Calibri"/>
                <w:b/>
                <w:bCs/>
                <w:color w:val="000000"/>
                <w:sz w:val="22"/>
                <w:szCs w:val="22"/>
              </w:rPr>
              <w:t>10,260</w:t>
            </w:r>
          </w:p>
        </w:tc>
        <w:tc>
          <w:tcPr>
            <w:tcW w:w="814" w:type="dxa"/>
            <w:tcBorders>
              <w:top w:val="nil"/>
              <w:left w:val="nil"/>
              <w:bottom w:val="single" w:sz="4" w:space="0" w:color="auto"/>
              <w:right w:val="single" w:sz="4" w:space="0" w:color="auto"/>
            </w:tcBorders>
          </w:tcPr>
          <w:p w:rsidR="005C6B1B" w:rsidRPr="00BE6480" w:rsidP="0022528B" w14:paraId="122660D0" w14:textId="77777777">
            <w:pPr>
              <w:ind w:left="-30"/>
              <w:jc w:val="center"/>
              <w:rPr>
                <w:rFonts w:ascii="Calibri" w:hAnsi="Calibri" w:cs="Calibri"/>
                <w:b/>
                <w:bCs/>
                <w:color w:val="000000"/>
                <w:sz w:val="22"/>
                <w:szCs w:val="22"/>
              </w:rPr>
            </w:pPr>
          </w:p>
        </w:tc>
        <w:tc>
          <w:tcPr>
            <w:tcW w:w="1246" w:type="dxa"/>
            <w:tcBorders>
              <w:top w:val="nil"/>
              <w:left w:val="nil"/>
              <w:bottom w:val="single" w:sz="4" w:space="0" w:color="auto"/>
              <w:right w:val="single" w:sz="4" w:space="0" w:color="auto"/>
            </w:tcBorders>
          </w:tcPr>
          <w:p w:rsidR="005C6B1B" w:rsidRPr="00AA64C8" w:rsidP="0022528B" w14:paraId="655CBFDC" w14:textId="77777777">
            <w:pPr>
              <w:ind w:left="-30"/>
              <w:jc w:val="center"/>
              <w:rPr>
                <w:rFonts w:ascii="Calibri" w:hAnsi="Calibri" w:cs="Calibri"/>
                <w:b/>
                <w:bCs/>
                <w:color w:val="000000"/>
                <w:sz w:val="22"/>
                <w:szCs w:val="22"/>
              </w:rPr>
            </w:pPr>
            <w:r w:rsidRPr="00BE6480">
              <w:rPr>
                <w:rFonts w:ascii="Calibri" w:hAnsi="Calibri" w:cs="Calibri"/>
                <w:b/>
                <w:bCs/>
                <w:sz w:val="22"/>
                <w:szCs w:val="22"/>
              </w:rPr>
              <w:t>$1,282</w:t>
            </w:r>
          </w:p>
        </w:tc>
      </w:tr>
    </w:tbl>
    <w:p w:rsidR="005C6B1B" w:rsidRPr="00E25FF5" w:rsidP="005C6B1B" w14:paraId="5C2D7A85"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rFonts w:ascii="Calibri" w:hAnsi="Calibri" w:cs="Calibri"/>
          <w:b/>
          <w:sz w:val="22"/>
          <w:szCs w:val="22"/>
        </w:rPr>
      </w:pPr>
    </w:p>
    <w:p w:rsidR="005C6B1B" w:rsidP="005C6B1B" w14:paraId="57C23906" w14:textId="77777777">
      <w:pPr>
        <w:tabs>
          <w:tab w:val="left" w:pos="360"/>
        </w:tabs>
        <w:ind w:left="360" w:hanging="360"/>
        <w:rPr>
          <w:sz w:val="18"/>
        </w:rPr>
      </w:pPr>
    </w:p>
    <w:p w:rsidR="005C6B1B" w:rsidP="005C6B1B" w14:paraId="51128CEC" w14:textId="77777777">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5C6B1B" w:rsidP="005C6B1B" w14:paraId="4FB5093C" w14:textId="77777777">
      <w:pPr>
        <w:numPr>
          <w:ilvl w:val="0"/>
          <w:numId w:val="2"/>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C6B1B" w:rsidP="005C6B1B" w14:paraId="6F3011EB" w14:textId="77777777">
      <w:pPr>
        <w:numPr>
          <w:ilvl w:val="0"/>
          <w:numId w:val="2"/>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C6B1B" w:rsidP="005C6B1B" w14:paraId="222C5D62" w14:textId="77777777">
      <w:pPr>
        <w:keepLines/>
        <w:numPr>
          <w:ilvl w:val="0"/>
          <w:numId w:val="2"/>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6B1B" w:rsidP="005C6B1B" w14:paraId="1B073991" w14:textId="77777777">
      <w:pPr>
        <w:tabs>
          <w:tab w:val="left" w:pos="360"/>
        </w:tabs>
        <w:ind w:left="360" w:hanging="360"/>
        <w:rPr>
          <w:sz w:val="18"/>
        </w:rPr>
      </w:pPr>
      <w:r w:rsidRPr="00BE6480">
        <w:rPr>
          <w:rFonts w:ascii="Calibri" w:hAnsi="Calibri" w:cs="Calibri"/>
          <w:sz w:val="22"/>
        </w:rPr>
        <w:t>There are no additional costs other than what is reported above.</w:t>
      </w:r>
    </w:p>
    <w:p w:rsidR="005C6B1B" w:rsidP="005C6B1B" w14:paraId="7F3835A8" w14:textId="77777777">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C6B1B" w:rsidRPr="00BE6480" w:rsidP="005C6B1B" w14:paraId="2A6F60E6" w14:textId="77777777">
      <w:pPr>
        <w:shd w:val="clear" w:color="auto" w:fill="FFFFFF"/>
        <w:ind w:left="720"/>
        <w:rPr>
          <w:rFonts w:ascii="Calibri" w:hAnsi="Calibri"/>
          <w:sz w:val="22"/>
          <w:szCs w:val="22"/>
        </w:rPr>
      </w:pPr>
      <w:r w:rsidRPr="00BE6480">
        <w:rPr>
          <w:rFonts w:ascii="Calibri" w:hAnsi="Calibri"/>
          <w:sz w:val="22"/>
          <w:szCs w:val="22"/>
        </w:rPr>
        <w:t xml:space="preserve">The estimated levels of effort for EPC applications are based on recent discussions with EPC staff and their time to review.  The estimated hours rate of </w:t>
      </w:r>
      <w:r w:rsidRPr="00BE6480">
        <w:rPr>
          <w:rFonts w:ascii="Calibri" w:hAnsi="Calibri"/>
          <w:color w:val="000000"/>
          <w:sz w:val="22"/>
          <w:szCs w:val="22"/>
        </w:rPr>
        <w:t>$50/hour represents the mean in the FY 2021 GS-13 Step 1 schedule for HQ.</w:t>
      </w:r>
    </w:p>
    <w:p w:rsidR="005C6B1B" w:rsidRPr="00BE6480" w:rsidP="005C6B1B" w14:paraId="0DE51C9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C6B1B" w:rsidRPr="00BE6480" w:rsidP="005C6B1B" w14:paraId="2985A55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C6B1B" w:rsidRPr="00BE6480" w:rsidP="005C6B1B" w14:paraId="0723E893" w14:textId="77777777">
      <w:pPr>
        <w:shd w:val="clear" w:color="auto" w:fill="FFFFFF"/>
        <w:ind w:left="720"/>
        <w:rPr>
          <w:rFonts w:ascii="Calibri" w:hAnsi="Calibri"/>
          <w:sz w:val="22"/>
          <w:szCs w:val="22"/>
        </w:rPr>
      </w:pPr>
      <w:r w:rsidRPr="00BE6480">
        <w:rPr>
          <w:rFonts w:ascii="Calibri" w:hAnsi="Calibri"/>
          <w:sz w:val="22"/>
          <w:szCs w:val="22"/>
        </w:rPr>
        <w:t xml:space="preserve">The estimated levels of effort for EPC Measurement and Verification and savings calculations are based on recent discussions with EPC staff and their time to review.  The estimated hours rate of </w:t>
      </w:r>
      <w:r w:rsidRPr="00BE6480">
        <w:rPr>
          <w:rFonts w:ascii="Calibri" w:hAnsi="Calibri"/>
          <w:color w:val="000000"/>
          <w:sz w:val="22"/>
          <w:szCs w:val="22"/>
        </w:rPr>
        <w:t>$50/hour represents the mean wage the FY 2021 GS-13 Step 1 schedule for HQ.</w:t>
      </w:r>
    </w:p>
    <w:p w:rsidR="005C6B1B" w:rsidRPr="00BE6480" w:rsidP="005C6B1B" w14:paraId="079E0235" w14:textId="77777777">
      <w:pPr>
        <w:shd w:val="clear" w:color="auto" w:fill="FFFFFF"/>
        <w:ind w:left="720"/>
        <w:rPr>
          <w:rFonts w:ascii="Calibri" w:hAnsi="Calibri"/>
          <w:color w:val="000000"/>
          <w:sz w:val="22"/>
          <w:szCs w:val="22"/>
        </w:rPr>
      </w:pPr>
    </w:p>
    <w:p w:rsidR="005C6B1B" w:rsidRPr="00BE6480" w:rsidP="005C6B1B" w14:paraId="53C76493" w14:textId="77777777">
      <w:pPr>
        <w:shd w:val="clear" w:color="auto" w:fill="FFFFFF"/>
        <w:ind w:left="720"/>
        <w:rPr>
          <w:rFonts w:ascii="Calibri" w:hAnsi="Calibri"/>
          <w:sz w:val="22"/>
          <w:szCs w:val="22"/>
        </w:rPr>
      </w:pPr>
      <w:r w:rsidRPr="00BE6480">
        <w:rPr>
          <w:rFonts w:ascii="Calibri" w:hAnsi="Calibri"/>
          <w:sz w:val="22"/>
          <w:szCs w:val="22"/>
        </w:rPr>
        <w:t xml:space="preserve">The estimated levels of effort for RRI applications are based on recent discussions with RRI staff and their time to review.  The estimated hours rate of </w:t>
      </w:r>
      <w:r w:rsidRPr="00BE6480">
        <w:rPr>
          <w:rFonts w:ascii="Calibri" w:hAnsi="Calibri"/>
          <w:color w:val="000000"/>
          <w:sz w:val="22"/>
          <w:szCs w:val="22"/>
        </w:rPr>
        <w:t>$50/hour represents the mean in the FY 2021 GS-13 Step 1 schedule for HQ.</w:t>
      </w:r>
    </w:p>
    <w:p w:rsidR="005C6B1B" w:rsidRPr="00BE6480" w:rsidP="005C6B1B" w14:paraId="236A3385"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C6B1B" w:rsidRPr="00BE6480" w:rsidP="005C6B1B" w14:paraId="3C47402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C6B1B" w:rsidRPr="00BE6480" w:rsidP="005C6B1B" w14:paraId="14759D12" w14:textId="77777777">
      <w:pPr>
        <w:shd w:val="clear" w:color="auto" w:fill="FFFFFF"/>
        <w:ind w:left="720"/>
        <w:rPr>
          <w:rFonts w:ascii="Calibri" w:hAnsi="Calibri"/>
          <w:sz w:val="22"/>
          <w:szCs w:val="22"/>
        </w:rPr>
      </w:pPr>
      <w:r w:rsidRPr="00BE6480">
        <w:rPr>
          <w:rFonts w:ascii="Calibri" w:hAnsi="Calibri"/>
          <w:sz w:val="22"/>
          <w:szCs w:val="22"/>
        </w:rPr>
        <w:t xml:space="preserve">The estimated levels of effort are based on recent discussions with RRI savings calculation staff and their time to review.  The estimated hours rate of </w:t>
      </w:r>
      <w:r w:rsidRPr="00BE6480">
        <w:rPr>
          <w:rFonts w:ascii="Calibri" w:hAnsi="Calibri"/>
          <w:color w:val="000000"/>
          <w:sz w:val="22"/>
          <w:szCs w:val="22"/>
        </w:rPr>
        <w:t>$50/hour represents the mean wage the FY 2021 GS-13 Step 1 schedule for HQ.</w:t>
      </w:r>
    </w:p>
    <w:p w:rsidR="005C6B1B" w:rsidRPr="00BE6480" w:rsidP="005C6B1B" w14:paraId="7F178125" w14:textId="77777777">
      <w:pPr>
        <w:shd w:val="clear" w:color="auto" w:fill="FFFFFF"/>
        <w:ind w:left="720"/>
        <w:rPr>
          <w:rFonts w:ascii="Calibri" w:hAnsi="Calibri"/>
          <w:color w:val="000000"/>
          <w:sz w:val="22"/>
          <w:szCs w:val="22"/>
        </w:rPr>
      </w:pPr>
    </w:p>
    <w:p w:rsidR="005C6B1B" w:rsidRPr="00BE6480" w:rsidP="005C6B1B" w14:paraId="43C25ED4"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C6B1B" w:rsidRPr="00BE6480" w:rsidP="005C6B1B" w14:paraId="12BCC48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bl>
      <w:tblPr>
        <w:tblW w:w="10011" w:type="dxa"/>
        <w:tblInd w:w="720" w:type="dxa"/>
        <w:tblLook w:val="04A0"/>
      </w:tblPr>
      <w:tblGrid>
        <w:gridCol w:w="1482"/>
        <w:gridCol w:w="1356"/>
        <w:gridCol w:w="1306"/>
        <w:gridCol w:w="1142"/>
        <w:gridCol w:w="1184"/>
        <w:gridCol w:w="1109"/>
        <w:gridCol w:w="772"/>
        <w:gridCol w:w="367"/>
        <w:gridCol w:w="660"/>
        <w:gridCol w:w="633"/>
      </w:tblGrid>
      <w:tr w14:paraId="5604A4E2" w14:textId="77777777" w:rsidTr="0022528B">
        <w:tblPrEx>
          <w:tblW w:w="10011" w:type="dxa"/>
          <w:tblInd w:w="720" w:type="dxa"/>
          <w:tblLook w:val="04A0"/>
        </w:tblPrEx>
        <w:trPr>
          <w:trHeight w:val="315"/>
        </w:trPr>
        <w:tc>
          <w:tcPr>
            <w:tcW w:w="8351" w:type="dxa"/>
            <w:gridSpan w:val="7"/>
            <w:tcBorders>
              <w:top w:val="nil"/>
              <w:left w:val="nil"/>
              <w:bottom w:val="nil"/>
              <w:right w:val="nil"/>
            </w:tcBorders>
            <w:shd w:val="clear" w:color="auto" w:fill="auto"/>
            <w:noWrap/>
            <w:vAlign w:val="bottom"/>
            <w:hideMark/>
          </w:tcPr>
          <w:p w:rsidR="005C6B1B" w:rsidRPr="00BE6480" w:rsidP="0022528B" w14:paraId="6ECD57BF" w14:textId="77777777">
            <w:pPr>
              <w:overflowPunct/>
              <w:autoSpaceDE/>
              <w:autoSpaceDN/>
              <w:adjustRightInd/>
              <w:textAlignment w:val="auto"/>
              <w:rPr>
                <w:rFonts w:ascii="Calibri" w:hAnsi="Calibri" w:cs="Calibri"/>
                <w:b/>
                <w:bCs/>
                <w:color w:val="000000"/>
                <w:sz w:val="22"/>
                <w:szCs w:val="22"/>
              </w:rPr>
            </w:pPr>
            <w:r w:rsidRPr="00BE6480">
              <w:rPr>
                <w:rFonts w:ascii="Calibri" w:hAnsi="Calibri" w:cs="Calibri"/>
                <w:b/>
                <w:bCs/>
                <w:color w:val="000000"/>
                <w:sz w:val="22"/>
                <w:szCs w:val="22"/>
              </w:rPr>
              <w:t>Estimated Annualized Cost to the Federal Government</w:t>
            </w:r>
          </w:p>
        </w:tc>
        <w:tc>
          <w:tcPr>
            <w:tcW w:w="1027" w:type="dxa"/>
            <w:gridSpan w:val="2"/>
            <w:tcBorders>
              <w:top w:val="nil"/>
              <w:left w:val="nil"/>
              <w:bottom w:val="nil"/>
              <w:right w:val="nil"/>
            </w:tcBorders>
            <w:shd w:val="clear" w:color="auto" w:fill="auto"/>
            <w:noWrap/>
            <w:vAlign w:val="bottom"/>
            <w:hideMark/>
          </w:tcPr>
          <w:p w:rsidR="005C6B1B" w:rsidRPr="00BE6480" w:rsidP="0022528B" w14:paraId="56AC2442" w14:textId="77777777">
            <w:pPr>
              <w:overflowPunct/>
              <w:autoSpaceDE/>
              <w:autoSpaceDN/>
              <w:adjustRightInd/>
              <w:textAlignment w:val="auto"/>
              <w:rPr>
                <w:rFonts w:ascii="Calibri" w:hAnsi="Calibri" w:cs="Calibri"/>
                <w:b/>
                <w:bCs/>
                <w:color w:val="000000"/>
                <w:sz w:val="22"/>
                <w:szCs w:val="22"/>
              </w:rPr>
            </w:pPr>
          </w:p>
        </w:tc>
        <w:tc>
          <w:tcPr>
            <w:tcW w:w="633" w:type="dxa"/>
            <w:tcBorders>
              <w:top w:val="nil"/>
              <w:left w:val="nil"/>
              <w:bottom w:val="nil"/>
              <w:right w:val="nil"/>
            </w:tcBorders>
            <w:shd w:val="clear" w:color="auto" w:fill="auto"/>
            <w:noWrap/>
            <w:vAlign w:val="bottom"/>
            <w:hideMark/>
          </w:tcPr>
          <w:p w:rsidR="005C6B1B" w:rsidRPr="00BE6480" w:rsidP="0022528B" w14:paraId="24F7EB25" w14:textId="77777777">
            <w:pPr>
              <w:overflowPunct/>
              <w:autoSpaceDE/>
              <w:autoSpaceDN/>
              <w:adjustRightInd/>
              <w:textAlignment w:val="auto"/>
              <w:rPr>
                <w:rFonts w:ascii="Calibri" w:hAnsi="Calibri" w:cs="Calibri"/>
                <w:sz w:val="22"/>
                <w:szCs w:val="22"/>
              </w:rPr>
            </w:pPr>
          </w:p>
        </w:tc>
      </w:tr>
      <w:tr w14:paraId="7F5540A2" w14:textId="77777777" w:rsidTr="0022528B">
        <w:tblPrEx>
          <w:tblW w:w="10011" w:type="dxa"/>
          <w:tblInd w:w="720" w:type="dxa"/>
          <w:tblLook w:val="04A0"/>
        </w:tblPrEx>
        <w:trPr>
          <w:trHeight w:val="3000"/>
        </w:trPr>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B1B" w:rsidRPr="00BE6480" w:rsidP="0022528B" w14:paraId="0B366605"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Type of Submission</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40F48138"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Number of Respondents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7F0E0C0B"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Frequency of Submissions</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58F105DE"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Total Responses</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317B09DD"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Estimate Average Time Receiving, Reviewing, and Awarding (Hours)</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5836328F"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Estimate Annual Burden (Hours)</w:t>
            </w:r>
          </w:p>
        </w:tc>
        <w:tc>
          <w:tcPr>
            <w:tcW w:w="1139" w:type="dxa"/>
            <w:gridSpan w:val="2"/>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323E7888"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Hourly Rate*</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rsidR="005C6B1B" w:rsidRPr="00BE6480" w:rsidP="0022528B" w14:paraId="21A2D86B" w14:textId="77777777">
            <w:pPr>
              <w:overflowPunct/>
              <w:autoSpaceDE/>
              <w:autoSpaceDN/>
              <w:adjustRightInd/>
              <w:jc w:val="center"/>
              <w:textAlignment w:val="auto"/>
              <w:rPr>
                <w:rFonts w:ascii="Calibri" w:hAnsi="Calibri" w:cs="Calibri"/>
                <w:i/>
                <w:iCs/>
                <w:color w:val="000000"/>
                <w:sz w:val="22"/>
                <w:szCs w:val="22"/>
              </w:rPr>
            </w:pPr>
            <w:r w:rsidRPr="00BE6480">
              <w:rPr>
                <w:rFonts w:ascii="Calibri" w:hAnsi="Calibri" w:cs="Calibri"/>
                <w:i/>
                <w:iCs/>
                <w:color w:val="000000"/>
                <w:sz w:val="22"/>
                <w:szCs w:val="22"/>
              </w:rPr>
              <w:t>Total Annual Cost</w:t>
            </w:r>
          </w:p>
        </w:tc>
      </w:tr>
      <w:tr w14:paraId="544F13F2" w14:textId="77777777" w:rsidTr="0022528B">
        <w:tblPrEx>
          <w:tblW w:w="10011" w:type="dxa"/>
          <w:tblInd w:w="720" w:type="dxa"/>
          <w:tblLook w:val="04A0"/>
        </w:tblPrEx>
        <w:trPr>
          <w:trHeight w:val="1200"/>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5C6B1B" w:rsidRPr="00BE6480" w:rsidP="0022528B" w14:paraId="049D76CC"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EPC Application</w:t>
            </w:r>
          </w:p>
        </w:tc>
        <w:tc>
          <w:tcPr>
            <w:tcW w:w="1356" w:type="dxa"/>
            <w:tcBorders>
              <w:top w:val="nil"/>
              <w:left w:val="nil"/>
              <w:bottom w:val="single" w:sz="4" w:space="0" w:color="auto"/>
              <w:right w:val="single" w:sz="4" w:space="0" w:color="auto"/>
            </w:tcBorders>
            <w:shd w:val="clear" w:color="auto" w:fill="auto"/>
            <w:vAlign w:val="center"/>
            <w:hideMark/>
          </w:tcPr>
          <w:p w:rsidR="005C6B1B" w:rsidRPr="00BE6480" w:rsidP="0022528B" w14:paraId="27E331F9"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10</w:t>
            </w:r>
          </w:p>
        </w:tc>
        <w:tc>
          <w:tcPr>
            <w:tcW w:w="1306" w:type="dxa"/>
            <w:tcBorders>
              <w:top w:val="nil"/>
              <w:left w:val="nil"/>
              <w:bottom w:val="single" w:sz="4" w:space="0" w:color="auto"/>
              <w:right w:val="single" w:sz="4" w:space="0" w:color="auto"/>
            </w:tcBorders>
            <w:shd w:val="clear" w:color="auto" w:fill="auto"/>
            <w:vAlign w:val="center"/>
            <w:hideMark/>
          </w:tcPr>
          <w:p w:rsidR="005C6B1B" w:rsidRPr="00BE6480" w:rsidP="0022528B" w14:paraId="5200EA55"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w:t>
            </w:r>
          </w:p>
        </w:tc>
        <w:tc>
          <w:tcPr>
            <w:tcW w:w="1142" w:type="dxa"/>
            <w:tcBorders>
              <w:top w:val="nil"/>
              <w:left w:val="nil"/>
              <w:bottom w:val="single" w:sz="4" w:space="0" w:color="auto"/>
              <w:right w:val="single" w:sz="4" w:space="0" w:color="auto"/>
            </w:tcBorders>
            <w:shd w:val="clear" w:color="auto" w:fill="auto"/>
            <w:vAlign w:val="center"/>
            <w:hideMark/>
          </w:tcPr>
          <w:p w:rsidR="005C6B1B" w:rsidRPr="00BE6480" w:rsidP="0022528B" w14:paraId="082AA6A9"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10</w:t>
            </w:r>
          </w:p>
        </w:tc>
        <w:tc>
          <w:tcPr>
            <w:tcW w:w="1184" w:type="dxa"/>
            <w:tcBorders>
              <w:top w:val="nil"/>
              <w:left w:val="nil"/>
              <w:bottom w:val="single" w:sz="4" w:space="0" w:color="auto"/>
              <w:right w:val="single" w:sz="4" w:space="0" w:color="auto"/>
            </w:tcBorders>
            <w:shd w:val="clear" w:color="auto" w:fill="auto"/>
            <w:vAlign w:val="center"/>
            <w:hideMark/>
          </w:tcPr>
          <w:p w:rsidR="005C6B1B" w:rsidRPr="00BE6480" w:rsidP="0022528B" w14:paraId="67484475"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400</w:t>
            </w:r>
          </w:p>
        </w:tc>
        <w:tc>
          <w:tcPr>
            <w:tcW w:w="1109" w:type="dxa"/>
            <w:tcBorders>
              <w:top w:val="nil"/>
              <w:left w:val="nil"/>
              <w:bottom w:val="single" w:sz="4" w:space="0" w:color="auto"/>
              <w:right w:val="single" w:sz="4" w:space="0" w:color="auto"/>
            </w:tcBorders>
            <w:shd w:val="clear" w:color="auto" w:fill="auto"/>
            <w:vAlign w:val="center"/>
            <w:hideMark/>
          </w:tcPr>
          <w:p w:rsidR="005C6B1B" w:rsidRPr="00BE6480" w:rsidP="0022528B" w14:paraId="5A773D01"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400</w:t>
            </w:r>
          </w:p>
        </w:tc>
        <w:tc>
          <w:tcPr>
            <w:tcW w:w="1139" w:type="dxa"/>
            <w:gridSpan w:val="2"/>
            <w:tcBorders>
              <w:top w:val="nil"/>
              <w:left w:val="nil"/>
              <w:bottom w:val="single" w:sz="4" w:space="0" w:color="auto"/>
              <w:right w:val="single" w:sz="4" w:space="0" w:color="auto"/>
            </w:tcBorders>
            <w:shd w:val="clear" w:color="auto" w:fill="auto"/>
            <w:noWrap/>
            <w:vAlign w:val="center"/>
            <w:hideMark/>
          </w:tcPr>
          <w:p w:rsidR="005C6B1B" w:rsidRPr="00BE6480" w:rsidP="0022528B" w14:paraId="2B6C3CE9"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xml:space="preserve"> $          50 </w:t>
            </w:r>
          </w:p>
        </w:tc>
        <w:tc>
          <w:tcPr>
            <w:tcW w:w="1293" w:type="dxa"/>
            <w:gridSpan w:val="2"/>
            <w:tcBorders>
              <w:top w:val="nil"/>
              <w:left w:val="nil"/>
              <w:bottom w:val="single" w:sz="4" w:space="0" w:color="auto"/>
              <w:right w:val="single" w:sz="4" w:space="0" w:color="auto"/>
            </w:tcBorders>
            <w:shd w:val="clear" w:color="auto" w:fill="auto"/>
            <w:noWrap/>
            <w:vAlign w:val="center"/>
            <w:hideMark/>
          </w:tcPr>
          <w:p w:rsidR="005C6B1B" w:rsidRPr="00BE6480" w:rsidP="0022528B" w14:paraId="72697F8C"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$20,000</w:t>
            </w:r>
          </w:p>
        </w:tc>
      </w:tr>
      <w:tr w14:paraId="468A2E9E" w14:textId="77777777" w:rsidTr="0022528B">
        <w:tblPrEx>
          <w:tblW w:w="10011" w:type="dxa"/>
          <w:tblInd w:w="720" w:type="dxa"/>
          <w:tblLook w:val="04A0"/>
        </w:tblPrEx>
        <w:trPr>
          <w:trHeight w:val="600"/>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5C6B1B" w:rsidRPr="00BE6480" w:rsidP="0022528B" w14:paraId="78BD0EF1" w14:textId="77777777">
            <w:pPr>
              <w:overflowPunct/>
              <w:autoSpaceDE/>
              <w:autoSpaceDN/>
              <w:adjustRightInd/>
              <w:textAlignment w:val="auto"/>
              <w:rPr>
                <w:rFonts w:ascii="Calibri" w:hAnsi="Calibri"/>
                <w:color w:val="000000"/>
                <w:sz w:val="22"/>
                <w:szCs w:val="22"/>
              </w:rPr>
            </w:pPr>
            <w:r w:rsidRPr="00BE6480">
              <w:rPr>
                <w:rFonts w:ascii="Calibri" w:hAnsi="Calibri"/>
                <w:color w:val="000000"/>
                <w:sz w:val="22"/>
                <w:szCs w:val="22"/>
              </w:rPr>
              <w:t>EPC Measurement and Verification and EPC Savings Calculation</w:t>
            </w:r>
          </w:p>
        </w:tc>
        <w:tc>
          <w:tcPr>
            <w:tcW w:w="1356" w:type="dxa"/>
            <w:tcBorders>
              <w:top w:val="nil"/>
              <w:left w:val="nil"/>
              <w:bottom w:val="single" w:sz="4" w:space="0" w:color="auto"/>
              <w:right w:val="single" w:sz="4" w:space="0" w:color="auto"/>
            </w:tcBorders>
            <w:shd w:val="clear" w:color="auto" w:fill="auto"/>
            <w:vAlign w:val="center"/>
            <w:hideMark/>
          </w:tcPr>
          <w:p w:rsidR="005C6B1B" w:rsidRPr="00BE6480" w:rsidP="0022528B" w14:paraId="07F32033"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200</w:t>
            </w:r>
          </w:p>
        </w:tc>
        <w:tc>
          <w:tcPr>
            <w:tcW w:w="1306" w:type="dxa"/>
            <w:tcBorders>
              <w:top w:val="nil"/>
              <w:left w:val="nil"/>
              <w:bottom w:val="single" w:sz="4" w:space="0" w:color="auto"/>
              <w:right w:val="single" w:sz="4" w:space="0" w:color="auto"/>
            </w:tcBorders>
            <w:shd w:val="clear" w:color="auto" w:fill="auto"/>
            <w:vAlign w:val="center"/>
            <w:hideMark/>
          </w:tcPr>
          <w:p w:rsidR="005C6B1B" w:rsidRPr="00BE6480" w:rsidP="0022528B" w14:paraId="152706B1"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w:t>
            </w:r>
          </w:p>
        </w:tc>
        <w:tc>
          <w:tcPr>
            <w:tcW w:w="1142" w:type="dxa"/>
            <w:tcBorders>
              <w:top w:val="nil"/>
              <w:left w:val="nil"/>
              <w:bottom w:val="single" w:sz="4" w:space="0" w:color="auto"/>
              <w:right w:val="single" w:sz="4" w:space="0" w:color="auto"/>
            </w:tcBorders>
            <w:shd w:val="clear" w:color="auto" w:fill="auto"/>
            <w:vAlign w:val="center"/>
            <w:hideMark/>
          </w:tcPr>
          <w:p w:rsidR="005C6B1B" w:rsidRPr="00BE6480" w:rsidP="0022528B" w14:paraId="153876B1"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200</w:t>
            </w:r>
          </w:p>
        </w:tc>
        <w:tc>
          <w:tcPr>
            <w:tcW w:w="1184" w:type="dxa"/>
            <w:tcBorders>
              <w:top w:val="nil"/>
              <w:left w:val="nil"/>
              <w:bottom w:val="single" w:sz="4" w:space="0" w:color="auto"/>
              <w:right w:val="single" w:sz="4" w:space="0" w:color="auto"/>
            </w:tcBorders>
            <w:shd w:val="clear" w:color="auto" w:fill="auto"/>
            <w:vAlign w:val="center"/>
            <w:hideMark/>
          </w:tcPr>
          <w:p w:rsidR="005C6B1B" w:rsidRPr="00BE6480" w:rsidP="0022528B" w14:paraId="322E153B"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5</w:t>
            </w:r>
          </w:p>
        </w:tc>
        <w:tc>
          <w:tcPr>
            <w:tcW w:w="1109" w:type="dxa"/>
            <w:tcBorders>
              <w:top w:val="nil"/>
              <w:left w:val="nil"/>
              <w:bottom w:val="single" w:sz="4" w:space="0" w:color="auto"/>
              <w:right w:val="single" w:sz="4" w:space="0" w:color="auto"/>
            </w:tcBorders>
            <w:shd w:val="clear" w:color="auto" w:fill="auto"/>
            <w:vAlign w:val="center"/>
            <w:hideMark/>
          </w:tcPr>
          <w:p w:rsidR="005C6B1B" w:rsidRPr="00BE6480" w:rsidP="0022528B" w14:paraId="2CF1435D"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1000</w:t>
            </w:r>
          </w:p>
        </w:tc>
        <w:tc>
          <w:tcPr>
            <w:tcW w:w="1139" w:type="dxa"/>
            <w:gridSpan w:val="2"/>
            <w:tcBorders>
              <w:top w:val="nil"/>
              <w:left w:val="nil"/>
              <w:bottom w:val="single" w:sz="4" w:space="0" w:color="auto"/>
              <w:right w:val="single" w:sz="4" w:space="0" w:color="auto"/>
            </w:tcBorders>
            <w:shd w:val="clear" w:color="auto" w:fill="auto"/>
            <w:noWrap/>
            <w:vAlign w:val="center"/>
            <w:hideMark/>
          </w:tcPr>
          <w:p w:rsidR="005C6B1B" w:rsidRPr="00BE6480" w:rsidP="0022528B" w14:paraId="3EB212D6"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xml:space="preserve"> $          50</w:t>
            </w:r>
          </w:p>
        </w:tc>
        <w:tc>
          <w:tcPr>
            <w:tcW w:w="1293" w:type="dxa"/>
            <w:gridSpan w:val="2"/>
            <w:tcBorders>
              <w:top w:val="nil"/>
              <w:left w:val="nil"/>
              <w:bottom w:val="single" w:sz="4" w:space="0" w:color="auto"/>
              <w:right w:val="single" w:sz="4" w:space="0" w:color="auto"/>
            </w:tcBorders>
            <w:shd w:val="clear" w:color="auto" w:fill="auto"/>
            <w:noWrap/>
            <w:vAlign w:val="center"/>
            <w:hideMark/>
          </w:tcPr>
          <w:p w:rsidR="005C6B1B" w:rsidRPr="00BE6480" w:rsidP="0022528B" w14:paraId="50898398"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xml:space="preserve"> $    50,000 </w:t>
            </w:r>
          </w:p>
        </w:tc>
      </w:tr>
      <w:tr w14:paraId="08F335CC" w14:textId="77777777" w:rsidTr="0022528B">
        <w:tblPrEx>
          <w:tblW w:w="10011" w:type="dxa"/>
          <w:tblInd w:w="720" w:type="dxa"/>
          <w:tblLook w:val="04A0"/>
        </w:tblPrEx>
        <w:trPr>
          <w:trHeight w:val="600"/>
        </w:trPr>
        <w:tc>
          <w:tcPr>
            <w:tcW w:w="1482"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3E2B396B"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RRI Application</w:t>
            </w:r>
          </w:p>
        </w:tc>
        <w:tc>
          <w:tcPr>
            <w:tcW w:w="1356" w:type="dxa"/>
            <w:tcBorders>
              <w:top w:val="nil"/>
              <w:left w:val="nil"/>
              <w:bottom w:val="single" w:sz="4" w:space="0" w:color="auto"/>
              <w:right w:val="single" w:sz="4" w:space="0" w:color="auto"/>
            </w:tcBorders>
            <w:shd w:val="clear" w:color="auto" w:fill="auto"/>
            <w:vAlign w:val="center"/>
          </w:tcPr>
          <w:p w:rsidR="005C6B1B" w:rsidRPr="00BE6480" w:rsidP="0022528B" w14:paraId="1B46856E"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30</w:t>
            </w:r>
          </w:p>
        </w:tc>
        <w:tc>
          <w:tcPr>
            <w:tcW w:w="1306" w:type="dxa"/>
            <w:tcBorders>
              <w:top w:val="nil"/>
              <w:left w:val="nil"/>
              <w:bottom w:val="single" w:sz="4" w:space="0" w:color="auto"/>
              <w:right w:val="single" w:sz="4" w:space="0" w:color="auto"/>
            </w:tcBorders>
            <w:shd w:val="clear" w:color="auto" w:fill="auto"/>
            <w:vAlign w:val="center"/>
          </w:tcPr>
          <w:p w:rsidR="005C6B1B" w:rsidRPr="00BE6480" w:rsidP="0022528B" w14:paraId="7B799257"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w:t>
            </w:r>
          </w:p>
        </w:tc>
        <w:tc>
          <w:tcPr>
            <w:tcW w:w="1142" w:type="dxa"/>
            <w:tcBorders>
              <w:top w:val="nil"/>
              <w:left w:val="nil"/>
              <w:bottom w:val="single" w:sz="4" w:space="0" w:color="auto"/>
              <w:right w:val="single" w:sz="4" w:space="0" w:color="auto"/>
            </w:tcBorders>
            <w:shd w:val="clear" w:color="auto" w:fill="auto"/>
            <w:vAlign w:val="center"/>
          </w:tcPr>
          <w:p w:rsidR="005C6B1B" w:rsidRPr="00BE6480" w:rsidP="0022528B" w14:paraId="01F01B74"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30</w:t>
            </w:r>
          </w:p>
        </w:tc>
        <w:tc>
          <w:tcPr>
            <w:tcW w:w="1184" w:type="dxa"/>
            <w:tcBorders>
              <w:top w:val="nil"/>
              <w:left w:val="nil"/>
              <w:bottom w:val="single" w:sz="4" w:space="0" w:color="auto"/>
              <w:right w:val="single" w:sz="4" w:space="0" w:color="auto"/>
            </w:tcBorders>
            <w:shd w:val="clear" w:color="auto" w:fill="auto"/>
            <w:vAlign w:val="center"/>
          </w:tcPr>
          <w:p w:rsidR="005C6B1B" w:rsidRPr="00BE6480" w:rsidP="0022528B" w14:paraId="7359F0C0"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2</w:t>
            </w:r>
          </w:p>
        </w:tc>
        <w:tc>
          <w:tcPr>
            <w:tcW w:w="1109" w:type="dxa"/>
            <w:tcBorders>
              <w:top w:val="nil"/>
              <w:left w:val="nil"/>
              <w:bottom w:val="single" w:sz="4" w:space="0" w:color="auto"/>
              <w:right w:val="single" w:sz="4" w:space="0" w:color="auto"/>
            </w:tcBorders>
            <w:shd w:val="clear" w:color="auto" w:fill="auto"/>
            <w:vAlign w:val="center"/>
          </w:tcPr>
          <w:p w:rsidR="005C6B1B" w:rsidRPr="00BE6480" w:rsidP="0022528B" w14:paraId="5C75FE1F"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60</w:t>
            </w:r>
          </w:p>
        </w:tc>
        <w:tc>
          <w:tcPr>
            <w:tcW w:w="1139" w:type="dxa"/>
            <w:gridSpan w:val="2"/>
            <w:tcBorders>
              <w:top w:val="nil"/>
              <w:left w:val="nil"/>
              <w:bottom w:val="single" w:sz="4" w:space="0" w:color="auto"/>
              <w:right w:val="single" w:sz="4" w:space="0" w:color="auto"/>
            </w:tcBorders>
            <w:shd w:val="clear" w:color="auto" w:fill="auto"/>
            <w:noWrap/>
            <w:vAlign w:val="center"/>
          </w:tcPr>
          <w:p w:rsidR="005C6B1B" w:rsidRPr="00BE6480" w:rsidP="0022528B" w14:paraId="35A2CC4B"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$50</w:t>
            </w:r>
          </w:p>
        </w:tc>
        <w:tc>
          <w:tcPr>
            <w:tcW w:w="1293" w:type="dxa"/>
            <w:gridSpan w:val="2"/>
            <w:tcBorders>
              <w:top w:val="nil"/>
              <w:left w:val="nil"/>
              <w:bottom w:val="single" w:sz="4" w:space="0" w:color="auto"/>
              <w:right w:val="single" w:sz="4" w:space="0" w:color="auto"/>
            </w:tcBorders>
            <w:shd w:val="clear" w:color="auto" w:fill="auto"/>
            <w:noWrap/>
            <w:vAlign w:val="center"/>
          </w:tcPr>
          <w:p w:rsidR="005C6B1B" w:rsidRPr="00BE6480" w:rsidP="0022528B" w14:paraId="41843BB4"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$3,000</w:t>
            </w:r>
          </w:p>
        </w:tc>
      </w:tr>
      <w:tr w14:paraId="61DC2CEC" w14:textId="77777777" w:rsidTr="0022528B">
        <w:tblPrEx>
          <w:tblW w:w="10011" w:type="dxa"/>
          <w:tblInd w:w="720" w:type="dxa"/>
          <w:tblLook w:val="04A0"/>
        </w:tblPrEx>
        <w:trPr>
          <w:trHeight w:val="600"/>
        </w:trPr>
        <w:tc>
          <w:tcPr>
            <w:tcW w:w="1482" w:type="dxa"/>
            <w:tcBorders>
              <w:top w:val="nil"/>
              <w:left w:val="single" w:sz="4" w:space="0" w:color="auto"/>
              <w:bottom w:val="single" w:sz="4" w:space="0" w:color="auto"/>
              <w:right w:val="single" w:sz="4" w:space="0" w:color="auto"/>
            </w:tcBorders>
            <w:shd w:val="clear" w:color="auto" w:fill="auto"/>
            <w:vAlign w:val="center"/>
          </w:tcPr>
          <w:p w:rsidR="005C6B1B" w:rsidRPr="00BE6480" w:rsidP="0022528B" w14:paraId="75637892" w14:textId="77777777">
            <w:pPr>
              <w:overflowPunct/>
              <w:autoSpaceDE/>
              <w:autoSpaceDN/>
              <w:adjustRightInd/>
              <w:textAlignment w:val="auto"/>
              <w:rPr>
                <w:rFonts w:ascii="Calibri" w:hAnsi="Calibri"/>
                <w:color w:val="000000"/>
                <w:sz w:val="22"/>
                <w:szCs w:val="22"/>
              </w:rPr>
            </w:pPr>
            <w:r w:rsidRPr="00BE6480">
              <w:rPr>
                <w:rFonts w:ascii="Calibri" w:hAnsi="Calibri"/>
                <w:color w:val="000000"/>
                <w:sz w:val="22"/>
                <w:szCs w:val="22"/>
              </w:rPr>
              <w:t>RRI savings calculation</w:t>
            </w:r>
          </w:p>
        </w:tc>
        <w:tc>
          <w:tcPr>
            <w:tcW w:w="1356" w:type="dxa"/>
            <w:tcBorders>
              <w:top w:val="nil"/>
              <w:left w:val="nil"/>
              <w:bottom w:val="single" w:sz="4" w:space="0" w:color="auto"/>
              <w:right w:val="single" w:sz="4" w:space="0" w:color="auto"/>
            </w:tcBorders>
            <w:shd w:val="clear" w:color="auto" w:fill="auto"/>
            <w:vAlign w:val="center"/>
          </w:tcPr>
          <w:p w:rsidR="005C6B1B" w:rsidRPr="00BE6480" w:rsidP="0022528B" w14:paraId="0415725A"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60</w:t>
            </w:r>
          </w:p>
        </w:tc>
        <w:tc>
          <w:tcPr>
            <w:tcW w:w="1306" w:type="dxa"/>
            <w:tcBorders>
              <w:top w:val="nil"/>
              <w:left w:val="nil"/>
              <w:bottom w:val="single" w:sz="4" w:space="0" w:color="auto"/>
              <w:right w:val="single" w:sz="4" w:space="0" w:color="auto"/>
            </w:tcBorders>
            <w:shd w:val="clear" w:color="auto" w:fill="auto"/>
            <w:vAlign w:val="center"/>
          </w:tcPr>
          <w:p w:rsidR="005C6B1B" w:rsidRPr="00BE6480" w:rsidP="0022528B" w14:paraId="45D09D2B"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w:t>
            </w:r>
          </w:p>
        </w:tc>
        <w:tc>
          <w:tcPr>
            <w:tcW w:w="1142" w:type="dxa"/>
            <w:tcBorders>
              <w:top w:val="nil"/>
              <w:left w:val="nil"/>
              <w:bottom w:val="single" w:sz="4" w:space="0" w:color="auto"/>
              <w:right w:val="single" w:sz="4" w:space="0" w:color="auto"/>
            </w:tcBorders>
            <w:shd w:val="clear" w:color="auto" w:fill="auto"/>
            <w:vAlign w:val="center"/>
          </w:tcPr>
          <w:p w:rsidR="005C6B1B" w:rsidRPr="00BE6480" w:rsidP="0022528B" w14:paraId="6F2A567B"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60</w:t>
            </w:r>
          </w:p>
        </w:tc>
        <w:tc>
          <w:tcPr>
            <w:tcW w:w="1184" w:type="dxa"/>
            <w:tcBorders>
              <w:top w:val="nil"/>
              <w:left w:val="nil"/>
              <w:bottom w:val="single" w:sz="4" w:space="0" w:color="auto"/>
              <w:right w:val="single" w:sz="4" w:space="0" w:color="auto"/>
            </w:tcBorders>
            <w:shd w:val="clear" w:color="auto" w:fill="auto"/>
            <w:vAlign w:val="center"/>
          </w:tcPr>
          <w:p w:rsidR="005C6B1B" w:rsidRPr="00BE6480" w:rsidP="0022528B" w14:paraId="4644A10C"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w:t>
            </w:r>
          </w:p>
        </w:tc>
        <w:tc>
          <w:tcPr>
            <w:tcW w:w="1109" w:type="dxa"/>
            <w:tcBorders>
              <w:top w:val="nil"/>
              <w:left w:val="nil"/>
              <w:bottom w:val="single" w:sz="4" w:space="0" w:color="auto"/>
              <w:right w:val="single" w:sz="4" w:space="0" w:color="auto"/>
            </w:tcBorders>
            <w:shd w:val="clear" w:color="auto" w:fill="auto"/>
            <w:vAlign w:val="center"/>
          </w:tcPr>
          <w:p w:rsidR="005C6B1B" w:rsidRPr="00BE6480" w:rsidP="0022528B" w14:paraId="51E326A5"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60</w:t>
            </w:r>
          </w:p>
        </w:tc>
        <w:tc>
          <w:tcPr>
            <w:tcW w:w="1139" w:type="dxa"/>
            <w:gridSpan w:val="2"/>
            <w:tcBorders>
              <w:top w:val="nil"/>
              <w:left w:val="nil"/>
              <w:bottom w:val="single" w:sz="4" w:space="0" w:color="auto"/>
              <w:right w:val="single" w:sz="4" w:space="0" w:color="auto"/>
            </w:tcBorders>
            <w:shd w:val="clear" w:color="auto" w:fill="auto"/>
            <w:noWrap/>
            <w:vAlign w:val="center"/>
          </w:tcPr>
          <w:p w:rsidR="005C6B1B" w:rsidRPr="00BE6480" w:rsidP="0022528B" w14:paraId="124E6741"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$50</w:t>
            </w:r>
          </w:p>
        </w:tc>
        <w:tc>
          <w:tcPr>
            <w:tcW w:w="1293" w:type="dxa"/>
            <w:gridSpan w:val="2"/>
            <w:tcBorders>
              <w:top w:val="nil"/>
              <w:left w:val="nil"/>
              <w:bottom w:val="single" w:sz="4" w:space="0" w:color="auto"/>
              <w:right w:val="single" w:sz="4" w:space="0" w:color="auto"/>
            </w:tcBorders>
            <w:shd w:val="clear" w:color="auto" w:fill="auto"/>
            <w:noWrap/>
            <w:vAlign w:val="center"/>
          </w:tcPr>
          <w:p w:rsidR="005C6B1B" w:rsidRPr="00BE6480" w:rsidP="0022528B" w14:paraId="64DBDDE3"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$3,000</w:t>
            </w:r>
          </w:p>
        </w:tc>
      </w:tr>
      <w:tr w14:paraId="3832BD91" w14:textId="77777777" w:rsidTr="0022528B">
        <w:tblPrEx>
          <w:tblW w:w="10011" w:type="dxa"/>
          <w:tblInd w:w="720" w:type="dxa"/>
          <w:tblLook w:val="04A0"/>
        </w:tblPrEx>
        <w:trPr>
          <w:trHeight w:val="300"/>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5C6B1B" w:rsidRPr="00BE6480" w:rsidP="0022528B" w14:paraId="56B4434F"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TOTAL</w:t>
            </w:r>
          </w:p>
        </w:tc>
        <w:tc>
          <w:tcPr>
            <w:tcW w:w="1356" w:type="dxa"/>
            <w:tcBorders>
              <w:top w:val="nil"/>
              <w:left w:val="nil"/>
              <w:bottom w:val="single" w:sz="4" w:space="0" w:color="auto"/>
              <w:right w:val="single" w:sz="4" w:space="0" w:color="auto"/>
            </w:tcBorders>
            <w:shd w:val="clear" w:color="auto" w:fill="auto"/>
            <w:vAlign w:val="center"/>
            <w:hideMark/>
          </w:tcPr>
          <w:p w:rsidR="005C6B1B" w:rsidRPr="00BE6480" w:rsidP="0022528B" w14:paraId="5C8704EA"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vAlign w:val="center"/>
            <w:hideMark/>
          </w:tcPr>
          <w:p w:rsidR="005C6B1B" w:rsidRPr="00BE6480" w:rsidP="0022528B" w14:paraId="42D46F55"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auto" w:fill="auto"/>
            <w:vAlign w:val="center"/>
            <w:hideMark/>
          </w:tcPr>
          <w:p w:rsidR="005C6B1B" w:rsidRPr="00BE6480" w:rsidP="0022528B" w14:paraId="6ABFE00D"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300</w:t>
            </w:r>
          </w:p>
        </w:tc>
        <w:tc>
          <w:tcPr>
            <w:tcW w:w="1184" w:type="dxa"/>
            <w:tcBorders>
              <w:top w:val="nil"/>
              <w:left w:val="nil"/>
              <w:bottom w:val="single" w:sz="4" w:space="0" w:color="auto"/>
              <w:right w:val="single" w:sz="4" w:space="0" w:color="auto"/>
            </w:tcBorders>
            <w:shd w:val="clear" w:color="auto" w:fill="auto"/>
            <w:vAlign w:val="center"/>
            <w:hideMark/>
          </w:tcPr>
          <w:p w:rsidR="005C6B1B" w:rsidRPr="00BE6480" w:rsidP="0022528B" w14:paraId="5E033A32"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5C6B1B" w:rsidRPr="00BE6480" w:rsidP="0022528B" w14:paraId="3CDC8A73" w14:textId="77777777">
            <w:pPr>
              <w:overflowPunct/>
              <w:autoSpaceDE/>
              <w:autoSpaceDN/>
              <w:adjustRightInd/>
              <w:jc w:val="center"/>
              <w:textAlignment w:val="auto"/>
              <w:rPr>
                <w:rFonts w:ascii="Calibri" w:hAnsi="Calibri" w:cs="Calibri"/>
                <w:color w:val="000000"/>
                <w:sz w:val="22"/>
                <w:szCs w:val="22"/>
              </w:rPr>
            </w:pPr>
            <w:r w:rsidRPr="00BE6480">
              <w:rPr>
                <w:rFonts w:ascii="Calibri" w:hAnsi="Calibri" w:cs="Calibri"/>
                <w:color w:val="000000"/>
                <w:sz w:val="22"/>
                <w:szCs w:val="22"/>
              </w:rPr>
              <w:t>1420</w:t>
            </w:r>
          </w:p>
        </w:tc>
        <w:tc>
          <w:tcPr>
            <w:tcW w:w="1139" w:type="dxa"/>
            <w:gridSpan w:val="2"/>
            <w:tcBorders>
              <w:top w:val="nil"/>
              <w:left w:val="nil"/>
              <w:bottom w:val="single" w:sz="4" w:space="0" w:color="auto"/>
              <w:right w:val="single" w:sz="4" w:space="0" w:color="auto"/>
            </w:tcBorders>
            <w:shd w:val="clear" w:color="auto" w:fill="auto"/>
            <w:noWrap/>
            <w:vAlign w:val="bottom"/>
            <w:hideMark/>
          </w:tcPr>
          <w:p w:rsidR="005C6B1B" w:rsidRPr="00BE6480" w:rsidP="0022528B" w14:paraId="73B82209"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w:t>
            </w:r>
          </w:p>
        </w:tc>
        <w:tc>
          <w:tcPr>
            <w:tcW w:w="1293" w:type="dxa"/>
            <w:gridSpan w:val="2"/>
            <w:tcBorders>
              <w:top w:val="nil"/>
              <w:left w:val="nil"/>
              <w:bottom w:val="single" w:sz="4" w:space="0" w:color="auto"/>
              <w:right w:val="single" w:sz="4" w:space="0" w:color="auto"/>
            </w:tcBorders>
            <w:shd w:val="clear" w:color="auto" w:fill="auto"/>
            <w:noWrap/>
            <w:vAlign w:val="bottom"/>
            <w:hideMark/>
          </w:tcPr>
          <w:p w:rsidR="005C6B1B" w:rsidRPr="00E25FF5" w:rsidP="0022528B" w14:paraId="79FE9F50" w14:textId="77777777">
            <w:pPr>
              <w:overflowPunct/>
              <w:autoSpaceDE/>
              <w:autoSpaceDN/>
              <w:adjustRightInd/>
              <w:textAlignment w:val="auto"/>
              <w:rPr>
                <w:rFonts w:ascii="Calibri" w:hAnsi="Calibri" w:cs="Calibri"/>
                <w:color w:val="000000"/>
                <w:sz w:val="22"/>
                <w:szCs w:val="22"/>
              </w:rPr>
            </w:pPr>
            <w:r w:rsidRPr="00BE6480">
              <w:rPr>
                <w:rFonts w:ascii="Calibri" w:hAnsi="Calibri" w:cs="Calibri"/>
                <w:color w:val="000000"/>
                <w:sz w:val="22"/>
                <w:szCs w:val="22"/>
              </w:rPr>
              <w:t xml:space="preserve"> $  76,000</w:t>
            </w:r>
            <w:r w:rsidRPr="00E25FF5">
              <w:rPr>
                <w:rFonts w:ascii="Calibri" w:hAnsi="Calibri" w:cs="Calibri"/>
                <w:color w:val="000000"/>
                <w:sz w:val="22"/>
                <w:szCs w:val="22"/>
              </w:rPr>
              <w:t xml:space="preserve"> </w:t>
            </w:r>
          </w:p>
        </w:tc>
      </w:tr>
    </w:tbl>
    <w:p w:rsidR="005C6B1B" w:rsidP="005C6B1B" w14:paraId="0D9F471C" w14:textId="77777777">
      <w:pPr>
        <w:tabs>
          <w:tab w:val="left" w:pos="360"/>
        </w:tabs>
        <w:ind w:left="360" w:hanging="360"/>
        <w:rPr>
          <w:sz w:val="18"/>
        </w:rPr>
      </w:pPr>
    </w:p>
    <w:p w:rsidR="005C6B1B" w:rsidP="005C6B1B" w14:paraId="3277B213" w14:textId="77777777">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5C6B1B" w:rsidRPr="00AA64C8" w:rsidP="005C6B1B" w14:paraId="34F73F85" w14:textId="77777777">
      <w:pPr>
        <w:keepLines/>
        <w:tabs>
          <w:tab w:val="left" w:pos="360"/>
          <w:tab w:val="left" w:pos="720"/>
        </w:tabs>
        <w:ind w:left="360"/>
        <w:rPr>
          <w:rFonts w:ascii="Calibri" w:hAnsi="Calibri" w:cs="Calibri"/>
          <w:sz w:val="22"/>
          <w:szCs w:val="22"/>
        </w:rPr>
      </w:pPr>
      <w:r w:rsidRPr="00BE6480">
        <w:rPr>
          <w:rFonts w:ascii="Calibri" w:hAnsi="Calibri" w:cs="Calibri"/>
          <w:sz w:val="22"/>
          <w:szCs w:val="22"/>
        </w:rPr>
        <w:t>N/A, this is a new information collection.</w:t>
      </w:r>
    </w:p>
    <w:p w:rsidR="005C6B1B" w:rsidP="005C6B1B" w14:paraId="0C4CA923" w14:textId="77777777">
      <w:pPr>
        <w:tabs>
          <w:tab w:val="left" w:pos="360"/>
        </w:tabs>
        <w:ind w:left="360" w:hanging="360"/>
        <w:rPr>
          <w:sz w:val="18"/>
        </w:rPr>
      </w:pPr>
    </w:p>
    <w:p w:rsidR="005C6B1B" w:rsidP="005C6B1B" w14:paraId="740152B1" w14:textId="77777777">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6B1B" w:rsidRPr="00E25FF5" w:rsidP="005C6B1B" w14:paraId="71CE4C3B"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sz w:val="22"/>
          <w:szCs w:val="22"/>
        </w:rPr>
      </w:pPr>
      <w:r w:rsidRPr="00BE6480">
        <w:rPr>
          <w:rFonts w:ascii="Calibri" w:hAnsi="Calibri"/>
          <w:sz w:val="22"/>
          <w:szCs w:val="22"/>
        </w:rPr>
        <w:t>The information collected is not for statistical use nor does its collection use statistical methods.</w:t>
      </w:r>
    </w:p>
    <w:p w:rsidR="005C6B1B" w:rsidP="005C6B1B" w14:paraId="124F5E0F" w14:textId="77777777">
      <w:pPr>
        <w:tabs>
          <w:tab w:val="left" w:pos="360"/>
        </w:tabs>
        <w:ind w:left="360" w:hanging="360"/>
        <w:rPr>
          <w:sz w:val="18"/>
        </w:rPr>
      </w:pPr>
    </w:p>
    <w:p w:rsidR="005C6B1B" w:rsidP="005C6B1B" w14:paraId="09D82B36" w14:textId="77777777">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5C6B1B" w:rsidRPr="00AA64C8" w:rsidP="005C6B1B" w14:paraId="44FE6E37" w14:textId="77777777">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alibri" w:hAnsi="Calibri" w:cs="Calibri"/>
          <w:sz w:val="22"/>
          <w:szCs w:val="22"/>
        </w:rPr>
      </w:pPr>
      <w:r w:rsidRPr="00AA64C8">
        <w:rPr>
          <w:rFonts w:ascii="Calibri" w:hAnsi="Calibri" w:cs="Calibri"/>
          <w:sz w:val="22"/>
        </w:rPr>
        <w:t xml:space="preserve">N/A, </w:t>
      </w:r>
      <w:r w:rsidRPr="00AA64C8">
        <w:rPr>
          <w:rFonts w:ascii="Calibri" w:hAnsi="Calibri" w:cs="Calibri"/>
          <w:sz w:val="22"/>
          <w:szCs w:val="22"/>
        </w:rPr>
        <w:t>The OMB number and expiration date of the information collection will be displayed on the forms.</w:t>
      </w:r>
    </w:p>
    <w:p w:rsidR="005C6B1B" w:rsidP="005C6B1B" w14:paraId="6FD70546" w14:textId="77777777">
      <w:pPr>
        <w:keepLines/>
        <w:tabs>
          <w:tab w:val="left" w:pos="360"/>
          <w:tab w:val="left" w:pos="720"/>
        </w:tabs>
        <w:ind w:left="360"/>
        <w:rPr>
          <w:sz w:val="18"/>
        </w:rPr>
      </w:pPr>
    </w:p>
    <w:p w:rsidR="005C6B1B" w:rsidP="005C6B1B" w14:paraId="26F251B5" w14:textId="77777777">
      <w:pPr>
        <w:tabs>
          <w:tab w:val="left" w:pos="360"/>
        </w:tabs>
        <w:ind w:left="360" w:hanging="360"/>
        <w:rPr>
          <w:sz w:val="18"/>
        </w:rPr>
      </w:pPr>
    </w:p>
    <w:p w:rsidR="005C6B1B" w:rsidP="005C6B1B" w14:paraId="39354939" w14:textId="77777777">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5C6B1B" w:rsidRPr="00AA64C8" w:rsidP="005C6B1B" w14:paraId="4C46D996" w14:textId="77777777">
      <w:pPr>
        <w:keepLines/>
        <w:tabs>
          <w:tab w:val="left" w:pos="360"/>
          <w:tab w:val="left" w:pos="720"/>
        </w:tabs>
        <w:ind w:left="360"/>
        <w:rPr>
          <w:rFonts w:ascii="Calibri" w:hAnsi="Calibri" w:cs="Calibri"/>
        </w:rPr>
      </w:pPr>
      <w:r w:rsidRPr="00BE6480">
        <w:rPr>
          <w:rFonts w:ascii="Calibri" w:hAnsi="Calibri" w:cs="Calibri"/>
          <w:sz w:val="22"/>
        </w:rPr>
        <w:t>There are no exceptions to the certification identified in Item 19 of the OMB 83-I.</w:t>
      </w:r>
    </w:p>
    <w:p w:rsidR="005C6B1B" w:rsidP="005C6B1B" w14:paraId="55162D14" w14:textId="77777777">
      <w:pPr>
        <w:tabs>
          <w:tab w:val="left" w:pos="360"/>
          <w:tab w:val="left" w:pos="720"/>
        </w:tabs>
      </w:pPr>
    </w:p>
    <w:p w:rsidR="005C6B1B" w:rsidP="005C6B1B" w14:paraId="4ECC2D15"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5C6B1B" w:rsidP="005C6B1B" w14:paraId="09EA7026"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5C6B1B" w:rsidRPr="00AA64C8" w:rsidP="005C6B1B" w14:paraId="01DD1C67" w14:textId="77777777">
      <w:pPr>
        <w:keepLines/>
        <w:tabs>
          <w:tab w:val="left" w:pos="360"/>
          <w:tab w:val="left" w:pos="720"/>
        </w:tabs>
        <w:ind w:left="360"/>
        <w:rPr>
          <w:rFonts w:ascii="Calibri" w:hAnsi="Calibri" w:cs="Calibri"/>
          <w:sz w:val="18"/>
        </w:rPr>
      </w:pPr>
      <w:r w:rsidRPr="00BE6480">
        <w:rPr>
          <w:rFonts w:ascii="Calibri" w:hAnsi="Calibri" w:cs="Calibri"/>
          <w:sz w:val="22"/>
        </w:rPr>
        <w:t>N/A</w:t>
      </w:r>
    </w:p>
    <w:p w:rsidR="005C6B1B" w:rsidP="005C6B1B" w14:paraId="1A97508B" w14:textId="77777777">
      <w:pPr>
        <w:tabs>
          <w:tab w:val="left" w:pos="240"/>
        </w:tabs>
        <w:rPr>
          <w:rFonts w:ascii="Helvetica" w:hAnsi="Helvetica"/>
          <w:sz w:val="16"/>
        </w:rPr>
      </w:pPr>
    </w:p>
    <w:p w:rsidR="005C6B1B" w:rsidP="005C6B1B" w14:paraId="39F9B605" w14:textId="77777777">
      <w:pPr>
        <w:pBdr>
          <w:top w:val="single" w:sz="4" w:space="1" w:color="auto"/>
        </w:pBdr>
        <w:tabs>
          <w:tab w:val="left" w:pos="240"/>
        </w:tabs>
        <w:rPr>
          <w:rFonts w:ascii="Helvetica" w:hAnsi="Helvetica"/>
          <w:sz w:val="16"/>
        </w:rPr>
        <w:sectPr>
          <w:footerReference w:type="default" r:id="rId5"/>
          <w:pgSz w:w="12240" w:h="15840"/>
          <w:pgMar w:top="480" w:right="720" w:bottom="480" w:left="600" w:header="480" w:footer="480" w:gutter="0"/>
          <w:cols w:space="480" w:equalWidth="0">
            <w:col w:w="10800"/>
          </w:cols>
        </w:sectPr>
      </w:pPr>
    </w:p>
    <w:p w:rsidR="005C6B1B" w:rsidP="005C6B1B" w14:paraId="3BC8C046" w14:textId="77777777">
      <w:pPr>
        <w:pBdr>
          <w:top w:val="single" w:sz="4" w:space="1" w:color="auto"/>
        </w:pBdr>
        <w:tabs>
          <w:tab w:val="left" w:pos="240"/>
        </w:tabs>
        <w:rPr>
          <w:rFonts w:ascii="Helvetica" w:hAnsi="Helvetica"/>
          <w:sz w:val="16"/>
        </w:rPr>
      </w:pPr>
    </w:p>
    <w:p w:rsidR="00C16BAE" w14:paraId="102EA495" w14:textId="77777777"/>
    <w:sectPr>
      <w:headerReference w:type="default" r:id="rId6"/>
      <w:pgSz w:w="12240" w:h="15840"/>
      <w:pgMar w:top="480" w:right="720" w:bottom="480" w:left="600" w:header="480" w:footer="480" w:gutter="0"/>
      <w:cols w:space="48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B1B" w14:paraId="4DFD5935" w14:textId="7777777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6B1B" w:rsidP="005C6B1B" w14:paraId="20D05498" w14:textId="77777777">
      <w:r>
        <w:separator/>
      </w:r>
    </w:p>
  </w:footnote>
  <w:footnote w:type="continuationSeparator" w:id="1">
    <w:p w:rsidR="005C6B1B" w:rsidP="005C6B1B" w14:paraId="79EFA921" w14:textId="77777777">
      <w:r>
        <w:continuationSeparator/>
      </w:r>
    </w:p>
  </w:footnote>
  <w:footnote w:id="2">
    <w:p w:rsidR="005C6B1B" w:rsidP="005C6B1B" w14:paraId="1F850AD5" w14:textId="77777777">
      <w:pPr>
        <w:pStyle w:val="FootnoteText"/>
      </w:pPr>
      <w:r>
        <w:rPr>
          <w:rStyle w:val="FootnoteReference"/>
        </w:rPr>
        <w:footnoteRef/>
      </w:r>
      <w:r>
        <w:t xml:space="preserve"> T</w:t>
      </w:r>
      <w:r w:rsidRPr="00ED3ED3">
        <w:t>he burden for these forms ha</w:t>
      </w:r>
      <w:r>
        <w:t>s</w:t>
      </w:r>
      <w:r w:rsidRPr="00ED3ED3">
        <w:t xml:space="preserve"> been approved under OMB Control No. 2577-0029. As a result, the burden from these forms </w:t>
      </w:r>
      <w:r>
        <w:t>is not</w:t>
      </w:r>
      <w:r w:rsidRPr="00ED3ED3">
        <w:t xml:space="preserve"> included in the current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548" w14:paraId="34579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16355CF"/>
    <w:multiLevelType w:val="hybridMultilevel"/>
    <w:tmpl w:val="55147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1BB6ABD"/>
    <w:multiLevelType w:val="hybridMultilevel"/>
    <w:tmpl w:val="2E68D1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66A74E6"/>
    <w:multiLevelType w:val="hybridMultilevel"/>
    <w:tmpl w:val="DC1467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16cid:durableId="742336030">
    <w:abstractNumId w:val="4"/>
  </w:num>
  <w:num w:numId="2" w16cid:durableId="24919921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16cid:durableId="290094182">
    <w:abstractNumId w:val="1"/>
  </w:num>
  <w:num w:numId="4" w16cid:durableId="538126330">
    <w:abstractNumId w:val="3"/>
  </w:num>
  <w:num w:numId="5" w16cid:durableId="12557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1B"/>
    <w:rsid w:val="00071548"/>
    <w:rsid w:val="000C7AFE"/>
    <w:rsid w:val="00125A78"/>
    <w:rsid w:val="0022528B"/>
    <w:rsid w:val="005C6B1B"/>
    <w:rsid w:val="00602ECD"/>
    <w:rsid w:val="007D7A53"/>
    <w:rsid w:val="00906EFC"/>
    <w:rsid w:val="00A17E6A"/>
    <w:rsid w:val="00AA64C8"/>
    <w:rsid w:val="00AD6BC8"/>
    <w:rsid w:val="00BE6480"/>
    <w:rsid w:val="00C14D28"/>
    <w:rsid w:val="00C16BAE"/>
    <w:rsid w:val="00E25FF5"/>
    <w:rsid w:val="00E37850"/>
    <w:rsid w:val="00ED3ED3"/>
    <w:rsid w:val="00F46A74"/>
    <w:rsid w:val="00FB29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9F9831"/>
  <w15:chartTrackingRefBased/>
  <w15:docId w15:val="{7095D844-53C9-4E58-959D-3D1A995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B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C6B1B"/>
    <w:pPr>
      <w:tabs>
        <w:tab w:val="center" w:pos="4320"/>
        <w:tab w:val="right" w:pos="8640"/>
      </w:tabs>
    </w:pPr>
  </w:style>
  <w:style w:type="character" w:customStyle="1" w:styleId="HeaderChar">
    <w:name w:val="Header Char"/>
    <w:basedOn w:val="DefaultParagraphFont"/>
    <w:link w:val="Header"/>
    <w:semiHidden/>
    <w:rsid w:val="005C6B1B"/>
    <w:rPr>
      <w:rFonts w:ascii="Times New Roman" w:eastAsia="Times New Roman" w:hAnsi="Times New Roman" w:cs="Times New Roman"/>
      <w:sz w:val="20"/>
      <w:szCs w:val="20"/>
    </w:rPr>
  </w:style>
  <w:style w:type="paragraph" w:styleId="Footer">
    <w:name w:val="footer"/>
    <w:basedOn w:val="Normal"/>
    <w:link w:val="FooterChar"/>
    <w:semiHidden/>
    <w:rsid w:val="005C6B1B"/>
    <w:pPr>
      <w:tabs>
        <w:tab w:val="center" w:pos="4320"/>
        <w:tab w:val="right" w:pos="8640"/>
      </w:tabs>
    </w:pPr>
  </w:style>
  <w:style w:type="character" w:customStyle="1" w:styleId="FooterChar">
    <w:name w:val="Footer Char"/>
    <w:basedOn w:val="DefaultParagraphFont"/>
    <w:link w:val="Footer"/>
    <w:semiHidden/>
    <w:rsid w:val="005C6B1B"/>
    <w:rPr>
      <w:rFonts w:ascii="Times New Roman" w:eastAsia="Times New Roman" w:hAnsi="Times New Roman" w:cs="Times New Roman"/>
      <w:sz w:val="20"/>
      <w:szCs w:val="20"/>
    </w:rPr>
  </w:style>
  <w:style w:type="paragraph" w:customStyle="1" w:styleId="Default">
    <w:name w:val="Default"/>
    <w:rsid w:val="005C6B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C6B1B"/>
    <w:pPr>
      <w:ind w:left="720"/>
      <w:contextualSpacing/>
    </w:pPr>
  </w:style>
  <w:style w:type="paragraph" w:styleId="FootnoteText">
    <w:name w:val="footnote text"/>
    <w:basedOn w:val="Normal"/>
    <w:link w:val="FootnoteTextChar"/>
    <w:semiHidden/>
    <w:unhideWhenUsed/>
    <w:rsid w:val="005C6B1B"/>
  </w:style>
  <w:style w:type="character" w:customStyle="1" w:styleId="FootnoteTextChar">
    <w:name w:val="Footnote Text Char"/>
    <w:basedOn w:val="DefaultParagraphFont"/>
    <w:link w:val="FootnoteText"/>
    <w:semiHidden/>
    <w:rsid w:val="005C6B1B"/>
    <w:rPr>
      <w:rFonts w:ascii="Times New Roman" w:eastAsia="Times New Roman" w:hAnsi="Times New Roman" w:cs="Times New Roman"/>
      <w:sz w:val="20"/>
      <w:szCs w:val="20"/>
    </w:rPr>
  </w:style>
  <w:style w:type="character" w:styleId="FootnoteReference">
    <w:name w:val="footnote reference"/>
    <w:semiHidden/>
    <w:unhideWhenUsed/>
    <w:rsid w:val="005C6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3</cp:revision>
  <dcterms:created xsi:type="dcterms:W3CDTF">2023-05-19T15:52:00Z</dcterms:created>
  <dcterms:modified xsi:type="dcterms:W3CDTF">2023-05-19T15:52:00Z</dcterms:modified>
</cp:coreProperties>
</file>