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383C" w:rsidR="0071383C" w:rsidP="005B0E3B" w:rsidRDefault="002079B0" w14:paraId="7E01FE84"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color w:val="auto"/>
          <w:sz w:val="22"/>
          <w:szCs w:val="22"/>
        </w:rPr>
      </w:pPr>
      <w:r w:rsidRPr="0071383C">
        <w:rPr>
          <w:color w:val="auto"/>
          <w:sz w:val="22"/>
          <w:szCs w:val="22"/>
        </w:rPr>
        <w:t>SUPPORTING STATEMENT B</w:t>
      </w:r>
      <w:r w:rsidRPr="0071383C" w:rsidR="007C23F0">
        <w:rPr>
          <w:color w:val="auto"/>
          <w:sz w:val="22"/>
          <w:szCs w:val="22"/>
        </w:rPr>
        <w:t xml:space="preserve"> TEMPLATE</w:t>
      </w:r>
    </w:p>
    <w:p w:rsidRPr="00A345A3" w:rsidR="00536A11" w:rsidP="005B0E3B" w:rsidRDefault="00F65391" w14:paraId="2D8E0C95"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Cs w:val="24"/>
        </w:rPr>
      </w:pPr>
      <w:r>
        <w:rPr>
          <w:b/>
          <w:bCs/>
          <w:color w:val="auto"/>
          <w:sz w:val="22"/>
          <w:szCs w:val="22"/>
        </w:rPr>
        <w:br/>
      </w:r>
      <w:r w:rsidRPr="00A345A3" w:rsidR="0071383C">
        <w:rPr>
          <w:b/>
          <w:bCs/>
          <w:color w:val="auto"/>
          <w:szCs w:val="24"/>
        </w:rPr>
        <w:t xml:space="preserve">Veteran </w:t>
      </w:r>
      <w:r w:rsidRPr="00A345A3" w:rsidR="00D65457">
        <w:rPr>
          <w:b/>
          <w:bCs/>
          <w:color w:val="auto"/>
          <w:szCs w:val="24"/>
        </w:rPr>
        <w:t>Toxic Exposure Screening</w:t>
      </w:r>
      <w:r w:rsidRPr="00A345A3" w:rsidR="0071383C">
        <w:rPr>
          <w:b/>
          <w:bCs/>
          <w:color w:val="auto"/>
          <w:szCs w:val="24"/>
        </w:rPr>
        <w:t xml:space="preserve"> (PACT Act Section 603)</w:t>
      </w:r>
    </w:p>
    <w:p w:rsidR="0071383C" w:rsidP="005B0E3B" w:rsidRDefault="0071383C" w14:paraId="3D858912"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 w:val="28"/>
          <w:szCs w:val="28"/>
        </w:rPr>
      </w:pPr>
    </w:p>
    <w:p w:rsidRPr="00A345A3" w:rsidR="0071383C" w:rsidP="005B0E3B" w:rsidRDefault="0071383C" w14:paraId="46E84251"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color w:val="auto"/>
          <w:sz w:val="22"/>
          <w:szCs w:val="22"/>
        </w:rPr>
      </w:pPr>
      <w:proofErr w:type="gramStart"/>
      <w:r w:rsidRPr="00A345A3">
        <w:rPr>
          <w:color w:val="auto"/>
          <w:sz w:val="22"/>
          <w:szCs w:val="22"/>
        </w:rPr>
        <w:t>OMB  Control</w:t>
      </w:r>
      <w:proofErr w:type="gramEnd"/>
      <w:r w:rsidRPr="00A345A3">
        <w:rPr>
          <w:color w:val="auto"/>
          <w:sz w:val="22"/>
          <w:szCs w:val="22"/>
        </w:rPr>
        <w:t xml:space="preserve"> Number:  2900-XXXX</w:t>
      </w:r>
    </w:p>
    <w:p w:rsidR="00E6326A" w:rsidP="007C23F0" w:rsidRDefault="00E6326A" w14:paraId="574501E7" w14:textId="77777777">
      <w:pPr>
        <w:tabs>
          <w:tab w:val="left" w:pos="547"/>
          <w:tab w:val="left" w:pos="1080"/>
          <w:tab w:val="left" w:pos="1627"/>
          <w:tab w:val="left" w:pos="2160"/>
          <w:tab w:val="left" w:pos="2880"/>
        </w:tabs>
        <w:jc w:val="center"/>
        <w:rPr>
          <w:b/>
          <w:bCs/>
          <w:color w:val="FF0000"/>
          <w:sz w:val="22"/>
          <w:szCs w:val="22"/>
        </w:rPr>
      </w:pPr>
    </w:p>
    <w:p w:rsidR="00990F35" w:rsidRDefault="00990F35" w14:paraId="0D66EB04"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p>
    <w:p w:rsidRPr="007D2791" w:rsidR="00536A11" w:rsidRDefault="00536A11" w14:paraId="4052A1BD"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r w:rsidRPr="007D2791">
        <w:t>B.</w:t>
      </w:r>
      <w:r w:rsidRPr="007D2791">
        <w:tab/>
        <w:t>COLLECTIONS OF INFORMATION EMPLOYING STATISTICAL METHODS</w:t>
      </w:r>
    </w:p>
    <w:p w:rsidR="00A345A3" w:rsidRDefault="00A345A3" w14:paraId="3D13ACB9" w14:textId="77777777">
      <w:pPr>
        <w:tabs>
          <w:tab w:val="left" w:pos="547"/>
          <w:tab w:val="left" w:pos="1080"/>
          <w:tab w:val="left" w:pos="1627"/>
          <w:tab w:val="left" w:pos="2160"/>
          <w:tab w:val="left" w:pos="2880"/>
        </w:tabs>
      </w:pPr>
    </w:p>
    <w:p w:rsidR="00536A11" w:rsidRDefault="00536A11" w14:paraId="36D5FF9D" w14:textId="77777777">
      <w:pPr>
        <w:tabs>
          <w:tab w:val="left" w:pos="547"/>
          <w:tab w:val="left" w:pos="1080"/>
          <w:tab w:val="left" w:pos="1627"/>
          <w:tab w:val="left" w:pos="2160"/>
          <w:tab w:val="left" w:pos="2880"/>
        </w:tabs>
        <w:rPr>
          <w:b/>
        </w:rPr>
      </w:pPr>
      <w:r w:rsidRPr="00F65391">
        <w:rPr>
          <w:b/>
        </w:rPr>
        <w:t xml:space="preserve">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w:t>
      </w:r>
      <w:proofErr w:type="gramStart"/>
      <w:r w:rsidRPr="00F65391">
        <w:rPr>
          <w:b/>
        </w:rPr>
        <w:t>strata</w:t>
      </w:r>
      <w:proofErr w:type="gramEnd"/>
      <w:r w:rsidRPr="00F65391">
        <w:rPr>
          <w:b/>
        </w:rPr>
        <w:t>.  Indicate expected response rates.  If this has been conducted previously</w:t>
      </w:r>
      <w:r w:rsidR="0071383C">
        <w:rPr>
          <w:b/>
        </w:rPr>
        <w:t>,</w:t>
      </w:r>
      <w:r w:rsidRPr="00F65391">
        <w:rPr>
          <w:b/>
        </w:rPr>
        <w:t xml:space="preserve"> include actual response rates achieved.</w:t>
      </w:r>
    </w:p>
    <w:p w:rsidR="0071383C" w:rsidRDefault="0071383C" w14:paraId="4ABBEBAC" w14:textId="77777777">
      <w:pPr>
        <w:tabs>
          <w:tab w:val="left" w:pos="547"/>
          <w:tab w:val="left" w:pos="1080"/>
          <w:tab w:val="left" w:pos="1627"/>
          <w:tab w:val="left" w:pos="2160"/>
          <w:tab w:val="left" w:pos="2880"/>
        </w:tabs>
        <w:rPr>
          <w:b/>
        </w:rPr>
      </w:pPr>
    </w:p>
    <w:p w:rsidR="00536A11" w:rsidP="0078279C" w:rsidRDefault="0071383C" w14:paraId="264D03D2" w14:textId="77777777">
      <w:pPr>
        <w:tabs>
          <w:tab w:val="left" w:pos="547"/>
          <w:tab w:val="left" w:pos="1080"/>
          <w:tab w:val="left" w:pos="1627"/>
          <w:tab w:val="left" w:pos="2160"/>
          <w:tab w:val="left" w:pos="2880"/>
        </w:tabs>
      </w:pPr>
      <w:r w:rsidRPr="0071383C">
        <w:rPr>
          <w:bCs/>
        </w:rPr>
        <w:t xml:space="preserve">This is a new information collection, and the potential respondent universe is the 8.3M Veterans </w:t>
      </w:r>
      <w:r>
        <w:rPr>
          <w:bCs/>
        </w:rPr>
        <w:t xml:space="preserve">who are enrolled in VA health care.  No sampling or other respondent selection methods will be used. </w:t>
      </w:r>
      <w:r w:rsidR="0078279C">
        <w:rPr>
          <w:bCs/>
        </w:rPr>
        <w:t xml:space="preserve"> The respondent universe includes Veterans who receive care from VHA health care providers, Veterans who receive care through the community, and Veterans who are enrolled in VA health care but are not active users. Expected response rate is 75%.</w:t>
      </w:r>
    </w:p>
    <w:p w:rsidRPr="00F65391" w:rsidR="0071383C" w:rsidRDefault="0071383C" w14:paraId="73985D10" w14:textId="77777777">
      <w:pPr>
        <w:pStyle w:val="Header"/>
        <w:tabs>
          <w:tab w:val="clear" w:pos="4320"/>
          <w:tab w:val="clear" w:pos="8640"/>
          <w:tab w:val="left" w:pos="547"/>
          <w:tab w:val="left" w:pos="1080"/>
          <w:tab w:val="left" w:pos="1627"/>
          <w:tab w:val="left" w:pos="2160"/>
          <w:tab w:val="left" w:pos="2880"/>
        </w:tabs>
        <w:rPr>
          <w:sz w:val="24"/>
        </w:rPr>
      </w:pPr>
    </w:p>
    <w:p w:rsidRPr="00F65391" w:rsidR="00536A11" w:rsidRDefault="00536A11" w14:paraId="37371D7C" w14:textId="77777777">
      <w:pPr>
        <w:numPr>
          <w:ilvl w:val="0"/>
          <w:numId w:val="1"/>
        </w:numPr>
        <w:tabs>
          <w:tab w:val="clear" w:pos="360"/>
          <w:tab w:val="left" w:pos="547"/>
          <w:tab w:val="left" w:pos="1080"/>
          <w:tab w:val="left" w:pos="1627"/>
          <w:tab w:val="left" w:pos="2160"/>
          <w:tab w:val="left" w:pos="2880"/>
        </w:tabs>
        <w:rPr>
          <w:b/>
        </w:rPr>
      </w:pPr>
      <w:r w:rsidRPr="00F65391">
        <w:rPr>
          <w:b/>
        </w:rPr>
        <w:t>Describe the procedures for the collection of information, including:</w:t>
      </w:r>
    </w:p>
    <w:p w:rsidRPr="00F65391" w:rsidR="00536A11" w:rsidRDefault="00536A11" w14:paraId="5872DC76" w14:textId="77777777">
      <w:pPr>
        <w:numPr>
          <w:ilvl w:val="0"/>
          <w:numId w:val="2"/>
        </w:numPr>
        <w:tabs>
          <w:tab w:val="clear" w:pos="360"/>
          <w:tab w:val="left" w:pos="547"/>
          <w:tab w:val="left" w:pos="1080"/>
          <w:tab w:val="left" w:pos="1627"/>
          <w:tab w:val="left" w:pos="2160"/>
          <w:tab w:val="left" w:pos="2880"/>
        </w:tabs>
        <w:rPr>
          <w:b/>
        </w:rPr>
      </w:pPr>
      <w:r w:rsidRPr="00F65391">
        <w:rPr>
          <w:b/>
        </w:rPr>
        <w:t>Statistical methodology for stratification and sample selection</w:t>
      </w:r>
      <w:r w:rsidR="00AB64AC">
        <w:rPr>
          <w:bCs/>
        </w:rPr>
        <w:t xml:space="preserve"> </w:t>
      </w:r>
    </w:p>
    <w:p w:rsidRPr="00F65391" w:rsidR="00536A11" w:rsidRDefault="00536A11" w14:paraId="49808078" w14:textId="77777777">
      <w:pPr>
        <w:numPr>
          <w:ilvl w:val="0"/>
          <w:numId w:val="2"/>
        </w:numPr>
        <w:tabs>
          <w:tab w:val="clear" w:pos="360"/>
          <w:tab w:val="left" w:pos="547"/>
          <w:tab w:val="left" w:pos="1080"/>
          <w:tab w:val="left" w:pos="1627"/>
          <w:tab w:val="left" w:pos="2160"/>
          <w:tab w:val="left" w:pos="2880"/>
        </w:tabs>
        <w:rPr>
          <w:b/>
        </w:rPr>
      </w:pPr>
      <w:r w:rsidRPr="00F65391">
        <w:rPr>
          <w:b/>
        </w:rPr>
        <w:t>Estimation procedure</w:t>
      </w:r>
      <w:r w:rsidR="00AB64AC">
        <w:rPr>
          <w:b/>
        </w:rPr>
        <w:t xml:space="preserve"> </w:t>
      </w:r>
    </w:p>
    <w:p w:rsidRPr="00F65391" w:rsidR="00536A11" w:rsidRDefault="00536A11" w14:paraId="61CD611F" w14:textId="77777777">
      <w:pPr>
        <w:numPr>
          <w:ilvl w:val="0"/>
          <w:numId w:val="2"/>
        </w:numPr>
        <w:tabs>
          <w:tab w:val="clear" w:pos="360"/>
          <w:tab w:val="left" w:pos="547"/>
          <w:tab w:val="left" w:pos="1080"/>
          <w:tab w:val="left" w:pos="1627"/>
          <w:tab w:val="left" w:pos="2160"/>
          <w:tab w:val="left" w:pos="2880"/>
        </w:tabs>
        <w:rPr>
          <w:b/>
        </w:rPr>
      </w:pPr>
      <w:r w:rsidRPr="00F65391">
        <w:rPr>
          <w:b/>
        </w:rPr>
        <w:t>Degree of accuracy needed</w:t>
      </w:r>
      <w:r w:rsidR="00AB64AC">
        <w:rPr>
          <w:b/>
        </w:rPr>
        <w:t xml:space="preserve"> </w:t>
      </w:r>
    </w:p>
    <w:p w:rsidRPr="00F65391" w:rsidR="00536A11" w:rsidRDefault="00536A11" w14:paraId="1F13C0D3" w14:textId="77777777">
      <w:pPr>
        <w:numPr>
          <w:ilvl w:val="0"/>
          <w:numId w:val="2"/>
        </w:numPr>
        <w:tabs>
          <w:tab w:val="clear" w:pos="360"/>
          <w:tab w:val="left" w:pos="547"/>
          <w:tab w:val="left" w:pos="1080"/>
          <w:tab w:val="left" w:pos="1627"/>
          <w:tab w:val="left" w:pos="2160"/>
          <w:tab w:val="left" w:pos="2880"/>
        </w:tabs>
        <w:rPr>
          <w:b/>
        </w:rPr>
      </w:pPr>
      <w:r w:rsidRPr="00F65391">
        <w:rPr>
          <w:b/>
        </w:rPr>
        <w:t>Unusual problems requiring specialized sampling procedures</w:t>
      </w:r>
      <w:r w:rsidR="00AB64AC">
        <w:rPr>
          <w:b/>
        </w:rPr>
        <w:t xml:space="preserve"> </w:t>
      </w:r>
    </w:p>
    <w:p w:rsidRPr="00F65391" w:rsidR="00536A11" w:rsidRDefault="00536A11" w14:paraId="53D91AF8" w14:textId="77777777">
      <w:pPr>
        <w:numPr>
          <w:ilvl w:val="0"/>
          <w:numId w:val="2"/>
        </w:numPr>
        <w:tabs>
          <w:tab w:val="clear" w:pos="360"/>
          <w:tab w:val="left" w:pos="547"/>
          <w:tab w:val="left" w:pos="1080"/>
          <w:tab w:val="left" w:pos="1627"/>
          <w:tab w:val="left" w:pos="2160"/>
          <w:tab w:val="left" w:pos="2880"/>
        </w:tabs>
        <w:rPr>
          <w:b/>
        </w:rPr>
      </w:pPr>
      <w:r w:rsidRPr="00F65391">
        <w:rPr>
          <w:b/>
        </w:rPr>
        <w:t>Any use of less frequent than annual data collection to reduce burden</w:t>
      </w:r>
      <w:r w:rsidR="00AB64AC">
        <w:rPr>
          <w:b/>
        </w:rPr>
        <w:t xml:space="preserve"> </w:t>
      </w:r>
    </w:p>
    <w:p w:rsidRPr="0078279C" w:rsidR="00536A11" w:rsidRDefault="00536A11" w14:paraId="4AEC7E66" w14:textId="77777777">
      <w:pPr>
        <w:tabs>
          <w:tab w:val="left" w:pos="547"/>
          <w:tab w:val="left" w:pos="1080"/>
          <w:tab w:val="left" w:pos="1627"/>
          <w:tab w:val="left" w:pos="2160"/>
          <w:tab w:val="left" w:pos="2880"/>
        </w:tabs>
        <w:rPr>
          <w:b/>
        </w:rPr>
      </w:pPr>
    </w:p>
    <w:p w:rsidRPr="00A256A1" w:rsidR="00F96875" w:rsidRDefault="009F5104" w14:paraId="6DB9F4E1" w14:textId="77777777">
      <w:pPr>
        <w:tabs>
          <w:tab w:val="left" w:pos="547"/>
          <w:tab w:val="left" w:pos="1080"/>
          <w:tab w:val="left" w:pos="1627"/>
          <w:tab w:val="left" w:pos="2160"/>
          <w:tab w:val="left" w:pos="2880"/>
        </w:tabs>
        <w:rPr>
          <w:color w:val="000000"/>
        </w:rPr>
      </w:pPr>
      <w:r w:rsidRPr="0078279C">
        <w:rPr>
          <w:color w:val="000000"/>
        </w:rPr>
        <w:t xml:space="preserve">VA will use several different methods of gathering information from Veterans through the toxic exposure screening, including VHA staff or community care staff administering the screening during a health care appointment, VHA staff administering at other Veteran touch point events (e.g., screening blitz event), and Veterans completing the screening independently before being contacted by VHA staff for follow up. Veterans have the option of declining the toxic exposure screening.  </w:t>
      </w:r>
    </w:p>
    <w:p w:rsidRPr="00F65391" w:rsidR="00F96875" w:rsidRDefault="00F96875" w14:paraId="11F4562D" w14:textId="77777777">
      <w:pPr>
        <w:tabs>
          <w:tab w:val="left" w:pos="547"/>
          <w:tab w:val="left" w:pos="1080"/>
          <w:tab w:val="left" w:pos="1627"/>
          <w:tab w:val="left" w:pos="2160"/>
          <w:tab w:val="left" w:pos="2880"/>
        </w:tabs>
        <w:rPr>
          <w:b/>
        </w:rPr>
      </w:pPr>
    </w:p>
    <w:p w:rsidR="00536A11" w:rsidRDefault="00536A11" w14:paraId="659AA854" w14:textId="77777777">
      <w:pPr>
        <w:pStyle w:val="Header"/>
        <w:tabs>
          <w:tab w:val="clear" w:pos="4320"/>
          <w:tab w:val="clear" w:pos="8640"/>
          <w:tab w:val="left" w:pos="547"/>
          <w:tab w:val="left" w:pos="1080"/>
          <w:tab w:val="left" w:pos="1627"/>
          <w:tab w:val="left" w:pos="2160"/>
          <w:tab w:val="left" w:pos="2880"/>
        </w:tabs>
        <w:rPr>
          <w:b/>
          <w:sz w:val="24"/>
        </w:rPr>
      </w:pPr>
      <w:r w:rsidRPr="00F65391">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F65391" w:rsidR="0071383C" w:rsidRDefault="0071383C" w14:paraId="79389041" w14:textId="77777777">
      <w:pPr>
        <w:pStyle w:val="Header"/>
        <w:tabs>
          <w:tab w:val="clear" w:pos="4320"/>
          <w:tab w:val="clear" w:pos="8640"/>
          <w:tab w:val="left" w:pos="547"/>
          <w:tab w:val="left" w:pos="1080"/>
          <w:tab w:val="left" w:pos="1627"/>
          <w:tab w:val="left" w:pos="2160"/>
          <w:tab w:val="left" w:pos="2880"/>
        </w:tabs>
        <w:rPr>
          <w:b/>
          <w:sz w:val="24"/>
        </w:rPr>
      </w:pPr>
    </w:p>
    <w:p w:rsidRPr="00A256A1" w:rsidR="00536A11" w:rsidRDefault="0078279C" w14:paraId="0A03037B" w14:textId="77777777">
      <w:pPr>
        <w:pStyle w:val="Header"/>
        <w:tabs>
          <w:tab w:val="clear" w:pos="4320"/>
          <w:tab w:val="clear" w:pos="8640"/>
          <w:tab w:val="left" w:pos="547"/>
          <w:tab w:val="left" w:pos="1080"/>
          <w:tab w:val="left" w:pos="1627"/>
          <w:tab w:val="left" w:pos="2160"/>
          <w:tab w:val="left" w:pos="2880"/>
        </w:tabs>
        <w:rPr>
          <w:b/>
          <w:sz w:val="24"/>
        </w:rPr>
      </w:pPr>
      <w:r w:rsidRPr="00A256A1">
        <w:rPr>
          <w:bCs/>
          <w:sz w:val="24"/>
          <w:szCs w:val="24"/>
        </w:rPr>
        <w:t xml:space="preserve">The toxic exposure screening will be incorporated into the electronic health record system </w:t>
      </w:r>
      <w:r w:rsidRPr="00A256A1">
        <w:rPr>
          <w:sz w:val="24"/>
        </w:rPr>
        <w:t xml:space="preserve">as a clinical reminder to ensure all Veterans are screened at least once every five years, per the statutory requirement. Clinical reminders are seen by all providers at all touch points of Veteran care to ensure collaboration to complete screening. Veterans have the option of declining the screening at any point, however to maximize response rate a robust communications plan is being developed to ensure Veterans are aware and educated of the benefits of the screening. Other methods of obtaining screening data are under consideration by VHA to include self-screening methods, such as </w:t>
      </w:r>
      <w:proofErr w:type="spellStart"/>
      <w:r w:rsidRPr="00A256A1">
        <w:rPr>
          <w:sz w:val="24"/>
        </w:rPr>
        <w:t>eScreening</w:t>
      </w:r>
      <w:proofErr w:type="spellEnd"/>
      <w:r w:rsidRPr="00A256A1">
        <w:rPr>
          <w:sz w:val="24"/>
        </w:rPr>
        <w:t xml:space="preserve"> or apps, to reach Veterans using their preferred methods of completion.</w:t>
      </w:r>
    </w:p>
    <w:p w:rsidRPr="00F65391" w:rsidR="00536A11" w:rsidRDefault="00536A11" w14:paraId="30A92E85" w14:textId="77777777">
      <w:pPr>
        <w:pStyle w:val="Header"/>
        <w:tabs>
          <w:tab w:val="clear" w:pos="4320"/>
          <w:tab w:val="clear" w:pos="8640"/>
          <w:tab w:val="left" w:pos="547"/>
          <w:tab w:val="left" w:pos="1080"/>
          <w:tab w:val="left" w:pos="1627"/>
          <w:tab w:val="left" w:pos="2160"/>
          <w:tab w:val="left" w:pos="2880"/>
        </w:tabs>
        <w:rPr>
          <w:b/>
          <w:sz w:val="24"/>
        </w:rPr>
      </w:pPr>
      <w:r>
        <w:rPr>
          <w:b/>
          <w:sz w:val="24"/>
        </w:rPr>
        <w:lastRenderedPageBreak/>
        <w:t>4</w:t>
      </w:r>
      <w:r w:rsidRPr="00F65391">
        <w:rPr>
          <w:b/>
          <w:sz w:val="24"/>
        </w:rPr>
        <w:t>.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71383C" w:rsidRDefault="0071383C" w14:paraId="656A7DEE" w14:textId="77777777">
      <w:pPr>
        <w:pStyle w:val="Header"/>
        <w:tabs>
          <w:tab w:val="clear" w:pos="4320"/>
          <w:tab w:val="clear" w:pos="8640"/>
          <w:tab w:val="left" w:pos="547"/>
          <w:tab w:val="left" w:pos="1080"/>
          <w:tab w:val="left" w:pos="1627"/>
          <w:tab w:val="left" w:pos="2160"/>
          <w:tab w:val="left" w:pos="2880"/>
        </w:tabs>
        <w:rPr>
          <w:bCs/>
        </w:rPr>
      </w:pPr>
    </w:p>
    <w:p w:rsidRPr="00A256A1" w:rsidR="00536A11" w:rsidP="00A256A1" w:rsidRDefault="009F5104" w14:paraId="416DF697" w14:textId="77777777">
      <w:pPr>
        <w:widowControl w:val="0"/>
        <w:tabs>
          <w:tab w:val="left" w:pos="540"/>
        </w:tabs>
      </w:pPr>
      <w:r w:rsidRPr="0078279C">
        <w:t>To ensure efficacy of the screening tool and ease of use by screeners, the project team will conduct a pilot test of the toxic exposure screening tool with a sampling from targeted clinical areas and sites for 10 days. The goal is to collect feedback and best practices to use in refining the screening tool and training to increase best chance for success. The pilot testing is scheduled to begin on September 6, 2022.</w:t>
      </w:r>
    </w:p>
    <w:p w:rsidRPr="00F65391" w:rsidR="00AB64AC" w:rsidRDefault="00AB64AC" w14:paraId="3299E49C" w14:textId="77777777">
      <w:pPr>
        <w:pStyle w:val="Header"/>
        <w:tabs>
          <w:tab w:val="clear" w:pos="4320"/>
          <w:tab w:val="clear" w:pos="8640"/>
          <w:tab w:val="left" w:pos="547"/>
          <w:tab w:val="left" w:pos="1080"/>
          <w:tab w:val="left" w:pos="1627"/>
          <w:tab w:val="left" w:pos="2160"/>
          <w:tab w:val="left" w:pos="2880"/>
        </w:tabs>
        <w:rPr>
          <w:b/>
          <w:sz w:val="24"/>
        </w:rPr>
      </w:pPr>
    </w:p>
    <w:p w:rsidR="0071383C" w:rsidRDefault="00536A11" w14:paraId="54E401C6" w14:textId="77777777">
      <w:pPr>
        <w:pStyle w:val="Header"/>
        <w:tabs>
          <w:tab w:val="clear" w:pos="4320"/>
          <w:tab w:val="clear" w:pos="8640"/>
          <w:tab w:val="left" w:pos="547"/>
          <w:tab w:val="left" w:pos="1080"/>
          <w:tab w:val="left" w:pos="1627"/>
          <w:tab w:val="left" w:pos="2160"/>
          <w:tab w:val="left" w:pos="2880"/>
        </w:tabs>
        <w:rPr>
          <w:b/>
          <w:sz w:val="24"/>
        </w:rPr>
      </w:pPr>
      <w:r w:rsidRPr="00F65391">
        <w:rPr>
          <w:b/>
          <w:sz w:val="24"/>
        </w:rPr>
        <w:t>5.  Provide the name and telephone number of individuals consulted on statistical aspects of the design and the name of the agency unit, contractor(s), grantee(s), or other person(s) who will actually collect and/or analyze the information for the agency.</w:t>
      </w:r>
      <w:r w:rsidR="00AB64AC">
        <w:rPr>
          <w:b/>
          <w:sz w:val="24"/>
        </w:rPr>
        <w:t xml:space="preserve"> </w:t>
      </w:r>
    </w:p>
    <w:p w:rsidR="00536A11" w:rsidRDefault="00536A11" w14:paraId="4A24DF3F" w14:textId="77777777">
      <w:pPr>
        <w:pStyle w:val="Header"/>
        <w:tabs>
          <w:tab w:val="clear" w:pos="4320"/>
          <w:tab w:val="clear" w:pos="8640"/>
          <w:tab w:val="left" w:pos="547"/>
          <w:tab w:val="left" w:pos="1080"/>
          <w:tab w:val="left" w:pos="1627"/>
          <w:tab w:val="left" w:pos="2160"/>
          <w:tab w:val="left" w:pos="2880"/>
        </w:tabs>
        <w:rPr>
          <w:bCs/>
          <w:sz w:val="24"/>
          <w:szCs w:val="24"/>
        </w:rPr>
      </w:pPr>
    </w:p>
    <w:p w:rsidRPr="00651126" w:rsidR="00651126" w:rsidRDefault="00651126" w14:paraId="03955752" w14:textId="77777777">
      <w:pPr>
        <w:pStyle w:val="Header"/>
        <w:tabs>
          <w:tab w:val="clear" w:pos="4320"/>
          <w:tab w:val="clear" w:pos="8640"/>
          <w:tab w:val="left" w:pos="547"/>
          <w:tab w:val="left" w:pos="1080"/>
          <w:tab w:val="left" w:pos="1627"/>
          <w:tab w:val="left" w:pos="2160"/>
          <w:tab w:val="left" w:pos="2880"/>
        </w:tabs>
        <w:rPr>
          <w:sz w:val="24"/>
          <w:szCs w:val="24"/>
        </w:rPr>
      </w:pPr>
      <w:r w:rsidRPr="00651126">
        <w:rPr>
          <w:sz w:val="24"/>
          <w:szCs w:val="24"/>
        </w:rPr>
        <w:t>Dr. Thomas Mattras, Director of Operations, Office of Primary Care, Veterans Health Administration</w:t>
      </w:r>
      <w:r>
        <w:rPr>
          <w:sz w:val="24"/>
          <w:szCs w:val="24"/>
        </w:rPr>
        <w:t xml:space="preserve"> developed the toxic exposure screening</w:t>
      </w:r>
      <w:r w:rsidRPr="00651126">
        <w:rPr>
          <w:sz w:val="24"/>
          <w:szCs w:val="24"/>
        </w:rPr>
        <w:t xml:space="preserve">. </w:t>
      </w:r>
      <w:r>
        <w:rPr>
          <w:sz w:val="24"/>
          <w:szCs w:val="24"/>
        </w:rPr>
        <w:t xml:space="preserve">All VHA Title 38 and Hybrid Title 38 staff will be able to collect data (responses) from Veterans during the screening. VHA data analysts will analyze the collected information at the direction of Dr. Thomas Mattras as the program matures. </w:t>
      </w:r>
    </w:p>
    <w:p w:rsidRPr="00F65391" w:rsidR="00536A11" w:rsidRDefault="00536A11" w14:paraId="134399B1" w14:textId="77777777">
      <w:pPr>
        <w:tabs>
          <w:tab w:val="left" w:pos="547"/>
          <w:tab w:val="left" w:pos="1080"/>
          <w:tab w:val="left" w:pos="1627"/>
          <w:tab w:val="left" w:pos="2160"/>
          <w:tab w:val="left" w:pos="2880"/>
        </w:tabs>
      </w:pPr>
    </w:p>
    <w:sectPr w:rsidRPr="00F65391" w:rsidR="00536A11">
      <w:footerReference w:type="default" r:id="rId11"/>
      <w:footerReference w:type="first" r:id="rId12"/>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1DCA" w14:textId="77777777" w:rsidR="00A95257" w:rsidRDefault="00A95257">
      <w:r>
        <w:separator/>
      </w:r>
    </w:p>
  </w:endnote>
  <w:endnote w:type="continuationSeparator" w:id="0">
    <w:p w14:paraId="6B6C16AB" w14:textId="77777777" w:rsidR="00A95257" w:rsidRDefault="00A9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28F7"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C11870">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8606"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457F4">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4D0D" w14:textId="77777777" w:rsidR="00A95257" w:rsidRDefault="00A95257">
      <w:r>
        <w:separator/>
      </w:r>
    </w:p>
  </w:footnote>
  <w:footnote w:type="continuationSeparator" w:id="0">
    <w:p w14:paraId="29347026" w14:textId="77777777" w:rsidR="00A95257" w:rsidRDefault="00A95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2119C"/>
    <w:rsid w:val="00086B3D"/>
    <w:rsid w:val="0009405D"/>
    <w:rsid w:val="00094C6E"/>
    <w:rsid w:val="000F3D9E"/>
    <w:rsid w:val="001136EB"/>
    <w:rsid w:val="00133C89"/>
    <w:rsid w:val="001437A4"/>
    <w:rsid w:val="001A05E0"/>
    <w:rsid w:val="001A64C7"/>
    <w:rsid w:val="001D1D56"/>
    <w:rsid w:val="001E0EF2"/>
    <w:rsid w:val="001E33FD"/>
    <w:rsid w:val="002079B0"/>
    <w:rsid w:val="002454A0"/>
    <w:rsid w:val="00246572"/>
    <w:rsid w:val="00246646"/>
    <w:rsid w:val="0025306C"/>
    <w:rsid w:val="002A7CB3"/>
    <w:rsid w:val="002D63BC"/>
    <w:rsid w:val="00301F6D"/>
    <w:rsid w:val="00305CE7"/>
    <w:rsid w:val="0032240F"/>
    <w:rsid w:val="003267D4"/>
    <w:rsid w:val="00353971"/>
    <w:rsid w:val="003A6E39"/>
    <w:rsid w:val="003F4A25"/>
    <w:rsid w:val="003F656D"/>
    <w:rsid w:val="00407746"/>
    <w:rsid w:val="00435849"/>
    <w:rsid w:val="00435D66"/>
    <w:rsid w:val="00444309"/>
    <w:rsid w:val="00467431"/>
    <w:rsid w:val="0048017B"/>
    <w:rsid w:val="00482F63"/>
    <w:rsid w:val="00483680"/>
    <w:rsid w:val="00490CB8"/>
    <w:rsid w:val="00493A54"/>
    <w:rsid w:val="004B258A"/>
    <w:rsid w:val="00503DE2"/>
    <w:rsid w:val="00505561"/>
    <w:rsid w:val="005115E5"/>
    <w:rsid w:val="00513E92"/>
    <w:rsid w:val="00525D6C"/>
    <w:rsid w:val="00536A11"/>
    <w:rsid w:val="005457F4"/>
    <w:rsid w:val="00553136"/>
    <w:rsid w:val="005546F1"/>
    <w:rsid w:val="0056011D"/>
    <w:rsid w:val="005661C6"/>
    <w:rsid w:val="005B0E3B"/>
    <w:rsid w:val="005D5EF6"/>
    <w:rsid w:val="005E413F"/>
    <w:rsid w:val="00603CB3"/>
    <w:rsid w:val="00605E40"/>
    <w:rsid w:val="0064683C"/>
    <w:rsid w:val="00651126"/>
    <w:rsid w:val="006A3BB9"/>
    <w:rsid w:val="006A5DBA"/>
    <w:rsid w:val="006B1E34"/>
    <w:rsid w:val="006E43AA"/>
    <w:rsid w:val="0071383C"/>
    <w:rsid w:val="007142A1"/>
    <w:rsid w:val="00736FAD"/>
    <w:rsid w:val="0077215D"/>
    <w:rsid w:val="0078279C"/>
    <w:rsid w:val="007C23F0"/>
    <w:rsid w:val="007C39AF"/>
    <w:rsid w:val="007D2791"/>
    <w:rsid w:val="007E5426"/>
    <w:rsid w:val="007F1C5F"/>
    <w:rsid w:val="00815A65"/>
    <w:rsid w:val="008265DC"/>
    <w:rsid w:val="00837379"/>
    <w:rsid w:val="008618F0"/>
    <w:rsid w:val="008C15FA"/>
    <w:rsid w:val="008E4A13"/>
    <w:rsid w:val="008E5550"/>
    <w:rsid w:val="008F1253"/>
    <w:rsid w:val="008F3BE5"/>
    <w:rsid w:val="0097111E"/>
    <w:rsid w:val="00987315"/>
    <w:rsid w:val="00990F35"/>
    <w:rsid w:val="009F5104"/>
    <w:rsid w:val="00A256A1"/>
    <w:rsid w:val="00A345A3"/>
    <w:rsid w:val="00A3577D"/>
    <w:rsid w:val="00A63C7F"/>
    <w:rsid w:val="00A9516A"/>
    <w:rsid w:val="00A95257"/>
    <w:rsid w:val="00AB273F"/>
    <w:rsid w:val="00AB64AC"/>
    <w:rsid w:val="00AC2EE9"/>
    <w:rsid w:val="00AC6772"/>
    <w:rsid w:val="00AD62E0"/>
    <w:rsid w:val="00AE459B"/>
    <w:rsid w:val="00B16AAF"/>
    <w:rsid w:val="00B47D0D"/>
    <w:rsid w:val="00B74169"/>
    <w:rsid w:val="00B867AB"/>
    <w:rsid w:val="00B86C19"/>
    <w:rsid w:val="00B9026F"/>
    <w:rsid w:val="00BA40A0"/>
    <w:rsid w:val="00BA705D"/>
    <w:rsid w:val="00C10B99"/>
    <w:rsid w:val="00C11870"/>
    <w:rsid w:val="00C208F4"/>
    <w:rsid w:val="00C36879"/>
    <w:rsid w:val="00C53083"/>
    <w:rsid w:val="00C62BC4"/>
    <w:rsid w:val="00CD3D2F"/>
    <w:rsid w:val="00CD6329"/>
    <w:rsid w:val="00CE26AB"/>
    <w:rsid w:val="00D03A4A"/>
    <w:rsid w:val="00D167FC"/>
    <w:rsid w:val="00D40265"/>
    <w:rsid w:val="00D411D1"/>
    <w:rsid w:val="00D62BAE"/>
    <w:rsid w:val="00D65457"/>
    <w:rsid w:val="00D770C6"/>
    <w:rsid w:val="00D92AAD"/>
    <w:rsid w:val="00DB5935"/>
    <w:rsid w:val="00E10A39"/>
    <w:rsid w:val="00E30565"/>
    <w:rsid w:val="00E6326A"/>
    <w:rsid w:val="00EC722C"/>
    <w:rsid w:val="00ED2027"/>
    <w:rsid w:val="00EE12CD"/>
    <w:rsid w:val="00EF4418"/>
    <w:rsid w:val="00F02429"/>
    <w:rsid w:val="00F36EDC"/>
    <w:rsid w:val="00F53E51"/>
    <w:rsid w:val="00F6088C"/>
    <w:rsid w:val="00F65391"/>
    <w:rsid w:val="00F96875"/>
    <w:rsid w:val="00FB6120"/>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FDF8C"/>
  <w15:chartTrackingRefBased/>
  <w15:docId w15:val="{50412BD9-BF28-46C4-AE53-B502C824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B1E34"/>
    <w:rPr>
      <w:sz w:val="16"/>
      <w:szCs w:val="16"/>
    </w:rPr>
  </w:style>
  <w:style w:type="paragraph" w:styleId="CommentText">
    <w:name w:val="annotation text"/>
    <w:basedOn w:val="Normal"/>
    <w:link w:val="CommentTextChar"/>
    <w:rsid w:val="006B1E34"/>
    <w:rPr>
      <w:sz w:val="20"/>
      <w:szCs w:val="20"/>
    </w:rPr>
  </w:style>
  <w:style w:type="character" w:customStyle="1" w:styleId="CommentTextChar">
    <w:name w:val="Comment Text Char"/>
    <w:basedOn w:val="DefaultParagraphFont"/>
    <w:link w:val="CommentText"/>
    <w:rsid w:val="006B1E34"/>
  </w:style>
  <w:style w:type="paragraph" w:styleId="CommentSubject">
    <w:name w:val="annotation subject"/>
    <w:basedOn w:val="CommentText"/>
    <w:next w:val="CommentText"/>
    <w:link w:val="CommentSubjectChar"/>
    <w:rsid w:val="006B1E34"/>
    <w:rPr>
      <w:b/>
      <w:bCs/>
    </w:rPr>
  </w:style>
  <w:style w:type="character" w:customStyle="1" w:styleId="CommentSubjectChar">
    <w:name w:val="Comment Subject Char"/>
    <w:link w:val="CommentSubject"/>
    <w:rsid w:val="006B1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DA320245C0448A1CD7EAC2371145A" ma:contentTypeVersion="2" ma:contentTypeDescription="Create a new document." ma:contentTypeScope="" ma:versionID="3c33007ed96333e72a6490921fbea037">
  <xsd:schema xmlns:xsd="http://www.w3.org/2001/XMLSchema" xmlns:xs="http://www.w3.org/2001/XMLSchema" xmlns:p="http://schemas.microsoft.com/office/2006/metadata/properties" xmlns:ns2="382fbc00-5d8c-4fe2-9187-fc7aefdae102" targetNamespace="http://schemas.microsoft.com/office/2006/metadata/properties" ma:root="true" ma:fieldsID="471924ca953ce9c2a0066a11c98d4135" ns2:_="">
    <xsd:import namespace="382fbc00-5d8c-4fe2-9187-fc7aefdae1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fbc00-5d8c-4fe2-9187-fc7aefdae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6C01E-2F3B-4EEF-AFC6-2088EE356A88}">
  <ds:schemaRefs>
    <ds:schemaRef ds:uri="http://schemas.openxmlformats.org/officeDocument/2006/bibliography"/>
  </ds:schemaRefs>
</ds:datastoreItem>
</file>

<file path=customXml/itemProps2.xml><?xml version="1.0" encoding="utf-8"?>
<ds:datastoreItem xmlns:ds="http://schemas.openxmlformats.org/officeDocument/2006/customXml" ds:itemID="{8F4B14C0-4377-42E9-B36C-6AFD3CC9D813}">
  <ds:schemaRefs>
    <ds:schemaRef ds:uri="http://schemas.microsoft.com/sharepoint/v3/contenttype/forms"/>
  </ds:schemaRefs>
</ds:datastoreItem>
</file>

<file path=customXml/itemProps3.xml><?xml version="1.0" encoding="utf-8"?>
<ds:datastoreItem xmlns:ds="http://schemas.openxmlformats.org/officeDocument/2006/customXml" ds:itemID="{AB6F0EC1-F930-45CC-A50D-2FF00AD4F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fbc00-5d8c-4fe2-9187-fc7aefda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EB463-1E4D-4536-A1DF-6A552BA8E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cp:lastModifiedBy>Eliseo, Matthew S. EOP/OMB</cp:lastModifiedBy>
  <cp:revision>2</cp:revision>
  <cp:lastPrinted>2009-07-20T16:27:00Z</cp:lastPrinted>
  <dcterms:created xsi:type="dcterms:W3CDTF">2022-09-02T15:32:00Z</dcterms:created>
  <dcterms:modified xsi:type="dcterms:W3CDTF">2022-09-02T15:32:00Z</dcterms:modified>
</cp:coreProperties>
</file>