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0C84" w:rsidRPr="00E21E52" w:rsidP="00D50C84" w14:paraId="7A1042B2" w14:textId="77777777">
      <w:pPr>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SUPPORTING STATEMENT FOR NEW AND REVISED INFORMATION COLLECTIONS</w:t>
      </w:r>
    </w:p>
    <w:p w:rsidR="00D50C84" w:rsidRPr="00E21E52" w:rsidP="001B69C4" w14:paraId="5CDB963B" w14:textId="77777777">
      <w:pPr>
        <w:suppressAutoHyphens/>
        <w:spacing w:after="0" w:line="240" w:lineRule="auto"/>
        <w:jc w:val="center"/>
        <w:rPr>
          <w:rFonts w:ascii="Times New Roman" w:eastAsia="Times New Roman" w:hAnsi="Times New Roman" w:cs="Times New Roman"/>
          <w:sz w:val="24"/>
          <w:szCs w:val="20"/>
        </w:rPr>
      </w:pPr>
    </w:p>
    <w:p w:rsidR="00691A03" w:rsidP="001B69C4" w14:paraId="009E5006" w14:textId="025A1600">
      <w:pPr>
        <w:tabs>
          <w:tab w:val="center" w:pos="4680"/>
        </w:tabs>
        <w:suppressAutoHyphens/>
        <w:spacing w:after="0" w:line="240" w:lineRule="auto"/>
        <w:jc w:val="center"/>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OMB CONTROL NUMBER</w:t>
      </w:r>
      <w:r>
        <w:rPr>
          <w:rFonts w:ascii="Times New Roman" w:eastAsia="Times New Roman" w:hAnsi="Times New Roman" w:cs="Times New Roman"/>
          <w:sz w:val="24"/>
          <w:szCs w:val="20"/>
        </w:rPr>
        <w:t>S</w:t>
      </w:r>
    </w:p>
    <w:p w:rsidR="00691A03" w:rsidP="001B69C4" w14:paraId="13210493" w14:textId="6319BC7E">
      <w:pPr>
        <w:tabs>
          <w:tab w:val="center" w:pos="4680"/>
        </w:tabs>
        <w:suppressAutoHyphens/>
        <w:spacing w:after="0" w:line="240" w:lineRule="auto"/>
        <w:jc w:val="center"/>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3038-</w:t>
      </w:r>
      <w:r w:rsidRPr="00E21E52" w:rsidR="00FD2E7D">
        <w:rPr>
          <w:rFonts w:ascii="Times New Roman" w:eastAsia="Times New Roman" w:hAnsi="Times New Roman" w:cs="Times New Roman"/>
          <w:sz w:val="24"/>
          <w:szCs w:val="20"/>
        </w:rPr>
        <w:t>00</w:t>
      </w:r>
      <w:r w:rsidR="00FD2E7D">
        <w:rPr>
          <w:rFonts w:ascii="Times New Roman" w:eastAsia="Times New Roman" w:hAnsi="Times New Roman" w:cs="Times New Roman"/>
          <w:sz w:val="24"/>
          <w:szCs w:val="20"/>
        </w:rPr>
        <w:t>96</w:t>
      </w:r>
      <w:r>
        <w:rPr>
          <w:rFonts w:ascii="Times New Roman" w:eastAsia="Times New Roman" w:hAnsi="Times New Roman" w:cs="Times New Roman"/>
          <w:sz w:val="24"/>
          <w:szCs w:val="20"/>
        </w:rPr>
        <w:t xml:space="preserve"> (</w:t>
      </w:r>
      <w:r w:rsidRPr="00691A03">
        <w:rPr>
          <w:rFonts w:ascii="Times New Roman" w:eastAsia="Times New Roman" w:hAnsi="Times New Roman" w:cs="Times New Roman"/>
          <w:sz w:val="24"/>
          <w:szCs w:val="20"/>
        </w:rPr>
        <w:t>Swap Data Recordkeeping and Reporting Requirements</w:t>
      </w:r>
      <w:r>
        <w:rPr>
          <w:rFonts w:ascii="Times New Roman" w:eastAsia="Times New Roman" w:hAnsi="Times New Roman" w:cs="Times New Roman"/>
          <w:sz w:val="24"/>
          <w:szCs w:val="20"/>
        </w:rPr>
        <w:t>)</w:t>
      </w:r>
    </w:p>
    <w:p w:rsidR="00D50C84" w:rsidRPr="00E21E52" w:rsidP="001B69C4" w14:paraId="6F1F411A" w14:textId="4B0D230A">
      <w:pPr>
        <w:tabs>
          <w:tab w:val="center" w:pos="4680"/>
        </w:tabs>
        <w:suppressAutoHyphen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3038-</w:t>
      </w:r>
      <w:r w:rsidR="00A278ED">
        <w:rPr>
          <w:rFonts w:ascii="Times New Roman" w:eastAsia="Times New Roman" w:hAnsi="Times New Roman" w:cs="Times New Roman"/>
          <w:sz w:val="24"/>
          <w:szCs w:val="20"/>
        </w:rPr>
        <w:t>0070</w:t>
      </w:r>
      <w:r w:rsidR="00691A03">
        <w:rPr>
          <w:rFonts w:ascii="Times New Roman" w:eastAsia="Times New Roman" w:hAnsi="Times New Roman" w:cs="Times New Roman"/>
          <w:sz w:val="24"/>
          <w:szCs w:val="20"/>
        </w:rPr>
        <w:t xml:space="preserve"> (</w:t>
      </w:r>
      <w:r w:rsidRPr="00691A03" w:rsidR="00691A03">
        <w:rPr>
          <w:rFonts w:ascii="Times New Roman" w:eastAsia="Times New Roman" w:hAnsi="Times New Roman" w:cs="Times New Roman"/>
          <w:sz w:val="24"/>
          <w:szCs w:val="20"/>
        </w:rPr>
        <w:t>Real-Time Public Reporting</w:t>
      </w:r>
      <w:r w:rsidR="00691A03">
        <w:rPr>
          <w:rFonts w:ascii="Times New Roman" w:eastAsia="Times New Roman" w:hAnsi="Times New Roman" w:cs="Times New Roman"/>
          <w:sz w:val="24"/>
          <w:szCs w:val="20"/>
        </w:rPr>
        <w:t>)</w:t>
      </w:r>
    </w:p>
    <w:p w:rsidR="00D50C84" w:rsidRPr="00E21E52" w:rsidP="00D50C84" w14:paraId="1D118353"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43E7CAD0"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21E52">
        <w:rPr>
          <w:rFonts w:ascii="Times New Roman" w:eastAsia="Times New Roman" w:hAnsi="Times New Roman" w:cs="Times New Roman"/>
          <w:sz w:val="24"/>
          <w:szCs w:val="20"/>
        </w:rPr>
        <w:t xml:space="preserve">. </w:t>
      </w:r>
    </w:p>
    <w:p w:rsidR="00D50C84" w:rsidRPr="00E21E52" w:rsidP="00D50C84" w14:paraId="2E5C683A"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highlight w:val="yellow"/>
        </w:rPr>
      </w:pPr>
    </w:p>
    <w:p w:rsidR="00E44993" w:rsidP="00F94425" w14:paraId="2A174AAB"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E21E52">
        <w:rPr>
          <w:rFonts w:ascii="Times New Roman" w:eastAsia="Times New Roman" w:hAnsi="Times New Roman" w:cs="Times New Roman"/>
          <w:color w:val="000000"/>
          <w:sz w:val="24"/>
          <w:szCs w:val="24"/>
        </w:rPr>
        <w:t>On July 21, 2010, the Dodd-Frank Wall Street Reform and Consumer Protection Act (“Dodd-Frank Act”) went into effect.</w:t>
      </w:r>
      <w:r>
        <w:rPr>
          <w:rFonts w:ascii="Times New Roman" w:eastAsia="Times New Roman" w:hAnsi="Times New Roman" w:cs="Times New Roman"/>
          <w:color w:val="000000"/>
          <w:sz w:val="24"/>
          <w:szCs w:val="24"/>
          <w:vertAlign w:val="superscript"/>
        </w:rPr>
        <w:footnoteReference w:id="2"/>
      </w:r>
      <w:r w:rsidRPr="00E21E52">
        <w:rPr>
          <w:rFonts w:ascii="Times New Roman" w:eastAsia="Times New Roman" w:hAnsi="Times New Roman" w:cs="Times New Roman"/>
          <w:color w:val="000000"/>
          <w:sz w:val="24"/>
          <w:szCs w:val="24"/>
        </w:rPr>
        <w:t xml:space="preserve">  Title VII of the Dodd-Frank Act amended the Commodity Exchange Act (“CEA”) to create a regulatory framework for swaps.</w:t>
      </w:r>
      <w:r w:rsidR="00FD2E7D">
        <w:rPr>
          <w:rFonts w:ascii="Times New Roman" w:eastAsia="Times New Roman" w:hAnsi="Times New Roman" w:cs="Times New Roman"/>
          <w:color w:val="000000"/>
          <w:sz w:val="24"/>
          <w:szCs w:val="24"/>
        </w:rPr>
        <w:t xml:space="preserve">  </w:t>
      </w:r>
      <w:r w:rsidRPr="00E44993">
        <w:rPr>
          <w:rFonts w:ascii="Times New Roman" w:eastAsia="Times New Roman" w:hAnsi="Times New Roman" w:cs="Times New Roman"/>
          <w:color w:val="000000"/>
          <w:sz w:val="24"/>
          <w:szCs w:val="24"/>
        </w:rPr>
        <w:t xml:space="preserve">Section 728 of the Dodd-Frank Act specifically requires the Commodity Futures Trading Commission (“CFTC” or “Commission”) to establish standards for swap data recordkeeping and reporting, including the data elements to be collected and maintained by swap data repositories (“SDRs”) for each swap. Section 729 of the Dodd-Frank Act required that at least one counterparty to each swap have an obligation to report data concerning each swap. On December 20, 2011, the Commission adopted Part 45 of the Commission’s regulations to establish the swap data recordkeeping and reporting requirements mandated by the Dodd-Frank Act. </w:t>
      </w:r>
    </w:p>
    <w:p w:rsidR="00E44993" w:rsidP="00D50C84" w14:paraId="5A98548A"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E44993" w:rsidP="00D50C84" w14:paraId="20F02AD8"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44993">
        <w:rPr>
          <w:rFonts w:ascii="Times New Roman" w:eastAsia="Times New Roman" w:hAnsi="Times New Roman" w:cs="Times New Roman"/>
          <w:color w:val="000000"/>
          <w:sz w:val="24"/>
          <w:szCs w:val="24"/>
        </w:rPr>
        <w:t xml:space="preserve"> </w:t>
      </w:r>
      <w:r w:rsidRPr="00E21E52" w:rsidR="00D50C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On November 25, 2020, the Commission published fin</w:t>
      </w:r>
      <w:r w:rsidR="0086136A">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z w:val="24"/>
          <w:szCs w:val="24"/>
        </w:rPr>
        <w:t xml:space="preserve"> rules amending regulations in Parts 43 and 45 concerning the correction of swap data errors.  Among other things, regulation</w:t>
      </w:r>
      <w:r w:rsidRPr="00E44993">
        <w:rPr>
          <w:rFonts w:ascii="Times New Roman" w:eastAsia="Times New Roman" w:hAnsi="Times New Roman" w:cs="Times New Roman"/>
          <w:color w:val="000000"/>
          <w:sz w:val="24"/>
          <w:szCs w:val="24"/>
        </w:rPr>
        <w:t xml:space="preserve"> 45.14</w:t>
      </w:r>
      <w:r>
        <w:rPr>
          <w:rFonts w:ascii="Times New Roman" w:eastAsia="Times New Roman" w:hAnsi="Times New Roman" w:cs="Times New Roman"/>
          <w:color w:val="000000"/>
          <w:sz w:val="24"/>
          <w:szCs w:val="24"/>
        </w:rPr>
        <w:t xml:space="preserve"> requires swap execution facilities (“SEFs”), designated contract markets (“DCMs”), and reporting counterparties </w:t>
      </w:r>
      <w:r w:rsidRPr="00E44993">
        <w:rPr>
          <w:rFonts w:ascii="Times New Roman" w:eastAsia="Times New Roman" w:hAnsi="Times New Roman" w:cs="Times New Roman"/>
          <w:color w:val="000000"/>
          <w:sz w:val="24"/>
          <w:szCs w:val="24"/>
        </w:rPr>
        <w:t>to notify the director of the Commission’s Division of Market Oversight when data errors or omissions</w:t>
      </w:r>
      <w:r>
        <w:rPr>
          <w:rFonts w:ascii="Times New Roman" w:eastAsia="Times New Roman" w:hAnsi="Times New Roman" w:cs="Times New Roman"/>
          <w:color w:val="000000"/>
          <w:sz w:val="24"/>
          <w:szCs w:val="24"/>
        </w:rPr>
        <w:t xml:space="preserve"> in Part 45</w:t>
      </w:r>
      <w:r w:rsidRPr="00E44993">
        <w:rPr>
          <w:rFonts w:ascii="Times New Roman" w:eastAsia="Times New Roman" w:hAnsi="Times New Roman" w:cs="Times New Roman"/>
          <w:color w:val="000000"/>
          <w:sz w:val="24"/>
          <w:szCs w:val="24"/>
        </w:rPr>
        <w:t xml:space="preserve"> cannot be corrected within </w:t>
      </w:r>
      <w:r>
        <w:rPr>
          <w:rFonts w:ascii="Times New Roman" w:eastAsia="Times New Roman" w:hAnsi="Times New Roman" w:cs="Times New Roman"/>
          <w:color w:val="000000"/>
          <w:sz w:val="24"/>
          <w:szCs w:val="24"/>
        </w:rPr>
        <w:t>seven</w:t>
      </w:r>
      <w:r w:rsidRPr="00E44993">
        <w:rPr>
          <w:rFonts w:ascii="Times New Roman" w:eastAsia="Times New Roman" w:hAnsi="Times New Roman" w:cs="Times New Roman"/>
          <w:color w:val="000000"/>
          <w:sz w:val="24"/>
          <w:szCs w:val="24"/>
        </w:rPr>
        <w:t xml:space="preserve"> business days of discovery. </w:t>
      </w:r>
      <w:r>
        <w:rPr>
          <w:rFonts w:ascii="Times New Roman" w:eastAsia="Times New Roman" w:hAnsi="Times New Roman" w:cs="Times New Roman"/>
          <w:color w:val="000000"/>
          <w:sz w:val="24"/>
          <w:szCs w:val="24"/>
        </w:rPr>
        <w:t xml:space="preserve"> </w:t>
      </w:r>
      <w:r w:rsidRPr="00E44993">
        <w:rPr>
          <w:rFonts w:ascii="Times New Roman" w:eastAsia="Times New Roman" w:hAnsi="Times New Roman" w:cs="Times New Roman"/>
          <w:color w:val="000000"/>
          <w:sz w:val="24"/>
          <w:szCs w:val="24"/>
        </w:rPr>
        <w:t xml:space="preserve">In such case, </w:t>
      </w:r>
      <w:r>
        <w:rPr>
          <w:rFonts w:ascii="Times New Roman" w:eastAsia="Times New Roman" w:hAnsi="Times New Roman" w:cs="Times New Roman"/>
          <w:color w:val="000000"/>
          <w:sz w:val="24"/>
          <w:szCs w:val="24"/>
        </w:rPr>
        <w:t>regulation</w:t>
      </w:r>
      <w:r w:rsidRPr="00E44993">
        <w:rPr>
          <w:rFonts w:ascii="Times New Roman" w:eastAsia="Times New Roman" w:hAnsi="Times New Roman" w:cs="Times New Roman"/>
          <w:color w:val="000000"/>
          <w:sz w:val="24"/>
          <w:szCs w:val="24"/>
        </w:rPr>
        <w:t xml:space="preserve"> 45.14(b) would require the SEF, DCM, or reporting counterparty to </w:t>
      </w:r>
      <w:r>
        <w:rPr>
          <w:rFonts w:ascii="Times New Roman" w:eastAsia="Times New Roman" w:hAnsi="Times New Roman" w:cs="Times New Roman"/>
          <w:color w:val="000000"/>
          <w:sz w:val="24"/>
          <w:szCs w:val="24"/>
        </w:rPr>
        <w:t>notify</w:t>
      </w:r>
      <w:r w:rsidRPr="00E44993">
        <w:rPr>
          <w:rFonts w:ascii="Times New Roman" w:eastAsia="Times New Roman" w:hAnsi="Times New Roman" w:cs="Times New Roman"/>
          <w:color w:val="000000"/>
          <w:sz w:val="24"/>
          <w:szCs w:val="24"/>
        </w:rPr>
        <w:t xml:space="preserve"> the director of the Division of Market Oversight</w:t>
      </w:r>
      <w:r>
        <w:rPr>
          <w:rFonts w:ascii="Times New Roman" w:eastAsia="Times New Roman" w:hAnsi="Times New Roman" w:cs="Times New Roman"/>
          <w:color w:val="000000"/>
          <w:sz w:val="24"/>
          <w:szCs w:val="24"/>
        </w:rPr>
        <w:t xml:space="preserve"> within twelve hours of determining it will be unable to timely correct the error, and to provide</w:t>
      </w:r>
      <w:r w:rsidRPr="00E44993">
        <w:rPr>
          <w:rFonts w:ascii="Times New Roman" w:eastAsia="Times New Roman" w:hAnsi="Times New Roman" w:cs="Times New Roman"/>
          <w:color w:val="000000"/>
          <w:sz w:val="24"/>
          <w:szCs w:val="24"/>
        </w:rPr>
        <w:t xml:space="preserve"> an </w:t>
      </w:r>
      <w:r w:rsidR="0086136A">
        <w:rPr>
          <w:rFonts w:ascii="Times New Roman" w:eastAsia="Times New Roman" w:hAnsi="Times New Roman" w:cs="Times New Roman"/>
          <w:color w:val="000000"/>
          <w:sz w:val="24"/>
          <w:szCs w:val="24"/>
        </w:rPr>
        <w:t>“</w:t>
      </w:r>
      <w:r w:rsidRPr="00E44993">
        <w:rPr>
          <w:rFonts w:ascii="Times New Roman" w:eastAsia="Times New Roman" w:hAnsi="Times New Roman" w:cs="Times New Roman"/>
          <w:color w:val="000000"/>
          <w:sz w:val="24"/>
          <w:szCs w:val="24"/>
        </w:rPr>
        <w:t>initial assessment of the</w:t>
      </w:r>
      <w:r w:rsidR="0086136A">
        <w:rPr>
          <w:rFonts w:ascii="Times New Roman" w:eastAsia="Times New Roman" w:hAnsi="Times New Roman" w:cs="Times New Roman"/>
          <w:color w:val="000000"/>
          <w:sz w:val="24"/>
          <w:szCs w:val="24"/>
        </w:rPr>
        <w:t xml:space="preserve"> scope of the</w:t>
      </w:r>
      <w:r w:rsidRPr="00E44993">
        <w:rPr>
          <w:rFonts w:ascii="Times New Roman" w:eastAsia="Times New Roman" w:hAnsi="Times New Roman" w:cs="Times New Roman"/>
          <w:color w:val="000000"/>
          <w:sz w:val="24"/>
          <w:szCs w:val="24"/>
        </w:rPr>
        <w:t xml:space="preserve"> error</w:t>
      </w:r>
      <w:r w:rsidR="0086136A">
        <w:rPr>
          <w:rFonts w:ascii="Times New Roman" w:eastAsia="Times New Roman" w:hAnsi="Times New Roman" w:cs="Times New Roman"/>
          <w:color w:val="000000"/>
          <w:sz w:val="24"/>
          <w:szCs w:val="24"/>
        </w:rPr>
        <w:t>[</w:t>
      </w:r>
      <w:r w:rsidRPr="00E44993">
        <w:rPr>
          <w:rFonts w:ascii="Times New Roman" w:eastAsia="Times New Roman" w:hAnsi="Times New Roman" w:cs="Times New Roman"/>
          <w:color w:val="000000"/>
          <w:sz w:val="24"/>
          <w:szCs w:val="24"/>
        </w:rPr>
        <w:t>s</w:t>
      </w:r>
      <w:r w:rsidR="0086136A">
        <w:rPr>
          <w:rFonts w:ascii="Times New Roman" w:eastAsia="Times New Roman" w:hAnsi="Times New Roman" w:cs="Times New Roman"/>
          <w:color w:val="000000"/>
          <w:sz w:val="24"/>
          <w:szCs w:val="24"/>
        </w:rPr>
        <w:t>]”</w:t>
      </w:r>
      <w:r w:rsidRPr="00E44993">
        <w:rPr>
          <w:rFonts w:ascii="Times New Roman" w:eastAsia="Times New Roman" w:hAnsi="Times New Roman" w:cs="Times New Roman"/>
          <w:color w:val="000000"/>
          <w:sz w:val="24"/>
          <w:szCs w:val="24"/>
        </w:rPr>
        <w:t xml:space="preserve"> and an initial remediation plan.</w:t>
      </w:r>
      <w:r>
        <w:rPr>
          <w:rStyle w:val="FootnoteReference"/>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xml:space="preserve">  Similarly, regulation 43.3(e) requires notification when data errors or omissions in Part 43 data cannot be corrected within seven business days of discovery.</w:t>
      </w:r>
      <w:r>
        <w:rPr>
          <w:rStyle w:val="FootnoteReference"/>
          <w:rFonts w:ascii="Times New Roman" w:eastAsia="Times New Roman" w:hAnsi="Times New Roman" w:cs="Times New Roman"/>
          <w:color w:val="000000"/>
          <w:sz w:val="24"/>
          <w:szCs w:val="24"/>
        </w:rPr>
        <w:footnoteReference w:id="4"/>
      </w:r>
    </w:p>
    <w:p w:rsidR="00E44993" w:rsidP="00D50C84" w14:paraId="38A86BD9"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86136A" w:rsidP="00D50C84" w14:paraId="303E3355" w14:textId="31673B95">
      <w:pPr>
        <w:widowControl w:val="0"/>
        <w:autoSpaceDE w:val="0"/>
        <w:autoSpaceDN w:val="0"/>
        <w:adjustRightInd w:val="0"/>
        <w:spacing w:after="0" w:line="240" w:lineRule="auto"/>
        <w:rPr>
          <w:rFonts w:ascii="Times New Roman" w:eastAsia="Times New Roman" w:hAnsi="Times New Roman" w:cs="Optimum"/>
          <w:color w:val="000000"/>
          <w:sz w:val="24"/>
          <w:szCs w:val="24"/>
        </w:rPr>
      </w:pPr>
      <w:r>
        <w:rPr>
          <w:rFonts w:ascii="Times New Roman" w:eastAsia="Times New Roman" w:hAnsi="Times New Roman" w:cs="Times New Roman"/>
          <w:color w:val="000000"/>
          <w:sz w:val="24"/>
          <w:szCs w:val="24"/>
        </w:rPr>
        <w:tab/>
        <w:t>In order to facilitate SEFs, DCMs, and reporting counterparties’ submission of error correction notifications pursuant to regulations 45.14 and 43.3(e), the Division of Data (“DOD”) proposes publishing a “Swap Data Error Correction Notification Form” (“Form”) on the Commission’s website, along with instructions for submitting that Form</w:t>
      </w:r>
      <w:r w:rsidR="00525D05">
        <w:rPr>
          <w:rFonts w:ascii="Times New Roman" w:eastAsia="Times New Roman" w:hAnsi="Times New Roman" w:cs="Times New Roman"/>
          <w:color w:val="000000"/>
          <w:sz w:val="24"/>
          <w:szCs w:val="24"/>
        </w:rPr>
        <w:t xml:space="preserve"> electronically</w:t>
      </w:r>
      <w:r>
        <w:rPr>
          <w:rFonts w:ascii="Times New Roman" w:eastAsia="Times New Roman" w:hAnsi="Times New Roman" w:cs="Times New Roman"/>
          <w:color w:val="000000"/>
          <w:sz w:val="24"/>
          <w:szCs w:val="24"/>
        </w:rPr>
        <w:t xml:space="preserve"> by email</w:t>
      </w:r>
      <w:r w:rsidR="00525D05">
        <w:rPr>
          <w:rFonts w:ascii="Times New Roman" w:eastAsia="Times New Roman" w:hAnsi="Times New Roman" w:cs="Times New Roman"/>
          <w:color w:val="000000"/>
          <w:sz w:val="24"/>
          <w:szCs w:val="24"/>
        </w:rPr>
        <w:t xml:space="preserve">.  That Form </w:t>
      </w:r>
      <w:r w:rsidR="00E37320">
        <w:rPr>
          <w:rFonts w:ascii="Times New Roman" w:eastAsia="Times New Roman" w:hAnsi="Times New Roman" w:cs="Times New Roman"/>
          <w:color w:val="000000"/>
          <w:sz w:val="24"/>
          <w:szCs w:val="24"/>
        </w:rPr>
        <w:t>contains</w:t>
      </w:r>
      <w:r w:rsidR="00525D05">
        <w:rPr>
          <w:rFonts w:ascii="Times New Roman" w:eastAsia="Times New Roman" w:hAnsi="Times New Roman" w:cs="Times New Roman"/>
          <w:color w:val="000000"/>
          <w:sz w:val="24"/>
          <w:szCs w:val="24"/>
        </w:rPr>
        <w:t xml:space="preserve"> fourteen</w:t>
      </w:r>
      <w:r w:rsidR="003022B1">
        <w:rPr>
          <w:rFonts w:ascii="Times New Roman" w:eastAsia="Times New Roman" w:hAnsi="Times New Roman" w:cs="Times New Roman"/>
          <w:color w:val="000000"/>
          <w:sz w:val="24"/>
          <w:szCs w:val="24"/>
        </w:rPr>
        <w:t xml:space="preserve"> questions that solicit information </w:t>
      </w:r>
      <w:r w:rsidRPr="003022B1" w:rsidR="003022B1">
        <w:rPr>
          <w:rFonts w:ascii="Times New Roman" w:eastAsia="Times New Roman" w:hAnsi="Times New Roman" w:cs="Times New Roman"/>
          <w:color w:val="000000"/>
          <w:sz w:val="24"/>
          <w:szCs w:val="24"/>
        </w:rPr>
        <w:t>sufficient to provide an “initial assessment of the scope of the error” and provides a SEF, DCM, or reporting counterparty an opportunity to present an initial remediation plan</w:t>
      </w:r>
      <w:r>
        <w:rPr>
          <w:rFonts w:ascii="Times New Roman" w:eastAsia="Times New Roman" w:hAnsi="Times New Roman" w:cs="Times New Roman"/>
          <w:color w:val="000000"/>
          <w:sz w:val="24"/>
          <w:szCs w:val="24"/>
        </w:rPr>
        <w:t>.</w:t>
      </w:r>
    </w:p>
    <w:p w:rsidR="0086136A" w:rsidP="00D50C84" w14:paraId="5D441300" w14:textId="77777777">
      <w:pPr>
        <w:widowControl w:val="0"/>
        <w:autoSpaceDE w:val="0"/>
        <w:autoSpaceDN w:val="0"/>
        <w:adjustRightInd w:val="0"/>
        <w:spacing w:after="0" w:line="240" w:lineRule="auto"/>
        <w:rPr>
          <w:rFonts w:ascii="Times New Roman" w:eastAsia="Times New Roman" w:hAnsi="Times New Roman" w:cs="Optimum"/>
          <w:color w:val="000000"/>
          <w:sz w:val="24"/>
          <w:szCs w:val="24"/>
        </w:rPr>
      </w:pPr>
    </w:p>
    <w:p w:rsidR="0086136A" w:rsidP="00B4433B" w14:paraId="1799E003" w14:textId="768D457C">
      <w:pPr>
        <w:widowControl w:val="0"/>
        <w:autoSpaceDE w:val="0"/>
        <w:autoSpaceDN w:val="0"/>
        <w:adjustRightInd w:val="0"/>
        <w:spacing w:after="0" w:line="240" w:lineRule="auto"/>
        <w:rPr>
          <w:rFonts w:ascii="Times New Roman" w:eastAsia="Times New Roman" w:hAnsi="Times New Roman" w:cs="Optimum"/>
          <w:color w:val="000000"/>
          <w:sz w:val="24"/>
          <w:szCs w:val="24"/>
        </w:rPr>
      </w:pPr>
      <w:r>
        <w:rPr>
          <w:rFonts w:ascii="Times New Roman" w:eastAsia="Times New Roman" w:hAnsi="Times New Roman" w:cs="Optimum"/>
          <w:color w:val="000000"/>
          <w:sz w:val="24"/>
          <w:szCs w:val="24"/>
        </w:rPr>
        <w:tab/>
      </w:r>
      <w:r w:rsidR="00FF6EC0">
        <w:rPr>
          <w:rFonts w:ascii="Times New Roman" w:eastAsia="Times New Roman" w:hAnsi="Times New Roman" w:cs="Optimum"/>
          <w:color w:val="000000"/>
          <w:sz w:val="24"/>
          <w:szCs w:val="24"/>
        </w:rPr>
        <w:t>T</w:t>
      </w:r>
      <w:r>
        <w:rPr>
          <w:rFonts w:ascii="Times New Roman" w:eastAsia="Times New Roman" w:hAnsi="Times New Roman" w:cs="Optimum"/>
          <w:color w:val="000000"/>
          <w:sz w:val="24"/>
          <w:szCs w:val="24"/>
        </w:rPr>
        <w:t xml:space="preserve">he Commission is proposing to revise Information Collection </w:t>
      </w:r>
      <w:r w:rsidR="00A403A8">
        <w:rPr>
          <w:rFonts w:ascii="Times New Roman" w:eastAsia="Times New Roman" w:hAnsi="Times New Roman" w:cs="Optimum"/>
          <w:color w:val="000000"/>
          <w:sz w:val="24"/>
          <w:szCs w:val="24"/>
        </w:rPr>
        <w:t xml:space="preserve">3038-0096 and 3038-0070 </w:t>
      </w:r>
      <w:r w:rsidR="00A403A8">
        <w:rPr>
          <w:rFonts w:ascii="Times New Roman" w:eastAsia="Times New Roman" w:hAnsi="Times New Roman" w:cs="Optimum"/>
          <w:color w:val="000000"/>
          <w:sz w:val="24"/>
          <w:szCs w:val="24"/>
        </w:rPr>
        <w:t xml:space="preserve">to add the Form as a new Information Collection Instrument </w:t>
      </w:r>
      <w:r w:rsidR="00CD26A8">
        <w:rPr>
          <w:rFonts w:ascii="Times New Roman" w:eastAsia="Times New Roman" w:hAnsi="Times New Roman" w:cs="Optimum"/>
          <w:color w:val="000000"/>
          <w:sz w:val="24"/>
          <w:szCs w:val="24"/>
        </w:rPr>
        <w:t>for each collection</w:t>
      </w:r>
      <w:r w:rsidR="00A403A8">
        <w:rPr>
          <w:rFonts w:ascii="Times New Roman" w:eastAsia="Times New Roman" w:hAnsi="Times New Roman" w:cs="Optimum"/>
          <w:color w:val="000000"/>
          <w:sz w:val="24"/>
          <w:szCs w:val="24"/>
        </w:rPr>
        <w:t xml:space="preserve">. The </w:t>
      </w:r>
      <w:r>
        <w:rPr>
          <w:rFonts w:ascii="Times New Roman" w:eastAsia="Times New Roman" w:hAnsi="Times New Roman" w:cs="Optimum"/>
          <w:color w:val="000000"/>
          <w:sz w:val="24"/>
          <w:szCs w:val="24"/>
        </w:rPr>
        <w:t xml:space="preserve">Commission is </w:t>
      </w:r>
      <w:r w:rsidR="00406298">
        <w:rPr>
          <w:rFonts w:ascii="Times New Roman" w:eastAsia="Times New Roman" w:hAnsi="Times New Roman" w:cs="Optimum"/>
          <w:color w:val="000000"/>
          <w:sz w:val="24"/>
          <w:szCs w:val="24"/>
        </w:rPr>
        <w:t>also revising the</w:t>
      </w:r>
      <w:r>
        <w:rPr>
          <w:rFonts w:ascii="Times New Roman" w:eastAsia="Times New Roman" w:hAnsi="Times New Roman" w:cs="Optimum"/>
          <w:color w:val="000000"/>
          <w:sz w:val="24"/>
          <w:szCs w:val="24"/>
        </w:rPr>
        <w:t xml:space="preserve"> estimated burdens associated with </w:t>
      </w:r>
      <w:r w:rsidR="00B4433B">
        <w:rPr>
          <w:rFonts w:ascii="Times New Roman" w:eastAsia="Times New Roman" w:hAnsi="Times New Roman" w:cs="Optimum"/>
          <w:color w:val="000000"/>
          <w:sz w:val="24"/>
          <w:szCs w:val="24"/>
        </w:rPr>
        <w:t>these</w:t>
      </w:r>
      <w:r w:rsidR="00A403A8">
        <w:rPr>
          <w:rFonts w:ascii="Times New Roman" w:eastAsia="Times New Roman" w:hAnsi="Times New Roman" w:cs="Optimum"/>
          <w:color w:val="000000"/>
          <w:sz w:val="24"/>
          <w:szCs w:val="24"/>
        </w:rPr>
        <w:t xml:space="preserve"> </w:t>
      </w:r>
      <w:r>
        <w:rPr>
          <w:rFonts w:ascii="Times New Roman" w:eastAsia="Times New Roman" w:hAnsi="Times New Roman" w:cs="Optimum"/>
          <w:color w:val="000000"/>
          <w:sz w:val="24"/>
          <w:szCs w:val="24"/>
        </w:rPr>
        <w:t>collections</w:t>
      </w:r>
      <w:r w:rsidR="00A403A8">
        <w:rPr>
          <w:rFonts w:ascii="Times New Roman" w:eastAsia="Times New Roman" w:hAnsi="Times New Roman" w:cs="Optimum"/>
          <w:color w:val="000000"/>
          <w:sz w:val="24"/>
          <w:szCs w:val="24"/>
        </w:rPr>
        <w:t xml:space="preserve"> </w:t>
      </w:r>
      <w:r w:rsidR="00CD26A8">
        <w:rPr>
          <w:rFonts w:ascii="Times New Roman" w:eastAsia="Times New Roman" w:hAnsi="Times New Roman" w:cs="Optimum"/>
          <w:color w:val="000000"/>
          <w:sz w:val="24"/>
          <w:szCs w:val="24"/>
        </w:rPr>
        <w:t>accordingly</w:t>
      </w:r>
      <w:r w:rsidRPr="00DF7E26" w:rsidR="00406298">
        <w:rPr>
          <w:rFonts w:ascii="Times New Roman" w:eastAsia="Times New Roman" w:hAnsi="Times New Roman" w:cs="Optimum"/>
          <w:color w:val="000000"/>
          <w:sz w:val="24"/>
          <w:szCs w:val="24"/>
        </w:rPr>
        <w:t>.</w:t>
      </w:r>
      <w:r>
        <w:rPr>
          <w:rStyle w:val="FootnoteReference"/>
          <w:rFonts w:ascii="Times New Roman" w:eastAsia="Times New Roman" w:hAnsi="Times New Roman" w:cs="Times New Roman"/>
          <w:sz w:val="24"/>
          <w:szCs w:val="24"/>
        </w:rPr>
        <w:footnoteReference w:id="5"/>
      </w:r>
      <w:r w:rsidR="00B4433B">
        <w:rPr>
          <w:rFonts w:ascii="Times New Roman" w:eastAsia="Times New Roman" w:hAnsi="Times New Roman" w:cs="Optimum"/>
          <w:color w:val="000000"/>
          <w:sz w:val="24"/>
          <w:szCs w:val="24"/>
        </w:rPr>
        <w:t xml:space="preserve">  </w:t>
      </w:r>
      <w:r w:rsidR="00DF7E26">
        <w:rPr>
          <w:rFonts w:ascii="Times New Roman" w:eastAsia="Times New Roman" w:hAnsi="Times New Roman" w:cs="Optimum"/>
          <w:color w:val="000000"/>
          <w:sz w:val="24"/>
          <w:szCs w:val="24"/>
        </w:rPr>
        <w:t xml:space="preserve">Commission staff issued the </w:t>
      </w:r>
      <w:r w:rsidRPr="00DF7E26" w:rsidR="00A403A8">
        <w:rPr>
          <w:rFonts w:ascii="Times New Roman" w:eastAsia="Times New Roman" w:hAnsi="Times New Roman" w:cs="Optimum"/>
          <w:color w:val="000000"/>
          <w:sz w:val="24"/>
          <w:szCs w:val="24"/>
        </w:rPr>
        <w:t xml:space="preserve">Form </w:t>
      </w:r>
      <w:r w:rsidR="00DF7E26">
        <w:rPr>
          <w:rFonts w:ascii="Times New Roman" w:eastAsia="Times New Roman" w:hAnsi="Times New Roman" w:cs="Optimum"/>
          <w:color w:val="000000"/>
          <w:sz w:val="24"/>
          <w:szCs w:val="24"/>
        </w:rPr>
        <w:t xml:space="preserve">pursuant </w:t>
      </w:r>
      <w:r w:rsidR="002926DE">
        <w:rPr>
          <w:rFonts w:ascii="Times New Roman" w:eastAsia="Times New Roman" w:hAnsi="Times New Roman" w:cs="Optimum"/>
          <w:color w:val="000000"/>
          <w:sz w:val="24"/>
          <w:szCs w:val="24"/>
        </w:rPr>
        <w:t xml:space="preserve">to </w:t>
      </w:r>
      <w:r w:rsidR="00DF7E26">
        <w:rPr>
          <w:rFonts w:ascii="Times New Roman" w:eastAsia="Times New Roman" w:hAnsi="Times New Roman" w:cs="Optimum"/>
          <w:color w:val="000000"/>
          <w:sz w:val="24"/>
          <w:szCs w:val="24"/>
        </w:rPr>
        <w:t>authority delegated by the Commission to specify the form and manner for notifications</w:t>
      </w:r>
      <w:r w:rsidR="006A757A">
        <w:rPr>
          <w:rFonts w:ascii="Times New Roman" w:eastAsia="Times New Roman" w:hAnsi="Times New Roman" w:cs="Optimum"/>
          <w:color w:val="000000"/>
          <w:sz w:val="24"/>
          <w:szCs w:val="24"/>
        </w:rPr>
        <w:t xml:space="preserve"> for regarding swap data error corrections</w:t>
      </w:r>
      <w:r w:rsidR="00DF7E26">
        <w:rPr>
          <w:rFonts w:ascii="Times New Roman" w:eastAsia="Times New Roman" w:hAnsi="Times New Roman" w:cs="Optimum"/>
          <w:color w:val="000000"/>
          <w:sz w:val="24"/>
          <w:szCs w:val="24"/>
        </w:rPr>
        <w:t>.</w:t>
      </w:r>
      <w:r>
        <w:rPr>
          <w:rStyle w:val="FootnoteReference"/>
          <w:rFonts w:ascii="Times New Roman" w:eastAsia="Times New Roman" w:hAnsi="Times New Roman" w:cs="Optimum"/>
          <w:color w:val="000000"/>
          <w:sz w:val="24"/>
          <w:szCs w:val="24"/>
        </w:rPr>
        <w:footnoteReference w:id="6"/>
      </w:r>
      <w:r w:rsidR="00DF7E26">
        <w:rPr>
          <w:rFonts w:ascii="Times New Roman" w:eastAsia="Times New Roman" w:hAnsi="Times New Roman" w:cs="Optimum"/>
          <w:color w:val="000000"/>
          <w:sz w:val="24"/>
          <w:szCs w:val="24"/>
        </w:rPr>
        <w:t xml:space="preserve">  </w:t>
      </w:r>
      <w:r w:rsidR="00B4433B">
        <w:rPr>
          <w:rFonts w:ascii="Times New Roman" w:eastAsia="Times New Roman" w:hAnsi="Times New Roman" w:cs="Optimum"/>
          <w:color w:val="000000"/>
          <w:sz w:val="24"/>
          <w:szCs w:val="24"/>
        </w:rPr>
        <w:t>On June 10, 2022</w:t>
      </w:r>
      <w:r w:rsidR="00DF7E26">
        <w:rPr>
          <w:rFonts w:ascii="Times New Roman" w:eastAsia="Times New Roman" w:hAnsi="Times New Roman" w:cs="Optimum"/>
          <w:color w:val="000000"/>
          <w:sz w:val="24"/>
          <w:szCs w:val="24"/>
        </w:rPr>
        <w:t xml:space="preserve">, </w:t>
      </w:r>
      <w:r w:rsidR="00AC5C9A">
        <w:rPr>
          <w:rFonts w:ascii="Times New Roman" w:eastAsia="Times New Roman" w:hAnsi="Times New Roman" w:cs="Optimum"/>
          <w:color w:val="000000"/>
          <w:sz w:val="24"/>
          <w:szCs w:val="24"/>
        </w:rPr>
        <w:t xml:space="preserve">CFTC staff issued a </w:t>
      </w:r>
      <w:r w:rsidRPr="00AC5C9A" w:rsidR="00AC5C9A">
        <w:rPr>
          <w:rFonts w:ascii="Times New Roman" w:eastAsia="Times New Roman" w:hAnsi="Times New Roman" w:cs="Optimum"/>
          <w:color w:val="000000"/>
          <w:sz w:val="24"/>
          <w:szCs w:val="24"/>
        </w:rPr>
        <w:t>Staff Advisory on Reporting of Errors and Omissions in Previously Reported Data</w:t>
      </w:r>
      <w:r w:rsidR="00AC5C9A">
        <w:rPr>
          <w:rFonts w:ascii="Times New Roman" w:eastAsia="Times New Roman" w:hAnsi="Times New Roman" w:cs="Optimum"/>
          <w:color w:val="000000"/>
          <w:sz w:val="24"/>
          <w:szCs w:val="24"/>
        </w:rPr>
        <w:t>,</w:t>
      </w:r>
      <w:r>
        <w:rPr>
          <w:rStyle w:val="FootnoteReference"/>
          <w:rFonts w:ascii="Times New Roman" w:eastAsia="Times New Roman" w:hAnsi="Times New Roman" w:cs="Optimum"/>
          <w:color w:val="000000"/>
          <w:sz w:val="24"/>
          <w:szCs w:val="24"/>
        </w:rPr>
        <w:footnoteReference w:id="7"/>
      </w:r>
      <w:r w:rsidR="00AC5C9A">
        <w:rPr>
          <w:rFonts w:ascii="Times New Roman" w:eastAsia="Times New Roman" w:hAnsi="Times New Roman" w:cs="Optimum"/>
          <w:color w:val="000000"/>
          <w:sz w:val="24"/>
          <w:szCs w:val="24"/>
        </w:rPr>
        <w:t xml:space="preserve"> which included the Form as an Appendix.  CFTC Letter 22-06 </w:t>
      </w:r>
      <w:r w:rsidR="00CD26A8">
        <w:rPr>
          <w:rFonts w:ascii="Times New Roman" w:eastAsia="Times New Roman" w:hAnsi="Times New Roman" w:cs="Optimum"/>
          <w:color w:val="000000"/>
          <w:sz w:val="24"/>
          <w:szCs w:val="24"/>
        </w:rPr>
        <w:t>announced</w:t>
      </w:r>
      <w:r w:rsidR="00AC5C9A">
        <w:rPr>
          <w:rFonts w:ascii="Times New Roman" w:eastAsia="Times New Roman" w:hAnsi="Times New Roman" w:cs="Optimum"/>
          <w:color w:val="000000"/>
          <w:sz w:val="24"/>
          <w:szCs w:val="24"/>
        </w:rPr>
        <w:t xml:space="preserve"> that the Form should be used for reporting covered</w:t>
      </w:r>
      <w:r w:rsidRPr="00AC5C9A" w:rsidR="00AC5C9A">
        <w:rPr>
          <w:rFonts w:ascii="Times New Roman" w:eastAsia="Times New Roman" w:hAnsi="Times New Roman" w:cs="Optimum"/>
          <w:color w:val="000000"/>
          <w:sz w:val="24"/>
          <w:szCs w:val="24"/>
        </w:rPr>
        <w:t xml:space="preserve"> data errors </w:t>
      </w:r>
      <w:r w:rsidR="00AC5C9A">
        <w:rPr>
          <w:rFonts w:ascii="Times New Roman" w:eastAsia="Times New Roman" w:hAnsi="Times New Roman" w:cs="Optimum"/>
          <w:color w:val="000000"/>
          <w:sz w:val="24"/>
          <w:szCs w:val="24"/>
        </w:rPr>
        <w:t>beginning on December 5, 202</w:t>
      </w:r>
      <w:r w:rsidR="009711A4">
        <w:rPr>
          <w:rFonts w:ascii="Times New Roman" w:eastAsia="Times New Roman" w:hAnsi="Times New Roman" w:cs="Optimum"/>
          <w:color w:val="000000"/>
          <w:sz w:val="24"/>
          <w:szCs w:val="24"/>
        </w:rPr>
        <w:t>2</w:t>
      </w:r>
      <w:r w:rsidR="00AC5C9A">
        <w:rPr>
          <w:rFonts w:ascii="Times New Roman" w:eastAsia="Times New Roman" w:hAnsi="Times New Roman" w:cs="Optimum"/>
          <w:color w:val="000000"/>
          <w:sz w:val="24"/>
          <w:szCs w:val="24"/>
        </w:rPr>
        <w:t>.</w:t>
      </w:r>
      <w:r w:rsidRPr="00AC5C9A" w:rsidR="00AC5C9A">
        <w:rPr>
          <w:rFonts w:ascii="Times New Roman" w:eastAsia="Times New Roman" w:hAnsi="Times New Roman" w:cs="Optimum"/>
          <w:color w:val="000000"/>
          <w:sz w:val="24"/>
          <w:szCs w:val="24"/>
        </w:rPr>
        <w:t xml:space="preserve"> </w:t>
      </w:r>
      <w:r w:rsidR="00CD26A8">
        <w:rPr>
          <w:rFonts w:ascii="Times New Roman" w:eastAsia="Times New Roman" w:hAnsi="Times New Roman" w:cs="Optimum"/>
          <w:color w:val="000000"/>
          <w:sz w:val="24"/>
          <w:szCs w:val="24"/>
        </w:rPr>
        <w:t>T</w:t>
      </w:r>
      <w:r w:rsidR="00AC5C9A">
        <w:rPr>
          <w:rFonts w:ascii="Times New Roman" w:eastAsia="Times New Roman" w:hAnsi="Times New Roman" w:cs="Optimum"/>
          <w:color w:val="000000"/>
          <w:sz w:val="24"/>
          <w:szCs w:val="24"/>
        </w:rPr>
        <w:t xml:space="preserve">he Form </w:t>
      </w:r>
      <w:r w:rsidRPr="00DF7E26" w:rsidR="00A403A8">
        <w:rPr>
          <w:rFonts w:ascii="Times New Roman" w:eastAsia="Times New Roman" w:hAnsi="Times New Roman" w:cs="Optimum"/>
          <w:color w:val="000000"/>
          <w:sz w:val="24"/>
          <w:szCs w:val="24"/>
        </w:rPr>
        <w:t xml:space="preserve">specifies the format and manner for submitting information </w:t>
      </w:r>
      <w:r w:rsidRPr="00DF7E26" w:rsidR="00554D3A">
        <w:rPr>
          <w:rFonts w:ascii="Times New Roman" w:eastAsia="Times New Roman" w:hAnsi="Times New Roman" w:cs="Optimum"/>
          <w:color w:val="000000"/>
          <w:sz w:val="24"/>
          <w:szCs w:val="24"/>
        </w:rPr>
        <w:t>required under regulations 45.14 and 43.3(e)</w:t>
      </w:r>
      <w:r>
        <w:rPr>
          <w:rFonts w:ascii="Times New Roman" w:eastAsia="Times New Roman" w:hAnsi="Times New Roman" w:cs="Optimum"/>
          <w:color w:val="000000"/>
          <w:sz w:val="24"/>
          <w:szCs w:val="24"/>
        </w:rPr>
        <w:t>.</w:t>
      </w:r>
    </w:p>
    <w:p w:rsidR="00ED3473" w:rsidP="00D50C84" w14:paraId="053393FB" w14:textId="77777777">
      <w:pPr>
        <w:widowControl w:val="0"/>
        <w:autoSpaceDE w:val="0"/>
        <w:autoSpaceDN w:val="0"/>
        <w:adjustRightInd w:val="0"/>
        <w:spacing w:after="0" w:line="240" w:lineRule="auto"/>
        <w:rPr>
          <w:rFonts w:ascii="Times New Roman" w:eastAsia="Times New Roman" w:hAnsi="Times New Roman" w:cs="Optimum"/>
          <w:color w:val="000000"/>
          <w:sz w:val="24"/>
          <w:szCs w:val="24"/>
        </w:rPr>
      </w:pPr>
    </w:p>
    <w:p w:rsidR="00ED3473" w:rsidRPr="00E21E52" w:rsidP="00D50C84" w14:paraId="26C0C333" w14:textId="77777777">
      <w:pPr>
        <w:widowControl w:val="0"/>
        <w:autoSpaceDE w:val="0"/>
        <w:autoSpaceDN w:val="0"/>
        <w:adjustRightInd w:val="0"/>
        <w:spacing w:after="0" w:line="240" w:lineRule="auto"/>
        <w:rPr>
          <w:rFonts w:ascii="Times New Roman" w:eastAsia="Times New Roman" w:hAnsi="Times New Roman" w:cs="Optimum"/>
          <w:color w:val="000000"/>
          <w:sz w:val="24"/>
          <w:szCs w:val="24"/>
        </w:rPr>
      </w:pPr>
      <w:r>
        <w:rPr>
          <w:rFonts w:ascii="Times New Roman" w:eastAsia="Times New Roman" w:hAnsi="Times New Roman" w:cs="Optimum"/>
          <w:color w:val="000000"/>
          <w:sz w:val="24"/>
          <w:szCs w:val="24"/>
        </w:rPr>
        <w:tab/>
        <w:t>The proposed modification could affect SEFs, DCMs, swap dealers (“SDs”), major swap participants (“MSPs”), derivatives clearing organizations (“DCOs”), and other non-SD/MSP/DCO reporting counterparties or entities that may become SDs/MSPs/DCOs in the future</w:t>
      </w:r>
      <w:r w:rsidR="00A403A8">
        <w:rPr>
          <w:rFonts w:ascii="Times New Roman" w:eastAsia="Times New Roman" w:hAnsi="Times New Roman" w:cs="Optimum"/>
          <w:color w:val="000000"/>
          <w:sz w:val="24"/>
          <w:szCs w:val="24"/>
        </w:rPr>
        <w:t xml:space="preserve"> who will be required to use the Form to comply with the reporting requirements mandated under </w:t>
      </w:r>
      <w:r w:rsidR="00A403A8">
        <w:rPr>
          <w:rFonts w:ascii="Times New Roman" w:eastAsia="Times New Roman" w:hAnsi="Times New Roman" w:cs="Times New Roman"/>
          <w:color w:val="000000"/>
          <w:sz w:val="24"/>
          <w:szCs w:val="24"/>
        </w:rPr>
        <w:t>regulations 45.14 and 43.3(e)</w:t>
      </w:r>
      <w:r>
        <w:rPr>
          <w:rFonts w:ascii="Times New Roman" w:eastAsia="Times New Roman" w:hAnsi="Times New Roman" w:cs="Optimum"/>
          <w:color w:val="000000"/>
          <w:sz w:val="24"/>
          <w:szCs w:val="24"/>
        </w:rPr>
        <w:t>.</w:t>
      </w:r>
    </w:p>
    <w:p w:rsidR="00D50C84" w:rsidRPr="00E21E52" w:rsidP="00D50C84" w14:paraId="4C0D4C26"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50C84" w:rsidRPr="00E21E52" w:rsidP="00D50C84" w14:paraId="352F38BA" w14:textId="77777777">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Indicate how, by whom, and for what purpose the data would be used.  Except for a new collection, indicate the actual use the agency has made of the information received from the current collection</w:t>
      </w:r>
      <w:r w:rsidRPr="00E21E52">
        <w:rPr>
          <w:rFonts w:ascii="Times New Roman" w:eastAsia="Times New Roman" w:hAnsi="Times New Roman" w:cs="Times New Roman"/>
          <w:sz w:val="24"/>
          <w:szCs w:val="20"/>
        </w:rPr>
        <w:t xml:space="preserve">. </w:t>
      </w:r>
    </w:p>
    <w:p w:rsidR="00D50C84" w:rsidRPr="00E21E52" w:rsidP="00D50C84" w14:paraId="6FA01920" w14:textId="77777777">
      <w:pPr>
        <w:tabs>
          <w:tab w:val="left" w:pos="-72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6BF0CD7E" w14:textId="77777777">
      <w:pPr>
        <w:tabs>
          <w:tab w:val="left" w:pos="-72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 xml:space="preserve">The Commission uses the </w:t>
      </w:r>
      <w:r>
        <w:rPr>
          <w:rFonts w:ascii="Times New Roman" w:eastAsia="Times New Roman" w:hAnsi="Times New Roman" w:cs="Times New Roman"/>
          <w:sz w:val="24"/>
          <w:szCs w:val="20"/>
        </w:rPr>
        <w:t>information</w:t>
      </w:r>
      <w:r w:rsidRPr="00E21E52">
        <w:rPr>
          <w:rFonts w:ascii="Times New Roman" w:eastAsia="Times New Roman" w:hAnsi="Times New Roman" w:cs="Times New Roman"/>
          <w:sz w:val="24"/>
          <w:szCs w:val="20"/>
        </w:rPr>
        <w:t xml:space="preserve"> required by CFTC regulation</w:t>
      </w:r>
      <w:r>
        <w:rPr>
          <w:rFonts w:ascii="Times New Roman" w:eastAsia="Times New Roman" w:hAnsi="Times New Roman" w:cs="Times New Roman"/>
          <w:sz w:val="24"/>
          <w:szCs w:val="20"/>
        </w:rPr>
        <w:t>s 45.14 and 43.3(e)</w:t>
      </w:r>
      <w:r w:rsidRPr="00E21E52">
        <w:rPr>
          <w:rFonts w:ascii="Times New Roman" w:eastAsia="Times New Roman" w:hAnsi="Times New Roman" w:cs="Times New Roman"/>
          <w:sz w:val="24"/>
          <w:szCs w:val="20"/>
        </w:rPr>
        <w:t xml:space="preserve"> to </w:t>
      </w:r>
      <w:r>
        <w:rPr>
          <w:rFonts w:ascii="Times New Roman" w:eastAsia="Times New Roman" w:hAnsi="Times New Roman" w:cs="Times New Roman"/>
          <w:sz w:val="24"/>
          <w:szCs w:val="20"/>
        </w:rPr>
        <w:t xml:space="preserve">ensure </w:t>
      </w:r>
      <w:r w:rsidR="00ED3473">
        <w:rPr>
          <w:rFonts w:ascii="Times New Roman" w:eastAsia="Times New Roman" w:hAnsi="Times New Roman" w:cs="Times New Roman"/>
          <w:sz w:val="24"/>
          <w:szCs w:val="20"/>
        </w:rPr>
        <w:t>data quality</w:t>
      </w:r>
      <w:r>
        <w:rPr>
          <w:rFonts w:ascii="Times New Roman" w:eastAsia="Times New Roman" w:hAnsi="Times New Roman" w:cs="Times New Roman"/>
          <w:sz w:val="24"/>
          <w:szCs w:val="20"/>
        </w:rPr>
        <w:t>, identify errors in data, and ensure compliance with Commission regulations</w:t>
      </w:r>
      <w:r w:rsidRPr="00E21E52">
        <w:rPr>
          <w:rFonts w:ascii="Times New Roman" w:eastAsia="Times New Roman" w:hAnsi="Times New Roman" w:cs="Times New Roman"/>
          <w:sz w:val="24"/>
          <w:szCs w:val="20"/>
        </w:rPr>
        <w:t>.</w:t>
      </w:r>
    </w:p>
    <w:p w:rsidR="00D50C84" w:rsidRPr="00E21E52" w:rsidP="00D50C84" w14:paraId="10085822"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2B29BF7C"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50C84" w:rsidRPr="00E21E52" w:rsidP="00D50C84" w14:paraId="7BA3B52F"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526AD4AB" w14:textId="77777777">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CFTC regulation</w:t>
      </w:r>
      <w:r>
        <w:rPr>
          <w:rFonts w:ascii="Times New Roman" w:eastAsia="Times New Roman" w:hAnsi="Times New Roman" w:cs="Times New Roman"/>
          <w:sz w:val="24"/>
          <w:szCs w:val="20"/>
        </w:rPr>
        <w:t>s</w:t>
      </w:r>
      <w:r w:rsidRPr="00E21E52">
        <w:rPr>
          <w:rFonts w:ascii="Times New Roman" w:eastAsia="Times New Roman" w:hAnsi="Times New Roman" w:cs="Times New Roman"/>
          <w:sz w:val="24"/>
          <w:szCs w:val="20"/>
        </w:rPr>
        <w:t xml:space="preserve"> 4</w:t>
      </w:r>
      <w:r>
        <w:rPr>
          <w:rFonts w:ascii="Times New Roman" w:eastAsia="Times New Roman" w:hAnsi="Times New Roman" w:cs="Times New Roman"/>
          <w:sz w:val="24"/>
          <w:szCs w:val="20"/>
        </w:rPr>
        <w:t>5.14 and 43.3(e)</w:t>
      </w:r>
      <w:r w:rsidRPr="00E21E52">
        <w:rPr>
          <w:rFonts w:ascii="Times New Roman" w:eastAsia="Times New Roman" w:hAnsi="Times New Roman" w:cs="Times New Roman"/>
          <w:sz w:val="24"/>
          <w:szCs w:val="20"/>
        </w:rPr>
        <w:t xml:space="preserve"> require affected parties to </w:t>
      </w:r>
      <w:r>
        <w:rPr>
          <w:rFonts w:ascii="Times New Roman" w:eastAsia="Times New Roman" w:hAnsi="Times New Roman" w:cs="Times New Roman"/>
          <w:sz w:val="24"/>
          <w:szCs w:val="20"/>
        </w:rPr>
        <w:t>notify the Commission if affected parties are unable to timely correct a swap data error.  The collection of information is electronic (via email).  Obtaining information through electronic means is intended to reduce burdens on affected parties.</w:t>
      </w:r>
    </w:p>
    <w:p w:rsidR="00D50C84" w:rsidRPr="00E21E52" w:rsidP="00D50C84" w14:paraId="676D830E"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6F498F3E"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identify duplication.  Show specifically why any similar information already available cannot be used or modified for use for the purposes described in Item 2 above</w:t>
      </w:r>
      <w:r w:rsidRPr="00E21E52">
        <w:rPr>
          <w:rFonts w:ascii="Times New Roman" w:eastAsia="Times New Roman" w:hAnsi="Times New Roman" w:cs="Times New Roman"/>
          <w:sz w:val="24"/>
          <w:szCs w:val="20"/>
        </w:rPr>
        <w:t xml:space="preserve">. </w:t>
      </w:r>
    </w:p>
    <w:p w:rsidR="00D50C84" w:rsidRPr="00E21E52" w:rsidP="00D50C84" w14:paraId="74093196"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1FC02F45" w14:textId="77777777">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The information collection is necessary to obtain information detailing the cause, nature, and scope of swap data errors.  Because swap data errors may result from discrepancies between data reported to SDRs and data in the systems of SEFs, DCMs, and reporting counterparties, </w:t>
      </w:r>
      <w:r>
        <w:rPr>
          <w:rFonts w:ascii="Times New Roman" w:eastAsia="Times New Roman" w:hAnsi="Times New Roman" w:cs="Times New Roman"/>
          <w:sz w:val="24"/>
          <w:szCs w:val="20"/>
        </w:rPr>
        <w:t xml:space="preserve">often only SEFs, DCMs, and reporting counterparties have the ability to identify swap data errors and/or the scope of those errors.  </w:t>
      </w:r>
    </w:p>
    <w:p w:rsidR="00D50C84" w:rsidRPr="00E21E52" w:rsidP="008453B3" w14:paraId="2AE23393" w14:textId="77777777">
      <w:pPr>
        <w:keepNext/>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the collection of information involves small business or other small entities (Item 5 of OMB Fo</w:t>
      </w:r>
      <w:r w:rsidR="00E6296E">
        <w:rPr>
          <w:rFonts w:ascii="Times New Roman" w:eastAsia="Times New Roman" w:hAnsi="Times New Roman" w:cs="Times New Roman"/>
          <w:sz w:val="24"/>
          <w:szCs w:val="20"/>
          <w:u w:val="single"/>
        </w:rPr>
        <w:t>r</w:t>
      </w:r>
      <w:r w:rsidRPr="00E21E52">
        <w:rPr>
          <w:rFonts w:ascii="Times New Roman" w:eastAsia="Times New Roman" w:hAnsi="Times New Roman" w:cs="Times New Roman"/>
          <w:sz w:val="24"/>
          <w:szCs w:val="20"/>
          <w:u w:val="single"/>
        </w:rPr>
        <w:t>m 83-I), describe the methods used to minimize burden</w:t>
      </w:r>
      <w:r w:rsidRPr="00E21E52">
        <w:rPr>
          <w:rFonts w:ascii="Times New Roman" w:eastAsia="Times New Roman" w:hAnsi="Times New Roman" w:cs="Times New Roman"/>
          <w:sz w:val="24"/>
          <w:szCs w:val="20"/>
        </w:rPr>
        <w:t>.</w:t>
      </w:r>
    </w:p>
    <w:p w:rsidR="00D50C84" w:rsidRPr="00E21E52" w:rsidP="008453B3" w14:paraId="42E14925" w14:textId="77777777">
      <w:pPr>
        <w:keepNext/>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8453B3" w14:paraId="57BFF9DD" w14:textId="77777777">
      <w:pPr>
        <w:keepNext/>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The entities affected by CFTC regulation</w:t>
      </w:r>
      <w:r w:rsidR="00D7577B">
        <w:rPr>
          <w:rFonts w:ascii="Times New Roman" w:eastAsia="Times New Roman" w:hAnsi="Times New Roman" w:cs="Times New Roman"/>
          <w:sz w:val="24"/>
          <w:szCs w:val="20"/>
        </w:rPr>
        <w:t>s 45.14 and 43.3(e)</w:t>
      </w:r>
      <w:r w:rsidRPr="00E21E52">
        <w:rPr>
          <w:rFonts w:ascii="Times New Roman" w:eastAsia="Times New Roman" w:hAnsi="Times New Roman" w:cs="Times New Roman"/>
          <w:sz w:val="24"/>
          <w:szCs w:val="20"/>
        </w:rPr>
        <w:t xml:space="preserve"> include </w:t>
      </w:r>
      <w:r w:rsidR="00512BBE">
        <w:rPr>
          <w:rFonts w:ascii="Times New Roman" w:eastAsia="Times New Roman" w:hAnsi="Times New Roman" w:cs="Times New Roman"/>
          <w:sz w:val="24"/>
          <w:szCs w:val="20"/>
        </w:rPr>
        <w:t xml:space="preserve">SEFs, DCMs, DCOs, </w:t>
      </w:r>
      <w:r w:rsidRPr="00E21E52">
        <w:rPr>
          <w:rFonts w:ascii="Times New Roman" w:eastAsia="Times New Roman" w:hAnsi="Times New Roman" w:cs="Times New Roman"/>
          <w:sz w:val="24"/>
          <w:szCs w:val="20"/>
        </w:rPr>
        <w:t xml:space="preserve">SDs, MSPs, and non-SD/MSP counterparties.  </w:t>
      </w:r>
      <w:r w:rsidR="00512BBE">
        <w:rPr>
          <w:rFonts w:ascii="Times New Roman" w:eastAsia="Times New Roman" w:hAnsi="Times New Roman" w:cs="Times New Roman"/>
          <w:sz w:val="24"/>
          <w:szCs w:val="20"/>
        </w:rPr>
        <w:t>SEFs, DCMs, and DCOs are not small entities for purposes of the Regulatory Flexibility Act.</w:t>
      </w:r>
      <w:r>
        <w:rPr>
          <w:rStyle w:val="FootnoteReference"/>
          <w:rFonts w:ascii="Times New Roman" w:eastAsia="Times New Roman" w:hAnsi="Times New Roman" w:cs="Times New Roman"/>
          <w:sz w:val="24"/>
          <w:szCs w:val="20"/>
        </w:rPr>
        <w:footnoteReference w:id="8"/>
      </w:r>
      <w:r w:rsidR="00512BBE">
        <w:rPr>
          <w:rFonts w:ascii="Times New Roman" w:eastAsia="Times New Roman" w:hAnsi="Times New Roman" w:cs="Times New Roman"/>
          <w:sz w:val="24"/>
          <w:szCs w:val="20"/>
        </w:rPr>
        <w:t xml:space="preserve">  </w:t>
      </w:r>
      <w:r w:rsidRPr="00E21E52">
        <w:rPr>
          <w:rFonts w:ascii="Times New Roman" w:eastAsia="Times New Roman" w:hAnsi="Times New Roman" w:cs="Times New Roman"/>
          <w:sz w:val="24"/>
          <w:szCs w:val="20"/>
        </w:rPr>
        <w:t>SDs and MSPs are</w:t>
      </w:r>
      <w:r w:rsidR="00512BBE">
        <w:rPr>
          <w:rFonts w:ascii="Times New Roman" w:eastAsia="Times New Roman" w:hAnsi="Times New Roman" w:cs="Times New Roman"/>
          <w:sz w:val="24"/>
          <w:szCs w:val="20"/>
        </w:rPr>
        <w:t xml:space="preserve"> likewise</w:t>
      </w:r>
      <w:r w:rsidRPr="00E21E52">
        <w:rPr>
          <w:rFonts w:ascii="Times New Roman" w:eastAsia="Times New Roman" w:hAnsi="Times New Roman" w:cs="Times New Roman"/>
          <w:sz w:val="24"/>
          <w:szCs w:val="20"/>
        </w:rPr>
        <w:t xml:space="preserve"> not small entities for the purposes of the R</w:t>
      </w:r>
      <w:r>
        <w:rPr>
          <w:rFonts w:ascii="Times New Roman" w:eastAsia="Times New Roman" w:hAnsi="Times New Roman" w:cs="Times New Roman"/>
          <w:sz w:val="24"/>
          <w:szCs w:val="20"/>
        </w:rPr>
        <w:t>egulatory Flexibility Act</w:t>
      </w:r>
      <w:r w:rsidRPr="00E21E52">
        <w:rPr>
          <w:rFonts w:ascii="Times New Roman" w:eastAsia="Times New Roman" w:hAnsi="Times New Roman" w:cs="Times New Roman"/>
          <w:sz w:val="24"/>
          <w:szCs w:val="20"/>
        </w:rPr>
        <w:t>.</w:t>
      </w:r>
      <w:r>
        <w:rPr>
          <w:rFonts w:ascii="Times New Roman" w:eastAsia="Times New Roman" w:hAnsi="Times New Roman" w:cs="Times New Roman"/>
          <w:sz w:val="24"/>
          <w:szCs w:val="20"/>
          <w:vertAlign w:val="superscript"/>
        </w:rPr>
        <w:footnoteReference w:id="9"/>
      </w:r>
      <w:r w:rsidRPr="00E21E52">
        <w:rPr>
          <w:rFonts w:ascii="Times New Roman" w:eastAsia="Times New Roman" w:hAnsi="Times New Roman" w:cs="Times New Roman"/>
          <w:sz w:val="24"/>
          <w:szCs w:val="20"/>
        </w:rPr>
        <w:t xml:space="preserve">  Although there are an </w:t>
      </w:r>
      <w:r w:rsidRPr="00E67325">
        <w:rPr>
          <w:rFonts w:ascii="Times New Roman" w:eastAsia="Times New Roman" w:hAnsi="Times New Roman" w:cs="Times New Roman"/>
          <w:sz w:val="24"/>
          <w:szCs w:val="20"/>
        </w:rPr>
        <w:t xml:space="preserve">estimated </w:t>
      </w:r>
      <w:r w:rsidRPr="00AD7058">
        <w:rPr>
          <w:rFonts w:ascii="Times New Roman" w:eastAsia="Times New Roman" w:hAnsi="Times New Roman" w:cs="Times New Roman"/>
          <w:sz w:val="24"/>
          <w:szCs w:val="20"/>
        </w:rPr>
        <w:t>30,000 non-SD/MSP counterparties, very</w:t>
      </w:r>
      <w:r w:rsidRPr="00E21E52">
        <w:rPr>
          <w:rFonts w:ascii="Times New Roman" w:eastAsia="Times New Roman" w:hAnsi="Times New Roman" w:cs="Times New Roman"/>
          <w:sz w:val="24"/>
          <w:szCs w:val="20"/>
        </w:rPr>
        <w:t xml:space="preserve"> few non-SD/MSP counterparties are required to report swap data pursuant to CFTC regulation</w:t>
      </w:r>
      <w:r>
        <w:rPr>
          <w:rFonts w:ascii="Times New Roman" w:eastAsia="Times New Roman" w:hAnsi="Times New Roman" w:cs="Times New Roman"/>
          <w:sz w:val="24"/>
          <w:szCs w:val="20"/>
        </w:rPr>
        <w:t>s 43 and 45</w:t>
      </w:r>
      <w:r w:rsidRPr="00E21E52">
        <w:rPr>
          <w:rFonts w:ascii="Times New Roman" w:eastAsia="Times New Roman" w:hAnsi="Times New Roman" w:cs="Times New Roman"/>
          <w:sz w:val="24"/>
          <w:szCs w:val="20"/>
        </w:rPr>
        <w:t>.</w:t>
      </w:r>
    </w:p>
    <w:p w:rsidR="00D50C84" w:rsidRPr="00E21E52" w:rsidP="00D50C84" w14:paraId="7AE182ED"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3868B0AA"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the consequence to the Federal Program or policy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activities if the collection were conducted less frequently as well as any technical or legal obstacles to reducing burden</w:t>
      </w:r>
      <w:r w:rsidRPr="00E21E52">
        <w:rPr>
          <w:rFonts w:ascii="Times New Roman" w:eastAsia="Times New Roman" w:hAnsi="Times New Roman" w:cs="Times New Roman"/>
          <w:sz w:val="24"/>
          <w:szCs w:val="20"/>
        </w:rPr>
        <w:t xml:space="preserve">. </w:t>
      </w:r>
    </w:p>
    <w:p w:rsidR="00D50C84" w:rsidRPr="00E21E52" w:rsidP="00D50C84" w14:paraId="234E3942"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F94425" w14:paraId="0AF7681B"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25761">
        <w:rPr>
          <w:rFonts w:ascii="Times New Roman" w:eastAsia="Times New Roman" w:hAnsi="Times New Roman" w:cs="Times New Roman"/>
          <w:color w:val="000000"/>
          <w:sz w:val="24"/>
          <w:szCs w:val="24"/>
        </w:rPr>
        <w:t xml:space="preserve">If the information required under this collection of information were not collected or were collected less frequently, enforcement of the CEA and the Commission’s regulations would be </w:t>
      </w:r>
      <w:r>
        <w:rPr>
          <w:rFonts w:ascii="Times New Roman" w:eastAsia="Times New Roman" w:hAnsi="Times New Roman" w:cs="Times New Roman"/>
          <w:color w:val="000000"/>
          <w:sz w:val="24"/>
          <w:szCs w:val="24"/>
        </w:rPr>
        <w:t>hindered</w:t>
      </w:r>
      <w:r w:rsidRPr="00D257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25761">
        <w:rPr>
          <w:rFonts w:ascii="Times New Roman" w:eastAsia="Times New Roman" w:hAnsi="Times New Roman" w:cs="Times New Roman"/>
          <w:color w:val="000000"/>
          <w:sz w:val="24"/>
          <w:szCs w:val="24"/>
        </w:rPr>
        <w:t xml:space="preserve">The Commission would </w:t>
      </w:r>
      <w:r>
        <w:rPr>
          <w:rFonts w:ascii="Times New Roman" w:eastAsia="Times New Roman" w:hAnsi="Times New Roman" w:cs="Times New Roman"/>
          <w:color w:val="000000"/>
          <w:sz w:val="24"/>
          <w:szCs w:val="24"/>
        </w:rPr>
        <w:t>have less insight into the cause and scope of swap data errors</w:t>
      </w:r>
      <w:r w:rsidRPr="00D25761">
        <w:rPr>
          <w:rFonts w:ascii="Times New Roman" w:eastAsia="Times New Roman" w:hAnsi="Times New Roman" w:cs="Times New Roman"/>
          <w:color w:val="000000"/>
          <w:sz w:val="24"/>
          <w:szCs w:val="24"/>
        </w:rPr>
        <w:t>.</w:t>
      </w:r>
    </w:p>
    <w:p w:rsidR="00D50C84" w:rsidP="00D50C84" w14:paraId="50618017"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477BD99B" w14:textId="77777777">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 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any special circumstances that require the collection to be conducted in a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manner</w:t>
      </w:r>
      <w:r w:rsidRPr="00E21E52">
        <w:rPr>
          <w:rFonts w:ascii="Times New Roman" w:eastAsia="Times New Roman" w:hAnsi="Times New Roman" w:cs="Times New Roman"/>
          <w:sz w:val="24"/>
          <w:szCs w:val="20"/>
        </w:rPr>
        <w:t>:</w:t>
      </w:r>
    </w:p>
    <w:p w:rsidR="00D50C84" w:rsidRPr="00E21E52" w:rsidP="00D50C84" w14:paraId="7557F4AF"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4A52D48F"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requiring respondents to report information to the agency more often than quarterly; </w:t>
      </w:r>
    </w:p>
    <w:p w:rsidR="00D50C84" w:rsidRPr="00E21E52" w:rsidP="00D50C84" w14:paraId="66B15CDF"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ab/>
      </w:r>
    </w:p>
    <w:p w:rsidR="00D50C84" w:rsidRPr="00E21E52" w:rsidP="00D50C84" w14:paraId="3D44B892" w14:textId="03662629">
      <w:pPr>
        <w:tabs>
          <w:tab w:val="left" w:pos="-720"/>
          <w:tab w:val="left" w:pos="0"/>
          <w:tab w:val="left" w:pos="7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25761">
        <w:t xml:space="preserve"> </w:t>
      </w:r>
      <w:r w:rsidR="00206CAF">
        <w:rPr>
          <w:rFonts w:ascii="Times New Roman" w:eastAsia="Times New Roman" w:hAnsi="Times New Roman" w:cs="Times New Roman"/>
          <w:sz w:val="24"/>
          <w:szCs w:val="20"/>
        </w:rPr>
        <w:t>R</w:t>
      </w:r>
      <w:r>
        <w:rPr>
          <w:rFonts w:ascii="Times New Roman" w:eastAsia="Times New Roman" w:hAnsi="Times New Roman" w:cs="Times New Roman"/>
          <w:sz w:val="24"/>
          <w:szCs w:val="20"/>
        </w:rPr>
        <w:t>egulations</w:t>
      </w:r>
      <w:r w:rsidRPr="00D25761">
        <w:rPr>
          <w:rFonts w:ascii="Times New Roman" w:eastAsia="Times New Roman" w:hAnsi="Times New Roman" w:cs="Times New Roman"/>
          <w:sz w:val="24"/>
          <w:szCs w:val="20"/>
        </w:rPr>
        <w:t xml:space="preserve"> 45.14</w:t>
      </w:r>
      <w:r>
        <w:rPr>
          <w:rFonts w:ascii="Times New Roman" w:eastAsia="Times New Roman" w:hAnsi="Times New Roman" w:cs="Times New Roman"/>
          <w:sz w:val="24"/>
          <w:szCs w:val="20"/>
        </w:rPr>
        <w:t xml:space="preserve"> and 43.3(e)</w:t>
      </w:r>
      <w:r w:rsidRPr="00D25761">
        <w:rPr>
          <w:rFonts w:ascii="Times New Roman" w:eastAsia="Times New Roman" w:hAnsi="Times New Roman" w:cs="Times New Roman"/>
          <w:sz w:val="24"/>
          <w:szCs w:val="20"/>
        </w:rPr>
        <w:t xml:space="preserve"> do not specifically require the collection of information more than quarterly, as the required collection is event</w:t>
      </w:r>
      <w:r w:rsidR="002C5B13">
        <w:rPr>
          <w:rFonts w:ascii="Times New Roman" w:eastAsia="Times New Roman" w:hAnsi="Times New Roman" w:cs="Times New Roman"/>
          <w:sz w:val="24"/>
          <w:szCs w:val="20"/>
        </w:rPr>
        <w:t>-</w:t>
      </w:r>
      <w:r w:rsidRPr="00D25761">
        <w:rPr>
          <w:rFonts w:ascii="Times New Roman" w:eastAsia="Times New Roman" w:hAnsi="Times New Roman" w:cs="Times New Roman"/>
          <w:sz w:val="24"/>
          <w:szCs w:val="20"/>
        </w:rPr>
        <w:t xml:space="preserve">specific, but the collections could theoretically occur more than quarterly. The Commission, however, believes that the collection will likely occur less than quarterly for each respondent. </w:t>
      </w:r>
      <w:r w:rsidR="007B33BC">
        <w:rPr>
          <w:rFonts w:ascii="Times New Roman" w:eastAsia="Times New Roman" w:hAnsi="Times New Roman" w:cs="Times New Roman"/>
          <w:sz w:val="24"/>
          <w:szCs w:val="20"/>
        </w:rPr>
        <w:t xml:space="preserve"> </w:t>
      </w:r>
      <w:r w:rsidRPr="00D25761">
        <w:rPr>
          <w:rFonts w:ascii="Times New Roman" w:eastAsia="Times New Roman" w:hAnsi="Times New Roman" w:cs="Times New Roman"/>
          <w:sz w:val="24"/>
          <w:szCs w:val="20"/>
        </w:rPr>
        <w:t xml:space="preserve">Based on the Commission’s experience with reporting errors and omissions by SEFs, DCMs, and reporting counterparties, errors and omissions that require more than </w:t>
      </w:r>
      <w:r w:rsidR="00210C72">
        <w:rPr>
          <w:rFonts w:ascii="Times New Roman" w:eastAsia="Times New Roman" w:hAnsi="Times New Roman" w:cs="Times New Roman"/>
          <w:sz w:val="24"/>
          <w:szCs w:val="20"/>
        </w:rPr>
        <w:t>seven</w:t>
      </w:r>
      <w:r w:rsidRPr="00D25761">
        <w:rPr>
          <w:rFonts w:ascii="Times New Roman" w:eastAsia="Times New Roman" w:hAnsi="Times New Roman" w:cs="Times New Roman"/>
          <w:sz w:val="24"/>
          <w:szCs w:val="20"/>
        </w:rPr>
        <w:t xml:space="preserve"> business days to correct occur far less often than once a quarter per respondent.</w:t>
      </w:r>
    </w:p>
    <w:p w:rsidR="00D50C84" w:rsidRPr="00E21E52" w:rsidP="00D50C84" w14:paraId="10697F8D"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3A4EF4C7"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prepare a written response to a collection of information in fewer than 30 days after receipt of it:</w:t>
      </w:r>
    </w:p>
    <w:p w:rsidR="00D50C84" w:rsidRPr="00E21E52" w:rsidP="00D50C84" w14:paraId="021144BF"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p>
    <w:p w:rsidR="00D50C84" w:rsidP="00D25761" w14:paraId="6B870DAE" w14:textId="1194CBD0">
      <w:pPr>
        <w:tabs>
          <w:tab w:val="left" w:pos="-72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0F0D16">
        <w:rPr>
          <w:rFonts w:ascii="Times New Roman" w:eastAsia="Times New Roman" w:hAnsi="Times New Roman" w:cs="Times New Roman"/>
          <w:sz w:val="24"/>
          <w:szCs w:val="20"/>
        </w:rPr>
        <w:t>R</w:t>
      </w:r>
      <w:r>
        <w:rPr>
          <w:rFonts w:ascii="Times New Roman" w:eastAsia="Times New Roman" w:hAnsi="Times New Roman" w:cs="Times New Roman"/>
          <w:sz w:val="24"/>
          <w:szCs w:val="20"/>
        </w:rPr>
        <w:t>egulations</w:t>
      </w:r>
      <w:r w:rsidRPr="00D25761">
        <w:rPr>
          <w:rFonts w:ascii="Times New Roman" w:eastAsia="Times New Roman" w:hAnsi="Times New Roman" w:cs="Times New Roman"/>
          <w:sz w:val="24"/>
          <w:szCs w:val="20"/>
        </w:rPr>
        <w:t xml:space="preserve"> 45.14</w:t>
      </w:r>
      <w:r>
        <w:rPr>
          <w:rFonts w:ascii="Times New Roman" w:eastAsia="Times New Roman" w:hAnsi="Times New Roman" w:cs="Times New Roman"/>
          <w:sz w:val="24"/>
          <w:szCs w:val="20"/>
        </w:rPr>
        <w:t xml:space="preserve"> and 43.3(e)</w:t>
      </w:r>
      <w:r w:rsidRPr="00D25761">
        <w:rPr>
          <w:rFonts w:ascii="Times New Roman" w:eastAsia="Times New Roman" w:hAnsi="Times New Roman" w:cs="Times New Roman"/>
          <w:sz w:val="24"/>
          <w:szCs w:val="20"/>
        </w:rPr>
        <w:t xml:space="preserve"> require information to be provided fewer than 30 days after the triggering event for the collection. This requirement is necessary to ensure that the Commission is aware of potentially large amounts of incorrect or omitted data in order to adjust </w:t>
      </w:r>
      <w:r w:rsidRPr="00D25761">
        <w:rPr>
          <w:rFonts w:ascii="Times New Roman" w:eastAsia="Times New Roman" w:hAnsi="Times New Roman" w:cs="Times New Roman"/>
          <w:sz w:val="24"/>
          <w:szCs w:val="20"/>
        </w:rPr>
        <w:t>its regulatory initiatives to compensate and to more efficiently work with SEFs, DCMs, SDRs, and reporting counterparties to have the data corrected as soon as possible.</w:t>
      </w:r>
    </w:p>
    <w:p w:rsidR="00D25761" w:rsidRPr="00E21E52" w:rsidP="00F94425" w14:paraId="3724B231"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15D4D473"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more that an original and two copies of any document</w:t>
      </w:r>
      <w:r w:rsidRPr="00E21E52">
        <w:rPr>
          <w:rFonts w:ascii="Times New Roman" w:eastAsia="Times New Roman" w:hAnsi="Times New Roman" w:cs="Times New Roman"/>
          <w:sz w:val="24"/>
          <w:szCs w:val="20"/>
        </w:rPr>
        <w:t>;</w:t>
      </w:r>
    </w:p>
    <w:p w:rsidR="00D50C84" w:rsidRPr="00E21E52" w:rsidP="00D50C84" w14:paraId="20E700AB"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rsidR="00D50C84" w:rsidRPr="00E21E52" w:rsidP="00D50C84" w14:paraId="59115F22"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25761">
        <w:rPr>
          <w:rFonts w:ascii="Times New Roman" w:eastAsia="Times New Roman" w:hAnsi="Times New Roman" w:cs="Times New Roman"/>
          <w:sz w:val="24"/>
          <w:szCs w:val="20"/>
        </w:rPr>
        <w:t>Not applicable, respondents are not required to submit more than an original and two copies of any document.</w:t>
      </w:r>
    </w:p>
    <w:p w:rsidR="00D50C84" w:rsidRPr="00E21E52" w:rsidP="00D50C84" w14:paraId="0A7B9257"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retain records other than health, medical, government contract, grant-in-aid, or tax records, for more than three years</w:t>
      </w:r>
      <w:r w:rsidRPr="00E21E52">
        <w:rPr>
          <w:rFonts w:ascii="Times New Roman" w:eastAsia="Times New Roman" w:hAnsi="Times New Roman" w:cs="Times New Roman"/>
          <w:sz w:val="24"/>
          <w:szCs w:val="20"/>
        </w:rPr>
        <w:t xml:space="preserve">; </w:t>
      </w:r>
    </w:p>
    <w:p w:rsidR="00D50C84" w:rsidRPr="00E21E52" w:rsidP="00D50C84" w14:paraId="41A9D82A"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rsidR="00D50C84" w:rsidRPr="00E21E52" w:rsidP="00D50C84" w14:paraId="2BD6A4D1" w14:textId="580A0B63">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25761">
        <w:rPr>
          <w:rFonts w:ascii="Times New Roman" w:eastAsia="Times New Roman" w:hAnsi="Times New Roman" w:cs="Times New Roman"/>
          <w:sz w:val="24"/>
          <w:szCs w:val="20"/>
        </w:rPr>
        <w:t>The proposed</w:t>
      </w:r>
      <w:r w:rsidR="00BA3302">
        <w:rPr>
          <w:rFonts w:ascii="Times New Roman" w:eastAsia="Times New Roman" w:hAnsi="Times New Roman" w:cs="Times New Roman"/>
          <w:sz w:val="24"/>
          <w:szCs w:val="20"/>
        </w:rPr>
        <w:t xml:space="preserve"> revision of </w:t>
      </w:r>
      <w:r w:rsidRPr="00D25761" w:rsidR="00BA3302">
        <w:rPr>
          <w:rFonts w:ascii="Times New Roman" w:eastAsia="Times New Roman" w:hAnsi="Times New Roman" w:cs="Times New Roman"/>
          <w:sz w:val="24"/>
          <w:szCs w:val="20"/>
        </w:rPr>
        <w:t>Information Collection</w:t>
      </w:r>
      <w:r w:rsidR="00BA3302">
        <w:rPr>
          <w:rFonts w:ascii="Times New Roman" w:eastAsia="Times New Roman" w:hAnsi="Times New Roman" w:cs="Times New Roman"/>
          <w:sz w:val="24"/>
          <w:szCs w:val="20"/>
        </w:rPr>
        <w:t>s</w:t>
      </w:r>
      <w:r w:rsidRPr="00D25761" w:rsidR="00BA3302">
        <w:rPr>
          <w:rFonts w:ascii="Times New Roman" w:eastAsia="Times New Roman" w:hAnsi="Times New Roman" w:cs="Times New Roman"/>
          <w:sz w:val="24"/>
          <w:szCs w:val="20"/>
        </w:rPr>
        <w:t xml:space="preserve"> 3038-0096</w:t>
      </w:r>
      <w:r w:rsidR="00BA3302">
        <w:rPr>
          <w:rFonts w:ascii="Times New Roman" w:eastAsia="Times New Roman" w:hAnsi="Times New Roman" w:cs="Times New Roman"/>
          <w:sz w:val="24"/>
          <w:szCs w:val="20"/>
        </w:rPr>
        <w:t xml:space="preserve"> and 3038-0070</w:t>
      </w:r>
      <w:r w:rsidRPr="00D25761" w:rsidR="00BA3302">
        <w:rPr>
          <w:rFonts w:ascii="Times New Roman" w:eastAsia="Times New Roman" w:hAnsi="Times New Roman" w:cs="Times New Roman"/>
          <w:sz w:val="24"/>
          <w:szCs w:val="20"/>
        </w:rPr>
        <w:t xml:space="preserve"> </w:t>
      </w:r>
      <w:r w:rsidR="00BA3302">
        <w:rPr>
          <w:rFonts w:ascii="Times New Roman" w:eastAsia="Times New Roman" w:hAnsi="Times New Roman" w:cs="Times New Roman"/>
          <w:sz w:val="24"/>
          <w:szCs w:val="20"/>
        </w:rPr>
        <w:t>to add a new Information Collection Instrument to facilitate reporting</w:t>
      </w:r>
      <w:r w:rsidR="008453B3">
        <w:rPr>
          <w:rFonts w:ascii="Times New Roman" w:eastAsia="Times New Roman" w:hAnsi="Times New Roman" w:cs="Times New Roman"/>
          <w:sz w:val="24"/>
          <w:szCs w:val="20"/>
        </w:rPr>
        <w:t xml:space="preserve"> </w:t>
      </w:r>
      <w:r w:rsidR="000F0D16">
        <w:rPr>
          <w:rFonts w:ascii="Times New Roman" w:eastAsia="Times New Roman" w:hAnsi="Times New Roman" w:cs="Times New Roman"/>
          <w:sz w:val="24"/>
          <w:szCs w:val="20"/>
        </w:rPr>
        <w:t>does</w:t>
      </w:r>
      <w:r w:rsidRPr="00D25761">
        <w:rPr>
          <w:rFonts w:ascii="Times New Roman" w:eastAsia="Times New Roman" w:hAnsi="Times New Roman" w:cs="Times New Roman"/>
          <w:sz w:val="24"/>
          <w:szCs w:val="20"/>
        </w:rPr>
        <w:t xml:space="preserve"> not modify </w:t>
      </w:r>
      <w:r w:rsidR="00BA3302">
        <w:rPr>
          <w:rFonts w:ascii="Times New Roman" w:eastAsia="Times New Roman" w:hAnsi="Times New Roman" w:cs="Times New Roman"/>
          <w:sz w:val="24"/>
          <w:szCs w:val="20"/>
        </w:rPr>
        <w:t>any</w:t>
      </w:r>
      <w:r w:rsidRPr="00D25761">
        <w:rPr>
          <w:rFonts w:ascii="Times New Roman" w:eastAsia="Times New Roman" w:hAnsi="Times New Roman" w:cs="Times New Roman"/>
          <w:sz w:val="24"/>
          <w:szCs w:val="20"/>
        </w:rPr>
        <w:t xml:space="preserve"> recordkeeping requirements</w:t>
      </w:r>
      <w:r w:rsidR="00BA3302">
        <w:rPr>
          <w:rFonts w:ascii="Times New Roman" w:eastAsia="Times New Roman" w:hAnsi="Times New Roman" w:cs="Times New Roman"/>
          <w:sz w:val="24"/>
          <w:szCs w:val="20"/>
        </w:rPr>
        <w:t xml:space="preserve"> associated with these collections</w:t>
      </w:r>
      <w:r>
        <w:rPr>
          <w:rFonts w:ascii="Times New Roman" w:eastAsia="Times New Roman" w:hAnsi="Times New Roman" w:cs="Times New Roman"/>
          <w:sz w:val="24"/>
          <w:szCs w:val="20"/>
        </w:rPr>
        <w:t>.</w:t>
      </w:r>
    </w:p>
    <w:p w:rsidR="00D50C84" w:rsidRPr="00E21E52" w:rsidP="00D50C84" w14:paraId="647DAC6E"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 connection with a statistical survey, that is not designed to produce valid and reliable results that can be generalized to the universe of study</w:t>
      </w:r>
      <w:r w:rsidRPr="00E21E52">
        <w:rPr>
          <w:rFonts w:ascii="Times New Roman" w:eastAsia="Times New Roman" w:hAnsi="Times New Roman" w:cs="Times New Roman"/>
          <w:sz w:val="24"/>
          <w:szCs w:val="20"/>
        </w:rPr>
        <w:t xml:space="preserve">; </w:t>
      </w:r>
    </w:p>
    <w:p w:rsidR="00D50C84" w:rsidRPr="00E21E52" w:rsidP="00D50C84" w14:paraId="444CF53E"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rsidR="00D50C84" w:rsidRPr="00E21E52" w:rsidP="00D50C84" w14:paraId="576919F9"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25761">
        <w:rPr>
          <w:rFonts w:ascii="Times New Roman" w:eastAsia="Times New Roman" w:hAnsi="Times New Roman" w:cs="Times New Roman"/>
          <w:sz w:val="24"/>
          <w:szCs w:val="20"/>
        </w:rPr>
        <w:t>Not applicable, the proposed collection does not involve the use of any statistical data classification.</w:t>
      </w:r>
    </w:p>
    <w:p w:rsidR="00D50C84" w:rsidRPr="00E21E52" w:rsidP="00D50C84" w14:paraId="7616461D"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the use of a statistical data classification that has not been reviewed and approved by OMB</w:t>
      </w:r>
      <w:r w:rsidRPr="00E21E52">
        <w:rPr>
          <w:rFonts w:ascii="Times New Roman" w:eastAsia="Times New Roman" w:hAnsi="Times New Roman" w:cs="Times New Roman"/>
          <w:sz w:val="24"/>
          <w:szCs w:val="20"/>
        </w:rPr>
        <w:t>;</w:t>
      </w:r>
    </w:p>
    <w:p w:rsidR="00D50C84" w:rsidRPr="00E21E52" w:rsidP="00D50C84" w14:paraId="4F8CAC83"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rsidR="00D50C84" w:rsidRPr="00E21E52" w:rsidP="00D50C84" w14:paraId="62C2FFAB"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25761">
        <w:rPr>
          <w:rFonts w:ascii="Times New Roman" w:eastAsia="Times New Roman" w:hAnsi="Times New Roman" w:cs="Times New Roman"/>
          <w:sz w:val="24"/>
          <w:szCs w:val="20"/>
        </w:rPr>
        <w:t>Not applicable, the proposed collection does not involve the use of any statistical data classification.</w:t>
      </w:r>
    </w:p>
    <w:p w:rsidR="00D50C84" w:rsidRPr="00E21E52" w:rsidP="00D50C84" w14:paraId="6DD73A68"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50C84" w:rsidRPr="00E21E52" w:rsidP="00D50C84" w14:paraId="74E88836"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17BE7721"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25761">
        <w:rPr>
          <w:rFonts w:ascii="Times New Roman" w:eastAsia="Times New Roman" w:hAnsi="Times New Roman" w:cs="Times New Roman"/>
          <w:sz w:val="24"/>
          <w:szCs w:val="20"/>
        </w:rPr>
        <w:t>Not applicable, the proposed collection does not include any pledges of confidentiality that are not supported by authority established in statute or regulation.</w:t>
      </w:r>
    </w:p>
    <w:p w:rsidR="00D50C84" w:rsidRPr="00E21E52" w:rsidP="00D50C84" w14:paraId="00ECFC0B"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proprietary trade secrets, or other confidential information unless the agency can demonstrate that it has instituted procedures to protect the information's confidentiality to the extent permitted by law</w:t>
      </w:r>
      <w:r w:rsidRPr="00E21E52">
        <w:rPr>
          <w:rFonts w:ascii="Times New Roman" w:eastAsia="Times New Roman" w:hAnsi="Times New Roman" w:cs="Times New Roman"/>
          <w:sz w:val="24"/>
          <w:szCs w:val="20"/>
        </w:rPr>
        <w:t>.</w:t>
      </w:r>
    </w:p>
    <w:p w:rsidR="00D50C84" w:rsidRPr="00E21E52" w:rsidP="00D50C84" w14:paraId="1E8DD750"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rsidR="00D50C84" w:rsidRPr="00E21E52" w:rsidP="00D50C84" w14:paraId="4289DD13"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6108B">
        <w:rPr>
          <w:rFonts w:ascii="Times New Roman" w:eastAsia="Times New Roman" w:hAnsi="Times New Roman" w:cs="Times New Roman"/>
          <w:sz w:val="24"/>
          <w:szCs w:val="20"/>
        </w:rPr>
        <w:t xml:space="preserve">All current and proposed requirements to submit proprietary or other confidential information are subject to the Commission’s existing statutory, regulatory, and procedural requirements to protect the confidentiality of such information. </w:t>
      </w:r>
      <w:r>
        <w:rPr>
          <w:rFonts w:ascii="Times New Roman" w:eastAsia="Times New Roman" w:hAnsi="Times New Roman" w:cs="Times New Roman"/>
          <w:sz w:val="24"/>
          <w:szCs w:val="20"/>
        </w:rPr>
        <w:t xml:space="preserve"> </w:t>
      </w:r>
      <w:r w:rsidRPr="00D6108B">
        <w:rPr>
          <w:rFonts w:ascii="Times New Roman" w:eastAsia="Times New Roman" w:hAnsi="Times New Roman" w:cs="Times New Roman"/>
          <w:sz w:val="24"/>
          <w:szCs w:val="20"/>
        </w:rPr>
        <w:t xml:space="preserve">This includes the requirements of sections 8(a) and 21(c)(6) of the Act as well as in </w:t>
      </w:r>
      <w:r>
        <w:rPr>
          <w:rFonts w:ascii="Times New Roman" w:eastAsia="Times New Roman" w:hAnsi="Times New Roman" w:cs="Times New Roman"/>
          <w:sz w:val="24"/>
          <w:szCs w:val="20"/>
        </w:rPr>
        <w:t>regulations</w:t>
      </w:r>
      <w:r w:rsidRPr="00D6108B">
        <w:rPr>
          <w:rFonts w:ascii="Times New Roman" w:eastAsia="Times New Roman" w:hAnsi="Times New Roman" w:cs="Times New Roman"/>
          <w:sz w:val="24"/>
          <w:szCs w:val="20"/>
        </w:rPr>
        <w:t xml:space="preserve"> 49.16, 49.17, and 49.18, and parts 145 and 147 of the Commission’s regulations.</w:t>
      </w:r>
      <w:r>
        <w:rPr>
          <w:rFonts w:ascii="Times New Roman" w:eastAsia="Times New Roman" w:hAnsi="Times New Roman" w:cs="Times New Roman"/>
          <w:sz w:val="24"/>
          <w:szCs w:val="20"/>
        </w:rPr>
        <w:t xml:space="preserve"> </w:t>
      </w:r>
      <w:r w:rsidRPr="00D6108B">
        <w:rPr>
          <w:rFonts w:ascii="Times New Roman" w:eastAsia="Times New Roman" w:hAnsi="Times New Roman" w:cs="Times New Roman"/>
          <w:sz w:val="24"/>
          <w:szCs w:val="20"/>
        </w:rPr>
        <w:t xml:space="preserve"> Information required to be collected or reported under Information Collection</w:t>
      </w:r>
      <w:r>
        <w:rPr>
          <w:rFonts w:ascii="Times New Roman" w:eastAsia="Times New Roman" w:hAnsi="Times New Roman" w:cs="Times New Roman"/>
          <w:sz w:val="24"/>
          <w:szCs w:val="20"/>
        </w:rPr>
        <w:t>s</w:t>
      </w:r>
      <w:r w:rsidRPr="00D6108B">
        <w:rPr>
          <w:rFonts w:ascii="Times New Roman" w:eastAsia="Times New Roman" w:hAnsi="Times New Roman" w:cs="Times New Roman"/>
          <w:sz w:val="24"/>
          <w:szCs w:val="20"/>
        </w:rPr>
        <w:t xml:space="preserve"> 3038-0096</w:t>
      </w:r>
      <w:r>
        <w:rPr>
          <w:rFonts w:ascii="Times New Roman" w:eastAsia="Times New Roman" w:hAnsi="Times New Roman" w:cs="Times New Roman"/>
          <w:sz w:val="24"/>
          <w:szCs w:val="20"/>
        </w:rPr>
        <w:t xml:space="preserve"> and 3038-00</w:t>
      </w:r>
      <w:r w:rsidR="00A278ED">
        <w:rPr>
          <w:rFonts w:ascii="Times New Roman" w:eastAsia="Times New Roman" w:hAnsi="Times New Roman" w:cs="Times New Roman"/>
          <w:sz w:val="24"/>
          <w:szCs w:val="20"/>
        </w:rPr>
        <w:t>7</w:t>
      </w:r>
      <w:r>
        <w:rPr>
          <w:rFonts w:ascii="Times New Roman" w:eastAsia="Times New Roman" w:hAnsi="Times New Roman" w:cs="Times New Roman"/>
          <w:sz w:val="24"/>
          <w:szCs w:val="20"/>
        </w:rPr>
        <w:t>0</w:t>
      </w:r>
      <w:r w:rsidRPr="00D6108B">
        <w:rPr>
          <w:rFonts w:ascii="Times New Roman" w:eastAsia="Times New Roman" w:hAnsi="Times New Roman" w:cs="Times New Roman"/>
          <w:sz w:val="24"/>
          <w:szCs w:val="20"/>
        </w:rPr>
        <w:t xml:space="preserve"> is generally not made public, </w:t>
      </w:r>
      <w:r w:rsidRPr="00D6108B">
        <w:rPr>
          <w:rFonts w:ascii="Times New Roman" w:eastAsia="Times New Roman" w:hAnsi="Times New Roman" w:cs="Times New Roman"/>
          <w:sz w:val="24"/>
          <w:szCs w:val="20"/>
        </w:rPr>
        <w:t>though it may be shared with other regulators pursuant to Part 49 of the Commission’s regulations.</w:t>
      </w:r>
      <w:r w:rsidRPr="00E21E52">
        <w:rPr>
          <w:rFonts w:ascii="Times New Roman" w:eastAsia="Times New Roman" w:hAnsi="Times New Roman" w:cs="Times New Roman"/>
          <w:sz w:val="24"/>
          <w:szCs w:val="20"/>
        </w:rPr>
        <w:t xml:space="preserve"> </w:t>
      </w:r>
    </w:p>
    <w:p w:rsidR="00D50C84" w:rsidRPr="00E21E52" w:rsidP="00D50C84" w14:paraId="3DF2EC0B"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If applicable, provide a copy and identify the date and page number of </w:t>
      </w:r>
      <w:r w:rsidRPr="00E21E52">
        <w:rPr>
          <w:rFonts w:ascii="Times New Roman" w:eastAsia="Times New Roman" w:hAnsi="Times New Roman" w:cs="Times New Roman"/>
          <w:sz w:val="24"/>
          <w:szCs w:val="20"/>
          <w:u w:val="single"/>
        </w:rPr>
        <w:t>publication</w:t>
      </w:r>
      <w:r w:rsidRPr="00E21E52">
        <w:rPr>
          <w:rFonts w:ascii="Times New Roman" w:eastAsia="Times New Roman" w:hAnsi="Times New Roman" w:cs="Times New Roman"/>
          <w:sz w:val="24"/>
          <w:szCs w:val="20"/>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50C84" w:rsidRPr="00E21E52" w:rsidP="00D50C84" w14:paraId="2B5644C1"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B72BB7" w:rsidP="00D50C84" w14:paraId="27986307" w14:textId="77777777">
      <w:pPr>
        <w:tabs>
          <w:tab w:val="left" w:pos="-720"/>
          <w:tab w:val="left" w:pos="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The Commission’s notice required by 5 C.F.R. 1320.8(d) appeared in the Federal Register on June 24, 2022, at 87 Fed. Reg. 37839.</w:t>
      </w:r>
    </w:p>
    <w:p w:rsidR="00B72BB7" w:rsidP="00D50C84" w14:paraId="1C1BBEE4" w14:textId="77777777">
      <w:pPr>
        <w:tabs>
          <w:tab w:val="left" w:pos="-720"/>
          <w:tab w:val="left" w:pos="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FD12B7">
        <w:rPr>
          <w:rFonts w:ascii="Times New Roman" w:eastAsia="Times New Roman" w:hAnsi="Times New Roman" w:cs="Times New Roman"/>
          <w:sz w:val="24"/>
          <w:szCs w:val="20"/>
        </w:rPr>
        <w:t xml:space="preserve">The Commission received two relevant comment letters.  A SEF proposed that SEFs be permitted to submit the Form through the CFTC </w:t>
      </w:r>
      <w:r w:rsidR="00AC4C2E">
        <w:rPr>
          <w:rFonts w:ascii="Times New Roman" w:eastAsia="Times New Roman" w:hAnsi="Times New Roman" w:cs="Times New Roman"/>
          <w:sz w:val="24"/>
          <w:szCs w:val="20"/>
        </w:rPr>
        <w:t>P</w:t>
      </w:r>
      <w:r w:rsidR="00FD12B7">
        <w:rPr>
          <w:rFonts w:ascii="Times New Roman" w:eastAsia="Times New Roman" w:hAnsi="Times New Roman" w:cs="Times New Roman"/>
          <w:sz w:val="24"/>
          <w:szCs w:val="20"/>
        </w:rPr>
        <w:t xml:space="preserve">ortal rather than by email.  A SEF stated that it believes certain notifications related to open swaps that </w:t>
      </w:r>
      <w:r w:rsidR="00D07ED5">
        <w:rPr>
          <w:rFonts w:ascii="Times New Roman" w:eastAsia="Times New Roman" w:hAnsi="Times New Roman" w:cs="Times New Roman"/>
          <w:sz w:val="24"/>
          <w:szCs w:val="20"/>
        </w:rPr>
        <w:t xml:space="preserve">they believe </w:t>
      </w:r>
      <w:r w:rsidR="00FD12B7">
        <w:rPr>
          <w:rFonts w:ascii="Times New Roman" w:eastAsia="Times New Roman" w:hAnsi="Times New Roman" w:cs="Times New Roman"/>
          <w:sz w:val="24"/>
          <w:szCs w:val="20"/>
        </w:rPr>
        <w:t>may be required by the Form will be impossible for a SEF to complete because SEFs do not generally possess open swaps information.  A SEF also stated that it believed the Commission underestimated the burden hours required by the information collection because, for a SEF, multiple notifications per year may be triggered.  Two commenters stated that the timeframe for submitting the Form should be extended, and proposed that the Commission adopt a materiality threshold to trigger the notification requirement.  One commenter suggested that certain questions be removed from the Form absent a materiality threshold or longer time-frame.</w:t>
      </w:r>
    </w:p>
    <w:p w:rsidR="00FD12B7" w:rsidP="00D50C84" w14:paraId="6F76DEE8" w14:textId="188D2E51">
      <w:pPr>
        <w:tabs>
          <w:tab w:val="left" w:pos="-720"/>
          <w:tab w:val="left" w:pos="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The majority of the issues raised by these comment letters </w:t>
      </w:r>
      <w:r w:rsidR="00AF6F04">
        <w:rPr>
          <w:rFonts w:ascii="Times New Roman" w:eastAsia="Times New Roman" w:hAnsi="Times New Roman" w:cs="Times New Roman"/>
          <w:sz w:val="24"/>
          <w:szCs w:val="20"/>
        </w:rPr>
        <w:t>are not related to the Form that the Commission proposes to add as a new Information Collection Instrument for Collections 3038-0096 and 3038-0070.</w:t>
      </w:r>
      <w:r w:rsidR="00AC4C2E">
        <w:rPr>
          <w:rFonts w:ascii="Times New Roman" w:eastAsia="Times New Roman" w:hAnsi="Times New Roman" w:cs="Times New Roman"/>
          <w:sz w:val="24"/>
          <w:szCs w:val="20"/>
        </w:rPr>
        <w:t xml:space="preserve"> </w:t>
      </w:r>
      <w:r w:rsidR="00AF6F04">
        <w:rPr>
          <w:rFonts w:ascii="Times New Roman" w:eastAsia="Times New Roman" w:hAnsi="Times New Roman" w:cs="Times New Roman"/>
          <w:sz w:val="24"/>
          <w:szCs w:val="20"/>
        </w:rPr>
        <w:t xml:space="preserve"> The reporting requirements which are the primary focus of the comments were adopted </w:t>
      </w:r>
      <w:r w:rsidR="00136150">
        <w:rPr>
          <w:rFonts w:ascii="Times New Roman" w:eastAsia="Times New Roman" w:hAnsi="Times New Roman" w:cs="Times New Roman"/>
          <w:sz w:val="24"/>
          <w:szCs w:val="20"/>
        </w:rPr>
        <w:t xml:space="preserve">as part of regulations 45.14 and 43.3 </w:t>
      </w:r>
      <w:r w:rsidR="00575EB1">
        <w:rPr>
          <w:rFonts w:ascii="Times New Roman" w:eastAsia="Times New Roman" w:hAnsi="Times New Roman" w:cs="Times New Roman"/>
          <w:sz w:val="24"/>
          <w:szCs w:val="20"/>
        </w:rPr>
        <w:t>in November 2020</w:t>
      </w:r>
      <w:r>
        <w:rPr>
          <w:rStyle w:val="FootnoteReference"/>
          <w:rFonts w:ascii="Times New Roman" w:eastAsia="Times New Roman" w:hAnsi="Times New Roman" w:cs="Times New Roman"/>
          <w:sz w:val="24"/>
          <w:szCs w:val="20"/>
        </w:rPr>
        <w:footnoteReference w:id="10"/>
      </w:r>
      <w:r w:rsidR="00575EB1">
        <w:rPr>
          <w:rFonts w:ascii="Times New Roman" w:eastAsia="Times New Roman" w:hAnsi="Times New Roman" w:cs="Times New Roman"/>
          <w:sz w:val="24"/>
          <w:szCs w:val="20"/>
        </w:rPr>
        <w:t xml:space="preserve"> </w:t>
      </w:r>
      <w:r w:rsidR="00AF6F04">
        <w:rPr>
          <w:rFonts w:ascii="Times New Roman" w:eastAsia="Times New Roman" w:hAnsi="Times New Roman" w:cs="Times New Roman"/>
          <w:sz w:val="24"/>
          <w:szCs w:val="20"/>
        </w:rPr>
        <w:t xml:space="preserve">following </w:t>
      </w:r>
      <w:r w:rsidR="00AC4C2E">
        <w:rPr>
          <w:rFonts w:ascii="Times New Roman" w:eastAsia="Times New Roman" w:hAnsi="Times New Roman" w:cs="Times New Roman"/>
          <w:sz w:val="24"/>
          <w:szCs w:val="20"/>
        </w:rPr>
        <w:t>public comment in 2019</w:t>
      </w:r>
      <w:r w:rsidR="00575EB1">
        <w:rPr>
          <w:rFonts w:ascii="Times New Roman" w:eastAsia="Times New Roman" w:hAnsi="Times New Roman" w:cs="Times New Roman"/>
          <w:sz w:val="24"/>
          <w:szCs w:val="20"/>
        </w:rPr>
        <w:t>.</w:t>
      </w:r>
      <w:r>
        <w:rPr>
          <w:rStyle w:val="FootnoteReference"/>
          <w:rFonts w:ascii="Times New Roman" w:eastAsia="Times New Roman" w:hAnsi="Times New Roman" w:cs="Times New Roman"/>
          <w:sz w:val="24"/>
          <w:szCs w:val="20"/>
        </w:rPr>
        <w:footnoteReference w:id="11"/>
      </w:r>
      <w:r w:rsidR="00AC5C9A">
        <w:rPr>
          <w:rFonts w:ascii="Times New Roman" w:eastAsia="Times New Roman" w:hAnsi="Times New Roman" w:cs="Times New Roman"/>
          <w:sz w:val="24"/>
          <w:szCs w:val="20"/>
        </w:rPr>
        <w:t xml:space="preserve">  The Form specifies the format and manner for complying with these reporting requirements, but does not impose new information collection requirements beyond those already codified in the Commission’s regulations</w:t>
      </w:r>
      <w:r w:rsidR="00AC4C2E">
        <w:rPr>
          <w:rFonts w:ascii="Times New Roman" w:eastAsia="Times New Roman" w:hAnsi="Times New Roman" w:cs="Times New Roman"/>
          <w:sz w:val="24"/>
          <w:szCs w:val="20"/>
        </w:rPr>
        <w:t>.  With respect to the SEF’s statement that SEFs should be permitted to submit Forms through the CFTC Portal rather than by email</w:t>
      </w:r>
      <w:r w:rsidR="00FB14F8">
        <w:rPr>
          <w:rFonts w:ascii="Times New Roman" w:eastAsia="Times New Roman" w:hAnsi="Times New Roman" w:cs="Times New Roman"/>
          <w:sz w:val="24"/>
          <w:szCs w:val="20"/>
        </w:rPr>
        <w:t>,</w:t>
      </w:r>
      <w:r w:rsidR="00AC4C2E">
        <w:rPr>
          <w:rFonts w:ascii="Times New Roman" w:eastAsia="Times New Roman" w:hAnsi="Times New Roman" w:cs="Times New Roman"/>
          <w:sz w:val="24"/>
          <w:szCs w:val="20"/>
        </w:rPr>
        <w:t xml:space="preserve"> staff published the Form to ensure notifications are submitted in a uniform manner, and many market participants lack access to the CFTC Portal.  With respect to the SEF’s statement that SEFs may be subject to notifications concerning </w:t>
      </w:r>
      <w:r w:rsidR="00FB14F8">
        <w:rPr>
          <w:rFonts w:ascii="Times New Roman" w:eastAsia="Times New Roman" w:hAnsi="Times New Roman" w:cs="Times New Roman"/>
          <w:sz w:val="24"/>
          <w:szCs w:val="20"/>
        </w:rPr>
        <w:t xml:space="preserve">opens swaps data to which SEFs do not have access, that SEF misinterprets the Form, which does not require SEFs to </w:t>
      </w:r>
      <w:r w:rsidR="007F2569">
        <w:rPr>
          <w:rFonts w:ascii="Times New Roman" w:eastAsia="Times New Roman" w:hAnsi="Times New Roman" w:cs="Times New Roman"/>
          <w:sz w:val="24"/>
          <w:szCs w:val="20"/>
        </w:rPr>
        <w:t>review open swaps data</w:t>
      </w:r>
      <w:r w:rsidR="00FB14F8">
        <w:rPr>
          <w:rFonts w:ascii="Times New Roman" w:eastAsia="Times New Roman" w:hAnsi="Times New Roman" w:cs="Times New Roman"/>
          <w:sz w:val="24"/>
          <w:szCs w:val="20"/>
        </w:rPr>
        <w:t xml:space="preserve">.  With respect to the SEF’s statement that burden hours should be calculated based on </w:t>
      </w:r>
      <w:r w:rsidR="007F2569">
        <w:rPr>
          <w:rFonts w:ascii="Times New Roman" w:eastAsia="Times New Roman" w:hAnsi="Times New Roman" w:cs="Times New Roman"/>
          <w:sz w:val="24"/>
          <w:szCs w:val="20"/>
        </w:rPr>
        <w:t xml:space="preserve">submitting </w:t>
      </w:r>
      <w:r w:rsidR="00FB14F8">
        <w:rPr>
          <w:rFonts w:ascii="Times New Roman" w:eastAsia="Times New Roman" w:hAnsi="Times New Roman" w:cs="Times New Roman"/>
          <w:sz w:val="24"/>
          <w:szCs w:val="20"/>
        </w:rPr>
        <w:t xml:space="preserve">multiple notifications per year, the burden hour estimate is based on a determination that, on </w:t>
      </w:r>
      <w:r w:rsidRPr="007F2569" w:rsidR="00FB14F8">
        <w:rPr>
          <w:rFonts w:ascii="Times New Roman" w:eastAsia="Times New Roman" w:hAnsi="Times New Roman" w:cs="Times New Roman"/>
          <w:i/>
          <w:sz w:val="24"/>
          <w:szCs w:val="20"/>
        </w:rPr>
        <w:t>average</w:t>
      </w:r>
      <w:r w:rsidR="00FB14F8">
        <w:rPr>
          <w:rFonts w:ascii="Times New Roman" w:eastAsia="Times New Roman" w:hAnsi="Times New Roman" w:cs="Times New Roman"/>
          <w:sz w:val="24"/>
          <w:szCs w:val="20"/>
        </w:rPr>
        <w:t xml:space="preserve">, </w:t>
      </w:r>
      <w:r w:rsidR="007F2569">
        <w:rPr>
          <w:rFonts w:ascii="Times New Roman" w:eastAsia="Times New Roman" w:hAnsi="Times New Roman" w:cs="Times New Roman"/>
          <w:sz w:val="24"/>
          <w:szCs w:val="20"/>
        </w:rPr>
        <w:t xml:space="preserve">the Commission will receive one notification </w:t>
      </w:r>
      <w:r w:rsidR="00FB14F8">
        <w:rPr>
          <w:rFonts w:ascii="Times New Roman" w:eastAsia="Times New Roman" w:hAnsi="Times New Roman" w:cs="Times New Roman"/>
          <w:sz w:val="24"/>
          <w:szCs w:val="20"/>
        </w:rPr>
        <w:t>per SEF, DCM, and reporting counterparty</w:t>
      </w:r>
      <w:r w:rsidR="007F2569">
        <w:rPr>
          <w:rFonts w:ascii="Times New Roman" w:eastAsia="Times New Roman" w:hAnsi="Times New Roman" w:cs="Times New Roman"/>
          <w:sz w:val="24"/>
          <w:szCs w:val="20"/>
        </w:rPr>
        <w:t xml:space="preserve"> per year</w:t>
      </w:r>
      <w:r w:rsidR="00FB14F8">
        <w:rPr>
          <w:rFonts w:ascii="Times New Roman" w:eastAsia="Times New Roman" w:hAnsi="Times New Roman" w:cs="Times New Roman"/>
          <w:sz w:val="24"/>
          <w:szCs w:val="20"/>
        </w:rPr>
        <w:t>.  This burden hour calculation was previously subject to notice and comment.</w:t>
      </w:r>
      <w:r>
        <w:rPr>
          <w:rStyle w:val="FootnoteReference"/>
          <w:rFonts w:ascii="Times New Roman" w:eastAsia="Times New Roman" w:hAnsi="Times New Roman" w:cs="Times New Roman"/>
          <w:sz w:val="24"/>
          <w:szCs w:val="20"/>
        </w:rPr>
        <w:footnoteReference w:id="12"/>
      </w:r>
      <w:r w:rsidR="00FB14F8">
        <w:rPr>
          <w:rFonts w:ascii="Times New Roman" w:eastAsia="Times New Roman" w:hAnsi="Times New Roman" w:cs="Times New Roman"/>
          <w:sz w:val="24"/>
          <w:szCs w:val="20"/>
        </w:rPr>
        <w:t xml:space="preserve">  </w:t>
      </w:r>
      <w:r w:rsidR="007F2569">
        <w:rPr>
          <w:rFonts w:ascii="Times New Roman" w:eastAsia="Times New Roman" w:hAnsi="Times New Roman" w:cs="Times New Roman"/>
          <w:sz w:val="24"/>
          <w:szCs w:val="20"/>
        </w:rPr>
        <w:t>With respect to pr</w:t>
      </w:r>
      <w:r w:rsidR="00FB14F8">
        <w:rPr>
          <w:rFonts w:ascii="Times New Roman" w:eastAsia="Times New Roman" w:hAnsi="Times New Roman" w:cs="Times New Roman"/>
          <w:sz w:val="24"/>
          <w:szCs w:val="20"/>
        </w:rPr>
        <w:t xml:space="preserve">oposals that the notification timeline be extended or that notifications be subject to a materiality standard, the Commission previously received comments </w:t>
      </w:r>
      <w:r w:rsidR="00FB14F8">
        <w:rPr>
          <w:rFonts w:ascii="Times New Roman" w:eastAsia="Times New Roman" w:hAnsi="Times New Roman" w:cs="Times New Roman"/>
          <w:sz w:val="24"/>
          <w:szCs w:val="20"/>
        </w:rPr>
        <w:t xml:space="preserve">on and considered </w:t>
      </w:r>
      <w:r w:rsidR="007F2569">
        <w:rPr>
          <w:rFonts w:ascii="Times New Roman" w:eastAsia="Times New Roman" w:hAnsi="Times New Roman" w:cs="Times New Roman"/>
          <w:sz w:val="24"/>
          <w:szCs w:val="20"/>
        </w:rPr>
        <w:t>such</w:t>
      </w:r>
      <w:r w:rsidR="00FB14F8">
        <w:rPr>
          <w:rFonts w:ascii="Times New Roman" w:eastAsia="Times New Roman" w:hAnsi="Times New Roman" w:cs="Times New Roman"/>
          <w:sz w:val="24"/>
          <w:szCs w:val="20"/>
        </w:rPr>
        <w:t xml:space="preserve"> proposals.</w:t>
      </w:r>
      <w:r>
        <w:rPr>
          <w:rStyle w:val="FootnoteReference"/>
          <w:rFonts w:ascii="Times New Roman" w:eastAsia="Times New Roman" w:hAnsi="Times New Roman" w:cs="Times New Roman"/>
          <w:sz w:val="24"/>
          <w:szCs w:val="20"/>
        </w:rPr>
        <w:footnoteReference w:id="13"/>
      </w:r>
      <w:r w:rsidR="00FB14F8">
        <w:rPr>
          <w:rFonts w:ascii="Times New Roman" w:eastAsia="Times New Roman" w:hAnsi="Times New Roman" w:cs="Times New Roman"/>
          <w:sz w:val="24"/>
          <w:szCs w:val="20"/>
        </w:rPr>
        <w:t xml:space="preserve">  With respect to the proposal that certain questions be removed from the Form, the information sought by those questions concerns the initial scope of the error, which is necessary for staff to assess the impact of the error or errors.  The commenter does not propose revising the Commission’s burden hour assessment in connection with these questions.</w:t>
      </w:r>
    </w:p>
    <w:p w:rsidR="00206CAF" w:rsidRPr="00BB3508" w:rsidP="00D50C84" w14:paraId="3E525F52" w14:textId="77777777">
      <w:pPr>
        <w:tabs>
          <w:tab w:val="left" w:pos="-720"/>
          <w:tab w:val="left" w:pos="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7F2569">
        <w:rPr>
          <w:rFonts w:ascii="Times New Roman" w:eastAsia="Times New Roman" w:hAnsi="Times New Roman" w:cs="Times New Roman"/>
          <w:sz w:val="24"/>
          <w:szCs w:val="20"/>
        </w:rPr>
        <w:t>P</w:t>
      </w:r>
      <w:r>
        <w:rPr>
          <w:rFonts w:ascii="Times New Roman" w:eastAsia="Times New Roman" w:hAnsi="Times New Roman" w:cs="Times New Roman"/>
          <w:sz w:val="24"/>
          <w:szCs w:val="20"/>
        </w:rPr>
        <w:t>reviously, t</w:t>
      </w:r>
      <w:r w:rsidRPr="00E21E52" w:rsidR="00D50C84">
        <w:rPr>
          <w:rFonts w:ascii="Times New Roman" w:eastAsia="Times New Roman" w:hAnsi="Times New Roman" w:cs="Times New Roman"/>
          <w:sz w:val="24"/>
          <w:szCs w:val="20"/>
        </w:rPr>
        <w:t>he Commission affirmatively sought comment from the public concerning the existing collections of information required by CFTC regulation</w:t>
      </w:r>
      <w:r w:rsidR="00D6108B">
        <w:rPr>
          <w:rFonts w:ascii="Times New Roman" w:eastAsia="Times New Roman" w:hAnsi="Times New Roman" w:cs="Times New Roman"/>
          <w:sz w:val="24"/>
          <w:szCs w:val="20"/>
        </w:rPr>
        <w:t>s 45.14 and 43.3(e)</w:t>
      </w:r>
      <w:r w:rsidRPr="00E21E52" w:rsidR="00D50C84">
        <w:rPr>
          <w:rFonts w:ascii="Times New Roman" w:eastAsia="Times New Roman" w:hAnsi="Times New Roman" w:cs="Times New Roman"/>
          <w:sz w:val="24"/>
          <w:szCs w:val="20"/>
        </w:rPr>
        <w:t xml:space="preserve">.  A copy of the solicitation of public comment appeared in the Federal Register </w:t>
      </w:r>
      <w:r w:rsidR="00D6108B">
        <w:rPr>
          <w:rFonts w:ascii="Times New Roman" w:eastAsia="Times New Roman" w:hAnsi="Times New Roman" w:cs="Times New Roman"/>
          <w:sz w:val="24"/>
          <w:szCs w:val="20"/>
        </w:rPr>
        <w:t>on May 13, 2019</w:t>
      </w:r>
      <w:r w:rsidR="00D50C84">
        <w:rPr>
          <w:rFonts w:ascii="Times New Roman" w:eastAsia="Times New Roman" w:hAnsi="Times New Roman" w:cs="Times New Roman"/>
          <w:sz w:val="24"/>
          <w:szCs w:val="20"/>
        </w:rPr>
        <w:t>,</w:t>
      </w:r>
      <w:r w:rsidR="00D6108B">
        <w:rPr>
          <w:rFonts w:ascii="Times New Roman" w:eastAsia="Times New Roman" w:hAnsi="Times New Roman" w:cs="Times New Roman"/>
          <w:sz w:val="24"/>
          <w:szCs w:val="20"/>
        </w:rPr>
        <w:t xml:space="preserve"> at</w:t>
      </w:r>
      <w:r w:rsidR="00D50C84">
        <w:rPr>
          <w:rFonts w:ascii="Times New Roman" w:eastAsia="Times New Roman" w:hAnsi="Times New Roman" w:cs="Times New Roman"/>
          <w:sz w:val="24"/>
          <w:szCs w:val="20"/>
        </w:rPr>
        <w:t xml:space="preserve"> 84 </w:t>
      </w:r>
      <w:r w:rsidR="00D6108B">
        <w:rPr>
          <w:rFonts w:ascii="Times New Roman" w:eastAsia="Times New Roman" w:hAnsi="Times New Roman" w:cs="Times New Roman"/>
          <w:sz w:val="24"/>
          <w:szCs w:val="20"/>
        </w:rPr>
        <w:t>Fed. Reg. 21043</w:t>
      </w:r>
      <w:r w:rsidRPr="005E6847" w:rsidR="00D50C84">
        <w:rPr>
          <w:rFonts w:ascii="Times New Roman" w:eastAsia="Times New Roman" w:hAnsi="Times New Roman" w:cs="Times New Roman"/>
          <w:sz w:val="24"/>
          <w:szCs w:val="20"/>
        </w:rPr>
        <w:t xml:space="preserve">.  </w:t>
      </w:r>
    </w:p>
    <w:p w:rsidR="00206CAF" w:rsidP="00D50C84" w14:paraId="791F9C23" w14:textId="784C5A21">
      <w:pPr>
        <w:tabs>
          <w:tab w:val="left" w:pos="-720"/>
          <w:tab w:val="left" w:pos="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A22026">
        <w:rPr>
          <w:rFonts w:ascii="Times New Roman" w:eastAsia="Times New Roman" w:hAnsi="Times New Roman" w:cs="Times New Roman"/>
          <w:sz w:val="24"/>
          <w:szCs w:val="20"/>
        </w:rPr>
        <w:t>Comments generally recommended limiting the notification requirement by expanding the time frame to correct errors.</w:t>
      </w:r>
      <w:r>
        <w:rPr>
          <w:rFonts w:ascii="Times New Roman" w:eastAsia="Times New Roman" w:hAnsi="Times New Roman" w:cs="Times New Roman"/>
          <w:sz w:val="24"/>
          <w:szCs w:val="20"/>
        </w:rPr>
        <w:t xml:space="preserve"> </w:t>
      </w:r>
      <w:r w:rsidRPr="00A22026">
        <w:rPr>
          <w:rFonts w:ascii="Times New Roman" w:eastAsia="Times New Roman" w:hAnsi="Times New Roman" w:cs="Times New Roman"/>
          <w:sz w:val="24"/>
          <w:szCs w:val="20"/>
        </w:rPr>
        <w:t xml:space="preserve"> Comments also stated that three business days may not be sufficient time to identify the scope of the errors and develop a remediation plan.</w:t>
      </w:r>
      <w:r>
        <w:rPr>
          <w:rFonts w:ascii="Times New Roman" w:eastAsia="Times New Roman" w:hAnsi="Times New Roman" w:cs="Times New Roman"/>
          <w:sz w:val="24"/>
          <w:szCs w:val="20"/>
        </w:rPr>
        <w:t xml:space="preserve"> </w:t>
      </w:r>
      <w:r w:rsidRPr="00A22026">
        <w:rPr>
          <w:rFonts w:ascii="Times New Roman" w:eastAsia="Times New Roman" w:hAnsi="Times New Roman" w:cs="Times New Roman"/>
          <w:sz w:val="24"/>
          <w:szCs w:val="20"/>
        </w:rPr>
        <w:t xml:space="preserve"> Other comments recommended including a materiality threshold to the notification requirement, and adopting a principles-based rule that would provide greater flexibility regarding the deadline for correcting errors.</w:t>
      </w:r>
      <w:r>
        <w:rPr>
          <w:rFonts w:ascii="Times New Roman" w:eastAsia="Times New Roman" w:hAnsi="Times New Roman" w:cs="Times New Roman"/>
          <w:sz w:val="24"/>
          <w:szCs w:val="20"/>
        </w:rPr>
        <w:t xml:space="preserve"> </w:t>
      </w:r>
      <w:r w:rsidRPr="00A22026">
        <w:rPr>
          <w:rFonts w:ascii="Times New Roman" w:eastAsia="Times New Roman" w:hAnsi="Times New Roman" w:cs="Times New Roman"/>
          <w:sz w:val="24"/>
          <w:szCs w:val="20"/>
        </w:rPr>
        <w:t xml:space="preserve"> Other comments recommended not adopting the three-day deadline and the notification requirement, and instead replacing the notification requirement with a requirement to maintain a log of errors and remediation and only require notification for material errors and only after </w:t>
      </w:r>
      <w:r w:rsidR="009B32D2">
        <w:rPr>
          <w:rFonts w:ascii="Times New Roman" w:eastAsia="Times New Roman" w:hAnsi="Times New Roman" w:cs="Times New Roman"/>
          <w:sz w:val="24"/>
          <w:szCs w:val="20"/>
        </w:rPr>
        <w:t>“</w:t>
      </w:r>
      <w:r w:rsidRPr="00A22026">
        <w:rPr>
          <w:rFonts w:ascii="Times New Roman" w:eastAsia="Times New Roman" w:hAnsi="Times New Roman" w:cs="Times New Roman"/>
          <w:sz w:val="24"/>
          <w:szCs w:val="20"/>
        </w:rPr>
        <w:t>due review of the facts and circumstances.</w:t>
      </w:r>
      <w:r w:rsidR="009B32D2">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22026">
        <w:rPr>
          <w:rFonts w:ascii="Times New Roman" w:eastAsia="Times New Roman" w:hAnsi="Times New Roman" w:cs="Times New Roman"/>
          <w:sz w:val="24"/>
          <w:szCs w:val="20"/>
        </w:rPr>
        <w:t xml:space="preserve"> The Commission d</w:t>
      </w:r>
      <w:r>
        <w:rPr>
          <w:rFonts w:ascii="Times New Roman" w:eastAsia="Times New Roman" w:hAnsi="Times New Roman" w:cs="Times New Roman"/>
          <w:sz w:val="24"/>
          <w:szCs w:val="20"/>
        </w:rPr>
        <w:t>id</w:t>
      </w:r>
      <w:r w:rsidRPr="00A22026">
        <w:rPr>
          <w:rFonts w:ascii="Times New Roman" w:eastAsia="Times New Roman" w:hAnsi="Times New Roman" w:cs="Times New Roman"/>
          <w:sz w:val="24"/>
          <w:szCs w:val="20"/>
        </w:rPr>
        <w:t xml:space="preserve"> not agree with the recommendations to replace or not adopt the notification requirement. The purpose of the notification requirement is to provide the Commission with the information that it needs to assess the accuracy of swap data.</w:t>
      </w:r>
      <w:r w:rsidR="00636DB9">
        <w:rPr>
          <w:rFonts w:ascii="Times New Roman" w:eastAsia="Times New Roman" w:hAnsi="Times New Roman" w:cs="Times New Roman"/>
          <w:sz w:val="24"/>
          <w:szCs w:val="20"/>
        </w:rPr>
        <w:t xml:space="preserve">  </w:t>
      </w:r>
      <w:r w:rsidRPr="00206CAF">
        <w:rPr>
          <w:rFonts w:ascii="Times New Roman" w:eastAsia="Times New Roman" w:hAnsi="Times New Roman" w:cs="Times New Roman"/>
          <w:sz w:val="24"/>
          <w:szCs w:val="20"/>
        </w:rPr>
        <w:t xml:space="preserve">The Commission received </w:t>
      </w:r>
      <w:r>
        <w:rPr>
          <w:rFonts w:ascii="Times New Roman" w:eastAsia="Times New Roman" w:hAnsi="Times New Roman" w:cs="Times New Roman"/>
          <w:sz w:val="24"/>
          <w:szCs w:val="20"/>
        </w:rPr>
        <w:t>no</w:t>
      </w:r>
      <w:r w:rsidRPr="00206CAF">
        <w:rPr>
          <w:rFonts w:ascii="Times New Roman" w:eastAsia="Times New Roman" w:hAnsi="Times New Roman" w:cs="Times New Roman"/>
          <w:sz w:val="24"/>
          <w:szCs w:val="20"/>
        </w:rPr>
        <w:t xml:space="preserve"> comments</w:t>
      </w:r>
      <w:r>
        <w:rPr>
          <w:rFonts w:ascii="Times New Roman" w:eastAsia="Times New Roman" w:hAnsi="Times New Roman" w:cs="Times New Roman"/>
          <w:sz w:val="24"/>
          <w:szCs w:val="20"/>
        </w:rPr>
        <w:t xml:space="preserve"> on the cost and hour burden for regulations 45.14 and 43.3(e)</w:t>
      </w:r>
      <w:r w:rsidR="00636DB9">
        <w:rPr>
          <w:rFonts w:ascii="Times New Roman" w:eastAsia="Times New Roman" w:hAnsi="Times New Roman" w:cs="Times New Roman"/>
          <w:sz w:val="24"/>
          <w:szCs w:val="20"/>
        </w:rPr>
        <w:t xml:space="preserve"> as part of this process</w:t>
      </w:r>
      <w:r>
        <w:rPr>
          <w:rFonts w:ascii="Times New Roman" w:eastAsia="Times New Roman" w:hAnsi="Times New Roman" w:cs="Times New Roman"/>
          <w:sz w:val="24"/>
          <w:szCs w:val="20"/>
        </w:rPr>
        <w:t>.</w:t>
      </w:r>
      <w:r>
        <w:rPr>
          <w:rStyle w:val="FootnoteReference"/>
          <w:rFonts w:ascii="Times New Roman" w:eastAsia="Times New Roman" w:hAnsi="Times New Roman" w:cs="Times New Roman"/>
          <w:sz w:val="24"/>
          <w:szCs w:val="20"/>
        </w:rPr>
        <w:footnoteReference w:id="14"/>
      </w:r>
    </w:p>
    <w:p w:rsidR="00D50C84" w:rsidRPr="00E21E52" w:rsidP="00D50C84" w14:paraId="4CB5D244"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0C84" w:rsidRPr="00E21E52" w:rsidP="00D50C84" w14:paraId="765055BD"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p>
    <w:p w:rsidR="00D50C84" w:rsidRPr="00E21E52" w:rsidP="00D50C84" w14:paraId="02F6281A" w14:textId="77777777">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The Commission published a notice in the Federal Register soliciting public comment on th</w:t>
      </w:r>
      <w:r w:rsidR="00210C72">
        <w:rPr>
          <w:rFonts w:ascii="Times New Roman" w:eastAsia="Times New Roman" w:hAnsi="Times New Roman" w:cs="Times New Roman"/>
          <w:sz w:val="24"/>
          <w:szCs w:val="20"/>
        </w:rPr>
        <w:t>e</w:t>
      </w:r>
      <w:r w:rsidRPr="00E21E52">
        <w:rPr>
          <w:rFonts w:ascii="Times New Roman" w:eastAsia="Times New Roman" w:hAnsi="Times New Roman" w:cs="Times New Roman"/>
          <w:sz w:val="24"/>
          <w:szCs w:val="20"/>
        </w:rPr>
        <w:t xml:space="preserve"> collection</w:t>
      </w:r>
      <w:r w:rsidR="00210C72">
        <w:rPr>
          <w:rFonts w:ascii="Times New Roman" w:eastAsia="Times New Roman" w:hAnsi="Times New Roman" w:cs="Times New Roman"/>
          <w:sz w:val="24"/>
          <w:szCs w:val="20"/>
        </w:rPr>
        <w:t xml:space="preserve"> that the Commission now proposes to revise</w:t>
      </w:r>
      <w:r w:rsidRPr="00E21E52">
        <w:rPr>
          <w:rFonts w:ascii="Times New Roman" w:eastAsia="Times New Roman" w:hAnsi="Times New Roman" w:cs="Times New Roman"/>
          <w:sz w:val="24"/>
          <w:szCs w:val="20"/>
        </w:rPr>
        <w:t>.</w:t>
      </w:r>
    </w:p>
    <w:p w:rsidR="00D50C84" w:rsidRPr="00E21E52" w:rsidP="00D50C84" w14:paraId="386D2B69" w14:textId="77777777">
      <w:pPr>
        <w:tabs>
          <w:tab w:val="left" w:pos="-720"/>
          <w:tab w:val="left" w:pos="0"/>
        </w:tabs>
        <w:suppressAutoHyphens/>
        <w:spacing w:after="0" w:line="240" w:lineRule="auto"/>
        <w:rPr>
          <w:rFonts w:ascii="Times New Roman" w:eastAsia="Times New Roman" w:hAnsi="Times New Roman" w:cs="Times New Roman"/>
          <w:sz w:val="24"/>
          <w:szCs w:val="20"/>
        </w:rPr>
      </w:pPr>
    </w:p>
    <w:p w:rsidR="00D50C84" w:rsidRPr="00E21E52" w:rsidP="00D50C84" w14:paraId="4F273D4D"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E21E52">
        <w:rPr>
          <w:rFonts w:ascii="Times New Roman" w:eastAsia="Times New Roman" w:hAnsi="Times New Roman" w:cs="Times New Roman"/>
          <w:sz w:val="24"/>
          <w:szCs w:val="20"/>
        </w:rPr>
        <w:t>.</w:t>
      </w:r>
    </w:p>
    <w:p w:rsidR="00D50C84" w:rsidRPr="00E21E52" w:rsidP="00D50C84" w14:paraId="2F67A1DE"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35B994E5" w14:textId="77777777">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25761" w:rsidR="006009B3">
        <w:rPr>
          <w:rFonts w:ascii="Times New Roman" w:eastAsia="Times New Roman" w:hAnsi="Times New Roman" w:cs="Times New Roman"/>
          <w:sz w:val="24"/>
          <w:szCs w:val="20"/>
        </w:rPr>
        <w:t xml:space="preserve">Not applicable, </w:t>
      </w:r>
      <w:r w:rsidR="006009B3">
        <w:rPr>
          <w:rFonts w:ascii="Times New Roman" w:eastAsia="Times New Roman" w:hAnsi="Times New Roman" w:cs="Times New Roman"/>
          <w:sz w:val="24"/>
          <w:szCs w:val="20"/>
        </w:rPr>
        <w:t>no collection has been made yet pursuant to regulations 45.14 or 43.3(e).</w:t>
      </w:r>
      <w:r w:rsidRPr="00E21E52" w:rsidR="006009B3">
        <w:rPr>
          <w:rFonts w:ascii="Times New Roman" w:eastAsia="Times New Roman" w:hAnsi="Times New Roman" w:cs="Times New Roman"/>
          <w:sz w:val="24"/>
          <w:szCs w:val="20"/>
        </w:rPr>
        <w:t xml:space="preserve"> </w:t>
      </w:r>
    </w:p>
    <w:p w:rsidR="00D50C84" w:rsidRPr="00E21E52" w:rsidP="00D50C84" w14:paraId="2B91E777"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9.</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any decision to provide any payment or gift to respondents, other than remuneration of contractors or grantees</w:t>
      </w:r>
      <w:r w:rsidRPr="00E21E52">
        <w:rPr>
          <w:rFonts w:ascii="Times New Roman" w:eastAsia="Times New Roman" w:hAnsi="Times New Roman" w:cs="Times New Roman"/>
          <w:sz w:val="24"/>
          <w:szCs w:val="20"/>
        </w:rPr>
        <w:t>.</w:t>
      </w:r>
    </w:p>
    <w:p w:rsidR="00D50C84" w:rsidRPr="00E21E52" w:rsidP="00D50C84" w14:paraId="176984A5"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46125B33" w14:textId="77777777">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Not applicable</w:t>
      </w:r>
      <w:r w:rsidRPr="00E21E52">
        <w:rPr>
          <w:rFonts w:ascii="Times New Roman" w:eastAsia="Times New Roman" w:hAnsi="Times New Roman" w:cs="Times New Roman"/>
          <w:sz w:val="24"/>
          <w:szCs w:val="20"/>
        </w:rPr>
        <w:t>.  This information collection does not involve the provision of any payment or gift to respondents.</w:t>
      </w:r>
    </w:p>
    <w:p w:rsidR="00D50C84" w:rsidRPr="00E21E52" w:rsidP="00D50C84" w14:paraId="49418247"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10.</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any assurance of confidentiality provided to respondents and the basis for the assurance in statute, regulations, or agency policy</w:t>
      </w:r>
      <w:r w:rsidRPr="00E21E52">
        <w:rPr>
          <w:rFonts w:ascii="Times New Roman" w:eastAsia="Times New Roman" w:hAnsi="Times New Roman" w:cs="Times New Roman"/>
          <w:sz w:val="24"/>
          <w:szCs w:val="20"/>
        </w:rPr>
        <w:t>.</w:t>
      </w:r>
    </w:p>
    <w:p w:rsidR="00D50C84" w:rsidRPr="00E21E52" w:rsidP="00D50C84" w14:paraId="712FB3F5"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4E17B9DC"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6009B3">
        <w:rPr>
          <w:rFonts w:ascii="Times New Roman" w:eastAsia="Times New Roman" w:hAnsi="Times New Roman" w:cs="Times New Roman"/>
          <w:sz w:val="24"/>
          <w:szCs w:val="20"/>
        </w:rPr>
        <w:t xml:space="preserve">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w:t>
      </w:r>
      <w:r w:rsidR="00210C72">
        <w:rPr>
          <w:rFonts w:ascii="Times New Roman" w:eastAsia="Times New Roman" w:hAnsi="Times New Roman" w:cs="Times New Roman"/>
          <w:sz w:val="24"/>
          <w:szCs w:val="20"/>
        </w:rPr>
        <w:t>regulations</w:t>
      </w:r>
      <w:r w:rsidRPr="006009B3">
        <w:rPr>
          <w:rFonts w:ascii="Times New Roman" w:eastAsia="Times New Roman" w:hAnsi="Times New Roman" w:cs="Times New Roman"/>
          <w:sz w:val="24"/>
          <w:szCs w:val="20"/>
        </w:rPr>
        <w:t xml:space="preserve"> 43.4, 49.16, 49.17, and 49.18, and </w:t>
      </w:r>
      <w:r w:rsidR="00210C72">
        <w:rPr>
          <w:rFonts w:ascii="Times New Roman" w:eastAsia="Times New Roman" w:hAnsi="Times New Roman" w:cs="Times New Roman"/>
          <w:sz w:val="24"/>
          <w:szCs w:val="20"/>
        </w:rPr>
        <w:t>P</w:t>
      </w:r>
      <w:r w:rsidRPr="006009B3">
        <w:rPr>
          <w:rFonts w:ascii="Times New Roman" w:eastAsia="Times New Roman" w:hAnsi="Times New Roman" w:cs="Times New Roman"/>
          <w:sz w:val="24"/>
          <w:szCs w:val="20"/>
        </w:rPr>
        <w:t>arts 145 and 147 of the Commission’s regulations.</w:t>
      </w:r>
      <w:r w:rsidR="00210C72">
        <w:rPr>
          <w:rFonts w:ascii="Times New Roman" w:eastAsia="Times New Roman" w:hAnsi="Times New Roman" w:cs="Times New Roman"/>
          <w:sz w:val="24"/>
          <w:szCs w:val="20"/>
        </w:rPr>
        <w:t xml:space="preserve"> </w:t>
      </w:r>
      <w:r w:rsidRPr="006009B3">
        <w:rPr>
          <w:rFonts w:ascii="Times New Roman" w:eastAsia="Times New Roman" w:hAnsi="Times New Roman" w:cs="Times New Roman"/>
          <w:sz w:val="24"/>
          <w:szCs w:val="20"/>
        </w:rPr>
        <w:t xml:space="preserve"> Information required to be collected or reported under Information Collection 3038-0096 is generally not made public, though it may be shared with other regulators pursuant to Part 49 of the Commission’s regulations.</w:t>
      </w:r>
    </w:p>
    <w:p w:rsidR="00D50C84" w:rsidRPr="00E21E52" w:rsidP="00D50C84" w14:paraId="7F42107F" w14:textId="77777777">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21E52">
        <w:rPr>
          <w:rFonts w:ascii="Times New Roman" w:eastAsia="Times New Roman" w:hAnsi="Times New Roman" w:cs="Times New Roman"/>
          <w:sz w:val="24"/>
          <w:szCs w:val="20"/>
        </w:rPr>
        <w:t>.</w:t>
      </w:r>
    </w:p>
    <w:p w:rsidR="00D50C84" w:rsidRPr="00E21E52" w:rsidP="00D50C84" w14:paraId="247FE7B4" w14:textId="77777777">
      <w:pPr>
        <w:tabs>
          <w:tab w:val="left" w:pos="-72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59E898C4" w14:textId="77777777">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FD016B">
        <w:rPr>
          <w:rFonts w:ascii="Times New Roman" w:eastAsia="Times New Roman" w:hAnsi="Times New Roman" w:cs="Times New Roman"/>
          <w:sz w:val="24"/>
          <w:szCs w:val="20"/>
        </w:rPr>
        <w:t>Not applicable, the collection does not involve any questions of a sensitive nature, as the term is used in this question.</w:t>
      </w:r>
    </w:p>
    <w:p w:rsidR="00D50C84" w:rsidRPr="00E21E52" w:rsidP="00D50C84" w14:paraId="4B396FC5"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hour burden of the collection of information.  The Statement should</w:t>
      </w:r>
      <w:r w:rsidRPr="00E21E52">
        <w:rPr>
          <w:rFonts w:ascii="Times New Roman" w:eastAsia="Times New Roman" w:hAnsi="Times New Roman" w:cs="Times New Roman"/>
          <w:sz w:val="24"/>
          <w:szCs w:val="20"/>
        </w:rPr>
        <w:t>:</w:t>
      </w:r>
    </w:p>
    <w:p w:rsidR="00D50C84" w:rsidRPr="00E21E52" w:rsidP="00D50C84" w14:paraId="7581A6DD"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09EB655F"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0C84" w:rsidRPr="00E21E52" w:rsidP="00D50C84" w14:paraId="269CB55F"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64E6B867"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If the request for approval covers more than one form, provide separate hour burden estimates for each form and aggregate the hour burdens in Item 13 of OMB Form 83-I.</w:t>
      </w:r>
    </w:p>
    <w:p w:rsidR="00D50C84" w:rsidRPr="00E21E52" w:rsidP="00D50C84" w14:paraId="023D3EC8"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029E3FB3"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50C84" w:rsidRPr="00E21E52" w:rsidP="00D50C84" w14:paraId="0BFE5C9F" w14:textId="77777777">
      <w:pPr>
        <w:tabs>
          <w:tab w:val="left" w:pos="-720"/>
          <w:tab w:val="left" w:pos="0"/>
        </w:tabs>
        <w:suppressAutoHyphens/>
        <w:spacing w:after="0" w:line="240" w:lineRule="auto"/>
        <w:ind w:firstLine="720"/>
        <w:rPr>
          <w:rFonts w:ascii="Times New Roman" w:eastAsia="Times New Roman" w:hAnsi="Times New Roman" w:cs="Times New Roman"/>
          <w:sz w:val="24"/>
          <w:szCs w:val="20"/>
          <w:u w:val="single"/>
        </w:rPr>
      </w:pPr>
    </w:p>
    <w:p w:rsidR="005F1691" w:rsidP="00D50C84" w14:paraId="3833F8C7" w14:textId="77777777">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Please see attachment A for the estimated hour burden for the proposed collections of information discussing in this supporting statement.</w:t>
      </w:r>
    </w:p>
    <w:p w:rsidR="005F1691" w:rsidP="00D50C84" w14:paraId="3CDBC546" w14:textId="77777777">
      <w:pPr>
        <w:tabs>
          <w:tab w:val="left" w:pos="-720"/>
          <w:tab w:val="left" w:pos="0"/>
        </w:tabs>
        <w:suppressAutoHyphens/>
        <w:spacing w:after="0" w:line="240" w:lineRule="auto"/>
        <w:rPr>
          <w:rFonts w:ascii="Times New Roman" w:eastAsia="Times New Roman" w:hAnsi="Times New Roman" w:cs="Times New Roman"/>
          <w:sz w:val="24"/>
          <w:szCs w:val="20"/>
        </w:rPr>
      </w:pPr>
    </w:p>
    <w:p w:rsidR="00D50C84" w:rsidRPr="00210C72" w:rsidP="00D50C84" w14:paraId="562BF408" w14:textId="77777777">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CFTC regulation</w:t>
      </w:r>
      <w:r>
        <w:rPr>
          <w:rFonts w:ascii="Times New Roman" w:eastAsia="Times New Roman" w:hAnsi="Times New Roman" w:cs="Times New Roman"/>
          <w:sz w:val="24"/>
          <w:szCs w:val="20"/>
        </w:rPr>
        <w:t>s 45.14 and 43.3(e)</w:t>
      </w:r>
      <w:r w:rsidRPr="00E21E52">
        <w:rPr>
          <w:rFonts w:ascii="Times New Roman" w:eastAsia="Times New Roman" w:hAnsi="Times New Roman" w:cs="Times New Roman"/>
          <w:sz w:val="24"/>
          <w:szCs w:val="20"/>
        </w:rPr>
        <w:t xml:space="preserve"> </w:t>
      </w:r>
      <w:r w:rsidRPr="00210C72">
        <w:rPr>
          <w:rFonts w:ascii="Times New Roman" w:eastAsia="Times New Roman" w:hAnsi="Times New Roman" w:cs="Times New Roman"/>
          <w:sz w:val="24"/>
          <w:szCs w:val="20"/>
        </w:rPr>
        <w:t xml:space="preserve">impose reporting obligations on affected parties.  As detailed below, Commission staff estimate that the estimated </w:t>
      </w:r>
      <w:r w:rsidRPr="00210C72" w:rsidR="007134A5">
        <w:rPr>
          <w:rFonts w:ascii="Times New Roman" w:eastAsia="Times New Roman" w:hAnsi="Times New Roman" w:cs="Times New Roman"/>
          <w:sz w:val="24"/>
          <w:szCs w:val="20"/>
        </w:rPr>
        <w:t>1,742</w:t>
      </w:r>
      <w:r w:rsidRPr="00210C72">
        <w:rPr>
          <w:rFonts w:ascii="Times New Roman" w:eastAsia="Times New Roman" w:hAnsi="Times New Roman" w:cs="Times New Roman"/>
          <w:sz w:val="24"/>
          <w:szCs w:val="20"/>
        </w:rPr>
        <w:t xml:space="preserve"> respondents incur a total annual burden of </w:t>
      </w:r>
      <w:r w:rsidRPr="00210C72" w:rsidR="007134A5">
        <w:rPr>
          <w:rFonts w:ascii="Times New Roman" w:eastAsia="Times New Roman" w:hAnsi="Times New Roman" w:cs="Times New Roman"/>
          <w:sz w:val="24"/>
          <w:szCs w:val="20"/>
        </w:rPr>
        <w:t>20,904</w:t>
      </w:r>
      <w:r w:rsidRPr="00210C72">
        <w:rPr>
          <w:rFonts w:ascii="Times New Roman" w:eastAsia="Times New Roman" w:hAnsi="Times New Roman" w:cs="Times New Roman"/>
          <w:sz w:val="24"/>
          <w:szCs w:val="20"/>
        </w:rPr>
        <w:t xml:space="preserve"> hours and an associated total cost of </w:t>
      </w:r>
      <w:r w:rsidRPr="00210C72" w:rsidR="007134A5">
        <w:rPr>
          <w:rFonts w:ascii="Times New Roman" w:eastAsia="Times New Roman" w:hAnsi="Times New Roman" w:cs="Times New Roman"/>
          <w:sz w:val="24"/>
          <w:szCs w:val="20"/>
        </w:rPr>
        <w:t>$1,707,856.80</w:t>
      </w:r>
      <w:r w:rsidRPr="00210C72" w:rsidR="00EF5859">
        <w:rPr>
          <w:rFonts w:ascii="Times New Roman" w:eastAsia="Times New Roman" w:hAnsi="Times New Roman" w:cs="Times New Roman"/>
          <w:sz w:val="24"/>
          <w:szCs w:val="20"/>
        </w:rPr>
        <w:t>.</w:t>
      </w:r>
    </w:p>
    <w:p w:rsidR="00BA75F4" w:rsidRPr="00210C72" w:rsidP="00D50C84" w14:paraId="6F3DBC6E" w14:textId="77777777">
      <w:pPr>
        <w:tabs>
          <w:tab w:val="left" w:pos="-720"/>
          <w:tab w:val="left" w:pos="0"/>
        </w:tabs>
        <w:suppressAutoHyphens/>
        <w:spacing w:after="0" w:line="240" w:lineRule="auto"/>
        <w:rPr>
          <w:rFonts w:ascii="Times New Roman" w:eastAsia="Times New Roman" w:hAnsi="Times New Roman" w:cs="Times New Roman"/>
          <w:sz w:val="24"/>
          <w:szCs w:val="20"/>
        </w:rPr>
      </w:pPr>
    </w:p>
    <w:p w:rsidR="00BA75F4" w:rsidRPr="00210C72" w:rsidP="00D50C84" w14:paraId="2E72CCE3" w14:textId="77777777">
      <w:pPr>
        <w:tabs>
          <w:tab w:val="left" w:pos="-720"/>
          <w:tab w:val="left" w:pos="0"/>
        </w:tabs>
        <w:suppressAutoHyphens/>
        <w:spacing w:after="0" w:line="240" w:lineRule="auto"/>
        <w:rPr>
          <w:rFonts w:ascii="Times New Roman" w:eastAsia="Times New Roman" w:hAnsi="Times New Roman" w:cs="Times New Roman"/>
          <w:sz w:val="24"/>
          <w:szCs w:val="20"/>
        </w:rPr>
      </w:pPr>
      <w:r w:rsidRPr="00210C72">
        <w:rPr>
          <w:rFonts w:ascii="Times New Roman" w:eastAsia="Times New Roman" w:hAnsi="Times New Roman" w:cs="Times New Roman"/>
          <w:sz w:val="24"/>
          <w:szCs w:val="20"/>
        </w:rPr>
        <w:tab/>
        <w:t>In calculating the cost estimate, the Commission estimated the appropriate wage rate based on salary information for the securities industry compiled by the Department of Labor’s Bureau of Labor Statistics (“BLS”).  Commission staff arrived at an hourly rate of $81.70 using figures from a weighted average of salaries and bonuses across different professions contained in the most recent BLS Occupational Employment and Wages Report (May 2021) multiplied by 1.3 to account for overhead and other benefits.</w:t>
      </w:r>
      <w:r>
        <w:rPr>
          <w:rStyle w:val="FootnoteReference"/>
          <w:rFonts w:ascii="Times New Roman" w:eastAsia="Times New Roman" w:hAnsi="Times New Roman" w:cs="Times New Roman"/>
          <w:sz w:val="24"/>
          <w:szCs w:val="20"/>
        </w:rPr>
        <w:footnoteReference w:id="15"/>
      </w:r>
      <w:r w:rsidRPr="00210C72">
        <w:rPr>
          <w:rFonts w:ascii="Times New Roman" w:eastAsia="Times New Roman" w:hAnsi="Times New Roman" w:cs="Times New Roman"/>
          <w:sz w:val="24"/>
          <w:szCs w:val="20"/>
        </w:rPr>
        <w:t xml:space="preserve">  The Commission estimated appropriate wage rate is a weighted national average of mean hourly wages for the following occupations (and their relative weight): “computer programmer – industry: securities, commodity contracts, and other financial investment and related activities ” (50% weight); “compliance officer – industry: securities, commodity contracts, and other financial investment and related activities” (25%); and “lawyer – legal services” (25%).</w:t>
      </w:r>
      <w:r w:rsidR="00210C72">
        <w:rPr>
          <w:rFonts w:ascii="Times New Roman" w:eastAsia="Times New Roman" w:hAnsi="Times New Roman" w:cs="Times New Roman"/>
          <w:sz w:val="24"/>
          <w:szCs w:val="20"/>
        </w:rPr>
        <w:t xml:space="preserve"> </w:t>
      </w:r>
      <w:r w:rsidRPr="00210C72">
        <w:rPr>
          <w:rFonts w:ascii="Times New Roman" w:eastAsia="Times New Roman" w:hAnsi="Times New Roman" w:cs="Times New Roman"/>
          <w:sz w:val="24"/>
          <w:szCs w:val="20"/>
        </w:rPr>
        <w:t xml:space="preserve"> Commission staff chose this methodology to account for the variance in skill sets that may be used to accomplish the collection of information.</w:t>
      </w:r>
    </w:p>
    <w:p w:rsidR="00D50C84" w:rsidRPr="00210C72" w:rsidP="00D50C84" w14:paraId="052ADCF0" w14:textId="77777777">
      <w:pPr>
        <w:tabs>
          <w:tab w:val="left" w:pos="-720"/>
          <w:tab w:val="left" w:pos="0"/>
        </w:tabs>
        <w:suppressAutoHyphens/>
        <w:spacing w:after="0" w:line="240" w:lineRule="auto"/>
        <w:rPr>
          <w:rFonts w:ascii="Times New Roman" w:eastAsia="Times New Roman" w:hAnsi="Times New Roman" w:cs="Times New Roman"/>
          <w:sz w:val="24"/>
          <w:szCs w:val="20"/>
          <w:u w:val="single"/>
        </w:rPr>
      </w:pPr>
    </w:p>
    <w:p w:rsidR="00D50C84" w:rsidRPr="00210C72" w:rsidP="00D50C84" w14:paraId="586A86B4" w14:textId="77777777">
      <w:pPr>
        <w:tabs>
          <w:tab w:val="left" w:pos="720"/>
        </w:tabs>
        <w:spacing w:after="0" w:line="240" w:lineRule="auto"/>
        <w:jc w:val="center"/>
        <w:rPr>
          <w:rFonts w:ascii="Times New Roman" w:eastAsia="Times New Roman" w:hAnsi="Times New Roman" w:cs="Times New Roman"/>
          <w:sz w:val="24"/>
          <w:szCs w:val="20"/>
          <w:u w:val="single"/>
        </w:rPr>
      </w:pPr>
      <w:r w:rsidRPr="00210C72">
        <w:rPr>
          <w:rFonts w:ascii="Times New Roman" w:eastAsia="Times New Roman" w:hAnsi="Times New Roman" w:cs="Times New Roman"/>
          <w:sz w:val="24"/>
          <w:szCs w:val="20"/>
          <w:u w:val="single"/>
        </w:rPr>
        <w:t xml:space="preserve">Regulation </w:t>
      </w:r>
      <w:r w:rsidRPr="00210C72" w:rsidR="005F1691">
        <w:rPr>
          <w:rFonts w:ascii="Times New Roman" w:eastAsia="Times New Roman" w:hAnsi="Times New Roman" w:cs="Times New Roman"/>
          <w:sz w:val="24"/>
          <w:szCs w:val="20"/>
          <w:u w:val="single"/>
        </w:rPr>
        <w:t>45.14</w:t>
      </w:r>
      <w:r w:rsidRPr="00210C72">
        <w:rPr>
          <w:rFonts w:ascii="Times New Roman" w:eastAsia="Times New Roman" w:hAnsi="Times New Roman" w:cs="Times New Roman"/>
          <w:sz w:val="24"/>
          <w:szCs w:val="20"/>
          <w:u w:val="single"/>
        </w:rPr>
        <w:t>: Reporting Burdens</w:t>
      </w:r>
    </w:p>
    <w:p w:rsidR="00D50C84" w:rsidRPr="00210C72" w:rsidP="00D50C84" w14:paraId="09BE84FB" w14:textId="77777777">
      <w:pPr>
        <w:tabs>
          <w:tab w:val="left" w:pos="720"/>
        </w:tabs>
        <w:spacing w:after="0" w:line="240" w:lineRule="auto"/>
        <w:rPr>
          <w:rFonts w:ascii="Times New Roman" w:eastAsia="Times New Roman" w:hAnsi="Times New Roman" w:cs="Times New Roman"/>
          <w:sz w:val="24"/>
          <w:szCs w:val="20"/>
        </w:rPr>
      </w:pPr>
    </w:p>
    <w:p w:rsidR="005F1691" w:rsidP="005F1691" w14:paraId="6D003FA3" w14:textId="242A9090">
      <w:pPr>
        <w:tabs>
          <w:tab w:val="left" w:pos="720"/>
        </w:tabs>
        <w:spacing w:after="0" w:line="240" w:lineRule="auto"/>
        <w:rPr>
          <w:rFonts w:ascii="Times New Roman" w:eastAsia="Times New Roman" w:hAnsi="Times New Roman" w:cs="Times New Roman"/>
          <w:sz w:val="24"/>
          <w:szCs w:val="20"/>
        </w:rPr>
      </w:pPr>
      <w:r w:rsidRPr="00210C72">
        <w:rPr>
          <w:rFonts w:ascii="Times New Roman" w:eastAsia="Times New Roman" w:hAnsi="Times New Roman" w:cs="Times New Roman"/>
          <w:sz w:val="24"/>
          <w:szCs w:val="20"/>
        </w:rPr>
        <w:tab/>
        <w:t xml:space="preserve">Collections required by </w:t>
      </w:r>
      <w:r w:rsidRPr="00210C72" w:rsidR="00D50C84">
        <w:rPr>
          <w:rFonts w:ascii="Times New Roman" w:eastAsia="Times New Roman" w:hAnsi="Times New Roman" w:cs="Times New Roman"/>
          <w:sz w:val="24"/>
          <w:szCs w:val="20"/>
        </w:rPr>
        <w:t xml:space="preserve">CFTC regulation </w:t>
      </w:r>
      <w:r w:rsidRPr="00210C72">
        <w:rPr>
          <w:rFonts w:ascii="Times New Roman" w:eastAsia="Times New Roman" w:hAnsi="Times New Roman" w:cs="Times New Roman"/>
          <w:sz w:val="24"/>
          <w:szCs w:val="20"/>
        </w:rPr>
        <w:t>45.14 are event</w:t>
      </w:r>
      <w:r w:rsidR="002C5B13">
        <w:rPr>
          <w:rFonts w:ascii="Times New Roman" w:eastAsia="Times New Roman" w:hAnsi="Times New Roman" w:cs="Times New Roman"/>
          <w:sz w:val="24"/>
          <w:szCs w:val="20"/>
        </w:rPr>
        <w:t>-</w:t>
      </w:r>
      <w:r w:rsidRPr="00210C72">
        <w:rPr>
          <w:rFonts w:ascii="Times New Roman" w:eastAsia="Times New Roman" w:hAnsi="Times New Roman" w:cs="Times New Roman"/>
          <w:sz w:val="24"/>
          <w:szCs w:val="20"/>
        </w:rPr>
        <w:t xml:space="preserve">specific.  In previously estimating the hour burden of the information collection, the Commission considered </w:t>
      </w:r>
      <w:r w:rsidRPr="00210C72" w:rsidR="00EF5859">
        <w:rPr>
          <w:rFonts w:ascii="Times New Roman" w:eastAsia="Times New Roman" w:hAnsi="Times New Roman" w:cs="Times New Roman"/>
          <w:sz w:val="24"/>
          <w:szCs w:val="20"/>
        </w:rPr>
        <w:t>the burden associated with notifying the Director of the Division of Market Oversight of swap data errors, providing an initial assessment of those errors, and providing an initial remediation plan if one exists.</w:t>
      </w:r>
      <w:r>
        <w:rPr>
          <w:rStyle w:val="FootnoteReference"/>
          <w:rFonts w:ascii="Times New Roman" w:eastAsia="Times New Roman" w:hAnsi="Times New Roman" w:cs="Times New Roman"/>
          <w:sz w:val="24"/>
          <w:szCs w:val="20"/>
        </w:rPr>
        <w:footnoteReference w:id="16"/>
      </w:r>
      <w:r w:rsidRPr="00210C72" w:rsidR="00EF5859">
        <w:rPr>
          <w:rFonts w:ascii="Times New Roman" w:eastAsia="Times New Roman" w:hAnsi="Times New Roman" w:cs="Times New Roman"/>
          <w:sz w:val="24"/>
          <w:szCs w:val="20"/>
        </w:rPr>
        <w:t xml:space="preserve">  The Commission estimated that each SEF, DCM, and reporting counterparty will, on average, need to provide notice to the </w:t>
      </w:r>
      <w:r w:rsidR="00210C72">
        <w:rPr>
          <w:rFonts w:ascii="Times New Roman" w:eastAsia="Times New Roman" w:hAnsi="Times New Roman" w:cs="Times New Roman"/>
          <w:sz w:val="24"/>
          <w:szCs w:val="20"/>
        </w:rPr>
        <w:t>C</w:t>
      </w:r>
      <w:r w:rsidRPr="00210C72" w:rsidR="00EF5859">
        <w:rPr>
          <w:rFonts w:ascii="Times New Roman" w:eastAsia="Times New Roman" w:hAnsi="Times New Roman" w:cs="Times New Roman"/>
          <w:sz w:val="24"/>
          <w:szCs w:val="20"/>
        </w:rPr>
        <w:t>ommission once per year and that each notice would require 6 burden hours.</w:t>
      </w:r>
      <w:r>
        <w:rPr>
          <w:rStyle w:val="FootnoteReference"/>
          <w:rFonts w:ascii="Times New Roman" w:eastAsia="Times New Roman" w:hAnsi="Times New Roman" w:cs="Times New Roman"/>
          <w:sz w:val="24"/>
          <w:szCs w:val="20"/>
        </w:rPr>
        <w:footnoteReference w:id="17"/>
      </w:r>
    </w:p>
    <w:p w:rsidR="00EF5859" w:rsidP="005F1691" w14:paraId="3D9641BB" w14:textId="77777777">
      <w:pPr>
        <w:tabs>
          <w:tab w:val="left" w:pos="720"/>
        </w:tabs>
        <w:spacing w:after="0" w:line="240" w:lineRule="auto"/>
        <w:rPr>
          <w:rFonts w:ascii="Times New Roman" w:eastAsia="Times New Roman" w:hAnsi="Times New Roman" w:cs="Times New Roman"/>
          <w:sz w:val="24"/>
          <w:szCs w:val="20"/>
        </w:rPr>
      </w:pPr>
    </w:p>
    <w:p w:rsidR="00EF5859" w:rsidP="005F1691" w14:paraId="486483F7" w14:textId="77777777">
      <w:pPr>
        <w:tabs>
          <w:tab w:val="left" w:pos="7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The Commission does not believe that introduction of the Form alters these previous estimates.  The introduction of the Form has no bearing on the Commission’s estimated number of notifications required annually, as that is a function of the rate of occurrence of swap data errors.  The introduction of the Form does not alter the Commission’s estimate concerning burden hours, as </w:t>
      </w:r>
      <w:r w:rsidR="00BD38B4">
        <w:rPr>
          <w:rFonts w:ascii="Times New Roman" w:eastAsia="Times New Roman" w:hAnsi="Times New Roman" w:cs="Times New Roman"/>
          <w:sz w:val="24"/>
          <w:szCs w:val="20"/>
        </w:rPr>
        <w:t>it only sets out the “form and manner” for notifying the Commission of swap data errors, providing an initial assessment of the scope of those errors, and providing an initial remediation plan if one exists.</w:t>
      </w:r>
      <w:r>
        <w:rPr>
          <w:rStyle w:val="FootnoteReference"/>
          <w:rFonts w:ascii="Times New Roman" w:eastAsia="Times New Roman" w:hAnsi="Times New Roman" w:cs="Times New Roman"/>
          <w:sz w:val="24"/>
          <w:szCs w:val="20"/>
        </w:rPr>
        <w:footnoteReference w:id="18"/>
      </w:r>
    </w:p>
    <w:p w:rsidR="00D50C84" w:rsidRPr="00E21E52" w14:paraId="53277D2F" w14:textId="77777777">
      <w:pPr>
        <w:tabs>
          <w:tab w:val="left" w:pos="720"/>
        </w:tabs>
        <w:spacing w:after="0" w:line="240" w:lineRule="auto"/>
        <w:rPr>
          <w:rFonts w:ascii="Times New Roman" w:eastAsia="Times New Roman" w:hAnsi="Times New Roman" w:cs="Times New Roman"/>
          <w:i/>
          <w:sz w:val="24"/>
          <w:szCs w:val="20"/>
        </w:rPr>
      </w:pPr>
      <w:r w:rsidRPr="00D25761">
        <w:rPr>
          <w:rFonts w:ascii="Times New Roman" w:eastAsia="Times New Roman" w:hAnsi="Times New Roman" w:cs="Times New Roman"/>
          <w:sz w:val="24"/>
          <w:szCs w:val="20"/>
        </w:rPr>
        <w:t xml:space="preserve"> </w:t>
      </w:r>
    </w:p>
    <w:p w:rsidR="00EF5859" w:rsidP="00F94425" w14:paraId="2CFA67D7" w14:textId="77777777">
      <w:pPr>
        <w:tabs>
          <w:tab w:val="left" w:pos="720"/>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E21E52">
        <w:rPr>
          <w:rFonts w:ascii="Times New Roman" w:eastAsia="Times New Roman" w:hAnsi="Times New Roman" w:cs="Times New Roman"/>
          <w:sz w:val="24"/>
          <w:szCs w:val="20"/>
          <w:u w:val="single"/>
        </w:rPr>
        <w:t>Regulation 4</w:t>
      </w:r>
      <w:r>
        <w:rPr>
          <w:rFonts w:ascii="Times New Roman" w:eastAsia="Times New Roman" w:hAnsi="Times New Roman" w:cs="Times New Roman"/>
          <w:sz w:val="24"/>
          <w:szCs w:val="20"/>
          <w:u w:val="single"/>
        </w:rPr>
        <w:t>3.3(e)</w:t>
      </w:r>
      <w:r w:rsidRPr="00E21E52">
        <w:rPr>
          <w:rFonts w:ascii="Times New Roman" w:eastAsia="Times New Roman" w:hAnsi="Times New Roman" w:cs="Times New Roman"/>
          <w:sz w:val="24"/>
          <w:szCs w:val="20"/>
          <w:u w:val="single"/>
        </w:rPr>
        <w:t>: Reporting Burdens</w:t>
      </w:r>
    </w:p>
    <w:p w:rsidR="00D50C84" w:rsidP="00D50C84" w14:paraId="1D6E6EEF" w14:textId="77777777">
      <w:pPr>
        <w:tabs>
          <w:tab w:val="left" w:pos="720"/>
        </w:tabs>
        <w:spacing w:after="0" w:line="240" w:lineRule="auto"/>
        <w:rPr>
          <w:rFonts w:ascii="Times New Roman" w:eastAsia="Times New Roman" w:hAnsi="Times New Roman" w:cs="Times New Roman"/>
          <w:sz w:val="24"/>
          <w:szCs w:val="20"/>
        </w:rPr>
      </w:pPr>
    </w:p>
    <w:p w:rsidR="00BA75F4" w:rsidP="00D50C84" w14:paraId="30A299C5" w14:textId="77777777">
      <w:pPr>
        <w:tabs>
          <w:tab w:val="left" w:pos="7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Collections required by CFTC regulation 43.3(e) are similar to those required by regulation 45.14.  As was the case when the Commission previously estimated the hour burden of the regulation 43.3(e) information collection, the regulation 43.3(e) burden is identical to the regulation 45.14 burden.</w:t>
      </w:r>
      <w:r>
        <w:rPr>
          <w:rStyle w:val="FootnoteReference"/>
          <w:rFonts w:ascii="Times New Roman" w:eastAsia="Times New Roman" w:hAnsi="Times New Roman" w:cs="Times New Roman"/>
          <w:sz w:val="24"/>
          <w:szCs w:val="20"/>
        </w:rPr>
        <w:footnoteReference w:id="19"/>
      </w:r>
    </w:p>
    <w:p w:rsidR="00D50C84" w:rsidRPr="00E21E52" w:rsidP="00D50C84" w14:paraId="68F1F753"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25AA2669"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an estimate of the total annual cost burden to respondents or recordkeepers resulting from the collection of information.  (Do not include the cost of any hour burden shown in Items 12 and 14)</w:t>
      </w:r>
      <w:r w:rsidRPr="00E21E52">
        <w:rPr>
          <w:rFonts w:ascii="Times New Roman" w:eastAsia="Times New Roman" w:hAnsi="Times New Roman" w:cs="Times New Roman"/>
          <w:sz w:val="24"/>
          <w:szCs w:val="20"/>
        </w:rPr>
        <w:t>.</w:t>
      </w:r>
    </w:p>
    <w:p w:rsidR="00D50C84" w:rsidRPr="00E21E52" w:rsidP="00D50C84" w14:paraId="0B905C45"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3C30798A"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453B3">
        <w:rPr>
          <w:rFonts w:ascii="Times New Roman" w:eastAsia="Times New Roman" w:hAnsi="Times New Roman" w:cs="Times New Roman"/>
          <w:sz w:val="24"/>
          <w:szCs w:val="20"/>
          <w:u w:val="single"/>
        </w:rPr>
        <w:t>take into account</w:t>
      </w:r>
      <w:r w:rsidRPr="008453B3">
        <w:rPr>
          <w:rFonts w:ascii="Times New Roman" w:eastAsia="Times New Roman" w:hAnsi="Times New Roman" w:cs="Times New Roman"/>
          <w:sz w:val="24"/>
          <w:szCs w:val="20"/>
          <w:u w:val="single"/>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50C84" w:rsidRPr="00E21E52" w:rsidP="00D50C84" w14:paraId="2AB37EFF"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431BCAA3"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50C84" w:rsidRPr="00E21E52" w:rsidP="00D50C84" w14:paraId="1C39AC6E"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8453B3" w:rsidP="00D50C84" w14:paraId="6B98A9F0"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50C84" w:rsidRPr="00E21E52" w:rsidP="00D50C84" w14:paraId="5ABC3BF2" w14:textId="77777777">
      <w:pPr>
        <w:tabs>
          <w:tab w:val="left" w:pos="-720"/>
          <w:tab w:val="left" w:pos="0"/>
          <w:tab w:val="left" w:pos="720"/>
        </w:tabs>
        <w:suppressAutoHyphens/>
        <w:spacing w:after="0" w:line="240" w:lineRule="auto"/>
        <w:ind w:left="720"/>
        <w:rPr>
          <w:rFonts w:ascii="Times New Roman" w:eastAsia="Times New Roman" w:hAnsi="Times New Roman" w:cs="Times New Roman"/>
          <w:sz w:val="24"/>
          <w:szCs w:val="20"/>
        </w:rPr>
      </w:pPr>
      <w:r w:rsidRPr="00E21E52">
        <w:rPr>
          <w:rFonts w:ascii="Times New Roman" w:eastAsia="Times New Roman" w:hAnsi="Times New Roman" w:cs="Times New Roman"/>
          <w:b/>
          <w:sz w:val="24"/>
          <w:szCs w:val="20"/>
        </w:rPr>
        <w:tab/>
      </w:r>
    </w:p>
    <w:p w:rsidR="00D50C84" w:rsidRPr="00E21E52" w:rsidP="00D50C84" w14:paraId="02549227" w14:textId="0FF89F6F">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 xml:space="preserve">The Commission believes that </w:t>
      </w:r>
      <w:r>
        <w:rPr>
          <w:rFonts w:ascii="Times New Roman" w:eastAsia="Times New Roman" w:hAnsi="Times New Roman" w:cs="Times New Roman"/>
          <w:sz w:val="24"/>
          <w:szCs w:val="20"/>
        </w:rPr>
        <w:t>the collection</w:t>
      </w:r>
      <w:r w:rsidRPr="00E21E52">
        <w:rPr>
          <w:rFonts w:ascii="Times New Roman" w:eastAsia="Times New Roman" w:hAnsi="Times New Roman" w:cs="Times New Roman"/>
          <w:sz w:val="24"/>
          <w:szCs w:val="20"/>
        </w:rPr>
        <w:t xml:space="preserve"> does not impose any additional (</w:t>
      </w:r>
      <w:r w:rsidRPr="00F94425">
        <w:rPr>
          <w:rFonts w:ascii="Times New Roman" w:eastAsia="Times New Roman" w:hAnsi="Times New Roman" w:cs="Times New Roman"/>
          <w:i/>
          <w:sz w:val="24"/>
          <w:szCs w:val="20"/>
        </w:rPr>
        <w:t>i.e.</w:t>
      </w:r>
      <w:r w:rsidRPr="00E21E52">
        <w:rPr>
          <w:rFonts w:ascii="Times New Roman" w:eastAsia="Times New Roman" w:hAnsi="Times New Roman" w:cs="Times New Roman"/>
          <w:sz w:val="24"/>
          <w:szCs w:val="20"/>
        </w:rPr>
        <w:t>, capital and start-up costs, as well as annual operation and maintenance costs) costs on affected entities.</w:t>
      </w:r>
    </w:p>
    <w:p w:rsidR="00D50C84" w:rsidRPr="00E21E52" w:rsidP="00D50C84" w14:paraId="0177907A" w14:textId="77777777">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rsidR="00D50C84" w:rsidRPr="00E21E52" w:rsidP="00D50C84" w14:paraId="62EE558A" w14:textId="77777777">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E21E52">
        <w:rPr>
          <w:rFonts w:ascii="Times New Roman" w:eastAsia="Times New Roman" w:hAnsi="Times New Roman" w:cs="Times New Roman"/>
          <w:sz w:val="24"/>
          <w:szCs w:val="20"/>
        </w:rPr>
        <w:t xml:space="preserve">  </w:t>
      </w:r>
    </w:p>
    <w:p w:rsidR="00D50C84" w:rsidRPr="00E21E52" w:rsidP="00D50C84" w14:paraId="6C5468F7" w14:textId="77777777">
      <w:pPr>
        <w:tabs>
          <w:tab w:val="left" w:pos="-720"/>
        </w:tabs>
        <w:suppressAutoHyphens/>
        <w:spacing w:after="0" w:line="240" w:lineRule="auto"/>
        <w:rPr>
          <w:rFonts w:ascii="Times New Roman" w:eastAsia="Times New Roman" w:hAnsi="Times New Roman" w:cs="Times New Roman"/>
          <w:sz w:val="24"/>
          <w:szCs w:val="20"/>
          <w:highlight w:val="red"/>
        </w:rPr>
      </w:pPr>
    </w:p>
    <w:p w:rsidR="00D50C84" w:rsidRPr="00E21E52" w:rsidP="00D50C84" w14:paraId="7D4BB0A8" w14:textId="4799E612">
      <w:pPr>
        <w:tabs>
          <w:tab w:val="left" w:pos="-72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665298">
        <w:rPr>
          <w:rFonts w:ascii="Times New Roman" w:eastAsia="Times New Roman" w:hAnsi="Times New Roman" w:cs="Times New Roman"/>
          <w:sz w:val="24"/>
          <w:szCs w:val="20"/>
        </w:rPr>
        <w:t>The Commission does not anticipate that the proposed changes will require additional staff time or technology resources beyond what is already dedicated to this collection, as discussed in previous filings related to Information Collection</w:t>
      </w:r>
      <w:r w:rsidR="009B32D2">
        <w:rPr>
          <w:rFonts w:ascii="Times New Roman" w:eastAsia="Times New Roman" w:hAnsi="Times New Roman" w:cs="Times New Roman"/>
          <w:sz w:val="24"/>
          <w:szCs w:val="20"/>
        </w:rPr>
        <w:t>s</w:t>
      </w:r>
      <w:r w:rsidRPr="00665298">
        <w:rPr>
          <w:rFonts w:ascii="Times New Roman" w:eastAsia="Times New Roman" w:hAnsi="Times New Roman" w:cs="Times New Roman"/>
          <w:sz w:val="24"/>
          <w:szCs w:val="20"/>
        </w:rPr>
        <w:t xml:space="preserve"> 3038-0096</w:t>
      </w:r>
      <w:r w:rsidR="00265027">
        <w:rPr>
          <w:rFonts w:ascii="Times New Roman" w:eastAsia="Times New Roman" w:hAnsi="Times New Roman" w:cs="Times New Roman"/>
          <w:sz w:val="24"/>
          <w:szCs w:val="20"/>
        </w:rPr>
        <w:t xml:space="preserve"> and 3038-0070</w:t>
      </w:r>
      <w:r w:rsidRPr="00665298">
        <w:rPr>
          <w:rFonts w:ascii="Times New Roman" w:eastAsia="Times New Roman" w:hAnsi="Times New Roman" w:cs="Times New Roman"/>
          <w:sz w:val="24"/>
          <w:szCs w:val="20"/>
        </w:rPr>
        <w:t>.</w:t>
      </w:r>
    </w:p>
    <w:p w:rsidR="00D50C84" w:rsidRPr="00E21E52" w:rsidP="00D50C84" w14:paraId="5BC510A5" w14:textId="77777777">
      <w:pPr>
        <w:tabs>
          <w:tab w:val="left" w:pos="-72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321C6E46"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reasons for any program changes or adjustments reported in Items 13 or 14 of the OMB Form 83-I</w:t>
      </w:r>
      <w:r w:rsidRPr="00E21E52">
        <w:rPr>
          <w:rFonts w:ascii="Times New Roman" w:eastAsia="Times New Roman" w:hAnsi="Times New Roman" w:cs="Times New Roman"/>
          <w:sz w:val="24"/>
          <w:szCs w:val="20"/>
        </w:rPr>
        <w:t>.</w:t>
      </w:r>
    </w:p>
    <w:p w:rsidR="00D50C84" w:rsidRPr="00E21E52" w:rsidP="00D50C84" w14:paraId="07BF2F3A"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4C837599" w14:textId="09D80D54">
      <w:pPr>
        <w:tabs>
          <w:tab w:val="left" w:pos="7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711A4">
        <w:rPr>
          <w:rFonts w:ascii="Times New Roman" w:eastAsia="Times New Roman" w:hAnsi="Times New Roman" w:cs="Optimum"/>
          <w:color w:val="000000"/>
          <w:sz w:val="24"/>
          <w:szCs w:val="24"/>
        </w:rPr>
        <w:t xml:space="preserve">The Commission is revising Information Collections 3038-0096 and 3038-0070 to add the Form as a new Information Collection Instrument for each collection.  The Commission is also revising the burden estimates for these collections to account for burden associated with the reporting requirements for swap data error correction, </w:t>
      </w:r>
      <w:r w:rsidR="00136150">
        <w:rPr>
          <w:rFonts w:ascii="Times New Roman" w:eastAsia="Times New Roman" w:hAnsi="Times New Roman" w:cs="Optimum"/>
          <w:color w:val="000000"/>
          <w:sz w:val="24"/>
          <w:szCs w:val="24"/>
        </w:rPr>
        <w:t>which are being implemented by the Form.  These reporting requirements were adopted</w:t>
      </w:r>
      <w:r w:rsidR="009711A4">
        <w:rPr>
          <w:rFonts w:ascii="Times New Roman" w:eastAsia="Times New Roman" w:hAnsi="Times New Roman" w:cs="Optimum"/>
          <w:color w:val="000000"/>
          <w:sz w:val="24"/>
          <w:szCs w:val="24"/>
        </w:rPr>
        <w:t xml:space="preserve"> in the Commission’s rules adopted in November 2020</w:t>
      </w:r>
      <w:r w:rsidRPr="00DF7E26" w:rsidR="009711A4">
        <w:rPr>
          <w:rFonts w:ascii="Times New Roman" w:eastAsia="Times New Roman" w:hAnsi="Times New Roman" w:cs="Optimum"/>
          <w:color w:val="000000"/>
          <w:sz w:val="24"/>
          <w:szCs w:val="24"/>
        </w:rPr>
        <w:t>.</w:t>
      </w:r>
      <w:r>
        <w:rPr>
          <w:rStyle w:val="FootnoteReference"/>
          <w:rFonts w:ascii="Times New Roman" w:eastAsia="Times New Roman" w:hAnsi="Times New Roman" w:cs="Times New Roman"/>
          <w:sz w:val="24"/>
          <w:szCs w:val="24"/>
        </w:rPr>
        <w:footnoteReference w:id="20"/>
      </w:r>
      <w:r w:rsidRPr="00DF7E26" w:rsidR="009711A4">
        <w:rPr>
          <w:rFonts w:ascii="Times New Roman" w:eastAsia="Times New Roman" w:hAnsi="Times New Roman" w:cs="Optimum"/>
          <w:color w:val="000000"/>
          <w:sz w:val="24"/>
          <w:szCs w:val="24"/>
        </w:rPr>
        <w:t xml:space="preserve"> </w:t>
      </w:r>
      <w:r w:rsidR="009711A4">
        <w:rPr>
          <w:rFonts w:ascii="Times New Roman" w:eastAsia="Times New Roman" w:hAnsi="Times New Roman" w:cs="Optimum"/>
          <w:color w:val="000000"/>
          <w:sz w:val="24"/>
          <w:szCs w:val="24"/>
        </w:rPr>
        <w:t xml:space="preserve">The Form specifies </w:t>
      </w:r>
      <w:r w:rsidR="00136150">
        <w:rPr>
          <w:rFonts w:ascii="Times New Roman" w:eastAsia="Times New Roman" w:hAnsi="Times New Roman" w:cs="Optimum"/>
          <w:color w:val="000000"/>
          <w:sz w:val="24"/>
          <w:szCs w:val="24"/>
        </w:rPr>
        <w:t xml:space="preserve">the </w:t>
      </w:r>
      <w:r w:rsidR="009711A4">
        <w:rPr>
          <w:rFonts w:ascii="Times New Roman" w:eastAsia="Times New Roman" w:hAnsi="Times New Roman" w:cs="Optimum"/>
          <w:color w:val="000000"/>
          <w:sz w:val="24"/>
          <w:szCs w:val="24"/>
        </w:rPr>
        <w:t>form and manner for providing these required notifications.  As described in Attachment A, these revisions result in an incremental increase in burden for both Information Collections 3038-0096 and 3038-0070 of 10,452 burden hours</w:t>
      </w:r>
      <w:r w:rsidR="00CC117E">
        <w:rPr>
          <w:rFonts w:ascii="Times New Roman" w:eastAsia="Times New Roman" w:hAnsi="Times New Roman" w:cs="Optimum"/>
          <w:color w:val="000000"/>
          <w:sz w:val="24"/>
          <w:szCs w:val="24"/>
        </w:rPr>
        <w:t>, respectively</w:t>
      </w:r>
      <w:r w:rsidR="009711A4">
        <w:rPr>
          <w:rFonts w:ascii="Times New Roman" w:eastAsia="Times New Roman" w:hAnsi="Times New Roman" w:cs="Optimum"/>
          <w:color w:val="000000"/>
          <w:sz w:val="24"/>
          <w:szCs w:val="24"/>
        </w:rPr>
        <w:t>.</w:t>
      </w:r>
      <w:bookmarkStart w:id="0" w:name="_GoBack"/>
      <w:bookmarkEnd w:id="0"/>
    </w:p>
    <w:p w:rsidR="00D50C84" w:rsidRPr="00E21E52" w:rsidP="00D50C84" w14:paraId="6A434AE4"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329D04A4"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21E52">
        <w:rPr>
          <w:rFonts w:ascii="Times New Roman" w:eastAsia="Times New Roman" w:hAnsi="Times New Roman" w:cs="Times New Roman"/>
          <w:sz w:val="24"/>
          <w:szCs w:val="20"/>
        </w:rPr>
        <w:t>.</w:t>
      </w:r>
    </w:p>
    <w:p w:rsidR="00D50C84" w:rsidRPr="00E21E52" w:rsidP="00D50C84" w14:paraId="4CC7CC10"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27EC5C67" w14:textId="77777777">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665298">
        <w:rPr>
          <w:rFonts w:ascii="Times New Roman" w:eastAsia="Times New Roman" w:hAnsi="Times New Roman" w:cs="Times New Roman"/>
          <w:sz w:val="24"/>
          <w:szCs w:val="20"/>
        </w:rPr>
        <w:t>Not applicable, the results of this collection of information are not planned to be published for statistical use.</w:t>
      </w:r>
      <w:r w:rsidRPr="00E21E52">
        <w:rPr>
          <w:rFonts w:ascii="Times New Roman" w:eastAsia="Times New Roman" w:hAnsi="Times New Roman" w:cs="Times New Roman"/>
          <w:sz w:val="24"/>
          <w:szCs w:val="20"/>
        </w:rPr>
        <w:t xml:space="preserve"> </w:t>
      </w:r>
    </w:p>
    <w:p w:rsidR="00D50C84" w:rsidRPr="00E21E52" w:rsidP="00D50C84" w14:paraId="31A1A60C"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216BF0E7"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seeking approval to not display the expiration date for OMB approval of the information collection, explain the reasons that display would be inappropriate</w:t>
      </w:r>
      <w:r w:rsidRPr="00E21E52">
        <w:rPr>
          <w:rFonts w:ascii="Times New Roman" w:eastAsia="Times New Roman" w:hAnsi="Times New Roman" w:cs="Times New Roman"/>
          <w:sz w:val="24"/>
          <w:szCs w:val="20"/>
        </w:rPr>
        <w:t>.</w:t>
      </w:r>
    </w:p>
    <w:p w:rsidR="00D50C84" w:rsidRPr="00E21E52" w:rsidP="00D50C84" w14:paraId="45059FE4"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rsidR="00D50C84" w:rsidRPr="00E21E52" w:rsidP="00D50C84" w14:paraId="03D3BCBB"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665298">
        <w:rPr>
          <w:rFonts w:ascii="Times New Roman" w:eastAsia="Times New Roman" w:hAnsi="Times New Roman" w:cs="Times New Roman"/>
          <w:sz w:val="24"/>
          <w:szCs w:val="20"/>
        </w:rPr>
        <w:t>Not applicable, the Commission is not seeking such approval for this publication.</w:t>
      </w:r>
    </w:p>
    <w:p w:rsidR="00D50C84" w:rsidRPr="00E21E52" w:rsidP="00D50C84" w14:paraId="6CFC0FAC"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1CF22D1A" w14:textId="77777777">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each exception to the certification statement identified in Item 19, "Certification for Paperwork Reduction Act Submissions," of OMB Form 83-I</w:t>
      </w:r>
      <w:r w:rsidRPr="00E21E52">
        <w:rPr>
          <w:rFonts w:ascii="Times New Roman" w:eastAsia="Times New Roman" w:hAnsi="Times New Roman" w:cs="Times New Roman"/>
          <w:sz w:val="24"/>
          <w:szCs w:val="20"/>
        </w:rPr>
        <w:t>.</w:t>
      </w:r>
    </w:p>
    <w:p w:rsidR="00D50C84" w:rsidRPr="00E21E52" w:rsidP="00D50C84" w14:paraId="11B8FC6A" w14:textId="77777777">
      <w:pPr>
        <w:tabs>
          <w:tab w:val="left" w:pos="-720"/>
        </w:tabs>
        <w:suppressAutoHyphens/>
        <w:spacing w:after="0" w:line="240" w:lineRule="auto"/>
        <w:rPr>
          <w:rFonts w:ascii="Times New Roman" w:eastAsia="Times New Roman" w:hAnsi="Times New Roman" w:cs="Times New Roman"/>
          <w:sz w:val="24"/>
          <w:szCs w:val="20"/>
        </w:rPr>
      </w:pPr>
    </w:p>
    <w:p w:rsidR="00D50C84" w:rsidRPr="00E21E52" w:rsidP="00D50C84" w14:paraId="00B82A4E" w14:textId="77777777">
      <w:pPr>
        <w:tabs>
          <w:tab w:val="left" w:pos="-72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665298">
        <w:rPr>
          <w:rFonts w:ascii="Times New Roman" w:eastAsia="Times New Roman" w:hAnsi="Times New Roman" w:cs="Times New Roman"/>
          <w:sz w:val="24"/>
          <w:szCs w:val="20"/>
        </w:rPr>
        <w:t>Not applicable, there are no exceptions.</w:t>
      </w:r>
    </w:p>
    <w:p w:rsidR="00D50C84" w:rsidRPr="00E21E52" w:rsidP="00D50C84" w14:paraId="343BA3DD" w14:textId="77777777">
      <w:pPr>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p>
    <w:p w:rsidR="00665298" w14:paraId="6F0A3198" w14:textId="77777777">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50C84" w:rsidRPr="00DF789D" w:rsidP="00F94425" w14:paraId="751D9787" w14:textId="77777777">
      <w:pPr>
        <w:spacing w:after="0" w:line="240" w:lineRule="auto"/>
        <w:jc w:val="center"/>
        <w:rPr>
          <w:rFonts w:ascii="Times New Roman" w:hAnsi="Times New Roman" w:cs="Times New Roman"/>
          <w:b/>
          <w:sz w:val="24"/>
          <w:szCs w:val="24"/>
          <w:u w:val="single"/>
        </w:rPr>
      </w:pPr>
      <w:r w:rsidRPr="00DF789D">
        <w:rPr>
          <w:rFonts w:ascii="Times New Roman" w:hAnsi="Times New Roman" w:cs="Times New Roman"/>
          <w:b/>
          <w:sz w:val="24"/>
          <w:szCs w:val="24"/>
          <w:u w:val="single"/>
        </w:rPr>
        <w:t xml:space="preserve">Attachment </w:t>
      </w:r>
      <w:r w:rsidR="00665298">
        <w:rPr>
          <w:rFonts w:ascii="Times New Roman" w:hAnsi="Times New Roman" w:cs="Times New Roman"/>
          <w:b/>
          <w:sz w:val="24"/>
          <w:szCs w:val="24"/>
          <w:u w:val="single"/>
        </w:rPr>
        <w:t>A</w:t>
      </w:r>
      <w:r w:rsidRPr="00DF789D">
        <w:rPr>
          <w:rFonts w:ascii="Times New Roman" w:hAnsi="Times New Roman" w:cs="Times New Roman"/>
          <w:b/>
          <w:sz w:val="24"/>
          <w:szCs w:val="24"/>
          <w:u w:val="single"/>
        </w:rPr>
        <w:t xml:space="preserve">: Estimated </w:t>
      </w:r>
      <w:r w:rsidR="00665298">
        <w:rPr>
          <w:rFonts w:ascii="Times New Roman" w:hAnsi="Times New Roman" w:cs="Times New Roman"/>
          <w:b/>
          <w:sz w:val="24"/>
          <w:szCs w:val="24"/>
          <w:u w:val="single"/>
        </w:rPr>
        <w:t>B</w:t>
      </w:r>
      <w:r w:rsidRPr="00DF789D" w:rsidR="00665298">
        <w:rPr>
          <w:rFonts w:ascii="Times New Roman" w:hAnsi="Times New Roman" w:cs="Times New Roman"/>
          <w:b/>
          <w:sz w:val="24"/>
          <w:szCs w:val="24"/>
          <w:u w:val="single"/>
        </w:rPr>
        <w:t xml:space="preserve">urden </w:t>
      </w:r>
      <w:r w:rsidR="00665298">
        <w:rPr>
          <w:rFonts w:ascii="Times New Roman" w:hAnsi="Times New Roman" w:cs="Times New Roman"/>
          <w:b/>
          <w:sz w:val="24"/>
          <w:szCs w:val="24"/>
          <w:u w:val="single"/>
        </w:rPr>
        <w:t>C</w:t>
      </w:r>
      <w:r w:rsidRPr="00DF789D" w:rsidR="00665298">
        <w:rPr>
          <w:rFonts w:ascii="Times New Roman" w:hAnsi="Times New Roman" w:cs="Times New Roman"/>
          <w:b/>
          <w:sz w:val="24"/>
          <w:szCs w:val="24"/>
          <w:u w:val="single"/>
        </w:rPr>
        <w:t xml:space="preserve">ost  </w:t>
      </w:r>
      <w:r w:rsidRPr="00DF789D">
        <w:rPr>
          <w:rFonts w:ascii="Times New Roman" w:hAnsi="Times New Roman" w:cs="Times New Roman"/>
          <w:b/>
          <w:sz w:val="24"/>
          <w:szCs w:val="24"/>
          <w:u w:val="single"/>
        </w:rPr>
        <w:t>(</w:t>
      </w:r>
      <w:r w:rsidRPr="00DF789D" w:rsidR="00665298">
        <w:rPr>
          <w:rFonts w:ascii="Times New Roman" w:hAnsi="Times New Roman" w:cs="Times New Roman"/>
          <w:b/>
          <w:sz w:val="24"/>
          <w:szCs w:val="24"/>
          <w:u w:val="single"/>
        </w:rPr>
        <w:t>00</w:t>
      </w:r>
      <w:r w:rsidR="00665298">
        <w:rPr>
          <w:rFonts w:ascii="Times New Roman" w:hAnsi="Times New Roman" w:cs="Times New Roman"/>
          <w:b/>
          <w:sz w:val="24"/>
          <w:szCs w:val="24"/>
          <w:u w:val="single"/>
        </w:rPr>
        <w:t>96, 00</w:t>
      </w:r>
      <w:r w:rsidR="00A278ED">
        <w:rPr>
          <w:rFonts w:ascii="Times New Roman" w:hAnsi="Times New Roman" w:cs="Times New Roman"/>
          <w:b/>
          <w:sz w:val="24"/>
          <w:szCs w:val="24"/>
          <w:u w:val="single"/>
        </w:rPr>
        <w:t>7</w:t>
      </w:r>
      <w:r w:rsidR="00665298">
        <w:rPr>
          <w:rFonts w:ascii="Times New Roman" w:hAnsi="Times New Roman" w:cs="Times New Roman"/>
          <w:b/>
          <w:sz w:val="24"/>
          <w:szCs w:val="24"/>
          <w:u w:val="single"/>
        </w:rPr>
        <w:t>0</w:t>
      </w:r>
      <w:r w:rsidRPr="00DF789D">
        <w:rPr>
          <w:rFonts w:ascii="Times New Roman" w:hAnsi="Times New Roman" w:cs="Times New Roman"/>
          <w:b/>
          <w:sz w:val="24"/>
          <w:szCs w:val="24"/>
          <w:u w:val="single"/>
        </w:rPr>
        <w:t>)</w:t>
      </w:r>
    </w:p>
    <w:p w:rsidR="00D50C84" w:rsidRPr="00DF789D" w:rsidP="00F94425" w14:paraId="0B4B0FA8" w14:textId="77777777">
      <w:pPr>
        <w:spacing w:after="0" w:line="240" w:lineRule="auto"/>
        <w:jc w:val="center"/>
        <w:rPr>
          <w:rFonts w:ascii="Times New Roman" w:hAnsi="Times New Roman" w:cs="Times New Roman"/>
          <w:sz w:val="24"/>
          <w:szCs w:val="24"/>
        </w:rPr>
      </w:pPr>
      <w:r w:rsidRPr="00DF789D">
        <w:rPr>
          <w:rFonts w:ascii="Times New Roman" w:hAnsi="Times New Roman" w:cs="Times New Roman"/>
          <w:sz w:val="24"/>
          <w:szCs w:val="24"/>
        </w:rPr>
        <w:t>(See Response to Question 12)</w:t>
      </w:r>
      <w:r>
        <w:rPr>
          <w:rStyle w:val="FootnoteReference"/>
          <w:rFonts w:ascii="Times New Roman" w:hAnsi="Times New Roman" w:cs="Times New Roman"/>
          <w:sz w:val="24"/>
          <w:szCs w:val="24"/>
        </w:rPr>
        <w:footnoteReference w:id="21"/>
      </w:r>
    </w:p>
    <w:p w:rsidR="00D50C84" w:rsidRPr="00DF789D" w:rsidP="00D50C84" w14:paraId="59A44C03" w14:textId="77777777">
      <w:pPr>
        <w:spacing w:after="0" w:line="240" w:lineRule="auto"/>
        <w:ind w:left="1440"/>
        <w:rPr>
          <w:rFonts w:ascii="Times New Roman" w:hAnsi="Times New Roman" w:cs="Times New Roman"/>
          <w:sz w:val="24"/>
          <w:szCs w:val="24"/>
        </w:rPr>
      </w:pPr>
    </w:p>
    <w:p w:rsidR="00665298" w:rsidRPr="008F6D4A" w:rsidP="00665298" w14:paraId="0F0500D6" w14:textId="77777777">
      <w:pPr>
        <w:jc w:val="center"/>
        <w:rPr>
          <w:rFonts w:eastAsia="Times New Roman" w:cs="Times New Roman"/>
          <w:szCs w:val="24"/>
        </w:rPr>
      </w:pPr>
      <w:r>
        <w:rPr>
          <w:rFonts w:ascii="Times New Roman" w:hAnsi="Times New Roman" w:cs="Times New Roman"/>
          <w:sz w:val="24"/>
          <w:szCs w:val="24"/>
        </w:rPr>
        <w:t>Reporting Burden</w:t>
      </w:r>
    </w:p>
    <w:tbl>
      <w:tblPr>
        <w:tblW w:w="601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3"/>
        <w:gridCol w:w="1233"/>
        <w:gridCol w:w="1318"/>
        <w:gridCol w:w="967"/>
        <w:gridCol w:w="1314"/>
        <w:gridCol w:w="880"/>
        <w:gridCol w:w="1318"/>
        <w:gridCol w:w="877"/>
        <w:gridCol w:w="880"/>
        <w:gridCol w:w="1228"/>
      </w:tblGrid>
      <w:tr w14:paraId="53AED960" w14:textId="77777777" w:rsidTr="00F94425">
        <w:tblPrEx>
          <w:tblW w:w="601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rPr>
        <w:tc>
          <w:tcPr>
            <w:tcW w:w="548" w:type="pct"/>
          </w:tcPr>
          <w:p w:rsidR="00665298" w:rsidRPr="00665298" w:rsidP="00F94425" w14:paraId="4DFDBAE1" w14:textId="77777777">
            <w:pPr>
              <w:tabs>
                <w:tab w:val="left" w:pos="-720"/>
              </w:tabs>
              <w:suppressAutoHyphens/>
              <w:spacing w:after="0" w:line="240" w:lineRule="auto"/>
              <w:ind w:left="-45" w:right="-105"/>
              <w:jc w:val="center"/>
              <w:rPr>
                <w:rFonts w:ascii="Arial" w:eastAsia="Times New Roman" w:hAnsi="Arial" w:cs="Times New Roman"/>
                <w:b/>
                <w:sz w:val="16"/>
                <w:szCs w:val="16"/>
              </w:rPr>
            </w:pPr>
            <w:r w:rsidRPr="00665298">
              <w:rPr>
                <w:rFonts w:ascii="Arial" w:eastAsia="Times New Roman" w:hAnsi="Arial" w:cs="Times New Roman"/>
                <w:b/>
                <w:sz w:val="16"/>
                <w:szCs w:val="16"/>
              </w:rPr>
              <w:t>1.</w:t>
            </w:r>
          </w:p>
          <w:p w:rsidR="00665298" w:rsidRPr="00665298" w:rsidP="00F94425" w14:paraId="19F718DD" w14:textId="77777777">
            <w:pPr>
              <w:tabs>
                <w:tab w:val="left" w:pos="-720"/>
              </w:tabs>
              <w:suppressAutoHyphens/>
              <w:spacing w:after="0" w:line="240" w:lineRule="auto"/>
              <w:ind w:left="-45" w:right="-105"/>
              <w:jc w:val="center"/>
              <w:rPr>
                <w:rFonts w:ascii="Arial" w:eastAsia="Times New Roman" w:hAnsi="Arial" w:cs="Times New Roman"/>
                <w:b/>
                <w:sz w:val="16"/>
                <w:szCs w:val="16"/>
              </w:rPr>
            </w:pPr>
            <w:r w:rsidRPr="00665298">
              <w:rPr>
                <w:rFonts w:ascii="Arial" w:eastAsia="Times New Roman" w:hAnsi="Arial" w:cs="Times New Roman"/>
                <w:b/>
                <w:sz w:val="16"/>
                <w:szCs w:val="16"/>
              </w:rPr>
              <w:t>Regulation(s)</w:t>
            </w:r>
          </w:p>
        </w:tc>
        <w:tc>
          <w:tcPr>
            <w:tcW w:w="548" w:type="pct"/>
          </w:tcPr>
          <w:p w:rsidR="00665298" w:rsidRPr="00665298" w:rsidP="00F94425" w14:paraId="3781A8EF"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2.</w:t>
            </w:r>
          </w:p>
          <w:p w:rsidR="00665298" w:rsidRPr="00665298" w:rsidP="00F94425" w14:paraId="043A99B7"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 xml:space="preserve">Estimated Number of Respondents </w:t>
            </w:r>
          </w:p>
          <w:p w:rsidR="00665298" w:rsidRPr="00665298" w:rsidP="00F94425" w14:paraId="5727C07E" w14:textId="77777777">
            <w:pPr>
              <w:suppressAutoHyphens/>
              <w:spacing w:after="0" w:line="240" w:lineRule="auto"/>
              <w:ind w:left="-104" w:right="-135"/>
              <w:jc w:val="center"/>
              <w:rPr>
                <w:rFonts w:ascii="Arial" w:eastAsia="Times New Roman" w:hAnsi="Arial" w:cs="Times New Roman"/>
                <w:b/>
                <w:sz w:val="16"/>
                <w:szCs w:val="16"/>
              </w:rPr>
            </w:pPr>
          </w:p>
        </w:tc>
        <w:tc>
          <w:tcPr>
            <w:tcW w:w="586" w:type="pct"/>
          </w:tcPr>
          <w:p w:rsidR="00665298" w:rsidRPr="00665298" w:rsidP="00F94425" w14:paraId="2B1098C3"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3.</w:t>
            </w:r>
          </w:p>
          <w:p w:rsidR="00665298" w:rsidRPr="00665298" w:rsidP="00F94425" w14:paraId="36C13566"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Estimated Number of Reports</w:t>
            </w:r>
          </w:p>
          <w:p w:rsidR="00665298" w:rsidRPr="00665298" w:rsidP="00F94425" w14:paraId="2D2A6B9D"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by Each Respondent</w:t>
            </w:r>
          </w:p>
        </w:tc>
        <w:tc>
          <w:tcPr>
            <w:tcW w:w="430" w:type="pct"/>
          </w:tcPr>
          <w:p w:rsidR="00665298" w:rsidRPr="00665298" w:rsidP="00F94425" w14:paraId="4F6F2C8B" w14:textId="77777777">
            <w:pPr>
              <w:suppressAutoHyphens/>
              <w:spacing w:after="0" w:line="240" w:lineRule="auto"/>
              <w:ind w:left="-134" w:right="-105"/>
              <w:jc w:val="center"/>
              <w:rPr>
                <w:rFonts w:ascii="Arial" w:eastAsia="Times New Roman" w:hAnsi="Arial" w:cs="Times New Roman"/>
                <w:b/>
                <w:sz w:val="16"/>
                <w:szCs w:val="16"/>
              </w:rPr>
            </w:pPr>
            <w:r w:rsidRPr="00665298">
              <w:rPr>
                <w:rFonts w:ascii="Arial" w:eastAsia="Times New Roman" w:hAnsi="Arial" w:cs="Times New Roman"/>
                <w:b/>
                <w:sz w:val="16"/>
                <w:szCs w:val="16"/>
              </w:rPr>
              <w:t>4.</w:t>
            </w:r>
          </w:p>
          <w:p w:rsidR="00665298" w:rsidRPr="00665298" w:rsidP="00F94425" w14:paraId="770CA769" w14:textId="77777777">
            <w:pPr>
              <w:suppressAutoHyphens/>
              <w:spacing w:after="0" w:line="240" w:lineRule="auto"/>
              <w:ind w:left="-134" w:right="-105"/>
              <w:jc w:val="center"/>
              <w:rPr>
                <w:rFonts w:ascii="Arial" w:eastAsia="Times New Roman" w:hAnsi="Arial" w:cs="Times New Roman"/>
                <w:b/>
                <w:sz w:val="16"/>
                <w:szCs w:val="16"/>
              </w:rPr>
            </w:pPr>
            <w:r w:rsidRPr="00665298">
              <w:rPr>
                <w:rFonts w:ascii="Arial" w:eastAsia="Times New Roman" w:hAnsi="Arial" w:cs="Times New Roman"/>
                <w:b/>
                <w:sz w:val="16"/>
                <w:szCs w:val="16"/>
              </w:rPr>
              <w:t>Estimated Average Number of Burden Hours per Response</w:t>
            </w:r>
          </w:p>
        </w:tc>
        <w:tc>
          <w:tcPr>
            <w:tcW w:w="584" w:type="pct"/>
          </w:tcPr>
          <w:p w:rsidR="00665298" w:rsidRPr="00665298" w:rsidP="00F94425" w14:paraId="3B7F5BF5"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5.</w:t>
            </w:r>
          </w:p>
          <w:p w:rsidR="00665298" w:rsidRPr="00665298" w:rsidP="00F94425" w14:paraId="1FF7A6BD"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Annual Number of Burden Hours per Respondent</w:t>
            </w:r>
          </w:p>
          <w:p w:rsidR="00665298" w:rsidRPr="00665298" w:rsidP="00F94425" w14:paraId="7AC4673D" w14:textId="77777777">
            <w:pPr>
              <w:suppressAutoHyphens/>
              <w:spacing w:after="0" w:line="240" w:lineRule="auto"/>
              <w:ind w:left="-104" w:right="-135"/>
              <w:jc w:val="center"/>
              <w:rPr>
                <w:rFonts w:ascii="Arial" w:eastAsia="Times New Roman" w:hAnsi="Arial" w:cs="Times New Roman"/>
                <w:b/>
                <w:sz w:val="16"/>
                <w:szCs w:val="16"/>
              </w:rPr>
            </w:pPr>
            <w:r w:rsidRPr="00665298">
              <w:rPr>
                <w:rFonts w:ascii="Arial" w:eastAsia="Times New Roman" w:hAnsi="Arial" w:cs="Times New Roman"/>
                <w:b/>
                <w:sz w:val="16"/>
                <w:szCs w:val="16"/>
              </w:rPr>
              <w:t>(3 x 4)</w:t>
            </w:r>
          </w:p>
        </w:tc>
        <w:tc>
          <w:tcPr>
            <w:tcW w:w="391" w:type="pct"/>
          </w:tcPr>
          <w:p w:rsidR="00665298" w:rsidRPr="00665298" w:rsidP="00F94425" w14:paraId="5BB99368"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 xml:space="preserve">6. </w:t>
            </w:r>
          </w:p>
          <w:p w:rsidR="00665298" w:rsidRPr="00665298" w:rsidP="00F94425" w14:paraId="7958ED8C" w14:textId="77777777">
            <w:pPr>
              <w:suppressAutoHyphens/>
              <w:spacing w:after="0" w:line="240" w:lineRule="auto"/>
              <w:ind w:left="-74" w:right="-75"/>
              <w:jc w:val="center"/>
              <w:rPr>
                <w:rFonts w:ascii="Arial" w:eastAsia="Times New Roman" w:hAnsi="Arial" w:cs="Times New Roman"/>
                <w:b/>
                <w:sz w:val="16"/>
                <w:szCs w:val="16"/>
              </w:rPr>
            </w:pPr>
            <w:r w:rsidRPr="00665298">
              <w:rPr>
                <w:rFonts w:ascii="Arial" w:eastAsia="Times New Roman" w:hAnsi="Arial" w:cs="Times New Roman"/>
                <w:b/>
                <w:sz w:val="16"/>
                <w:szCs w:val="16"/>
              </w:rPr>
              <w:t>Estimate of Average Burden Hour Cost</w:t>
            </w:r>
            <w:r>
              <w:rPr>
                <w:rFonts w:ascii="Arial" w:eastAsia="Times New Roman" w:hAnsi="Arial" w:cs="Times New Roman"/>
                <w:b/>
                <w:sz w:val="16"/>
                <w:szCs w:val="16"/>
                <w:vertAlign w:val="superscript"/>
              </w:rPr>
              <w:footnoteReference w:id="22"/>
            </w:r>
          </w:p>
          <w:p w:rsidR="00665298" w:rsidRPr="00665298" w:rsidP="00F94425" w14:paraId="639DFBDC" w14:textId="77777777">
            <w:pPr>
              <w:suppressAutoHyphens/>
              <w:spacing w:after="0" w:line="240" w:lineRule="auto"/>
              <w:ind w:left="-74" w:right="-75"/>
              <w:jc w:val="center"/>
              <w:rPr>
                <w:rFonts w:ascii="Arial" w:eastAsia="Times New Roman" w:hAnsi="Arial" w:cs="Times New Roman"/>
                <w:b/>
                <w:sz w:val="16"/>
                <w:szCs w:val="16"/>
              </w:rPr>
            </w:pPr>
          </w:p>
        </w:tc>
        <w:tc>
          <w:tcPr>
            <w:tcW w:w="586" w:type="pct"/>
          </w:tcPr>
          <w:p w:rsidR="00665298" w:rsidRPr="00665298" w:rsidP="00F94425" w14:paraId="3ED40542" w14:textId="77777777">
            <w:pPr>
              <w:spacing w:after="0" w:line="240" w:lineRule="auto"/>
              <w:ind w:left="-149" w:right="-105"/>
              <w:jc w:val="center"/>
              <w:rPr>
                <w:rFonts w:ascii="Arial" w:eastAsia="Calibri" w:hAnsi="Arial" w:cs="Arial"/>
                <w:b/>
                <w:sz w:val="16"/>
                <w:szCs w:val="16"/>
              </w:rPr>
            </w:pPr>
            <w:r w:rsidRPr="00665298">
              <w:rPr>
                <w:rFonts w:ascii="Arial" w:eastAsia="Calibri" w:hAnsi="Arial" w:cs="Arial"/>
                <w:b/>
                <w:sz w:val="16"/>
                <w:szCs w:val="16"/>
              </w:rPr>
              <w:t>7.</w:t>
            </w:r>
          </w:p>
          <w:p w:rsidR="00665298" w:rsidRPr="00665298" w:rsidP="00F94425" w14:paraId="66DA82C0" w14:textId="77777777">
            <w:pPr>
              <w:spacing w:after="0" w:line="240" w:lineRule="auto"/>
              <w:ind w:left="-149" w:right="-105"/>
              <w:jc w:val="center"/>
              <w:rPr>
                <w:rFonts w:ascii="Arial" w:eastAsia="Calibri" w:hAnsi="Arial" w:cs="Arial"/>
                <w:b/>
                <w:sz w:val="16"/>
                <w:szCs w:val="16"/>
              </w:rPr>
            </w:pPr>
            <w:r w:rsidRPr="00665298">
              <w:rPr>
                <w:rFonts w:ascii="Arial" w:eastAsia="Calibri" w:hAnsi="Arial" w:cs="Arial"/>
                <w:b/>
                <w:sz w:val="16"/>
                <w:szCs w:val="16"/>
              </w:rPr>
              <w:t>Total Average Hour Burden Cost Per Respondent</w:t>
            </w:r>
          </w:p>
          <w:p w:rsidR="00665298" w:rsidRPr="00665298" w:rsidP="00F94425" w14:paraId="67D6EE6B" w14:textId="77777777">
            <w:pPr>
              <w:spacing w:after="0" w:line="240" w:lineRule="auto"/>
              <w:ind w:left="-149" w:right="-105"/>
              <w:jc w:val="center"/>
              <w:rPr>
                <w:rFonts w:ascii="Arial" w:eastAsia="Calibri" w:hAnsi="Arial" w:cs="Arial"/>
                <w:b/>
                <w:sz w:val="16"/>
                <w:szCs w:val="16"/>
              </w:rPr>
            </w:pPr>
            <w:r w:rsidRPr="00665298">
              <w:rPr>
                <w:rFonts w:ascii="Arial" w:eastAsia="Calibri" w:hAnsi="Arial" w:cs="Arial"/>
                <w:b/>
                <w:sz w:val="16"/>
                <w:szCs w:val="16"/>
              </w:rPr>
              <w:t>(5 x 6)</w:t>
            </w:r>
          </w:p>
        </w:tc>
        <w:tc>
          <w:tcPr>
            <w:tcW w:w="390" w:type="pct"/>
          </w:tcPr>
          <w:p w:rsidR="00665298" w:rsidRPr="00665298" w:rsidP="00F94425" w14:paraId="3B856393" w14:textId="77777777">
            <w:pPr>
              <w:tabs>
                <w:tab w:val="left" w:pos="-720"/>
              </w:tabs>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8.</w:t>
            </w:r>
          </w:p>
          <w:p w:rsidR="00665298" w:rsidRPr="00665298" w:rsidP="00F94425" w14:paraId="0749DD0A" w14:textId="77777777">
            <w:pPr>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Total Annual</w:t>
            </w:r>
          </w:p>
          <w:p w:rsidR="00665298" w:rsidRPr="00665298" w:rsidP="00F94425" w14:paraId="37B18BEB" w14:textId="77777777">
            <w:pPr>
              <w:tabs>
                <w:tab w:val="left" w:pos="-720"/>
              </w:tabs>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Responses</w:t>
            </w:r>
          </w:p>
          <w:p w:rsidR="00665298" w:rsidRPr="00665298" w:rsidP="00F94425" w14:paraId="3151948F" w14:textId="77777777">
            <w:pPr>
              <w:tabs>
                <w:tab w:val="left" w:pos="-720"/>
              </w:tabs>
              <w:suppressAutoHyphens/>
              <w:spacing w:after="0" w:line="240" w:lineRule="auto"/>
              <w:ind w:left="-119" w:right="-120"/>
              <w:jc w:val="center"/>
              <w:rPr>
                <w:rFonts w:ascii="Arial" w:eastAsia="Times New Roman" w:hAnsi="Arial" w:cs="Times New Roman"/>
                <w:b/>
                <w:sz w:val="16"/>
                <w:szCs w:val="16"/>
              </w:rPr>
            </w:pPr>
            <w:r w:rsidRPr="00665298">
              <w:rPr>
                <w:rFonts w:ascii="Arial" w:eastAsia="Times New Roman" w:hAnsi="Arial" w:cs="Times New Roman"/>
                <w:b/>
                <w:sz w:val="16"/>
                <w:szCs w:val="16"/>
              </w:rPr>
              <w:t>(2 x 3)</w:t>
            </w:r>
          </w:p>
        </w:tc>
        <w:tc>
          <w:tcPr>
            <w:tcW w:w="391" w:type="pct"/>
          </w:tcPr>
          <w:p w:rsidR="00665298" w:rsidRPr="00665298" w:rsidP="00F94425" w14:paraId="21BCF1CA" w14:textId="77777777">
            <w:pPr>
              <w:tabs>
                <w:tab w:val="left" w:pos="-720"/>
              </w:tabs>
              <w:suppressAutoHyphens/>
              <w:spacing w:after="0" w:line="240" w:lineRule="auto"/>
              <w:ind w:left="-89" w:right="-60"/>
              <w:jc w:val="center"/>
              <w:rPr>
                <w:rFonts w:ascii="Arial" w:eastAsia="Times New Roman" w:hAnsi="Arial" w:cs="Times New Roman"/>
                <w:b/>
                <w:sz w:val="16"/>
                <w:szCs w:val="16"/>
              </w:rPr>
            </w:pPr>
            <w:r w:rsidRPr="00665298">
              <w:rPr>
                <w:rFonts w:ascii="Arial" w:eastAsia="Times New Roman" w:hAnsi="Arial" w:cs="Times New Roman"/>
                <w:b/>
                <w:sz w:val="16"/>
                <w:szCs w:val="16"/>
              </w:rPr>
              <w:t>9.</w:t>
            </w:r>
          </w:p>
          <w:p w:rsidR="00665298" w:rsidRPr="00665298" w:rsidP="00F94425" w14:paraId="6894A2EE" w14:textId="77777777">
            <w:pPr>
              <w:suppressAutoHyphens/>
              <w:spacing w:after="0" w:line="240" w:lineRule="auto"/>
              <w:ind w:left="-89" w:right="-60"/>
              <w:jc w:val="center"/>
              <w:rPr>
                <w:rFonts w:ascii="Arial" w:eastAsia="Times New Roman" w:hAnsi="Arial" w:cs="Times New Roman"/>
                <w:b/>
                <w:sz w:val="16"/>
                <w:szCs w:val="16"/>
              </w:rPr>
            </w:pPr>
            <w:r w:rsidRPr="00665298">
              <w:rPr>
                <w:rFonts w:ascii="Arial" w:eastAsia="Times New Roman" w:hAnsi="Arial" w:cs="Times New Roman"/>
                <w:b/>
                <w:sz w:val="16"/>
                <w:szCs w:val="16"/>
              </w:rPr>
              <w:t>Total Annual Number of Burden Hours</w:t>
            </w:r>
          </w:p>
          <w:p w:rsidR="00665298" w:rsidRPr="00665298" w:rsidP="00F94425" w14:paraId="293B686B" w14:textId="77777777">
            <w:pPr>
              <w:tabs>
                <w:tab w:val="left" w:pos="-720"/>
              </w:tabs>
              <w:suppressAutoHyphens/>
              <w:spacing w:after="0" w:line="240" w:lineRule="auto"/>
              <w:ind w:left="-89" w:right="-60"/>
              <w:jc w:val="center"/>
              <w:rPr>
                <w:rFonts w:ascii="Arial" w:eastAsia="Times New Roman" w:hAnsi="Arial" w:cs="Times New Roman"/>
                <w:b/>
                <w:sz w:val="16"/>
                <w:szCs w:val="16"/>
              </w:rPr>
            </w:pPr>
            <w:r w:rsidRPr="00665298">
              <w:rPr>
                <w:rFonts w:ascii="Arial" w:eastAsia="Times New Roman" w:hAnsi="Arial" w:cs="Times New Roman"/>
                <w:b/>
                <w:sz w:val="16"/>
                <w:szCs w:val="16"/>
              </w:rPr>
              <w:t>(2 x 5)</w:t>
            </w:r>
          </w:p>
        </w:tc>
        <w:tc>
          <w:tcPr>
            <w:tcW w:w="546" w:type="pct"/>
          </w:tcPr>
          <w:p w:rsidR="00665298" w:rsidRPr="00665298" w:rsidP="00F94425" w14:paraId="6721902F" w14:textId="77777777">
            <w:pPr>
              <w:tabs>
                <w:tab w:val="left" w:pos="-720"/>
              </w:tabs>
              <w:suppressAutoHyphens/>
              <w:spacing w:after="0" w:line="240" w:lineRule="auto"/>
              <w:ind w:left="-74"/>
              <w:jc w:val="center"/>
              <w:rPr>
                <w:rFonts w:ascii="Arial" w:eastAsia="Times New Roman" w:hAnsi="Arial" w:cs="Times New Roman"/>
                <w:b/>
                <w:sz w:val="16"/>
                <w:szCs w:val="16"/>
              </w:rPr>
            </w:pPr>
            <w:r w:rsidRPr="00665298">
              <w:rPr>
                <w:rFonts w:ascii="Arial" w:eastAsia="Times New Roman" w:hAnsi="Arial" w:cs="Times New Roman"/>
                <w:b/>
                <w:sz w:val="16"/>
                <w:szCs w:val="16"/>
              </w:rPr>
              <w:t>10.</w:t>
            </w:r>
          </w:p>
          <w:p w:rsidR="00665298" w:rsidRPr="00665298" w:rsidP="00F94425" w14:paraId="0DA54793" w14:textId="77777777">
            <w:pPr>
              <w:suppressAutoHyphens/>
              <w:spacing w:after="0" w:line="240" w:lineRule="auto"/>
              <w:ind w:left="-74"/>
              <w:jc w:val="center"/>
              <w:rPr>
                <w:rFonts w:ascii="Arial" w:eastAsia="Times New Roman" w:hAnsi="Arial" w:cs="Times New Roman"/>
                <w:b/>
                <w:sz w:val="16"/>
                <w:szCs w:val="16"/>
              </w:rPr>
            </w:pPr>
            <w:r w:rsidRPr="00665298">
              <w:rPr>
                <w:rFonts w:ascii="Arial" w:eastAsia="Times New Roman" w:hAnsi="Arial" w:cs="Times New Roman"/>
                <w:b/>
                <w:sz w:val="16"/>
                <w:szCs w:val="16"/>
              </w:rPr>
              <w:t>Total Annual Burden Hour Cost of All Responses</w:t>
            </w:r>
          </w:p>
          <w:p w:rsidR="00665298" w:rsidRPr="00665298" w:rsidP="00F94425" w14:paraId="18B7867B" w14:textId="77777777">
            <w:pPr>
              <w:tabs>
                <w:tab w:val="left" w:pos="-720"/>
              </w:tabs>
              <w:suppressAutoHyphens/>
              <w:spacing w:after="0" w:line="240" w:lineRule="auto"/>
              <w:ind w:left="-74"/>
              <w:jc w:val="center"/>
              <w:rPr>
                <w:rFonts w:ascii="Arial" w:eastAsia="Times New Roman" w:hAnsi="Arial" w:cs="Times New Roman"/>
                <w:b/>
                <w:sz w:val="16"/>
                <w:szCs w:val="16"/>
              </w:rPr>
            </w:pPr>
            <w:r w:rsidRPr="00665298">
              <w:rPr>
                <w:rFonts w:ascii="Arial" w:eastAsia="Times New Roman" w:hAnsi="Arial" w:cs="Times New Roman"/>
                <w:b/>
                <w:sz w:val="16"/>
                <w:szCs w:val="16"/>
              </w:rPr>
              <w:t>(2 x 7)</w:t>
            </w:r>
          </w:p>
        </w:tc>
      </w:tr>
      <w:tr w14:paraId="5526364D" w14:textId="77777777" w:rsidTr="00F94425">
        <w:tblPrEx>
          <w:tblW w:w="6015" w:type="pct"/>
          <w:tblInd w:w="-972" w:type="dxa"/>
          <w:tblLayout w:type="fixed"/>
          <w:tblLook w:val="04A0"/>
        </w:tblPrEx>
        <w:trPr>
          <w:trHeight w:val="977"/>
        </w:trPr>
        <w:tc>
          <w:tcPr>
            <w:tcW w:w="548" w:type="pct"/>
          </w:tcPr>
          <w:p w:rsidR="00665298" w:rsidRPr="00665298" w:rsidP="00F94425" w14:paraId="75D616A8" w14:textId="77777777">
            <w:pPr>
              <w:tabs>
                <w:tab w:val="left" w:pos="-720"/>
              </w:tabs>
              <w:suppressAutoHyphens/>
              <w:spacing w:after="0" w:line="240" w:lineRule="auto"/>
              <w:ind w:left="-45" w:right="-105"/>
              <w:jc w:val="center"/>
              <w:rPr>
                <w:rFonts w:ascii="Arial" w:eastAsia="Times New Roman" w:hAnsi="Arial" w:cs="Times New Roman"/>
                <w:sz w:val="16"/>
                <w:szCs w:val="16"/>
              </w:rPr>
            </w:pPr>
            <w:r w:rsidRPr="00665298">
              <w:rPr>
                <w:rFonts w:ascii="Arial" w:eastAsia="Times New Roman" w:hAnsi="Arial" w:cs="Times New Roman"/>
                <w:sz w:val="16"/>
                <w:szCs w:val="16"/>
              </w:rPr>
              <w:t>45.14</w:t>
            </w:r>
          </w:p>
        </w:tc>
        <w:tc>
          <w:tcPr>
            <w:tcW w:w="548" w:type="pct"/>
          </w:tcPr>
          <w:p w:rsidR="00665298" w:rsidRPr="00665298" w:rsidP="00F94425" w14:paraId="3130229E" w14:textId="77777777">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w:t>
            </w:r>
            <w:r w:rsidR="007134A5">
              <w:rPr>
                <w:rFonts w:ascii="Arial" w:eastAsia="Times New Roman" w:hAnsi="Arial" w:cs="Times New Roman"/>
                <w:sz w:val="16"/>
                <w:szCs w:val="16"/>
              </w:rPr>
              <w:t>,</w:t>
            </w:r>
            <w:r>
              <w:rPr>
                <w:rFonts w:ascii="Arial" w:eastAsia="Times New Roman" w:hAnsi="Arial" w:cs="Times New Roman"/>
                <w:sz w:val="16"/>
                <w:szCs w:val="16"/>
              </w:rPr>
              <w:t>742</w:t>
            </w:r>
            <w:r w:rsidRPr="00665298">
              <w:rPr>
                <w:rFonts w:ascii="Arial" w:eastAsia="Times New Roman" w:hAnsi="Arial" w:cs="Times New Roman"/>
                <w:sz w:val="16"/>
                <w:szCs w:val="16"/>
              </w:rPr>
              <w:t xml:space="preserve"> SEF/DCM/ Reporting counterparty</w:t>
            </w:r>
          </w:p>
        </w:tc>
        <w:tc>
          <w:tcPr>
            <w:tcW w:w="586" w:type="pct"/>
          </w:tcPr>
          <w:p w:rsidR="00665298" w:rsidRPr="00665298" w:rsidP="00F94425" w14:paraId="1EACDD58" w14:textId="77777777">
            <w:pPr>
              <w:suppressAutoHyphens/>
              <w:spacing w:after="0" w:line="240" w:lineRule="auto"/>
              <w:ind w:left="-74" w:right="-75"/>
              <w:jc w:val="center"/>
              <w:rPr>
                <w:rFonts w:ascii="Arial" w:eastAsia="Times New Roman" w:hAnsi="Arial" w:cs="Times New Roman"/>
                <w:sz w:val="16"/>
                <w:szCs w:val="16"/>
              </w:rPr>
            </w:pPr>
            <w:r w:rsidRPr="00665298">
              <w:rPr>
                <w:rFonts w:ascii="Arial" w:eastAsia="Times New Roman" w:hAnsi="Arial" w:cs="Times New Roman"/>
                <w:sz w:val="16"/>
                <w:szCs w:val="16"/>
              </w:rPr>
              <w:t>1</w:t>
            </w:r>
          </w:p>
        </w:tc>
        <w:tc>
          <w:tcPr>
            <w:tcW w:w="430" w:type="pct"/>
          </w:tcPr>
          <w:p w:rsidR="00665298" w:rsidRPr="00665298" w:rsidP="00F94425" w14:paraId="68B4398E" w14:textId="77777777">
            <w:pPr>
              <w:suppressAutoHyphens/>
              <w:spacing w:after="0" w:line="240" w:lineRule="auto"/>
              <w:ind w:left="-134" w:right="-105"/>
              <w:jc w:val="center"/>
              <w:rPr>
                <w:rFonts w:ascii="Arial" w:eastAsia="Times New Roman" w:hAnsi="Arial" w:cs="Times New Roman"/>
                <w:sz w:val="16"/>
                <w:szCs w:val="16"/>
              </w:rPr>
            </w:pPr>
            <w:r>
              <w:rPr>
                <w:rFonts w:ascii="Arial" w:eastAsia="Times New Roman" w:hAnsi="Arial" w:cs="Times New Roman"/>
                <w:sz w:val="16"/>
                <w:szCs w:val="16"/>
              </w:rPr>
              <w:t>6</w:t>
            </w:r>
          </w:p>
        </w:tc>
        <w:tc>
          <w:tcPr>
            <w:tcW w:w="584" w:type="pct"/>
          </w:tcPr>
          <w:p w:rsidR="00665298" w:rsidRPr="00665298" w:rsidP="00F94425" w14:paraId="6510EC74" w14:textId="77777777">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6</w:t>
            </w:r>
          </w:p>
        </w:tc>
        <w:tc>
          <w:tcPr>
            <w:tcW w:w="391" w:type="pct"/>
          </w:tcPr>
          <w:p w:rsidR="00665298" w:rsidRPr="00665298" w:rsidP="00F94425" w14:paraId="554BFF3F" w14:textId="77777777">
            <w:pPr>
              <w:suppressAutoHyphens/>
              <w:spacing w:after="0" w:line="240" w:lineRule="auto"/>
              <w:ind w:left="-74" w:right="-75"/>
              <w:jc w:val="center"/>
              <w:rPr>
                <w:rFonts w:ascii="Arial" w:eastAsia="Times New Roman" w:hAnsi="Arial" w:cs="Times New Roman"/>
                <w:sz w:val="16"/>
                <w:szCs w:val="16"/>
              </w:rPr>
            </w:pPr>
            <w:r w:rsidRPr="00665298">
              <w:rPr>
                <w:rFonts w:ascii="Arial" w:eastAsia="Times New Roman" w:hAnsi="Arial" w:cs="Times New Roman"/>
                <w:sz w:val="16"/>
                <w:szCs w:val="16"/>
              </w:rPr>
              <w:t>$</w:t>
            </w:r>
            <w:r w:rsidR="00BA75F4">
              <w:rPr>
                <w:rFonts w:ascii="Arial" w:eastAsia="Times New Roman" w:hAnsi="Arial" w:cs="Times New Roman"/>
                <w:sz w:val="16"/>
                <w:szCs w:val="16"/>
              </w:rPr>
              <w:t>81.70</w:t>
            </w:r>
          </w:p>
        </w:tc>
        <w:tc>
          <w:tcPr>
            <w:tcW w:w="586" w:type="pct"/>
          </w:tcPr>
          <w:p w:rsidR="00665298" w:rsidRPr="00665298" w:rsidP="00F94425" w14:paraId="5F8BFD4F" w14:textId="77777777">
            <w:pPr>
              <w:spacing w:after="0" w:line="240" w:lineRule="auto"/>
              <w:ind w:left="-149" w:right="-105"/>
              <w:jc w:val="center"/>
              <w:rPr>
                <w:rFonts w:ascii="Arial" w:eastAsia="Calibri" w:hAnsi="Arial" w:cs="Arial"/>
                <w:sz w:val="16"/>
                <w:szCs w:val="16"/>
              </w:rPr>
            </w:pPr>
            <w:r w:rsidRPr="00BA75F4">
              <w:rPr>
                <w:rFonts w:ascii="Arial" w:eastAsia="Calibri" w:hAnsi="Arial" w:cs="Arial"/>
                <w:sz w:val="16"/>
                <w:szCs w:val="16"/>
              </w:rPr>
              <w:t>$490.20</w:t>
            </w:r>
          </w:p>
        </w:tc>
        <w:tc>
          <w:tcPr>
            <w:tcW w:w="390" w:type="pct"/>
          </w:tcPr>
          <w:p w:rsidR="00665298" w:rsidRPr="00665298" w:rsidP="00F94425" w14:paraId="1881AF58" w14:textId="77777777">
            <w:pPr>
              <w:tabs>
                <w:tab w:val="left" w:pos="-720"/>
              </w:tabs>
              <w:suppressAutoHyphens/>
              <w:spacing w:after="0" w:line="240" w:lineRule="auto"/>
              <w:ind w:left="-119" w:right="-120"/>
              <w:jc w:val="center"/>
              <w:rPr>
                <w:rFonts w:ascii="Arial" w:eastAsia="Times New Roman" w:hAnsi="Arial" w:cs="Times New Roman"/>
                <w:sz w:val="16"/>
                <w:szCs w:val="16"/>
              </w:rPr>
            </w:pPr>
            <w:r>
              <w:rPr>
                <w:rFonts w:ascii="Arial" w:eastAsia="Times New Roman" w:hAnsi="Arial" w:cs="Times New Roman"/>
                <w:sz w:val="16"/>
                <w:szCs w:val="16"/>
              </w:rPr>
              <w:t>1,742</w:t>
            </w:r>
          </w:p>
        </w:tc>
        <w:tc>
          <w:tcPr>
            <w:tcW w:w="391" w:type="pct"/>
          </w:tcPr>
          <w:p w:rsidR="00665298" w:rsidRPr="00665298" w:rsidP="00F94425" w14:paraId="42308F2C" w14:textId="77777777">
            <w:pPr>
              <w:tabs>
                <w:tab w:val="left" w:pos="-720"/>
              </w:tabs>
              <w:suppressAutoHyphens/>
              <w:spacing w:after="0" w:line="240" w:lineRule="auto"/>
              <w:ind w:left="-89" w:right="-60"/>
              <w:jc w:val="center"/>
              <w:rPr>
                <w:rFonts w:ascii="Arial" w:eastAsia="Times New Roman" w:hAnsi="Arial" w:cs="Times New Roman"/>
                <w:sz w:val="16"/>
                <w:szCs w:val="16"/>
              </w:rPr>
            </w:pPr>
            <w:r>
              <w:rPr>
                <w:rFonts w:ascii="Arial" w:eastAsia="Times New Roman" w:hAnsi="Arial" w:cs="Times New Roman"/>
                <w:sz w:val="16"/>
                <w:szCs w:val="16"/>
              </w:rPr>
              <w:t>10,452</w:t>
            </w:r>
          </w:p>
        </w:tc>
        <w:tc>
          <w:tcPr>
            <w:tcW w:w="546" w:type="pct"/>
          </w:tcPr>
          <w:p w:rsidR="00665298" w:rsidRPr="00665298" w:rsidP="00F94425" w14:paraId="5BF15A68" w14:textId="77777777">
            <w:pPr>
              <w:tabs>
                <w:tab w:val="left" w:pos="-720"/>
              </w:tabs>
              <w:suppressAutoHyphens/>
              <w:spacing w:after="0" w:line="240" w:lineRule="auto"/>
              <w:ind w:left="-74"/>
              <w:jc w:val="center"/>
              <w:rPr>
                <w:rFonts w:ascii="Arial" w:eastAsia="Times New Roman" w:hAnsi="Arial" w:cs="Times New Roman"/>
                <w:sz w:val="16"/>
                <w:szCs w:val="16"/>
              </w:rPr>
            </w:pPr>
            <w:r w:rsidRPr="00665298">
              <w:rPr>
                <w:rFonts w:ascii="Arial" w:eastAsia="Times New Roman" w:hAnsi="Arial" w:cs="Times New Roman"/>
                <w:sz w:val="16"/>
                <w:szCs w:val="16"/>
              </w:rPr>
              <w:t>$</w:t>
            </w:r>
            <w:r w:rsidR="007134A5">
              <w:rPr>
                <w:rFonts w:ascii="Arial" w:eastAsia="Times New Roman" w:hAnsi="Arial" w:cs="Times New Roman"/>
                <w:sz w:val="16"/>
                <w:szCs w:val="16"/>
              </w:rPr>
              <w:t>853,928.40</w:t>
            </w:r>
          </w:p>
        </w:tc>
      </w:tr>
      <w:tr w14:paraId="2E2C09F0" w14:textId="77777777" w:rsidTr="00661B7C">
        <w:tblPrEx>
          <w:tblW w:w="6015" w:type="pct"/>
          <w:tblInd w:w="-972" w:type="dxa"/>
          <w:tblLayout w:type="fixed"/>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661B7C" w:rsidRPr="00665298" w:rsidP="00EF5859" w14:paraId="35FDFEBE" w14:textId="77777777">
            <w:pPr>
              <w:tabs>
                <w:tab w:val="left" w:pos="-720"/>
              </w:tabs>
              <w:suppressAutoHyphens/>
              <w:spacing w:after="0" w:line="240" w:lineRule="auto"/>
              <w:ind w:left="-45" w:right="-105"/>
              <w:jc w:val="center"/>
              <w:rPr>
                <w:rFonts w:ascii="Arial" w:eastAsia="Times New Roman" w:hAnsi="Arial" w:cs="Times New Roman"/>
                <w:sz w:val="16"/>
                <w:szCs w:val="16"/>
              </w:rPr>
            </w:pPr>
            <w:r>
              <w:rPr>
                <w:rFonts w:ascii="Arial" w:eastAsia="Times New Roman" w:hAnsi="Arial" w:cs="Times New Roman"/>
                <w:sz w:val="16"/>
                <w:szCs w:val="16"/>
              </w:rPr>
              <w:t>43.3(e)</w:t>
            </w:r>
          </w:p>
        </w:tc>
        <w:tc>
          <w:tcPr>
            <w:tcW w:w="548" w:type="pct"/>
            <w:tcBorders>
              <w:top w:val="single" w:sz="4" w:space="0" w:color="000000"/>
              <w:left w:val="single" w:sz="4" w:space="0" w:color="000000"/>
              <w:bottom w:val="single" w:sz="4" w:space="0" w:color="000000"/>
              <w:right w:val="single" w:sz="4" w:space="0" w:color="000000"/>
            </w:tcBorders>
          </w:tcPr>
          <w:p w:rsidR="00661B7C" w:rsidRPr="00665298" w:rsidP="00EF5859" w14:paraId="6C227F89" w14:textId="77777777">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1,742</w:t>
            </w:r>
            <w:r w:rsidRPr="00665298">
              <w:rPr>
                <w:rFonts w:ascii="Arial" w:eastAsia="Times New Roman" w:hAnsi="Arial" w:cs="Times New Roman"/>
                <w:sz w:val="16"/>
                <w:szCs w:val="16"/>
              </w:rPr>
              <w:t xml:space="preserve"> SEF/DCM/ Reporting counterparty</w:t>
            </w:r>
          </w:p>
        </w:tc>
        <w:tc>
          <w:tcPr>
            <w:tcW w:w="586" w:type="pct"/>
            <w:tcBorders>
              <w:top w:val="single" w:sz="4" w:space="0" w:color="000000"/>
              <w:left w:val="single" w:sz="4" w:space="0" w:color="000000"/>
              <w:bottom w:val="single" w:sz="4" w:space="0" w:color="000000"/>
              <w:right w:val="single" w:sz="4" w:space="0" w:color="000000"/>
            </w:tcBorders>
          </w:tcPr>
          <w:p w:rsidR="00661B7C" w:rsidRPr="00665298" w:rsidP="00EF5859" w14:paraId="028393AC" w14:textId="77777777">
            <w:pPr>
              <w:suppressAutoHyphens/>
              <w:spacing w:after="0" w:line="240" w:lineRule="auto"/>
              <w:ind w:left="-74" w:right="-75"/>
              <w:jc w:val="center"/>
              <w:rPr>
                <w:rFonts w:ascii="Arial" w:eastAsia="Times New Roman" w:hAnsi="Arial" w:cs="Times New Roman"/>
                <w:sz w:val="16"/>
                <w:szCs w:val="16"/>
              </w:rPr>
            </w:pPr>
            <w:r w:rsidRPr="00665298">
              <w:rPr>
                <w:rFonts w:ascii="Arial" w:eastAsia="Times New Roman" w:hAnsi="Arial" w:cs="Times New Roman"/>
                <w:sz w:val="16"/>
                <w:szCs w:val="16"/>
              </w:rPr>
              <w:t>1</w:t>
            </w:r>
          </w:p>
        </w:tc>
        <w:tc>
          <w:tcPr>
            <w:tcW w:w="430" w:type="pct"/>
            <w:tcBorders>
              <w:top w:val="single" w:sz="4" w:space="0" w:color="000000"/>
              <w:left w:val="single" w:sz="4" w:space="0" w:color="000000"/>
              <w:bottom w:val="single" w:sz="4" w:space="0" w:color="000000"/>
              <w:right w:val="single" w:sz="4" w:space="0" w:color="000000"/>
            </w:tcBorders>
          </w:tcPr>
          <w:p w:rsidR="00661B7C" w:rsidRPr="00665298" w:rsidP="00EF5859" w14:paraId="0CC4EC5A" w14:textId="77777777">
            <w:pPr>
              <w:suppressAutoHyphens/>
              <w:spacing w:after="0" w:line="240" w:lineRule="auto"/>
              <w:ind w:left="-134" w:right="-105"/>
              <w:jc w:val="center"/>
              <w:rPr>
                <w:rFonts w:ascii="Arial" w:eastAsia="Times New Roman" w:hAnsi="Arial" w:cs="Times New Roman"/>
                <w:sz w:val="16"/>
                <w:szCs w:val="16"/>
              </w:rPr>
            </w:pPr>
            <w:r>
              <w:rPr>
                <w:rFonts w:ascii="Arial" w:eastAsia="Times New Roman" w:hAnsi="Arial" w:cs="Times New Roman"/>
                <w:sz w:val="16"/>
                <w:szCs w:val="16"/>
              </w:rPr>
              <w:t>6</w:t>
            </w:r>
          </w:p>
        </w:tc>
        <w:tc>
          <w:tcPr>
            <w:tcW w:w="584" w:type="pct"/>
            <w:tcBorders>
              <w:top w:val="single" w:sz="4" w:space="0" w:color="000000"/>
              <w:left w:val="single" w:sz="4" w:space="0" w:color="000000"/>
              <w:bottom w:val="single" w:sz="4" w:space="0" w:color="000000"/>
              <w:right w:val="single" w:sz="4" w:space="0" w:color="000000"/>
            </w:tcBorders>
          </w:tcPr>
          <w:p w:rsidR="00661B7C" w:rsidRPr="00665298" w:rsidP="00EF5859" w14:paraId="79ABFB61" w14:textId="77777777">
            <w:pPr>
              <w:suppressAutoHyphens/>
              <w:spacing w:after="0" w:line="240"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6</w:t>
            </w:r>
          </w:p>
        </w:tc>
        <w:tc>
          <w:tcPr>
            <w:tcW w:w="391" w:type="pct"/>
            <w:tcBorders>
              <w:top w:val="single" w:sz="4" w:space="0" w:color="000000"/>
              <w:left w:val="single" w:sz="4" w:space="0" w:color="000000"/>
              <w:bottom w:val="single" w:sz="4" w:space="0" w:color="000000"/>
              <w:right w:val="single" w:sz="4" w:space="0" w:color="000000"/>
            </w:tcBorders>
          </w:tcPr>
          <w:p w:rsidR="00661B7C" w:rsidRPr="00665298" w:rsidP="00EF5859" w14:paraId="55D7C265" w14:textId="77777777">
            <w:pPr>
              <w:suppressAutoHyphens/>
              <w:spacing w:after="0" w:line="240"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$81.70</w:t>
            </w:r>
          </w:p>
        </w:tc>
        <w:tc>
          <w:tcPr>
            <w:tcW w:w="586" w:type="pct"/>
            <w:tcBorders>
              <w:top w:val="single" w:sz="4" w:space="0" w:color="000000"/>
              <w:left w:val="single" w:sz="4" w:space="0" w:color="000000"/>
              <w:bottom w:val="single" w:sz="4" w:space="0" w:color="000000"/>
              <w:right w:val="single" w:sz="4" w:space="0" w:color="000000"/>
            </w:tcBorders>
          </w:tcPr>
          <w:p w:rsidR="00661B7C" w:rsidRPr="00665298" w:rsidP="00EF5859" w14:paraId="51498BA9" w14:textId="77777777">
            <w:pPr>
              <w:spacing w:after="0" w:line="240" w:lineRule="auto"/>
              <w:ind w:left="-149" w:right="-105"/>
              <w:jc w:val="center"/>
              <w:rPr>
                <w:rFonts w:ascii="Arial" w:eastAsia="Calibri" w:hAnsi="Arial" w:cs="Arial"/>
                <w:sz w:val="16"/>
                <w:szCs w:val="16"/>
              </w:rPr>
            </w:pPr>
            <w:r w:rsidRPr="00BA75F4">
              <w:rPr>
                <w:rFonts w:ascii="Arial" w:eastAsia="Calibri" w:hAnsi="Arial" w:cs="Arial"/>
                <w:sz w:val="16"/>
                <w:szCs w:val="16"/>
              </w:rPr>
              <w:t>$490.20</w:t>
            </w:r>
          </w:p>
        </w:tc>
        <w:tc>
          <w:tcPr>
            <w:tcW w:w="390" w:type="pct"/>
            <w:tcBorders>
              <w:top w:val="single" w:sz="4" w:space="0" w:color="000000"/>
              <w:left w:val="single" w:sz="4" w:space="0" w:color="000000"/>
              <w:bottom w:val="single" w:sz="4" w:space="0" w:color="000000"/>
              <w:right w:val="single" w:sz="4" w:space="0" w:color="000000"/>
            </w:tcBorders>
          </w:tcPr>
          <w:p w:rsidR="00661B7C" w:rsidRPr="00665298" w:rsidP="00EF5859" w14:paraId="0D7FAC9D" w14:textId="77777777">
            <w:pPr>
              <w:tabs>
                <w:tab w:val="left" w:pos="-720"/>
              </w:tabs>
              <w:suppressAutoHyphens/>
              <w:spacing w:after="0" w:line="240" w:lineRule="auto"/>
              <w:ind w:left="-119" w:right="-120"/>
              <w:jc w:val="center"/>
              <w:rPr>
                <w:rFonts w:ascii="Arial" w:eastAsia="Times New Roman" w:hAnsi="Arial" w:cs="Times New Roman"/>
                <w:sz w:val="16"/>
                <w:szCs w:val="16"/>
              </w:rPr>
            </w:pPr>
            <w:r>
              <w:rPr>
                <w:rFonts w:ascii="Arial" w:eastAsia="Times New Roman" w:hAnsi="Arial" w:cs="Times New Roman"/>
                <w:sz w:val="16"/>
                <w:szCs w:val="16"/>
              </w:rPr>
              <w:t>1,742</w:t>
            </w:r>
          </w:p>
        </w:tc>
        <w:tc>
          <w:tcPr>
            <w:tcW w:w="391" w:type="pct"/>
            <w:tcBorders>
              <w:top w:val="single" w:sz="4" w:space="0" w:color="000000"/>
              <w:left w:val="single" w:sz="4" w:space="0" w:color="000000"/>
              <w:bottom w:val="single" w:sz="4" w:space="0" w:color="000000"/>
              <w:right w:val="single" w:sz="4" w:space="0" w:color="000000"/>
            </w:tcBorders>
          </w:tcPr>
          <w:p w:rsidR="00661B7C" w:rsidRPr="00665298" w:rsidP="00EF5859" w14:paraId="760DAAD2" w14:textId="77777777">
            <w:pPr>
              <w:tabs>
                <w:tab w:val="left" w:pos="-720"/>
              </w:tabs>
              <w:suppressAutoHyphens/>
              <w:spacing w:after="0" w:line="240" w:lineRule="auto"/>
              <w:ind w:left="-89" w:right="-60"/>
              <w:jc w:val="center"/>
              <w:rPr>
                <w:rFonts w:ascii="Arial" w:eastAsia="Times New Roman" w:hAnsi="Arial" w:cs="Times New Roman"/>
                <w:sz w:val="16"/>
                <w:szCs w:val="16"/>
              </w:rPr>
            </w:pPr>
            <w:r>
              <w:rPr>
                <w:rFonts w:ascii="Arial" w:eastAsia="Times New Roman" w:hAnsi="Arial" w:cs="Times New Roman"/>
                <w:sz w:val="16"/>
                <w:szCs w:val="16"/>
              </w:rPr>
              <w:t>10,452</w:t>
            </w:r>
          </w:p>
        </w:tc>
        <w:tc>
          <w:tcPr>
            <w:tcW w:w="546" w:type="pct"/>
            <w:tcBorders>
              <w:top w:val="single" w:sz="4" w:space="0" w:color="000000"/>
              <w:left w:val="single" w:sz="4" w:space="0" w:color="000000"/>
              <w:bottom w:val="single" w:sz="4" w:space="0" w:color="000000"/>
              <w:right w:val="single" w:sz="4" w:space="0" w:color="000000"/>
            </w:tcBorders>
          </w:tcPr>
          <w:p w:rsidR="00661B7C" w:rsidRPr="00665298" w:rsidP="00EF5859" w14:paraId="055F2571" w14:textId="77777777">
            <w:pPr>
              <w:tabs>
                <w:tab w:val="left" w:pos="-720"/>
              </w:tabs>
              <w:suppressAutoHyphens/>
              <w:spacing w:after="0" w:line="240" w:lineRule="auto"/>
              <w:ind w:left="-74"/>
              <w:jc w:val="center"/>
              <w:rPr>
                <w:rFonts w:ascii="Arial" w:eastAsia="Times New Roman" w:hAnsi="Arial" w:cs="Times New Roman"/>
                <w:sz w:val="16"/>
                <w:szCs w:val="16"/>
              </w:rPr>
            </w:pPr>
            <w:r w:rsidRPr="00665298">
              <w:rPr>
                <w:rFonts w:ascii="Arial" w:eastAsia="Times New Roman" w:hAnsi="Arial" w:cs="Times New Roman"/>
                <w:sz w:val="16"/>
                <w:szCs w:val="16"/>
              </w:rPr>
              <w:t>$</w:t>
            </w:r>
            <w:r>
              <w:rPr>
                <w:rFonts w:ascii="Arial" w:eastAsia="Times New Roman" w:hAnsi="Arial" w:cs="Times New Roman"/>
                <w:sz w:val="16"/>
                <w:szCs w:val="16"/>
              </w:rPr>
              <w:t>853,928.40</w:t>
            </w:r>
          </w:p>
        </w:tc>
      </w:tr>
      <w:tr w14:paraId="1A3E5269" w14:textId="77777777" w:rsidTr="00661B7C">
        <w:tblPrEx>
          <w:tblW w:w="6015" w:type="pct"/>
          <w:tblInd w:w="-972" w:type="dxa"/>
          <w:tblLayout w:type="fixed"/>
          <w:tblLook w:val="04A0"/>
        </w:tblPrEx>
        <w:trPr>
          <w:trHeight w:val="977"/>
        </w:trPr>
        <w:tc>
          <w:tcPr>
            <w:tcW w:w="548" w:type="pct"/>
            <w:tcBorders>
              <w:top w:val="single" w:sz="4" w:space="0" w:color="000000"/>
              <w:left w:val="single" w:sz="4" w:space="0" w:color="000000"/>
              <w:bottom w:val="single" w:sz="4" w:space="0" w:color="000000"/>
              <w:right w:val="single" w:sz="4" w:space="0" w:color="000000"/>
            </w:tcBorders>
          </w:tcPr>
          <w:p w:rsidR="00F94425" w:rsidP="00EF5859" w14:paraId="6A860444" w14:textId="77777777">
            <w:pPr>
              <w:tabs>
                <w:tab w:val="left" w:pos="-720"/>
              </w:tabs>
              <w:suppressAutoHyphens/>
              <w:spacing w:after="0" w:line="240" w:lineRule="auto"/>
              <w:ind w:left="-45" w:right="-105"/>
              <w:jc w:val="center"/>
              <w:rPr>
                <w:rFonts w:ascii="Arial" w:eastAsia="Times New Roman" w:hAnsi="Arial" w:cs="Times New Roman"/>
                <w:sz w:val="16"/>
                <w:szCs w:val="16"/>
              </w:rPr>
            </w:pPr>
            <w:r>
              <w:rPr>
                <w:rFonts w:ascii="Arial" w:eastAsia="Times New Roman" w:hAnsi="Arial" w:cs="Times New Roman"/>
                <w:sz w:val="16"/>
                <w:szCs w:val="16"/>
              </w:rPr>
              <w:t>Total</w:t>
            </w:r>
          </w:p>
        </w:tc>
        <w:tc>
          <w:tcPr>
            <w:tcW w:w="548" w:type="pct"/>
            <w:tcBorders>
              <w:top w:val="single" w:sz="4" w:space="0" w:color="000000"/>
              <w:left w:val="single" w:sz="4" w:space="0" w:color="000000"/>
              <w:bottom w:val="single" w:sz="4" w:space="0" w:color="000000"/>
              <w:right w:val="single" w:sz="4" w:space="0" w:color="000000"/>
            </w:tcBorders>
          </w:tcPr>
          <w:p w:rsidR="00F94425" w:rsidP="00EF5859" w14:paraId="325E9ADE" w14:textId="77777777">
            <w:pPr>
              <w:suppressAutoHyphens/>
              <w:spacing w:after="0" w:line="240" w:lineRule="auto"/>
              <w:ind w:left="-104" w:right="-135"/>
              <w:jc w:val="center"/>
              <w:rPr>
                <w:rFonts w:ascii="Arial" w:eastAsia="Times New Roman" w:hAnsi="Arial" w:cs="Times New Roman"/>
                <w:sz w:val="16"/>
                <w:szCs w:val="16"/>
              </w:rPr>
            </w:pPr>
          </w:p>
        </w:tc>
        <w:tc>
          <w:tcPr>
            <w:tcW w:w="586" w:type="pct"/>
            <w:tcBorders>
              <w:top w:val="single" w:sz="4" w:space="0" w:color="000000"/>
              <w:left w:val="single" w:sz="4" w:space="0" w:color="000000"/>
              <w:bottom w:val="single" w:sz="4" w:space="0" w:color="000000"/>
              <w:right w:val="single" w:sz="4" w:space="0" w:color="000000"/>
            </w:tcBorders>
          </w:tcPr>
          <w:p w:rsidR="00F94425" w:rsidRPr="00665298" w:rsidP="00EF5859" w14:paraId="7267FB48" w14:textId="77777777">
            <w:pPr>
              <w:suppressAutoHyphens/>
              <w:spacing w:after="0" w:line="240" w:lineRule="auto"/>
              <w:ind w:left="-74" w:right="-75"/>
              <w:jc w:val="center"/>
              <w:rPr>
                <w:rFonts w:ascii="Arial" w:eastAsia="Times New Roman" w:hAnsi="Arial" w:cs="Times New Roman"/>
                <w:sz w:val="16"/>
                <w:szCs w:val="16"/>
              </w:rPr>
            </w:pPr>
          </w:p>
        </w:tc>
        <w:tc>
          <w:tcPr>
            <w:tcW w:w="430" w:type="pct"/>
            <w:tcBorders>
              <w:top w:val="single" w:sz="4" w:space="0" w:color="000000"/>
              <w:left w:val="single" w:sz="4" w:space="0" w:color="000000"/>
              <w:bottom w:val="single" w:sz="4" w:space="0" w:color="000000"/>
              <w:right w:val="single" w:sz="4" w:space="0" w:color="000000"/>
            </w:tcBorders>
          </w:tcPr>
          <w:p w:rsidR="00F94425" w:rsidP="00EF5859" w14:paraId="1A1FE1AF" w14:textId="77777777">
            <w:pPr>
              <w:suppressAutoHyphens/>
              <w:spacing w:after="0" w:line="240" w:lineRule="auto"/>
              <w:ind w:left="-134" w:right="-105"/>
              <w:jc w:val="center"/>
              <w:rPr>
                <w:rFonts w:ascii="Arial" w:eastAsia="Times New Roman" w:hAnsi="Arial" w:cs="Times New Roman"/>
                <w:sz w:val="16"/>
                <w:szCs w:val="16"/>
              </w:rPr>
            </w:pPr>
          </w:p>
        </w:tc>
        <w:tc>
          <w:tcPr>
            <w:tcW w:w="584" w:type="pct"/>
            <w:tcBorders>
              <w:top w:val="single" w:sz="4" w:space="0" w:color="000000"/>
              <w:left w:val="single" w:sz="4" w:space="0" w:color="000000"/>
              <w:bottom w:val="single" w:sz="4" w:space="0" w:color="000000"/>
              <w:right w:val="single" w:sz="4" w:space="0" w:color="000000"/>
            </w:tcBorders>
          </w:tcPr>
          <w:p w:rsidR="00F94425" w:rsidP="00EF5859" w14:paraId="5421B909" w14:textId="77777777">
            <w:pPr>
              <w:suppressAutoHyphens/>
              <w:spacing w:after="0" w:line="240" w:lineRule="auto"/>
              <w:ind w:left="-104" w:right="-135"/>
              <w:jc w:val="center"/>
              <w:rPr>
                <w:rFonts w:ascii="Arial" w:eastAsia="Times New Roman" w:hAnsi="Arial" w:cs="Times New Roman"/>
                <w:sz w:val="16"/>
                <w:szCs w:val="16"/>
              </w:rPr>
            </w:pPr>
          </w:p>
        </w:tc>
        <w:tc>
          <w:tcPr>
            <w:tcW w:w="391" w:type="pct"/>
            <w:tcBorders>
              <w:top w:val="single" w:sz="4" w:space="0" w:color="000000"/>
              <w:left w:val="single" w:sz="4" w:space="0" w:color="000000"/>
              <w:bottom w:val="single" w:sz="4" w:space="0" w:color="000000"/>
              <w:right w:val="single" w:sz="4" w:space="0" w:color="000000"/>
            </w:tcBorders>
          </w:tcPr>
          <w:p w:rsidR="00F94425" w:rsidP="00EF5859" w14:paraId="2CC46C88" w14:textId="77777777">
            <w:pPr>
              <w:suppressAutoHyphens/>
              <w:spacing w:after="0" w:line="240" w:lineRule="auto"/>
              <w:ind w:left="-74" w:right="-75"/>
              <w:jc w:val="center"/>
              <w:rPr>
                <w:rFonts w:ascii="Arial" w:eastAsia="Times New Roman" w:hAnsi="Arial" w:cs="Times New Roman"/>
                <w:sz w:val="16"/>
                <w:szCs w:val="16"/>
              </w:rPr>
            </w:pPr>
          </w:p>
        </w:tc>
        <w:tc>
          <w:tcPr>
            <w:tcW w:w="586" w:type="pct"/>
            <w:tcBorders>
              <w:top w:val="single" w:sz="4" w:space="0" w:color="000000"/>
              <w:left w:val="single" w:sz="4" w:space="0" w:color="000000"/>
              <w:bottom w:val="single" w:sz="4" w:space="0" w:color="000000"/>
              <w:right w:val="single" w:sz="4" w:space="0" w:color="000000"/>
            </w:tcBorders>
          </w:tcPr>
          <w:p w:rsidR="00F94425" w:rsidRPr="00BA75F4" w:rsidP="00EF5859" w14:paraId="06846438" w14:textId="77777777">
            <w:pPr>
              <w:spacing w:after="0" w:line="240" w:lineRule="auto"/>
              <w:ind w:left="-149" w:right="-105"/>
              <w:jc w:val="center"/>
              <w:rPr>
                <w:rFonts w:ascii="Arial" w:eastAsia="Calibri" w:hAnsi="Arial" w:cs="Arial"/>
                <w:sz w:val="16"/>
                <w:szCs w:val="16"/>
              </w:rPr>
            </w:pPr>
          </w:p>
        </w:tc>
        <w:tc>
          <w:tcPr>
            <w:tcW w:w="390" w:type="pct"/>
            <w:tcBorders>
              <w:top w:val="single" w:sz="4" w:space="0" w:color="000000"/>
              <w:left w:val="single" w:sz="4" w:space="0" w:color="000000"/>
              <w:bottom w:val="single" w:sz="4" w:space="0" w:color="000000"/>
              <w:right w:val="single" w:sz="4" w:space="0" w:color="000000"/>
            </w:tcBorders>
          </w:tcPr>
          <w:p w:rsidR="00F94425" w:rsidP="00EF5859" w14:paraId="20055E69" w14:textId="77777777">
            <w:pPr>
              <w:tabs>
                <w:tab w:val="left" w:pos="-720"/>
              </w:tabs>
              <w:suppressAutoHyphens/>
              <w:spacing w:after="0" w:line="240" w:lineRule="auto"/>
              <w:ind w:left="-119" w:right="-120"/>
              <w:jc w:val="center"/>
              <w:rPr>
                <w:rFonts w:ascii="Arial" w:eastAsia="Times New Roman" w:hAnsi="Arial" w:cs="Times New Roman"/>
                <w:sz w:val="16"/>
                <w:szCs w:val="16"/>
              </w:rPr>
            </w:pPr>
            <w:r>
              <w:rPr>
                <w:rFonts w:ascii="Arial" w:eastAsia="Times New Roman" w:hAnsi="Arial" w:cs="Times New Roman"/>
                <w:sz w:val="16"/>
                <w:szCs w:val="16"/>
              </w:rPr>
              <w:t>3,484</w:t>
            </w:r>
          </w:p>
        </w:tc>
        <w:tc>
          <w:tcPr>
            <w:tcW w:w="391" w:type="pct"/>
            <w:tcBorders>
              <w:top w:val="single" w:sz="4" w:space="0" w:color="000000"/>
              <w:left w:val="single" w:sz="4" w:space="0" w:color="000000"/>
              <w:bottom w:val="single" w:sz="4" w:space="0" w:color="000000"/>
              <w:right w:val="single" w:sz="4" w:space="0" w:color="000000"/>
            </w:tcBorders>
          </w:tcPr>
          <w:p w:rsidR="00F94425" w:rsidP="00EF5859" w14:paraId="0903A01D" w14:textId="77777777">
            <w:pPr>
              <w:tabs>
                <w:tab w:val="left" w:pos="-720"/>
              </w:tabs>
              <w:suppressAutoHyphens/>
              <w:spacing w:after="0" w:line="240" w:lineRule="auto"/>
              <w:ind w:left="-89" w:right="-60"/>
              <w:jc w:val="center"/>
              <w:rPr>
                <w:rFonts w:ascii="Arial" w:eastAsia="Times New Roman" w:hAnsi="Arial" w:cs="Times New Roman"/>
                <w:sz w:val="16"/>
                <w:szCs w:val="16"/>
              </w:rPr>
            </w:pPr>
            <w:r>
              <w:rPr>
                <w:rFonts w:ascii="Arial" w:eastAsia="Times New Roman" w:hAnsi="Arial" w:cs="Times New Roman"/>
                <w:sz w:val="16"/>
                <w:szCs w:val="16"/>
              </w:rPr>
              <w:t>20,904</w:t>
            </w:r>
          </w:p>
        </w:tc>
        <w:tc>
          <w:tcPr>
            <w:tcW w:w="546" w:type="pct"/>
            <w:tcBorders>
              <w:top w:val="single" w:sz="4" w:space="0" w:color="000000"/>
              <w:left w:val="single" w:sz="4" w:space="0" w:color="000000"/>
              <w:bottom w:val="single" w:sz="4" w:space="0" w:color="000000"/>
              <w:right w:val="single" w:sz="4" w:space="0" w:color="000000"/>
            </w:tcBorders>
          </w:tcPr>
          <w:p w:rsidR="00F94425" w:rsidRPr="00665298" w:rsidP="00EF5859" w14:paraId="6B223453" w14:textId="77777777">
            <w:pPr>
              <w:tabs>
                <w:tab w:val="left" w:pos="-720"/>
              </w:tabs>
              <w:suppressAutoHyphens/>
              <w:spacing w:after="0" w:line="240" w:lineRule="auto"/>
              <w:ind w:left="-74"/>
              <w:jc w:val="center"/>
              <w:rPr>
                <w:rFonts w:ascii="Arial" w:eastAsia="Times New Roman" w:hAnsi="Arial" w:cs="Times New Roman"/>
                <w:sz w:val="16"/>
                <w:szCs w:val="16"/>
              </w:rPr>
            </w:pPr>
            <w:r>
              <w:rPr>
                <w:rFonts w:ascii="Arial" w:eastAsia="Times New Roman" w:hAnsi="Arial" w:cs="Times New Roman"/>
                <w:sz w:val="16"/>
                <w:szCs w:val="16"/>
              </w:rPr>
              <w:t>$1,707,856.80</w:t>
            </w:r>
          </w:p>
        </w:tc>
      </w:tr>
    </w:tbl>
    <w:p w:rsidR="00901242" w:rsidRPr="001F08DE" w14:paraId="63EC3C2A" w14:textId="77777777"/>
    <w:sectPr w:rsidSect="00210C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um">
    <w:altName w:val="Optim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C72" w14:paraId="0317B0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94226085"/>
      <w:docPartObj>
        <w:docPartGallery w:val="Page Numbers (Bottom of Page)"/>
        <w:docPartUnique/>
      </w:docPartObj>
    </w:sdtPr>
    <w:sdtEndPr>
      <w:rPr>
        <w:noProof/>
      </w:rPr>
    </w:sdtEndPr>
    <w:sdtContent>
      <w:p w:rsidR="00210C72" w:rsidRPr="00210C72" w14:paraId="780E850C" w14:textId="77777777">
        <w:pPr>
          <w:pStyle w:val="Footer"/>
          <w:jc w:val="center"/>
          <w:rPr>
            <w:rFonts w:ascii="Times New Roman" w:hAnsi="Times New Roman" w:cs="Times New Roman"/>
            <w:sz w:val="24"/>
            <w:szCs w:val="24"/>
          </w:rPr>
        </w:pPr>
        <w:r w:rsidRPr="00210C72">
          <w:rPr>
            <w:rFonts w:ascii="Times New Roman" w:hAnsi="Times New Roman" w:cs="Times New Roman"/>
            <w:sz w:val="24"/>
            <w:szCs w:val="24"/>
          </w:rPr>
          <w:fldChar w:fldCharType="begin"/>
        </w:r>
        <w:r w:rsidRPr="00210C72">
          <w:rPr>
            <w:rFonts w:ascii="Times New Roman" w:hAnsi="Times New Roman" w:cs="Times New Roman"/>
            <w:sz w:val="24"/>
            <w:szCs w:val="24"/>
          </w:rPr>
          <w:instrText xml:space="preserve"> PAGE   \* MERGEFORMAT </w:instrText>
        </w:r>
        <w:r w:rsidRPr="00210C72">
          <w:rPr>
            <w:rFonts w:ascii="Times New Roman" w:hAnsi="Times New Roman" w:cs="Times New Roman"/>
            <w:sz w:val="24"/>
            <w:szCs w:val="24"/>
          </w:rPr>
          <w:fldChar w:fldCharType="separate"/>
        </w:r>
        <w:r w:rsidRPr="00210C72">
          <w:rPr>
            <w:rFonts w:ascii="Times New Roman" w:hAnsi="Times New Roman" w:cs="Times New Roman"/>
            <w:noProof/>
            <w:sz w:val="24"/>
            <w:szCs w:val="24"/>
          </w:rPr>
          <w:t>2</w:t>
        </w:r>
        <w:r w:rsidRPr="00210C72">
          <w:rPr>
            <w:rFonts w:ascii="Times New Roman" w:hAnsi="Times New Roman" w:cs="Times New Roman"/>
            <w:noProof/>
            <w:sz w:val="24"/>
            <w:szCs w:val="24"/>
          </w:rPr>
          <w:fldChar w:fldCharType="end"/>
        </w:r>
      </w:p>
    </w:sdtContent>
  </w:sdt>
  <w:p w:rsidR="00210C72" w14:paraId="60131A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C72" w14:paraId="34FF0A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7B6B" w:rsidP="00D50C84" w14:paraId="5F579B14" w14:textId="77777777">
      <w:pPr>
        <w:spacing w:after="0" w:line="240" w:lineRule="auto"/>
      </w:pPr>
      <w:r>
        <w:separator/>
      </w:r>
    </w:p>
  </w:footnote>
  <w:footnote w:type="continuationSeparator" w:id="1">
    <w:p w:rsidR="00287B6B" w:rsidP="00D50C84" w14:paraId="795FD88B" w14:textId="77777777">
      <w:pPr>
        <w:spacing w:after="0" w:line="240" w:lineRule="auto"/>
      </w:pPr>
      <w:r>
        <w:continuationSeparator/>
      </w:r>
    </w:p>
  </w:footnote>
  <w:footnote w:id="2">
    <w:p w:rsidR="00EF5859" w:rsidP="00D50C84" w14:paraId="3A42C573" w14:textId="77777777">
      <w:pPr>
        <w:pStyle w:val="FootnoteText"/>
      </w:pPr>
      <w:r>
        <w:rPr>
          <w:rStyle w:val="FootnoteReference"/>
        </w:rPr>
        <w:footnoteRef/>
      </w:r>
      <w:r>
        <w:t xml:space="preserve"> </w:t>
      </w:r>
      <w:r w:rsidRPr="002B0DBD">
        <w:rPr>
          <w:rFonts w:ascii="Times New Roman" w:hAnsi="Times New Roman"/>
        </w:rPr>
        <w:t>Dodd-Frank Act, Pub L. No.</w:t>
      </w:r>
      <w:r>
        <w:rPr>
          <w:rFonts w:ascii="Times New Roman" w:hAnsi="Times New Roman"/>
        </w:rPr>
        <w:t xml:space="preserve"> 111-203, 124 Stat. 1376 (2010)</w:t>
      </w:r>
    </w:p>
  </w:footnote>
  <w:footnote w:id="3">
    <w:p w:rsidR="00EF5859" w:rsidRPr="00512BBE" w14:paraId="2E9DA100" w14:textId="77777777">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w:t>
      </w:r>
      <w:r>
        <w:rPr>
          <w:rFonts w:ascii="Times New Roman" w:hAnsi="Times New Roman" w:cs="Times New Roman"/>
        </w:rPr>
        <w:t>17 C.F.R. § 45.14(a)(1)(ii).</w:t>
      </w:r>
    </w:p>
  </w:footnote>
  <w:footnote w:id="4">
    <w:p w:rsidR="00EF5859" w:rsidRPr="00512BBE" w14:paraId="703636C4" w14:textId="77777777">
      <w:pPr>
        <w:pStyle w:val="FootnoteText"/>
        <w:rPr>
          <w:rFonts w:ascii="Times New Roman" w:hAnsi="Times New Roman" w:cs="Times New Roman"/>
        </w:rPr>
      </w:pPr>
      <w:r w:rsidRPr="00512BBE">
        <w:rPr>
          <w:rStyle w:val="FootnoteReference"/>
          <w:rFonts w:ascii="Times New Roman" w:hAnsi="Times New Roman" w:cs="Times New Roman"/>
        </w:rPr>
        <w:footnoteRef/>
      </w:r>
      <w:r w:rsidRPr="00512BBE">
        <w:rPr>
          <w:rFonts w:ascii="Times New Roman" w:hAnsi="Times New Roman" w:cs="Times New Roman"/>
        </w:rPr>
        <w:t xml:space="preserve"> 17 C.F.R. § 43.3(e)(1)(ii).</w:t>
      </w:r>
    </w:p>
  </w:footnote>
  <w:footnote w:id="5">
    <w:p w:rsidR="00406298" w:rsidRPr="008453B3" w:rsidP="00406298" w14:paraId="51AD66E2" w14:textId="16FE1A10">
      <w:pPr>
        <w:pStyle w:val="FootnoteText"/>
        <w:rPr>
          <w:rFonts w:ascii="Times New Roman" w:hAnsi="Times New Roman" w:cs="Times New Roman"/>
        </w:rPr>
      </w:pPr>
      <w:r>
        <w:rPr>
          <w:rStyle w:val="FootnoteReference"/>
        </w:rPr>
        <w:footnoteRef/>
      </w:r>
      <w:r>
        <w:t xml:space="preserve"> </w:t>
      </w:r>
      <w:r w:rsidRPr="007F2569">
        <w:rPr>
          <w:rFonts w:ascii="Times New Roman" w:hAnsi="Times New Roman" w:cs="Times New Roman"/>
          <w:i/>
        </w:rPr>
        <w:t>See</w:t>
      </w:r>
      <w:r w:rsidRPr="007F2569">
        <w:rPr>
          <w:rFonts w:ascii="Times New Roman" w:hAnsi="Times New Roman" w:cs="Times New Roman"/>
        </w:rPr>
        <w:t xml:space="preserve"> Final Rule, Certain Swap Data Repository and Data Reporting Requirements, 85 FR 75601, 75633</w:t>
      </w:r>
      <w:r w:rsidR="004863FF">
        <w:rPr>
          <w:rFonts w:ascii="Times New Roman" w:hAnsi="Times New Roman" w:cs="Times New Roman"/>
        </w:rPr>
        <w:t>-</w:t>
      </w:r>
      <w:r w:rsidR="005036C3">
        <w:rPr>
          <w:rFonts w:ascii="Times New Roman" w:hAnsi="Times New Roman" w:cs="Times New Roman"/>
        </w:rPr>
        <w:t>634</w:t>
      </w:r>
      <w:r w:rsidRPr="007F2569">
        <w:rPr>
          <w:rFonts w:ascii="Times New Roman" w:hAnsi="Times New Roman" w:cs="Times New Roman"/>
        </w:rPr>
        <w:t xml:space="preserve"> (Nov. 25, </w:t>
      </w:r>
      <w:r w:rsidRPr="00DF7E26">
        <w:rPr>
          <w:rFonts w:ascii="Times New Roman" w:hAnsi="Times New Roman" w:cs="Times New Roman"/>
        </w:rPr>
        <w:t xml:space="preserve">2020).  </w:t>
      </w:r>
    </w:p>
  </w:footnote>
  <w:footnote w:id="6">
    <w:p w:rsidR="00DF7E26" w:rsidRPr="00DF7E26" w14:paraId="283518BE" w14:textId="09885251">
      <w:pPr>
        <w:pStyle w:val="FootnoteText"/>
      </w:pPr>
      <w:r w:rsidRPr="008453B3">
        <w:rPr>
          <w:rStyle w:val="FootnoteReference"/>
          <w:rFonts w:ascii="Times New Roman" w:hAnsi="Times New Roman" w:cs="Times New Roman"/>
        </w:rPr>
        <w:footnoteRef/>
      </w:r>
      <w:r w:rsidRPr="008453B3">
        <w:rPr>
          <w:rFonts w:ascii="Times New Roman" w:hAnsi="Times New Roman" w:cs="Times New Roman"/>
        </w:rPr>
        <w:t xml:space="preserve"> </w:t>
      </w:r>
      <w:r w:rsidRPr="008453B3">
        <w:rPr>
          <w:rFonts w:ascii="Times New Roman" w:hAnsi="Times New Roman" w:cs="Times New Roman"/>
          <w:i/>
        </w:rPr>
        <w:t>See id.</w:t>
      </w:r>
    </w:p>
  </w:footnote>
  <w:footnote w:id="7">
    <w:p w:rsidR="00AC5C9A" w14:paraId="05C583E9" w14:textId="0CA2EB64">
      <w:pPr>
        <w:pStyle w:val="FootnoteText"/>
      </w:pPr>
      <w:r>
        <w:rPr>
          <w:rStyle w:val="FootnoteReference"/>
        </w:rPr>
        <w:footnoteRef/>
      </w:r>
      <w:r>
        <w:t xml:space="preserve"> </w:t>
      </w:r>
      <w:r w:rsidRPr="008453B3">
        <w:rPr>
          <w:rFonts w:ascii="Times New Roman" w:hAnsi="Times New Roman" w:cs="Times New Roman"/>
        </w:rPr>
        <w:t>CFTC Letter 22-06.</w:t>
      </w:r>
    </w:p>
  </w:footnote>
  <w:footnote w:id="8">
    <w:p w:rsidR="00512BBE" w14:paraId="6ADFFF20" w14:textId="77777777">
      <w:pPr>
        <w:pStyle w:val="FootnoteText"/>
      </w:pPr>
      <w:r w:rsidRPr="00512BBE">
        <w:rPr>
          <w:rStyle w:val="FootnoteReference"/>
          <w:rFonts w:ascii="Times New Roman" w:hAnsi="Times New Roman" w:cs="Times New Roman"/>
        </w:rPr>
        <w:footnoteRef/>
      </w:r>
      <w:r w:rsidRPr="00512BBE">
        <w:rPr>
          <w:rFonts w:ascii="Times New Roman" w:hAnsi="Times New Roman" w:cs="Times New Roman"/>
        </w:rPr>
        <w:t xml:space="preserve"> </w:t>
      </w:r>
      <w:r w:rsidRPr="00512BBE">
        <w:rPr>
          <w:rFonts w:ascii="Times New Roman" w:hAnsi="Times New Roman" w:cs="Times New Roman"/>
          <w:i/>
        </w:rPr>
        <w:t>See</w:t>
      </w:r>
      <w:r w:rsidRPr="00512BBE">
        <w:rPr>
          <w:rFonts w:ascii="Times New Roman" w:hAnsi="Times New Roman" w:cs="Times New Roman"/>
        </w:rPr>
        <w:t xml:space="preserve"> Provisions Common to Registered Entities, 75 F</w:t>
      </w:r>
      <w:r>
        <w:rPr>
          <w:rFonts w:ascii="Times New Roman" w:hAnsi="Times New Roman" w:cs="Times New Roman"/>
        </w:rPr>
        <w:t xml:space="preserve">ed. </w:t>
      </w:r>
      <w:r w:rsidRPr="00512BBE">
        <w:rPr>
          <w:rFonts w:ascii="Times New Roman" w:hAnsi="Times New Roman" w:cs="Times New Roman"/>
        </w:rPr>
        <w:t>R</w:t>
      </w:r>
      <w:r>
        <w:rPr>
          <w:rFonts w:ascii="Times New Roman" w:hAnsi="Times New Roman" w:cs="Times New Roman"/>
        </w:rPr>
        <w:t>eg.</w:t>
      </w:r>
      <w:r w:rsidRPr="00512BBE">
        <w:rPr>
          <w:rFonts w:ascii="Times New Roman" w:hAnsi="Times New Roman" w:cs="Times New Roman"/>
        </w:rPr>
        <w:t xml:space="preserve"> 67282</w:t>
      </w:r>
      <w:r>
        <w:rPr>
          <w:rFonts w:ascii="Times New Roman" w:hAnsi="Times New Roman" w:cs="Times New Roman"/>
        </w:rPr>
        <w:t>, 67289</w:t>
      </w:r>
      <w:r w:rsidRPr="00512BBE">
        <w:rPr>
          <w:rFonts w:ascii="Times New Roman" w:hAnsi="Times New Roman" w:cs="Times New Roman"/>
        </w:rPr>
        <w:t xml:space="preserve"> (November 2, 2010); </w:t>
      </w:r>
      <w:r w:rsidRPr="00512BBE">
        <w:rPr>
          <w:rFonts w:ascii="Times New Roman" w:hAnsi="Times New Roman" w:cs="Times New Roman"/>
          <w:i/>
        </w:rPr>
        <w:t>see also</w:t>
      </w:r>
      <w:r w:rsidRPr="00512BBE">
        <w:rPr>
          <w:rFonts w:ascii="Times New Roman" w:hAnsi="Times New Roman" w:cs="Times New Roman"/>
        </w:rPr>
        <w:t xml:space="preserve"> 47 F</w:t>
      </w:r>
      <w:r>
        <w:rPr>
          <w:rFonts w:ascii="Times New Roman" w:hAnsi="Times New Roman" w:cs="Times New Roman"/>
        </w:rPr>
        <w:t xml:space="preserve">ed. </w:t>
      </w:r>
      <w:r w:rsidRPr="00512BBE">
        <w:rPr>
          <w:rFonts w:ascii="Times New Roman" w:hAnsi="Times New Roman" w:cs="Times New Roman"/>
        </w:rPr>
        <w:t>R</w:t>
      </w:r>
      <w:r>
        <w:rPr>
          <w:rFonts w:ascii="Times New Roman" w:hAnsi="Times New Roman" w:cs="Times New Roman"/>
        </w:rPr>
        <w:t>eg.</w:t>
      </w:r>
      <w:r w:rsidRPr="00512BBE">
        <w:rPr>
          <w:rFonts w:ascii="Times New Roman" w:hAnsi="Times New Roman" w:cs="Times New Roman"/>
        </w:rPr>
        <w:t xml:space="preserve"> 18618, 18619 (April 30, 1982) and 66 F</w:t>
      </w:r>
      <w:r>
        <w:rPr>
          <w:rFonts w:ascii="Times New Roman" w:hAnsi="Times New Roman" w:cs="Times New Roman"/>
        </w:rPr>
        <w:t xml:space="preserve">ed. </w:t>
      </w:r>
      <w:r w:rsidRPr="00512BBE">
        <w:rPr>
          <w:rFonts w:ascii="Times New Roman" w:hAnsi="Times New Roman" w:cs="Times New Roman"/>
        </w:rPr>
        <w:t>R</w:t>
      </w:r>
      <w:r>
        <w:rPr>
          <w:rFonts w:ascii="Times New Roman" w:hAnsi="Times New Roman" w:cs="Times New Roman"/>
        </w:rPr>
        <w:t>eg.</w:t>
      </w:r>
      <w:r w:rsidRPr="00512BBE">
        <w:rPr>
          <w:rFonts w:ascii="Times New Roman" w:hAnsi="Times New Roman" w:cs="Times New Roman"/>
        </w:rPr>
        <w:t xml:space="preserve"> 45604, 45609 (August 29, 2001).</w:t>
      </w:r>
    </w:p>
  </w:footnote>
  <w:footnote w:id="9">
    <w:p w:rsidR="00EF5859" w:rsidRPr="00B72E39" w:rsidP="00D50C84" w14:paraId="2E4B6DA1" w14:textId="77777777">
      <w:pPr>
        <w:pStyle w:val="FootnoteText"/>
        <w:rPr>
          <w:rFonts w:ascii="Times New Roman" w:hAnsi="Times New Roman"/>
        </w:rPr>
      </w:pPr>
      <w:r w:rsidRPr="00B72E39">
        <w:rPr>
          <w:rStyle w:val="FootnoteReference"/>
          <w:rFonts w:ascii="Times New Roman" w:hAnsi="Times New Roman"/>
        </w:rPr>
        <w:footnoteRef/>
      </w:r>
      <w:r w:rsidRPr="00B72E39">
        <w:rPr>
          <w:rFonts w:ascii="Times New Roman" w:hAnsi="Times New Roman"/>
        </w:rPr>
        <w:t xml:space="preserve"> </w:t>
      </w:r>
      <w:r w:rsidRPr="00857BC9">
        <w:rPr>
          <w:rFonts w:ascii="Times New Roman" w:hAnsi="Times New Roman"/>
          <w:i/>
        </w:rPr>
        <w:t>See</w:t>
      </w:r>
      <w:r w:rsidRPr="00B72E39">
        <w:rPr>
          <w:rFonts w:ascii="Times New Roman" w:hAnsi="Times New Roman"/>
          <w:i/>
          <w:iCs/>
        </w:rPr>
        <w:t xml:space="preserve"> </w:t>
      </w:r>
      <w:r w:rsidRPr="00B72E39">
        <w:rPr>
          <w:rFonts w:ascii="Times New Roman" w:hAnsi="Times New Roman"/>
        </w:rPr>
        <w:t>Registration of Swap Dealers and Major Swap Participants, 77 F</w:t>
      </w:r>
      <w:r w:rsidR="007134A5">
        <w:rPr>
          <w:rFonts w:ascii="Times New Roman" w:hAnsi="Times New Roman"/>
        </w:rPr>
        <w:t>ed. Reg.</w:t>
      </w:r>
      <w:r w:rsidRPr="00B72E39">
        <w:rPr>
          <w:rFonts w:ascii="Times New Roman" w:hAnsi="Times New Roman"/>
        </w:rPr>
        <w:t xml:space="preserve"> 2613, 2620 (Jan. 19, 2012)</w:t>
      </w:r>
      <w:r w:rsidR="007134A5">
        <w:rPr>
          <w:rFonts w:ascii="Times New Roman" w:hAnsi="Times New Roman"/>
        </w:rPr>
        <w:t>,</w:t>
      </w:r>
      <w:r w:rsidRPr="00B72E39">
        <w:rPr>
          <w:rFonts w:ascii="Times New Roman" w:hAnsi="Times New Roman"/>
        </w:rPr>
        <w:t xml:space="preserve"> and 75 F</w:t>
      </w:r>
      <w:r w:rsidR="007134A5">
        <w:rPr>
          <w:rFonts w:ascii="Times New Roman" w:hAnsi="Times New Roman"/>
        </w:rPr>
        <w:t>ed. Reg.</w:t>
      </w:r>
      <w:r w:rsidRPr="00B72E39">
        <w:rPr>
          <w:rFonts w:ascii="Times New Roman" w:hAnsi="Times New Roman"/>
        </w:rPr>
        <w:t xml:space="preserve"> 71379, 71385</w:t>
      </w:r>
      <w:r w:rsidR="007134A5">
        <w:rPr>
          <w:rFonts w:ascii="Times New Roman" w:hAnsi="Times New Roman"/>
        </w:rPr>
        <w:t xml:space="preserve"> </w:t>
      </w:r>
      <w:r w:rsidRPr="00B72E39">
        <w:rPr>
          <w:rFonts w:ascii="Times New Roman" w:hAnsi="Times New Roman"/>
        </w:rPr>
        <w:t>(Nov. 23, 2010) (swap deale</w:t>
      </w:r>
      <w:r>
        <w:rPr>
          <w:rFonts w:ascii="Times New Roman" w:hAnsi="Times New Roman"/>
        </w:rPr>
        <w:t>rs and major swap participants).</w:t>
      </w:r>
    </w:p>
  </w:footnote>
  <w:footnote w:id="10">
    <w:p w:rsidR="00575EB1" w14:paraId="1EB98ED5" w14:textId="32D2A054">
      <w:pPr>
        <w:pStyle w:val="FootnoteText"/>
      </w:pPr>
      <w:r>
        <w:rPr>
          <w:rStyle w:val="FootnoteReference"/>
        </w:rPr>
        <w:footnoteRef/>
      </w:r>
      <w:r>
        <w:t xml:space="preserve"> </w:t>
      </w:r>
      <w:r w:rsidRPr="007F2569" w:rsidR="002C5B13">
        <w:rPr>
          <w:rFonts w:ascii="Times New Roman" w:hAnsi="Times New Roman" w:cs="Times New Roman"/>
          <w:i/>
        </w:rPr>
        <w:t>See</w:t>
      </w:r>
      <w:r w:rsidRPr="007F2569" w:rsidR="002C5B13">
        <w:rPr>
          <w:rFonts w:ascii="Times New Roman" w:hAnsi="Times New Roman" w:cs="Times New Roman"/>
        </w:rPr>
        <w:t xml:space="preserve"> 85 FR </w:t>
      </w:r>
      <w:r w:rsidR="00136150">
        <w:rPr>
          <w:rFonts w:ascii="Times New Roman" w:hAnsi="Times New Roman" w:cs="Times New Roman"/>
        </w:rPr>
        <w:t>at</w:t>
      </w:r>
      <w:r w:rsidRPr="007F2569" w:rsidR="002C5B13">
        <w:rPr>
          <w:rFonts w:ascii="Times New Roman" w:hAnsi="Times New Roman" w:cs="Times New Roman"/>
        </w:rPr>
        <w:t xml:space="preserve"> 75633</w:t>
      </w:r>
      <w:r w:rsidR="004863FF">
        <w:rPr>
          <w:rFonts w:ascii="Times New Roman" w:hAnsi="Times New Roman" w:cs="Times New Roman"/>
        </w:rPr>
        <w:t>-634</w:t>
      </w:r>
      <w:r w:rsidRPr="007F2569" w:rsidR="002C5B13">
        <w:rPr>
          <w:rFonts w:ascii="Times New Roman" w:hAnsi="Times New Roman" w:cs="Times New Roman"/>
        </w:rPr>
        <w:t xml:space="preserve">.  </w:t>
      </w:r>
    </w:p>
  </w:footnote>
  <w:footnote w:id="11">
    <w:p w:rsidR="00575EB1" w14:paraId="4FA956F2" w14:textId="77777777">
      <w:pPr>
        <w:pStyle w:val="FootnoteText"/>
      </w:pPr>
      <w:r>
        <w:rPr>
          <w:rStyle w:val="FootnoteReference"/>
        </w:rPr>
        <w:footnoteRef/>
      </w:r>
      <w:r>
        <w:t xml:space="preserve"> </w:t>
      </w:r>
      <w:r w:rsidRPr="008453B3" w:rsidR="002C5B13">
        <w:rPr>
          <w:rFonts w:ascii="Times New Roman" w:hAnsi="Times New Roman" w:cs="Times New Roman"/>
        </w:rPr>
        <w:t>Notice of Proposed Rulemaking, C</w:t>
      </w:r>
      <w:r w:rsidRPr="002C5B13" w:rsidR="002C5B13">
        <w:rPr>
          <w:rFonts w:ascii="Times New Roman" w:hAnsi="Times New Roman" w:cs="Times New Roman"/>
        </w:rPr>
        <w:t>ertain Swap Data Repository and Data Reporting Requirements, 84 FR 21044 (May 13, 2019).</w:t>
      </w:r>
    </w:p>
  </w:footnote>
  <w:footnote w:id="12">
    <w:p w:rsidR="00FB14F8" w:rsidRPr="007F2569" w:rsidP="00575EB1" w14:paraId="2E796C63" w14:textId="21B05040">
      <w:pPr>
        <w:pStyle w:val="FootnoteText"/>
        <w:rPr>
          <w:rFonts w:ascii="Times New Roman" w:hAnsi="Times New Roman" w:cs="Times New Roman"/>
        </w:rPr>
      </w:pPr>
      <w:r w:rsidRPr="007F2569">
        <w:rPr>
          <w:rStyle w:val="FootnoteReference"/>
          <w:rFonts w:ascii="Times New Roman" w:hAnsi="Times New Roman" w:cs="Times New Roman"/>
        </w:rPr>
        <w:footnoteRef/>
      </w:r>
      <w:r w:rsidRPr="007F2569">
        <w:rPr>
          <w:rFonts w:ascii="Times New Roman" w:hAnsi="Times New Roman" w:cs="Times New Roman"/>
        </w:rPr>
        <w:t xml:space="preserve"> </w:t>
      </w:r>
      <w:r w:rsidRPr="007F2569">
        <w:rPr>
          <w:rFonts w:ascii="Times New Roman" w:hAnsi="Times New Roman" w:cs="Times New Roman"/>
          <w:i/>
        </w:rPr>
        <w:t>See</w:t>
      </w:r>
      <w:r w:rsidRPr="007F2569">
        <w:rPr>
          <w:rFonts w:ascii="Times New Roman" w:hAnsi="Times New Roman" w:cs="Times New Roman"/>
        </w:rPr>
        <w:t xml:space="preserve"> 85 FR </w:t>
      </w:r>
      <w:r w:rsidR="002C5B13">
        <w:rPr>
          <w:rFonts w:ascii="Times New Roman" w:hAnsi="Times New Roman" w:cs="Times New Roman"/>
        </w:rPr>
        <w:t>at</w:t>
      </w:r>
      <w:r w:rsidRPr="007F2569">
        <w:rPr>
          <w:rFonts w:ascii="Times New Roman" w:hAnsi="Times New Roman" w:cs="Times New Roman"/>
        </w:rPr>
        <w:t xml:space="preserve"> 75633</w:t>
      </w:r>
      <w:r w:rsidR="004863FF">
        <w:rPr>
          <w:rFonts w:ascii="Times New Roman" w:hAnsi="Times New Roman" w:cs="Times New Roman"/>
        </w:rPr>
        <w:t>-634</w:t>
      </w:r>
      <w:r w:rsidRPr="007F2569">
        <w:rPr>
          <w:rFonts w:ascii="Times New Roman" w:hAnsi="Times New Roman" w:cs="Times New Roman"/>
        </w:rPr>
        <w:t xml:space="preserve"> (Nov. 25, 2020).  </w:t>
      </w:r>
    </w:p>
  </w:footnote>
  <w:footnote w:id="13">
    <w:p w:rsidR="00FB14F8" w:rsidRPr="007F2569" w14:paraId="033FF014" w14:textId="77777777">
      <w:pPr>
        <w:pStyle w:val="FootnoteText"/>
        <w:rPr>
          <w:rFonts w:ascii="Times New Roman" w:hAnsi="Times New Roman" w:cs="Times New Roman"/>
        </w:rPr>
      </w:pPr>
      <w:r w:rsidRPr="007F2569">
        <w:rPr>
          <w:rStyle w:val="FootnoteReference"/>
          <w:rFonts w:ascii="Times New Roman" w:hAnsi="Times New Roman" w:cs="Times New Roman"/>
        </w:rPr>
        <w:footnoteRef/>
      </w:r>
      <w:r w:rsidRPr="007F2569">
        <w:rPr>
          <w:rFonts w:ascii="Times New Roman" w:hAnsi="Times New Roman" w:cs="Times New Roman"/>
        </w:rPr>
        <w:t xml:space="preserve"> </w:t>
      </w:r>
      <w:r w:rsidRPr="007F2569">
        <w:rPr>
          <w:rFonts w:ascii="Times New Roman" w:hAnsi="Times New Roman" w:cs="Times New Roman"/>
          <w:i/>
        </w:rPr>
        <w:t xml:space="preserve">See </w:t>
      </w:r>
      <w:r w:rsidRPr="007F2569">
        <w:rPr>
          <w:rFonts w:ascii="Times New Roman" w:hAnsi="Times New Roman" w:cs="Times New Roman"/>
        </w:rPr>
        <w:t xml:space="preserve">85 FR </w:t>
      </w:r>
      <w:r>
        <w:rPr>
          <w:rFonts w:ascii="Times New Roman" w:hAnsi="Times New Roman" w:cs="Times New Roman"/>
        </w:rPr>
        <w:t>at</w:t>
      </w:r>
      <w:r w:rsidRPr="007F2569">
        <w:rPr>
          <w:rFonts w:ascii="Times New Roman" w:hAnsi="Times New Roman" w:cs="Times New Roman"/>
        </w:rPr>
        <w:t xml:space="preserve"> 75628-629</w:t>
      </w:r>
      <w:r>
        <w:rPr>
          <w:rFonts w:ascii="Times New Roman" w:hAnsi="Times New Roman" w:cs="Times New Roman"/>
        </w:rPr>
        <w:t>.</w:t>
      </w:r>
    </w:p>
  </w:footnote>
  <w:footnote w:id="14">
    <w:p w:rsidR="00496A3D" w:rsidRPr="00496A3D" w14:paraId="46E9E823" w14:textId="77777777">
      <w:pPr>
        <w:pStyle w:val="FootnoteText"/>
      </w:pPr>
      <w:r w:rsidRPr="00496A3D">
        <w:rPr>
          <w:rStyle w:val="FootnoteReference"/>
          <w:rFonts w:ascii="Times New Roman" w:hAnsi="Times New Roman" w:cs="Times New Roman"/>
        </w:rPr>
        <w:footnoteRef/>
      </w:r>
      <w:r w:rsidRPr="00496A3D">
        <w:t xml:space="preserve"> </w:t>
      </w:r>
      <w:r w:rsidRPr="00496A3D">
        <w:rPr>
          <w:rFonts w:ascii="Times New Roman" w:eastAsia="Times New Roman" w:hAnsi="Times New Roman" w:cs="Times New Roman"/>
          <w:i/>
        </w:rPr>
        <w:t xml:space="preserve">See </w:t>
      </w:r>
      <w:r w:rsidRPr="00496A3D">
        <w:rPr>
          <w:rFonts w:ascii="Times New Roman" w:eastAsia="Times New Roman" w:hAnsi="Times New Roman" w:cs="Times New Roman"/>
        </w:rPr>
        <w:t>85 Fed. Reg. 75601, 75632.</w:t>
      </w:r>
    </w:p>
  </w:footnote>
  <w:footnote w:id="15">
    <w:p w:rsidR="00BA75F4" w14:paraId="167B5B64" w14:textId="77777777">
      <w:pPr>
        <w:pStyle w:val="FootnoteText"/>
      </w:pPr>
      <w:r w:rsidRPr="00F94425">
        <w:rPr>
          <w:rStyle w:val="FootnoteReference"/>
          <w:rFonts w:ascii="Times New Roman" w:hAnsi="Times New Roman" w:cs="Times New Roman"/>
        </w:rPr>
        <w:footnoteRef/>
      </w:r>
      <w:r w:rsidRPr="00F94425">
        <w:rPr>
          <w:rFonts w:ascii="Times New Roman" w:hAnsi="Times New Roman" w:cs="Times New Roman"/>
        </w:rPr>
        <w:t xml:space="preserve"> BLS Occupational Employment and Wages Report</w:t>
      </w:r>
      <w:r w:rsidR="00AE0858">
        <w:rPr>
          <w:rFonts w:ascii="Times New Roman" w:hAnsi="Times New Roman" w:cs="Times New Roman"/>
        </w:rPr>
        <w:t xml:space="preserve">, </w:t>
      </w:r>
      <w:hyperlink r:id="rId1" w:history="1">
        <w:r w:rsidRPr="00F94425" w:rsidR="00AE0858">
          <w:rPr>
            <w:rStyle w:val="Hyperlink"/>
            <w:rFonts w:ascii="Times New Roman" w:hAnsi="Times New Roman" w:cs="Times New Roman"/>
          </w:rPr>
          <w:t>https://www.bls.gov/oes/current/naics4_523000.htm</w:t>
        </w:r>
      </w:hyperlink>
      <w:r w:rsidR="00AE0858">
        <w:rPr>
          <w:rFonts w:ascii="Times New Roman" w:hAnsi="Times New Roman" w:cs="Times New Roman"/>
        </w:rPr>
        <w:t xml:space="preserve"> (last visited </w:t>
      </w:r>
      <w:r w:rsidR="00210C72">
        <w:rPr>
          <w:rFonts w:ascii="Times New Roman" w:hAnsi="Times New Roman" w:cs="Times New Roman"/>
        </w:rPr>
        <w:t>M</w:t>
      </w:r>
      <w:r w:rsidR="00AE0858">
        <w:rPr>
          <w:rFonts w:ascii="Times New Roman" w:hAnsi="Times New Roman" w:cs="Times New Roman"/>
        </w:rPr>
        <w:t>ay 4, 2022)</w:t>
      </w:r>
      <w:r w:rsidRPr="00F94425">
        <w:rPr>
          <w:rFonts w:ascii="Times New Roman" w:hAnsi="Times New Roman" w:cs="Times New Roman"/>
        </w:rPr>
        <w:t>.</w:t>
      </w:r>
    </w:p>
  </w:footnote>
  <w:footnote w:id="16">
    <w:p w:rsidR="00EF5859" w:rsidRPr="00F94425" w14:paraId="156DB930" w14:textId="77777777">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Final Rule, Certain Swap Data Repository and Data Reporting Requirements, 85 Fed. Reg. 75601, 75633 (Nov. 25, 2020).</w:t>
      </w:r>
    </w:p>
  </w:footnote>
  <w:footnote w:id="17">
    <w:p w:rsidR="00EF5859" w:rsidRPr="00F94425" w14:paraId="2D662035" w14:textId="77777777">
      <w:pPr>
        <w:pStyle w:val="FootnoteText"/>
        <w:rPr>
          <w:i/>
        </w:rPr>
      </w:pPr>
      <w:r w:rsidRPr="00F94425">
        <w:rPr>
          <w:rStyle w:val="FootnoteReference"/>
          <w:rFonts w:ascii="Times New Roman" w:hAnsi="Times New Roman" w:cs="Times New Roman"/>
        </w:rPr>
        <w:footnoteRef/>
      </w:r>
      <w:r w:rsidRPr="00F94425">
        <w:rPr>
          <w:rFonts w:ascii="Times New Roman" w:hAnsi="Times New Roman" w:cs="Times New Roman"/>
        </w:rPr>
        <w:t xml:space="preserve"> </w:t>
      </w:r>
      <w:r w:rsidRPr="00F94425">
        <w:rPr>
          <w:rFonts w:ascii="Times New Roman" w:hAnsi="Times New Roman" w:cs="Times New Roman"/>
          <w:i/>
        </w:rPr>
        <w:t>Id.</w:t>
      </w:r>
    </w:p>
  </w:footnote>
  <w:footnote w:id="18">
    <w:p w:rsidR="00BD38B4" w:rsidRPr="00F94425" w14:paraId="41EE6CD1" w14:textId="77777777">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w:t>
      </w:r>
      <w:r w:rsidRPr="00F94425">
        <w:rPr>
          <w:rFonts w:ascii="Times New Roman" w:hAnsi="Times New Roman" w:cs="Times New Roman"/>
          <w:i/>
        </w:rPr>
        <w:t>See id.</w:t>
      </w:r>
    </w:p>
  </w:footnote>
  <w:footnote w:id="19">
    <w:p w:rsidR="007134A5" w14:paraId="72D1666A" w14:textId="77777777">
      <w:pPr>
        <w:pStyle w:val="FootnoteText"/>
      </w:pPr>
      <w:r w:rsidRPr="00F94425">
        <w:rPr>
          <w:rStyle w:val="FootnoteReference"/>
          <w:rFonts w:ascii="Times New Roman" w:hAnsi="Times New Roman" w:cs="Times New Roman"/>
        </w:rPr>
        <w:footnoteRef/>
      </w:r>
      <w:r w:rsidRPr="00F94425">
        <w:rPr>
          <w:rFonts w:ascii="Times New Roman" w:hAnsi="Times New Roman" w:cs="Times New Roman"/>
        </w:rPr>
        <w:t xml:space="preserve"> </w:t>
      </w:r>
      <w:r>
        <w:rPr>
          <w:rFonts w:ascii="Times New Roman" w:hAnsi="Times New Roman" w:cs="Times New Roman"/>
        </w:rPr>
        <w:t xml:space="preserve">85 Fed. Reg. at </w:t>
      </w:r>
      <w:r w:rsidRPr="00F94425">
        <w:rPr>
          <w:rFonts w:ascii="Times New Roman" w:hAnsi="Times New Roman" w:cs="Times New Roman"/>
        </w:rPr>
        <w:t>75651 (“The costs related to final § 43.3(e)(1) are similar to the costs to correct errors under final § 45.14(a)(1), as the final rules to each section are intended to be consistent.”).</w:t>
      </w:r>
    </w:p>
  </w:footnote>
  <w:footnote w:id="20">
    <w:p w:rsidR="009711A4" w:rsidRPr="00E816F4" w:rsidP="009711A4" w14:paraId="01838675" w14:textId="422F63B2">
      <w:pPr>
        <w:pStyle w:val="FootnoteText"/>
        <w:rPr>
          <w:rFonts w:ascii="Times New Roman" w:hAnsi="Times New Roman" w:cs="Times New Roman"/>
        </w:rPr>
      </w:pPr>
      <w:r>
        <w:rPr>
          <w:rStyle w:val="FootnoteReference"/>
        </w:rPr>
        <w:footnoteRef/>
      </w:r>
      <w:r>
        <w:t xml:space="preserve"> </w:t>
      </w:r>
      <w:r w:rsidRPr="007F2569">
        <w:rPr>
          <w:rFonts w:ascii="Times New Roman" w:hAnsi="Times New Roman" w:cs="Times New Roman"/>
          <w:i/>
        </w:rPr>
        <w:t>See</w:t>
      </w:r>
      <w:r w:rsidRPr="007F2569">
        <w:rPr>
          <w:rFonts w:ascii="Times New Roman" w:hAnsi="Times New Roman" w:cs="Times New Roman"/>
        </w:rPr>
        <w:t xml:space="preserve"> 85 FR 75601, 75633</w:t>
      </w:r>
      <w:r w:rsidR="004863FF">
        <w:rPr>
          <w:rFonts w:ascii="Times New Roman" w:hAnsi="Times New Roman" w:cs="Times New Roman"/>
        </w:rPr>
        <w:t>-634</w:t>
      </w:r>
      <w:r w:rsidRPr="007F2569">
        <w:rPr>
          <w:rFonts w:ascii="Times New Roman" w:hAnsi="Times New Roman" w:cs="Times New Roman"/>
        </w:rPr>
        <w:t xml:space="preserve"> (Nov. 25, </w:t>
      </w:r>
      <w:r w:rsidRPr="00DF7E26">
        <w:rPr>
          <w:rFonts w:ascii="Times New Roman" w:hAnsi="Times New Roman" w:cs="Times New Roman"/>
        </w:rPr>
        <w:t xml:space="preserve">2020).  </w:t>
      </w:r>
    </w:p>
  </w:footnote>
  <w:footnote w:id="21">
    <w:p w:rsidR="00EF5859" w:rsidRPr="00F94425" w:rsidP="00D50C84" w14:paraId="6652DE33" w14:textId="77777777">
      <w:pPr>
        <w:pStyle w:val="FootnoteText"/>
        <w:rPr>
          <w:rFonts w:ascii="Times New Roman" w:hAnsi="Times New Roman" w:cs="Times New Roman"/>
        </w:rPr>
      </w:pPr>
      <w:r w:rsidRPr="00F94425">
        <w:rPr>
          <w:rStyle w:val="FootnoteReference"/>
          <w:rFonts w:ascii="Times New Roman" w:hAnsi="Times New Roman" w:cs="Times New Roman"/>
        </w:rPr>
        <w:footnoteRef/>
      </w:r>
      <w:r w:rsidRPr="00F94425">
        <w:rPr>
          <w:rFonts w:ascii="Times New Roman" w:hAnsi="Times New Roman" w:cs="Times New Roman"/>
        </w:rPr>
        <w:t xml:space="preserve"> Numbers in the table are subject to rounding.</w:t>
      </w:r>
    </w:p>
  </w:footnote>
  <w:footnote w:id="22">
    <w:p w:rsidR="00EF5859" w:rsidRPr="00FE503D" w:rsidP="00665298" w14:paraId="142347BC" w14:textId="77777777">
      <w:pPr>
        <w:pStyle w:val="FootnoteText"/>
        <w:rPr>
          <w:sz w:val="16"/>
          <w:szCs w:val="16"/>
        </w:rPr>
      </w:pPr>
      <w:r w:rsidRPr="00F94425">
        <w:rPr>
          <w:rStyle w:val="FootnoteReference"/>
          <w:rFonts w:ascii="Times New Roman" w:hAnsi="Times New Roman" w:cs="Times New Roman"/>
        </w:rPr>
        <w:footnoteRef/>
      </w:r>
      <w:r w:rsidRPr="00F94425">
        <w:rPr>
          <w:rFonts w:ascii="Times New Roman" w:hAnsi="Times New Roman" w:cs="Times New Roman"/>
        </w:rPr>
        <w:t xml:space="preserve"> As described above in the answer to question 13, the Commission calculated the average wage rate </w:t>
      </w:r>
      <w:r w:rsidR="00A278ED">
        <w:rPr>
          <w:rFonts w:ascii="Times New Roman" w:hAnsi="Times New Roman" w:cs="Times New Roman"/>
        </w:rPr>
        <w:t>as $81.70</w:t>
      </w:r>
      <w:r w:rsidRPr="00F9442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C72" w14:paraId="76A98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C72" w14:paraId="0992D4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C72" w14:paraId="051C672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84"/>
    <w:rsid w:val="000B2A4C"/>
    <w:rsid w:val="000F0D16"/>
    <w:rsid w:val="00136150"/>
    <w:rsid w:val="001B1CEE"/>
    <w:rsid w:val="001B69C4"/>
    <w:rsid w:val="001D005D"/>
    <w:rsid w:val="001F08DE"/>
    <w:rsid w:val="002028A7"/>
    <w:rsid w:val="00206CAF"/>
    <w:rsid w:val="00210C72"/>
    <w:rsid w:val="00265027"/>
    <w:rsid w:val="002740D4"/>
    <w:rsid w:val="00287B6B"/>
    <w:rsid w:val="002926DE"/>
    <w:rsid w:val="002B0DBD"/>
    <w:rsid w:val="002C5B13"/>
    <w:rsid w:val="003022B1"/>
    <w:rsid w:val="003657A1"/>
    <w:rsid w:val="003C0E1E"/>
    <w:rsid w:val="003D2C0B"/>
    <w:rsid w:val="00406298"/>
    <w:rsid w:val="004863FF"/>
    <w:rsid w:val="00496A3D"/>
    <w:rsid w:val="004C20BB"/>
    <w:rsid w:val="005036C3"/>
    <w:rsid w:val="00512BBE"/>
    <w:rsid w:val="00525D05"/>
    <w:rsid w:val="00554D3A"/>
    <w:rsid w:val="00575EB1"/>
    <w:rsid w:val="00592649"/>
    <w:rsid w:val="005E6847"/>
    <w:rsid w:val="005F1691"/>
    <w:rsid w:val="006009B3"/>
    <w:rsid w:val="00636DB9"/>
    <w:rsid w:val="006427D3"/>
    <w:rsid w:val="00661B7C"/>
    <w:rsid w:val="00665298"/>
    <w:rsid w:val="00691A03"/>
    <w:rsid w:val="006A757A"/>
    <w:rsid w:val="007134A5"/>
    <w:rsid w:val="00717CC5"/>
    <w:rsid w:val="007B33BC"/>
    <w:rsid w:val="007F2569"/>
    <w:rsid w:val="007F46C2"/>
    <w:rsid w:val="008453B3"/>
    <w:rsid w:val="00857BC9"/>
    <w:rsid w:val="0086136A"/>
    <w:rsid w:val="008F6D4A"/>
    <w:rsid w:val="00901242"/>
    <w:rsid w:val="00906281"/>
    <w:rsid w:val="00930DB5"/>
    <w:rsid w:val="009711A4"/>
    <w:rsid w:val="0097684F"/>
    <w:rsid w:val="009B32D2"/>
    <w:rsid w:val="00A22026"/>
    <w:rsid w:val="00A278ED"/>
    <w:rsid w:val="00A403A8"/>
    <w:rsid w:val="00AA0AD0"/>
    <w:rsid w:val="00AC4C2E"/>
    <w:rsid w:val="00AC5C9A"/>
    <w:rsid w:val="00AD7058"/>
    <w:rsid w:val="00AE0858"/>
    <w:rsid w:val="00AF6F04"/>
    <w:rsid w:val="00B4433B"/>
    <w:rsid w:val="00B60507"/>
    <w:rsid w:val="00B72BB7"/>
    <w:rsid w:val="00B72E39"/>
    <w:rsid w:val="00BA3302"/>
    <w:rsid w:val="00BA75F4"/>
    <w:rsid w:val="00BB3508"/>
    <w:rsid w:val="00BD38B4"/>
    <w:rsid w:val="00C44571"/>
    <w:rsid w:val="00CA67D9"/>
    <w:rsid w:val="00CC117E"/>
    <w:rsid w:val="00CD26A8"/>
    <w:rsid w:val="00D07ED5"/>
    <w:rsid w:val="00D25761"/>
    <w:rsid w:val="00D446C9"/>
    <w:rsid w:val="00D50C84"/>
    <w:rsid w:val="00D6108B"/>
    <w:rsid w:val="00D7577B"/>
    <w:rsid w:val="00DF789D"/>
    <w:rsid w:val="00DF7E26"/>
    <w:rsid w:val="00E07AEB"/>
    <w:rsid w:val="00E21E52"/>
    <w:rsid w:val="00E37320"/>
    <w:rsid w:val="00E44993"/>
    <w:rsid w:val="00E51F59"/>
    <w:rsid w:val="00E6296E"/>
    <w:rsid w:val="00E636BA"/>
    <w:rsid w:val="00E67325"/>
    <w:rsid w:val="00E816F4"/>
    <w:rsid w:val="00ED3473"/>
    <w:rsid w:val="00EF5859"/>
    <w:rsid w:val="00F94425"/>
    <w:rsid w:val="00FA0330"/>
    <w:rsid w:val="00FB14F8"/>
    <w:rsid w:val="00FD016B"/>
    <w:rsid w:val="00FD12B7"/>
    <w:rsid w:val="00FD2E7D"/>
    <w:rsid w:val="00FE503D"/>
    <w:rsid w:val="00FF6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EFEDF7"/>
  <w15:chartTrackingRefBased/>
  <w15:docId w15:val="{3ACB6242-A4E6-4EC0-89D0-F86D1B22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C84"/>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0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C84"/>
    <w:rPr>
      <w:rFonts w:asciiTheme="minorHAnsi" w:hAnsiTheme="minorHAnsi" w:cstheme="minorBidi"/>
      <w:sz w:val="20"/>
      <w:szCs w:val="20"/>
    </w:rPr>
  </w:style>
  <w:style w:type="character" w:styleId="FootnoteReference">
    <w:name w:val="footnote reference"/>
    <w:aliases w:val="Style 16,Style 19,Style 35,fr"/>
    <w:uiPriority w:val="99"/>
    <w:rsid w:val="00D50C84"/>
    <w:rPr>
      <w:vertAlign w:val="superscript"/>
    </w:rPr>
  </w:style>
  <w:style w:type="table" w:styleId="TableGrid">
    <w:name w:val="Table Grid"/>
    <w:basedOn w:val="TableNormal"/>
    <w:uiPriority w:val="59"/>
    <w:rsid w:val="00D50C8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858"/>
    <w:rPr>
      <w:color w:val="0563C1" w:themeColor="hyperlink"/>
      <w:u w:val="single"/>
    </w:rPr>
  </w:style>
  <w:style w:type="character" w:styleId="UnresolvedMention">
    <w:name w:val="Unresolved Mention"/>
    <w:basedOn w:val="DefaultParagraphFont"/>
    <w:uiPriority w:val="99"/>
    <w:semiHidden/>
    <w:unhideWhenUsed/>
    <w:rsid w:val="00AE0858"/>
    <w:rPr>
      <w:color w:val="605E5C"/>
      <w:shd w:val="clear" w:color="auto" w:fill="E1DFDD"/>
    </w:rPr>
  </w:style>
  <w:style w:type="paragraph" w:styleId="BalloonText">
    <w:name w:val="Balloon Text"/>
    <w:basedOn w:val="Normal"/>
    <w:link w:val="BalloonTextChar"/>
    <w:uiPriority w:val="99"/>
    <w:semiHidden/>
    <w:unhideWhenUsed/>
    <w:rsid w:val="00AE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58"/>
    <w:rPr>
      <w:rFonts w:ascii="Segoe UI" w:hAnsi="Segoe UI" w:cs="Segoe UI"/>
      <w:sz w:val="18"/>
      <w:szCs w:val="18"/>
    </w:rPr>
  </w:style>
  <w:style w:type="character" w:styleId="FollowedHyperlink">
    <w:name w:val="FollowedHyperlink"/>
    <w:basedOn w:val="DefaultParagraphFont"/>
    <w:uiPriority w:val="99"/>
    <w:semiHidden/>
    <w:unhideWhenUsed/>
    <w:rsid w:val="00AE0858"/>
    <w:rPr>
      <w:color w:val="954F72" w:themeColor="followedHyperlink"/>
      <w:u w:val="single"/>
    </w:rPr>
  </w:style>
  <w:style w:type="paragraph" w:styleId="Header">
    <w:name w:val="header"/>
    <w:basedOn w:val="Normal"/>
    <w:link w:val="HeaderChar"/>
    <w:uiPriority w:val="99"/>
    <w:unhideWhenUsed/>
    <w:rsid w:val="00210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72"/>
    <w:rPr>
      <w:rFonts w:asciiTheme="minorHAnsi" w:hAnsiTheme="minorHAnsi" w:cstheme="minorBidi"/>
      <w:sz w:val="22"/>
      <w:szCs w:val="22"/>
    </w:rPr>
  </w:style>
  <w:style w:type="paragraph" w:styleId="Footer">
    <w:name w:val="footer"/>
    <w:basedOn w:val="Normal"/>
    <w:link w:val="FooterChar"/>
    <w:uiPriority w:val="99"/>
    <w:unhideWhenUsed/>
    <w:rsid w:val="00210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72"/>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C0E1E"/>
    <w:rPr>
      <w:sz w:val="16"/>
      <w:szCs w:val="16"/>
    </w:rPr>
  </w:style>
  <w:style w:type="paragraph" w:styleId="CommentText">
    <w:name w:val="annotation text"/>
    <w:basedOn w:val="Normal"/>
    <w:link w:val="CommentTextChar"/>
    <w:uiPriority w:val="99"/>
    <w:semiHidden/>
    <w:unhideWhenUsed/>
    <w:rsid w:val="003C0E1E"/>
    <w:pPr>
      <w:spacing w:line="240" w:lineRule="auto"/>
    </w:pPr>
    <w:rPr>
      <w:sz w:val="20"/>
      <w:szCs w:val="20"/>
    </w:rPr>
  </w:style>
  <w:style w:type="character" w:customStyle="1" w:styleId="CommentTextChar">
    <w:name w:val="Comment Text Char"/>
    <w:basedOn w:val="DefaultParagraphFont"/>
    <w:link w:val="CommentText"/>
    <w:uiPriority w:val="99"/>
    <w:semiHidden/>
    <w:rsid w:val="003C0E1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C0E1E"/>
    <w:rPr>
      <w:b/>
      <w:bCs/>
    </w:rPr>
  </w:style>
  <w:style w:type="character" w:customStyle="1" w:styleId="CommentSubjectChar">
    <w:name w:val="Comment Subject Char"/>
    <w:basedOn w:val="CommentTextChar"/>
    <w:link w:val="CommentSubject"/>
    <w:uiPriority w:val="99"/>
    <w:semiHidden/>
    <w:rsid w:val="003C0E1E"/>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523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A893BE73B8046BA106EE76CEF8E2F" ma:contentTypeVersion="4" ma:contentTypeDescription="Create a new document." ma:contentTypeScope="" ma:versionID="1378a004fc7a9ab8ef7be2d305a3651f">
  <xsd:schema xmlns:xsd="http://www.w3.org/2001/XMLSchema" xmlns:xs="http://www.w3.org/2001/XMLSchema" xmlns:p="http://schemas.microsoft.com/office/2006/metadata/properties" xmlns:ns2="2634f25d-fa15-42c4-9069-3177c7682510" targetNamespace="http://schemas.microsoft.com/office/2006/metadata/properties" ma:root="true" ma:fieldsID="bd2b05e39cc78297b7d319e94557b7cb" ns2:_="">
    <xsd:import namespace="2634f25d-fa15-42c4-9069-3177c76825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f25d-fa15-42c4-9069-3177c7682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2C9C-4D1B-4FA4-BACD-8BC4F68C5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f25d-fa15-42c4-9069-3177c7682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5C3EF-E4B3-4F55-B8E3-D506DED095F4}">
  <ds:schemaRefs>
    <ds:schemaRef ds:uri="http://schemas.microsoft.com/sharepoint/v3/contenttype/forms"/>
  </ds:schemaRefs>
</ds:datastoreItem>
</file>

<file path=customXml/itemProps3.xml><?xml version="1.0" encoding="utf-8"?>
<ds:datastoreItem xmlns:ds="http://schemas.openxmlformats.org/officeDocument/2006/customXml" ds:itemID="{ED8D520D-2AF1-4043-BC8D-07DCFF40C0AE}">
  <ds:schemaRefs>
    <ds:schemaRef ds:uri="2634f25d-fa15-42c4-9069-3177c768251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9044F64-6483-4291-BA47-128AC129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4182</Words>
  <Characters>23840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CFTC</dc:creator>
  <cp:lastModifiedBy>Wright, Kenny</cp:lastModifiedBy>
  <cp:revision>3</cp:revision>
  <dcterms:created xsi:type="dcterms:W3CDTF">2022-10-05T13:56:00Z</dcterms:created>
  <dcterms:modified xsi:type="dcterms:W3CDTF">2022-10-05T14:37:00Z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0x010100849A893BE73B8046BA106EE76CEF8E2F</vt:lpwstr>
  </property>
</Properties>
</file>