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4947" w:rsidR="00A72911" w:rsidP="004F448D" w:rsidRDefault="00F268A2" w14:paraId="64AE4CAF" w14:textId="77777777">
      <w:pPr>
        <w:rPr>
          <w:b/>
        </w:rPr>
      </w:pPr>
      <w:r w:rsidRPr="00B94947">
        <w:rPr>
          <w:b/>
        </w:rPr>
        <w:t>Federal Communications Commission</w:t>
      </w:r>
    </w:p>
    <w:p w:rsidRPr="001E7857" w:rsidR="00F268A2" w:rsidP="004F448D" w:rsidRDefault="00F268A2" w14:paraId="0DC0CB24" w14:textId="77777777">
      <w:pPr>
        <w:rPr>
          <w:b/>
          <w:sz w:val="22"/>
        </w:rPr>
      </w:pPr>
    </w:p>
    <w:p w:rsidRPr="001E7857" w:rsidR="004F7515" w:rsidP="004F7515" w:rsidRDefault="004F7515" w14:paraId="383DD754" w14:textId="77777777">
      <w:pPr>
        <w:rPr>
          <w:b/>
          <w:sz w:val="22"/>
        </w:rPr>
      </w:pPr>
    </w:p>
    <w:p w:rsidRPr="00B94947" w:rsidR="00F268A2" w:rsidP="004F7515" w:rsidRDefault="00F268A2" w14:paraId="377A94A6" w14:textId="77777777">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Pr="001E7857" w:rsidR="004F7515" w:rsidP="004F7515" w:rsidRDefault="004F7515" w14:paraId="74A563B1" w14:textId="77777777">
      <w:pPr>
        <w:ind w:left="720"/>
        <w:rPr>
          <w:rFonts w:cs="Arial"/>
          <w:sz w:val="22"/>
          <w:szCs w:val="22"/>
        </w:rPr>
      </w:pPr>
    </w:p>
    <w:p w:rsidRPr="001E7857" w:rsidR="004F7515" w:rsidP="004F7515" w:rsidRDefault="004F7515" w14:paraId="07EE70C5" w14:textId="77777777">
      <w:pPr>
        <w:ind w:left="720"/>
        <w:rPr>
          <w:sz w:val="22"/>
        </w:rPr>
      </w:pPr>
    </w:p>
    <w:p w:rsidRPr="00B94947" w:rsidR="00F268A2" w:rsidP="004F7515" w:rsidRDefault="00F268A2" w14:paraId="6168E598" w14:textId="77777777">
      <w:pPr>
        <w:numPr>
          <w:ilvl w:val="0"/>
          <w:numId w:val="10"/>
        </w:numPr>
        <w:tabs>
          <w:tab w:val="clear" w:pos="0"/>
          <w:tab w:val="num" w:pos="360"/>
        </w:tabs>
        <w:ind w:left="1440"/>
      </w:pPr>
      <w:r w:rsidRPr="00B94947">
        <w:t>FCC Fo</w:t>
      </w:r>
      <w:r w:rsidRPr="00B94947" w:rsidR="001527DF">
        <w:t>r</w:t>
      </w:r>
      <w:r w:rsidRPr="00B94947">
        <w:t>m 499-A</w:t>
      </w:r>
    </w:p>
    <w:p w:rsidRPr="00B94947" w:rsidR="00B21663" w:rsidP="004F7515" w:rsidRDefault="00190034" w14:paraId="103CE29F" w14:textId="77777777">
      <w:pPr>
        <w:numPr>
          <w:ilvl w:val="0"/>
          <w:numId w:val="10"/>
        </w:numPr>
        <w:tabs>
          <w:tab w:val="clear" w:pos="0"/>
          <w:tab w:val="num" w:pos="360"/>
        </w:tabs>
        <w:ind w:left="1440"/>
      </w:pPr>
      <w:r w:rsidRPr="00B94947">
        <w:t>FCC Form</w:t>
      </w:r>
      <w:r w:rsidRPr="00B94947" w:rsidR="00B21663">
        <w:t xml:space="preserve"> 499-Q</w:t>
      </w:r>
    </w:p>
    <w:p w:rsidRPr="00B94947" w:rsidR="00F268A2" w:rsidP="004F7515" w:rsidRDefault="00F268A2" w14:paraId="0ACE9E8B" w14:textId="77777777">
      <w:pPr>
        <w:numPr>
          <w:ilvl w:val="0"/>
          <w:numId w:val="10"/>
        </w:numPr>
        <w:tabs>
          <w:tab w:val="clear" w:pos="0"/>
          <w:tab w:val="num" w:pos="360"/>
        </w:tabs>
        <w:ind w:left="1440"/>
      </w:pPr>
      <w:r w:rsidRPr="00B94947">
        <w:t>Instructions to FCC Form 499-A</w:t>
      </w:r>
    </w:p>
    <w:p w:rsidRPr="00B94947" w:rsidR="00F268A2" w:rsidP="004F7515" w:rsidRDefault="00F268A2" w14:paraId="33A4F77D" w14:textId="77777777">
      <w:pPr>
        <w:numPr>
          <w:ilvl w:val="0"/>
          <w:numId w:val="10"/>
        </w:numPr>
        <w:tabs>
          <w:tab w:val="clear" w:pos="0"/>
          <w:tab w:val="num" w:pos="360"/>
        </w:tabs>
        <w:ind w:left="1440"/>
      </w:pPr>
      <w:r w:rsidRPr="00B94947">
        <w:t>Instructions to FCC Form 499-Q</w:t>
      </w:r>
    </w:p>
    <w:p w:rsidRPr="00B94947" w:rsidR="00F268A2" w:rsidP="004F7515" w:rsidRDefault="00F268A2" w14:paraId="5AB74AB4" w14:textId="77777777">
      <w:pPr>
        <w:pBdr>
          <w:bottom w:val="single" w:color="auto" w:sz="12" w:space="1"/>
        </w:pBdr>
        <w:ind w:left="360"/>
        <w:rPr>
          <w:b/>
        </w:rPr>
      </w:pPr>
    </w:p>
    <w:p w:rsidRPr="001E7857" w:rsidR="00F564B7" w:rsidP="004F448D" w:rsidRDefault="00F564B7" w14:paraId="44B9C27E" w14:textId="77777777">
      <w:pPr>
        <w:rPr>
          <w:sz w:val="22"/>
          <w:szCs w:val="22"/>
        </w:rPr>
      </w:pPr>
    </w:p>
    <w:p w:rsidRPr="00B94947" w:rsidR="00D64CE5" w:rsidP="004F448D" w:rsidRDefault="00A81230" w14:paraId="25673337" w14:textId="77777777">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325F5B">
        <w:t xml:space="preserve">changes </w:t>
      </w:r>
      <w:r w:rsidRPr="00B94947" w:rsidR="00DD1F0F">
        <w:t xml:space="preserve">to an existing information collection pursuant to 44 U.S.C. § 3507.  This submission seeks to </w:t>
      </w:r>
      <w:r w:rsidR="00325F5B">
        <w:t>update</w:t>
      </w:r>
      <w:r w:rsidRPr="00B94947" w:rsidR="00DD1F0F">
        <w:t xml:space="preserve"> (</w:t>
      </w:r>
      <w:proofErr w:type="spellStart"/>
      <w:r w:rsidRPr="00B94947" w:rsidR="00DD1F0F">
        <w:t>i</w:t>
      </w:r>
      <w:proofErr w:type="spellEnd"/>
      <w:r w:rsidRPr="00B94947" w:rsidR="00DD1F0F">
        <w:t xml:space="preserve">)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00723EC7">
        <w:t>July</w:t>
      </w:r>
      <w:r w:rsidRPr="00B94947" w:rsidR="00A54BB3">
        <w:t xml:space="preserve"> </w:t>
      </w:r>
      <w:r w:rsidR="00D17657">
        <w:t>1</w:t>
      </w:r>
      <w:r w:rsidR="00723EC7">
        <w:t>5</w:t>
      </w:r>
      <w:r w:rsidRPr="00B94947" w:rsidR="00A54BB3">
        <w:t xml:space="preserve">, </w:t>
      </w:r>
      <w:r w:rsidRPr="00B94947" w:rsidR="00EC093B">
        <w:t>20</w:t>
      </w:r>
      <w:r w:rsidR="00D17657">
        <w:t>2</w:t>
      </w:r>
      <w:r w:rsidR="00723EC7">
        <w:t>2</w:t>
      </w:r>
      <w:r w:rsidRPr="00B94947" w:rsidR="00F26BDC">
        <w:t xml:space="preserve">, the </w:t>
      </w:r>
      <w:r w:rsidR="003479BB">
        <w:t xml:space="preserve">Wireline Competition Bureau (Bureau) </w:t>
      </w:r>
      <w:r w:rsidRPr="00B94947" w:rsidR="00F26BDC">
        <w:t xml:space="preserve">issued a Public Notice seeking comment </w:t>
      </w:r>
      <w:r w:rsidRPr="00B94947" w:rsidR="00B42974">
        <w:t xml:space="preserve">on the proposed </w:t>
      </w:r>
      <w:r w:rsidR="002D32EB">
        <w:t xml:space="preserve">modifications </w:t>
      </w:r>
      <w:r w:rsidRPr="00B94947" w:rsidR="00B42974">
        <w:t xml:space="preserve"> (DA </w:t>
      </w:r>
      <w:r w:rsidR="00D17657">
        <w:t>2</w:t>
      </w:r>
      <w:r w:rsidR="00723EC7">
        <w:t>2</w:t>
      </w:r>
      <w:r w:rsidRPr="00B94947" w:rsidR="003B69F3">
        <w:t>-</w:t>
      </w:r>
      <w:r w:rsidR="00D17657">
        <w:t>7</w:t>
      </w:r>
      <w:r w:rsidR="00723EC7">
        <w:t>64</w:t>
      </w:r>
      <w:r w:rsidRPr="00B94947" w:rsidR="00F26BDC">
        <w:t>).</w:t>
      </w:r>
      <w:r w:rsidRPr="00B94947" w:rsidR="00E01B62">
        <w:t xml:space="preserve">  </w:t>
      </w:r>
      <w:r w:rsidR="00262478">
        <w:t xml:space="preserve">In response to the Public Notice, one stakeholder filed comments </w:t>
      </w:r>
      <w:r w:rsidR="006C4229">
        <w:t xml:space="preserve">objecting to, and incorrectly </w:t>
      </w:r>
      <w:r w:rsidR="00224428">
        <w:t>characterizing</w:t>
      </w:r>
      <w:r w:rsidR="006C4229">
        <w:t>,</w:t>
      </w:r>
      <w:r w:rsidR="00262478">
        <w:t xml:space="preserve"> </w:t>
      </w:r>
      <w:r w:rsidR="006C4229">
        <w:t xml:space="preserve">a clarifying </w:t>
      </w:r>
      <w:r w:rsidR="00610D90">
        <w:t xml:space="preserve">update to the </w:t>
      </w:r>
      <w:r w:rsidR="00224428">
        <w:t xml:space="preserve">499-A </w:t>
      </w:r>
      <w:r w:rsidR="00E67A6B">
        <w:t>Instructions</w:t>
      </w:r>
      <w:r w:rsidR="00262478">
        <w:t xml:space="preserve"> </w:t>
      </w:r>
      <w:r w:rsidR="00224428">
        <w:t>as</w:t>
      </w:r>
      <w:r w:rsidR="00262478">
        <w:t xml:space="preserve"> a rule change</w:t>
      </w:r>
      <w:r w:rsidR="00224428">
        <w:t xml:space="preserve">.  </w:t>
      </w:r>
      <w:r w:rsidR="00C81B29">
        <w:t>T</w:t>
      </w:r>
      <w:r w:rsidR="00E67A6B">
        <w:t xml:space="preserve">he </w:t>
      </w:r>
      <w:r w:rsidR="006C4229">
        <w:t xml:space="preserve">clarification reflects a long-standing incumbent local exchange carrier (LEC) </w:t>
      </w:r>
      <w:r w:rsidR="00BA38C7">
        <w:t xml:space="preserve">contribution obligation and the </w:t>
      </w:r>
      <w:r w:rsidR="00325F5B">
        <w:t>upda</w:t>
      </w:r>
      <w:r w:rsidR="002D32EB">
        <w:t xml:space="preserve">ted </w:t>
      </w:r>
      <w:r w:rsidR="00E67A6B">
        <w:t xml:space="preserve">Instructions </w:t>
      </w:r>
      <w:r w:rsidR="0048315A">
        <w:t xml:space="preserve">merely </w:t>
      </w:r>
      <w:r w:rsidR="00E67A6B">
        <w:t>clarif</w:t>
      </w:r>
      <w:r w:rsidR="0048315A">
        <w:t>y</w:t>
      </w:r>
      <w:r w:rsidR="00E67A6B">
        <w:t xml:space="preserve"> </w:t>
      </w:r>
      <w:r w:rsidR="005E0065">
        <w:t>th</w:t>
      </w:r>
      <w:r w:rsidR="00BA38C7">
        <w:t xml:space="preserve">at obligation, </w:t>
      </w:r>
      <w:r w:rsidR="005E0065">
        <w:t xml:space="preserve">as </w:t>
      </w:r>
      <w:r w:rsidR="0048315A">
        <w:t xml:space="preserve">recently </w:t>
      </w:r>
      <w:r w:rsidR="00051495">
        <w:t xml:space="preserve">reiterated </w:t>
      </w:r>
      <w:r w:rsidR="0048315A">
        <w:t xml:space="preserve">in a </w:t>
      </w:r>
      <w:r w:rsidR="00E67A6B">
        <w:t>Bureau order.</w:t>
      </w:r>
      <w:r w:rsidR="00C81B29">
        <w:t xml:space="preserve">  </w:t>
      </w:r>
      <w:r w:rsidR="00224428">
        <w:t xml:space="preserve">That </w:t>
      </w:r>
      <w:r w:rsidR="003479BB">
        <w:t xml:space="preserve">Bureau </w:t>
      </w:r>
      <w:r w:rsidR="00224428">
        <w:t xml:space="preserve">order </w:t>
      </w:r>
      <w:r w:rsidR="00051495">
        <w:t xml:space="preserve">also </w:t>
      </w:r>
      <w:r w:rsidR="00224428">
        <w:t>plainly states that the 499-A Instructions will be modified</w:t>
      </w:r>
      <w:r w:rsidR="003479BB">
        <w:t xml:space="preserve"> accordingly</w:t>
      </w:r>
      <w:r w:rsidR="00224428">
        <w:t>.</w:t>
      </w:r>
      <w:r w:rsidR="005E0065">
        <w:rPr>
          <w:rStyle w:val="FootnoteReference"/>
        </w:rPr>
        <w:footnoteReference w:id="1"/>
      </w:r>
      <w:r w:rsidR="00224428">
        <w:t xml:space="preserve">  </w:t>
      </w:r>
    </w:p>
    <w:p w:rsidRPr="001E7857" w:rsidR="004F448D" w:rsidP="004F448D" w:rsidRDefault="004F448D" w14:paraId="03249DD9" w14:textId="77777777">
      <w:pPr>
        <w:rPr>
          <w:sz w:val="22"/>
          <w:szCs w:val="22"/>
        </w:rPr>
      </w:pPr>
    </w:p>
    <w:p w:rsidR="00EE26F1" w:rsidP="00893BFD" w:rsidRDefault="008D31C4" w14:paraId="2EC851A5" w14:textId="77777777">
      <w:pPr>
        <w:rPr>
          <w:b/>
          <w:sz w:val="22"/>
          <w:szCs w:val="22"/>
        </w:rPr>
      </w:pPr>
      <w:r>
        <w:rPr>
          <w:b/>
        </w:rPr>
        <w:t xml:space="preserve">Summary of Proposed </w:t>
      </w:r>
      <w:r w:rsidR="004E7C59">
        <w:rPr>
          <w:b/>
        </w:rPr>
        <w:t xml:space="preserve">Updates </w:t>
      </w:r>
      <w:r>
        <w:rPr>
          <w:b/>
        </w:rPr>
        <w:t xml:space="preserve"> to</w:t>
      </w:r>
      <w:r w:rsidRPr="00B94947">
        <w:rPr>
          <w:b/>
          <w:bCs/>
        </w:rPr>
        <w:t xml:space="preserve"> </w:t>
      </w:r>
      <w:r w:rsidRPr="00B94947" w:rsidR="00B42974">
        <w:rPr>
          <w:b/>
          <w:bCs/>
        </w:rPr>
        <w:t xml:space="preserve">the </w:t>
      </w:r>
      <w:r w:rsidR="00654369">
        <w:rPr>
          <w:b/>
          <w:bCs/>
        </w:rPr>
        <w:t>202</w:t>
      </w:r>
      <w:r w:rsidR="00596873">
        <w:rPr>
          <w:b/>
          <w:bCs/>
        </w:rPr>
        <w:t>3</w:t>
      </w:r>
      <w:r w:rsidRPr="00B94947" w:rsidR="00654369">
        <w:rPr>
          <w:b/>
          <w:bCs/>
        </w:rPr>
        <w:t xml:space="preserve"> </w:t>
      </w:r>
      <w:r w:rsidRPr="00B94947" w:rsidR="00553CD5">
        <w:rPr>
          <w:b/>
          <w:bCs/>
        </w:rPr>
        <w:t>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Pr="001E7857" w:rsidR="00765A98" w:rsidP="00893BFD" w:rsidRDefault="00765A98" w14:paraId="55F0E92E" w14:textId="77777777">
      <w:pPr>
        <w:rPr>
          <w:b/>
          <w:sz w:val="22"/>
          <w:szCs w:val="22"/>
        </w:rPr>
      </w:pPr>
    </w:p>
    <w:p w:rsidR="00EE26F1" w:rsidP="00EE26F1" w:rsidRDefault="00EE26F1" w14:paraId="162E6A12" w14:textId="77777777">
      <w:pPr>
        <w:numPr>
          <w:ilvl w:val="0"/>
          <w:numId w:val="12"/>
        </w:numPr>
        <w:spacing w:after="220"/>
      </w:pPr>
      <w:r w:rsidRPr="00B94947">
        <w:rPr>
          <w:b/>
        </w:rPr>
        <w:t>Date Changes:</w:t>
      </w:r>
      <w:r w:rsidRPr="00B94947">
        <w:t xml:space="preserve">  </w:t>
      </w:r>
      <w:r w:rsidRPr="00B94947" w:rsidR="00B42974">
        <w:t>Dates were updated throughout the FCC Forms and instructions.  References to “</w:t>
      </w:r>
      <w:r w:rsidR="00654369">
        <w:t>202</w:t>
      </w:r>
      <w:r w:rsidR="00596873">
        <w:t>2</w:t>
      </w:r>
      <w:r w:rsidRPr="00B94947" w:rsidR="00B42974">
        <w:t>” were changed to “</w:t>
      </w:r>
      <w:r w:rsidR="00654369">
        <w:t>202</w:t>
      </w:r>
      <w:r w:rsidR="00596873">
        <w:t>3</w:t>
      </w:r>
      <w:r w:rsidRPr="00B94947" w:rsidR="00B42974">
        <w:t>” and references to “</w:t>
      </w:r>
      <w:r w:rsidR="00654369">
        <w:t>202</w:t>
      </w:r>
      <w:r w:rsidR="00596873">
        <w:t>1</w:t>
      </w:r>
      <w:r w:rsidRPr="00B94947" w:rsidR="00B42974">
        <w:t>” were changed to “</w:t>
      </w:r>
      <w:r w:rsidR="00654369">
        <w:t>202</w:t>
      </w:r>
      <w:r w:rsidR="00596873">
        <w:t>2</w:t>
      </w:r>
      <w:r w:rsidRPr="00B94947" w:rsidR="00B42974">
        <w:t>.”</w:t>
      </w:r>
    </w:p>
    <w:p w:rsidRPr="00430530" w:rsidR="006864E5" w:rsidP="006864E5" w:rsidRDefault="003E5E13" w14:paraId="0DA7FEA6" w14:textId="77777777">
      <w:pPr>
        <w:numPr>
          <w:ilvl w:val="0"/>
          <w:numId w:val="12"/>
        </w:numPr>
        <w:rPr>
          <w:b/>
          <w:sz w:val="22"/>
        </w:rPr>
      </w:pPr>
      <w:r w:rsidRPr="00430530">
        <w:rPr>
          <w:b/>
          <w:sz w:val="22"/>
          <w:szCs w:val="22"/>
        </w:rPr>
        <w:t xml:space="preserve">Clarifications and </w:t>
      </w:r>
      <w:r w:rsidRPr="00430530" w:rsidR="00307BE9">
        <w:rPr>
          <w:b/>
          <w:sz w:val="22"/>
          <w:szCs w:val="22"/>
        </w:rPr>
        <w:t xml:space="preserve">Stylistic Changes:  </w:t>
      </w:r>
      <w:r w:rsidRPr="00654369" w:rsidR="00654369">
        <w:t>In a number of instances, additional non-substantive clarifications and minor stylistic changes, such as typos and spacing, are also mad</w:t>
      </w:r>
      <w:r w:rsidR="00654369">
        <w:t>e.</w:t>
      </w:r>
    </w:p>
    <w:p w:rsidRPr="006864E5" w:rsidR="006864E5" w:rsidP="006864E5" w:rsidRDefault="006864E5" w14:paraId="00E0CC13" w14:textId="77777777">
      <w:pPr>
        <w:ind w:left="1440"/>
        <w:rPr>
          <w:b/>
          <w:sz w:val="22"/>
        </w:rPr>
      </w:pPr>
    </w:p>
    <w:p w:rsidR="00EE26F1" w:rsidP="00EE26F1" w:rsidRDefault="002911AD" w14:paraId="4B0196FF" w14:textId="77777777">
      <w:pPr>
        <w:rPr>
          <w:b/>
        </w:rPr>
      </w:pPr>
      <w:bookmarkStart w:name="_Hlk79065131" w:id="0"/>
      <w:r>
        <w:rPr>
          <w:b/>
        </w:rPr>
        <w:t xml:space="preserve">Summary of Proposed </w:t>
      </w:r>
      <w:r w:rsidR="004E7C59">
        <w:rPr>
          <w:b/>
        </w:rPr>
        <w:t xml:space="preserve">Changes </w:t>
      </w:r>
      <w:r w:rsidRPr="00B94947">
        <w:rPr>
          <w:b/>
        </w:rPr>
        <w:t xml:space="preserve"> </w:t>
      </w:r>
      <w:r w:rsidRPr="00B94947" w:rsidR="008D7258">
        <w:rPr>
          <w:b/>
        </w:rPr>
        <w:t xml:space="preserve">to the </w:t>
      </w:r>
      <w:r w:rsidR="00654369">
        <w:rPr>
          <w:b/>
        </w:rPr>
        <w:t>202</w:t>
      </w:r>
      <w:r w:rsidR="00596873">
        <w:rPr>
          <w:b/>
        </w:rPr>
        <w:t>3</w:t>
      </w:r>
      <w:r w:rsidRPr="00B94947" w:rsidR="00654369">
        <w:rPr>
          <w:b/>
        </w:rPr>
        <w:t xml:space="preserve"> </w:t>
      </w:r>
      <w:r w:rsidRPr="00B94947" w:rsidR="008D7258">
        <w:rPr>
          <w:b/>
        </w:rPr>
        <w:t>FCC</w:t>
      </w:r>
      <w:r w:rsidRPr="00B94947" w:rsidR="00EE26F1">
        <w:rPr>
          <w:b/>
        </w:rPr>
        <w:t xml:space="preserve"> Form 499-A Instruc</w:t>
      </w:r>
      <w:r w:rsidRPr="00B94947" w:rsidR="00F26BDC">
        <w:rPr>
          <w:b/>
        </w:rPr>
        <w:t>t</w:t>
      </w:r>
      <w:r w:rsidRPr="00B94947" w:rsidR="00EE26F1">
        <w:rPr>
          <w:b/>
        </w:rPr>
        <w:t>ions</w:t>
      </w:r>
      <w:r>
        <w:rPr>
          <w:b/>
        </w:rPr>
        <w:t>:</w:t>
      </w:r>
      <w:bookmarkEnd w:id="0"/>
    </w:p>
    <w:p w:rsidRPr="00B94947" w:rsidR="00A22620" w:rsidP="00EE26F1" w:rsidRDefault="00A22620" w14:paraId="170A80EB" w14:textId="77777777">
      <w:pPr>
        <w:rPr>
          <w:b/>
        </w:rPr>
      </w:pPr>
    </w:p>
    <w:p w:rsidRPr="007A30AB" w:rsidR="006F7D67" w:rsidP="006F7D67" w:rsidRDefault="00654369" w14:paraId="090072DE" w14:textId="77777777">
      <w:pPr>
        <w:numPr>
          <w:ilvl w:val="0"/>
          <w:numId w:val="12"/>
        </w:numPr>
        <w:rPr>
          <w:b/>
          <w:sz w:val="22"/>
        </w:rPr>
      </w:pPr>
      <w:bookmarkStart w:name="_Hlk79064260" w:id="1"/>
      <w:r w:rsidRPr="00654369">
        <w:t xml:space="preserve">Page </w:t>
      </w:r>
      <w:r w:rsidR="00596873">
        <w:t>11</w:t>
      </w:r>
      <w:r w:rsidRPr="00654369">
        <w:t xml:space="preserve"> </w:t>
      </w:r>
      <w:r w:rsidRPr="00E453A0" w:rsidR="00E453A0">
        <w:t>is updated to clarify that each affiliate and subsidiary entity should identify their ultimate controlling parent or entity, or provide a common identifier for all affiliated filers</w:t>
      </w:r>
      <w:r>
        <w:t>.</w:t>
      </w:r>
    </w:p>
    <w:bookmarkEnd w:id="1"/>
    <w:p w:rsidRPr="007A30AB" w:rsidR="00A54BB3" w:rsidP="007A30AB" w:rsidRDefault="00A54BB3" w14:paraId="71436AAA" w14:textId="77777777">
      <w:pPr>
        <w:ind w:left="1440"/>
        <w:rPr>
          <w:b/>
          <w:sz w:val="22"/>
        </w:rPr>
      </w:pPr>
    </w:p>
    <w:p w:rsidRPr="006C5906" w:rsidR="006C5906" w:rsidP="006C5906" w:rsidRDefault="006C5906" w14:paraId="425FE88E" w14:textId="77777777">
      <w:pPr>
        <w:numPr>
          <w:ilvl w:val="0"/>
          <w:numId w:val="12"/>
        </w:numPr>
        <w:rPr>
          <w:b/>
          <w:sz w:val="22"/>
        </w:rPr>
      </w:pPr>
      <w:r w:rsidRPr="006C5906">
        <w:lastRenderedPageBreak/>
        <w:t xml:space="preserve">Page </w:t>
      </w:r>
      <w:r w:rsidR="00E453A0">
        <w:t>1</w:t>
      </w:r>
      <w:r w:rsidRPr="006C5906">
        <w:t xml:space="preserve">9 </w:t>
      </w:r>
      <w:r w:rsidR="00E453A0">
        <w:rPr>
          <w:bCs/>
        </w:rPr>
        <w:t>is updated to remove the requirement to provide a fax number</w:t>
      </w:r>
      <w:r w:rsidRPr="006C5906">
        <w:t>.</w:t>
      </w:r>
    </w:p>
    <w:p w:rsidR="006C5906" w:rsidP="006C5906" w:rsidRDefault="006C5906" w14:paraId="74695F88" w14:textId="77777777">
      <w:pPr>
        <w:pStyle w:val="ListParagraph"/>
        <w:rPr>
          <w:b/>
          <w:sz w:val="22"/>
        </w:rPr>
      </w:pPr>
    </w:p>
    <w:p w:rsidRPr="00E453A0" w:rsidR="006C5906" w:rsidP="006C5906" w:rsidRDefault="006C5906" w14:paraId="0982DD58" w14:textId="77777777">
      <w:pPr>
        <w:numPr>
          <w:ilvl w:val="0"/>
          <w:numId w:val="12"/>
        </w:numPr>
        <w:rPr>
          <w:b/>
          <w:sz w:val="22"/>
        </w:rPr>
      </w:pPr>
      <w:r>
        <w:rPr>
          <w:bCs/>
          <w:sz w:val="22"/>
        </w:rPr>
        <w:t xml:space="preserve">Page </w:t>
      </w:r>
      <w:r w:rsidR="00E453A0">
        <w:rPr>
          <w:bCs/>
          <w:sz w:val="22"/>
        </w:rPr>
        <w:t>26</w:t>
      </w:r>
      <w:r>
        <w:rPr>
          <w:bCs/>
          <w:sz w:val="22"/>
        </w:rPr>
        <w:t xml:space="preserve"> </w:t>
      </w:r>
      <w:r w:rsidR="00E453A0">
        <w:t>is updated consistent with a recent Bureau order clarifying that incumbent LECs without a subscriber line charge should identify the interstate portion of fixed local exchange service revenues in column (d) of the appropriate line 404.1-404.5</w:t>
      </w:r>
      <w:r>
        <w:rPr>
          <w:bCs/>
          <w:sz w:val="22"/>
        </w:rPr>
        <w:t>.</w:t>
      </w:r>
    </w:p>
    <w:p w:rsidR="00E453A0" w:rsidP="00E453A0" w:rsidRDefault="00E453A0" w14:paraId="7C723309" w14:textId="77777777">
      <w:pPr>
        <w:pStyle w:val="ListParagraph"/>
        <w:rPr>
          <w:b/>
          <w:sz w:val="22"/>
        </w:rPr>
      </w:pPr>
    </w:p>
    <w:p w:rsidRPr="006C5906" w:rsidR="00E453A0" w:rsidP="006C5906" w:rsidRDefault="00E453A0" w14:paraId="441CD7B5" w14:textId="77777777">
      <w:pPr>
        <w:numPr>
          <w:ilvl w:val="0"/>
          <w:numId w:val="12"/>
        </w:numPr>
        <w:rPr>
          <w:b/>
          <w:sz w:val="22"/>
        </w:rPr>
      </w:pPr>
      <w:r>
        <w:t xml:space="preserve">Page 29 is updated to clarify that </w:t>
      </w:r>
      <w:r>
        <w:rPr>
          <w:szCs w:val="22"/>
        </w:rPr>
        <w:t>a</w:t>
      </w:r>
      <w:r w:rsidRPr="00A7503C">
        <w:rPr>
          <w:szCs w:val="22"/>
        </w:rPr>
        <w:t xml:space="preserve">mounts received from the </w:t>
      </w:r>
      <w:r w:rsidRPr="00DC49F5">
        <w:rPr>
          <w:szCs w:val="22"/>
        </w:rPr>
        <w:t>federal</w:t>
      </w:r>
      <w:r w:rsidRPr="00A7503C">
        <w:rPr>
          <w:szCs w:val="22"/>
        </w:rPr>
        <w:t xml:space="preserve"> USF support mechanism should be attributed as either interstate or international revenues, as appropriate</w:t>
      </w:r>
    </w:p>
    <w:p w:rsidR="006C5906" w:rsidP="006C5906" w:rsidRDefault="006C5906" w14:paraId="218C02E9" w14:textId="77777777">
      <w:pPr>
        <w:pStyle w:val="ListParagraph"/>
        <w:rPr>
          <w:b/>
          <w:sz w:val="22"/>
        </w:rPr>
      </w:pPr>
    </w:p>
    <w:p w:rsidR="006C5906" w:rsidP="006C5906" w:rsidRDefault="006C5906" w14:paraId="13587B6A" w14:textId="77777777">
      <w:pPr>
        <w:numPr>
          <w:ilvl w:val="0"/>
          <w:numId w:val="12"/>
        </w:numPr>
        <w:rPr>
          <w:bCs/>
        </w:rPr>
      </w:pPr>
      <w:r w:rsidRPr="006C5906">
        <w:rPr>
          <w:bCs/>
        </w:rPr>
        <w:t xml:space="preserve">Pages </w:t>
      </w:r>
      <w:r w:rsidR="00E453A0">
        <w:rPr>
          <w:szCs w:val="22"/>
        </w:rPr>
        <w:t xml:space="preserve">39 is updated to clarify that the reseller safe harbor procedures require an </w:t>
      </w:r>
      <w:r w:rsidRPr="00C04581" w:rsidR="00E453A0">
        <w:rPr>
          <w:i/>
          <w:iCs/>
          <w:szCs w:val="22"/>
        </w:rPr>
        <w:t>active</w:t>
      </w:r>
      <w:r w:rsidR="00E453A0">
        <w:rPr>
          <w:szCs w:val="22"/>
        </w:rPr>
        <w:t xml:space="preserve"> Filer 499 ID to meet the “reasonable expectation” standard</w:t>
      </w:r>
      <w:r>
        <w:rPr>
          <w:bCs/>
        </w:rPr>
        <w:t>.</w:t>
      </w:r>
    </w:p>
    <w:p w:rsidR="006C5906" w:rsidP="006C5906" w:rsidRDefault="006C5906" w14:paraId="44835205" w14:textId="77777777">
      <w:pPr>
        <w:pStyle w:val="ListParagraph"/>
        <w:rPr>
          <w:bCs/>
        </w:rPr>
      </w:pPr>
    </w:p>
    <w:p w:rsidR="00307BE9" w:rsidP="00307BE9" w:rsidRDefault="00307BE9" w14:paraId="7CEE72B6" w14:textId="77777777">
      <w:pPr>
        <w:ind w:left="1440"/>
        <w:rPr>
          <w:b/>
          <w:sz w:val="22"/>
          <w:szCs w:val="22"/>
        </w:rPr>
      </w:pPr>
    </w:p>
    <w:p w:rsidR="006B45F4" w:rsidP="006B45F4" w:rsidRDefault="006B45F4" w14:paraId="62B3BBB5" w14:textId="77777777">
      <w:pPr>
        <w:ind w:left="720"/>
        <w:rPr>
          <w:b/>
        </w:rPr>
      </w:pPr>
      <w:r>
        <w:rPr>
          <w:b/>
        </w:rPr>
        <w:t xml:space="preserve">Summary of Proposed </w:t>
      </w:r>
      <w:r w:rsidR="004E7C59">
        <w:rPr>
          <w:b/>
        </w:rPr>
        <w:t xml:space="preserve">Modifications </w:t>
      </w:r>
      <w:r w:rsidRPr="00B94947">
        <w:rPr>
          <w:b/>
        </w:rPr>
        <w:t xml:space="preserve">to the </w:t>
      </w:r>
      <w:r>
        <w:rPr>
          <w:b/>
        </w:rPr>
        <w:t>2022</w:t>
      </w:r>
      <w:r w:rsidRPr="00B94947">
        <w:rPr>
          <w:b/>
        </w:rPr>
        <w:t xml:space="preserve"> FCC Form 499-</w:t>
      </w:r>
      <w:r>
        <w:rPr>
          <w:b/>
        </w:rPr>
        <w:t>Q</w:t>
      </w:r>
      <w:r w:rsidRPr="00B94947">
        <w:rPr>
          <w:b/>
        </w:rPr>
        <w:t xml:space="preserve"> Instructions</w:t>
      </w:r>
      <w:r>
        <w:rPr>
          <w:b/>
        </w:rPr>
        <w:t>:</w:t>
      </w:r>
    </w:p>
    <w:p w:rsidR="006B45F4" w:rsidP="006B45F4" w:rsidRDefault="006B45F4" w14:paraId="2434F7E1" w14:textId="77777777">
      <w:pPr>
        <w:ind w:left="720"/>
        <w:rPr>
          <w:b/>
        </w:rPr>
      </w:pPr>
    </w:p>
    <w:p w:rsidR="006B45F4" w:rsidP="006B45F4" w:rsidRDefault="006B45F4" w14:paraId="1F164683" w14:textId="77777777">
      <w:pPr>
        <w:ind w:left="720"/>
        <w:rPr>
          <w:b/>
          <w:sz w:val="22"/>
          <w:szCs w:val="22"/>
        </w:rPr>
      </w:pPr>
    </w:p>
    <w:p w:rsidR="006B45F4" w:rsidP="006B45F4" w:rsidRDefault="00BF7DA1" w14:paraId="349BC5EA" w14:textId="77777777">
      <w:pPr>
        <w:numPr>
          <w:ilvl w:val="0"/>
          <w:numId w:val="12"/>
        </w:numPr>
        <w:rPr>
          <w:bCs/>
        </w:rPr>
      </w:pPr>
      <w:r>
        <w:rPr>
          <w:b/>
        </w:rPr>
        <w:t>Circularity Factor Update</w:t>
      </w:r>
      <w:r w:rsidRPr="006B45F4" w:rsidR="006B45F4">
        <w:rPr>
          <w:b/>
        </w:rPr>
        <w:t>:</w:t>
      </w:r>
      <w:r w:rsidRPr="006B45F4" w:rsidR="006B45F4">
        <w:rPr>
          <w:bCs/>
        </w:rPr>
        <w:t xml:space="preserve">  </w:t>
      </w:r>
      <w:r>
        <w:rPr>
          <w:bCs/>
        </w:rPr>
        <w:t>The circularity factor will be adjusted and updated in the Form 499-Q instructions based upon the quarterly contribution factors subsequent to the Fourth Quarter 202</w:t>
      </w:r>
      <w:r w:rsidR="00561B75">
        <w:rPr>
          <w:bCs/>
        </w:rPr>
        <w:t>2</w:t>
      </w:r>
      <w:r>
        <w:rPr>
          <w:bCs/>
        </w:rPr>
        <w:t xml:space="preserve"> contribution factor announcement.</w:t>
      </w:r>
      <w:r w:rsidRPr="006B45F4" w:rsidR="006B45F4">
        <w:rPr>
          <w:bCs/>
        </w:rPr>
        <w:t xml:space="preserve"> </w:t>
      </w:r>
    </w:p>
    <w:p w:rsidR="006B45F4" w:rsidP="006B45F4" w:rsidRDefault="006B45F4" w14:paraId="57046FEF" w14:textId="77777777">
      <w:pPr>
        <w:ind w:left="1440"/>
        <w:rPr>
          <w:b/>
        </w:rPr>
      </w:pPr>
    </w:p>
    <w:p w:rsidRPr="006C5906" w:rsidR="006B45F4" w:rsidP="006B45F4" w:rsidRDefault="006B45F4" w14:paraId="6046FA11" w14:textId="77777777">
      <w:pPr>
        <w:ind w:left="1440"/>
        <w:rPr>
          <w:bCs/>
        </w:rPr>
      </w:pPr>
    </w:p>
    <w:p w:rsidR="00E77690" w:rsidP="00E77690" w:rsidRDefault="00E77690" w14:paraId="1DF43AA4" w14:textId="77777777">
      <w:pPr>
        <w:keepNext/>
        <w:keepLines/>
        <w:ind w:left="720"/>
        <w:rPr>
          <w:sz w:val="22"/>
        </w:rPr>
      </w:pPr>
      <w:r>
        <w:rPr>
          <w:sz w:val="22"/>
        </w:rPr>
        <w:t xml:space="preserve">Attachment 1:  Proposed </w:t>
      </w:r>
      <w:r w:rsidR="004E7C59">
        <w:rPr>
          <w:sz w:val="22"/>
        </w:rPr>
        <w:t xml:space="preserve">changes  </w:t>
      </w:r>
      <w:r>
        <w:rPr>
          <w:sz w:val="22"/>
        </w:rPr>
        <w:t>to Form 499-A</w:t>
      </w:r>
    </w:p>
    <w:p w:rsidR="00E77690" w:rsidP="00E77690" w:rsidRDefault="00E77690" w14:paraId="3D7A5E99" w14:textId="77777777">
      <w:pPr>
        <w:ind w:left="720"/>
        <w:rPr>
          <w:sz w:val="22"/>
          <w:szCs w:val="22"/>
        </w:rPr>
      </w:pPr>
      <w:r>
        <w:rPr>
          <w:sz w:val="22"/>
        </w:rPr>
        <w:t xml:space="preserve">Attachment 2:  Proposed </w:t>
      </w:r>
      <w:r w:rsidR="004E7C59">
        <w:rPr>
          <w:sz w:val="22"/>
        </w:rPr>
        <w:t>changes</w:t>
      </w:r>
      <w:r>
        <w:rPr>
          <w:sz w:val="22"/>
        </w:rPr>
        <w:t xml:space="preserve"> to </w:t>
      </w:r>
      <w:r>
        <w:rPr>
          <w:sz w:val="22"/>
          <w:szCs w:val="22"/>
        </w:rPr>
        <w:t>Form 499-A Instructions</w:t>
      </w:r>
    </w:p>
    <w:p w:rsidR="00E77690" w:rsidP="00E77690" w:rsidRDefault="00E77690" w14:paraId="1A8BF631" w14:textId="77777777">
      <w:pPr>
        <w:keepNext/>
        <w:keepLines/>
        <w:ind w:left="720"/>
        <w:rPr>
          <w:sz w:val="22"/>
        </w:rPr>
      </w:pPr>
      <w:r>
        <w:rPr>
          <w:sz w:val="22"/>
        </w:rPr>
        <w:t xml:space="preserve">Attachment 3:  Proposed </w:t>
      </w:r>
      <w:r w:rsidR="004E7C59">
        <w:rPr>
          <w:sz w:val="22"/>
        </w:rPr>
        <w:t xml:space="preserve">changes </w:t>
      </w:r>
      <w:r>
        <w:rPr>
          <w:sz w:val="22"/>
        </w:rPr>
        <w:t>to Form 499-Q</w:t>
      </w:r>
    </w:p>
    <w:p w:rsidR="006B45F4" w:rsidP="00E77690" w:rsidRDefault="00E77690" w14:paraId="06706AC7" w14:textId="77777777">
      <w:pPr>
        <w:ind w:left="720"/>
        <w:rPr>
          <w:b/>
          <w:sz w:val="22"/>
          <w:szCs w:val="22"/>
        </w:rPr>
      </w:pPr>
      <w:r>
        <w:rPr>
          <w:sz w:val="22"/>
        </w:rPr>
        <w:t xml:space="preserve">Attachment 4:  Proposed </w:t>
      </w:r>
      <w:r w:rsidR="004E7C59">
        <w:rPr>
          <w:sz w:val="22"/>
        </w:rPr>
        <w:t xml:space="preserve">changes </w:t>
      </w:r>
      <w:r>
        <w:rPr>
          <w:sz w:val="22"/>
        </w:rPr>
        <w:t xml:space="preserve">to </w:t>
      </w:r>
      <w:r>
        <w:rPr>
          <w:sz w:val="22"/>
          <w:szCs w:val="22"/>
        </w:rPr>
        <w:t>Form 499-Q Instructions</w:t>
      </w:r>
    </w:p>
    <w:p w:rsidRPr="00307BE9" w:rsidR="006B45F4" w:rsidP="006B45F4" w:rsidRDefault="006B45F4" w14:paraId="21BD17E1" w14:textId="77777777">
      <w:pPr>
        <w:ind w:left="720"/>
        <w:rPr>
          <w:b/>
          <w:sz w:val="22"/>
          <w:szCs w:val="22"/>
        </w:rPr>
      </w:pPr>
    </w:p>
    <w:sectPr w:rsidRPr="00307BE9" w:rsidR="006B45F4"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3BB0" w14:textId="77777777" w:rsidR="0096346D" w:rsidRDefault="0096346D" w:rsidP="00535BE1">
      <w:r>
        <w:separator/>
      </w:r>
    </w:p>
  </w:endnote>
  <w:endnote w:type="continuationSeparator" w:id="0">
    <w:p w14:paraId="28FCDDEE" w14:textId="77777777" w:rsidR="0096346D" w:rsidRDefault="0096346D"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83B7"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60721"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8B32"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65E8B91B"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060B" w14:textId="77777777" w:rsidR="0096346D" w:rsidRDefault="0096346D" w:rsidP="00535BE1">
      <w:r>
        <w:separator/>
      </w:r>
    </w:p>
  </w:footnote>
  <w:footnote w:type="continuationSeparator" w:id="0">
    <w:p w14:paraId="1DFCC9DE" w14:textId="77777777" w:rsidR="0096346D" w:rsidRDefault="0096346D" w:rsidP="00535BE1">
      <w:r>
        <w:continuationSeparator/>
      </w:r>
    </w:p>
  </w:footnote>
  <w:footnote w:id="1">
    <w:p w14:paraId="599435B7" w14:textId="77777777" w:rsidR="005E0065" w:rsidRDefault="005E0065">
      <w:pPr>
        <w:pStyle w:val="FootnoteText"/>
      </w:pPr>
      <w:r>
        <w:rPr>
          <w:rStyle w:val="FootnoteReference"/>
        </w:rPr>
        <w:footnoteRef/>
      </w:r>
      <w:r>
        <w:t xml:space="preserve"> </w:t>
      </w:r>
      <w:r>
        <w:rPr>
          <w:i/>
          <w:iCs/>
        </w:rPr>
        <w:t xml:space="preserve">See </w:t>
      </w:r>
      <w:r w:rsidRPr="00491B0F">
        <w:rPr>
          <w:i/>
        </w:rPr>
        <w:t>Universal Service Contribution Methodology; Request for Review of Decision of the Universal Service Administrator by</w:t>
      </w:r>
      <w:r>
        <w:rPr>
          <w:i/>
        </w:rPr>
        <w:t xml:space="preserve"> Mark Twain Telephone Company</w:t>
      </w:r>
      <w:r>
        <w:rPr>
          <w:iCs/>
        </w:rPr>
        <w:t>, WC Docket Nos. 10-90, 06-122, Order, DA 22-757, at para. 18 &amp; n.62 (WCB July 15, 2022).</w:t>
      </w:r>
      <w:r w:rsidR="003479BB">
        <w:rPr>
          <w:iCs/>
        </w:rPr>
        <w:t xml:space="preserve">  </w:t>
      </w:r>
      <w:r w:rsidR="003479BB">
        <w:t xml:space="preserve">The appropriate process for challenging a long standing Commission contribution requirement, is a timely-filed petition for reconsideration or a petition for rulemaking, not a challenge to Instructions to an FCC form clarifying the requirement.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numStyleLink w:val="List21"/>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D9B2617"/>
    <w:multiLevelType w:val="hybridMultilevel"/>
    <w:tmpl w:val="CE1A5E46"/>
    <w:lvl w:ilvl="0" w:tplc="1CE6E78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7"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268353">
    <w:abstractNumId w:val="11"/>
  </w:num>
  <w:num w:numId="2" w16cid:durableId="1070538891">
    <w:abstractNumId w:val="7"/>
  </w:num>
  <w:num w:numId="3" w16cid:durableId="731854956">
    <w:abstractNumId w:val="10"/>
  </w:num>
  <w:num w:numId="4" w16cid:durableId="956451373">
    <w:abstractNumId w:val="13"/>
  </w:num>
  <w:num w:numId="5" w16cid:durableId="1530991677">
    <w:abstractNumId w:val="8"/>
  </w:num>
  <w:num w:numId="6" w16cid:durableId="208759426">
    <w:abstractNumId w:val="2"/>
  </w:num>
  <w:num w:numId="7" w16cid:durableId="1541556066">
    <w:abstractNumId w:val="9"/>
  </w:num>
  <w:num w:numId="8" w16cid:durableId="744300532">
    <w:abstractNumId w:val="17"/>
  </w:num>
  <w:num w:numId="9" w16cid:durableId="302347057">
    <w:abstractNumId w:val="14"/>
  </w:num>
  <w:num w:numId="10" w16cid:durableId="1737437354">
    <w:abstractNumId w:val="4"/>
  </w:num>
  <w:num w:numId="11" w16cid:durableId="651711968">
    <w:abstractNumId w:val="5"/>
  </w:num>
  <w:num w:numId="12" w16cid:durableId="865406389">
    <w:abstractNumId w:val="15"/>
  </w:num>
  <w:num w:numId="13" w16cid:durableId="57366355">
    <w:abstractNumId w:val="0"/>
  </w:num>
  <w:num w:numId="14" w16cid:durableId="1707023615">
    <w:abstractNumId w:val="1"/>
  </w:num>
  <w:num w:numId="15" w16cid:durableId="278033606">
    <w:abstractNumId w:val="16"/>
  </w:num>
  <w:num w:numId="16" w16cid:durableId="256210910">
    <w:abstractNumId w:val="6"/>
  </w:num>
  <w:num w:numId="17" w16cid:durableId="1508253909">
    <w:abstractNumId w:val="12"/>
  </w:num>
  <w:num w:numId="18" w16cid:durableId="828449465">
    <w:abstractNumId w:val="18"/>
  </w:num>
  <w:num w:numId="19" w16cid:durableId="145104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3D91"/>
    <w:rsid w:val="000162D0"/>
    <w:rsid w:val="00023DF9"/>
    <w:rsid w:val="00023F9D"/>
    <w:rsid w:val="00036347"/>
    <w:rsid w:val="00041D57"/>
    <w:rsid w:val="0004686C"/>
    <w:rsid w:val="0005096A"/>
    <w:rsid w:val="00051495"/>
    <w:rsid w:val="00053BC4"/>
    <w:rsid w:val="000614AE"/>
    <w:rsid w:val="00071F25"/>
    <w:rsid w:val="00073F69"/>
    <w:rsid w:val="00080DC8"/>
    <w:rsid w:val="000817E1"/>
    <w:rsid w:val="000911F0"/>
    <w:rsid w:val="000A2AF3"/>
    <w:rsid w:val="000B494C"/>
    <w:rsid w:val="000C13D7"/>
    <w:rsid w:val="000C405B"/>
    <w:rsid w:val="000E04F8"/>
    <w:rsid w:val="000E1280"/>
    <w:rsid w:val="000E6DA1"/>
    <w:rsid w:val="000F2BCA"/>
    <w:rsid w:val="000F3B51"/>
    <w:rsid w:val="00100999"/>
    <w:rsid w:val="00110B1F"/>
    <w:rsid w:val="00124A10"/>
    <w:rsid w:val="001254B3"/>
    <w:rsid w:val="00126F9F"/>
    <w:rsid w:val="00147AEF"/>
    <w:rsid w:val="00147B0C"/>
    <w:rsid w:val="001515B3"/>
    <w:rsid w:val="001527DF"/>
    <w:rsid w:val="001633C4"/>
    <w:rsid w:val="00164C68"/>
    <w:rsid w:val="001720F0"/>
    <w:rsid w:val="00180F58"/>
    <w:rsid w:val="001834AE"/>
    <w:rsid w:val="00190034"/>
    <w:rsid w:val="001A0910"/>
    <w:rsid w:val="001C27E9"/>
    <w:rsid w:val="001C76E1"/>
    <w:rsid w:val="001E2FE8"/>
    <w:rsid w:val="001E577B"/>
    <w:rsid w:val="001E7857"/>
    <w:rsid w:val="002018EC"/>
    <w:rsid w:val="00211DAE"/>
    <w:rsid w:val="00212D08"/>
    <w:rsid w:val="00216AE3"/>
    <w:rsid w:val="00222C63"/>
    <w:rsid w:val="00224428"/>
    <w:rsid w:val="00245FD6"/>
    <w:rsid w:val="00254C2C"/>
    <w:rsid w:val="00256430"/>
    <w:rsid w:val="00261A20"/>
    <w:rsid w:val="00262478"/>
    <w:rsid w:val="002741A2"/>
    <w:rsid w:val="00274CF9"/>
    <w:rsid w:val="00277EE9"/>
    <w:rsid w:val="002807F1"/>
    <w:rsid w:val="00280E58"/>
    <w:rsid w:val="00283328"/>
    <w:rsid w:val="002911AD"/>
    <w:rsid w:val="002A6F0E"/>
    <w:rsid w:val="002C691B"/>
    <w:rsid w:val="002D32EB"/>
    <w:rsid w:val="002D4E2B"/>
    <w:rsid w:val="002D686D"/>
    <w:rsid w:val="0030115F"/>
    <w:rsid w:val="0030741C"/>
    <w:rsid w:val="00307BE9"/>
    <w:rsid w:val="00314A79"/>
    <w:rsid w:val="003175D5"/>
    <w:rsid w:val="00325F5B"/>
    <w:rsid w:val="00333E43"/>
    <w:rsid w:val="0033455F"/>
    <w:rsid w:val="00334DD9"/>
    <w:rsid w:val="003357D6"/>
    <w:rsid w:val="003479BB"/>
    <w:rsid w:val="0036385A"/>
    <w:rsid w:val="003702E9"/>
    <w:rsid w:val="0037071A"/>
    <w:rsid w:val="00375560"/>
    <w:rsid w:val="00387508"/>
    <w:rsid w:val="003A0C9B"/>
    <w:rsid w:val="003A402B"/>
    <w:rsid w:val="003A5CAB"/>
    <w:rsid w:val="003A628C"/>
    <w:rsid w:val="003B69F3"/>
    <w:rsid w:val="003C102B"/>
    <w:rsid w:val="003C6BF0"/>
    <w:rsid w:val="003C7E5F"/>
    <w:rsid w:val="003D525E"/>
    <w:rsid w:val="003E5E13"/>
    <w:rsid w:val="003E6195"/>
    <w:rsid w:val="003E765F"/>
    <w:rsid w:val="003F2DE1"/>
    <w:rsid w:val="003F345F"/>
    <w:rsid w:val="00417953"/>
    <w:rsid w:val="004226D2"/>
    <w:rsid w:val="004238D3"/>
    <w:rsid w:val="0043020C"/>
    <w:rsid w:val="00430530"/>
    <w:rsid w:val="0043338E"/>
    <w:rsid w:val="004354A9"/>
    <w:rsid w:val="004506CF"/>
    <w:rsid w:val="00454DC8"/>
    <w:rsid w:val="00465C47"/>
    <w:rsid w:val="00475AAB"/>
    <w:rsid w:val="0047614F"/>
    <w:rsid w:val="0048022B"/>
    <w:rsid w:val="0048315A"/>
    <w:rsid w:val="004907CC"/>
    <w:rsid w:val="004A2689"/>
    <w:rsid w:val="004C7804"/>
    <w:rsid w:val="004D7745"/>
    <w:rsid w:val="004E4215"/>
    <w:rsid w:val="004E5865"/>
    <w:rsid w:val="004E7C59"/>
    <w:rsid w:val="004F448D"/>
    <w:rsid w:val="004F4C2C"/>
    <w:rsid w:val="004F5C5F"/>
    <w:rsid w:val="004F7515"/>
    <w:rsid w:val="00500EDA"/>
    <w:rsid w:val="00510941"/>
    <w:rsid w:val="00511AF7"/>
    <w:rsid w:val="00512137"/>
    <w:rsid w:val="00512C15"/>
    <w:rsid w:val="00512F19"/>
    <w:rsid w:val="00525828"/>
    <w:rsid w:val="00527308"/>
    <w:rsid w:val="00535BE1"/>
    <w:rsid w:val="00536226"/>
    <w:rsid w:val="00547745"/>
    <w:rsid w:val="00553CD5"/>
    <w:rsid w:val="00561B75"/>
    <w:rsid w:val="005648BB"/>
    <w:rsid w:val="0058336C"/>
    <w:rsid w:val="0058639F"/>
    <w:rsid w:val="00596873"/>
    <w:rsid w:val="005A072C"/>
    <w:rsid w:val="005B2BAA"/>
    <w:rsid w:val="005B3A89"/>
    <w:rsid w:val="005B581F"/>
    <w:rsid w:val="005C4600"/>
    <w:rsid w:val="005D1796"/>
    <w:rsid w:val="005D1D25"/>
    <w:rsid w:val="005D5300"/>
    <w:rsid w:val="005D611E"/>
    <w:rsid w:val="005E0065"/>
    <w:rsid w:val="005E34A2"/>
    <w:rsid w:val="005E43D2"/>
    <w:rsid w:val="005E7D7B"/>
    <w:rsid w:val="005F4058"/>
    <w:rsid w:val="005F717F"/>
    <w:rsid w:val="00610D90"/>
    <w:rsid w:val="0061122A"/>
    <w:rsid w:val="006229AA"/>
    <w:rsid w:val="0062688C"/>
    <w:rsid w:val="0062775F"/>
    <w:rsid w:val="00634C47"/>
    <w:rsid w:val="00643D74"/>
    <w:rsid w:val="006466F9"/>
    <w:rsid w:val="00654369"/>
    <w:rsid w:val="006619B2"/>
    <w:rsid w:val="00663220"/>
    <w:rsid w:val="0067092A"/>
    <w:rsid w:val="00672651"/>
    <w:rsid w:val="00683199"/>
    <w:rsid w:val="006864E5"/>
    <w:rsid w:val="00694073"/>
    <w:rsid w:val="006B45F4"/>
    <w:rsid w:val="006C30BD"/>
    <w:rsid w:val="006C4229"/>
    <w:rsid w:val="006C5906"/>
    <w:rsid w:val="006C7D9E"/>
    <w:rsid w:val="006D0856"/>
    <w:rsid w:val="006D0A97"/>
    <w:rsid w:val="006D705A"/>
    <w:rsid w:val="006E515D"/>
    <w:rsid w:val="006F41FF"/>
    <w:rsid w:val="006F7D67"/>
    <w:rsid w:val="0070192D"/>
    <w:rsid w:val="00704DFE"/>
    <w:rsid w:val="00710BEC"/>
    <w:rsid w:val="007122A0"/>
    <w:rsid w:val="0071446B"/>
    <w:rsid w:val="00723EC7"/>
    <w:rsid w:val="0073275F"/>
    <w:rsid w:val="00732D6F"/>
    <w:rsid w:val="00733887"/>
    <w:rsid w:val="007430E5"/>
    <w:rsid w:val="00743F6F"/>
    <w:rsid w:val="00753DA7"/>
    <w:rsid w:val="00757261"/>
    <w:rsid w:val="00757949"/>
    <w:rsid w:val="007601B3"/>
    <w:rsid w:val="00765A98"/>
    <w:rsid w:val="00781510"/>
    <w:rsid w:val="00782BAA"/>
    <w:rsid w:val="007903C3"/>
    <w:rsid w:val="007A30AB"/>
    <w:rsid w:val="007C0012"/>
    <w:rsid w:val="007C0F78"/>
    <w:rsid w:val="007C2457"/>
    <w:rsid w:val="007C2B24"/>
    <w:rsid w:val="007C6B29"/>
    <w:rsid w:val="007D589F"/>
    <w:rsid w:val="007E4510"/>
    <w:rsid w:val="008006DE"/>
    <w:rsid w:val="00806F78"/>
    <w:rsid w:val="008231B8"/>
    <w:rsid w:val="0083600A"/>
    <w:rsid w:val="00845C36"/>
    <w:rsid w:val="0085032C"/>
    <w:rsid w:val="00851C52"/>
    <w:rsid w:val="00852B62"/>
    <w:rsid w:val="00876228"/>
    <w:rsid w:val="00893BFD"/>
    <w:rsid w:val="008A404C"/>
    <w:rsid w:val="008A5686"/>
    <w:rsid w:val="008B6CBC"/>
    <w:rsid w:val="008D08E5"/>
    <w:rsid w:val="008D09FA"/>
    <w:rsid w:val="008D31C4"/>
    <w:rsid w:val="008D4F60"/>
    <w:rsid w:val="008D7258"/>
    <w:rsid w:val="008E1247"/>
    <w:rsid w:val="008F3FEA"/>
    <w:rsid w:val="008F550C"/>
    <w:rsid w:val="00904228"/>
    <w:rsid w:val="00905A2A"/>
    <w:rsid w:val="00910796"/>
    <w:rsid w:val="00910DC5"/>
    <w:rsid w:val="00914705"/>
    <w:rsid w:val="00915D80"/>
    <w:rsid w:val="00916013"/>
    <w:rsid w:val="00917A90"/>
    <w:rsid w:val="00933F84"/>
    <w:rsid w:val="00944065"/>
    <w:rsid w:val="0095043A"/>
    <w:rsid w:val="00955F17"/>
    <w:rsid w:val="0096168E"/>
    <w:rsid w:val="0096346D"/>
    <w:rsid w:val="00974BEE"/>
    <w:rsid w:val="0097579F"/>
    <w:rsid w:val="009775EF"/>
    <w:rsid w:val="00977611"/>
    <w:rsid w:val="00981BF4"/>
    <w:rsid w:val="00994B8A"/>
    <w:rsid w:val="009A3CE0"/>
    <w:rsid w:val="009B7375"/>
    <w:rsid w:val="009C126B"/>
    <w:rsid w:val="009C5CD4"/>
    <w:rsid w:val="009D2370"/>
    <w:rsid w:val="009D5692"/>
    <w:rsid w:val="009E400E"/>
    <w:rsid w:val="009E58A9"/>
    <w:rsid w:val="009E5DFF"/>
    <w:rsid w:val="009F1F14"/>
    <w:rsid w:val="009F2BF1"/>
    <w:rsid w:val="00A043D0"/>
    <w:rsid w:val="00A2093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E3E6D"/>
    <w:rsid w:val="00AE46AE"/>
    <w:rsid w:val="00AE6503"/>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A38C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32525"/>
    <w:rsid w:val="00C401E3"/>
    <w:rsid w:val="00C416F2"/>
    <w:rsid w:val="00C4752C"/>
    <w:rsid w:val="00C478CC"/>
    <w:rsid w:val="00C571A5"/>
    <w:rsid w:val="00C603AD"/>
    <w:rsid w:val="00C7749C"/>
    <w:rsid w:val="00C81B29"/>
    <w:rsid w:val="00CA1DBB"/>
    <w:rsid w:val="00CB0417"/>
    <w:rsid w:val="00CB1EBB"/>
    <w:rsid w:val="00CD2EC8"/>
    <w:rsid w:val="00CE6F9E"/>
    <w:rsid w:val="00CF745B"/>
    <w:rsid w:val="00D05153"/>
    <w:rsid w:val="00D13ADF"/>
    <w:rsid w:val="00D17657"/>
    <w:rsid w:val="00D301E6"/>
    <w:rsid w:val="00D31D62"/>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10475"/>
    <w:rsid w:val="00E12DE1"/>
    <w:rsid w:val="00E13EA0"/>
    <w:rsid w:val="00E164AC"/>
    <w:rsid w:val="00E20BCF"/>
    <w:rsid w:val="00E25B4D"/>
    <w:rsid w:val="00E33454"/>
    <w:rsid w:val="00E4162E"/>
    <w:rsid w:val="00E453A0"/>
    <w:rsid w:val="00E52120"/>
    <w:rsid w:val="00E53BF3"/>
    <w:rsid w:val="00E6575F"/>
    <w:rsid w:val="00E67A6B"/>
    <w:rsid w:val="00E70D46"/>
    <w:rsid w:val="00E77690"/>
    <w:rsid w:val="00E80D2C"/>
    <w:rsid w:val="00E930A3"/>
    <w:rsid w:val="00EA7037"/>
    <w:rsid w:val="00EB3569"/>
    <w:rsid w:val="00EB3F27"/>
    <w:rsid w:val="00EB5CA1"/>
    <w:rsid w:val="00EC093B"/>
    <w:rsid w:val="00EC1811"/>
    <w:rsid w:val="00EC7F2C"/>
    <w:rsid w:val="00ED1753"/>
    <w:rsid w:val="00ED3675"/>
    <w:rsid w:val="00EE26F1"/>
    <w:rsid w:val="00F01596"/>
    <w:rsid w:val="00F10336"/>
    <w:rsid w:val="00F14732"/>
    <w:rsid w:val="00F22780"/>
    <w:rsid w:val="00F268A2"/>
    <w:rsid w:val="00F26BDC"/>
    <w:rsid w:val="00F322A3"/>
    <w:rsid w:val="00F41919"/>
    <w:rsid w:val="00F519EB"/>
    <w:rsid w:val="00F564B7"/>
    <w:rsid w:val="00F72005"/>
    <w:rsid w:val="00F751D1"/>
    <w:rsid w:val="00F8607E"/>
    <w:rsid w:val="00FB2723"/>
    <w:rsid w:val="00FC4B7A"/>
    <w:rsid w:val="00FC7225"/>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6E59B6"/>
  <w15:chartTrackingRefBased/>
  <w15:docId w15:val="{A5041C7F-3DA9-4804-8B38-45F535BE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 w:type="paragraph" w:styleId="Revision">
    <w:name w:val="Revision"/>
    <w:hidden/>
    <w:uiPriority w:val="99"/>
    <w:semiHidden/>
    <w:rsid w:val="006C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2022-09-01T20:59:00Z</dcterms:created>
  <dcterms:modified xsi:type="dcterms:W3CDTF">2022-09-01T20:59:00Z</dcterms:modified>
</cp:coreProperties>
</file>