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6E25" w:rsidRPr="00A453F7" w14:paraId="17188E2A" w14:textId="178F7091">
      <w:pPr>
        <w:widowControl w:val="0"/>
        <w:jc w:val="center"/>
        <w:rPr>
          <w:rFonts w:ascii="Arial" w:hAnsi="Arial" w:cs="Arial"/>
          <w:b/>
          <w:color w:val="222222"/>
        </w:rPr>
      </w:pPr>
      <w:r w:rsidRPr="00A453F7">
        <w:rPr>
          <w:rFonts w:ascii="Arial" w:hAnsi="Arial" w:cs="Arial"/>
          <w:b/>
          <w:color w:val="222222"/>
        </w:rPr>
        <w:t>Federal Acquisition Regulation (FAR)</w:t>
      </w:r>
    </w:p>
    <w:p w:rsidR="00E16E25" w:rsidRPr="00A453F7" w14:paraId="2412921D" w14:textId="77777777">
      <w:pPr>
        <w:jc w:val="center"/>
        <w:rPr>
          <w:rFonts w:ascii="Arial" w:hAnsi="Arial" w:cs="Arial"/>
          <w:b/>
          <w:color w:val="222222"/>
        </w:rPr>
      </w:pPr>
      <w:r w:rsidRPr="00A453F7">
        <w:rPr>
          <w:rFonts w:ascii="Arial" w:hAnsi="Arial" w:cs="Arial"/>
          <w:b/>
          <w:color w:val="222222"/>
        </w:rPr>
        <w:t>Commercial Acquisitions</w:t>
      </w:r>
    </w:p>
    <w:p w:rsidR="00E16E25" w:rsidRPr="00A453F7" w14:paraId="777C267E" w14:textId="77777777">
      <w:pPr>
        <w:jc w:val="center"/>
        <w:rPr>
          <w:rFonts w:ascii="Arial" w:hAnsi="Arial" w:cs="Arial"/>
          <w:b/>
          <w:color w:val="222222"/>
          <w:u w:val="single"/>
        </w:rPr>
      </w:pPr>
      <w:r w:rsidRPr="00A453F7">
        <w:rPr>
          <w:rFonts w:ascii="Arial" w:hAnsi="Arial" w:cs="Arial"/>
          <w:b/>
          <w:color w:val="222222"/>
        </w:rPr>
        <w:t>OMB Control No. 9000-0136</w:t>
      </w:r>
    </w:p>
    <w:p w:rsidR="00E16E25" w:rsidRPr="00A453F7" w14:paraId="70DDA64F" w14:textId="77777777">
      <w:pPr>
        <w:jc w:val="center"/>
        <w:rPr>
          <w:rFonts w:ascii="Arial" w:hAnsi="Arial" w:cs="Arial"/>
          <w:b/>
          <w:color w:val="222222"/>
        </w:rPr>
      </w:pPr>
      <w:r w:rsidRPr="00A453F7">
        <w:rPr>
          <w:rFonts w:ascii="Arial" w:hAnsi="Arial" w:cs="Arial"/>
          <w:b/>
          <w:color w:val="222222"/>
        </w:rPr>
        <w:t>Justification – Part A Supporting Statement</w:t>
      </w:r>
    </w:p>
    <w:p w:rsidR="00E16E25" w:rsidRPr="00A453F7" w14:paraId="02420C54" w14:textId="77777777">
      <w:pPr>
        <w:rPr>
          <w:rFonts w:ascii="Arial" w:hAnsi="Arial" w:cs="Arial"/>
          <w:color w:val="222222"/>
        </w:rPr>
      </w:pPr>
    </w:p>
    <w:p w:rsidR="00E16E25" w:rsidRPr="00A453F7" w14:paraId="3ADFAE16" w14:textId="77777777">
      <w:pPr>
        <w:rPr>
          <w:rFonts w:ascii="Arial" w:hAnsi="Arial" w:cs="Arial"/>
          <w:color w:val="222222"/>
        </w:rPr>
      </w:pPr>
      <w:r w:rsidRPr="00A453F7">
        <w:rPr>
          <w:rFonts w:ascii="Arial" w:hAnsi="Arial" w:cs="Arial"/>
          <w:b/>
          <w:color w:val="222222"/>
        </w:rPr>
        <w:t>FAR section affected: 52.212-3(b)(2)</w:t>
      </w:r>
    </w:p>
    <w:p w:rsidR="00E16E25" w:rsidRPr="00A453F7" w14:paraId="322644FB" w14:textId="77777777">
      <w:pPr>
        <w:widowControl w:val="0"/>
        <w:rPr>
          <w:rFonts w:ascii="Arial" w:hAnsi="Arial" w:cs="Arial"/>
          <w:color w:val="222222"/>
          <w:u w:val="single"/>
        </w:rPr>
      </w:pPr>
    </w:p>
    <w:p w:rsidR="00E16E25" w:rsidRPr="00A453F7" w14:paraId="01312A81" w14:textId="77777777">
      <w:pPr>
        <w:widowControl w:val="0"/>
        <w:rPr>
          <w:rFonts w:ascii="Arial" w:hAnsi="Arial" w:cs="Arial"/>
          <w:color w:val="222222"/>
        </w:rPr>
      </w:pPr>
      <w:r w:rsidRPr="00A453F7">
        <w:rPr>
          <w:rFonts w:ascii="Arial" w:hAnsi="Arial" w:cs="Arial"/>
          <w:color w:val="222222"/>
          <w:u w:val="single"/>
        </w:rPr>
        <w:t>Overview of Information Collection:</w:t>
      </w:r>
    </w:p>
    <w:p w:rsidR="00E16E25" w:rsidRPr="00A453F7" w14:paraId="563837C1" w14:textId="77777777">
      <w:pPr>
        <w:widowControl w:val="0"/>
        <w:numPr>
          <w:ilvl w:val="0"/>
          <w:numId w:val="1"/>
        </w:numPr>
        <w:tabs>
          <w:tab w:val="left" w:pos="820"/>
          <w:tab w:val="left" w:pos="821"/>
        </w:tabs>
        <w:ind w:right="195"/>
        <w:rPr>
          <w:rFonts w:ascii="Arial" w:hAnsi="Arial" w:cs="Arial"/>
          <w:color w:val="222222"/>
        </w:rPr>
      </w:pPr>
      <w:r w:rsidRPr="00A453F7">
        <w:rPr>
          <w:rFonts w:ascii="Arial" w:hAnsi="Arial" w:cs="Arial"/>
          <w:color w:val="222222"/>
        </w:rPr>
        <w:t>This justification supports clearance of an extension of the collection.</w:t>
      </w:r>
    </w:p>
    <w:p w:rsidR="00E16E25" w:rsidRPr="00A453F7" w14:paraId="45BFDD5A" w14:textId="77777777">
      <w:pPr>
        <w:widowControl w:val="0"/>
        <w:tabs>
          <w:tab w:val="left" w:pos="820"/>
          <w:tab w:val="left" w:pos="821"/>
        </w:tabs>
        <w:ind w:left="360" w:right="195"/>
        <w:rPr>
          <w:rFonts w:ascii="Arial" w:hAnsi="Arial" w:cs="Arial"/>
          <w:color w:val="222222"/>
        </w:rPr>
      </w:pPr>
    </w:p>
    <w:p w:rsidR="00E16E25" w:rsidRPr="00A453F7" w14:paraId="6C9B9CC2" w14:textId="77777777">
      <w:pPr>
        <w:widowControl w:val="0"/>
        <w:tabs>
          <w:tab w:val="left" w:pos="820"/>
          <w:tab w:val="left" w:pos="821"/>
        </w:tabs>
        <w:ind w:left="360" w:right="195"/>
        <w:rPr>
          <w:rFonts w:ascii="Arial" w:hAnsi="Arial" w:cs="Arial"/>
          <w:color w:val="222222"/>
        </w:rPr>
      </w:pPr>
      <w:r w:rsidRPr="00A453F7">
        <w:rPr>
          <w:rFonts w:ascii="Arial" w:hAnsi="Arial" w:cs="Arial"/>
          <w:color w:val="222222"/>
        </w:rPr>
        <w:t>There are no program changes. The FAR requirements remain the same. This extension includes adjustments to the burden due to use of the latest Federal Procurement Data System (FPDS) data available and the calendar year 2022 Office of Personnel Management (OPM) General Schedule (GS) wage rates for the rest of the United States as explained in item 15.</w:t>
      </w:r>
    </w:p>
    <w:p w:rsidR="00E16E25" w:rsidRPr="00A453F7" w14:paraId="28D9C13A" w14:textId="77777777">
      <w:pPr>
        <w:widowControl w:val="0"/>
        <w:rPr>
          <w:rFonts w:ascii="Arial" w:hAnsi="Arial" w:cs="Arial"/>
          <w:color w:val="222222"/>
        </w:rPr>
      </w:pPr>
    </w:p>
    <w:p w:rsidR="00E16E25" w:rsidRPr="00A453F7" w14:paraId="44D6A690" w14:textId="77777777">
      <w:pPr>
        <w:widowControl w:val="0"/>
        <w:numPr>
          <w:ilvl w:val="0"/>
          <w:numId w:val="5"/>
        </w:numPr>
        <w:pBdr>
          <w:top w:val="nil"/>
          <w:left w:val="nil"/>
          <w:bottom w:val="nil"/>
          <w:right w:val="nil"/>
          <w:between w:val="nil"/>
        </w:pBdr>
        <w:tabs>
          <w:tab w:val="left" w:pos="360"/>
          <w:tab w:val="left" w:pos="630"/>
          <w:tab w:val="left" w:pos="720"/>
          <w:tab w:val="left" w:pos="1080"/>
        </w:tabs>
        <w:rPr>
          <w:rFonts w:ascii="Arial" w:hAnsi="Arial" w:cs="Arial"/>
          <w:color w:val="222222"/>
        </w:rPr>
      </w:pPr>
      <w:r w:rsidRPr="00A453F7">
        <w:rPr>
          <w:rFonts w:ascii="Arial" w:hAnsi="Arial" w:cs="Arial"/>
          <w:color w:val="222222"/>
          <w:u w:val="single"/>
        </w:rPr>
        <w:t>Need &amp; Method for the Information Collection.</w:t>
      </w:r>
      <w:r w:rsidRPr="00A453F7">
        <w:rPr>
          <w:rFonts w:ascii="Arial" w:hAnsi="Arial" w:cs="Arial"/>
          <w:color w:val="222222"/>
        </w:rPr>
        <w:t xml:space="preserve"> This clearance covers the information that offerors must submit to comply with the following FAR requirements:</w:t>
      </w:r>
    </w:p>
    <w:p w:rsidR="00E16E25" w:rsidRPr="00A453F7" w14:paraId="79C0A9A4" w14:textId="77777777">
      <w:pPr>
        <w:numPr>
          <w:ilvl w:val="0"/>
          <w:numId w:val="4"/>
        </w:numPr>
        <w:rPr>
          <w:rFonts w:ascii="Arial" w:hAnsi="Arial" w:cs="Arial"/>
          <w:color w:val="222222"/>
        </w:rPr>
      </w:pPr>
      <w:r w:rsidRPr="00A453F7">
        <w:rPr>
          <w:rFonts w:ascii="Arial" w:hAnsi="Arial" w:cs="Arial"/>
          <w:color w:val="222222"/>
        </w:rPr>
        <w:t>FAR 52.212-3, Offeror Representations and Certifications - Commercial Products and Commercial Services.</w:t>
      </w:r>
    </w:p>
    <w:p w:rsidR="00E16E25" w:rsidRPr="00A453F7" w14:paraId="7739E793" w14:textId="0B1499B5">
      <w:pPr>
        <w:ind w:left="720" w:firstLine="360"/>
        <w:rPr>
          <w:rFonts w:ascii="Arial" w:hAnsi="Arial" w:cs="Arial"/>
          <w:color w:val="222222"/>
        </w:rPr>
      </w:pPr>
      <w:r w:rsidRPr="00A453F7">
        <w:rPr>
          <w:rFonts w:ascii="Arial" w:hAnsi="Arial" w:cs="Arial"/>
          <w:color w:val="222222"/>
        </w:rPr>
        <w:t xml:space="preserve">Paragraph (b)(2) requires offerors to identify the applicable paragraphs at (c) through (v) of this provision that the offeror has completed for the purposes of the relevant solicitation only, if any. The provision stipulates that any changes provided by the offeror under paragraph (b)(2) are applicable to that specific solicitation only, and do not result in an update to the representations and certifications posted electronically in </w:t>
      </w:r>
      <w:r w:rsidRPr="009F111C" w:rsidR="009F111C">
        <w:rPr>
          <w:rFonts w:ascii="Arial" w:hAnsi="Arial" w:cs="Arial"/>
          <w:color w:val="222222"/>
        </w:rPr>
        <w:t>the System for Award Management</w:t>
      </w:r>
      <w:r w:rsidRPr="00A453F7">
        <w:rPr>
          <w:rFonts w:ascii="Arial" w:hAnsi="Arial" w:cs="Arial"/>
          <w:color w:val="222222"/>
        </w:rPr>
        <w:t>.</w:t>
      </w:r>
    </w:p>
    <w:p w:rsidR="00E16E25" w:rsidRPr="00A453F7" w14:paraId="0375DE3A" w14:textId="77777777">
      <w:pPr>
        <w:ind w:left="720"/>
        <w:rPr>
          <w:rFonts w:ascii="Arial" w:hAnsi="Arial" w:cs="Arial"/>
          <w:color w:val="222222"/>
        </w:rPr>
      </w:pPr>
    </w:p>
    <w:p w:rsidR="00E16E25" w:rsidRPr="00A453F7" w14:paraId="5BDB193B" w14:textId="77777777">
      <w:pPr>
        <w:widowControl w:val="0"/>
        <w:numPr>
          <w:ilvl w:val="0"/>
          <w:numId w:val="5"/>
        </w:numPr>
        <w:pBdr>
          <w:top w:val="nil"/>
          <w:left w:val="nil"/>
          <w:bottom w:val="nil"/>
          <w:right w:val="nil"/>
          <w:between w:val="nil"/>
        </w:pBdr>
        <w:tabs>
          <w:tab w:val="left" w:pos="360"/>
          <w:tab w:val="left" w:pos="630"/>
          <w:tab w:val="left" w:pos="720"/>
          <w:tab w:val="left" w:pos="1080"/>
        </w:tabs>
        <w:rPr>
          <w:rFonts w:ascii="Arial" w:hAnsi="Arial" w:cs="Arial"/>
          <w:color w:val="222222"/>
        </w:rPr>
      </w:pPr>
      <w:r w:rsidRPr="00A453F7">
        <w:rPr>
          <w:rFonts w:ascii="Arial" w:hAnsi="Arial" w:cs="Arial"/>
          <w:color w:val="222222"/>
          <w:u w:val="single"/>
        </w:rPr>
        <w:t>Use of the Information.</w:t>
      </w:r>
      <w:r w:rsidRPr="00A453F7">
        <w:rPr>
          <w:rFonts w:ascii="Arial" w:hAnsi="Arial" w:cs="Arial"/>
          <w:color w:val="222222"/>
        </w:rPr>
        <w:t xml:space="preserve"> The contracting officer will use the information to determine a contractor’s eligibility for award, and to incorporate appropriate terms and conditions into the contract award.</w:t>
      </w:r>
    </w:p>
    <w:p w:rsidR="00E16E25" w:rsidRPr="00A453F7" w14:paraId="7F63D52E" w14:textId="77777777">
      <w:pPr>
        <w:rPr>
          <w:rFonts w:ascii="Arial" w:hAnsi="Arial" w:cs="Arial"/>
          <w:color w:val="222222"/>
          <w:u w:val="single"/>
        </w:rPr>
      </w:pPr>
      <w:r w:rsidRPr="00A453F7">
        <w:rPr>
          <w:rFonts w:ascii="Arial" w:hAnsi="Arial" w:cs="Arial"/>
          <w:color w:val="222222"/>
        </w:rPr>
        <w:t> </w:t>
      </w:r>
    </w:p>
    <w:p w:rsidR="00E16E25" w:rsidRPr="00A453F7" w14:paraId="33F6435E" w14:textId="77777777">
      <w:pPr>
        <w:widowControl w:val="0"/>
        <w:numPr>
          <w:ilvl w:val="0"/>
          <w:numId w:val="5"/>
        </w:numPr>
        <w:pBdr>
          <w:top w:val="nil"/>
          <w:left w:val="nil"/>
          <w:bottom w:val="nil"/>
          <w:right w:val="nil"/>
          <w:between w:val="nil"/>
        </w:pBdr>
        <w:tabs>
          <w:tab w:val="left" w:pos="360"/>
          <w:tab w:val="left" w:pos="720"/>
          <w:tab w:val="left" w:pos="1080"/>
        </w:tabs>
        <w:rPr>
          <w:rFonts w:ascii="Arial" w:hAnsi="Arial" w:cs="Arial"/>
          <w:color w:val="222222"/>
        </w:rPr>
      </w:pPr>
      <w:r w:rsidRPr="00A453F7">
        <w:rPr>
          <w:rFonts w:ascii="Arial" w:hAnsi="Arial" w:cs="Arial"/>
          <w:color w:val="222222"/>
          <w:u w:val="single"/>
        </w:rPr>
        <w:t>Use of Information Technology.</w:t>
      </w:r>
      <w:r w:rsidRPr="00A453F7">
        <w:rPr>
          <w:rFonts w:ascii="Arial" w:hAnsi="Arial" w:cs="Arial"/>
          <w:color w:val="222222"/>
        </w:rPr>
        <w:t xml:space="preserve"> Federal agencies use information technology to the maximum extent practicable. Where both the Government agency and contractors are capable of electronic interchange, the offerors may submit this information collection requirement electronically.</w:t>
      </w:r>
    </w:p>
    <w:p w:rsidR="00E16E25" w:rsidRPr="00A453F7" w14:paraId="09833828" w14:textId="77777777">
      <w:pPr>
        <w:widowControl w:val="0"/>
        <w:tabs>
          <w:tab w:val="left" w:pos="360"/>
          <w:tab w:val="left" w:pos="720"/>
          <w:tab w:val="left" w:pos="1080"/>
        </w:tabs>
        <w:rPr>
          <w:rFonts w:ascii="Arial" w:hAnsi="Arial" w:cs="Arial"/>
          <w:color w:val="222222"/>
        </w:rPr>
      </w:pPr>
    </w:p>
    <w:p w:rsidR="00E16E25" w:rsidRPr="00A453F7" w14:paraId="0A0E0331" w14:textId="77777777">
      <w:pPr>
        <w:widowControl w:val="0"/>
        <w:numPr>
          <w:ilvl w:val="0"/>
          <w:numId w:val="5"/>
        </w:numPr>
        <w:pBdr>
          <w:top w:val="nil"/>
          <w:left w:val="nil"/>
          <w:bottom w:val="nil"/>
          <w:right w:val="nil"/>
          <w:between w:val="nil"/>
        </w:pBdr>
        <w:tabs>
          <w:tab w:val="left" w:pos="360"/>
          <w:tab w:val="left" w:pos="720"/>
          <w:tab w:val="left" w:pos="1080"/>
          <w:tab w:val="left" w:pos="1440"/>
        </w:tabs>
        <w:rPr>
          <w:rFonts w:ascii="Arial" w:hAnsi="Arial" w:cs="Arial"/>
          <w:color w:val="222222"/>
        </w:rPr>
      </w:pPr>
      <w:r w:rsidRPr="00A453F7">
        <w:rPr>
          <w:rFonts w:ascii="Arial" w:hAnsi="Arial" w:cs="Arial"/>
          <w:color w:val="222222"/>
          <w:u w:val="single"/>
        </w:rPr>
        <w:t>Non-duplication.</w:t>
      </w:r>
      <w:r w:rsidRPr="00A453F7">
        <w:rPr>
          <w:rFonts w:ascii="Arial" w:hAnsi="Arial" w:cs="Arial"/>
          <w:color w:val="222222"/>
        </w:rPr>
        <w:t xml:space="preserve"> These requirements are issued under the FAR, which has been developed to standardize Federal procurement practices and eliminate unnecessary duplication.</w:t>
      </w:r>
    </w:p>
    <w:p w:rsidR="00E16E25" w:rsidRPr="00A453F7" w14:paraId="569D2C2A" w14:textId="77777777">
      <w:pPr>
        <w:widowControl w:val="0"/>
        <w:pBdr>
          <w:top w:val="nil"/>
          <w:left w:val="nil"/>
          <w:bottom w:val="nil"/>
          <w:right w:val="nil"/>
          <w:between w:val="nil"/>
        </w:pBdr>
        <w:tabs>
          <w:tab w:val="left" w:pos="360"/>
          <w:tab w:val="left" w:pos="720"/>
          <w:tab w:val="left" w:pos="1080"/>
          <w:tab w:val="left" w:pos="1440"/>
        </w:tabs>
        <w:ind w:left="360"/>
        <w:rPr>
          <w:rFonts w:ascii="Arial" w:hAnsi="Arial" w:cs="Arial"/>
          <w:color w:val="222222"/>
        </w:rPr>
      </w:pPr>
    </w:p>
    <w:p w:rsidR="00E16E25" w:rsidRPr="00A453F7" w14:paraId="66B43E64" w14:textId="77777777">
      <w:pPr>
        <w:widowControl w:val="0"/>
        <w:numPr>
          <w:ilvl w:val="0"/>
          <w:numId w:val="5"/>
        </w:numPr>
        <w:pBdr>
          <w:top w:val="nil"/>
          <w:left w:val="nil"/>
          <w:bottom w:val="nil"/>
          <w:right w:val="nil"/>
          <w:between w:val="nil"/>
        </w:pBdr>
        <w:tabs>
          <w:tab w:val="left" w:pos="360"/>
          <w:tab w:val="left" w:pos="720"/>
          <w:tab w:val="left" w:pos="1080"/>
          <w:tab w:val="left" w:pos="1440"/>
        </w:tabs>
        <w:rPr>
          <w:rFonts w:ascii="Arial" w:hAnsi="Arial" w:cs="Arial"/>
          <w:color w:val="222222"/>
        </w:rPr>
      </w:pPr>
      <w:r w:rsidRPr="00A453F7">
        <w:rPr>
          <w:rFonts w:ascii="Arial" w:hAnsi="Arial" w:cs="Arial"/>
          <w:color w:val="222222"/>
          <w:u w:val="single"/>
        </w:rPr>
        <w:t>Burden on Small Business.</w:t>
      </w:r>
      <w:r w:rsidRPr="00A453F7">
        <w:rPr>
          <w:rFonts w:ascii="Arial" w:hAnsi="Arial" w:cs="Arial"/>
          <w:color w:val="222222"/>
        </w:rPr>
        <w:t xml:space="preserve"> The burden applied to small businesses is the minimum consistent with applicable laws, Executive orders, regulations, and prudent business practices.</w:t>
      </w:r>
    </w:p>
    <w:p w:rsidR="00E16E25" w:rsidRPr="00A453F7" w14:paraId="2BCA7B30" w14:textId="77777777">
      <w:pPr>
        <w:widowControl w:val="0"/>
        <w:tabs>
          <w:tab w:val="left" w:pos="360"/>
          <w:tab w:val="left" w:pos="720"/>
          <w:tab w:val="left" w:pos="1080"/>
          <w:tab w:val="left" w:pos="1440"/>
        </w:tabs>
        <w:rPr>
          <w:rFonts w:ascii="Arial" w:hAnsi="Arial" w:cs="Arial"/>
          <w:color w:val="222222"/>
        </w:rPr>
      </w:pPr>
    </w:p>
    <w:p w:rsidR="00E16E25" w:rsidRPr="00A453F7" w14:paraId="11E4B9C1" w14:textId="77777777">
      <w:pPr>
        <w:widowControl w:val="0"/>
        <w:numPr>
          <w:ilvl w:val="0"/>
          <w:numId w:val="5"/>
        </w:numPr>
        <w:pBdr>
          <w:top w:val="nil"/>
          <w:left w:val="nil"/>
          <w:bottom w:val="nil"/>
          <w:right w:val="nil"/>
          <w:between w:val="nil"/>
        </w:pBdr>
        <w:tabs>
          <w:tab w:val="left" w:pos="360"/>
          <w:tab w:val="left" w:pos="720"/>
          <w:tab w:val="left" w:pos="1080"/>
        </w:tabs>
        <w:rPr>
          <w:rFonts w:ascii="Arial" w:hAnsi="Arial" w:cs="Arial"/>
          <w:color w:val="222222"/>
        </w:rPr>
      </w:pPr>
      <w:r w:rsidRPr="00A453F7">
        <w:rPr>
          <w:rFonts w:ascii="Arial" w:hAnsi="Arial" w:cs="Arial"/>
          <w:color w:val="222222"/>
          <w:u w:val="single"/>
        </w:rPr>
        <w:t>Less Frequent Collection.</w:t>
      </w:r>
      <w:r w:rsidRPr="00A453F7">
        <w:rPr>
          <w:rFonts w:ascii="Arial" w:hAnsi="Arial" w:cs="Arial"/>
          <w:color w:val="222222"/>
        </w:rPr>
        <w:t xml:space="preserve"> Collection of information on a basis other than solicitation-by-solicitation is not practical.</w:t>
      </w:r>
    </w:p>
    <w:p w:rsidR="00E16E25" w:rsidRPr="00A453F7" w14:paraId="0EB6E860" w14:textId="77777777">
      <w:pPr>
        <w:rPr>
          <w:rFonts w:ascii="Arial" w:hAnsi="Arial" w:cs="Arial"/>
          <w:color w:val="222222"/>
        </w:rPr>
      </w:pPr>
    </w:p>
    <w:p w:rsidR="00E16E25" w:rsidRPr="00A453F7" w14:paraId="19FD5463" w14:textId="77777777">
      <w:pPr>
        <w:widowControl w:val="0"/>
        <w:numPr>
          <w:ilvl w:val="0"/>
          <w:numId w:val="5"/>
        </w:numPr>
        <w:pBdr>
          <w:top w:val="nil"/>
          <w:left w:val="nil"/>
          <w:bottom w:val="nil"/>
          <w:right w:val="nil"/>
          <w:between w:val="nil"/>
        </w:pBdr>
        <w:tabs>
          <w:tab w:val="left" w:pos="360"/>
          <w:tab w:val="left" w:pos="720"/>
          <w:tab w:val="left" w:pos="1080"/>
          <w:tab w:val="left" w:pos="1440"/>
        </w:tabs>
        <w:rPr>
          <w:rFonts w:ascii="Arial" w:hAnsi="Arial" w:cs="Arial"/>
          <w:color w:val="222222"/>
        </w:rPr>
      </w:pPr>
      <w:r w:rsidRPr="00A453F7">
        <w:rPr>
          <w:rFonts w:ascii="Arial" w:hAnsi="Arial" w:cs="Arial"/>
          <w:color w:val="222222"/>
          <w:u w:val="single"/>
        </w:rPr>
        <w:t>Paperwork Reduction Act Guidelines.</w:t>
      </w:r>
      <w:r w:rsidRPr="00A453F7">
        <w:rPr>
          <w:rFonts w:ascii="Arial" w:hAnsi="Arial" w:cs="Arial"/>
          <w:color w:val="222222"/>
        </w:rPr>
        <w:t xml:space="preserve"> Collection is consistent with guidelines in 5 CFR 1320.5(d)(2). Respondents must prepare a written response to the collection of information in paragraph (b)(2) of the FAR provision at 52.212-3 per each solicitation if needed.</w:t>
      </w:r>
    </w:p>
    <w:p w:rsidR="00E16E25" w:rsidRPr="00A453F7" w14:paraId="269B2592" w14:textId="77777777">
      <w:pPr>
        <w:widowControl w:val="0"/>
        <w:pBdr>
          <w:top w:val="nil"/>
          <w:left w:val="nil"/>
          <w:bottom w:val="nil"/>
          <w:right w:val="nil"/>
          <w:between w:val="nil"/>
        </w:pBdr>
        <w:tabs>
          <w:tab w:val="left" w:pos="360"/>
          <w:tab w:val="left" w:pos="720"/>
          <w:tab w:val="left" w:pos="1080"/>
          <w:tab w:val="left" w:pos="1440"/>
        </w:tabs>
        <w:ind w:left="-450"/>
        <w:rPr>
          <w:rFonts w:ascii="Arial" w:hAnsi="Arial" w:cs="Arial"/>
          <w:color w:val="222222"/>
        </w:rPr>
      </w:pPr>
    </w:p>
    <w:p w:rsidR="00E16E25" w:rsidRPr="00A453F7" w14:paraId="28FD1015" w14:textId="77777777">
      <w:pPr>
        <w:widowControl w:val="0"/>
        <w:numPr>
          <w:ilvl w:val="0"/>
          <w:numId w:val="5"/>
        </w:numPr>
        <w:pBdr>
          <w:top w:val="nil"/>
          <w:left w:val="nil"/>
          <w:bottom w:val="nil"/>
          <w:right w:val="nil"/>
          <w:between w:val="nil"/>
        </w:pBdr>
        <w:tabs>
          <w:tab w:val="left" w:pos="360"/>
          <w:tab w:val="left" w:pos="720"/>
          <w:tab w:val="left" w:pos="1080"/>
          <w:tab w:val="left" w:pos="1440"/>
        </w:tabs>
        <w:ind w:right="183"/>
        <w:rPr>
          <w:rFonts w:ascii="Arial" w:hAnsi="Arial" w:cs="Arial"/>
          <w:color w:val="222222"/>
        </w:rPr>
      </w:pPr>
      <w:r w:rsidRPr="00A453F7">
        <w:rPr>
          <w:rFonts w:ascii="Arial" w:hAnsi="Arial" w:cs="Arial"/>
          <w:color w:val="222222"/>
          <w:u w:val="single"/>
        </w:rPr>
        <w:t>Consultation and Public Comments.</w:t>
      </w:r>
      <w:r w:rsidRPr="00A453F7">
        <w:rPr>
          <w:rFonts w:ascii="Arial" w:hAnsi="Arial" w:cs="Arial"/>
          <w:color w:val="222222"/>
        </w:rPr>
        <w:t xml:space="preserve"> </w:t>
      </w:r>
    </w:p>
    <w:p w:rsidR="00E16E25" w:rsidRPr="00A453F7" w14:paraId="0F5EB865" w14:textId="4E150128">
      <w:pPr>
        <w:widowControl w:val="0"/>
        <w:numPr>
          <w:ilvl w:val="0"/>
          <w:numId w:val="2"/>
        </w:numPr>
        <w:pBdr>
          <w:top w:val="nil"/>
          <w:left w:val="nil"/>
          <w:bottom w:val="nil"/>
          <w:right w:val="nil"/>
          <w:between w:val="nil"/>
        </w:pBdr>
        <w:tabs>
          <w:tab w:val="left" w:pos="360"/>
          <w:tab w:val="left" w:pos="720"/>
          <w:tab w:val="left" w:pos="1080"/>
          <w:tab w:val="left" w:pos="1440"/>
        </w:tabs>
        <w:ind w:right="183"/>
        <w:rPr>
          <w:rFonts w:ascii="Arial" w:hAnsi="Arial" w:cs="Arial"/>
          <w:color w:val="222222"/>
        </w:rPr>
      </w:pPr>
      <w:r w:rsidRPr="00A453F7">
        <w:rPr>
          <w:rFonts w:ascii="Arial" w:hAnsi="Arial" w:cs="Arial"/>
          <w:color w:val="222222"/>
        </w:rPr>
        <w:t xml:space="preserve">A 60-day notice was published in the </w:t>
      </w:r>
      <w:r w:rsidRPr="00BC4799">
        <w:rPr>
          <w:rFonts w:ascii="Arial" w:hAnsi="Arial" w:cs="Arial"/>
          <w:i/>
          <w:iCs/>
          <w:color w:val="222222"/>
        </w:rPr>
        <w:t>Federal Register</w:t>
      </w:r>
      <w:r w:rsidRPr="00A453F7">
        <w:rPr>
          <w:rFonts w:ascii="Arial" w:hAnsi="Arial" w:cs="Arial"/>
          <w:color w:val="222222"/>
        </w:rPr>
        <w:t xml:space="preserve"> at </w:t>
      </w:r>
      <w:r w:rsidRPr="00CE6433" w:rsidR="00CE6433">
        <w:rPr>
          <w:rFonts w:ascii="Arial" w:hAnsi="Arial" w:cs="Arial"/>
          <w:color w:val="222222"/>
        </w:rPr>
        <w:t>87 FR 43039, on July 19, 2022. No comments were received.</w:t>
      </w:r>
    </w:p>
    <w:p w:rsidR="00E16E25" w:rsidRPr="00A453F7" w14:paraId="3FD4A819" w14:textId="18C47ED4">
      <w:pPr>
        <w:widowControl w:val="0"/>
        <w:numPr>
          <w:ilvl w:val="0"/>
          <w:numId w:val="2"/>
        </w:numPr>
        <w:pBdr>
          <w:top w:val="nil"/>
          <w:left w:val="nil"/>
          <w:bottom w:val="nil"/>
          <w:right w:val="nil"/>
          <w:between w:val="nil"/>
        </w:pBdr>
        <w:tabs>
          <w:tab w:val="left" w:pos="360"/>
          <w:tab w:val="left" w:pos="720"/>
          <w:tab w:val="left" w:pos="1080"/>
          <w:tab w:val="left" w:pos="1440"/>
        </w:tabs>
        <w:ind w:right="183"/>
        <w:rPr>
          <w:rFonts w:ascii="Arial" w:hAnsi="Arial" w:cs="Arial"/>
          <w:color w:val="222222"/>
        </w:rPr>
      </w:pPr>
      <w:r w:rsidRPr="00A453F7">
        <w:rPr>
          <w:rFonts w:ascii="Arial" w:hAnsi="Arial" w:cs="Arial"/>
          <w:color w:val="222222"/>
        </w:rPr>
        <w:t xml:space="preserve">A 30-day notice was published in the </w:t>
      </w:r>
      <w:r w:rsidRPr="00BC4799">
        <w:rPr>
          <w:rFonts w:ascii="Arial" w:hAnsi="Arial" w:cs="Arial"/>
          <w:i/>
          <w:iCs/>
          <w:color w:val="222222"/>
        </w:rPr>
        <w:t>Federal Register</w:t>
      </w:r>
      <w:r w:rsidRPr="00A453F7">
        <w:rPr>
          <w:rFonts w:ascii="Arial" w:hAnsi="Arial" w:cs="Arial"/>
          <w:color w:val="222222"/>
        </w:rPr>
        <w:t xml:space="preserve"> at </w:t>
      </w:r>
      <w:r w:rsidR="00BC4799">
        <w:rPr>
          <w:rFonts w:ascii="Arial" w:hAnsi="Arial" w:cs="Arial"/>
          <w:color w:val="222222"/>
        </w:rPr>
        <w:t>87</w:t>
      </w:r>
      <w:r w:rsidRPr="00A453F7">
        <w:rPr>
          <w:rFonts w:ascii="Arial" w:hAnsi="Arial" w:cs="Arial"/>
          <w:color w:val="222222"/>
        </w:rPr>
        <w:t xml:space="preserve"> FR </w:t>
      </w:r>
      <w:r w:rsidR="00BC4799">
        <w:rPr>
          <w:rFonts w:ascii="Arial" w:hAnsi="Arial" w:cs="Arial"/>
          <w:color w:val="222222"/>
        </w:rPr>
        <w:t>58502</w:t>
      </w:r>
      <w:r w:rsidRPr="00A453F7">
        <w:rPr>
          <w:rFonts w:ascii="Arial" w:hAnsi="Arial" w:cs="Arial"/>
          <w:color w:val="222222"/>
        </w:rPr>
        <w:t xml:space="preserve">, on </w:t>
      </w:r>
      <w:r w:rsidR="00BC4799">
        <w:rPr>
          <w:rFonts w:ascii="Arial" w:hAnsi="Arial" w:cs="Arial"/>
          <w:color w:val="222222"/>
        </w:rPr>
        <w:t>September 27, 2022</w:t>
      </w:r>
      <w:r w:rsidRPr="00A453F7">
        <w:rPr>
          <w:rFonts w:ascii="Arial" w:hAnsi="Arial" w:cs="Arial"/>
          <w:color w:val="222222"/>
        </w:rPr>
        <w:t>.</w:t>
      </w:r>
    </w:p>
    <w:p w:rsidR="00E16E25" w:rsidRPr="00A453F7" w14:paraId="5C41A3C4" w14:textId="77777777">
      <w:pPr>
        <w:widowControl w:val="0"/>
        <w:pBdr>
          <w:top w:val="nil"/>
          <w:left w:val="nil"/>
          <w:bottom w:val="nil"/>
          <w:right w:val="nil"/>
          <w:between w:val="nil"/>
        </w:pBdr>
        <w:tabs>
          <w:tab w:val="left" w:pos="360"/>
          <w:tab w:val="left" w:pos="720"/>
          <w:tab w:val="left" w:pos="1080"/>
          <w:tab w:val="left" w:pos="1440"/>
        </w:tabs>
        <w:ind w:left="720" w:right="183"/>
        <w:rPr>
          <w:rFonts w:ascii="Arial" w:hAnsi="Arial" w:cs="Arial"/>
          <w:color w:val="222222"/>
        </w:rPr>
      </w:pPr>
    </w:p>
    <w:p w:rsidR="00CD1593" w:rsidRPr="00A453F7" w:rsidP="00CD1593" w14:paraId="15F3E61F" w14:textId="77777777">
      <w:pPr>
        <w:widowControl w:val="0"/>
        <w:numPr>
          <w:ilvl w:val="0"/>
          <w:numId w:val="5"/>
        </w:numPr>
        <w:pBdr>
          <w:top w:val="nil"/>
          <w:left w:val="nil"/>
          <w:bottom w:val="nil"/>
          <w:right w:val="nil"/>
          <w:between w:val="nil"/>
        </w:pBdr>
        <w:tabs>
          <w:tab w:val="left" w:pos="360"/>
          <w:tab w:val="left" w:pos="720"/>
          <w:tab w:val="left" w:pos="1080"/>
          <w:tab w:val="left" w:pos="1440"/>
        </w:tabs>
        <w:rPr>
          <w:rFonts w:ascii="Arial" w:hAnsi="Arial" w:cs="Arial"/>
          <w:color w:val="222222"/>
        </w:rPr>
      </w:pPr>
      <w:r w:rsidRPr="00A453F7">
        <w:rPr>
          <w:rFonts w:ascii="Arial" w:hAnsi="Arial" w:cs="Arial"/>
          <w:color w:val="222222"/>
          <w:u w:val="single"/>
        </w:rPr>
        <w:t>Gifts or Payment.</w:t>
      </w:r>
      <w:r w:rsidRPr="00A453F7">
        <w:rPr>
          <w:rFonts w:ascii="Arial" w:hAnsi="Arial" w:cs="Arial"/>
          <w:color w:val="222222"/>
        </w:rPr>
        <w:t xml:space="preserve"> This collection does not provide any payment or gift to respondents, other than remuneration of contractors.</w:t>
      </w:r>
    </w:p>
    <w:p w:rsidR="00CD1593" w:rsidRPr="00A453F7" w:rsidP="00CD1593" w14:paraId="6991C0D0" w14:textId="77777777">
      <w:pPr>
        <w:widowControl w:val="0"/>
        <w:pBdr>
          <w:top w:val="nil"/>
          <w:left w:val="nil"/>
          <w:bottom w:val="nil"/>
          <w:right w:val="nil"/>
          <w:between w:val="nil"/>
        </w:pBdr>
        <w:tabs>
          <w:tab w:val="left" w:pos="360"/>
          <w:tab w:val="left" w:pos="720"/>
          <w:tab w:val="left" w:pos="1080"/>
          <w:tab w:val="left" w:pos="1440"/>
        </w:tabs>
        <w:ind w:left="-450"/>
        <w:rPr>
          <w:rFonts w:ascii="Arial" w:hAnsi="Arial" w:cs="Arial"/>
          <w:color w:val="222222"/>
        </w:rPr>
      </w:pPr>
    </w:p>
    <w:p w:rsidR="00CD1593" w:rsidRPr="00A453F7" w:rsidP="00CD1593" w14:paraId="2050F069" w14:textId="617BC5B5">
      <w:pPr>
        <w:pStyle w:val="ListParagraph"/>
        <w:widowControl w:val="0"/>
        <w:numPr>
          <w:ilvl w:val="0"/>
          <w:numId w:val="5"/>
        </w:numPr>
        <w:pBdr>
          <w:top w:val="nil"/>
          <w:left w:val="nil"/>
          <w:bottom w:val="nil"/>
          <w:right w:val="nil"/>
          <w:between w:val="nil"/>
        </w:pBdr>
        <w:tabs>
          <w:tab w:val="left" w:pos="-360"/>
          <w:tab w:val="left" w:pos="1440"/>
        </w:tabs>
        <w:rPr>
          <w:rFonts w:ascii="Arial" w:hAnsi="Arial" w:cs="Arial"/>
          <w:color w:val="222222"/>
        </w:rPr>
      </w:pPr>
      <w:r w:rsidRPr="00A453F7">
        <w:rPr>
          <w:rFonts w:ascii="Arial" w:hAnsi="Arial" w:cs="Arial"/>
          <w:color w:val="222222"/>
          <w:u w:val="single"/>
        </w:rPr>
        <w:t>Privacy &amp; Confidentiality.</w:t>
      </w:r>
      <w:r w:rsidRPr="00A453F7">
        <w:rPr>
          <w:rFonts w:ascii="Arial" w:hAnsi="Arial" w:cs="Arial"/>
          <w:color w:val="222222"/>
        </w:rPr>
        <w:t xml:space="preserve">  This information is disclosed only to the extent consistent with prudent business practices, current regulations, and statutory requirements.</w:t>
      </w:r>
    </w:p>
    <w:p w:rsidR="00CD1593" w:rsidRPr="00A453F7" w:rsidP="00CD1593" w14:paraId="5C23B101" w14:textId="77777777">
      <w:pPr>
        <w:pStyle w:val="ListParagraph"/>
        <w:rPr>
          <w:rFonts w:ascii="Arial" w:hAnsi="Arial" w:cs="Arial"/>
          <w:color w:val="222222"/>
          <w:u w:val="single"/>
        </w:rPr>
      </w:pPr>
    </w:p>
    <w:p w:rsidR="00CD1593" w:rsidRPr="00A453F7" w:rsidP="00CD1593" w14:paraId="55A05E34" w14:textId="77777777">
      <w:pPr>
        <w:pStyle w:val="ListParagraph"/>
        <w:widowControl w:val="0"/>
        <w:numPr>
          <w:ilvl w:val="0"/>
          <w:numId w:val="5"/>
        </w:numPr>
        <w:pBdr>
          <w:top w:val="nil"/>
          <w:left w:val="nil"/>
          <w:bottom w:val="nil"/>
          <w:right w:val="nil"/>
          <w:between w:val="nil"/>
        </w:pBdr>
        <w:tabs>
          <w:tab w:val="left" w:pos="-360"/>
          <w:tab w:val="left" w:pos="1080"/>
          <w:tab w:val="left" w:pos="1440"/>
        </w:tabs>
        <w:rPr>
          <w:rFonts w:ascii="Arial" w:hAnsi="Arial" w:cs="Arial"/>
          <w:color w:val="222222"/>
        </w:rPr>
      </w:pPr>
      <w:r w:rsidRPr="00A453F7">
        <w:rPr>
          <w:rFonts w:ascii="Arial" w:hAnsi="Arial" w:cs="Arial"/>
          <w:color w:val="222222"/>
          <w:u w:val="single"/>
        </w:rPr>
        <w:t>Sensitive Questions.</w:t>
      </w:r>
      <w:r w:rsidRPr="00A453F7">
        <w:rPr>
          <w:rFonts w:ascii="Arial" w:hAnsi="Arial" w:cs="Arial"/>
          <w:color w:val="222222"/>
        </w:rPr>
        <w:t xml:space="preserve">  No sensitive questions are involved.</w:t>
      </w:r>
    </w:p>
    <w:p w:rsidR="00CD1593" w:rsidRPr="00A453F7" w:rsidP="00CD1593" w14:paraId="044ADBBE" w14:textId="77777777">
      <w:pPr>
        <w:pStyle w:val="ListParagraph"/>
        <w:rPr>
          <w:rFonts w:ascii="Arial" w:hAnsi="Arial" w:cs="Arial"/>
          <w:color w:val="222222"/>
          <w:u w:val="single"/>
        </w:rPr>
      </w:pPr>
    </w:p>
    <w:p w:rsidR="00E16E25" w:rsidRPr="00A453F7" w:rsidP="00CD1593" w14:paraId="124EDFD9" w14:textId="0C3B2FAB">
      <w:pPr>
        <w:pStyle w:val="ListParagraph"/>
        <w:widowControl w:val="0"/>
        <w:numPr>
          <w:ilvl w:val="0"/>
          <w:numId w:val="5"/>
        </w:numPr>
        <w:pBdr>
          <w:top w:val="nil"/>
          <w:left w:val="nil"/>
          <w:bottom w:val="nil"/>
          <w:right w:val="nil"/>
          <w:between w:val="nil"/>
        </w:pBdr>
        <w:tabs>
          <w:tab w:val="left" w:pos="-360"/>
          <w:tab w:val="left" w:pos="1080"/>
          <w:tab w:val="left" w:pos="1440"/>
        </w:tabs>
        <w:rPr>
          <w:rFonts w:ascii="Arial" w:hAnsi="Arial" w:cs="Arial"/>
          <w:color w:val="222222"/>
        </w:rPr>
      </w:pPr>
      <w:r w:rsidRPr="00A453F7">
        <w:rPr>
          <w:rFonts w:ascii="Arial" w:hAnsi="Arial" w:cs="Arial"/>
          <w:color w:val="222222"/>
          <w:u w:val="single"/>
        </w:rPr>
        <w:t>Burden Estimate.</w:t>
      </w:r>
      <w:r w:rsidRPr="00A453F7">
        <w:rPr>
          <w:rFonts w:ascii="Arial" w:hAnsi="Arial" w:cs="Arial"/>
          <w:color w:val="222222"/>
        </w:rPr>
        <w:t xml:space="preserve"> </w:t>
      </w:r>
    </w:p>
    <w:p w:rsidR="00E16E25" w:rsidRPr="00A453F7" w14:paraId="76EE354F" w14:textId="77777777">
      <w:pPr>
        <w:ind w:right="-40"/>
        <w:jc w:val="center"/>
        <w:rPr>
          <w:rFonts w:ascii="Arial" w:hAnsi="Arial" w:cs="Arial"/>
          <w:color w:val="222222"/>
        </w:rPr>
      </w:pPr>
      <w:r w:rsidRPr="00A453F7">
        <w:rPr>
          <w:rFonts w:ascii="Arial" w:hAnsi="Arial" w:cs="Arial"/>
          <w:b/>
          <w:color w:val="222222"/>
        </w:rPr>
        <w:t>Estimated total annual public hour and cost burden</w:t>
      </w:r>
      <w:r w:rsidRPr="00A453F7">
        <w:rPr>
          <w:rFonts w:ascii="Arial" w:hAnsi="Arial" w:cs="Arial"/>
          <w:color w:val="222222"/>
        </w:rPr>
        <w:t>.</w:t>
      </w:r>
    </w:p>
    <w:p w:rsidR="00E16E25" w:rsidRPr="00A453F7" w14:paraId="2B8021B8" w14:textId="77777777">
      <w:pPr>
        <w:rPr>
          <w:rFonts w:ascii="Arial" w:hAnsi="Arial" w:cs="Arial"/>
          <w:color w:val="222222"/>
        </w:rPr>
      </w:pPr>
    </w:p>
    <w:p w:rsidR="00E16E25" w:rsidRPr="00A453F7" w14:paraId="6D9A59CC" w14:textId="77777777">
      <w:pPr>
        <w:ind w:firstLine="360"/>
        <w:rPr>
          <w:rFonts w:ascii="Arial" w:hAnsi="Arial" w:cs="Arial"/>
          <w:color w:val="222222"/>
        </w:rPr>
      </w:pPr>
      <w:r w:rsidRPr="00A453F7">
        <w:rPr>
          <w:rFonts w:ascii="Arial" w:hAnsi="Arial" w:cs="Arial"/>
          <w:color w:val="222222"/>
        </w:rPr>
        <w:t>There is no centralized database that maintains statistics on the number of offerors that provide the information collected under the FAR provision at 52.212-3(b)(2).</w:t>
      </w:r>
    </w:p>
    <w:p w:rsidR="00E16E25" w:rsidRPr="00A453F7" w14:paraId="5573CBAA" w14:textId="77777777">
      <w:pPr>
        <w:ind w:firstLine="360"/>
        <w:rPr>
          <w:rFonts w:ascii="Arial" w:hAnsi="Arial" w:cs="Arial"/>
          <w:color w:val="222222"/>
        </w:rPr>
      </w:pPr>
      <w:r w:rsidRPr="00A453F7">
        <w:rPr>
          <w:rFonts w:ascii="Arial" w:hAnsi="Arial" w:cs="Arial"/>
          <w:color w:val="222222"/>
        </w:rPr>
        <w:t xml:space="preserve">The following estimates are based on averages of historical award data available in FPDS for fiscal years 2019 through 2021 for the number of all base awards valued greater than the micro-purchase threshold ($10,000) that used FAR part 12 acquisition procedures.  </w:t>
      </w:r>
    </w:p>
    <w:p w:rsidR="00E16E25" w:rsidRPr="00A453F7" w14:paraId="5659099B" w14:textId="77777777">
      <w:pPr>
        <w:ind w:firstLine="360"/>
        <w:rPr>
          <w:rFonts w:ascii="Arial" w:hAnsi="Arial" w:cs="Arial"/>
          <w:color w:val="222222"/>
        </w:rPr>
      </w:pPr>
      <w:r w:rsidRPr="00A453F7">
        <w:rPr>
          <w:rFonts w:ascii="Arial" w:hAnsi="Arial" w:cs="Arial"/>
          <w:color w:val="222222"/>
        </w:rPr>
        <w:t>On average per year, the Government awards 138,303 contracts for the acquisition of commercial products and commercial services to 46,685 unique awardees.</w:t>
      </w:r>
    </w:p>
    <w:p w:rsidR="00E16E25" w:rsidRPr="00A453F7" w14:paraId="30D258C6" w14:textId="77777777">
      <w:pPr>
        <w:ind w:firstLine="360"/>
        <w:rPr>
          <w:rFonts w:ascii="Arial" w:hAnsi="Arial" w:cs="Arial"/>
          <w:color w:val="222222"/>
        </w:rPr>
      </w:pPr>
      <w:r w:rsidRPr="00A453F7">
        <w:rPr>
          <w:rFonts w:ascii="Arial" w:hAnsi="Arial" w:cs="Arial"/>
          <w:color w:val="222222"/>
        </w:rPr>
        <w:t>The number of respondents is the number of offerors which is the number of unique awardees x 3 offerors per each solicitation (140,055= 46,685 x 3). The number of responses per year is the number of offers received which is the number of awards per year x 3 offers per award (414,909= 138,303 x 3). The responses per respondent are a mathematical calculation from dividing the estimated total annual responses by the number of respondents. The estimated time required to gather necessary information, prepare necessary paperwork, and convey this information to the Government is 30 minutes per response.</w:t>
      </w:r>
    </w:p>
    <w:p w:rsidR="00E16E25" w:rsidRPr="00A453F7" w14:paraId="10A47920" w14:textId="77777777">
      <w:pPr>
        <w:rPr>
          <w:rFonts w:ascii="Arial" w:hAnsi="Arial" w:cs="Arial"/>
          <w:color w:val="222222"/>
        </w:rPr>
      </w:pPr>
    </w:p>
    <w:p w:rsidR="00E16E25" w:rsidRPr="00A453F7" w14:paraId="10C78842" w14:textId="77777777">
      <w:pPr>
        <w:rPr>
          <w:rFonts w:ascii="Arial" w:hAnsi="Arial" w:cs="Arial"/>
          <w:color w:val="222222"/>
        </w:rPr>
      </w:pPr>
      <w:r w:rsidRPr="00A453F7">
        <w:rPr>
          <w:rFonts w:ascii="Arial" w:hAnsi="Arial" w:cs="Arial"/>
          <w:b/>
          <w:color w:val="222222"/>
        </w:rPr>
        <w:t>Reporting</w:t>
      </w:r>
    </w:p>
    <w:p w:rsidR="00E16E25" w:rsidRPr="00A453F7" w14:paraId="51C31854" w14:textId="77777777">
      <w:pPr>
        <w:rPr>
          <w:rFonts w:ascii="Arial" w:hAnsi="Arial" w:cs="Arial"/>
          <w:color w:val="222222"/>
        </w:rPr>
      </w:pPr>
    </w:p>
    <w:p w:rsidR="00E16E25" w:rsidRPr="00A453F7" w14:paraId="44892BE0" w14:textId="77777777">
      <w:pPr>
        <w:rPr>
          <w:rFonts w:ascii="Arial" w:hAnsi="Arial" w:cs="Arial"/>
          <w:color w:val="222222"/>
        </w:rPr>
      </w:pPr>
      <w:r w:rsidRPr="00A453F7">
        <w:rPr>
          <w:rFonts w:ascii="Arial" w:hAnsi="Arial" w:cs="Arial"/>
          <w:color w:val="222222"/>
        </w:rPr>
        <w:t>Estimated number of respondents/yr......................................140,055</w:t>
      </w:r>
    </w:p>
    <w:p w:rsidR="00E16E25" w:rsidRPr="00A453F7" w14:paraId="5D6516A7" w14:textId="77777777">
      <w:pPr>
        <w:ind w:right="-80"/>
        <w:rPr>
          <w:rFonts w:ascii="Arial" w:hAnsi="Arial" w:cs="Arial"/>
          <w:color w:val="222222"/>
        </w:rPr>
      </w:pPr>
      <w:r w:rsidRPr="00A453F7">
        <w:rPr>
          <w:rFonts w:ascii="Arial" w:hAnsi="Arial" w:cs="Arial"/>
          <w:color w:val="222222"/>
        </w:rPr>
        <w:t xml:space="preserve">Responses per respondent......................................................   </w:t>
      </w:r>
      <w:r w:rsidRPr="00A453F7">
        <w:rPr>
          <w:rFonts w:ascii="Arial" w:hAnsi="Arial" w:cs="Arial"/>
          <w:color w:val="222222"/>
          <w:u w:val="single"/>
        </w:rPr>
        <w:t>x 2.96</w:t>
      </w:r>
    </w:p>
    <w:p w:rsidR="00E16E25" w:rsidRPr="00A453F7" w14:paraId="0A22DC30" w14:textId="1D727C7C">
      <w:pPr>
        <w:ind w:right="-80"/>
        <w:rPr>
          <w:rFonts w:ascii="Arial" w:hAnsi="Arial" w:cs="Arial"/>
          <w:color w:val="222222"/>
        </w:rPr>
      </w:pPr>
      <w:r w:rsidRPr="00A453F7">
        <w:rPr>
          <w:rFonts w:ascii="Arial" w:hAnsi="Arial" w:cs="Arial"/>
          <w:color w:val="222222"/>
        </w:rPr>
        <w:t>Total annual responses........................................................   414,909</w:t>
      </w:r>
    </w:p>
    <w:p w:rsidR="00E16E25" w:rsidRPr="00A453F7" w14:paraId="7665D6E8" w14:textId="4C1E70B2">
      <w:pPr>
        <w:rPr>
          <w:rFonts w:ascii="Arial" w:hAnsi="Arial" w:cs="Arial"/>
          <w:color w:val="222222"/>
        </w:rPr>
      </w:pPr>
      <w:r w:rsidRPr="00A453F7">
        <w:rPr>
          <w:rFonts w:ascii="Arial" w:hAnsi="Arial" w:cs="Arial"/>
          <w:color w:val="222222"/>
        </w:rPr>
        <w:t xml:space="preserve">Estimated hrs/response.........................................................    </w:t>
      </w:r>
      <w:r w:rsidRPr="00A453F7">
        <w:rPr>
          <w:rFonts w:ascii="Arial" w:hAnsi="Arial" w:cs="Arial"/>
          <w:color w:val="222222"/>
          <w:u w:val="single"/>
        </w:rPr>
        <w:t>x 0.50</w:t>
      </w:r>
    </w:p>
    <w:p w:rsidR="00E16E25" w:rsidRPr="00A453F7" w14:paraId="3BF26856" w14:textId="77777777">
      <w:pPr>
        <w:rPr>
          <w:rFonts w:ascii="Arial" w:hAnsi="Arial" w:cs="Arial"/>
          <w:color w:val="222222"/>
        </w:rPr>
      </w:pPr>
      <w:r w:rsidRPr="00A453F7">
        <w:rPr>
          <w:rFonts w:ascii="Arial" w:hAnsi="Arial" w:cs="Arial"/>
          <w:color w:val="222222"/>
        </w:rPr>
        <w:t>Estimated annual burden hours.............................................207,455</w:t>
      </w:r>
    </w:p>
    <w:p w:rsidR="00E16E25" w:rsidRPr="00A453F7" w14:paraId="5D996E00" w14:textId="77777777">
      <w:pPr>
        <w:rPr>
          <w:rFonts w:ascii="Arial" w:hAnsi="Arial" w:cs="Arial"/>
          <w:color w:val="222222"/>
        </w:rPr>
      </w:pPr>
      <w:r w:rsidRPr="00A453F7">
        <w:rPr>
          <w:rFonts w:ascii="Arial" w:hAnsi="Arial" w:cs="Arial"/>
          <w:color w:val="222222"/>
        </w:rPr>
        <w:t>Hourly rate</w:t>
      </w:r>
      <w:r w:rsidRPr="00A453F7">
        <w:rPr>
          <w:rFonts w:ascii="Arial" w:hAnsi="Arial" w:cs="Arial"/>
          <w:b/>
          <w:color w:val="222222"/>
        </w:rPr>
        <w:t>*</w:t>
      </w:r>
      <w:r w:rsidRPr="00A453F7">
        <w:rPr>
          <w:rFonts w:ascii="Arial" w:hAnsi="Arial" w:cs="Arial"/>
          <w:color w:val="222222"/>
        </w:rPr>
        <w:t xml:space="preserve">............................................................................ </w:t>
      </w:r>
      <w:r w:rsidRPr="00A453F7">
        <w:rPr>
          <w:rFonts w:ascii="Arial" w:hAnsi="Arial" w:cs="Arial"/>
          <w:color w:val="222222"/>
          <w:u w:val="single"/>
        </w:rPr>
        <w:t>x  $</w:t>
      </w:r>
      <w:r w:rsidRPr="00A453F7">
        <w:rPr>
          <w:rFonts w:ascii="Arial" w:hAnsi="Arial" w:cs="Arial"/>
          <w:color w:val="222222"/>
          <w:u w:val="single"/>
        </w:rPr>
        <w:t>59</w:t>
      </w:r>
    </w:p>
    <w:p w:rsidR="00E16E25" w:rsidRPr="00A453F7" w14:paraId="621DF022" w14:textId="6435127A">
      <w:pPr>
        <w:rPr>
          <w:rFonts w:ascii="Arial" w:hAnsi="Arial" w:cs="Arial"/>
          <w:color w:val="222222"/>
        </w:rPr>
      </w:pPr>
      <w:r w:rsidRPr="00A453F7">
        <w:rPr>
          <w:rFonts w:ascii="Arial" w:hAnsi="Arial" w:cs="Arial"/>
          <w:color w:val="222222"/>
        </w:rPr>
        <w:t>Estimated annual cost to the public...............................$12,239,845</w:t>
      </w:r>
    </w:p>
    <w:p w:rsidR="00A453F7" w:rsidRPr="00A453F7" w14:paraId="6312B5F9" w14:textId="77777777">
      <w:pPr>
        <w:rPr>
          <w:rFonts w:ascii="Arial" w:hAnsi="Arial" w:cs="Arial"/>
          <w:color w:val="222222"/>
        </w:rPr>
      </w:pPr>
    </w:p>
    <w:p w:rsidR="00CD1593" w:rsidRPr="00A453F7" w:rsidP="00CD1593" w14:paraId="20736B04" w14:textId="48A07534">
      <w:pPr>
        <w:rPr>
          <w:rFonts w:ascii="Arial" w:hAnsi="Arial" w:cs="Arial"/>
          <w:color w:val="222222"/>
        </w:rPr>
      </w:pPr>
      <w:r w:rsidRPr="00A453F7">
        <w:rPr>
          <w:rFonts w:ascii="Arial" w:hAnsi="Arial" w:cs="Arial"/>
          <w:b/>
          <w:color w:val="222222"/>
        </w:rPr>
        <w:t>*</w:t>
      </w:r>
      <w:r w:rsidRPr="00A453F7">
        <w:rPr>
          <w:rFonts w:ascii="Arial" w:hAnsi="Arial" w:cs="Arial"/>
          <w:color w:val="222222"/>
        </w:rPr>
        <w:t xml:space="preserve"> Based on the OPM 2022 GS 12/step 5 salary for the rest of the United States ($43.10 per hour) plus a 36.25 percent fringe factor, rounded to the nearest whole dollar ($59). The fringe factor used is pursuant to the rate provided in OMB memorandum M-08-13 for use in public-private competition.</w:t>
      </w:r>
    </w:p>
    <w:p w:rsidR="00CD1593" w:rsidRPr="00A453F7" w:rsidP="00CD1593" w14:paraId="4EBD1492" w14:textId="77777777">
      <w:pPr>
        <w:rPr>
          <w:rFonts w:ascii="Arial" w:hAnsi="Arial" w:cs="Arial"/>
          <w:color w:val="222222"/>
        </w:rPr>
      </w:pPr>
    </w:p>
    <w:p w:rsidR="00CD1593" w:rsidRPr="00A453F7" w:rsidP="00CD1593" w14:paraId="3F3D4246" w14:textId="6F1B78CB">
      <w:pPr>
        <w:pStyle w:val="ListParagraph"/>
        <w:numPr>
          <w:ilvl w:val="0"/>
          <w:numId w:val="5"/>
        </w:numPr>
        <w:rPr>
          <w:rFonts w:ascii="Arial" w:hAnsi="Arial" w:cs="Arial"/>
          <w:color w:val="222222"/>
        </w:rPr>
      </w:pPr>
      <w:r w:rsidRPr="00A453F7">
        <w:rPr>
          <w:rFonts w:ascii="Arial" w:hAnsi="Arial" w:cs="Arial"/>
          <w:color w:val="222222"/>
          <w:u w:val="single"/>
        </w:rPr>
        <w:t>Estimated nonrecurring costs</w:t>
      </w:r>
      <w:r w:rsidRPr="00A453F7">
        <w:rPr>
          <w:rFonts w:ascii="Arial" w:hAnsi="Arial" w:cs="Arial"/>
          <w:color w:val="222222"/>
        </w:rPr>
        <w:t>. Not applicable.</w:t>
      </w:r>
    </w:p>
    <w:p w:rsidR="00CD1593" w:rsidRPr="00A453F7" w:rsidP="00CD1593" w14:paraId="0BF60873" w14:textId="77777777">
      <w:pPr>
        <w:pStyle w:val="ListParagraph"/>
        <w:ind w:left="-450"/>
        <w:rPr>
          <w:rFonts w:ascii="Arial" w:hAnsi="Arial" w:cs="Arial"/>
          <w:color w:val="222222"/>
        </w:rPr>
      </w:pPr>
    </w:p>
    <w:p w:rsidR="00E16E25" w:rsidRPr="00A453F7" w:rsidP="00CD1593" w14:paraId="56E3E7DF" w14:textId="09027B34">
      <w:pPr>
        <w:pStyle w:val="ListParagraph"/>
        <w:numPr>
          <w:ilvl w:val="0"/>
          <w:numId w:val="5"/>
        </w:numPr>
        <w:rPr>
          <w:rFonts w:ascii="Arial" w:hAnsi="Arial" w:cs="Arial"/>
          <w:color w:val="222222"/>
        </w:rPr>
      </w:pPr>
      <w:r w:rsidRPr="00A453F7">
        <w:rPr>
          <w:rFonts w:ascii="Arial" w:hAnsi="Arial" w:cs="Arial"/>
          <w:color w:val="222222"/>
          <w:u w:val="single"/>
        </w:rPr>
        <w:t>Estimated cost to the Government</w:t>
      </w:r>
      <w:r w:rsidRPr="00A453F7">
        <w:rPr>
          <w:rFonts w:ascii="Arial" w:hAnsi="Arial" w:cs="Arial"/>
          <w:color w:val="222222"/>
        </w:rPr>
        <w:t>.</w:t>
      </w:r>
    </w:p>
    <w:p w:rsidR="00E16E25" w:rsidRPr="00A453F7" w14:paraId="004346A2" w14:textId="77777777">
      <w:pPr>
        <w:rPr>
          <w:rFonts w:ascii="Arial" w:hAnsi="Arial" w:cs="Arial"/>
          <w:color w:val="222222"/>
        </w:rPr>
      </w:pPr>
    </w:p>
    <w:p w:rsidR="00E16E25" w:rsidRPr="00A453F7" w14:paraId="2FF9688E" w14:textId="77777777">
      <w:pPr>
        <w:rPr>
          <w:rFonts w:ascii="Arial" w:hAnsi="Arial" w:cs="Arial"/>
          <w:color w:val="222222"/>
        </w:rPr>
      </w:pPr>
      <w:r w:rsidRPr="00A453F7">
        <w:rPr>
          <w:rFonts w:ascii="Arial" w:hAnsi="Arial" w:cs="Arial"/>
          <w:color w:val="222222"/>
        </w:rPr>
        <w:t>Estimated responses/yr................................................................  414,909</w:t>
      </w:r>
    </w:p>
    <w:p w:rsidR="00E16E25" w:rsidRPr="00A453F7" w14:paraId="0E2CCFCE" w14:textId="77777777">
      <w:pPr>
        <w:ind w:right="-80"/>
        <w:rPr>
          <w:rFonts w:ascii="Arial" w:hAnsi="Arial" w:cs="Arial"/>
          <w:color w:val="222222"/>
        </w:rPr>
      </w:pPr>
      <w:r w:rsidRPr="00A453F7">
        <w:rPr>
          <w:rFonts w:ascii="Arial" w:hAnsi="Arial" w:cs="Arial"/>
          <w:color w:val="222222"/>
        </w:rPr>
        <w:t xml:space="preserve">Reviewing time (hr)/response.....................................................   </w:t>
      </w:r>
      <w:r w:rsidRPr="00A453F7">
        <w:rPr>
          <w:rFonts w:ascii="Arial" w:hAnsi="Arial" w:cs="Arial"/>
          <w:color w:val="222222"/>
          <w:u w:val="single"/>
        </w:rPr>
        <w:t>x 0.167</w:t>
      </w:r>
    </w:p>
    <w:p w:rsidR="00E16E25" w:rsidRPr="00A453F7" w14:paraId="682CC6E2" w14:textId="77777777">
      <w:pPr>
        <w:ind w:right="-80"/>
        <w:rPr>
          <w:rFonts w:ascii="Arial" w:hAnsi="Arial" w:cs="Arial"/>
          <w:color w:val="222222"/>
        </w:rPr>
      </w:pPr>
      <w:r w:rsidRPr="00A453F7">
        <w:rPr>
          <w:rFonts w:ascii="Arial" w:hAnsi="Arial" w:cs="Arial"/>
          <w:color w:val="222222"/>
        </w:rPr>
        <w:t>Review time /yr...........................................................................    69,290</w:t>
      </w:r>
    </w:p>
    <w:p w:rsidR="00E16E25" w:rsidRPr="00A453F7" w14:paraId="18D6BD05" w14:textId="77777777">
      <w:pPr>
        <w:rPr>
          <w:rFonts w:ascii="Arial" w:hAnsi="Arial" w:cs="Arial"/>
          <w:color w:val="222222"/>
        </w:rPr>
      </w:pPr>
      <w:r w:rsidRPr="00A453F7">
        <w:rPr>
          <w:rFonts w:ascii="Arial" w:hAnsi="Arial" w:cs="Arial"/>
          <w:color w:val="222222"/>
        </w:rPr>
        <w:t>Hourly rate</w:t>
      </w:r>
      <w:r w:rsidRPr="00A453F7">
        <w:rPr>
          <w:rFonts w:ascii="Arial" w:hAnsi="Arial" w:cs="Arial"/>
          <w:b/>
          <w:color w:val="222222"/>
        </w:rPr>
        <w:t>**</w:t>
      </w:r>
      <w:r w:rsidRPr="00A453F7">
        <w:rPr>
          <w:rFonts w:ascii="Arial" w:hAnsi="Arial" w:cs="Arial"/>
          <w:color w:val="222222"/>
        </w:rPr>
        <w:t xml:space="preserve">.............................................................................       </w:t>
      </w:r>
      <w:r w:rsidRPr="00A453F7">
        <w:rPr>
          <w:rFonts w:ascii="Arial" w:hAnsi="Arial" w:cs="Arial"/>
          <w:color w:val="222222"/>
          <w:u w:val="single"/>
        </w:rPr>
        <w:t>x $40</w:t>
      </w:r>
    </w:p>
    <w:p w:rsidR="00E16E25" w:rsidRPr="00A453F7" w14:paraId="011E3865" w14:textId="77777777">
      <w:pPr>
        <w:rPr>
          <w:rFonts w:ascii="Arial" w:hAnsi="Arial" w:cs="Arial"/>
          <w:color w:val="222222"/>
        </w:rPr>
      </w:pPr>
      <w:r w:rsidRPr="00A453F7">
        <w:rPr>
          <w:rFonts w:ascii="Arial" w:hAnsi="Arial" w:cs="Arial"/>
          <w:color w:val="222222"/>
        </w:rPr>
        <w:t>Estimated annual cost to the Government.............................  $2,771,600</w:t>
      </w:r>
    </w:p>
    <w:p w:rsidR="00E16E25" w:rsidRPr="00A453F7" w14:paraId="7F662A6B" w14:textId="77777777">
      <w:pPr>
        <w:rPr>
          <w:rFonts w:ascii="Arial" w:hAnsi="Arial" w:cs="Arial"/>
          <w:b/>
          <w:color w:val="222222"/>
        </w:rPr>
      </w:pPr>
    </w:p>
    <w:p w:rsidR="00CD1593" w:rsidRPr="00A453F7" w:rsidP="00CD1593" w14:paraId="4BB478EF" w14:textId="73C90E28">
      <w:pPr>
        <w:rPr>
          <w:rFonts w:ascii="Arial" w:hAnsi="Arial" w:cs="Arial"/>
          <w:color w:val="222222"/>
        </w:rPr>
      </w:pPr>
      <w:r w:rsidRPr="00A453F7">
        <w:rPr>
          <w:rFonts w:ascii="Arial" w:hAnsi="Arial" w:cs="Arial"/>
          <w:b/>
          <w:color w:val="222222"/>
        </w:rPr>
        <w:t>**</w:t>
      </w:r>
      <w:r w:rsidRPr="00A453F7">
        <w:rPr>
          <w:rFonts w:ascii="Arial" w:hAnsi="Arial" w:cs="Arial"/>
          <w:color w:val="222222"/>
        </w:rPr>
        <w:t xml:space="preserve"> Based on the OPM 2022 GS 9/step 5 salary for the rest of the United States ($29.72 per hour) plus a 36.25 percent fringe factor, rounded to the nearest whole dollar ($40). The fringe factor used is pursuant to the rate provided in OMB memorandum M-08-13 for use in public-private competition.</w:t>
      </w:r>
    </w:p>
    <w:p w:rsidR="00CD1593" w:rsidRPr="00A453F7" w:rsidP="00CD1593" w14:paraId="03310873" w14:textId="77777777">
      <w:pPr>
        <w:rPr>
          <w:rFonts w:ascii="Arial" w:hAnsi="Arial" w:cs="Arial"/>
          <w:color w:val="222222"/>
        </w:rPr>
      </w:pPr>
    </w:p>
    <w:p w:rsidR="00E16E25" w:rsidRPr="00A453F7" w:rsidP="00CD1593" w14:paraId="1581BC63" w14:textId="7AB59B21">
      <w:pPr>
        <w:pStyle w:val="ListParagraph"/>
        <w:numPr>
          <w:ilvl w:val="0"/>
          <w:numId w:val="5"/>
        </w:numPr>
        <w:rPr>
          <w:rFonts w:ascii="Arial" w:hAnsi="Arial" w:cs="Arial"/>
          <w:color w:val="222222"/>
        </w:rPr>
      </w:pPr>
      <w:r w:rsidRPr="00A453F7">
        <w:rPr>
          <w:rFonts w:ascii="Arial" w:hAnsi="Arial" w:cs="Arial"/>
          <w:color w:val="222222"/>
          <w:u w:val="single"/>
        </w:rPr>
        <w:t>Reasons for changes</w:t>
      </w:r>
      <w:r w:rsidRPr="00A453F7">
        <w:rPr>
          <w:rFonts w:ascii="Arial" w:hAnsi="Arial" w:cs="Arial"/>
          <w:color w:val="222222"/>
        </w:rPr>
        <w:t>.</w:t>
      </w:r>
    </w:p>
    <w:p w:rsidR="00E16E25" w:rsidRPr="00A453F7" w14:paraId="2D24EF84" w14:textId="77777777">
      <w:pPr>
        <w:ind w:right="-40"/>
        <w:rPr>
          <w:rFonts w:ascii="Arial" w:hAnsi="Arial" w:cs="Arial"/>
          <w:color w:val="222222"/>
          <w:highlight w:val="white"/>
        </w:rPr>
      </w:pPr>
      <w:r w:rsidRPr="00A453F7">
        <w:rPr>
          <w:rFonts w:ascii="Arial" w:hAnsi="Arial" w:cs="Arial"/>
          <w:color w:val="222222"/>
          <w:highlight w:val="white"/>
        </w:rPr>
        <w:t>There are no program changes. The FAR requirements remain the same. This extension includes updates to the burden as follows:</w:t>
      </w:r>
    </w:p>
    <w:p w:rsidR="00E16E25" w:rsidRPr="00A453F7" w14:paraId="7D0574B7" w14:textId="77777777">
      <w:pPr>
        <w:numPr>
          <w:ilvl w:val="0"/>
          <w:numId w:val="3"/>
        </w:numPr>
        <w:ind w:right="-40"/>
        <w:rPr>
          <w:rFonts w:ascii="Arial" w:hAnsi="Arial" w:cs="Arial"/>
          <w:color w:val="222222"/>
          <w:highlight w:val="white"/>
        </w:rPr>
      </w:pPr>
      <w:r w:rsidRPr="00A453F7">
        <w:rPr>
          <w:rFonts w:ascii="Arial" w:hAnsi="Arial" w:cs="Arial"/>
          <w:color w:val="222222"/>
          <w:highlight w:val="white"/>
        </w:rPr>
        <w:t>Adjustments made by using FPDS data for fiscal years 2019 through 2021.</w:t>
      </w:r>
    </w:p>
    <w:p w:rsidR="00E16E25" w:rsidRPr="00A453F7" w14:paraId="555B818C" w14:textId="77777777">
      <w:pPr>
        <w:numPr>
          <w:ilvl w:val="0"/>
          <w:numId w:val="6"/>
        </w:numPr>
        <w:ind w:right="-40"/>
        <w:rPr>
          <w:rFonts w:ascii="Arial" w:hAnsi="Arial" w:cs="Arial"/>
          <w:color w:val="222222"/>
          <w:highlight w:val="white"/>
        </w:rPr>
      </w:pPr>
      <w:r w:rsidRPr="00A453F7">
        <w:rPr>
          <w:rFonts w:ascii="Arial" w:hAnsi="Arial" w:cs="Arial"/>
          <w:color w:val="222222"/>
          <w:highlight w:val="white"/>
        </w:rPr>
        <w:t>The estimated cost to the public and to the Government was updated based on use of calendar year 2022 OPM GS wage rates for the rest of the United States.</w:t>
      </w:r>
    </w:p>
    <w:p w:rsidR="00E16E25" w:rsidRPr="00A453F7" w14:paraId="3285B572" w14:textId="77777777">
      <w:pPr>
        <w:widowControl w:val="0"/>
        <w:tabs>
          <w:tab w:val="left" w:pos="820"/>
          <w:tab w:val="left" w:pos="821"/>
        </w:tabs>
        <w:ind w:left="-450" w:right="195"/>
        <w:rPr>
          <w:rFonts w:ascii="Arial" w:hAnsi="Arial" w:cs="Arial"/>
          <w:color w:val="222222"/>
        </w:rPr>
      </w:pPr>
      <w:r w:rsidRPr="00A453F7">
        <w:rPr>
          <w:rFonts w:ascii="Arial" w:hAnsi="Arial" w:cs="Arial"/>
          <w:color w:val="222222"/>
        </w:rPr>
        <w:tab/>
      </w:r>
    </w:p>
    <w:tbl>
      <w:tblPr>
        <w:tblStyle w:val="a"/>
        <w:tblW w:w="9360" w:type="dxa"/>
        <w:tblBorders>
          <w:top w:val="nil"/>
          <w:left w:val="nil"/>
          <w:bottom w:val="nil"/>
          <w:right w:val="nil"/>
          <w:insideH w:val="nil"/>
          <w:insideV w:val="nil"/>
        </w:tblBorders>
        <w:tblLayout w:type="fixed"/>
        <w:tblLook w:val="0600"/>
      </w:tblPr>
      <w:tblGrid>
        <w:gridCol w:w="2931"/>
        <w:gridCol w:w="2143"/>
        <w:gridCol w:w="2143"/>
        <w:gridCol w:w="2143"/>
      </w:tblGrid>
      <w:tr w14:paraId="3043FD0B" w14:textId="77777777">
        <w:tblPrEx>
          <w:tblW w:w="9360" w:type="dxa"/>
          <w:tblBorders>
            <w:top w:val="nil"/>
            <w:left w:val="nil"/>
            <w:bottom w:val="nil"/>
            <w:right w:val="nil"/>
            <w:insideH w:val="nil"/>
            <w:insideV w:val="nil"/>
          </w:tblBorders>
          <w:tblLayout w:type="fixed"/>
          <w:tblLook w:val="0600"/>
        </w:tblPrEx>
        <w:trPr>
          <w:trHeight w:val="360"/>
        </w:trPr>
        <w:tc>
          <w:tcPr>
            <w:tcW w:w="2929" w:type="dxa"/>
            <w:tcBorders>
              <w:top w:val="single" w:sz="12" w:space="0" w:color="000000"/>
              <w:left w:val="single" w:sz="12" w:space="0" w:color="000000"/>
              <w:bottom w:val="single" w:sz="6" w:space="0" w:color="000000"/>
              <w:right w:val="single" w:sz="6" w:space="0" w:color="000000"/>
            </w:tcBorders>
            <w:tcMar>
              <w:top w:w="40" w:type="dxa"/>
              <w:left w:w="40" w:type="dxa"/>
              <w:bottom w:w="40" w:type="dxa"/>
              <w:right w:w="40" w:type="dxa"/>
            </w:tcMar>
            <w:vAlign w:val="bottom"/>
          </w:tcPr>
          <w:p w:rsidR="00E16E25" w:rsidRPr="00A453F7" w14:paraId="4E8EAB3B" w14:textId="77777777">
            <w:pPr>
              <w:widowControl w:val="0"/>
              <w:pBdr>
                <w:top w:val="nil"/>
                <w:left w:val="nil"/>
                <w:bottom w:val="nil"/>
                <w:right w:val="nil"/>
                <w:between w:val="nil"/>
              </w:pBdr>
              <w:spacing w:line="276" w:lineRule="auto"/>
              <w:rPr>
                <w:rFonts w:ascii="Arial" w:eastAsia="Arial" w:hAnsi="Arial" w:cs="Arial"/>
                <w:color w:val="222222"/>
              </w:rPr>
            </w:pPr>
            <w:r w:rsidRPr="00A453F7">
              <w:rPr>
                <w:rFonts w:ascii="Arial" w:eastAsia="Arial" w:hAnsi="Arial" w:cs="Arial"/>
                <w:b/>
                <w:color w:val="222222"/>
              </w:rPr>
              <w:t>OMB Control # 9000-0136</w:t>
            </w:r>
          </w:p>
        </w:tc>
        <w:tc>
          <w:tcPr>
            <w:tcW w:w="2143" w:type="dxa"/>
            <w:tcBorders>
              <w:top w:val="single" w:sz="12"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E16E25" w:rsidRPr="00A453F7" w14:paraId="524BE7F3" w14:textId="77777777">
            <w:pPr>
              <w:widowControl w:val="0"/>
              <w:spacing w:line="276" w:lineRule="auto"/>
              <w:jc w:val="right"/>
              <w:rPr>
                <w:rFonts w:ascii="Arial" w:eastAsia="Arial" w:hAnsi="Arial" w:cs="Arial"/>
                <w:color w:val="222222"/>
              </w:rPr>
            </w:pPr>
            <w:r w:rsidRPr="00A453F7">
              <w:rPr>
                <w:rFonts w:ascii="Arial" w:eastAsia="Arial" w:hAnsi="Arial" w:cs="Arial"/>
                <w:b/>
                <w:color w:val="222222"/>
              </w:rPr>
              <w:t>2019 Estimate</w:t>
            </w:r>
          </w:p>
        </w:tc>
        <w:tc>
          <w:tcPr>
            <w:tcW w:w="2143" w:type="dxa"/>
            <w:tcBorders>
              <w:top w:val="single" w:sz="12"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E16E25" w:rsidRPr="00A453F7" w14:paraId="450E363C" w14:textId="77777777">
            <w:pPr>
              <w:widowControl w:val="0"/>
              <w:spacing w:line="276" w:lineRule="auto"/>
              <w:jc w:val="right"/>
              <w:rPr>
                <w:rFonts w:ascii="Arial" w:eastAsia="Arial" w:hAnsi="Arial" w:cs="Arial"/>
                <w:color w:val="222222"/>
              </w:rPr>
            </w:pPr>
            <w:r w:rsidRPr="00A453F7">
              <w:rPr>
                <w:rFonts w:ascii="Arial" w:eastAsia="Arial" w:hAnsi="Arial" w:cs="Arial"/>
                <w:b/>
                <w:color w:val="222222"/>
              </w:rPr>
              <w:t>2022 Estimate</w:t>
            </w:r>
          </w:p>
        </w:tc>
        <w:tc>
          <w:tcPr>
            <w:tcW w:w="2143" w:type="dxa"/>
            <w:tcBorders>
              <w:top w:val="single" w:sz="12" w:space="0" w:color="000000"/>
              <w:left w:val="single" w:sz="6" w:space="0" w:color="CCCCCC"/>
              <w:bottom w:val="single" w:sz="6" w:space="0" w:color="000000"/>
              <w:right w:val="single" w:sz="12" w:space="0" w:color="000000"/>
            </w:tcBorders>
            <w:tcMar>
              <w:top w:w="40" w:type="dxa"/>
              <w:left w:w="40" w:type="dxa"/>
              <w:bottom w:w="40" w:type="dxa"/>
              <w:right w:w="40" w:type="dxa"/>
            </w:tcMar>
            <w:vAlign w:val="bottom"/>
          </w:tcPr>
          <w:p w:rsidR="00E16E25" w:rsidRPr="00A453F7" w14:paraId="4D437749" w14:textId="77777777">
            <w:pPr>
              <w:widowControl w:val="0"/>
              <w:spacing w:line="276" w:lineRule="auto"/>
              <w:jc w:val="right"/>
              <w:rPr>
                <w:rFonts w:ascii="Arial" w:eastAsia="Arial" w:hAnsi="Arial" w:cs="Arial"/>
                <w:color w:val="222222"/>
              </w:rPr>
            </w:pPr>
            <w:r w:rsidRPr="00A453F7">
              <w:rPr>
                <w:rFonts w:ascii="Arial" w:eastAsia="Arial" w:hAnsi="Arial" w:cs="Arial"/>
                <w:b/>
                <w:color w:val="222222"/>
              </w:rPr>
              <w:t>Change in Burden</w:t>
            </w:r>
          </w:p>
        </w:tc>
      </w:tr>
      <w:tr w14:paraId="1C78586F" w14:textId="77777777">
        <w:tblPrEx>
          <w:tblW w:w="9360" w:type="dxa"/>
          <w:tblLayout w:type="fixed"/>
          <w:tblLook w:val="0600"/>
        </w:tblPrEx>
        <w:trPr>
          <w:trHeight w:val="345"/>
        </w:trPr>
        <w:tc>
          <w:tcPr>
            <w:tcW w:w="2929" w:type="dxa"/>
            <w:tcBorders>
              <w:top w:val="single" w:sz="6" w:space="0" w:color="CCCCCC"/>
              <w:left w:val="single" w:sz="12" w:space="0" w:color="000000"/>
              <w:bottom w:val="single" w:sz="6" w:space="0" w:color="000000"/>
              <w:right w:val="single" w:sz="6" w:space="0" w:color="000000"/>
            </w:tcBorders>
            <w:tcMar>
              <w:top w:w="40" w:type="dxa"/>
              <w:left w:w="40" w:type="dxa"/>
              <w:bottom w:w="40" w:type="dxa"/>
              <w:right w:w="40" w:type="dxa"/>
            </w:tcMar>
            <w:vAlign w:val="bottom"/>
          </w:tcPr>
          <w:p w:rsidR="00E16E25" w:rsidRPr="00A453F7" w14:paraId="3B4F5A73" w14:textId="77777777">
            <w:pPr>
              <w:widowControl w:val="0"/>
              <w:spacing w:line="276" w:lineRule="auto"/>
              <w:rPr>
                <w:rFonts w:ascii="Arial" w:eastAsia="Arial" w:hAnsi="Arial" w:cs="Arial"/>
                <w:color w:val="222222"/>
              </w:rPr>
            </w:pPr>
            <w:r w:rsidRPr="00A453F7">
              <w:rPr>
                <w:rFonts w:ascii="Arial" w:eastAsia="Arial" w:hAnsi="Arial" w:cs="Arial"/>
                <w:color w:val="222222"/>
              </w:rPr>
              <w:t>Number of respondents</w:t>
            </w:r>
          </w:p>
        </w:tc>
        <w:tc>
          <w:tcPr>
            <w:tcW w:w="214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16E25" w:rsidRPr="00A453F7" w14:paraId="6E4DC43E" w14:textId="77777777">
            <w:pPr>
              <w:widowControl w:val="0"/>
              <w:spacing w:line="276" w:lineRule="auto"/>
              <w:jc w:val="right"/>
              <w:rPr>
                <w:rFonts w:ascii="Arial" w:eastAsia="Arial" w:hAnsi="Arial" w:cs="Arial"/>
                <w:color w:val="222222"/>
              </w:rPr>
            </w:pPr>
            <w:r w:rsidRPr="00A453F7">
              <w:rPr>
                <w:rFonts w:ascii="Arial" w:eastAsia="Arial" w:hAnsi="Arial" w:cs="Arial"/>
                <w:color w:val="222222"/>
              </w:rPr>
              <w:t>430,324</w:t>
            </w:r>
          </w:p>
        </w:tc>
        <w:tc>
          <w:tcPr>
            <w:tcW w:w="214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16E25" w:rsidRPr="00A453F7" w14:paraId="386E6FE4" w14:textId="77777777">
            <w:pPr>
              <w:widowControl w:val="0"/>
              <w:spacing w:line="276" w:lineRule="auto"/>
              <w:jc w:val="right"/>
              <w:rPr>
                <w:rFonts w:ascii="Arial" w:eastAsia="Arial" w:hAnsi="Arial" w:cs="Arial"/>
                <w:color w:val="222222"/>
              </w:rPr>
            </w:pPr>
            <w:r w:rsidRPr="00A453F7">
              <w:rPr>
                <w:rFonts w:ascii="Arial" w:eastAsia="Arial" w:hAnsi="Arial" w:cs="Arial"/>
                <w:color w:val="222222"/>
              </w:rPr>
              <w:t>140,055</w:t>
            </w:r>
          </w:p>
        </w:tc>
        <w:tc>
          <w:tcPr>
            <w:tcW w:w="2143" w:type="dxa"/>
            <w:tcBorders>
              <w:top w:val="single" w:sz="6" w:space="0" w:color="CCCCCC"/>
              <w:left w:val="single" w:sz="6" w:space="0" w:color="CCCCCC"/>
              <w:bottom w:val="single" w:sz="6" w:space="0" w:color="000000"/>
              <w:right w:val="single" w:sz="12" w:space="0" w:color="000000"/>
            </w:tcBorders>
            <w:tcMar>
              <w:top w:w="40" w:type="dxa"/>
              <w:left w:w="40" w:type="dxa"/>
              <w:bottom w:w="40" w:type="dxa"/>
              <w:right w:w="40" w:type="dxa"/>
            </w:tcMar>
            <w:vAlign w:val="bottom"/>
          </w:tcPr>
          <w:p w:rsidR="00E16E25" w:rsidRPr="00A453F7" w14:paraId="7FC750EC" w14:textId="77777777">
            <w:pPr>
              <w:widowControl w:val="0"/>
              <w:spacing w:line="276" w:lineRule="auto"/>
              <w:jc w:val="right"/>
              <w:rPr>
                <w:rFonts w:ascii="Arial" w:eastAsia="Arial" w:hAnsi="Arial" w:cs="Arial"/>
                <w:color w:val="222222"/>
              </w:rPr>
            </w:pPr>
            <w:r w:rsidRPr="00A453F7">
              <w:rPr>
                <w:rFonts w:ascii="Arial" w:eastAsia="Arial" w:hAnsi="Arial" w:cs="Arial"/>
                <w:color w:val="222222"/>
              </w:rPr>
              <w:t>-290,269</w:t>
            </w:r>
          </w:p>
        </w:tc>
      </w:tr>
      <w:tr w14:paraId="2810FA0C" w14:textId="77777777">
        <w:tblPrEx>
          <w:tblW w:w="9360" w:type="dxa"/>
          <w:tblLayout w:type="fixed"/>
          <w:tblLook w:val="0600"/>
        </w:tblPrEx>
        <w:trPr>
          <w:trHeight w:val="345"/>
        </w:trPr>
        <w:tc>
          <w:tcPr>
            <w:tcW w:w="2929" w:type="dxa"/>
            <w:tcBorders>
              <w:top w:val="single" w:sz="6" w:space="0" w:color="CCCCCC"/>
              <w:left w:val="single" w:sz="12" w:space="0" w:color="000000"/>
              <w:bottom w:val="single" w:sz="6" w:space="0" w:color="000000"/>
              <w:right w:val="single" w:sz="6" w:space="0" w:color="000000"/>
            </w:tcBorders>
            <w:tcMar>
              <w:top w:w="40" w:type="dxa"/>
              <w:left w:w="40" w:type="dxa"/>
              <w:bottom w:w="40" w:type="dxa"/>
              <w:right w:w="40" w:type="dxa"/>
            </w:tcMar>
            <w:vAlign w:val="bottom"/>
          </w:tcPr>
          <w:p w:rsidR="00E16E25" w:rsidRPr="00A453F7" w14:paraId="4FE566FA" w14:textId="77777777">
            <w:pPr>
              <w:widowControl w:val="0"/>
              <w:spacing w:line="276" w:lineRule="auto"/>
              <w:rPr>
                <w:rFonts w:ascii="Arial" w:eastAsia="Arial" w:hAnsi="Arial" w:cs="Arial"/>
                <w:color w:val="222222"/>
              </w:rPr>
            </w:pPr>
            <w:r w:rsidRPr="00A453F7">
              <w:rPr>
                <w:rFonts w:ascii="Arial" w:eastAsia="Arial" w:hAnsi="Arial" w:cs="Arial"/>
                <w:color w:val="222222"/>
              </w:rPr>
              <w:t>Total annual responses</w:t>
            </w:r>
          </w:p>
        </w:tc>
        <w:tc>
          <w:tcPr>
            <w:tcW w:w="214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16E25" w:rsidRPr="00A453F7" w14:paraId="2EAC57B1" w14:textId="77777777">
            <w:pPr>
              <w:widowControl w:val="0"/>
              <w:spacing w:line="276" w:lineRule="auto"/>
              <w:jc w:val="right"/>
              <w:rPr>
                <w:rFonts w:ascii="Arial" w:eastAsia="Arial" w:hAnsi="Arial" w:cs="Arial"/>
                <w:color w:val="222222"/>
              </w:rPr>
            </w:pPr>
            <w:r w:rsidRPr="00A453F7">
              <w:rPr>
                <w:rFonts w:ascii="Arial" w:eastAsia="Arial" w:hAnsi="Arial" w:cs="Arial"/>
                <w:color w:val="222222"/>
              </w:rPr>
              <w:t>628,273</w:t>
            </w:r>
          </w:p>
        </w:tc>
        <w:tc>
          <w:tcPr>
            <w:tcW w:w="214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16E25" w:rsidRPr="00A453F7" w14:paraId="24ACF718" w14:textId="77777777">
            <w:pPr>
              <w:widowControl w:val="0"/>
              <w:spacing w:line="276" w:lineRule="auto"/>
              <w:jc w:val="right"/>
              <w:rPr>
                <w:rFonts w:ascii="Arial" w:eastAsia="Arial" w:hAnsi="Arial" w:cs="Arial"/>
                <w:color w:val="222222"/>
              </w:rPr>
            </w:pPr>
            <w:r w:rsidRPr="00A453F7">
              <w:rPr>
                <w:rFonts w:ascii="Arial" w:eastAsia="Arial" w:hAnsi="Arial" w:cs="Arial"/>
                <w:color w:val="222222"/>
              </w:rPr>
              <w:t>414,909</w:t>
            </w:r>
          </w:p>
        </w:tc>
        <w:tc>
          <w:tcPr>
            <w:tcW w:w="2143" w:type="dxa"/>
            <w:tcBorders>
              <w:top w:val="single" w:sz="6" w:space="0" w:color="CCCCCC"/>
              <w:left w:val="single" w:sz="6" w:space="0" w:color="CCCCCC"/>
              <w:bottom w:val="single" w:sz="6" w:space="0" w:color="000000"/>
              <w:right w:val="single" w:sz="12" w:space="0" w:color="000000"/>
            </w:tcBorders>
            <w:tcMar>
              <w:top w:w="40" w:type="dxa"/>
              <w:left w:w="40" w:type="dxa"/>
              <w:bottom w:w="40" w:type="dxa"/>
              <w:right w:w="40" w:type="dxa"/>
            </w:tcMar>
            <w:vAlign w:val="bottom"/>
          </w:tcPr>
          <w:p w:rsidR="00E16E25" w:rsidRPr="00A453F7" w14:paraId="1A902CBC" w14:textId="77777777">
            <w:pPr>
              <w:widowControl w:val="0"/>
              <w:spacing w:line="276" w:lineRule="auto"/>
              <w:jc w:val="right"/>
              <w:rPr>
                <w:rFonts w:ascii="Arial" w:eastAsia="Arial" w:hAnsi="Arial" w:cs="Arial"/>
                <w:color w:val="222222"/>
              </w:rPr>
            </w:pPr>
            <w:r w:rsidRPr="00A453F7">
              <w:rPr>
                <w:rFonts w:ascii="Arial" w:eastAsia="Arial" w:hAnsi="Arial" w:cs="Arial"/>
                <w:color w:val="222222"/>
              </w:rPr>
              <w:t>-213,364</w:t>
            </w:r>
          </w:p>
        </w:tc>
      </w:tr>
      <w:tr w14:paraId="3E526996" w14:textId="77777777">
        <w:tblPrEx>
          <w:tblW w:w="9360" w:type="dxa"/>
          <w:tblLayout w:type="fixed"/>
          <w:tblLook w:val="0600"/>
        </w:tblPrEx>
        <w:trPr>
          <w:trHeight w:val="345"/>
        </w:trPr>
        <w:tc>
          <w:tcPr>
            <w:tcW w:w="2929" w:type="dxa"/>
            <w:tcBorders>
              <w:top w:val="single" w:sz="6" w:space="0" w:color="CCCCCC"/>
              <w:left w:val="single" w:sz="12" w:space="0" w:color="000000"/>
              <w:bottom w:val="single" w:sz="6" w:space="0" w:color="000000"/>
              <w:right w:val="single" w:sz="6" w:space="0" w:color="000000"/>
            </w:tcBorders>
            <w:tcMar>
              <w:top w:w="40" w:type="dxa"/>
              <w:left w:w="40" w:type="dxa"/>
              <w:bottom w:w="40" w:type="dxa"/>
              <w:right w:w="40" w:type="dxa"/>
            </w:tcMar>
            <w:vAlign w:val="bottom"/>
          </w:tcPr>
          <w:p w:rsidR="00E16E25" w:rsidRPr="00A453F7" w14:paraId="2E55585B" w14:textId="77777777">
            <w:pPr>
              <w:widowControl w:val="0"/>
              <w:spacing w:line="276" w:lineRule="auto"/>
              <w:rPr>
                <w:rFonts w:ascii="Arial" w:eastAsia="Arial" w:hAnsi="Arial" w:cs="Arial"/>
                <w:color w:val="222222"/>
              </w:rPr>
            </w:pPr>
            <w:r w:rsidRPr="00A453F7">
              <w:rPr>
                <w:rFonts w:ascii="Arial" w:eastAsia="Arial" w:hAnsi="Arial" w:cs="Arial"/>
                <w:color w:val="222222"/>
              </w:rPr>
              <w:t>Total burden hours</w:t>
            </w:r>
          </w:p>
        </w:tc>
        <w:tc>
          <w:tcPr>
            <w:tcW w:w="214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16E25" w:rsidRPr="00A453F7" w14:paraId="1B2B652A" w14:textId="77777777">
            <w:pPr>
              <w:widowControl w:val="0"/>
              <w:spacing w:line="276" w:lineRule="auto"/>
              <w:jc w:val="right"/>
              <w:rPr>
                <w:rFonts w:ascii="Arial" w:eastAsia="Arial" w:hAnsi="Arial" w:cs="Arial"/>
                <w:color w:val="222222"/>
              </w:rPr>
            </w:pPr>
            <w:r w:rsidRPr="00A453F7">
              <w:rPr>
                <w:rFonts w:ascii="Arial" w:eastAsia="Arial" w:hAnsi="Arial" w:cs="Arial"/>
                <w:color w:val="222222"/>
              </w:rPr>
              <w:t>314,137</w:t>
            </w:r>
          </w:p>
        </w:tc>
        <w:tc>
          <w:tcPr>
            <w:tcW w:w="214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16E25" w:rsidRPr="00A453F7" w14:paraId="6AD4C862" w14:textId="77777777">
            <w:pPr>
              <w:widowControl w:val="0"/>
              <w:spacing w:line="276" w:lineRule="auto"/>
              <w:jc w:val="right"/>
              <w:rPr>
                <w:rFonts w:ascii="Arial" w:eastAsia="Arial" w:hAnsi="Arial" w:cs="Arial"/>
                <w:color w:val="222222"/>
              </w:rPr>
            </w:pPr>
            <w:r w:rsidRPr="00A453F7">
              <w:rPr>
                <w:rFonts w:ascii="Arial" w:eastAsia="Arial" w:hAnsi="Arial" w:cs="Arial"/>
                <w:color w:val="222222"/>
              </w:rPr>
              <w:t>207,455</w:t>
            </w:r>
          </w:p>
        </w:tc>
        <w:tc>
          <w:tcPr>
            <w:tcW w:w="2143" w:type="dxa"/>
            <w:tcBorders>
              <w:top w:val="single" w:sz="6" w:space="0" w:color="CCCCCC"/>
              <w:left w:val="single" w:sz="6" w:space="0" w:color="CCCCCC"/>
              <w:bottom w:val="single" w:sz="6" w:space="0" w:color="000000"/>
              <w:right w:val="single" w:sz="12" w:space="0" w:color="000000"/>
            </w:tcBorders>
            <w:tcMar>
              <w:top w:w="40" w:type="dxa"/>
              <w:left w:w="40" w:type="dxa"/>
              <w:bottom w:w="40" w:type="dxa"/>
              <w:right w:w="40" w:type="dxa"/>
            </w:tcMar>
            <w:vAlign w:val="bottom"/>
          </w:tcPr>
          <w:p w:rsidR="00E16E25" w:rsidRPr="00A453F7" w14:paraId="0018466D" w14:textId="77777777">
            <w:pPr>
              <w:widowControl w:val="0"/>
              <w:spacing w:line="276" w:lineRule="auto"/>
              <w:jc w:val="right"/>
              <w:rPr>
                <w:rFonts w:ascii="Arial" w:eastAsia="Arial" w:hAnsi="Arial" w:cs="Arial"/>
                <w:color w:val="222222"/>
              </w:rPr>
            </w:pPr>
            <w:r w:rsidRPr="00A453F7">
              <w:rPr>
                <w:rFonts w:ascii="Arial" w:eastAsia="Arial" w:hAnsi="Arial" w:cs="Arial"/>
                <w:color w:val="222222"/>
              </w:rPr>
              <w:t>-106,682</w:t>
            </w:r>
          </w:p>
        </w:tc>
      </w:tr>
      <w:tr w14:paraId="3FB0893B" w14:textId="77777777">
        <w:tblPrEx>
          <w:tblW w:w="9360" w:type="dxa"/>
          <w:tblLayout w:type="fixed"/>
          <w:tblLook w:val="0600"/>
        </w:tblPrEx>
        <w:trPr>
          <w:trHeight w:val="360"/>
        </w:trPr>
        <w:tc>
          <w:tcPr>
            <w:tcW w:w="2929" w:type="dxa"/>
            <w:tcBorders>
              <w:top w:val="single" w:sz="6" w:space="0" w:color="CCCCCC"/>
              <w:left w:val="single" w:sz="12" w:space="0" w:color="000000"/>
              <w:bottom w:val="single" w:sz="12" w:space="0" w:color="000000"/>
              <w:right w:val="single" w:sz="6" w:space="0" w:color="000000"/>
            </w:tcBorders>
            <w:tcMar>
              <w:top w:w="40" w:type="dxa"/>
              <w:left w:w="40" w:type="dxa"/>
              <w:bottom w:w="40" w:type="dxa"/>
              <w:right w:w="40" w:type="dxa"/>
            </w:tcMar>
            <w:vAlign w:val="bottom"/>
          </w:tcPr>
          <w:p w:rsidR="00E16E25" w:rsidRPr="00A453F7" w14:paraId="7AA97CDA" w14:textId="77777777">
            <w:pPr>
              <w:widowControl w:val="0"/>
              <w:spacing w:line="276" w:lineRule="auto"/>
              <w:rPr>
                <w:rFonts w:ascii="Arial" w:eastAsia="Arial" w:hAnsi="Arial" w:cs="Arial"/>
                <w:color w:val="222222"/>
              </w:rPr>
            </w:pPr>
            <w:r w:rsidRPr="00A453F7">
              <w:rPr>
                <w:rFonts w:ascii="Arial" w:eastAsia="Arial" w:hAnsi="Arial" w:cs="Arial"/>
                <w:color w:val="222222"/>
              </w:rPr>
              <w:t>Total annual cost to public</w:t>
            </w:r>
          </w:p>
        </w:tc>
        <w:tc>
          <w:tcPr>
            <w:tcW w:w="2143" w:type="dxa"/>
            <w:tcBorders>
              <w:top w:val="single" w:sz="6" w:space="0" w:color="CCCCCC"/>
              <w:left w:val="single" w:sz="6" w:space="0" w:color="CCCCCC"/>
              <w:bottom w:val="single" w:sz="12" w:space="0" w:color="000000"/>
              <w:right w:val="single" w:sz="6" w:space="0" w:color="000000"/>
            </w:tcBorders>
            <w:tcMar>
              <w:top w:w="40" w:type="dxa"/>
              <w:left w:w="40" w:type="dxa"/>
              <w:bottom w:w="40" w:type="dxa"/>
              <w:right w:w="40" w:type="dxa"/>
            </w:tcMar>
            <w:vAlign w:val="bottom"/>
          </w:tcPr>
          <w:p w:rsidR="00E16E25" w:rsidRPr="00A453F7" w14:paraId="5327AB1C" w14:textId="77777777">
            <w:pPr>
              <w:widowControl w:val="0"/>
              <w:spacing w:line="276" w:lineRule="auto"/>
              <w:jc w:val="right"/>
              <w:rPr>
                <w:rFonts w:ascii="Arial" w:eastAsia="Arial" w:hAnsi="Arial" w:cs="Arial"/>
                <w:color w:val="222222"/>
              </w:rPr>
            </w:pPr>
            <w:r w:rsidRPr="00A453F7">
              <w:rPr>
                <w:rFonts w:ascii="Arial" w:eastAsia="Arial" w:hAnsi="Arial" w:cs="Arial"/>
                <w:color w:val="222222"/>
              </w:rPr>
              <w:t>$15,078,552</w:t>
            </w:r>
          </w:p>
        </w:tc>
        <w:tc>
          <w:tcPr>
            <w:tcW w:w="2143" w:type="dxa"/>
            <w:tcBorders>
              <w:top w:val="single" w:sz="6" w:space="0" w:color="CCCCCC"/>
              <w:left w:val="single" w:sz="6" w:space="0" w:color="CCCCCC"/>
              <w:bottom w:val="single" w:sz="12" w:space="0" w:color="000000"/>
              <w:right w:val="single" w:sz="6" w:space="0" w:color="000000"/>
            </w:tcBorders>
            <w:tcMar>
              <w:top w:w="40" w:type="dxa"/>
              <w:left w:w="40" w:type="dxa"/>
              <w:bottom w:w="40" w:type="dxa"/>
              <w:right w:w="40" w:type="dxa"/>
            </w:tcMar>
            <w:vAlign w:val="bottom"/>
          </w:tcPr>
          <w:p w:rsidR="00E16E25" w:rsidRPr="00A453F7" w14:paraId="33DC2B03" w14:textId="77777777">
            <w:pPr>
              <w:widowControl w:val="0"/>
              <w:spacing w:line="276" w:lineRule="auto"/>
              <w:jc w:val="right"/>
              <w:rPr>
                <w:rFonts w:ascii="Arial" w:eastAsia="Arial" w:hAnsi="Arial" w:cs="Arial"/>
                <w:color w:val="222222"/>
              </w:rPr>
            </w:pPr>
            <w:r w:rsidRPr="00A453F7">
              <w:rPr>
                <w:rFonts w:ascii="Arial" w:eastAsia="Arial" w:hAnsi="Arial" w:cs="Arial"/>
                <w:color w:val="222222"/>
              </w:rPr>
              <w:t>$12,239,845</w:t>
            </w:r>
          </w:p>
        </w:tc>
        <w:tc>
          <w:tcPr>
            <w:tcW w:w="2143"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E16E25" w:rsidRPr="00A453F7" w14:paraId="206AE3C4" w14:textId="5DE2AAF6">
            <w:pPr>
              <w:widowControl w:val="0"/>
              <w:spacing w:line="276" w:lineRule="auto"/>
              <w:jc w:val="right"/>
              <w:rPr>
                <w:rFonts w:ascii="Arial" w:eastAsia="Arial" w:hAnsi="Arial" w:cs="Arial"/>
                <w:color w:val="222222"/>
              </w:rPr>
            </w:pPr>
            <w:r w:rsidRPr="00A453F7">
              <w:rPr>
                <w:rFonts w:ascii="Arial" w:eastAsia="Arial" w:hAnsi="Arial" w:cs="Arial"/>
                <w:color w:val="222222"/>
              </w:rPr>
              <w:t>-$2,838,707</w:t>
            </w:r>
          </w:p>
        </w:tc>
      </w:tr>
    </w:tbl>
    <w:p w:rsidR="00CD1593" w:rsidRPr="00A453F7" w:rsidP="00CD1593" w14:paraId="12D7AA4A" w14:textId="77777777">
      <w:pPr>
        <w:widowControl w:val="0"/>
        <w:tabs>
          <w:tab w:val="left" w:pos="820"/>
          <w:tab w:val="left" w:pos="821"/>
        </w:tabs>
        <w:ind w:right="195"/>
        <w:rPr>
          <w:rFonts w:ascii="Arial" w:hAnsi="Arial" w:cs="Arial"/>
          <w:color w:val="222222"/>
        </w:rPr>
      </w:pPr>
    </w:p>
    <w:p w:rsidR="00CD1593" w:rsidRPr="00A453F7" w:rsidP="00CD1593" w14:paraId="1D3FE390" w14:textId="5FDC01A0">
      <w:pPr>
        <w:pStyle w:val="ListParagraph"/>
        <w:widowControl w:val="0"/>
        <w:numPr>
          <w:ilvl w:val="0"/>
          <w:numId w:val="5"/>
        </w:numPr>
        <w:ind w:right="195"/>
        <w:rPr>
          <w:rFonts w:ascii="Arial" w:hAnsi="Arial" w:cs="Arial"/>
          <w:color w:val="222222"/>
        </w:rPr>
      </w:pPr>
      <w:r w:rsidRPr="00A453F7">
        <w:rPr>
          <w:rFonts w:ascii="Arial" w:hAnsi="Arial" w:cs="Arial"/>
          <w:color w:val="222222"/>
          <w:u w:val="single"/>
        </w:rPr>
        <w:t>Publicizing Results.</w:t>
      </w:r>
      <w:r w:rsidRPr="00A453F7">
        <w:rPr>
          <w:rFonts w:ascii="Arial" w:hAnsi="Arial" w:cs="Arial"/>
          <w:color w:val="222222"/>
        </w:rPr>
        <w:t xml:space="preserve"> Results will not be tabulated or published.</w:t>
      </w:r>
    </w:p>
    <w:p w:rsidR="00A453F7" w:rsidRPr="00A453F7" w:rsidP="00A453F7" w14:paraId="16372DBF" w14:textId="77777777">
      <w:pPr>
        <w:pStyle w:val="ListParagraph"/>
        <w:widowControl w:val="0"/>
        <w:ind w:left="-450" w:right="195"/>
        <w:rPr>
          <w:rFonts w:ascii="Arial" w:hAnsi="Arial" w:cs="Arial"/>
          <w:color w:val="222222"/>
        </w:rPr>
      </w:pPr>
    </w:p>
    <w:p w:rsidR="00CD1593" w:rsidRPr="00A453F7" w:rsidP="00CD1593" w14:paraId="015A8436" w14:textId="088EAC24">
      <w:pPr>
        <w:pStyle w:val="ListParagraph"/>
        <w:widowControl w:val="0"/>
        <w:numPr>
          <w:ilvl w:val="0"/>
          <w:numId w:val="5"/>
        </w:numPr>
        <w:ind w:right="195"/>
        <w:rPr>
          <w:rFonts w:ascii="Arial" w:hAnsi="Arial" w:cs="Arial"/>
          <w:color w:val="222222"/>
        </w:rPr>
      </w:pPr>
      <w:r w:rsidRPr="00A453F7">
        <w:rPr>
          <w:rFonts w:ascii="Arial" w:hAnsi="Arial" w:cs="Arial"/>
          <w:color w:val="222222"/>
          <w:u w:val="single"/>
        </w:rPr>
        <w:t>OMB Not to Display Approval.</w:t>
      </w:r>
      <w:r w:rsidRPr="00A453F7">
        <w:rPr>
          <w:rFonts w:ascii="Arial" w:hAnsi="Arial" w:cs="Arial"/>
          <w:color w:val="222222"/>
        </w:rPr>
        <w:t xml:space="preserve"> Approval to not display the expiration date for OMB approval of the information collection is not sought</w:t>
      </w:r>
      <w:r w:rsidRPr="00A453F7">
        <w:rPr>
          <w:rFonts w:ascii="Arial" w:hAnsi="Arial" w:cs="Arial"/>
          <w:color w:val="222222"/>
        </w:rPr>
        <w:t>.</w:t>
      </w:r>
    </w:p>
    <w:p w:rsidR="00CD1593" w:rsidRPr="00A453F7" w:rsidP="00CD1593" w14:paraId="646E8E1C" w14:textId="77777777">
      <w:pPr>
        <w:pStyle w:val="ListParagraph"/>
        <w:widowControl w:val="0"/>
        <w:ind w:left="-450" w:right="195"/>
        <w:rPr>
          <w:rFonts w:ascii="Arial" w:hAnsi="Arial" w:cs="Arial"/>
          <w:color w:val="222222"/>
        </w:rPr>
      </w:pPr>
    </w:p>
    <w:p w:rsidR="00CD1593" w:rsidRPr="00A453F7" w:rsidP="00CD1593" w14:paraId="0A19E567" w14:textId="77777777">
      <w:pPr>
        <w:pStyle w:val="ListParagraph"/>
        <w:widowControl w:val="0"/>
        <w:numPr>
          <w:ilvl w:val="0"/>
          <w:numId w:val="5"/>
        </w:numPr>
        <w:ind w:right="195"/>
        <w:rPr>
          <w:rFonts w:ascii="Arial" w:hAnsi="Arial" w:cs="Arial"/>
          <w:color w:val="222222"/>
        </w:rPr>
      </w:pPr>
      <w:r w:rsidRPr="00A453F7">
        <w:rPr>
          <w:rFonts w:ascii="Arial" w:hAnsi="Arial" w:cs="Arial"/>
          <w:color w:val="222222"/>
          <w:u w:val="single"/>
        </w:rPr>
        <w:t>Exceptions to "Certification for Paperwork Reduction Submissions."</w:t>
      </w:r>
      <w:r w:rsidRPr="00A453F7">
        <w:rPr>
          <w:rFonts w:ascii="Arial" w:hAnsi="Arial" w:cs="Arial"/>
          <w:color w:val="222222"/>
        </w:rPr>
        <w:t xml:space="preserve"> There is no exception to the certification statement.</w:t>
      </w:r>
    </w:p>
    <w:p w:rsidR="00CD1593" w:rsidRPr="00A453F7" w:rsidP="00CD1593" w14:paraId="1E825253" w14:textId="77777777">
      <w:pPr>
        <w:pStyle w:val="ListParagraph"/>
        <w:rPr>
          <w:rFonts w:ascii="Arial" w:hAnsi="Arial" w:cs="Arial"/>
          <w:color w:val="222222"/>
          <w:u w:val="single"/>
        </w:rPr>
      </w:pPr>
    </w:p>
    <w:p w:rsidR="00E16E25" w:rsidRPr="00A453F7" w:rsidP="00CD1593" w14:paraId="15F30AFA" w14:textId="26905502">
      <w:pPr>
        <w:pStyle w:val="ListParagraph"/>
        <w:widowControl w:val="0"/>
        <w:numPr>
          <w:ilvl w:val="0"/>
          <w:numId w:val="5"/>
        </w:numPr>
        <w:ind w:right="195"/>
        <w:rPr>
          <w:rFonts w:ascii="Arial" w:hAnsi="Arial" w:cs="Arial"/>
          <w:color w:val="222222"/>
        </w:rPr>
      </w:pPr>
      <w:r w:rsidRPr="00A453F7">
        <w:rPr>
          <w:rFonts w:ascii="Arial" w:hAnsi="Arial" w:cs="Arial"/>
          <w:color w:val="222222"/>
          <w:u w:val="single"/>
        </w:rPr>
        <w:t>Surveys, Censuses, and Other Collections that Employ Statistical Methods.</w:t>
      </w:r>
      <w:r w:rsidRPr="00A453F7">
        <w:rPr>
          <w:rFonts w:ascii="Arial" w:hAnsi="Arial" w:cs="Arial"/>
          <w:color w:val="222222"/>
        </w:rPr>
        <w:t xml:space="preserve">  Statistical methods are not used in this information collection. A Part B supporting statement is not needed, or required, and therefore was not completed.</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A38BD"/>
    <w:multiLevelType w:val="multilevel"/>
    <w:tmpl w:val="DB12011C"/>
    <w:lvl w:ilvl="0">
      <w:start w:val="1"/>
      <w:numFmt w:val="decimal"/>
      <w:lvlText w:val="%1."/>
      <w:lvlJc w:val="left"/>
      <w:pPr>
        <w:ind w:left="-45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3BAD2E59"/>
    <w:multiLevelType w:val="multilevel"/>
    <w:tmpl w:val="7896B56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409F6593"/>
    <w:multiLevelType w:val="multilevel"/>
    <w:tmpl w:val="0E7CF8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8D43E0E"/>
    <w:multiLevelType w:val="multilevel"/>
    <w:tmpl w:val="D6843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D4170CD"/>
    <w:multiLevelType w:val="multilevel"/>
    <w:tmpl w:val="78E2DD8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6216431F"/>
    <w:multiLevelType w:val="multilevel"/>
    <w:tmpl w:val="82964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45723127">
    <w:abstractNumId w:val="1"/>
  </w:num>
  <w:num w:numId="2" w16cid:durableId="267665201">
    <w:abstractNumId w:val="4"/>
  </w:num>
  <w:num w:numId="3" w16cid:durableId="1703479930">
    <w:abstractNumId w:val="3"/>
  </w:num>
  <w:num w:numId="4" w16cid:durableId="1480997540">
    <w:abstractNumId w:val="2"/>
  </w:num>
  <w:num w:numId="5" w16cid:durableId="422647761">
    <w:abstractNumId w:val="0"/>
  </w:num>
  <w:num w:numId="6" w16cid:durableId="21042559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E25"/>
    <w:rsid w:val="009F111C"/>
    <w:rsid w:val="00A453F7"/>
    <w:rsid w:val="00BC4799"/>
    <w:rsid w:val="00CD1593"/>
    <w:rsid w:val="00CE6433"/>
    <w:rsid w:val="00E16E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E78418"/>
  <w15:docId w15:val="{8148C1A6-C6C8-47AC-B7D6-774550EF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CD15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5</cp:revision>
  <dcterms:created xsi:type="dcterms:W3CDTF">2022-07-07T23:11:00Z</dcterms:created>
  <dcterms:modified xsi:type="dcterms:W3CDTF">2022-09-28T19:01:00Z</dcterms:modified>
</cp:coreProperties>
</file>