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3A48" w:rsidP="00933A48" w14:paraId="243A3A50" w14:textId="53689E6E">
      <w:pPr>
        <w:pStyle w:val="NoSpacing"/>
      </w:pPr>
      <w:r>
        <w:t>Subject: NIH HRHR Seminar Series call for abstracts</w:t>
      </w:r>
    </w:p>
    <w:p w:rsidR="00933A48" w:rsidP="00933A48" w14:paraId="56FB9DAB" w14:textId="77777777">
      <w:pPr>
        <w:pStyle w:val="NoSpacing"/>
      </w:pPr>
    </w:p>
    <w:p w:rsidR="00933A48" w:rsidP="00933A48" w14:paraId="72191701" w14:textId="44FB52AB">
      <w:pPr>
        <w:pStyle w:val="NoSpacing"/>
      </w:pPr>
      <w:r w:rsidRPr="00933A48">
        <w:t>The NIH High-Risk, High-Reward Research (HRHR) Seminar is a virtual monthly seminar series</w:t>
      </w:r>
      <w:r>
        <w:t xml:space="preserve"> featuring </w:t>
      </w:r>
      <w:r w:rsidRPr="00933A48">
        <w:t>talks from HRHR awardees on topics spanning the broad mission of the NIH. The seminars occur on the second Thursday of the month from 3:00-4:00 PM Eastern Time. Each seminar features two 20-minute presentations followed by 10 minutes of Q&amp;A.</w:t>
      </w:r>
      <w:r>
        <w:t xml:space="preserve"> </w:t>
      </w:r>
    </w:p>
    <w:p w:rsidR="00933A48" w:rsidP="00933A48" w14:paraId="479483E3" w14:textId="77777777">
      <w:pPr>
        <w:pStyle w:val="NoSpacing"/>
      </w:pPr>
    </w:p>
    <w:p w:rsidR="00933A48" w:rsidP="00933A48" w14:paraId="2794857D" w14:textId="7B4B48C2">
      <w:pPr>
        <w:pStyle w:val="NoSpacing"/>
      </w:pPr>
      <w:r>
        <w:t xml:space="preserve">You are invited (but not required) to submit an abstract to present at the </w:t>
      </w:r>
      <w:r w:rsidR="0091328B">
        <w:t xml:space="preserve">2023 </w:t>
      </w:r>
      <w:r>
        <w:t>seminar</w:t>
      </w:r>
      <w:r w:rsidR="0091328B">
        <w:t>s</w:t>
      </w:r>
      <w:r>
        <w:t xml:space="preserve">. If interested, </w:t>
      </w:r>
      <w:r>
        <w:rPr>
          <w:b/>
          <w:bCs/>
        </w:rPr>
        <w:t>please</w:t>
      </w:r>
      <w:r>
        <w:t xml:space="preserve"> </w:t>
      </w:r>
      <w:hyperlink r:id="rId4" w:history="1">
        <w:r w:rsidRPr="00933A48">
          <w:rPr>
            <w:rStyle w:val="Hyperlink"/>
            <w:b/>
            <w:bCs/>
          </w:rPr>
          <w:t>submit your abstract online</w:t>
        </w:r>
      </w:hyperlink>
      <w:r>
        <w:rPr>
          <w:b/>
          <w:bCs/>
        </w:rPr>
        <w:t xml:space="preserve"> by November 7, 2022</w:t>
      </w:r>
      <w:r>
        <w:t>. Abstracts should be no longer than 200 words. Due to a limited number of seminar spots, not all submissions may be selected. Submitted abstracts will be reviewed by NIH staff and speakers selected for programmatic balance. Speaker selections for the seminar do not impact speaker selection for the HRHR Symposium. Chosen speakers will be notified via email.</w:t>
      </w:r>
      <w:r w:rsidR="006B346F">
        <w:t xml:space="preserve"> </w:t>
      </w:r>
      <w:r w:rsidRPr="002067FC" w:rsidR="006B346F">
        <w:rPr>
          <w:i/>
          <w:iCs/>
        </w:rPr>
        <w:t>Please note</w:t>
      </w:r>
      <w:r w:rsidRPr="002067FC" w:rsidR="00EC0F5F">
        <w:rPr>
          <w:i/>
          <w:iCs/>
        </w:rPr>
        <w:t xml:space="preserve"> that</w:t>
      </w:r>
      <w:r w:rsidRPr="002067FC" w:rsidR="006B346F">
        <w:rPr>
          <w:i/>
          <w:iCs/>
        </w:rPr>
        <w:t xml:space="preserve"> you are welcome to update your abstract and title </w:t>
      </w:r>
      <w:r w:rsidRPr="002067FC" w:rsidR="002067FC">
        <w:rPr>
          <w:i/>
          <w:iCs/>
        </w:rPr>
        <w:t xml:space="preserve">with your research progress </w:t>
      </w:r>
      <w:r w:rsidRPr="002067FC" w:rsidR="006B346F">
        <w:rPr>
          <w:i/>
          <w:iCs/>
        </w:rPr>
        <w:t xml:space="preserve">at </w:t>
      </w:r>
      <w:r w:rsidRPr="002067FC" w:rsidR="002067FC">
        <w:rPr>
          <w:i/>
          <w:iCs/>
        </w:rPr>
        <w:t>any time</w:t>
      </w:r>
      <w:r w:rsidRPr="002067FC" w:rsidR="00EC0F5F">
        <w:rPr>
          <w:i/>
          <w:iCs/>
        </w:rPr>
        <w:t xml:space="preserve"> by contacting me.</w:t>
      </w:r>
    </w:p>
    <w:p w:rsidR="00933A48" w:rsidP="00933A48" w14:paraId="07D1E714" w14:textId="77777777">
      <w:pPr>
        <w:pStyle w:val="NoSpacing"/>
      </w:pPr>
    </w:p>
    <w:p w:rsidR="00933A48" w:rsidP="00933A48" w14:paraId="1A9A9580" w14:textId="77777777">
      <w:pPr>
        <w:pStyle w:val="NoSpacing"/>
      </w:pPr>
      <w:r>
        <w:t>HRHR is unusual in the breadth of the science represented. Abstracts and presentations should be prepared with a broad audience in mind. Please prepare sufficient background and at such a level that non-experts in the field can readily understand the significance, innovation, and impact of the research.</w:t>
      </w:r>
    </w:p>
    <w:p w:rsidR="00933A48" w:rsidP="00933A48" w14:paraId="376621EC" w14:textId="77777777">
      <w:pPr>
        <w:pStyle w:val="NoSpacing"/>
      </w:pPr>
    </w:p>
    <w:p w:rsidR="00933A48" w:rsidP="00933A48" w14:paraId="64302D14" w14:textId="77777777">
      <w:pPr>
        <w:pStyle w:val="NoSpacing"/>
      </w:pPr>
      <w:r>
        <w:t>We hope you will join us for the seminars. Please let me know if you have any questions.</w:t>
      </w:r>
    </w:p>
    <w:p w:rsidR="00933A48" w:rsidP="00933A48" w14:paraId="273E4A02" w14:textId="77777777">
      <w:pPr>
        <w:pStyle w:val="NoSpacing"/>
      </w:pPr>
    </w:p>
    <w:p w:rsidR="00933A48" w:rsidP="00933A48" w14:paraId="1BA9FE3A" w14:textId="77777777">
      <w:pPr>
        <w:pStyle w:val="NoSpacing"/>
      </w:pPr>
      <w:r>
        <w:t>Best regards,</w:t>
      </w:r>
    </w:p>
    <w:p w:rsidR="00933A48" w:rsidP="00933A48" w14:paraId="638AC631" w14:textId="77777777">
      <w:pPr>
        <w:pStyle w:val="NoSpacing"/>
      </w:pPr>
      <w:r>
        <w:t>Becky</w:t>
      </w:r>
    </w:p>
    <w:p w:rsidR="00933A48" w:rsidP="00933A48" w14:paraId="5DE23ECF" w14:textId="77777777">
      <w:pPr>
        <w:pStyle w:val="NoSpacing"/>
      </w:pPr>
    </w:p>
    <w:p w:rsidR="00933A48" w:rsidP="00933A48" w14:paraId="4B907273" w14:textId="77777777">
      <w:pPr>
        <w:textAlignment w:val="baseline"/>
        <w:rPr>
          <w:rFonts w:ascii="Segoe UI" w:hAnsi="Segoe UI" w:cs="Segoe UI"/>
          <w:sz w:val="18"/>
          <w:szCs w:val="18"/>
        </w:rPr>
      </w:pPr>
      <w:r>
        <w:rPr>
          <w:rFonts w:ascii="Verdana" w:hAnsi="Verdana"/>
          <w:b/>
          <w:bCs/>
          <w:color w:val="20558A"/>
        </w:rPr>
        <w:t>Becky Miller, Ph.D.</w:t>
      </w:r>
      <w:r>
        <w:rPr>
          <w:rFonts w:ascii="Verdana" w:hAnsi="Verdana"/>
          <w:color w:val="20558A"/>
          <w:sz w:val="20"/>
          <w:szCs w:val="20"/>
        </w:rPr>
        <w:t> </w:t>
      </w:r>
      <w:r>
        <w:rPr>
          <w:rFonts w:ascii="Verdana" w:hAnsi="Verdana"/>
          <w:color w:val="20558A"/>
          <w:sz w:val="20"/>
          <w:szCs w:val="20"/>
        </w:rPr>
        <w:br/>
        <w:t>Program Officer </w:t>
      </w:r>
    </w:p>
    <w:p w:rsidR="00933A48" w:rsidP="00933A48" w14:paraId="7F838B27" w14:textId="77777777">
      <w:pPr>
        <w:textAlignment w:val="baseline"/>
        <w:rPr>
          <w:rFonts w:ascii="Cambria" w:hAnsi="Cambria"/>
          <w:sz w:val="20"/>
          <w:szCs w:val="20"/>
        </w:rPr>
      </w:pPr>
      <w:r>
        <w:rPr>
          <w:rFonts w:ascii="Cambria" w:hAnsi="Cambria"/>
          <w:sz w:val="20"/>
          <w:szCs w:val="20"/>
        </w:rPr>
        <w:t>Office of Strategic Coordination – The Common Fund </w:t>
      </w:r>
      <w:r>
        <w:rPr>
          <w:rFonts w:ascii="Cambria" w:hAnsi="Cambria"/>
          <w:sz w:val="20"/>
          <w:szCs w:val="20"/>
        </w:rPr>
        <w:br/>
        <w:t>Division of Program Coordination, Planning, and Strategic Initiatives </w:t>
      </w:r>
      <w:r>
        <w:rPr>
          <w:rFonts w:ascii="Cambria" w:hAnsi="Cambria"/>
          <w:sz w:val="20"/>
          <w:szCs w:val="20"/>
        </w:rPr>
        <w:br/>
        <w:t>Office of the Director, NIH </w:t>
      </w:r>
    </w:p>
    <w:p w:rsidR="00933A48" w:rsidP="00933A48" w14:paraId="747E4E27" w14:textId="77777777">
      <w:pPr>
        <w:spacing w:after="120" w:line="252" w:lineRule="auto"/>
        <w:rPr>
          <w:rFonts w:ascii="Cambria" w:hAnsi="Cambria"/>
          <w:sz w:val="20"/>
          <w:szCs w:val="20"/>
        </w:rPr>
      </w:pPr>
      <w:r>
        <w:rPr>
          <w:rFonts w:ascii="Cambria" w:hAnsi="Cambria"/>
          <w:sz w:val="20"/>
          <w:szCs w:val="20"/>
        </w:rPr>
        <w:t>6001 Executive Blvd, Room 8190, Rockville, MD 20852</w:t>
      </w:r>
    </w:p>
    <w:p w:rsidR="00933A48" w:rsidP="00933A48" w14:paraId="2C891918" w14:textId="77777777">
      <w:pPr>
        <w:spacing w:after="160" w:line="252" w:lineRule="auto"/>
      </w:pPr>
      <w:r>
        <w:rPr>
          <w:rFonts w:ascii="Verdana" w:hAnsi="Verdana"/>
          <w:b/>
          <w:bCs/>
          <w:color w:val="20558A"/>
          <w:sz w:val="20"/>
          <w:szCs w:val="20"/>
        </w:rPr>
        <w:t>(p):</w:t>
      </w:r>
      <w:r>
        <w:rPr>
          <w:rFonts w:ascii="Verdana" w:hAnsi="Verdana"/>
          <w:color w:val="6C3A77"/>
          <w:sz w:val="20"/>
          <w:szCs w:val="20"/>
        </w:rPr>
        <w:t xml:space="preserve"> </w:t>
      </w:r>
      <w:r>
        <w:rPr>
          <w:rFonts w:ascii="Verdana" w:hAnsi="Verdana"/>
          <w:sz w:val="20"/>
          <w:szCs w:val="20"/>
        </w:rPr>
        <w:t>301-594-</w:t>
      </w:r>
      <w:r>
        <w:rPr>
          <w:rFonts w:ascii="Verdana" w:hAnsi="Verdana"/>
          <w:sz w:val="20"/>
          <w:szCs w:val="20"/>
        </w:rPr>
        <w:t>9979  |</w:t>
      </w:r>
      <w:r>
        <w:rPr>
          <w:rFonts w:ascii="Verdana" w:hAnsi="Verdana"/>
          <w:color w:val="E57200"/>
          <w:sz w:val="20"/>
          <w:szCs w:val="20"/>
        </w:rPr>
        <w:t xml:space="preserve"> </w:t>
      </w:r>
      <w:r>
        <w:rPr>
          <w:rFonts w:ascii="Verdana" w:hAnsi="Verdana"/>
          <w:b/>
          <w:bCs/>
          <w:color w:val="20558A"/>
          <w:sz w:val="20"/>
          <w:szCs w:val="20"/>
        </w:rPr>
        <w:t>(e):</w:t>
      </w:r>
      <w:r>
        <w:rPr>
          <w:rFonts w:ascii="Verdana" w:hAnsi="Verdana"/>
          <w:color w:val="20558A"/>
          <w:sz w:val="20"/>
          <w:szCs w:val="20"/>
        </w:rPr>
        <w:t xml:space="preserve"> </w:t>
      </w:r>
      <w:hyperlink r:id="rId5" w:history="1">
        <w:r>
          <w:rPr>
            <w:rStyle w:val="Hyperlink"/>
            <w:rFonts w:ascii="Verdana" w:hAnsi="Verdana"/>
            <w:sz w:val="20"/>
            <w:szCs w:val="20"/>
          </w:rPr>
          <w:t>becky.miller2@nih.gov</w:t>
        </w:r>
      </w:hyperlink>
    </w:p>
    <w:p w:rsidR="00933A48" w:rsidP="00933A48" w14:paraId="229468FD" w14:textId="5E72EAF1">
      <w:r>
        <w:rPr>
          <w:noProof/>
        </w:rPr>
        <w:drawing>
          <wp:inline distT="0" distB="0" distL="0" distR="0">
            <wp:extent cx="2686050" cy="361950"/>
            <wp:effectExtent l="0" t="0" r="0" b="0"/>
            <wp:docPr id="3" name="Picture 3">
              <a:hlinkClick xmlns:a="http://schemas.openxmlformats.org/drawingml/2006/main" xmlns:r="http://schemas.openxmlformats.org/officeDocument/2006/relationships"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6050" cy="361950"/>
                    </a:xfrm>
                    <a:prstGeom prst="rect">
                      <a:avLst/>
                    </a:prstGeom>
                    <a:noFill/>
                    <a:ln>
                      <a:noFill/>
                    </a:ln>
                  </pic:spPr>
                </pic:pic>
              </a:graphicData>
            </a:graphic>
          </wp:inline>
        </w:drawing>
      </w:r>
      <w:r>
        <w:rPr>
          <w:rFonts w:ascii="Verdana" w:hAnsi="Verdana"/>
          <w:color w:val="000000"/>
          <w:sz w:val="20"/>
          <w:szCs w:val="20"/>
          <w:shd w:val="clear" w:color="auto" w:fill="FFFFFF"/>
        </w:rPr>
        <w:t xml:space="preserve">                   </w:t>
      </w:r>
      <w:r>
        <w:rPr>
          <w:noProof/>
        </w:rPr>
        <w:drawing>
          <wp:inline distT="0" distB="0" distL="0" distR="0">
            <wp:extent cx="276225" cy="276225"/>
            <wp:effectExtent l="0" t="0" r="9525" b="9525"/>
            <wp:docPr id="2" name="Picture 2">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76225" cy="276225"/>
                    </a:xfrm>
                    <a:prstGeom prst="rect">
                      <a:avLst/>
                    </a:prstGeom>
                    <a:noFill/>
                    <a:ln>
                      <a:noFill/>
                    </a:ln>
                  </pic:spPr>
                </pic:pic>
              </a:graphicData>
            </a:graphic>
          </wp:inline>
        </w:drawing>
      </w:r>
      <w:r>
        <w:t>   </w:t>
      </w:r>
      <w:r>
        <w:rPr>
          <w:noProof/>
        </w:rPr>
        <w:drawing>
          <wp:inline distT="0" distB="0" distL="0" distR="0">
            <wp:extent cx="276225" cy="276225"/>
            <wp:effectExtent l="0" t="0" r="9525" b="9525"/>
            <wp:docPr id="1" name="Picture 1">
              <a:hlinkClick xmlns:a="http://schemas.openxmlformats.org/drawingml/2006/main" xmlns:r="http://schemas.openxmlformats.org/officeDocument/2006/relationships"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3" r:link="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76225" cy="276225"/>
                    </a:xfrm>
                    <a:prstGeom prst="rect">
                      <a:avLst/>
                    </a:prstGeom>
                    <a:noFill/>
                    <a:ln>
                      <a:noFill/>
                    </a:ln>
                  </pic:spPr>
                </pic:pic>
              </a:graphicData>
            </a:graphic>
          </wp:inline>
        </w:drawing>
      </w:r>
      <w:r>
        <w:rPr>
          <w:color w:val="000000"/>
          <w:shd w:val="clear" w:color="auto" w:fill="FFFFFF"/>
        </w:rPr>
        <w:t> </w:t>
      </w:r>
    </w:p>
    <w:p w:rsidR="00933A48" w14:paraId="56F8D431" w14:textId="64BC40DE"/>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48"/>
    <w:rsid w:val="002067FC"/>
    <w:rsid w:val="006B346F"/>
    <w:rsid w:val="0091328B"/>
    <w:rsid w:val="00933A48"/>
    <w:rsid w:val="00EC0F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A0F1E4"/>
  <w15:chartTrackingRefBased/>
  <w15:docId w15:val="{4CB93E61-E411-4444-A4B8-EA402946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A4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A48"/>
    <w:rPr>
      <w:color w:val="0000FF"/>
      <w:u w:val="single"/>
    </w:rPr>
  </w:style>
  <w:style w:type="paragraph" w:styleId="NoSpacing">
    <w:name w:val="No Spacing"/>
    <w:basedOn w:val="Normal"/>
    <w:uiPriority w:val="1"/>
    <w:qFormat/>
    <w:rsid w:val="00933A48"/>
  </w:style>
  <w:style w:type="character" w:styleId="UnresolvedMention">
    <w:name w:val="Unresolved Mention"/>
    <w:basedOn w:val="DefaultParagraphFont"/>
    <w:uiPriority w:val="99"/>
    <w:semiHidden/>
    <w:unhideWhenUsed/>
    <w:rsid w:val="00933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cid:image002.png@01D85972.B0C69DE0" TargetMode="External" /><Relationship Id="rId12" Type="http://schemas.openxmlformats.org/officeDocument/2006/relationships/hyperlink" Target="https://twitter.com/NIH_CommonFund" TargetMode="External" /><Relationship Id="rId13" Type="http://schemas.openxmlformats.org/officeDocument/2006/relationships/image" Target="media/image3.png" /><Relationship Id="rId14" Type="http://schemas.openxmlformats.org/officeDocument/2006/relationships/image" Target="cid:image003.png@01D85972.B0C69DE0"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forms.office.com/Pages/ResponsePage.aspx?id=eHW3FHOX1UKFByUcotwrBn4KWg5EhFdNmiW9vxDS7YFUMEo0Q0hSOFNBQ1VTMDI3TTU3UEc0QVBZSi4u" TargetMode="External" /><Relationship Id="rId5" Type="http://schemas.openxmlformats.org/officeDocument/2006/relationships/hyperlink" Target="mailto:becky.miller2@nih.gov" TargetMode="External" /><Relationship Id="rId6" Type="http://schemas.openxmlformats.org/officeDocument/2006/relationships/hyperlink" Target="https://commonfund.nih.gov/" TargetMode="External" /><Relationship Id="rId7" Type="http://schemas.openxmlformats.org/officeDocument/2006/relationships/image" Target="media/image1.png" /><Relationship Id="rId8" Type="http://schemas.openxmlformats.org/officeDocument/2006/relationships/image" Target="cid:image001.png@01D85972.B0C69DE0" TargetMode="External" /><Relationship Id="rId9" Type="http://schemas.openxmlformats.org/officeDocument/2006/relationships/hyperlink" Target="https://www.facebook.com/NIHCommonFu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Becky (NIH/OD) [E]</dc:creator>
  <cp:lastModifiedBy>Miller, Becky (NIH/OD) [E]</cp:lastModifiedBy>
  <cp:revision>5</cp:revision>
  <dcterms:created xsi:type="dcterms:W3CDTF">2022-10-04T18:52:00Z</dcterms:created>
  <dcterms:modified xsi:type="dcterms:W3CDTF">2022-10-04T19:05:00Z</dcterms:modified>
</cp:coreProperties>
</file>