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D7808" w:rsidP="004D7808" w14:paraId="1A99A055" w14:textId="77777777">
      <w:pPr>
        <w:jc w:val="center"/>
        <w:rPr>
          <w:sz w:val="28"/>
          <w:szCs w:val="28"/>
        </w:rPr>
      </w:pPr>
    </w:p>
    <w:p w:rsidR="004D7808" w:rsidP="004D7808" w14:paraId="12A89E5F" w14:textId="77777777">
      <w:pPr>
        <w:jc w:val="center"/>
        <w:rPr>
          <w:sz w:val="28"/>
          <w:szCs w:val="28"/>
        </w:rPr>
      </w:pPr>
    </w:p>
    <w:p w:rsidR="004D7808" w:rsidP="004D7808" w14:paraId="69D04C8B" w14:textId="77777777">
      <w:pPr>
        <w:jc w:val="center"/>
        <w:rPr>
          <w:sz w:val="28"/>
          <w:szCs w:val="28"/>
        </w:rPr>
      </w:pPr>
    </w:p>
    <w:p w:rsidR="004D7808" w:rsidP="004D7808" w14:paraId="77156CE0" w14:textId="77777777">
      <w:pPr>
        <w:jc w:val="center"/>
        <w:rPr>
          <w:b/>
          <w:sz w:val="28"/>
          <w:szCs w:val="28"/>
        </w:rPr>
      </w:pPr>
      <w:r w:rsidRPr="00456179">
        <w:rPr>
          <w:b/>
          <w:sz w:val="28"/>
          <w:szCs w:val="28"/>
        </w:rPr>
        <w:t>SUPPORTING STATEMENT</w:t>
      </w:r>
    </w:p>
    <w:p w:rsidR="004D7808" w:rsidP="004D7808" w14:paraId="0BFEBB4C" w14:textId="77777777">
      <w:pPr>
        <w:jc w:val="center"/>
        <w:rPr>
          <w:b/>
          <w:sz w:val="28"/>
          <w:szCs w:val="28"/>
        </w:rPr>
      </w:pPr>
    </w:p>
    <w:p w:rsidR="004D7808" w:rsidP="004D7808" w14:paraId="46641811" w14:textId="77777777">
      <w:pPr>
        <w:jc w:val="center"/>
        <w:rPr>
          <w:sz w:val="28"/>
          <w:szCs w:val="28"/>
        </w:rPr>
      </w:pPr>
      <w:r>
        <w:rPr>
          <w:b/>
          <w:sz w:val="28"/>
          <w:szCs w:val="28"/>
        </w:rPr>
        <w:t>Part B</w:t>
      </w:r>
    </w:p>
    <w:p w:rsidR="004D7808" w:rsidP="004D7808" w14:paraId="08FC2CA1" w14:textId="77777777">
      <w:pPr>
        <w:jc w:val="center"/>
        <w:rPr>
          <w:sz w:val="28"/>
          <w:szCs w:val="28"/>
        </w:rPr>
      </w:pPr>
    </w:p>
    <w:p w:rsidR="004D7808" w:rsidP="004D7808" w14:paraId="4D48D7E8" w14:textId="77777777">
      <w:pPr>
        <w:jc w:val="center"/>
        <w:rPr>
          <w:b/>
          <w:sz w:val="28"/>
          <w:szCs w:val="28"/>
        </w:rPr>
      </w:pPr>
    </w:p>
    <w:p w:rsidR="004D7808" w:rsidP="004D7808" w14:paraId="7E8FBAB1" w14:textId="77777777">
      <w:pPr>
        <w:jc w:val="center"/>
        <w:rPr>
          <w:b/>
          <w:sz w:val="28"/>
          <w:szCs w:val="28"/>
        </w:rPr>
      </w:pPr>
    </w:p>
    <w:p w:rsidR="004D7808" w:rsidP="004D7808" w14:paraId="6AFA0937" w14:textId="77777777">
      <w:pPr>
        <w:jc w:val="center"/>
        <w:rPr>
          <w:b/>
          <w:sz w:val="28"/>
          <w:szCs w:val="28"/>
        </w:rPr>
      </w:pPr>
    </w:p>
    <w:p w:rsidR="004D7808" w:rsidP="004D7808" w14:paraId="154078FF" w14:textId="77777777">
      <w:pPr>
        <w:jc w:val="center"/>
        <w:rPr>
          <w:b/>
          <w:sz w:val="28"/>
          <w:szCs w:val="28"/>
        </w:rPr>
      </w:pPr>
    </w:p>
    <w:p w:rsidR="004D7808" w:rsidRPr="004D7808" w:rsidP="004D7808" w14:paraId="656E8568" w14:textId="77777777">
      <w:pPr>
        <w:jc w:val="center"/>
        <w:rPr>
          <w:b/>
          <w:sz w:val="28"/>
          <w:szCs w:val="28"/>
        </w:rPr>
      </w:pPr>
      <w:r>
        <w:rPr>
          <w:i/>
          <w:sz w:val="28"/>
          <w:szCs w:val="28"/>
        </w:rPr>
        <w:t>Online Submission Form for Supplemental Evidence and Data for Systematic Reviews for the Evidence-based Practice Center Program</w:t>
      </w:r>
    </w:p>
    <w:p w:rsidR="004D7808" w:rsidP="004D7808" w14:paraId="5C00DE84" w14:textId="77777777">
      <w:pPr>
        <w:jc w:val="center"/>
        <w:rPr>
          <w:b/>
          <w:sz w:val="28"/>
          <w:szCs w:val="28"/>
        </w:rPr>
      </w:pPr>
    </w:p>
    <w:p w:rsidR="004D7808" w:rsidP="004D7808" w14:paraId="286551D6" w14:textId="77777777">
      <w:pPr>
        <w:jc w:val="center"/>
        <w:rPr>
          <w:b/>
          <w:sz w:val="28"/>
          <w:szCs w:val="28"/>
        </w:rPr>
      </w:pPr>
    </w:p>
    <w:p w:rsidR="004D7808" w:rsidP="004D7808" w14:paraId="52013716" w14:textId="77777777">
      <w:pPr>
        <w:jc w:val="center"/>
        <w:rPr>
          <w:b/>
          <w:sz w:val="28"/>
          <w:szCs w:val="28"/>
        </w:rPr>
      </w:pPr>
    </w:p>
    <w:p w:rsidR="004D7808" w:rsidP="004D7808" w14:paraId="13AB379D" w14:textId="77777777">
      <w:pPr>
        <w:jc w:val="center"/>
        <w:rPr>
          <w:b/>
          <w:sz w:val="28"/>
          <w:szCs w:val="28"/>
        </w:rPr>
      </w:pPr>
    </w:p>
    <w:p w:rsidR="004D7808" w:rsidP="004D7808" w14:paraId="2A8135BD" w14:textId="54E6D153">
      <w:pPr>
        <w:jc w:val="center"/>
        <w:rPr>
          <w:b/>
          <w:sz w:val="28"/>
          <w:szCs w:val="28"/>
        </w:rPr>
      </w:pPr>
      <w:r w:rsidRPr="004D7808">
        <w:rPr>
          <w:b/>
          <w:sz w:val="28"/>
          <w:szCs w:val="28"/>
        </w:rPr>
        <w:t xml:space="preserve">Version: </w:t>
      </w:r>
      <w:r w:rsidRPr="00DB3C6E" w:rsidR="00DB3C6E">
        <w:rPr>
          <w:bCs/>
          <w:i/>
          <w:iCs/>
          <w:sz w:val="28"/>
          <w:szCs w:val="28"/>
        </w:rPr>
        <w:t>June 2</w:t>
      </w:r>
      <w:r w:rsidR="007110A8">
        <w:rPr>
          <w:bCs/>
          <w:i/>
          <w:iCs/>
          <w:sz w:val="28"/>
          <w:szCs w:val="28"/>
        </w:rPr>
        <w:t>8</w:t>
      </w:r>
      <w:r w:rsidRPr="00DB3C6E" w:rsidR="00DB3C6E">
        <w:rPr>
          <w:bCs/>
          <w:i/>
          <w:iCs/>
          <w:sz w:val="28"/>
          <w:szCs w:val="28"/>
        </w:rPr>
        <w:t>, 2022</w:t>
      </w:r>
    </w:p>
    <w:p w:rsidR="004D7808" w:rsidP="004D7808" w14:paraId="39F753E0" w14:textId="77777777">
      <w:pPr>
        <w:jc w:val="center"/>
        <w:rPr>
          <w:b/>
          <w:sz w:val="28"/>
          <w:szCs w:val="28"/>
        </w:rPr>
      </w:pPr>
    </w:p>
    <w:p w:rsidR="004D7808" w:rsidP="004D7808" w14:paraId="60598566" w14:textId="77777777">
      <w:pPr>
        <w:jc w:val="center"/>
        <w:rPr>
          <w:sz w:val="28"/>
          <w:szCs w:val="28"/>
        </w:rPr>
      </w:pPr>
    </w:p>
    <w:p w:rsidR="004D7808" w:rsidP="004D7808" w14:paraId="655F8FC4" w14:textId="77777777">
      <w:pPr>
        <w:jc w:val="center"/>
        <w:rPr>
          <w:sz w:val="28"/>
          <w:szCs w:val="28"/>
        </w:rPr>
      </w:pPr>
    </w:p>
    <w:p w:rsidR="004D7808" w:rsidP="004D7808" w14:paraId="1E1B39C2" w14:textId="77777777">
      <w:pPr>
        <w:jc w:val="center"/>
        <w:rPr>
          <w:sz w:val="28"/>
          <w:szCs w:val="28"/>
        </w:rPr>
      </w:pPr>
      <w:r w:rsidRPr="00677A0B">
        <w:rPr>
          <w:sz w:val="28"/>
          <w:szCs w:val="28"/>
        </w:rPr>
        <w:t>Agency of Healthcare Research and Quality (AHRQ)</w:t>
      </w:r>
    </w:p>
    <w:p w:rsidR="004D7808" w:rsidP="004D7808" w14:paraId="15837C01" w14:textId="77777777">
      <w:pPr>
        <w:rPr>
          <w:sz w:val="28"/>
          <w:szCs w:val="28"/>
        </w:rPr>
      </w:pPr>
    </w:p>
    <w:p w:rsidR="004D7808" w:rsidP="004D7808" w14:paraId="7038F280" w14:textId="77777777">
      <w:pPr>
        <w:rPr>
          <w:sz w:val="28"/>
          <w:szCs w:val="28"/>
        </w:rPr>
      </w:pPr>
    </w:p>
    <w:p w:rsidR="004D7808" w:rsidP="004D7808" w14:paraId="53BC04EC" w14:textId="77777777">
      <w:pPr>
        <w:rPr>
          <w:i/>
        </w:rPr>
      </w:pPr>
    </w:p>
    <w:p w:rsidR="004D7808" w:rsidP="004D7808" w14:paraId="6F15A547" w14:textId="77777777">
      <w:pPr>
        <w:rPr>
          <w:i/>
        </w:rPr>
      </w:pPr>
    </w:p>
    <w:p w:rsidR="004D7808" w:rsidP="004D7808" w14:paraId="2C7282F0" w14:textId="77777777">
      <w:pPr>
        <w:rPr>
          <w:i/>
        </w:rPr>
      </w:pPr>
    </w:p>
    <w:p w:rsidR="004D7808" w:rsidP="004D7808" w14:paraId="40160BA0" w14:textId="77777777">
      <w:pPr>
        <w:rPr>
          <w:i/>
        </w:rPr>
      </w:pPr>
    </w:p>
    <w:p w:rsidR="004D7808" w:rsidP="004D7808" w14:paraId="28C8DC2F" w14:textId="77777777">
      <w:pPr>
        <w:rPr>
          <w:i/>
        </w:rPr>
      </w:pPr>
    </w:p>
    <w:p w:rsidR="004D7808" w:rsidP="004D7808" w14:paraId="3CB3AF7F" w14:textId="77777777">
      <w:pPr>
        <w:rPr>
          <w:i/>
        </w:rPr>
      </w:pPr>
    </w:p>
    <w:p w:rsidR="004D7808" w:rsidP="004D7808" w14:paraId="54606C5C" w14:textId="77777777">
      <w:pPr>
        <w:rPr>
          <w:i/>
        </w:rPr>
      </w:pPr>
    </w:p>
    <w:p w:rsidR="004D7808" w:rsidP="004D7808" w14:paraId="1229DB5E" w14:textId="77777777">
      <w:pPr>
        <w:rPr>
          <w:i/>
        </w:rPr>
      </w:pPr>
    </w:p>
    <w:p w:rsidR="004D7808" w:rsidP="004D7808" w14:paraId="6AD165BC" w14:textId="77777777">
      <w:pPr>
        <w:rPr>
          <w:i/>
        </w:rPr>
      </w:pPr>
    </w:p>
    <w:p w:rsidR="002F7B9D" w:rsidP="004D7808" w14:paraId="7E38CD29" w14:textId="77777777">
      <w:pPr>
        <w:rPr>
          <w:b/>
        </w:rPr>
      </w:pPr>
    </w:p>
    <w:p w:rsidR="002F7B9D" w:rsidP="004D7808" w14:paraId="6423A570" w14:textId="77777777">
      <w:pPr>
        <w:rPr>
          <w:b/>
        </w:rPr>
      </w:pPr>
    </w:p>
    <w:p w:rsidR="002F7B9D" w:rsidP="004D7808" w14:paraId="468EAA28" w14:textId="77777777">
      <w:pPr>
        <w:rPr>
          <w:b/>
        </w:rPr>
      </w:pPr>
    </w:p>
    <w:p w:rsidR="002F7B9D" w:rsidP="004D7808" w14:paraId="6A228CA8" w14:textId="77777777">
      <w:pPr>
        <w:rPr>
          <w:b/>
        </w:rPr>
      </w:pPr>
    </w:p>
    <w:p w:rsidR="002F7B9D" w:rsidP="004D7808" w14:paraId="4A7AF7DA" w14:textId="77777777">
      <w:pPr>
        <w:rPr>
          <w:b/>
        </w:rPr>
      </w:pPr>
    </w:p>
    <w:p w:rsidR="002F7B9D" w:rsidP="004D7808" w14:paraId="6A833278" w14:textId="77777777">
      <w:pPr>
        <w:rPr>
          <w:b/>
        </w:rPr>
      </w:pPr>
    </w:p>
    <w:p w:rsidR="002F7B9D" w:rsidP="004D7808" w14:paraId="46342259" w14:textId="77777777">
      <w:pPr>
        <w:rPr>
          <w:b/>
        </w:rPr>
      </w:pPr>
    </w:p>
    <w:p w:rsidR="002F7B9D" w:rsidP="004D7808" w14:paraId="59169ABB" w14:textId="77777777">
      <w:pPr>
        <w:rPr>
          <w:b/>
        </w:rPr>
      </w:pPr>
    </w:p>
    <w:p w:rsidR="002F7B9D" w:rsidP="004D7808" w14:paraId="533ACF13" w14:textId="77777777">
      <w:pPr>
        <w:rPr>
          <w:b/>
        </w:rPr>
      </w:pPr>
    </w:p>
    <w:p w:rsidR="004D7808" w:rsidP="004D7808" w14:paraId="1226EF43" w14:textId="77777777">
      <w:pPr>
        <w:rPr>
          <w:b/>
        </w:rPr>
      </w:pPr>
      <w:r>
        <w:rPr>
          <w:b/>
        </w:rPr>
        <w:t>Table of C</w:t>
      </w:r>
      <w:r w:rsidRPr="001D0454">
        <w:rPr>
          <w:b/>
        </w:rPr>
        <w:t>ontents</w:t>
      </w:r>
    </w:p>
    <w:p w:rsidR="004D7808" w:rsidP="004D7808" w14:paraId="7AB58B45" w14:textId="77777777">
      <w:pPr>
        <w:jc w:val="center"/>
        <w:rPr>
          <w:b/>
        </w:rPr>
      </w:pPr>
    </w:p>
    <w:p w:rsidR="004D7808" w:rsidP="00501DC2" w14:paraId="21ACBD2B" w14:textId="77777777">
      <w:pPr>
        <w:tabs>
          <w:tab w:val="left" w:leader="dot" w:pos="8910"/>
        </w:tabs>
      </w:pPr>
      <w:r w:rsidRPr="00F64294">
        <w:rPr>
          <w:b/>
        </w:rPr>
        <w:t>B</w:t>
      </w:r>
      <w:r w:rsidRPr="00F64294">
        <w:rPr>
          <w:b/>
        </w:rPr>
        <w:t xml:space="preserve">. </w:t>
      </w:r>
      <w:r w:rsidRPr="00F64294">
        <w:rPr>
          <w:rFonts w:eastAsiaTheme="minorHAnsi"/>
          <w:b/>
          <w:bCs/>
        </w:rPr>
        <w:t>Collections of Information Employing Statistical Methods</w:t>
      </w:r>
      <w:r>
        <w:tab/>
        <w:t>3</w:t>
      </w:r>
    </w:p>
    <w:p w:rsidR="004D7808" w:rsidP="00E16C6C" w14:paraId="7AE1F20F" w14:textId="77777777">
      <w:pPr>
        <w:tabs>
          <w:tab w:val="left" w:pos="360"/>
          <w:tab w:val="left" w:pos="8910"/>
        </w:tabs>
        <w:ind w:left="360"/>
      </w:pPr>
      <w:r>
        <w:t>B</w:t>
      </w:r>
      <w:r>
        <w:t xml:space="preserve">1. </w:t>
      </w:r>
      <w:r w:rsidRPr="00501DC2">
        <w:rPr>
          <w:rFonts w:eastAsiaTheme="minorHAnsi"/>
        </w:rPr>
        <w:t>The Potential Respondent Universe and any Sampling or other Respondent Selection Methods to be Used</w:t>
      </w:r>
      <w:r w:rsidR="001C24F6">
        <w:rPr>
          <w:rFonts w:eastAsiaTheme="minorHAnsi"/>
        </w:rPr>
        <w:t>……………………………………………………………………</w:t>
      </w:r>
      <w:r w:rsidR="001C24F6">
        <w:rPr>
          <w:rFonts w:eastAsiaTheme="minorHAnsi"/>
        </w:rPr>
        <w:t>…..</w:t>
      </w:r>
      <w:r w:rsidR="001C24F6">
        <w:rPr>
          <w:rFonts w:eastAsiaTheme="minorHAnsi"/>
        </w:rPr>
        <w:tab/>
      </w:r>
      <w:r>
        <w:t>3</w:t>
      </w:r>
    </w:p>
    <w:p w:rsidR="004D7808" w:rsidP="00501DC2" w14:paraId="491028AD" w14:textId="77777777">
      <w:pPr>
        <w:tabs>
          <w:tab w:val="left" w:pos="360"/>
          <w:tab w:val="left" w:leader="dot" w:pos="8910"/>
        </w:tabs>
      </w:pPr>
      <w:r>
        <w:tab/>
      </w:r>
      <w:r w:rsidR="00501DC2">
        <w:t>B</w:t>
      </w:r>
      <w:r>
        <w:t xml:space="preserve">2. </w:t>
      </w:r>
      <w:r w:rsidRPr="00501DC2" w:rsidR="00501DC2">
        <w:rPr>
          <w:rFonts w:eastAsiaTheme="minorHAnsi"/>
        </w:rPr>
        <w:t>The Procedures for the Collection of Information</w:t>
      </w:r>
      <w:r>
        <w:tab/>
      </w:r>
      <w:r w:rsidR="00E16C6C">
        <w:t>3</w:t>
      </w:r>
    </w:p>
    <w:p w:rsidR="004D7808" w:rsidP="00501DC2" w14:paraId="0BF55F2D" w14:textId="77777777">
      <w:pPr>
        <w:tabs>
          <w:tab w:val="left" w:pos="360"/>
          <w:tab w:val="left" w:pos="8910"/>
        </w:tabs>
      </w:pPr>
      <w:r>
        <w:tab/>
      </w:r>
      <w:r w:rsidR="00501DC2">
        <w:t>B</w:t>
      </w:r>
      <w:r>
        <w:t xml:space="preserve">3. </w:t>
      </w:r>
      <w:r w:rsidRPr="00501DC2" w:rsidR="00501DC2">
        <w:rPr>
          <w:rFonts w:eastAsiaTheme="minorHAnsi"/>
        </w:rPr>
        <w:t>Methods to Maximize Response Rates and to Deal with Issues of Non-response</w:t>
      </w:r>
      <w:r w:rsidR="001C24F6">
        <w:rPr>
          <w:rFonts w:eastAsiaTheme="minorHAnsi"/>
        </w:rPr>
        <w:t>……</w:t>
      </w:r>
      <w:r w:rsidR="00E16C6C">
        <w:rPr>
          <w:rFonts w:eastAsiaTheme="minorHAnsi"/>
        </w:rPr>
        <w:tab/>
        <w:t>3</w:t>
      </w:r>
      <w:r>
        <w:tab/>
      </w:r>
    </w:p>
    <w:p w:rsidR="004D7808" w:rsidP="00501DC2" w14:paraId="5F50EB28" w14:textId="77777777">
      <w:pPr>
        <w:tabs>
          <w:tab w:val="left" w:pos="360"/>
          <w:tab w:val="left" w:pos="8910"/>
        </w:tabs>
      </w:pPr>
      <w:r>
        <w:tab/>
      </w:r>
      <w:r w:rsidR="00501DC2">
        <w:t>B</w:t>
      </w:r>
      <w:r>
        <w:t xml:space="preserve">4. </w:t>
      </w:r>
      <w:r w:rsidRPr="006C78C4" w:rsidR="006C78C4">
        <w:rPr>
          <w:rFonts w:eastAsiaTheme="minorHAnsi"/>
        </w:rPr>
        <w:t>Tests of Procedures or Methods to be Undertaken</w:t>
      </w:r>
      <w:r w:rsidR="001C24F6">
        <w:rPr>
          <w:rFonts w:eastAsiaTheme="minorHAnsi"/>
        </w:rPr>
        <w:t>……………………………………</w:t>
      </w:r>
      <w:r>
        <w:tab/>
      </w:r>
      <w:r w:rsidR="00E16C6C">
        <w:t>3</w:t>
      </w:r>
    </w:p>
    <w:p w:rsidR="00E16C6C" w:rsidP="00E16C6C" w14:paraId="3E5A4502" w14:textId="77777777">
      <w:pPr>
        <w:tabs>
          <w:tab w:val="left" w:pos="360"/>
          <w:tab w:val="left" w:leader="dot" w:pos="8910"/>
        </w:tabs>
      </w:pPr>
      <w:r>
        <w:tab/>
      </w:r>
    </w:p>
    <w:p w:rsidR="001C24F6" w:rsidP="006A556E" w14:paraId="281631A6" w14:textId="77777777">
      <w:pPr>
        <w:rPr>
          <w:b/>
        </w:rPr>
      </w:pPr>
    </w:p>
    <w:p w:rsidR="004D7808" w:rsidP="006A556E" w14:paraId="767B7190" w14:textId="77777777">
      <w:pPr>
        <w:rPr>
          <w:b/>
        </w:rPr>
      </w:pPr>
      <w:r>
        <w:rPr>
          <w:b/>
        </w:rPr>
        <w:t>Appendi</w:t>
      </w:r>
      <w:r w:rsidR="00F95EE2">
        <w:rPr>
          <w:b/>
        </w:rPr>
        <w:t>xes</w:t>
      </w:r>
    </w:p>
    <w:p w:rsidR="00696647" w:rsidP="00696647" w14:paraId="78C08D5B" w14:textId="77777777">
      <w:pPr>
        <w:ind w:left="1440" w:hanging="1440"/>
      </w:pPr>
      <w:r w:rsidRPr="00F95EE2">
        <w:t xml:space="preserve">Appendix </w:t>
      </w:r>
      <w:r>
        <w:t xml:space="preserve">A. </w:t>
      </w:r>
      <w:r w:rsidRPr="00B825D5">
        <w:t xml:space="preserve">Website Portal for Submission of Supplemental Evidence and Data for </w:t>
      </w:r>
      <w:r>
        <w:t>Systematic</w:t>
      </w:r>
    </w:p>
    <w:p w:rsidR="00696647" w:rsidP="00696647" w14:paraId="0DFBD991" w14:textId="77777777">
      <w:pPr>
        <w:ind w:left="720" w:firstLine="540"/>
      </w:pPr>
      <w:r>
        <w:t xml:space="preserve"> </w:t>
      </w:r>
      <w:r w:rsidRPr="00B825D5">
        <w:t>Reviews</w:t>
      </w:r>
      <w:r w:rsidRPr="00F95EE2">
        <w:t xml:space="preserve"> </w:t>
      </w:r>
    </w:p>
    <w:p w:rsidR="00F95EE2" w:rsidRPr="00F95EE2" w:rsidP="00696647" w14:paraId="11D64CBF" w14:textId="77777777">
      <w:r w:rsidRPr="00F95EE2">
        <w:t xml:space="preserve">Appendix </w:t>
      </w:r>
      <w:r w:rsidR="00696647">
        <w:t>B</w:t>
      </w:r>
      <w:r w:rsidR="00F64294">
        <w:t xml:space="preserve">. </w:t>
      </w:r>
      <w:r w:rsidRPr="00F95EE2">
        <w:t>Opportunity to Submit Scientific Information E-mail</w:t>
      </w:r>
      <w:r w:rsidR="00780273">
        <w:t xml:space="preserve"> </w:t>
      </w:r>
    </w:p>
    <w:p w:rsidR="00F95EE2" w:rsidP="006A556E" w14:paraId="654AF049" w14:textId="77777777">
      <w:r w:rsidRPr="00F95EE2">
        <w:t>Appendix C</w:t>
      </w:r>
      <w:r w:rsidR="00F64294">
        <w:t xml:space="preserve">. </w:t>
      </w:r>
      <w:r w:rsidR="00B825D5">
        <w:t>Federal Register Notice</w:t>
      </w:r>
      <w:r w:rsidR="00780273">
        <w:t xml:space="preserve"> </w:t>
      </w:r>
    </w:p>
    <w:p w:rsidR="00E16C6C" w:rsidP="006A556E" w14:paraId="06F10381" w14:textId="77777777"/>
    <w:p w:rsidR="00E16C6C" w:rsidRPr="00F95EE2" w:rsidP="006A556E" w14:paraId="67201D50" w14:textId="77777777"/>
    <w:p w:rsidR="004D7808" w:rsidP="00FD7627" w14:paraId="561181C5" w14:textId="77777777">
      <w:pPr>
        <w:autoSpaceDE w:val="0"/>
        <w:autoSpaceDN w:val="0"/>
        <w:adjustRightInd w:val="0"/>
        <w:rPr>
          <w:rFonts w:ascii="Arial" w:hAnsi="Arial" w:eastAsiaTheme="minorHAnsi" w:cs="Arial"/>
          <w:b/>
          <w:bCs/>
        </w:rPr>
      </w:pPr>
      <w:r>
        <w:br w:type="page"/>
      </w:r>
      <w:r w:rsidRPr="007746BC">
        <w:rPr>
          <w:rFonts w:ascii="Arial" w:hAnsi="Arial" w:eastAsiaTheme="minorHAnsi" w:cs="Arial"/>
          <w:b/>
          <w:bCs/>
        </w:rPr>
        <w:t>B. Colle</w:t>
      </w:r>
      <w:r w:rsidRPr="007746BC" w:rsidR="00FD7627">
        <w:rPr>
          <w:rFonts w:ascii="Arial" w:hAnsi="Arial" w:eastAsiaTheme="minorHAnsi" w:cs="Arial"/>
          <w:b/>
          <w:bCs/>
        </w:rPr>
        <w:t xml:space="preserve">ctions of Information Employing </w:t>
      </w:r>
      <w:r w:rsidRPr="007746BC">
        <w:rPr>
          <w:rFonts w:ascii="Arial" w:hAnsi="Arial" w:eastAsiaTheme="minorHAnsi" w:cs="Arial"/>
          <w:b/>
          <w:bCs/>
        </w:rPr>
        <w:t>Statistical Methods</w:t>
      </w:r>
    </w:p>
    <w:p w:rsidR="007746BC" w:rsidRPr="007746BC" w:rsidP="00FD7627" w14:paraId="78AC3822" w14:textId="77777777">
      <w:pPr>
        <w:autoSpaceDE w:val="0"/>
        <w:autoSpaceDN w:val="0"/>
        <w:adjustRightInd w:val="0"/>
        <w:rPr>
          <w:rFonts w:ascii="Arial" w:hAnsi="Arial" w:eastAsiaTheme="minorHAnsi" w:cs="Arial"/>
          <w:b/>
          <w:bCs/>
        </w:rPr>
      </w:pPr>
    </w:p>
    <w:p w:rsidR="004D7808" w:rsidP="004D7808" w14:paraId="01F25AD4" w14:textId="77777777">
      <w:pPr>
        <w:rPr>
          <w:rFonts w:ascii="ArialNarrow,Bold" w:hAnsi="ArialNarrow,Bold" w:eastAsiaTheme="minorHAnsi" w:cs="ArialNarrow,Bold"/>
          <w:b/>
          <w:bCs/>
          <w:sz w:val="16"/>
          <w:szCs w:val="16"/>
        </w:rPr>
      </w:pPr>
    </w:p>
    <w:p w:rsidR="001F2C94" w:rsidP="001F2C94" w14:paraId="49932ED6" w14:textId="77777777">
      <w:pPr>
        <w:autoSpaceDE w:val="0"/>
        <w:autoSpaceDN w:val="0"/>
        <w:adjustRightInd w:val="0"/>
        <w:rPr>
          <w:rFonts w:ascii="Arial" w:hAnsi="Arial" w:eastAsiaTheme="minorHAnsi" w:cs="Arial"/>
          <w:b/>
          <w:i/>
        </w:rPr>
      </w:pPr>
      <w:r w:rsidRPr="007746BC">
        <w:rPr>
          <w:rFonts w:ascii="Arial" w:hAnsi="Arial" w:eastAsiaTheme="minorHAnsi" w:cs="Arial"/>
          <w:b/>
          <w:i/>
        </w:rPr>
        <w:t xml:space="preserve">B1. </w:t>
      </w:r>
      <w:r w:rsidRPr="007746BC" w:rsidR="007746BC">
        <w:rPr>
          <w:rFonts w:ascii="Arial" w:hAnsi="Arial" w:eastAsiaTheme="minorHAnsi" w:cs="Arial"/>
          <w:b/>
          <w:i/>
        </w:rPr>
        <w:t>T</w:t>
      </w:r>
      <w:r w:rsidRPr="007746BC" w:rsidR="00FD7627">
        <w:rPr>
          <w:rFonts w:ascii="Arial" w:hAnsi="Arial" w:eastAsiaTheme="minorHAnsi" w:cs="Arial"/>
          <w:b/>
          <w:i/>
        </w:rPr>
        <w:t xml:space="preserve">he </w:t>
      </w:r>
      <w:r w:rsidR="007746BC">
        <w:rPr>
          <w:rFonts w:ascii="Arial" w:hAnsi="Arial" w:eastAsiaTheme="minorHAnsi" w:cs="Arial"/>
          <w:b/>
          <w:i/>
        </w:rPr>
        <w:t>Potential Respondent Universe and any Sampling or o</w:t>
      </w:r>
      <w:r w:rsidRPr="007746BC" w:rsidR="007746BC">
        <w:rPr>
          <w:rFonts w:ascii="Arial" w:hAnsi="Arial" w:eastAsiaTheme="minorHAnsi" w:cs="Arial"/>
          <w:b/>
          <w:i/>
        </w:rPr>
        <w:t xml:space="preserve">ther Respondent Selection Methods </w:t>
      </w:r>
      <w:r w:rsidR="007746BC">
        <w:rPr>
          <w:rFonts w:ascii="Arial" w:hAnsi="Arial" w:eastAsiaTheme="minorHAnsi" w:cs="Arial"/>
          <w:b/>
          <w:i/>
        </w:rPr>
        <w:t>t</w:t>
      </w:r>
      <w:r w:rsidRPr="007746BC" w:rsidR="007746BC">
        <w:rPr>
          <w:rFonts w:ascii="Arial" w:hAnsi="Arial" w:eastAsiaTheme="minorHAnsi" w:cs="Arial"/>
          <w:b/>
          <w:i/>
        </w:rPr>
        <w:t xml:space="preserve">o </w:t>
      </w:r>
      <w:r w:rsidR="007746BC">
        <w:rPr>
          <w:rFonts w:ascii="Arial" w:hAnsi="Arial" w:eastAsiaTheme="minorHAnsi" w:cs="Arial"/>
          <w:b/>
          <w:i/>
        </w:rPr>
        <w:t>b</w:t>
      </w:r>
      <w:r w:rsidR="00E952A1">
        <w:rPr>
          <w:rFonts w:ascii="Arial" w:hAnsi="Arial" w:eastAsiaTheme="minorHAnsi" w:cs="Arial"/>
          <w:b/>
          <w:i/>
        </w:rPr>
        <w:t>e Used</w:t>
      </w:r>
    </w:p>
    <w:p w:rsidR="002F7B9D" w:rsidRPr="007746BC" w:rsidP="001F2C94" w14:paraId="2E78ADF3" w14:textId="77777777">
      <w:pPr>
        <w:autoSpaceDE w:val="0"/>
        <w:autoSpaceDN w:val="0"/>
        <w:adjustRightInd w:val="0"/>
        <w:rPr>
          <w:rFonts w:ascii="Arial" w:hAnsi="Arial" w:eastAsiaTheme="minorHAnsi" w:cs="Arial"/>
          <w:b/>
          <w:i/>
        </w:rPr>
      </w:pPr>
    </w:p>
    <w:p w:rsidR="00CC52D0" w:rsidP="00274816" w14:paraId="6FD6241E" w14:textId="77777777">
      <w:pPr>
        <w:autoSpaceDE w:val="0"/>
        <w:autoSpaceDN w:val="0"/>
        <w:adjustRightInd w:val="0"/>
        <w:rPr>
          <w:rFonts w:eastAsiaTheme="minorHAnsi"/>
        </w:rPr>
      </w:pPr>
      <w:r>
        <w:rPr>
          <w:rFonts w:eastAsiaTheme="minorHAnsi"/>
        </w:rPr>
        <w:t>AHRQ contacts</w:t>
      </w:r>
      <w:r w:rsidR="00E952A1">
        <w:rPr>
          <w:rFonts w:eastAsiaTheme="minorHAnsi"/>
        </w:rPr>
        <w:t xml:space="preserve"> industry stakeholders such as investigators, pharmaceu</w:t>
      </w:r>
      <w:r w:rsidR="005256F2">
        <w:rPr>
          <w:rFonts w:eastAsiaTheme="minorHAnsi"/>
        </w:rPr>
        <w:t>tical and device manufacturers</w:t>
      </w:r>
      <w:r w:rsidR="00E952A1">
        <w:rPr>
          <w:rFonts w:eastAsiaTheme="minorHAnsi"/>
        </w:rPr>
        <w:t xml:space="preserve">, app developers, and other non-governmental institutions and </w:t>
      </w:r>
      <w:r w:rsidR="006C78C4">
        <w:rPr>
          <w:rFonts w:eastAsiaTheme="minorHAnsi"/>
        </w:rPr>
        <w:t xml:space="preserve">professional </w:t>
      </w:r>
      <w:r w:rsidR="00E952A1">
        <w:rPr>
          <w:rFonts w:eastAsiaTheme="minorHAnsi"/>
        </w:rPr>
        <w:t>associations</w:t>
      </w:r>
      <w:r>
        <w:rPr>
          <w:rFonts w:eastAsiaTheme="minorHAnsi"/>
        </w:rPr>
        <w:t xml:space="preserve"> through the Effective Health Care Program (EHC) listserv</w:t>
      </w:r>
      <w:r w:rsidR="005256F2">
        <w:rPr>
          <w:rFonts w:eastAsiaTheme="minorHAnsi"/>
        </w:rPr>
        <w:t xml:space="preserve"> </w:t>
      </w:r>
      <w:r w:rsidR="00274816">
        <w:rPr>
          <w:rFonts w:eastAsiaTheme="minorHAnsi"/>
        </w:rPr>
        <w:t xml:space="preserve">and Evidence-based Practice Center listserv </w:t>
      </w:r>
      <w:r w:rsidR="005256F2">
        <w:rPr>
          <w:rFonts w:eastAsiaTheme="minorHAnsi"/>
        </w:rPr>
        <w:t xml:space="preserve">for the purposes of supplementing evidence and data </w:t>
      </w:r>
      <w:r>
        <w:rPr>
          <w:rFonts w:eastAsiaTheme="minorHAnsi"/>
        </w:rPr>
        <w:t>(SEAD</w:t>
      </w:r>
      <w:r w:rsidR="002C4577">
        <w:rPr>
          <w:rFonts w:eastAsiaTheme="minorHAnsi"/>
        </w:rPr>
        <w:t>S</w:t>
      </w:r>
      <w:r>
        <w:rPr>
          <w:rFonts w:eastAsiaTheme="minorHAnsi"/>
        </w:rPr>
        <w:t xml:space="preserve">) </w:t>
      </w:r>
      <w:r w:rsidR="005256F2">
        <w:rPr>
          <w:rFonts w:eastAsiaTheme="minorHAnsi"/>
        </w:rPr>
        <w:t>collected from published and grey literature searches</w:t>
      </w:r>
      <w:r w:rsidR="00E952A1">
        <w:rPr>
          <w:rFonts w:eastAsiaTheme="minorHAnsi"/>
        </w:rPr>
        <w:t xml:space="preserve">. </w:t>
      </w:r>
      <w:r w:rsidR="00274816">
        <w:t xml:space="preserve">189,923 </w:t>
      </w:r>
      <w:r w:rsidR="00274816">
        <w:rPr>
          <w:rFonts w:eastAsiaTheme="minorHAnsi"/>
        </w:rPr>
        <w:t xml:space="preserve"> </w:t>
      </w:r>
      <w:r>
        <w:rPr>
          <w:rFonts w:eastAsiaTheme="minorHAnsi"/>
        </w:rPr>
        <w:t xml:space="preserve">people are included on </w:t>
      </w:r>
      <w:r w:rsidR="00274816">
        <w:rPr>
          <w:rFonts w:eastAsiaTheme="minorHAnsi"/>
        </w:rPr>
        <w:t xml:space="preserve">EHC </w:t>
      </w:r>
      <w:r>
        <w:rPr>
          <w:rFonts w:eastAsiaTheme="minorHAnsi"/>
        </w:rPr>
        <w:t>listserv</w:t>
      </w:r>
      <w:r w:rsidR="00274816">
        <w:rPr>
          <w:rFonts w:eastAsiaTheme="minorHAnsi"/>
        </w:rPr>
        <w:t xml:space="preserve">, and </w:t>
      </w:r>
      <w:r w:rsidR="00274816">
        <w:t>129,326 are subscribed to the EPC listserv</w:t>
      </w:r>
      <w:r>
        <w:rPr>
          <w:rFonts w:eastAsiaTheme="minorHAnsi"/>
        </w:rPr>
        <w:t xml:space="preserve">.  </w:t>
      </w:r>
      <w:r w:rsidR="009D54E1">
        <w:rPr>
          <w:rFonts w:eastAsiaTheme="minorHAnsi"/>
        </w:rPr>
        <w:t xml:space="preserve">Subscription to the </w:t>
      </w:r>
      <w:r w:rsidR="009D54E1">
        <w:rPr>
          <w:rFonts w:eastAsiaTheme="minorHAnsi"/>
        </w:rPr>
        <w:t>listserves</w:t>
      </w:r>
      <w:r w:rsidR="009D54E1">
        <w:rPr>
          <w:rFonts w:eastAsiaTheme="minorHAnsi"/>
        </w:rPr>
        <w:t xml:space="preserve"> </w:t>
      </w:r>
      <w:r w:rsidR="009D54E1">
        <w:rPr>
          <w:rFonts w:eastAsiaTheme="minorHAnsi"/>
        </w:rPr>
        <w:t>are</w:t>
      </w:r>
      <w:r w:rsidR="009D54E1">
        <w:rPr>
          <w:rFonts w:eastAsiaTheme="minorHAnsi"/>
        </w:rPr>
        <w:t xml:space="preserve"> voluntary. </w:t>
      </w:r>
      <w:r>
        <w:rPr>
          <w:rFonts w:eastAsiaTheme="minorHAnsi"/>
        </w:rPr>
        <w:t>In some cases, we also post a note about the opportunity to submit SEAD</w:t>
      </w:r>
      <w:r w:rsidR="002C4577">
        <w:rPr>
          <w:rFonts w:eastAsiaTheme="minorHAnsi"/>
        </w:rPr>
        <w:t>S</w:t>
      </w:r>
      <w:r>
        <w:rPr>
          <w:rFonts w:eastAsiaTheme="minorHAnsi"/>
        </w:rPr>
        <w:t xml:space="preserve"> </w:t>
      </w:r>
      <w:r w:rsidR="009D54E1">
        <w:rPr>
          <w:rFonts w:eastAsiaTheme="minorHAnsi"/>
        </w:rPr>
        <w:t>through a</w:t>
      </w:r>
      <w:r>
        <w:rPr>
          <w:rFonts w:eastAsiaTheme="minorHAnsi"/>
        </w:rPr>
        <w:t xml:space="preserve"> Federal Register notice.  </w:t>
      </w:r>
    </w:p>
    <w:p w:rsidR="005256F2" w:rsidRPr="001F2C94" w:rsidP="001F2C94" w14:paraId="05347967" w14:textId="77777777">
      <w:pPr>
        <w:autoSpaceDE w:val="0"/>
        <w:autoSpaceDN w:val="0"/>
        <w:adjustRightInd w:val="0"/>
        <w:rPr>
          <w:rFonts w:eastAsiaTheme="minorHAnsi"/>
          <w:sz w:val="28"/>
          <w:szCs w:val="28"/>
        </w:rPr>
      </w:pPr>
    </w:p>
    <w:p w:rsidR="007746BC" w:rsidRPr="007746BC" w:rsidP="001F2C94" w14:paraId="49222A7A" w14:textId="77777777">
      <w:pPr>
        <w:autoSpaceDE w:val="0"/>
        <w:autoSpaceDN w:val="0"/>
        <w:adjustRightInd w:val="0"/>
        <w:rPr>
          <w:rFonts w:ascii="Arial" w:hAnsi="Arial" w:eastAsiaTheme="minorHAnsi" w:cs="Arial"/>
          <w:b/>
          <w:i/>
        </w:rPr>
      </w:pPr>
      <w:r w:rsidRPr="007746BC">
        <w:rPr>
          <w:rFonts w:ascii="Arial" w:hAnsi="Arial" w:eastAsiaTheme="minorHAnsi" w:cs="Arial"/>
          <w:b/>
          <w:i/>
        </w:rPr>
        <w:t>B</w:t>
      </w:r>
      <w:r w:rsidRPr="007746BC">
        <w:rPr>
          <w:rFonts w:ascii="Arial" w:hAnsi="Arial" w:eastAsiaTheme="minorHAnsi" w:cs="Arial"/>
          <w:b/>
          <w:i/>
        </w:rPr>
        <w:t>2. T</w:t>
      </w:r>
      <w:r w:rsidRPr="007746BC">
        <w:rPr>
          <w:rFonts w:ascii="Arial" w:hAnsi="Arial" w:eastAsiaTheme="minorHAnsi" w:cs="Arial"/>
          <w:b/>
          <w:i/>
        </w:rPr>
        <w:t xml:space="preserve">he </w:t>
      </w:r>
      <w:r w:rsidRPr="007746BC">
        <w:rPr>
          <w:rFonts w:ascii="Arial" w:hAnsi="Arial" w:eastAsiaTheme="minorHAnsi" w:cs="Arial"/>
          <w:b/>
          <w:i/>
        </w:rPr>
        <w:t>P</w:t>
      </w:r>
      <w:r w:rsidRPr="007746BC">
        <w:rPr>
          <w:rFonts w:ascii="Arial" w:hAnsi="Arial" w:eastAsiaTheme="minorHAnsi" w:cs="Arial"/>
          <w:b/>
          <w:i/>
        </w:rPr>
        <w:t xml:space="preserve">rocedures for the </w:t>
      </w:r>
      <w:r w:rsidRPr="007746BC">
        <w:rPr>
          <w:rFonts w:ascii="Arial" w:hAnsi="Arial" w:eastAsiaTheme="minorHAnsi" w:cs="Arial"/>
          <w:b/>
          <w:i/>
        </w:rPr>
        <w:t>C</w:t>
      </w:r>
      <w:r w:rsidRPr="007746BC">
        <w:rPr>
          <w:rFonts w:ascii="Arial" w:hAnsi="Arial" w:eastAsiaTheme="minorHAnsi" w:cs="Arial"/>
          <w:b/>
          <w:i/>
        </w:rPr>
        <w:t xml:space="preserve">ollection of </w:t>
      </w:r>
      <w:r w:rsidRPr="007746BC">
        <w:rPr>
          <w:rFonts w:ascii="Arial" w:hAnsi="Arial" w:eastAsiaTheme="minorHAnsi" w:cs="Arial"/>
          <w:b/>
          <w:i/>
        </w:rPr>
        <w:t>I</w:t>
      </w:r>
      <w:r w:rsidRPr="007746BC">
        <w:rPr>
          <w:rFonts w:ascii="Arial" w:hAnsi="Arial" w:eastAsiaTheme="minorHAnsi" w:cs="Arial"/>
          <w:b/>
          <w:i/>
        </w:rPr>
        <w:t xml:space="preserve">nformation </w:t>
      </w:r>
    </w:p>
    <w:p w:rsidR="007746BC" w:rsidP="001F2C94" w14:paraId="3EC45DCA" w14:textId="77777777">
      <w:pPr>
        <w:autoSpaceDE w:val="0"/>
        <w:autoSpaceDN w:val="0"/>
        <w:adjustRightInd w:val="0"/>
        <w:rPr>
          <w:rFonts w:eastAsiaTheme="minorHAnsi"/>
          <w:sz w:val="28"/>
          <w:szCs w:val="28"/>
        </w:rPr>
      </w:pPr>
    </w:p>
    <w:p w:rsidR="009E6E52" w:rsidP="009E6E52" w14:paraId="0E4EF590" w14:textId="7967C920">
      <w:pPr>
        <w:autoSpaceDE w:val="0"/>
        <w:autoSpaceDN w:val="0"/>
        <w:adjustRightInd w:val="0"/>
        <w:rPr>
          <w:rFonts w:eastAsiaTheme="minorHAnsi"/>
        </w:rPr>
      </w:pPr>
      <w:r w:rsidRPr="00A677BE">
        <w:rPr>
          <w:rFonts w:eastAsiaTheme="minorHAnsi"/>
        </w:rPr>
        <w:t xml:space="preserve">The </w:t>
      </w:r>
      <w:r>
        <w:rPr>
          <w:rFonts w:eastAsiaTheme="minorHAnsi"/>
        </w:rPr>
        <w:t xml:space="preserve">online submission form (OSF; see </w:t>
      </w:r>
      <w:r w:rsidR="002C4577">
        <w:rPr>
          <w:rFonts w:eastAsiaTheme="minorHAnsi"/>
        </w:rPr>
        <w:t>Attachment A</w:t>
      </w:r>
      <w:r>
        <w:rPr>
          <w:rFonts w:eastAsiaTheme="minorHAnsi"/>
        </w:rPr>
        <w:t xml:space="preserve">) </w:t>
      </w:r>
      <w:r w:rsidRPr="00A677BE">
        <w:rPr>
          <w:rFonts w:eastAsiaTheme="minorHAnsi"/>
        </w:rPr>
        <w:t>is set up to retrieve this information</w:t>
      </w:r>
      <w:r>
        <w:rPr>
          <w:rFonts w:eastAsiaTheme="minorHAnsi"/>
        </w:rPr>
        <w:t xml:space="preserve"> without creating a heavy burden on the responder</w:t>
      </w:r>
      <w:r w:rsidRPr="00A677BE">
        <w:rPr>
          <w:rFonts w:eastAsiaTheme="minorHAnsi"/>
        </w:rPr>
        <w:t>.</w:t>
      </w:r>
      <w:r>
        <w:rPr>
          <w:rFonts w:eastAsiaTheme="minorHAnsi"/>
        </w:rPr>
        <w:t xml:space="preserve">  However, other than the OSF, stakeholders </w:t>
      </w:r>
      <w:r>
        <w:rPr>
          <w:rFonts w:eastAsiaTheme="minorHAnsi"/>
        </w:rPr>
        <w:t xml:space="preserve">are </w:t>
      </w:r>
      <w:r w:rsidR="007110A8">
        <w:rPr>
          <w:rFonts w:eastAsiaTheme="minorHAnsi"/>
        </w:rPr>
        <w:t xml:space="preserve">able </w:t>
      </w:r>
      <w:r>
        <w:rPr>
          <w:rFonts w:eastAsiaTheme="minorHAnsi"/>
        </w:rPr>
        <w:t>to</w:t>
      </w:r>
      <w:r>
        <w:rPr>
          <w:rFonts w:eastAsiaTheme="minorHAnsi"/>
        </w:rPr>
        <w:t xml:space="preserve"> respond to the request</w:t>
      </w:r>
      <w:r w:rsidR="007110A8">
        <w:rPr>
          <w:rFonts w:eastAsiaTheme="minorHAnsi"/>
        </w:rPr>
        <w:t xml:space="preserve"> via</w:t>
      </w:r>
      <w:r>
        <w:rPr>
          <w:rFonts w:eastAsiaTheme="minorHAnsi"/>
        </w:rPr>
        <w:t xml:space="preserve"> email</w:t>
      </w:r>
      <w:r>
        <w:rPr>
          <w:rFonts w:eastAsiaTheme="minorHAnsi"/>
        </w:rPr>
        <w:t>.</w:t>
      </w:r>
      <w:r>
        <w:rPr>
          <w:rFonts w:eastAsiaTheme="minorHAnsi"/>
        </w:rPr>
        <w:t xml:space="preserve"> </w:t>
      </w:r>
    </w:p>
    <w:p w:rsidR="009E6E52" w:rsidP="009E6E52" w14:paraId="062F4D5D" w14:textId="77777777">
      <w:pPr>
        <w:autoSpaceDE w:val="0"/>
        <w:autoSpaceDN w:val="0"/>
        <w:adjustRightInd w:val="0"/>
        <w:rPr>
          <w:rFonts w:eastAsiaTheme="minorHAnsi"/>
        </w:rPr>
      </w:pPr>
    </w:p>
    <w:p w:rsidR="002C4577" w:rsidP="002C4577" w14:paraId="5FB7972A" w14:textId="77777777">
      <w:pPr>
        <w:jc w:val="both"/>
      </w:pPr>
      <w:r>
        <w:t xml:space="preserve">The </w:t>
      </w:r>
      <w:r w:rsidR="005256F2">
        <w:t xml:space="preserve">OSF </w:t>
      </w:r>
      <w:r>
        <w:t xml:space="preserve">was developed to provide stakeholders with flexibility in how they respond to the request. At a minimum, respondents are requested to input their </w:t>
      </w:r>
      <w:r w:rsidR="00CC52D0">
        <w:t>name along with the information packet</w:t>
      </w:r>
      <w:r>
        <w:t xml:space="preserve">. </w:t>
      </w:r>
    </w:p>
    <w:p w:rsidR="002C4577" w:rsidP="002C4577" w14:paraId="212F10CF" w14:textId="77777777">
      <w:pPr>
        <w:jc w:val="both"/>
        <w:rPr>
          <w:rFonts w:eastAsiaTheme="minorHAnsi"/>
        </w:rPr>
      </w:pPr>
    </w:p>
    <w:p w:rsidR="009E6E52" w:rsidP="009E6E52" w14:paraId="25A493EB" w14:textId="6E2A26F9">
      <w:pPr>
        <w:autoSpaceDE w:val="0"/>
        <w:autoSpaceDN w:val="0"/>
        <w:adjustRightInd w:val="0"/>
        <w:rPr>
          <w:rFonts w:eastAsiaTheme="minorHAnsi"/>
        </w:rPr>
      </w:pPr>
      <w:r>
        <w:rPr>
          <w:rFonts w:eastAsiaTheme="minorHAnsi"/>
        </w:rPr>
        <w:t xml:space="preserve">Each </w:t>
      </w:r>
      <w:r w:rsidR="009D54E1">
        <w:rPr>
          <w:rFonts w:eastAsiaTheme="minorHAnsi"/>
        </w:rPr>
        <w:t xml:space="preserve">SEADS submission portal </w:t>
      </w:r>
      <w:r>
        <w:rPr>
          <w:rFonts w:eastAsiaTheme="minorHAnsi"/>
        </w:rPr>
        <w:t>is a single unique event reflecting the topic chosen by AHRQ and its partners that is not repeated unless it is deemed ready for an update at an undetermined future date.</w:t>
      </w:r>
    </w:p>
    <w:p w:rsidR="00025CC6" w:rsidRPr="00B05431" w:rsidP="001F2C94" w14:paraId="35CB531F" w14:textId="77777777">
      <w:pPr>
        <w:autoSpaceDE w:val="0"/>
        <w:autoSpaceDN w:val="0"/>
        <w:adjustRightInd w:val="0"/>
        <w:rPr>
          <w:rFonts w:eastAsiaTheme="minorHAnsi"/>
        </w:rPr>
      </w:pPr>
    </w:p>
    <w:p w:rsidR="001F2C94" w:rsidRPr="001F2C94" w:rsidP="001F2C94" w14:paraId="5440A14E" w14:textId="77777777">
      <w:pPr>
        <w:autoSpaceDE w:val="0"/>
        <w:autoSpaceDN w:val="0"/>
        <w:adjustRightInd w:val="0"/>
        <w:rPr>
          <w:rFonts w:eastAsiaTheme="minorHAnsi"/>
          <w:sz w:val="28"/>
          <w:szCs w:val="28"/>
        </w:rPr>
      </w:pPr>
      <w:r w:rsidRPr="007746BC">
        <w:rPr>
          <w:rFonts w:ascii="Arial" w:hAnsi="Arial" w:eastAsiaTheme="minorHAnsi" w:cs="Arial"/>
          <w:b/>
          <w:i/>
        </w:rPr>
        <w:t xml:space="preserve">B3. </w:t>
      </w:r>
      <w:r w:rsidRPr="007746BC" w:rsidR="007746BC">
        <w:rPr>
          <w:rFonts w:ascii="Arial" w:hAnsi="Arial" w:eastAsiaTheme="minorHAnsi" w:cs="Arial"/>
          <w:b/>
          <w:i/>
        </w:rPr>
        <w:t>M</w:t>
      </w:r>
      <w:r w:rsidRPr="007746BC">
        <w:rPr>
          <w:rFonts w:ascii="Arial" w:hAnsi="Arial" w:eastAsiaTheme="minorHAnsi" w:cs="Arial"/>
          <w:b/>
          <w:i/>
        </w:rPr>
        <w:t xml:space="preserve">ethods to </w:t>
      </w:r>
      <w:r w:rsidRPr="007746BC" w:rsidR="007746BC">
        <w:rPr>
          <w:rFonts w:ascii="Arial" w:hAnsi="Arial" w:eastAsiaTheme="minorHAnsi" w:cs="Arial"/>
          <w:b/>
          <w:i/>
        </w:rPr>
        <w:t>M</w:t>
      </w:r>
      <w:r w:rsidRPr="007746BC">
        <w:rPr>
          <w:rFonts w:ascii="Arial" w:hAnsi="Arial" w:eastAsiaTheme="minorHAnsi" w:cs="Arial"/>
          <w:b/>
          <w:i/>
        </w:rPr>
        <w:t xml:space="preserve">aximize </w:t>
      </w:r>
      <w:r w:rsidRPr="007746BC" w:rsidR="007746BC">
        <w:rPr>
          <w:rFonts w:ascii="Arial" w:hAnsi="Arial" w:eastAsiaTheme="minorHAnsi" w:cs="Arial"/>
          <w:b/>
          <w:i/>
        </w:rPr>
        <w:t>R</w:t>
      </w:r>
      <w:r w:rsidRPr="007746BC">
        <w:rPr>
          <w:rFonts w:ascii="Arial" w:hAnsi="Arial" w:eastAsiaTheme="minorHAnsi" w:cs="Arial"/>
          <w:b/>
          <w:i/>
        </w:rPr>
        <w:t xml:space="preserve">esponse </w:t>
      </w:r>
      <w:r w:rsidRPr="007746BC" w:rsidR="007746BC">
        <w:rPr>
          <w:rFonts w:ascii="Arial" w:hAnsi="Arial" w:eastAsiaTheme="minorHAnsi" w:cs="Arial"/>
          <w:b/>
          <w:i/>
        </w:rPr>
        <w:t>R</w:t>
      </w:r>
      <w:r w:rsidRPr="007746BC">
        <w:rPr>
          <w:rFonts w:ascii="Arial" w:hAnsi="Arial" w:eastAsiaTheme="minorHAnsi" w:cs="Arial"/>
          <w:b/>
          <w:i/>
        </w:rPr>
        <w:t xml:space="preserve">ates and to </w:t>
      </w:r>
      <w:r w:rsidRPr="007746BC" w:rsidR="007746BC">
        <w:rPr>
          <w:rFonts w:ascii="Arial" w:hAnsi="Arial" w:eastAsiaTheme="minorHAnsi" w:cs="Arial"/>
          <w:b/>
          <w:i/>
        </w:rPr>
        <w:t>D</w:t>
      </w:r>
      <w:r w:rsidRPr="007746BC">
        <w:rPr>
          <w:rFonts w:ascii="Arial" w:hAnsi="Arial" w:eastAsiaTheme="minorHAnsi" w:cs="Arial"/>
          <w:b/>
          <w:i/>
        </w:rPr>
        <w:t xml:space="preserve">eal with </w:t>
      </w:r>
      <w:r w:rsidRPr="007746BC" w:rsidR="007746BC">
        <w:rPr>
          <w:rFonts w:ascii="Arial" w:hAnsi="Arial" w:eastAsiaTheme="minorHAnsi" w:cs="Arial"/>
          <w:b/>
          <w:i/>
        </w:rPr>
        <w:t>I</w:t>
      </w:r>
      <w:r w:rsidRPr="007746BC">
        <w:rPr>
          <w:rFonts w:ascii="Arial" w:hAnsi="Arial" w:eastAsiaTheme="minorHAnsi" w:cs="Arial"/>
          <w:b/>
          <w:i/>
        </w:rPr>
        <w:t xml:space="preserve">ssues of </w:t>
      </w:r>
      <w:r w:rsidRPr="007746BC" w:rsidR="007746BC">
        <w:rPr>
          <w:rFonts w:ascii="Arial" w:hAnsi="Arial" w:eastAsiaTheme="minorHAnsi" w:cs="Arial"/>
          <w:b/>
          <w:i/>
        </w:rPr>
        <w:t>N</w:t>
      </w:r>
      <w:r w:rsidRPr="007746BC">
        <w:rPr>
          <w:rFonts w:ascii="Arial" w:hAnsi="Arial" w:eastAsiaTheme="minorHAnsi" w:cs="Arial"/>
          <w:b/>
          <w:i/>
        </w:rPr>
        <w:t>on-response</w:t>
      </w:r>
      <w:r w:rsidRPr="001F2C94">
        <w:rPr>
          <w:rFonts w:eastAsiaTheme="minorHAnsi"/>
          <w:sz w:val="28"/>
          <w:szCs w:val="28"/>
        </w:rPr>
        <w:t xml:space="preserve"> </w:t>
      </w:r>
    </w:p>
    <w:p w:rsidR="001F2C94" w:rsidRPr="001F2C94" w:rsidP="001F2C94" w14:paraId="4E790D65" w14:textId="77777777">
      <w:pPr>
        <w:autoSpaceDE w:val="0"/>
        <w:autoSpaceDN w:val="0"/>
        <w:adjustRightInd w:val="0"/>
        <w:rPr>
          <w:rFonts w:eastAsiaTheme="minorHAnsi"/>
          <w:sz w:val="28"/>
          <w:szCs w:val="28"/>
        </w:rPr>
      </w:pPr>
    </w:p>
    <w:p w:rsidR="00F82AC3" w:rsidP="002C4577" w14:paraId="1503B04A" w14:textId="62C3A07C">
      <w:pPr>
        <w:autoSpaceDE w:val="0"/>
        <w:autoSpaceDN w:val="0"/>
        <w:adjustRightInd w:val="0"/>
        <w:rPr>
          <w:rFonts w:eastAsiaTheme="minorHAnsi"/>
        </w:rPr>
      </w:pPr>
      <w:r>
        <w:rPr>
          <w:rFonts w:eastAsiaTheme="minorHAnsi"/>
        </w:rPr>
        <w:t xml:space="preserve">The information collection process is initiated with an email notification of the opportunity to submit SEADS via the EHC </w:t>
      </w:r>
      <w:r w:rsidR="009D54E1">
        <w:rPr>
          <w:rFonts w:eastAsiaTheme="minorHAnsi"/>
        </w:rPr>
        <w:t xml:space="preserve">and EPC </w:t>
      </w:r>
      <w:r>
        <w:rPr>
          <w:rFonts w:eastAsiaTheme="minorHAnsi"/>
        </w:rPr>
        <w:t>listserv</w:t>
      </w:r>
      <w:r w:rsidR="009D54E1">
        <w:rPr>
          <w:rFonts w:eastAsiaTheme="minorHAnsi"/>
        </w:rPr>
        <w:t>s</w:t>
      </w:r>
      <w:r>
        <w:rPr>
          <w:rFonts w:eastAsiaTheme="minorHAnsi"/>
        </w:rPr>
        <w:t xml:space="preserve"> (see Attachment B).  In cases where AHRQ determines that a more general notice to the public is necessary, such as when there are not specific manufacturers of products under review, AHRQ may issue a Federal Register notice </w:t>
      </w:r>
      <w:r w:rsidR="00696647">
        <w:rPr>
          <w:rFonts w:eastAsiaTheme="minorHAnsi"/>
        </w:rPr>
        <w:t xml:space="preserve">(see Attachment C) </w:t>
      </w:r>
      <w:r>
        <w:rPr>
          <w:rFonts w:eastAsiaTheme="minorHAnsi"/>
        </w:rPr>
        <w:t>of the opportunity to submit SEADS.</w:t>
      </w:r>
    </w:p>
    <w:p w:rsidR="00F82AC3" w:rsidP="001F2C94" w14:paraId="498EBD21" w14:textId="77777777">
      <w:pPr>
        <w:autoSpaceDE w:val="0"/>
        <w:autoSpaceDN w:val="0"/>
        <w:adjustRightInd w:val="0"/>
        <w:rPr>
          <w:rFonts w:eastAsiaTheme="minorHAnsi"/>
        </w:rPr>
      </w:pPr>
    </w:p>
    <w:p w:rsidR="001F2C94" w:rsidP="001F2C94" w14:paraId="03FA8850" w14:textId="77777777">
      <w:pPr>
        <w:autoSpaceDE w:val="0"/>
        <w:autoSpaceDN w:val="0"/>
        <w:adjustRightInd w:val="0"/>
        <w:rPr>
          <w:rFonts w:eastAsiaTheme="minorHAnsi"/>
          <w:i/>
          <w:sz w:val="28"/>
          <w:szCs w:val="28"/>
        </w:rPr>
      </w:pPr>
    </w:p>
    <w:p w:rsidR="002F7B9D" w:rsidP="001F2C94" w14:paraId="3D4C1910" w14:textId="77777777">
      <w:pPr>
        <w:autoSpaceDE w:val="0"/>
        <w:autoSpaceDN w:val="0"/>
        <w:adjustRightInd w:val="0"/>
        <w:rPr>
          <w:rFonts w:ascii="Arial" w:hAnsi="Arial" w:eastAsiaTheme="minorHAnsi" w:cs="Arial"/>
          <w:b/>
          <w:i/>
        </w:rPr>
      </w:pPr>
      <w:r w:rsidRPr="007746BC">
        <w:rPr>
          <w:rFonts w:ascii="Arial" w:hAnsi="Arial" w:eastAsiaTheme="minorHAnsi" w:cs="Arial"/>
          <w:b/>
          <w:i/>
        </w:rPr>
        <w:t>B</w:t>
      </w:r>
      <w:r w:rsidRPr="007746BC" w:rsidR="007746BC">
        <w:rPr>
          <w:rFonts w:ascii="Arial" w:hAnsi="Arial" w:eastAsiaTheme="minorHAnsi" w:cs="Arial"/>
          <w:b/>
          <w:i/>
        </w:rPr>
        <w:t>4. T</w:t>
      </w:r>
      <w:r w:rsidRPr="007746BC">
        <w:rPr>
          <w:rFonts w:ascii="Arial" w:hAnsi="Arial" w:eastAsiaTheme="minorHAnsi" w:cs="Arial"/>
          <w:b/>
          <w:i/>
        </w:rPr>
        <w:t xml:space="preserve">ests of </w:t>
      </w:r>
      <w:r w:rsidRPr="007746BC" w:rsidR="007746BC">
        <w:rPr>
          <w:rFonts w:ascii="Arial" w:hAnsi="Arial" w:eastAsiaTheme="minorHAnsi" w:cs="Arial"/>
          <w:b/>
          <w:i/>
        </w:rPr>
        <w:t>P</w:t>
      </w:r>
      <w:r w:rsidRPr="007746BC">
        <w:rPr>
          <w:rFonts w:ascii="Arial" w:hAnsi="Arial" w:eastAsiaTheme="minorHAnsi" w:cs="Arial"/>
          <w:b/>
          <w:i/>
        </w:rPr>
        <w:t xml:space="preserve">rocedures or </w:t>
      </w:r>
      <w:r w:rsidRPr="007746BC" w:rsidR="007746BC">
        <w:rPr>
          <w:rFonts w:ascii="Arial" w:hAnsi="Arial" w:eastAsiaTheme="minorHAnsi" w:cs="Arial"/>
          <w:b/>
          <w:i/>
        </w:rPr>
        <w:t>M</w:t>
      </w:r>
      <w:r w:rsidRPr="007746BC">
        <w:rPr>
          <w:rFonts w:ascii="Arial" w:hAnsi="Arial" w:eastAsiaTheme="minorHAnsi" w:cs="Arial"/>
          <w:b/>
          <w:i/>
        </w:rPr>
        <w:t xml:space="preserve">ethods to be </w:t>
      </w:r>
      <w:r w:rsidRPr="007746BC" w:rsidR="007746BC">
        <w:rPr>
          <w:rFonts w:ascii="Arial" w:hAnsi="Arial" w:eastAsiaTheme="minorHAnsi" w:cs="Arial"/>
          <w:b/>
          <w:i/>
        </w:rPr>
        <w:t>U</w:t>
      </w:r>
      <w:r w:rsidR="006C78C4">
        <w:rPr>
          <w:rFonts w:ascii="Arial" w:hAnsi="Arial" w:eastAsiaTheme="minorHAnsi" w:cs="Arial"/>
          <w:b/>
          <w:i/>
        </w:rPr>
        <w:t>ndertaken</w:t>
      </w:r>
      <w:r w:rsidRPr="007746BC">
        <w:rPr>
          <w:rFonts w:ascii="Arial" w:hAnsi="Arial" w:eastAsiaTheme="minorHAnsi" w:cs="Arial"/>
          <w:b/>
          <w:i/>
        </w:rPr>
        <w:t xml:space="preserve"> </w:t>
      </w:r>
    </w:p>
    <w:p w:rsidR="001F2C94" w:rsidRPr="002F7B9D" w:rsidP="001F2C94" w14:paraId="2B6A56E7" w14:textId="6190AE4C">
      <w:pPr>
        <w:autoSpaceDE w:val="0"/>
        <w:autoSpaceDN w:val="0"/>
        <w:adjustRightInd w:val="0"/>
        <w:rPr>
          <w:rFonts w:ascii="Arial" w:hAnsi="Arial" w:eastAsiaTheme="minorHAnsi" w:cs="Arial"/>
          <w:b/>
          <w:i/>
        </w:rPr>
      </w:pPr>
      <w:r>
        <w:rPr>
          <w:rFonts w:eastAsiaTheme="minorHAnsi"/>
        </w:rPr>
        <w:t>T</w:t>
      </w:r>
      <w:r w:rsidR="002C4577">
        <w:rPr>
          <w:rFonts w:eastAsiaTheme="minorHAnsi"/>
        </w:rPr>
        <w:t xml:space="preserve">his approach has been used by AHRQ for </w:t>
      </w:r>
      <w:r w:rsidR="00DA2FEA">
        <w:rPr>
          <w:rFonts w:eastAsiaTheme="minorHAnsi"/>
        </w:rPr>
        <w:t>over 5</w:t>
      </w:r>
      <w:r w:rsidR="002C4577">
        <w:rPr>
          <w:rFonts w:eastAsiaTheme="minorHAnsi"/>
        </w:rPr>
        <w:t xml:space="preserve"> years.  Tests have been done to ensure that </w:t>
      </w:r>
      <w:r>
        <w:rPr>
          <w:rFonts w:eastAsiaTheme="minorHAnsi"/>
        </w:rPr>
        <w:t>the OSF</w:t>
      </w:r>
      <w:r w:rsidR="002C4577">
        <w:rPr>
          <w:rFonts w:eastAsiaTheme="minorHAnsi"/>
        </w:rPr>
        <w:t xml:space="preserve"> or user interface</w:t>
      </w:r>
      <w:r>
        <w:rPr>
          <w:rFonts w:eastAsiaTheme="minorHAnsi"/>
        </w:rPr>
        <w:t xml:space="preserve"> </w:t>
      </w:r>
      <w:r w:rsidR="002C4577">
        <w:rPr>
          <w:rFonts w:eastAsiaTheme="minorHAnsi"/>
        </w:rPr>
        <w:t>does not cause</w:t>
      </w:r>
      <w:r>
        <w:rPr>
          <w:rFonts w:eastAsiaTheme="minorHAnsi"/>
        </w:rPr>
        <w:t xml:space="preserve"> any confusion.</w:t>
      </w:r>
      <w:r w:rsidR="009D54E1">
        <w:rPr>
          <w:rFonts w:eastAsiaTheme="minorHAnsi"/>
        </w:rPr>
        <w:t xml:space="preserve"> AHRQ consults with the EHC </w:t>
      </w:r>
      <w:r w:rsidR="009D54E1">
        <w:rPr>
          <w:rFonts w:eastAsiaTheme="minorHAnsi"/>
        </w:rPr>
        <w:t>webteam</w:t>
      </w:r>
      <w:r w:rsidR="009D54E1">
        <w:rPr>
          <w:rFonts w:eastAsiaTheme="minorHAnsi"/>
        </w:rPr>
        <w:t xml:space="preserve"> to ensure that best practices are used for the </w:t>
      </w:r>
      <w:r w:rsidR="009D54E1">
        <w:rPr>
          <w:rFonts w:eastAsiaTheme="minorHAnsi"/>
        </w:rPr>
        <w:t xml:space="preserve">OSF and webpage. AHRQ regularly reviews SEADS submissions and any reports of issues with the EHC </w:t>
      </w:r>
      <w:r w:rsidR="009D54E1">
        <w:rPr>
          <w:rFonts w:eastAsiaTheme="minorHAnsi"/>
        </w:rPr>
        <w:t>webteam</w:t>
      </w:r>
      <w:r w:rsidR="009D54E1">
        <w:rPr>
          <w:rFonts w:eastAsiaTheme="minorHAnsi"/>
        </w:rPr>
        <w:t xml:space="preserve"> to identify issues a</w:t>
      </w:r>
      <w:r w:rsidR="009D54E1">
        <w:rPr>
          <w:rFonts w:eastAsiaTheme="minorHAnsi"/>
        </w:rPr>
        <w:t xml:space="preserve">nd ensure </w:t>
      </w:r>
      <w:r w:rsidR="009D54E1">
        <w:rPr>
          <w:rFonts w:eastAsiaTheme="minorHAnsi"/>
        </w:rPr>
        <w:t xml:space="preserve">smooth functioning. </w:t>
      </w:r>
    </w:p>
    <w:p w:rsidR="001F2C94" w:rsidP="001F2C94" w14:paraId="29949876" w14:textId="77777777">
      <w:pPr>
        <w:autoSpaceDE w:val="0"/>
        <w:autoSpaceDN w:val="0"/>
        <w:adjustRightInd w:val="0"/>
        <w:rPr>
          <w:rFonts w:eastAsiaTheme="minorHAnsi"/>
          <w:sz w:val="28"/>
          <w:szCs w:val="28"/>
        </w:rPr>
      </w:pPr>
    </w:p>
    <w:p w:rsidR="000E4D51" w:rsidP="001F2C94" w14:paraId="44A9B7B7" w14:textId="77777777">
      <w:pPr>
        <w:autoSpaceDE w:val="0"/>
        <w:autoSpaceDN w:val="0"/>
        <w:adjustRightInd w:val="0"/>
        <w:rPr>
          <w:rFonts w:eastAsiaTheme="minorHAnsi"/>
          <w:sz w:val="28"/>
          <w:szCs w:val="28"/>
        </w:rPr>
      </w:pPr>
    </w:p>
    <w:p w:rsidR="0070462C" w14:paraId="3DF9C0F2" w14:textId="77777777">
      <w:pPr>
        <w:spacing w:after="200" w:line="276" w:lineRule="auto"/>
        <w:rPr>
          <w:rFonts w:eastAsiaTheme="minorHAnsi"/>
          <w:sz w:val="28"/>
          <w:szCs w:val="28"/>
        </w:rPr>
      </w:pPr>
      <w:r>
        <w:rPr>
          <w:rFonts w:eastAsiaTheme="minorHAnsi"/>
          <w:sz w:val="28"/>
          <w:szCs w:val="28"/>
        </w:rPr>
        <w:br w:type="page"/>
      </w:r>
    </w:p>
    <w:p w:rsidR="006A556E" w:rsidRPr="007C4172" w:rsidP="006A556E" w14:paraId="316BD91C" w14:textId="77777777">
      <w:pPr>
        <w:rPr>
          <w:b/>
        </w:rPr>
      </w:pPr>
      <w:r w:rsidRPr="007C4172">
        <w:rPr>
          <w:b/>
        </w:rPr>
        <w:t xml:space="preserve">Attachment </w:t>
      </w:r>
      <w:r w:rsidR="00696647">
        <w:rPr>
          <w:b/>
        </w:rPr>
        <w:t>A</w:t>
      </w:r>
      <w:r w:rsidRPr="007C4172">
        <w:rPr>
          <w:b/>
        </w:rPr>
        <w:t xml:space="preserve"> -- Website Portal for Submission of Supplemental Evidence and Data for Systematic Reviews </w:t>
      </w:r>
    </w:p>
    <w:p w:rsidR="006A556E" w:rsidRPr="00F74DE2" w:rsidP="006A556E" w14:paraId="1174CECE" w14:textId="77777777">
      <w:pPr>
        <w:rPr>
          <w:b/>
          <w:i/>
        </w:rPr>
      </w:pPr>
    </w:p>
    <w:p w:rsidR="0070462C" w:rsidP="001F2C94" w14:paraId="492E8130" w14:textId="77777777">
      <w:pPr>
        <w:autoSpaceDE w:val="0"/>
        <w:autoSpaceDN w:val="0"/>
        <w:adjustRightInd w:val="0"/>
        <w:rPr>
          <w:rFonts w:eastAsiaTheme="minorHAnsi"/>
          <w:sz w:val="28"/>
          <w:szCs w:val="28"/>
        </w:rPr>
      </w:pPr>
    </w:p>
    <w:p w:rsidR="006A556E" w14:paraId="181EEBCD" w14:textId="7FBBA023">
      <w:pPr>
        <w:spacing w:after="200" w:line="276" w:lineRule="auto"/>
        <w:rPr>
          <w:rFonts w:eastAsiaTheme="minorHAnsi"/>
          <w:sz w:val="28"/>
          <w:szCs w:val="28"/>
        </w:rPr>
      </w:pPr>
      <w:r>
        <w:rPr>
          <w:noProof/>
        </w:rPr>
        <w:drawing>
          <wp:inline distT="0" distB="0" distL="0" distR="0">
            <wp:extent cx="4577715"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7715" cy="8229600"/>
                    </a:xfrm>
                    <a:prstGeom prst="rect">
                      <a:avLst/>
                    </a:prstGeom>
                    <a:noFill/>
                    <a:ln>
                      <a:noFill/>
                    </a:ln>
                  </pic:spPr>
                </pic:pic>
              </a:graphicData>
            </a:graphic>
          </wp:inline>
        </w:drawing>
      </w:r>
      <w:r>
        <w:rPr>
          <w:rFonts w:eastAsiaTheme="minorHAnsi"/>
          <w:sz w:val="28"/>
          <w:szCs w:val="28"/>
        </w:rPr>
        <w:br w:type="page"/>
      </w:r>
    </w:p>
    <w:p w:rsidR="00696647" w:rsidRPr="007C4172" w:rsidP="00696647" w14:paraId="7548D762" w14:textId="77777777">
      <w:pPr>
        <w:rPr>
          <w:b/>
          <w:sz w:val="32"/>
        </w:rPr>
      </w:pPr>
      <w:r w:rsidRPr="007C4172">
        <w:rPr>
          <w:b/>
        </w:rPr>
        <w:t xml:space="preserve">Attachment </w:t>
      </w:r>
      <w:r w:rsidRPr="00696647">
        <w:rPr>
          <w:b/>
        </w:rPr>
        <w:t>B</w:t>
      </w:r>
      <w:r w:rsidRPr="007C4172">
        <w:rPr>
          <w:b/>
          <w:sz w:val="32"/>
        </w:rPr>
        <w:t xml:space="preserve"> </w:t>
      </w:r>
      <w:r w:rsidRPr="007C4172">
        <w:rPr>
          <w:b/>
        </w:rPr>
        <w:t>-- Opportunity to Submit Scientific Information E-mail</w:t>
      </w:r>
    </w:p>
    <w:p w:rsidR="00696647" w:rsidP="00696647" w14:paraId="067BC87C" w14:textId="77777777">
      <w:pPr>
        <w:rPr>
          <w:b/>
          <w:sz w:val="28"/>
        </w:rPr>
      </w:pPr>
    </w:p>
    <w:p w:rsidR="007110A8" w:rsidRPr="007110A8" w:rsidP="007110A8" w14:paraId="494437E2" w14:textId="77777777">
      <w:pPr>
        <w:autoSpaceDE w:val="0"/>
        <w:autoSpaceDN w:val="0"/>
        <w:adjustRightInd w:val="0"/>
        <w:rPr>
          <w:rFonts w:ascii="Calibri" w:hAnsi="Calibri" w:eastAsiaTheme="minorHAnsi" w:cs="Calibri"/>
          <w:color w:val="000000"/>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9145"/>
        <w:gridCol w:w="360"/>
      </w:tblGrid>
      <w:tr w14:paraId="46447996" w14:textId="77777777">
        <w:tblPrEx>
          <w:tblW w:w="0" w:type="auto"/>
          <w:tblInd w:w="-108" w:type="dxa"/>
          <w:tblBorders>
            <w:top w:val="nil"/>
            <w:left w:val="nil"/>
            <w:bottom w:val="nil"/>
            <w:right w:val="nil"/>
          </w:tblBorders>
          <w:tblLayout w:type="fixed"/>
          <w:tblCellMar>
            <w:left w:w="0" w:type="dxa"/>
            <w:right w:w="0" w:type="dxa"/>
          </w:tblCellMar>
          <w:tblLook w:val="0000"/>
        </w:tblPrEx>
        <w:trPr>
          <w:trHeight w:val="340"/>
        </w:trPr>
        <w:tc>
          <w:tcPr>
            <w:tcW w:w="9145" w:type="dxa"/>
            <w:tcBorders>
              <w:top w:val="nil"/>
              <w:left w:val="nil"/>
              <w:bottom w:val="nil"/>
              <w:right w:val="nil"/>
            </w:tcBorders>
          </w:tcPr>
          <w:p w:rsidR="007110A8" w:rsidP="007110A8" w14:paraId="12ED6E23" w14:textId="77777777">
            <w:pPr>
              <w:autoSpaceDE w:val="0"/>
              <w:autoSpaceDN w:val="0"/>
              <w:adjustRightInd w:val="0"/>
              <w:rPr>
                <w:rFonts w:ascii="Arial" w:hAnsi="Arial" w:eastAsiaTheme="minorHAnsi" w:cs="Arial"/>
                <w:b/>
                <w:bCs/>
                <w:color w:val="000000"/>
                <w:sz w:val="36"/>
                <w:szCs w:val="36"/>
              </w:rPr>
            </w:pPr>
            <w:r w:rsidRPr="007110A8">
              <w:rPr>
                <w:rFonts w:ascii="Calibri" w:hAnsi="Calibri" w:eastAsiaTheme="minorHAnsi" w:cs="Calibri"/>
                <w:color w:val="000000"/>
              </w:rPr>
              <w:t xml:space="preserve"> </w:t>
            </w:r>
            <w:r w:rsidRPr="007110A8">
              <w:rPr>
                <w:rFonts w:ascii="Calibri" w:hAnsi="Calibri" w:eastAsiaTheme="minorHAnsi" w:cs="Calibri"/>
                <w:b/>
                <w:bCs/>
                <w:color w:val="000000"/>
                <w:sz w:val="22"/>
                <w:szCs w:val="22"/>
              </w:rPr>
              <w:t xml:space="preserve">From: </w:t>
            </w:r>
            <w:r w:rsidRPr="007110A8">
              <w:rPr>
                <w:rFonts w:ascii="Calibri" w:hAnsi="Calibri" w:eastAsiaTheme="minorHAnsi" w:cs="Calibri"/>
                <w:color w:val="000000"/>
                <w:sz w:val="22"/>
                <w:szCs w:val="22"/>
              </w:rPr>
              <w:t xml:space="preserve">Agency for Healthcare Research and Quality (AHRQ) &lt;updates@subscriptions.ahrq.gov&gt; </w:t>
            </w:r>
            <w:r w:rsidRPr="007110A8">
              <w:rPr>
                <w:rFonts w:ascii="Calibri" w:hAnsi="Calibri" w:eastAsiaTheme="minorHAnsi" w:cs="Calibri"/>
                <w:b/>
                <w:bCs/>
                <w:color w:val="000000"/>
                <w:sz w:val="22"/>
                <w:szCs w:val="22"/>
              </w:rPr>
              <w:t xml:space="preserve">Sent: </w:t>
            </w:r>
            <w:r w:rsidRPr="007110A8">
              <w:rPr>
                <w:rFonts w:ascii="Calibri" w:hAnsi="Calibri" w:eastAsiaTheme="minorHAnsi" w:cs="Calibri"/>
                <w:color w:val="000000"/>
                <w:sz w:val="22"/>
                <w:szCs w:val="22"/>
              </w:rPr>
              <w:t xml:space="preserve">Thursday, March 10, 2022 5:23 PM </w:t>
            </w:r>
            <w:r w:rsidRPr="007110A8">
              <w:rPr>
                <w:rFonts w:ascii="Calibri" w:hAnsi="Calibri" w:eastAsiaTheme="minorHAnsi" w:cs="Calibri"/>
                <w:b/>
                <w:bCs/>
                <w:color w:val="000000"/>
                <w:sz w:val="22"/>
                <w:szCs w:val="22"/>
              </w:rPr>
              <w:t xml:space="preserve">To: </w:t>
            </w:r>
            <w:r w:rsidRPr="007110A8">
              <w:rPr>
                <w:rFonts w:ascii="Calibri" w:hAnsi="Calibri" w:eastAsiaTheme="minorHAnsi" w:cs="Calibri"/>
                <w:color w:val="000000"/>
                <w:sz w:val="22"/>
                <w:szCs w:val="22"/>
              </w:rPr>
              <w:t xml:space="preserve">Benns, Jenae (AHRQ/CEPI) &lt;Jenae.Benns@ahrq.hhs.gov&gt; </w:t>
            </w:r>
            <w:r w:rsidRPr="007110A8">
              <w:rPr>
                <w:rFonts w:ascii="Calibri" w:hAnsi="Calibri" w:eastAsiaTheme="minorHAnsi" w:cs="Calibri"/>
                <w:b/>
                <w:bCs/>
                <w:color w:val="000000"/>
                <w:sz w:val="22"/>
                <w:szCs w:val="22"/>
              </w:rPr>
              <w:t xml:space="preserve">Subject: </w:t>
            </w:r>
            <w:r w:rsidRPr="007110A8">
              <w:rPr>
                <w:rFonts w:ascii="Calibri" w:hAnsi="Calibri" w:eastAsiaTheme="minorHAnsi" w:cs="Calibri"/>
                <w:color w:val="000000"/>
                <w:sz w:val="22"/>
                <w:szCs w:val="22"/>
              </w:rPr>
              <w:t xml:space="preserve">EHC Program Update: Protocol on Postpartum Management of Women who Experience Hypertensive Disorders of Pregnancy Now Available </w:t>
            </w:r>
          </w:p>
          <w:p w:rsidR="007110A8" w:rsidP="007110A8" w14:paraId="53B90AE0" w14:textId="77777777">
            <w:pPr>
              <w:autoSpaceDE w:val="0"/>
              <w:autoSpaceDN w:val="0"/>
              <w:adjustRightInd w:val="0"/>
              <w:rPr>
                <w:rFonts w:ascii="Arial" w:hAnsi="Arial" w:eastAsiaTheme="minorHAnsi" w:cs="Arial"/>
                <w:b/>
                <w:bCs/>
                <w:color w:val="000000"/>
                <w:sz w:val="36"/>
                <w:szCs w:val="36"/>
              </w:rPr>
            </w:pPr>
          </w:p>
          <w:p w:rsidR="007110A8" w:rsidRPr="007110A8" w:rsidP="007110A8" w14:paraId="5920B1D1" w14:textId="1C8715BD">
            <w:pPr>
              <w:autoSpaceDE w:val="0"/>
              <w:autoSpaceDN w:val="0"/>
              <w:adjustRightInd w:val="0"/>
              <w:rPr>
                <w:rFonts w:ascii="Arial" w:hAnsi="Arial" w:eastAsiaTheme="minorHAnsi" w:cs="Arial"/>
                <w:color w:val="000000"/>
                <w:sz w:val="36"/>
                <w:szCs w:val="36"/>
              </w:rPr>
            </w:pPr>
            <w:r w:rsidRPr="007110A8">
              <w:rPr>
                <w:rFonts w:ascii="Arial" w:hAnsi="Arial" w:eastAsiaTheme="minorHAnsi" w:cs="Arial"/>
                <w:noProof/>
                <w:color w:val="000000"/>
                <w:sz w:val="36"/>
                <w:szCs w:val="36"/>
              </w:rPr>
              <w:drawing>
                <wp:inline distT="0" distB="0" distL="0" distR="0">
                  <wp:extent cx="5797550" cy="5156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97550" cy="5156200"/>
                          </a:xfrm>
                          <a:prstGeom prst="rect">
                            <a:avLst/>
                          </a:prstGeom>
                          <a:noFill/>
                          <a:ln>
                            <a:noFill/>
                          </a:ln>
                        </pic:spPr>
                      </pic:pic>
                    </a:graphicData>
                  </a:graphic>
                </wp:inline>
              </w:drawing>
            </w:r>
          </w:p>
        </w:tc>
        <w:tc>
          <w:tcPr>
            <w:tcW w:w="360" w:type="dxa"/>
          </w:tcPr>
          <w:p w:rsidR="007110A8" w:rsidRPr="007110A8" w14:paraId="56527B29" w14:textId="77777777">
            <w:pPr>
              <w:spacing w:after="200" w:line="276" w:lineRule="auto"/>
            </w:pPr>
            <w:r w:rsidRPr="007110A8">
              <w:rPr>
                <w:rFonts w:ascii="Arial" w:hAnsi="Arial" w:cs="Arial"/>
                <w:sz w:val="36"/>
                <w:szCs w:val="36"/>
              </w:rPr>
              <w:t xml:space="preserve"> </w:t>
            </w:r>
          </w:p>
        </w:tc>
      </w:tr>
    </w:tbl>
    <w:p w:rsidR="007110A8" w:rsidP="00696647" w14:paraId="27AD8114" w14:textId="77777777">
      <w:pPr>
        <w:rPr>
          <w:rFonts w:ascii="Calibri" w:hAnsi="Calibri" w:cs="Calibri"/>
          <w:b/>
          <w:bCs/>
        </w:rPr>
      </w:pPr>
    </w:p>
    <w:p w:rsidR="00696647" w:rsidP="00696647" w14:paraId="55C6F684" w14:textId="5C50C3B6">
      <w:pPr>
        <w:rPr>
          <w:rFonts w:ascii="Calibri" w:hAnsi="Calibri" w:cs="Calibri"/>
        </w:rPr>
      </w:pPr>
      <w:r>
        <w:rPr>
          <w:rFonts w:ascii="Calibri" w:hAnsi="Calibri" w:cs="Calibri"/>
        </w:rPr>
        <w:br/>
      </w:r>
    </w:p>
    <w:tbl>
      <w:tblPr>
        <w:tblW w:w="5000" w:type="pct"/>
        <w:jc w:val="center"/>
        <w:tblBorders>
          <w:top w:val="single" w:sz="6" w:space="0" w:color="AAAAAA"/>
          <w:left w:val="single" w:sz="6" w:space="0" w:color="AAAAAA"/>
          <w:bottom w:val="single" w:sz="6" w:space="0" w:color="AAAAAA"/>
          <w:right w:val="single" w:sz="6" w:space="0" w:color="AAAAAA"/>
        </w:tblBorders>
        <w:shd w:val="clear" w:color="auto" w:fill="FFFFFF"/>
        <w:tblCellMar>
          <w:left w:w="0" w:type="dxa"/>
          <w:right w:w="0" w:type="dxa"/>
        </w:tblCellMar>
        <w:tblLook w:val="04A0"/>
      </w:tblPr>
      <w:tblGrid>
        <w:gridCol w:w="9344"/>
      </w:tblGrid>
      <w:tr w14:paraId="16956B57" w14:textId="77777777" w:rsidTr="007110A8">
        <w:tblPrEx>
          <w:tblW w:w="5000" w:type="pct"/>
          <w:jc w:val="center"/>
          <w:tblBorders>
            <w:top w:val="single" w:sz="6" w:space="0" w:color="AAAAAA"/>
            <w:left w:val="single" w:sz="6" w:space="0" w:color="AAAAAA"/>
            <w:bottom w:val="single" w:sz="6" w:space="0" w:color="AAAAAA"/>
            <w:right w:val="single" w:sz="6" w:space="0" w:color="AAAAAA"/>
          </w:tblBorders>
          <w:shd w:val="clear" w:color="auto" w:fill="FFFFFF"/>
          <w:tblCellMar>
            <w:left w:w="0" w:type="dxa"/>
            <w:right w:w="0" w:type="dxa"/>
          </w:tblCellMar>
          <w:tblLook w:val="04A0"/>
        </w:tblPrEx>
        <w:trPr>
          <w:jc w:val="center"/>
        </w:trPr>
        <w:tc>
          <w:tcPr>
            <w:tcW w:w="5000" w:type="pct"/>
            <w:tcBorders>
              <w:top w:val="single" w:sz="6" w:space="0" w:color="AAAAAA"/>
              <w:left w:val="single" w:sz="6" w:space="0" w:color="AAAAAA"/>
              <w:bottom w:val="nil"/>
              <w:right w:val="single" w:sz="6" w:space="0" w:color="AAAAAA"/>
            </w:tcBorders>
            <w:shd w:val="clear" w:color="auto" w:fill="FFFFFF"/>
            <w:vAlign w:val="center"/>
          </w:tcPr>
          <w:p w:rsidR="00696647" w:rsidP="009473EB" w14:paraId="4CEC0C01" w14:textId="4B282E3C">
            <w:pPr>
              <w:jc w:val="center"/>
            </w:pPr>
          </w:p>
        </w:tc>
      </w:tr>
      <w:tr w14:paraId="385CA234" w14:textId="77777777" w:rsidTr="007110A8">
        <w:tblPrEx>
          <w:tblW w:w="5000" w:type="pct"/>
          <w:jc w:val="center"/>
          <w:shd w:val="clear" w:color="auto" w:fill="FFFFFF"/>
          <w:tblCellMar>
            <w:left w:w="0" w:type="dxa"/>
            <w:right w:w="0" w:type="dxa"/>
          </w:tblCellMar>
          <w:tblLook w:val="04A0"/>
        </w:tblPrEx>
        <w:trPr>
          <w:jc w:val="center"/>
        </w:trPr>
        <w:tc>
          <w:tcPr>
            <w:tcW w:w="5000" w:type="pct"/>
            <w:tcBorders>
              <w:top w:val="nil"/>
              <w:left w:val="single" w:sz="6" w:space="0" w:color="AAAAAA"/>
              <w:bottom w:val="single" w:sz="6" w:space="0" w:color="AAAAAA"/>
              <w:right w:val="single" w:sz="6" w:space="0" w:color="AAAAAA"/>
            </w:tcBorders>
            <w:shd w:val="clear" w:color="auto" w:fill="FFFFFF"/>
            <w:tcMar>
              <w:top w:w="300" w:type="dxa"/>
              <w:left w:w="300" w:type="dxa"/>
              <w:bottom w:w="300" w:type="dxa"/>
              <w:right w:w="300" w:type="dxa"/>
            </w:tcMar>
            <w:vAlign w:val="center"/>
          </w:tcPr>
          <w:p w:rsidR="00696647" w:rsidP="009473EB" w14:paraId="7CCBFAAC" w14:textId="7449B817">
            <w:pPr>
              <w:pStyle w:val="NormalWeb"/>
              <w:spacing w:before="225" w:beforeAutospacing="0" w:after="225" w:afterAutospacing="0"/>
              <w:rPr>
                <w:rFonts w:ascii="Arial" w:hAnsi="Arial" w:cs="Arial"/>
                <w:color w:val="000000"/>
                <w:sz w:val="21"/>
                <w:szCs w:val="21"/>
              </w:rPr>
            </w:pPr>
          </w:p>
        </w:tc>
      </w:tr>
    </w:tbl>
    <w:p w:rsidR="00696647" w:rsidP="006A556E" w14:paraId="54C77955" w14:textId="77777777">
      <w:pPr>
        <w:rPr>
          <w:b/>
        </w:rPr>
      </w:pPr>
    </w:p>
    <w:p w:rsidR="00696647" w14:paraId="0386A6EC" w14:textId="77777777">
      <w:pPr>
        <w:spacing w:after="200" w:line="276" w:lineRule="auto"/>
        <w:rPr>
          <w:b/>
        </w:rPr>
      </w:pPr>
      <w:r>
        <w:rPr>
          <w:b/>
        </w:rPr>
        <w:br w:type="page"/>
      </w:r>
    </w:p>
    <w:p w:rsidR="006A556E" w:rsidRPr="007C4172" w:rsidP="006A556E" w14:paraId="5FBE5492" w14:textId="77777777">
      <w:pPr>
        <w:rPr>
          <w:rFonts w:eastAsiaTheme="minorHAnsi"/>
          <w:b/>
        </w:rPr>
      </w:pPr>
      <w:r w:rsidRPr="007C4172">
        <w:rPr>
          <w:b/>
        </w:rPr>
        <w:t xml:space="preserve">Attachment </w:t>
      </w:r>
      <w:r w:rsidRPr="007C4172">
        <w:rPr>
          <w:b/>
          <w:iCs/>
        </w:rPr>
        <w:t>C</w:t>
      </w:r>
      <w:r w:rsidRPr="007C4172">
        <w:rPr>
          <w:b/>
        </w:rPr>
        <w:t xml:space="preserve"> -- Federal Register Notice</w:t>
      </w:r>
    </w:p>
    <w:p w:rsidR="007110A8" w:rsidRPr="00827B96" w:rsidP="007110A8" w14:paraId="37870A3E" w14:textId="77777777">
      <w:pPr>
        <w:spacing w:line="360" w:lineRule="auto"/>
        <w:jc w:val="right"/>
      </w:pPr>
      <w:bookmarkStart w:id="0" w:name="Project_Title:_Acute_Pain_Management_by_"/>
      <w:bookmarkEnd w:id="0"/>
      <w:r w:rsidRPr="00827B96">
        <w:t>Billing Code:  4160-90-P</w:t>
      </w:r>
    </w:p>
    <w:p w:rsidR="007110A8" w:rsidRPr="00827B96" w:rsidP="007110A8" w14:paraId="52A0C8AF" w14:textId="77777777">
      <w:pPr>
        <w:spacing w:line="360" w:lineRule="auto"/>
        <w:jc w:val="center"/>
        <w:outlineLvl w:val="0"/>
      </w:pPr>
    </w:p>
    <w:p w:rsidR="007110A8" w:rsidRPr="00FC3B1B" w:rsidP="007110A8" w14:paraId="7D3FCB72" w14:textId="77777777">
      <w:pPr>
        <w:spacing w:line="480" w:lineRule="auto"/>
        <w:outlineLvl w:val="0"/>
        <w:rPr>
          <w:b/>
          <w:bCs/>
        </w:rPr>
      </w:pPr>
      <w:r w:rsidRPr="00FC3B1B">
        <w:rPr>
          <w:b/>
          <w:bCs/>
        </w:rPr>
        <w:t>DEPARTMENT OF HEALTH AND HUMAN SERVICES</w:t>
      </w:r>
    </w:p>
    <w:p w:rsidR="007110A8" w:rsidRPr="00FC3B1B" w:rsidP="007110A8" w14:paraId="136CC782" w14:textId="77777777">
      <w:pPr>
        <w:spacing w:line="480" w:lineRule="auto"/>
        <w:rPr>
          <w:b/>
          <w:bCs/>
        </w:rPr>
      </w:pPr>
      <w:r w:rsidRPr="00FC3B1B">
        <w:rPr>
          <w:b/>
          <w:bCs/>
        </w:rPr>
        <w:t>Agency for Healthcare Research and Quality</w:t>
      </w:r>
    </w:p>
    <w:p w:rsidR="007110A8" w:rsidRPr="00FC3B1B" w:rsidP="007110A8" w14:paraId="4F2E79B4" w14:textId="77777777">
      <w:pPr>
        <w:spacing w:line="360" w:lineRule="auto"/>
        <w:rPr>
          <w:b/>
          <w:bCs/>
        </w:rPr>
      </w:pPr>
      <w:r w:rsidRPr="00827B96">
        <w:br/>
      </w:r>
      <w:r w:rsidRPr="00FC3B1B">
        <w:rPr>
          <w:b/>
          <w:bCs/>
        </w:rPr>
        <w:t xml:space="preserve">Supplemental Evidence and Data Request on </w:t>
      </w:r>
      <w:bookmarkStart w:id="1" w:name="_Hlk94620858"/>
      <w:r w:rsidRPr="00FC3B1B">
        <w:rPr>
          <w:b/>
          <w:bCs/>
        </w:rPr>
        <w:t>Pharmacotherapy for Adults with Alcohol-Use Disorders in Outpatient Settings: Systematic Review Update</w:t>
      </w:r>
      <w:bookmarkEnd w:id="1"/>
      <w:r w:rsidRPr="00FC3B1B">
        <w:rPr>
          <w:b/>
          <w:bCs/>
        </w:rPr>
        <w:br/>
      </w:r>
    </w:p>
    <w:p w:rsidR="007110A8" w:rsidRPr="00FC3B1B" w:rsidP="007110A8" w14:paraId="44FFC010" w14:textId="77777777">
      <w:pPr>
        <w:spacing w:line="360" w:lineRule="auto"/>
      </w:pPr>
      <w:r w:rsidRPr="00FC3B1B">
        <w:rPr>
          <w:b/>
          <w:bCs/>
        </w:rPr>
        <w:t xml:space="preserve">AGENCY:  </w:t>
      </w:r>
      <w:r w:rsidRPr="00FC3B1B">
        <w:t>Agency for Healthcare Research and Quality (AHRQ), HHS.</w:t>
      </w:r>
    </w:p>
    <w:p w:rsidR="007110A8" w:rsidRPr="00827B96" w:rsidP="007110A8" w14:paraId="2277FF34" w14:textId="77777777">
      <w:pPr>
        <w:spacing w:line="360" w:lineRule="auto"/>
      </w:pPr>
      <w:r w:rsidRPr="00827B96">
        <w:br/>
      </w:r>
      <w:r w:rsidRPr="00FC3B1B">
        <w:rPr>
          <w:b/>
          <w:bCs/>
        </w:rPr>
        <w:t>ACTION:</w:t>
      </w:r>
      <w:r w:rsidRPr="00827B96">
        <w:t xml:space="preserve">   Request for Supplemental Evidence and Data Submissions </w:t>
      </w:r>
    </w:p>
    <w:p w:rsidR="007110A8" w:rsidRPr="00827B96" w:rsidP="007110A8" w14:paraId="70863C1D" w14:textId="77777777">
      <w:pPr>
        <w:pStyle w:val="WP9Heading5"/>
        <w:keepLines/>
        <w:widowControl/>
        <w:spacing w:line="480" w:lineRule="auto"/>
        <w:jc w:val="left"/>
        <w:rPr>
          <w:b w:val="0"/>
          <w:color w:val="000000"/>
          <w:sz w:val="24"/>
          <w:szCs w:val="24"/>
        </w:rPr>
      </w:pPr>
      <w:r w:rsidRPr="00827B96">
        <w:rPr>
          <w:b w:val="0"/>
          <w:color w:val="000000"/>
          <w:sz w:val="24"/>
          <w:szCs w:val="24"/>
        </w:rPr>
        <w:br/>
      </w:r>
      <w:r w:rsidRPr="00FC3B1B">
        <w:rPr>
          <w:bCs/>
          <w:color w:val="000000"/>
          <w:sz w:val="24"/>
          <w:szCs w:val="24"/>
        </w:rPr>
        <w:t>SUMMARY:</w:t>
      </w:r>
      <w:r w:rsidRPr="00827B96">
        <w:rPr>
          <w:b w:val="0"/>
          <w:color w:val="000000"/>
          <w:sz w:val="24"/>
          <w:szCs w:val="24"/>
        </w:rPr>
        <w:t xml:space="preserve">  The Agency for Healthcare Research and Quality (AHRQ) is seeking scientific information submissions from the public. </w:t>
      </w:r>
      <w:r w:rsidRPr="00827B96">
        <w:rPr>
          <w:b w:val="0"/>
          <w:sz w:val="24"/>
          <w:szCs w:val="24"/>
        </w:rPr>
        <w:t>Scientific information is being solicited to inform our review on</w:t>
      </w:r>
      <w:r w:rsidRPr="00827B96">
        <w:rPr>
          <w:sz w:val="24"/>
          <w:szCs w:val="24"/>
        </w:rPr>
        <w:t xml:space="preserve"> </w:t>
      </w:r>
      <w:r w:rsidRPr="00827B96">
        <w:rPr>
          <w:b w:val="0"/>
          <w:bCs/>
          <w:i/>
          <w:iCs/>
          <w:sz w:val="24"/>
          <w:szCs w:val="24"/>
        </w:rPr>
        <w:t xml:space="preserve">Pharmacotherapy for Adults </w:t>
      </w:r>
      <w:r>
        <w:rPr>
          <w:b w:val="0"/>
          <w:bCs/>
          <w:i/>
          <w:iCs/>
          <w:sz w:val="24"/>
          <w:szCs w:val="24"/>
        </w:rPr>
        <w:t>w</w:t>
      </w:r>
      <w:r w:rsidRPr="00827B96">
        <w:rPr>
          <w:b w:val="0"/>
          <w:bCs/>
          <w:i/>
          <w:iCs/>
          <w:sz w:val="24"/>
          <w:szCs w:val="24"/>
        </w:rPr>
        <w:t>ith Alcohol-Use Disorders in Outpatient Settings: Systematic Review Update</w:t>
      </w:r>
      <w:r w:rsidRPr="00827B96">
        <w:rPr>
          <w:b w:val="0"/>
          <w:i/>
          <w:sz w:val="24"/>
          <w:szCs w:val="24"/>
        </w:rPr>
        <w:t xml:space="preserve">, </w:t>
      </w:r>
      <w:r w:rsidRPr="00827B96">
        <w:rPr>
          <w:b w:val="0"/>
          <w:sz w:val="24"/>
          <w:szCs w:val="24"/>
        </w:rPr>
        <w:t xml:space="preserve">which is currently being conducted by the AHRQ’s Evidence-based Practice Centers (EPC) Program. Access to published and unpublished pertinent scientific information will improve the quality of this review. </w:t>
      </w:r>
    </w:p>
    <w:p w:rsidR="007110A8" w:rsidRPr="00827B96" w:rsidP="007110A8" w14:paraId="68BD16A6" w14:textId="77777777">
      <w:pPr>
        <w:spacing w:line="480" w:lineRule="auto"/>
      </w:pPr>
    </w:p>
    <w:p w:rsidR="007110A8" w:rsidRPr="00827B96" w:rsidP="007110A8" w14:paraId="391AD0B9" w14:textId="77777777">
      <w:pPr>
        <w:spacing w:line="480" w:lineRule="auto"/>
      </w:pPr>
      <w:r w:rsidRPr="00FC3B1B">
        <w:rPr>
          <w:b/>
          <w:bCs/>
        </w:rPr>
        <w:t>DATES:</w:t>
      </w:r>
      <w:r w:rsidRPr="00827B96">
        <w:t xml:space="preserve">   </w:t>
      </w:r>
      <w:r w:rsidRPr="00827B96">
        <w:rPr>
          <w:i/>
        </w:rPr>
        <w:t>Submission Deadline</w:t>
      </w:r>
      <w:r w:rsidRPr="00827B96">
        <w:t xml:space="preserve"> on or before </w:t>
      </w:r>
      <w:r w:rsidRPr="00827B96">
        <w:rPr>
          <w:highlight w:val="yellow"/>
        </w:rPr>
        <w:t>[INSERT DATE 30 DAYS AFTER DATE OF PUBLICATION IN THE FEDERAL REGISTER].</w:t>
      </w:r>
    </w:p>
    <w:p w:rsidR="007110A8" w:rsidRPr="00FC3B1B" w:rsidP="007110A8" w14:paraId="54C60AB2" w14:textId="77777777">
      <w:pPr>
        <w:spacing w:line="480" w:lineRule="auto"/>
        <w:rPr>
          <w:b/>
          <w:bCs/>
        </w:rPr>
      </w:pPr>
      <w:r w:rsidRPr="00FC3B1B">
        <w:rPr>
          <w:b/>
          <w:bCs/>
        </w:rPr>
        <w:t xml:space="preserve">ADDRESSES:  </w:t>
      </w:r>
    </w:p>
    <w:p w:rsidR="007110A8" w:rsidRPr="00827B96" w:rsidP="007110A8" w14:paraId="4C951F10" w14:textId="77777777">
      <w:pPr>
        <w:pStyle w:val="Header"/>
        <w:tabs>
          <w:tab w:val="left" w:pos="3960"/>
        </w:tabs>
        <w:spacing w:line="480" w:lineRule="auto"/>
        <w:ind w:right="-547"/>
      </w:pPr>
      <w:r w:rsidRPr="00827B96">
        <w:rPr>
          <w:i/>
        </w:rPr>
        <w:t>E-mail submissions:</w:t>
      </w:r>
      <w:r w:rsidRPr="00827B96">
        <w:t xml:space="preserve"> epc@ahrq.hhs.gov</w:t>
      </w:r>
    </w:p>
    <w:p w:rsidR="007110A8" w:rsidRPr="00827B96" w:rsidP="007110A8" w14:paraId="0FD57ED5" w14:textId="77777777">
      <w:pPr>
        <w:pStyle w:val="Header"/>
        <w:tabs>
          <w:tab w:val="left" w:pos="3960"/>
        </w:tabs>
        <w:spacing w:line="480" w:lineRule="auto"/>
        <w:ind w:right="-547"/>
      </w:pPr>
      <w:r w:rsidRPr="00827B96">
        <w:rPr>
          <w:i/>
        </w:rPr>
        <w:t>Print submissions</w:t>
      </w:r>
      <w:r w:rsidRPr="00827B96">
        <w:t xml:space="preserve">: </w:t>
      </w:r>
    </w:p>
    <w:p w:rsidR="007110A8" w:rsidRPr="00827B96" w:rsidP="007110A8" w14:paraId="0C6F78F0" w14:textId="77777777">
      <w:pPr>
        <w:pStyle w:val="Header"/>
        <w:spacing w:line="480" w:lineRule="auto"/>
      </w:pPr>
      <w:r w:rsidRPr="00827B96">
        <w:t xml:space="preserve">Mailing Address: </w:t>
      </w:r>
    </w:p>
    <w:p w:rsidR="007110A8" w:rsidRPr="00827B96" w:rsidP="007110A8" w14:paraId="2B7F5493" w14:textId="77777777">
      <w:pPr>
        <w:pStyle w:val="Header"/>
        <w:tabs>
          <w:tab w:val="left" w:pos="3960"/>
        </w:tabs>
        <w:spacing w:line="480" w:lineRule="auto"/>
        <w:rPr>
          <w:bCs/>
        </w:rPr>
      </w:pPr>
      <w:r w:rsidRPr="00827B96">
        <w:rPr>
          <w:bCs/>
        </w:rPr>
        <w:t>Center for Evidence and Practice Improvement</w:t>
      </w:r>
    </w:p>
    <w:p w:rsidR="007110A8" w:rsidRPr="00827B96" w:rsidP="007110A8" w14:paraId="4EDC4685" w14:textId="77777777">
      <w:pPr>
        <w:pStyle w:val="Header"/>
        <w:tabs>
          <w:tab w:val="left" w:pos="3960"/>
        </w:tabs>
        <w:spacing w:line="480" w:lineRule="auto"/>
        <w:rPr>
          <w:bCs/>
        </w:rPr>
      </w:pPr>
      <w:r w:rsidRPr="00827B96">
        <w:rPr>
          <w:bCs/>
        </w:rPr>
        <w:t>Agency for Healthcare Research and Quality</w:t>
      </w:r>
    </w:p>
    <w:p w:rsidR="007110A8" w:rsidRPr="00827B96" w:rsidP="007110A8" w14:paraId="738A4237" w14:textId="77777777">
      <w:pPr>
        <w:pStyle w:val="Header"/>
        <w:tabs>
          <w:tab w:val="left" w:pos="2430"/>
        </w:tabs>
        <w:spacing w:line="480" w:lineRule="auto"/>
        <w:rPr>
          <w:bCs/>
        </w:rPr>
      </w:pPr>
      <w:r w:rsidRPr="00827B96">
        <w:rPr>
          <w:bCs/>
        </w:rPr>
        <w:t>ATTN: EPC SEADs Coordinator</w:t>
      </w:r>
    </w:p>
    <w:p w:rsidR="007110A8" w:rsidRPr="00827B96" w:rsidP="007110A8" w14:paraId="1A1B3962" w14:textId="77777777">
      <w:pPr>
        <w:pStyle w:val="Header"/>
        <w:tabs>
          <w:tab w:val="left" w:pos="3960"/>
        </w:tabs>
        <w:spacing w:line="480" w:lineRule="auto"/>
        <w:rPr>
          <w:bCs/>
        </w:rPr>
      </w:pPr>
      <w:r w:rsidRPr="00827B96">
        <w:rPr>
          <w:bCs/>
        </w:rPr>
        <w:t>5600 Fishers Lane</w:t>
      </w:r>
    </w:p>
    <w:p w:rsidR="007110A8" w:rsidRPr="00827B96" w:rsidP="007110A8" w14:paraId="217532C1" w14:textId="77777777">
      <w:pPr>
        <w:pStyle w:val="Header"/>
        <w:tabs>
          <w:tab w:val="left" w:pos="3960"/>
        </w:tabs>
        <w:spacing w:line="480" w:lineRule="auto"/>
        <w:rPr>
          <w:bCs/>
        </w:rPr>
      </w:pPr>
      <w:r w:rsidRPr="00827B96">
        <w:rPr>
          <w:bCs/>
        </w:rPr>
        <w:t>Mail Stop 06E53A</w:t>
      </w:r>
    </w:p>
    <w:p w:rsidR="007110A8" w:rsidRPr="00827B96" w:rsidP="007110A8" w14:paraId="2828DAE6" w14:textId="77777777">
      <w:pPr>
        <w:pStyle w:val="Header"/>
        <w:tabs>
          <w:tab w:val="clear" w:pos="4680"/>
          <w:tab w:val="left" w:pos="6800"/>
          <w:tab w:val="clear" w:pos="9360"/>
        </w:tabs>
        <w:spacing w:line="480" w:lineRule="auto"/>
        <w:rPr>
          <w:bCs/>
        </w:rPr>
      </w:pPr>
      <w:r w:rsidRPr="00827B96">
        <w:rPr>
          <w:bCs/>
        </w:rPr>
        <w:t>Rockville, MD 20857</w:t>
      </w:r>
      <w:r w:rsidRPr="00827B96">
        <w:rPr>
          <w:bCs/>
        </w:rPr>
        <w:tab/>
      </w:r>
    </w:p>
    <w:p w:rsidR="007110A8" w:rsidRPr="00827B96" w:rsidP="007110A8" w14:paraId="426279A7" w14:textId="77777777">
      <w:pPr>
        <w:pStyle w:val="Header"/>
        <w:tabs>
          <w:tab w:val="left" w:pos="3960"/>
        </w:tabs>
        <w:spacing w:line="480" w:lineRule="auto"/>
        <w:rPr>
          <w:bCs/>
        </w:rPr>
      </w:pPr>
      <w:r w:rsidRPr="00827B96">
        <w:rPr>
          <w:bCs/>
        </w:rPr>
        <w:t>Shipping Address (FedEx, UPS, etc.):</w:t>
      </w:r>
    </w:p>
    <w:p w:rsidR="007110A8" w:rsidRPr="00827B96" w:rsidP="007110A8" w14:paraId="56E1DC2D" w14:textId="77777777">
      <w:pPr>
        <w:pStyle w:val="Header"/>
        <w:tabs>
          <w:tab w:val="left" w:pos="3960"/>
        </w:tabs>
        <w:spacing w:line="480" w:lineRule="auto"/>
        <w:rPr>
          <w:bCs/>
        </w:rPr>
      </w:pPr>
      <w:r w:rsidRPr="00827B96">
        <w:rPr>
          <w:bCs/>
        </w:rPr>
        <w:t>Center for Evidence and Practice Improvement</w:t>
      </w:r>
    </w:p>
    <w:p w:rsidR="007110A8" w:rsidRPr="00827B96" w:rsidP="007110A8" w14:paraId="31C88264" w14:textId="77777777">
      <w:pPr>
        <w:pStyle w:val="Header"/>
        <w:tabs>
          <w:tab w:val="left" w:pos="3960"/>
        </w:tabs>
        <w:spacing w:line="480" w:lineRule="auto"/>
        <w:rPr>
          <w:bCs/>
        </w:rPr>
      </w:pPr>
      <w:r w:rsidRPr="00827B96">
        <w:rPr>
          <w:bCs/>
        </w:rPr>
        <w:t>Agency for Healthcare Research and Quality</w:t>
      </w:r>
    </w:p>
    <w:p w:rsidR="007110A8" w:rsidRPr="00827B96" w:rsidP="007110A8" w14:paraId="743EFA36" w14:textId="77777777">
      <w:pPr>
        <w:pStyle w:val="Header"/>
        <w:tabs>
          <w:tab w:val="left" w:pos="2430"/>
        </w:tabs>
        <w:spacing w:line="480" w:lineRule="auto"/>
        <w:rPr>
          <w:bCs/>
        </w:rPr>
      </w:pPr>
      <w:r w:rsidRPr="00827B96">
        <w:rPr>
          <w:bCs/>
        </w:rPr>
        <w:t>ATTN: EPC SEADs Coordinator</w:t>
      </w:r>
    </w:p>
    <w:p w:rsidR="007110A8" w:rsidRPr="00827B96" w:rsidP="007110A8" w14:paraId="2F11D930" w14:textId="77777777">
      <w:pPr>
        <w:pStyle w:val="Header"/>
        <w:tabs>
          <w:tab w:val="left" w:pos="3960"/>
        </w:tabs>
        <w:spacing w:line="480" w:lineRule="auto"/>
        <w:rPr>
          <w:bCs/>
        </w:rPr>
      </w:pPr>
      <w:r w:rsidRPr="00827B96">
        <w:rPr>
          <w:bCs/>
        </w:rPr>
        <w:t>5600 Fishers Lane</w:t>
      </w:r>
    </w:p>
    <w:p w:rsidR="007110A8" w:rsidRPr="00827B96" w:rsidP="007110A8" w14:paraId="5AC5CBBF" w14:textId="77777777">
      <w:pPr>
        <w:pStyle w:val="Header"/>
        <w:tabs>
          <w:tab w:val="left" w:pos="3960"/>
        </w:tabs>
        <w:spacing w:line="480" w:lineRule="auto"/>
        <w:rPr>
          <w:bCs/>
        </w:rPr>
      </w:pPr>
      <w:r w:rsidRPr="00827B96">
        <w:rPr>
          <w:bCs/>
        </w:rPr>
        <w:t>Mail Stop 06E77D</w:t>
      </w:r>
    </w:p>
    <w:p w:rsidR="007110A8" w:rsidRPr="00827B96" w:rsidP="007110A8" w14:paraId="712638E6" w14:textId="77777777">
      <w:pPr>
        <w:pStyle w:val="Header"/>
        <w:tabs>
          <w:tab w:val="left" w:pos="3960"/>
        </w:tabs>
        <w:spacing w:line="480" w:lineRule="auto"/>
        <w:rPr>
          <w:bCs/>
        </w:rPr>
      </w:pPr>
      <w:r w:rsidRPr="00827B96">
        <w:rPr>
          <w:bCs/>
        </w:rPr>
        <w:t>Rockville, MD 20857</w:t>
      </w:r>
    </w:p>
    <w:p w:rsidR="007110A8" w:rsidRPr="00827B96" w:rsidP="007110A8" w14:paraId="6261B994" w14:textId="77777777">
      <w:pPr>
        <w:pStyle w:val="Header"/>
        <w:tabs>
          <w:tab w:val="left" w:pos="3960"/>
        </w:tabs>
        <w:spacing w:line="480" w:lineRule="auto"/>
        <w:ind w:right="-547"/>
      </w:pPr>
    </w:p>
    <w:p w:rsidR="007110A8" w:rsidRPr="00FC3B1B" w:rsidP="007110A8" w14:paraId="5A193D81" w14:textId="77777777">
      <w:pPr>
        <w:spacing w:line="480" w:lineRule="auto"/>
        <w:rPr>
          <w:b/>
          <w:bCs/>
        </w:rPr>
      </w:pPr>
      <w:r w:rsidRPr="00FC3B1B">
        <w:rPr>
          <w:b/>
          <w:bCs/>
        </w:rPr>
        <w:t xml:space="preserve">FOR FURTHER INFORMATION CONTACT:  </w:t>
      </w:r>
    </w:p>
    <w:p w:rsidR="007110A8" w:rsidRPr="00827B96" w:rsidP="007110A8" w14:paraId="1559566E" w14:textId="77777777">
      <w:pPr>
        <w:spacing w:line="480" w:lineRule="auto"/>
        <w:rPr>
          <w:noProof/>
        </w:rPr>
      </w:pPr>
      <w:r w:rsidRPr="00827B96">
        <w:rPr>
          <w:bCs/>
          <w:noProof/>
        </w:rPr>
        <w:t>Jenae Benns, Telephone: 301-427-1496 or Email: epc@ahrq.hhs.gov.</w:t>
      </w:r>
    </w:p>
    <w:p w:rsidR="007110A8" w:rsidRPr="00827B96" w:rsidP="007110A8" w14:paraId="1F558843" w14:textId="77777777">
      <w:pPr>
        <w:spacing w:line="480" w:lineRule="auto"/>
      </w:pPr>
    </w:p>
    <w:p w:rsidR="007110A8" w:rsidRPr="00FC3B1B" w:rsidP="007110A8" w14:paraId="2F594510" w14:textId="77777777">
      <w:pPr>
        <w:spacing w:line="480" w:lineRule="auto"/>
        <w:rPr>
          <w:b/>
          <w:bCs/>
        </w:rPr>
      </w:pPr>
      <w:r w:rsidRPr="00FC3B1B">
        <w:rPr>
          <w:b/>
          <w:bCs/>
        </w:rPr>
        <w:t xml:space="preserve">SUPPLEMENTARY INFORMATION:  </w:t>
      </w:r>
    </w:p>
    <w:p w:rsidR="007110A8" w:rsidRPr="00827B96" w:rsidP="007110A8" w14:paraId="0EBB3EAC" w14:textId="77777777">
      <w:pPr>
        <w:pStyle w:val="BodyText"/>
        <w:spacing w:line="480" w:lineRule="auto"/>
        <w:ind w:right="-547"/>
        <w:rPr>
          <w:rFonts w:ascii="Times New Roman" w:hAnsi="Times New Roman"/>
        </w:rPr>
      </w:pPr>
      <w:r w:rsidRPr="00827B96">
        <w:rPr>
          <w:rFonts w:ascii="Times New Roman" w:hAnsi="Times New Roman"/>
        </w:rPr>
        <w:t xml:space="preserve">The Agency for Healthcare Research and Quality has commissioned the Evidence-based Practice Centers (EPC) Program to complete a review of the evidence for </w:t>
      </w:r>
      <w:r w:rsidRPr="0033062E">
        <w:rPr>
          <w:rFonts w:ascii="Times New Roman" w:hAnsi="Times New Roman"/>
          <w:i/>
          <w:iCs/>
        </w:rPr>
        <w:t xml:space="preserve">Pharmacotherapy for Adults </w:t>
      </w:r>
      <w:r>
        <w:rPr>
          <w:rFonts w:ascii="Times New Roman" w:hAnsi="Times New Roman"/>
          <w:i/>
          <w:iCs/>
        </w:rPr>
        <w:t>w</w:t>
      </w:r>
      <w:r w:rsidRPr="0033062E">
        <w:rPr>
          <w:rFonts w:ascii="Times New Roman" w:hAnsi="Times New Roman"/>
          <w:i/>
          <w:iCs/>
        </w:rPr>
        <w:t>ith Alcohol-Use Disorders in Outpatient Settings: Systematic Review Update</w:t>
      </w:r>
      <w:r w:rsidRPr="00827B96">
        <w:rPr>
          <w:rFonts w:ascii="Times New Roman" w:hAnsi="Times New Roman"/>
          <w:bCs/>
          <w:i/>
          <w:iCs/>
        </w:rPr>
        <w:t xml:space="preserve">. </w:t>
      </w:r>
      <w:r w:rsidRPr="00827B96">
        <w:rPr>
          <w:rFonts w:ascii="Times New Roman" w:hAnsi="Times New Roman"/>
        </w:rPr>
        <w:t>AHRQ is</w:t>
      </w:r>
      <w:r w:rsidRPr="00827B96">
        <w:rPr>
          <w:rFonts w:ascii="Times New Roman" w:hAnsi="Times New Roman"/>
          <w:color w:val="1A1A1A"/>
        </w:rPr>
        <w:t xml:space="preserve"> conducting this systematic review pursuant to Section 902 of the Public Health Service Act, 42 U.S.C. 299a.</w:t>
      </w:r>
    </w:p>
    <w:p w:rsidR="007110A8" w:rsidRPr="00827B96" w:rsidP="007110A8" w14:paraId="40600761" w14:textId="77777777">
      <w:pPr>
        <w:spacing w:line="480" w:lineRule="auto"/>
      </w:pPr>
      <w:r w:rsidRPr="00827B96">
        <w:br/>
        <w:t xml:space="preserve">The EPC Program is dedicated to identifying as many studies as possible that are relevant to the questions for each of its reviews. </w:t>
      </w:r>
      <w:r w:rsidRPr="00827B96">
        <w:t>In order to</w:t>
      </w:r>
      <w:r w:rsidRPr="00827B96">
        <w:t xml:space="preserve"> do so, we are supplementing the usual manual and electronic database searches of the literature by requesting information from the public (e.g., details of studies conducted). We are looking for studies that report on </w:t>
      </w:r>
      <w:r w:rsidRPr="0033062E">
        <w:t xml:space="preserve">Pharmacotherapy for Adults </w:t>
      </w:r>
      <w:r>
        <w:t>w</w:t>
      </w:r>
      <w:r w:rsidRPr="0033062E">
        <w:t>ith Alcohol-Use Disorders in Outpatient Settings: Systematic Review Update</w:t>
      </w:r>
      <w:r w:rsidRPr="00827B96">
        <w:rPr>
          <w:bCs/>
          <w:i/>
        </w:rPr>
        <w:t>,</w:t>
      </w:r>
      <w:r w:rsidRPr="00827B96">
        <w:t xml:space="preserve"> including those that describe adverse events.  The entire research protocol is available online at: </w:t>
      </w:r>
    </w:p>
    <w:p w:rsidR="007110A8" w:rsidRPr="006C7880" w:rsidP="007110A8" w14:paraId="3F07E53C" w14:textId="77777777">
      <w:pPr>
        <w:rPr>
          <w:rFonts w:eastAsiaTheme="minorHAnsi"/>
          <w:sz w:val="22"/>
          <w:szCs w:val="22"/>
        </w:rPr>
      </w:pPr>
      <w:hyperlink r:id="rId6" w:history="1">
        <w:r w:rsidRPr="006C7880">
          <w:rPr>
            <w:rStyle w:val="Hyperlink"/>
          </w:rPr>
          <w:t>https://effectivehealthcare.ahrq.gov/products/alcohol-misuse-drug-therapy/protocol</w:t>
        </w:r>
      </w:hyperlink>
      <w:r w:rsidRPr="006C7880">
        <w:t xml:space="preserve"> </w:t>
      </w:r>
    </w:p>
    <w:p w:rsidR="007110A8" w:rsidRPr="00827B96" w:rsidP="007110A8" w14:paraId="2CF21633" w14:textId="77777777">
      <w:pPr>
        <w:rPr>
          <w:rFonts w:eastAsiaTheme="minorHAnsi"/>
          <w:sz w:val="22"/>
          <w:szCs w:val="22"/>
        </w:rPr>
      </w:pPr>
      <w:r w:rsidRPr="00827B96">
        <w:br/>
      </w:r>
    </w:p>
    <w:p w:rsidR="007110A8" w:rsidRPr="00827B96" w:rsidP="007110A8" w14:paraId="5E4A6F7A" w14:textId="77777777">
      <w:pPr>
        <w:spacing w:line="480" w:lineRule="auto"/>
      </w:pPr>
    </w:p>
    <w:p w:rsidR="007110A8" w:rsidRPr="00827B96" w:rsidP="007110A8" w14:paraId="68A38A10" w14:textId="77777777">
      <w:pPr>
        <w:pStyle w:val="BodyTextIndent3"/>
        <w:spacing w:after="0" w:line="480" w:lineRule="auto"/>
        <w:ind w:left="0" w:right="-547"/>
        <w:rPr>
          <w:sz w:val="24"/>
          <w:szCs w:val="24"/>
        </w:rPr>
      </w:pPr>
      <w:r w:rsidRPr="00827B96">
        <w:rPr>
          <w:sz w:val="24"/>
          <w:szCs w:val="24"/>
        </w:rPr>
        <w:t xml:space="preserve">This is to notify the public that the EPC Program would find the following information on </w:t>
      </w:r>
      <w:r w:rsidRPr="0033062E">
        <w:rPr>
          <w:sz w:val="24"/>
          <w:szCs w:val="24"/>
        </w:rPr>
        <w:t xml:space="preserve">Pharmacotherapy for Adults </w:t>
      </w:r>
      <w:r>
        <w:rPr>
          <w:sz w:val="24"/>
          <w:szCs w:val="24"/>
        </w:rPr>
        <w:t>w</w:t>
      </w:r>
      <w:r w:rsidRPr="0033062E">
        <w:rPr>
          <w:sz w:val="24"/>
          <w:szCs w:val="24"/>
        </w:rPr>
        <w:t>ith Alcohol-Use Disorders in Outpatient Settings: Systematic Review Update</w:t>
      </w:r>
      <w:r w:rsidRPr="00827B96">
        <w:rPr>
          <w:sz w:val="24"/>
          <w:szCs w:val="24"/>
        </w:rPr>
        <w:t xml:space="preserve"> helpful:</w:t>
      </w:r>
    </w:p>
    <w:p w:rsidR="007110A8" w:rsidRPr="00827B96" w:rsidP="007110A8" w14:paraId="64F4737C" w14:textId="77777777">
      <w:pPr>
        <w:numPr>
          <w:ilvl w:val="0"/>
          <w:numId w:val="31"/>
        </w:numPr>
        <w:spacing w:line="480" w:lineRule="auto"/>
        <w:ind w:right="480" w:hanging="270"/>
      </w:pPr>
      <w:r w:rsidRPr="00827B96">
        <w:t xml:space="preserve">A list of completed studies that your organization has sponsored for this indication. In the list, please </w:t>
      </w:r>
      <w:r w:rsidRPr="00827B96">
        <w:rPr>
          <w:rStyle w:val="Emphasis"/>
        </w:rPr>
        <w:t>indicate whether results are available on ClinicalTrials.gov along with the ClinicalTrials.gov trial number</w:t>
      </w:r>
      <w:r w:rsidRPr="00827B96">
        <w:t>.</w:t>
      </w:r>
    </w:p>
    <w:p w:rsidR="007110A8" w:rsidRPr="00827B96" w:rsidP="007110A8" w14:paraId="10FF3690" w14:textId="77777777">
      <w:pPr>
        <w:numPr>
          <w:ilvl w:val="1"/>
          <w:numId w:val="31"/>
        </w:numPr>
        <w:spacing w:line="480" w:lineRule="auto"/>
        <w:ind w:right="480"/>
      </w:pPr>
      <w:r w:rsidRPr="00827B96">
        <w:rPr>
          <w:rStyle w:val="Emphasis"/>
        </w:rPr>
        <w:t>For completed studies that do not have results on ClinicalTrials.gov</w:t>
      </w:r>
      <w:r w:rsidRPr="00827B96">
        <w:t>, a summary, including the following elements: study number, study period, design, methodology, indication and diagnosis, proper use instructions, inclusion and exclusion criteria, primary and secondary outcomes, baseline characteristics, number of patients screened /eligible /enrolled /lost to follow-up /withdrawn /analyzed, effectiveness/efficacy, and safety results.</w:t>
      </w:r>
    </w:p>
    <w:p w:rsidR="007110A8" w:rsidRPr="00827B96" w:rsidP="007110A8" w14:paraId="29DCF5F9" w14:textId="77777777">
      <w:pPr>
        <w:numPr>
          <w:ilvl w:val="0"/>
          <w:numId w:val="31"/>
        </w:numPr>
        <w:tabs>
          <w:tab w:val="num" w:pos="450"/>
        </w:tabs>
        <w:spacing w:line="480" w:lineRule="auto"/>
        <w:ind w:right="480" w:hanging="270"/>
      </w:pPr>
      <w:r w:rsidRPr="00827B96">
        <w:rPr>
          <w:rStyle w:val="Emphasis"/>
        </w:rPr>
        <w:t>A list of ongoing studies that your organization has sponsored for this indication</w:t>
      </w:r>
      <w:r w:rsidRPr="00827B96">
        <w:t xml:space="preserve">. In the list, please provide the ClinicalTrials.gov trial number or, if the trial is not </w:t>
      </w:r>
      <w:r w:rsidRPr="00827B96">
        <w:t>registered, the protocol for the study including a study number, the study period, design, methodology, indication and diagnosis, proper use instructions, inclusion and exclusion criteria, and primary and secondary outcomes.</w:t>
      </w:r>
    </w:p>
    <w:p w:rsidR="007110A8" w:rsidRPr="00827B96" w:rsidP="007110A8" w14:paraId="1CD52C1F" w14:textId="77777777">
      <w:pPr>
        <w:numPr>
          <w:ilvl w:val="0"/>
          <w:numId w:val="31"/>
        </w:numPr>
        <w:tabs>
          <w:tab w:val="num" w:pos="450"/>
        </w:tabs>
        <w:spacing w:line="480" w:lineRule="auto"/>
        <w:ind w:right="480" w:hanging="270"/>
      </w:pPr>
      <w:r w:rsidRPr="00827B96">
        <w:t xml:space="preserve">Description of whether the above studies constitute </w:t>
      </w:r>
      <w:r w:rsidRPr="00827B96">
        <w:rPr>
          <w:rStyle w:val="Emphasis"/>
        </w:rPr>
        <w:t>ALL Phase II and above clinical trials</w:t>
      </w:r>
      <w:r w:rsidRPr="00827B96">
        <w:t xml:space="preserve"> sponsored by your organization for this indication and an index outlining the relevant information in each submitted file.</w:t>
      </w:r>
    </w:p>
    <w:p w:rsidR="007110A8" w:rsidRPr="00827B96" w:rsidP="007110A8" w14:paraId="390A72DC" w14:textId="77777777">
      <w:pPr>
        <w:spacing w:line="480" w:lineRule="auto"/>
        <w:ind w:right="187"/>
      </w:pPr>
      <w:r w:rsidRPr="00827B96">
        <w:t>Your contribution is very beneficial to the Program. Materials submitted must be publicly available or able to be made public. Materials that are considered confidential; marketing materials; study types not included in the review; or information on indications not included in the review cannot be used by the EPC Program. This is a voluntary request for information, and all costs for complying with this request must be borne by the submitter.</w:t>
      </w:r>
    </w:p>
    <w:p w:rsidR="007110A8" w:rsidRPr="00827B96" w:rsidP="007110A8" w14:paraId="60E53457" w14:textId="77777777">
      <w:pPr>
        <w:pStyle w:val="Header"/>
        <w:tabs>
          <w:tab w:val="left" w:pos="3960"/>
        </w:tabs>
        <w:spacing w:line="480" w:lineRule="auto"/>
        <w:ind w:right="-547"/>
        <w:rPr>
          <w:bCs/>
        </w:rPr>
      </w:pPr>
      <w:r w:rsidRPr="00827B96">
        <w:rPr>
          <w:color w:val="1A1A1A"/>
        </w:rPr>
        <w:br/>
        <w:t xml:space="preserve">The draft of this review will be posted on AHRQ’s EPC Program website and available for public comment </w:t>
      </w:r>
      <w:r w:rsidRPr="00827B96">
        <w:rPr>
          <w:bCs/>
          <w:color w:val="1A1A1A"/>
        </w:rPr>
        <w:t>for a period of 4 weeks</w:t>
      </w:r>
      <w:r w:rsidRPr="00827B96">
        <w:rPr>
          <w:bCs/>
        </w:rPr>
        <w:t xml:space="preserve">. If you would like to be notified when the draft is posted, please sign up for the e-mail list at: </w:t>
      </w:r>
      <w:hyperlink r:id="rId7" w:history="1">
        <w:r w:rsidRPr="00827B96">
          <w:rPr>
            <w:rStyle w:val="Hyperlink"/>
            <w:rFonts w:eastAsia="Calibri"/>
            <w:bCs/>
          </w:rPr>
          <w:t>https://www.effectivehealthcare.ahrq.gov/email-updates</w:t>
        </w:r>
      </w:hyperlink>
      <w:r w:rsidRPr="00827B96">
        <w:rPr>
          <w:bCs/>
        </w:rPr>
        <w:t>.</w:t>
      </w:r>
    </w:p>
    <w:p w:rsidR="007110A8" w:rsidP="007110A8" w14:paraId="5415E650" w14:textId="77777777">
      <w:pPr>
        <w:spacing w:line="480" w:lineRule="auto"/>
        <w:rPr>
          <w:bCs/>
          <w:i/>
        </w:rPr>
      </w:pPr>
    </w:p>
    <w:p w:rsidR="007110A8" w:rsidP="007110A8" w14:paraId="67317CCD" w14:textId="77777777">
      <w:pPr>
        <w:pStyle w:val="HeadingI"/>
        <w:tabs>
          <w:tab w:val="left" w:pos="0"/>
          <w:tab w:val="clear" w:pos="450"/>
        </w:tabs>
        <w:spacing w:before="0" w:line="480" w:lineRule="auto"/>
        <w:ind w:left="0" w:firstLine="4"/>
        <w:rPr>
          <w:rFonts w:ascii="Times New Roman" w:hAnsi="Times New Roman"/>
          <w:b w:val="0"/>
          <w:i/>
        </w:rPr>
      </w:pPr>
      <w:r w:rsidRPr="00827B96">
        <w:rPr>
          <w:rFonts w:ascii="Times New Roman" w:hAnsi="Times New Roman"/>
          <w:b w:val="0"/>
          <w:i/>
        </w:rPr>
        <w:t>The systematic review will answer the questions</w:t>
      </w:r>
      <w:r>
        <w:rPr>
          <w:rFonts w:ascii="Times New Roman" w:hAnsi="Times New Roman"/>
          <w:b w:val="0"/>
          <w:i/>
        </w:rPr>
        <w:t xml:space="preserve"> below</w:t>
      </w:r>
      <w:r w:rsidRPr="00827B96">
        <w:rPr>
          <w:rFonts w:ascii="Times New Roman" w:hAnsi="Times New Roman"/>
          <w:b w:val="0"/>
          <w:i/>
        </w:rPr>
        <w:t>.  This information is provided as background</w:t>
      </w:r>
      <w:r>
        <w:rPr>
          <w:rFonts w:ascii="Times New Roman" w:hAnsi="Times New Roman"/>
          <w:b w:val="0"/>
          <w:i/>
        </w:rPr>
        <w:t xml:space="preserve"> and</w:t>
      </w:r>
      <w:r w:rsidRPr="00827B96">
        <w:rPr>
          <w:rFonts w:ascii="Times New Roman" w:hAnsi="Times New Roman"/>
          <w:b w:val="0"/>
          <w:i/>
        </w:rPr>
        <w:t xml:space="preserve"> AHRQ is not requesting that the public provide answers to these questions.  </w:t>
      </w:r>
    </w:p>
    <w:p w:rsidR="007110A8" w:rsidP="007110A8" w14:paraId="708DBA55" w14:textId="77777777">
      <w:pPr>
        <w:spacing w:line="480" w:lineRule="auto"/>
        <w:rPr>
          <w:rFonts w:ascii="Times New Roman Bold" w:hAnsi="Times New Roman Bold"/>
        </w:rPr>
      </w:pPr>
      <w:r>
        <w:rPr>
          <w:rFonts w:ascii="Times New Roman Bold" w:hAnsi="Times New Roman Bold"/>
        </w:rPr>
        <w:br/>
        <w:t xml:space="preserve">Key </w:t>
      </w:r>
      <w:r w:rsidRPr="0021580D">
        <w:rPr>
          <w:rFonts w:ascii="Times New Roman Bold" w:hAnsi="Times New Roman Bold"/>
        </w:rPr>
        <w:t>Questions</w:t>
      </w:r>
      <w:r>
        <w:rPr>
          <w:rFonts w:ascii="Times New Roman Bold" w:hAnsi="Times New Roman Bold"/>
        </w:rPr>
        <w:t xml:space="preserve"> (KQ)</w:t>
      </w:r>
    </w:p>
    <w:p w:rsidR="007110A8" w:rsidRPr="009D14BA" w:rsidP="007110A8" w14:paraId="0832445F" w14:textId="77777777">
      <w:pPr>
        <w:pStyle w:val="KQstem"/>
        <w:spacing w:after="0" w:line="480" w:lineRule="auto"/>
      </w:pPr>
      <w:r>
        <w:rPr>
          <w:b/>
          <w:bCs/>
        </w:rPr>
        <w:t>KQ 1a</w:t>
      </w:r>
      <w:r w:rsidRPr="009D14BA">
        <w:t xml:space="preserve">: Which medications are efficacious for improving consumption outcomes for adults with </w:t>
      </w:r>
      <w:r>
        <w:t xml:space="preserve">alcohol-use </w:t>
      </w:r>
      <w:r w:rsidRPr="009D14BA">
        <w:t>disorders in outpatient settings?</w:t>
      </w:r>
    </w:p>
    <w:p w:rsidR="007110A8" w:rsidRPr="009D14BA" w:rsidP="007110A8" w14:paraId="0B759CCC" w14:textId="77777777">
      <w:pPr>
        <w:pStyle w:val="KQstem"/>
        <w:spacing w:after="0" w:line="480" w:lineRule="auto"/>
      </w:pPr>
      <w:r>
        <w:rPr>
          <w:b/>
          <w:bCs/>
        </w:rPr>
        <w:t>KQ 1b</w:t>
      </w:r>
      <w:r w:rsidRPr="009D14BA">
        <w:t xml:space="preserve">: How do medications for adults with </w:t>
      </w:r>
      <w:r>
        <w:t xml:space="preserve">alcohol-use </w:t>
      </w:r>
      <w:r w:rsidRPr="009D14BA">
        <w:t>disorders compare for improving consumption outcomes in outpatient settings?</w:t>
      </w:r>
    </w:p>
    <w:p w:rsidR="007110A8" w:rsidRPr="009D14BA" w:rsidP="007110A8" w14:paraId="3A0CFEFF" w14:textId="77777777">
      <w:pPr>
        <w:pStyle w:val="KQstem"/>
        <w:spacing w:after="0" w:line="480" w:lineRule="auto"/>
      </w:pPr>
      <w:r w:rsidRPr="00F07A06">
        <w:rPr>
          <w:b/>
          <w:bCs/>
        </w:rPr>
        <w:t>K</w:t>
      </w:r>
      <w:r>
        <w:rPr>
          <w:b/>
          <w:bCs/>
        </w:rPr>
        <w:t xml:space="preserve">Q </w:t>
      </w:r>
      <w:r w:rsidRPr="00F07A06">
        <w:rPr>
          <w:b/>
          <w:bCs/>
        </w:rPr>
        <w:t>2a</w:t>
      </w:r>
      <w:r w:rsidRPr="009D14BA">
        <w:t>: Which medications are efficacious for improving health outcomes</w:t>
      </w:r>
      <w:r>
        <w:t xml:space="preserve"> (including functioning and quality-of-life outcomes)</w:t>
      </w:r>
      <w:r w:rsidRPr="009D14BA">
        <w:t xml:space="preserve"> for adults with </w:t>
      </w:r>
      <w:r>
        <w:t xml:space="preserve">alcohol-use </w:t>
      </w:r>
      <w:r w:rsidRPr="009D14BA">
        <w:t>disorders in outpatient settings?</w:t>
      </w:r>
    </w:p>
    <w:p w:rsidR="007110A8" w:rsidRPr="009D14BA" w:rsidP="007110A8" w14:paraId="1F9F6204" w14:textId="77777777">
      <w:pPr>
        <w:pStyle w:val="KQstem"/>
        <w:spacing w:after="0" w:line="480" w:lineRule="auto"/>
      </w:pPr>
      <w:r w:rsidRPr="00F07A06">
        <w:rPr>
          <w:b/>
          <w:bCs/>
        </w:rPr>
        <w:t>KQ</w:t>
      </w:r>
      <w:r>
        <w:rPr>
          <w:b/>
          <w:bCs/>
        </w:rPr>
        <w:t xml:space="preserve"> </w:t>
      </w:r>
      <w:r w:rsidRPr="00F07A06">
        <w:rPr>
          <w:b/>
          <w:bCs/>
        </w:rPr>
        <w:t>2b</w:t>
      </w:r>
      <w:r w:rsidRPr="009D14BA">
        <w:t xml:space="preserve">: How do medications for adults with </w:t>
      </w:r>
      <w:r>
        <w:t xml:space="preserve">alcohol-use </w:t>
      </w:r>
      <w:r w:rsidRPr="009D14BA">
        <w:t>disorders compare for improving health outcomes</w:t>
      </w:r>
      <w:r>
        <w:t xml:space="preserve"> (including functioning and quality-of-life outcomes)</w:t>
      </w:r>
      <w:r w:rsidRPr="009D14BA">
        <w:t xml:space="preserve"> in outpatient settings?</w:t>
      </w:r>
    </w:p>
    <w:p w:rsidR="007110A8" w:rsidRPr="009D14BA" w:rsidP="007110A8" w14:paraId="40800414" w14:textId="77777777">
      <w:pPr>
        <w:pStyle w:val="KQstem"/>
        <w:spacing w:after="0" w:line="480" w:lineRule="auto"/>
      </w:pPr>
      <w:r>
        <w:rPr>
          <w:b/>
          <w:bCs/>
        </w:rPr>
        <w:t>KQ 3a</w:t>
      </w:r>
      <w:r w:rsidRPr="009D14BA">
        <w:t xml:space="preserve">: What adverse effects are associated with medications for adults with </w:t>
      </w:r>
      <w:r>
        <w:t xml:space="preserve">alcohol-use </w:t>
      </w:r>
      <w:r w:rsidRPr="009D14BA">
        <w:t>disorders in outpatient settings?</w:t>
      </w:r>
    </w:p>
    <w:p w:rsidR="007110A8" w:rsidRPr="009D14BA" w:rsidP="007110A8" w14:paraId="0A2937D4" w14:textId="77777777">
      <w:pPr>
        <w:pStyle w:val="KQstem"/>
        <w:spacing w:after="0" w:line="480" w:lineRule="auto"/>
      </w:pPr>
      <w:r>
        <w:rPr>
          <w:b/>
          <w:bCs/>
        </w:rPr>
        <w:t>KQ 3b</w:t>
      </w:r>
      <w:r w:rsidRPr="009D14BA">
        <w:t xml:space="preserve">: How do medications for adults with </w:t>
      </w:r>
      <w:r>
        <w:t xml:space="preserve">alcohol-use </w:t>
      </w:r>
      <w:r w:rsidRPr="009D14BA">
        <w:t>disorders compare for adverse effects in outpatient settings?</w:t>
      </w:r>
    </w:p>
    <w:p w:rsidR="007110A8" w:rsidRPr="009D14BA" w:rsidP="007110A8" w14:paraId="6A4F7B35" w14:textId="77777777">
      <w:pPr>
        <w:pStyle w:val="KQstem"/>
        <w:spacing w:after="0" w:line="480" w:lineRule="auto"/>
      </w:pPr>
      <w:r>
        <w:rPr>
          <w:b/>
          <w:bCs/>
        </w:rPr>
        <w:t>KQ</w:t>
      </w:r>
      <w:r w:rsidRPr="00F07A06">
        <w:rPr>
          <w:b/>
          <w:bCs/>
        </w:rPr>
        <w:t xml:space="preserve"> 4:</w:t>
      </w:r>
      <w:r>
        <w:rPr>
          <w:b/>
          <w:bCs/>
        </w:rPr>
        <w:t xml:space="preserve"> </w:t>
      </w:r>
      <w:r w:rsidRPr="009D14BA">
        <w:t xml:space="preserve">Are medications for treating adults with </w:t>
      </w:r>
      <w:r>
        <w:t xml:space="preserve">alcohol-use </w:t>
      </w:r>
      <w:r w:rsidRPr="009D14BA">
        <w:t>disorders effective in primary care settings?</w:t>
      </w:r>
    </w:p>
    <w:p w:rsidR="007110A8" w:rsidP="007110A8" w14:paraId="06368D21" w14:textId="77777777">
      <w:pPr>
        <w:pStyle w:val="KQstem"/>
        <w:spacing w:after="0" w:line="480" w:lineRule="auto"/>
      </w:pPr>
      <w:r>
        <w:rPr>
          <w:b/>
          <w:bCs/>
        </w:rPr>
        <w:t>KQ</w:t>
      </w:r>
      <w:r w:rsidRPr="00F07A06">
        <w:rPr>
          <w:b/>
          <w:bCs/>
        </w:rPr>
        <w:t xml:space="preserve"> 5:</w:t>
      </w:r>
      <w:r>
        <w:rPr>
          <w:b/>
          <w:bCs/>
        </w:rPr>
        <w:t xml:space="preserve"> </w:t>
      </w:r>
      <w:r>
        <w:t xml:space="preserve">Are any of the medications </w:t>
      </w:r>
      <w:r>
        <w:t>more or less effective</w:t>
      </w:r>
      <w:r>
        <w:t xml:space="preserve"> than other medications for older adults, younger adults, smokers, or those with co-occurring disorders?</w:t>
      </w:r>
    </w:p>
    <w:p w:rsidR="007110A8" w:rsidP="007110A8" w14:paraId="75D0DB8A" w14:textId="77777777">
      <w:pPr>
        <w:pStyle w:val="KQstem"/>
        <w:spacing w:after="0" w:line="480" w:lineRule="auto"/>
      </w:pPr>
    </w:p>
    <w:p w:rsidR="007110A8" w:rsidRPr="00850D5B" w:rsidP="007110A8" w14:paraId="688331F2" w14:textId="77777777">
      <w:pPr>
        <w:shd w:val="clear" w:color="auto" w:fill="FFFFFF"/>
        <w:spacing w:line="480" w:lineRule="auto"/>
        <w:outlineLvl w:val="2"/>
        <w:rPr>
          <w:b/>
          <w:bCs/>
          <w:color w:val="212121"/>
          <w:szCs w:val="20"/>
          <w:lang w:eastAsia="zh-CN"/>
        </w:rPr>
      </w:pPr>
      <w:r w:rsidRPr="00850D5B">
        <w:rPr>
          <w:b/>
          <w:szCs w:val="20"/>
        </w:rPr>
        <w:t>PICOTS (P</w:t>
      </w:r>
      <w:r w:rsidRPr="00850D5B">
        <w:rPr>
          <w:b/>
          <w:bCs/>
          <w:color w:val="212121"/>
          <w:szCs w:val="20"/>
          <w:lang w:eastAsia="zh-CN"/>
        </w:rPr>
        <w:t xml:space="preserve">opulations, Interventions, Comparators, Outcomes, Timing, </w:t>
      </w:r>
      <w:r>
        <w:rPr>
          <w:b/>
          <w:bCs/>
          <w:color w:val="212121"/>
          <w:szCs w:val="20"/>
          <w:lang w:eastAsia="zh-CN"/>
        </w:rPr>
        <w:t xml:space="preserve">and </w:t>
      </w:r>
      <w:r w:rsidRPr="00850D5B">
        <w:rPr>
          <w:b/>
          <w:bCs/>
          <w:color w:val="212121"/>
          <w:szCs w:val="20"/>
          <w:lang w:eastAsia="zh-CN"/>
        </w:rPr>
        <w:t>Setting)</w:t>
      </w:r>
    </w:p>
    <w:p w:rsidR="007110A8" w:rsidRPr="00A65C7C" w:rsidP="007110A8" w14:paraId="0C1FF1A6" w14:textId="77777777">
      <w:pPr>
        <w:pStyle w:val="PICOTBullet"/>
        <w:spacing w:before="0" w:line="480" w:lineRule="auto"/>
        <w:rPr>
          <w:b w:val="0"/>
        </w:rPr>
      </w:pPr>
      <w:r w:rsidRPr="00A65C7C">
        <w:t>Population(s)</w:t>
      </w:r>
    </w:p>
    <w:p w:rsidR="007110A8" w:rsidRPr="000409B1" w:rsidP="007110A8" w14:paraId="408633E3" w14:textId="77777777">
      <w:pPr>
        <w:pStyle w:val="textbullets2"/>
        <w:spacing w:line="480" w:lineRule="auto"/>
      </w:pPr>
      <w:r w:rsidRPr="000409B1">
        <w:t xml:space="preserve">Adults (age 18 years or older) with alcohol-use disorders </w:t>
      </w:r>
    </w:p>
    <w:p w:rsidR="007110A8" w:rsidRPr="00A65C7C" w:rsidP="007110A8" w14:paraId="77816959" w14:textId="77777777">
      <w:pPr>
        <w:pStyle w:val="PICOTBullet"/>
        <w:spacing w:before="0" w:line="480" w:lineRule="auto"/>
      </w:pPr>
      <w:r w:rsidRPr="00A65C7C">
        <w:t>Interventions</w:t>
      </w:r>
    </w:p>
    <w:p w:rsidR="007110A8" w:rsidP="007110A8" w14:paraId="3AB36C06" w14:textId="77777777">
      <w:pPr>
        <w:pStyle w:val="textbullets2"/>
        <w:spacing w:line="480" w:lineRule="auto"/>
      </w:pPr>
      <w:r w:rsidRPr="00A65C7C">
        <w:t>Pharmacotherapy for relapse prevention</w:t>
      </w:r>
      <w:r>
        <w:t>. This includes:</w:t>
      </w:r>
    </w:p>
    <w:p w:rsidR="007110A8" w:rsidRPr="00A65C7C" w:rsidP="007110A8" w14:paraId="10440337" w14:textId="77777777">
      <w:pPr>
        <w:pStyle w:val="text-bullets3"/>
        <w:spacing w:line="480" w:lineRule="auto"/>
      </w:pPr>
      <w:r>
        <w:t xml:space="preserve"> </w:t>
      </w:r>
      <w:r w:rsidRPr="008A11E4">
        <w:t>Medications</w:t>
      </w:r>
      <w:r w:rsidRPr="00A65C7C">
        <w:t xml:space="preserve"> approved by FDA for </w:t>
      </w:r>
      <w:r>
        <w:t>treating</w:t>
      </w:r>
      <w:r w:rsidRPr="00A65C7C">
        <w:t xml:space="preserve"> alcohol dependence</w:t>
      </w:r>
      <w:r>
        <w:t>:</w:t>
      </w:r>
    </w:p>
    <w:p w:rsidR="007110A8" w:rsidRPr="00A65C7C" w:rsidP="007110A8" w14:paraId="1C3C1113" w14:textId="77777777">
      <w:pPr>
        <w:pStyle w:val="text-bullets3"/>
        <w:numPr>
          <w:ilvl w:val="3"/>
          <w:numId w:val="32"/>
        </w:numPr>
        <w:tabs>
          <w:tab w:val="clear" w:pos="3240"/>
        </w:tabs>
        <w:spacing w:line="480" w:lineRule="auto"/>
        <w:ind w:left="2070" w:hanging="270"/>
      </w:pPr>
      <w:r w:rsidRPr="007F3E88">
        <w:t>acamprosate</w:t>
      </w:r>
    </w:p>
    <w:p w:rsidR="007110A8" w:rsidRPr="00A65C7C" w:rsidP="007110A8" w14:paraId="4767D34E" w14:textId="77777777">
      <w:pPr>
        <w:pStyle w:val="text-bullets3"/>
        <w:numPr>
          <w:ilvl w:val="3"/>
          <w:numId w:val="32"/>
        </w:numPr>
        <w:tabs>
          <w:tab w:val="clear" w:pos="3240"/>
        </w:tabs>
        <w:spacing w:line="480" w:lineRule="auto"/>
        <w:ind w:left="2070" w:hanging="270"/>
      </w:pPr>
      <w:r w:rsidRPr="00A65C7C">
        <w:t>disulfiram</w:t>
      </w:r>
    </w:p>
    <w:p w:rsidR="007110A8" w:rsidRPr="00A65C7C" w:rsidP="007110A8" w14:paraId="75222329" w14:textId="77777777">
      <w:pPr>
        <w:pStyle w:val="text-bullets3"/>
        <w:numPr>
          <w:ilvl w:val="3"/>
          <w:numId w:val="32"/>
        </w:numPr>
        <w:tabs>
          <w:tab w:val="clear" w:pos="3240"/>
        </w:tabs>
        <w:spacing w:line="480" w:lineRule="auto"/>
        <w:ind w:left="2070" w:hanging="270"/>
      </w:pPr>
      <w:r>
        <w:t>naltrexone (oral or injectable)</w:t>
      </w:r>
    </w:p>
    <w:p w:rsidR="007110A8" w:rsidRPr="00A65C7C" w:rsidP="007110A8" w14:paraId="39ABD534" w14:textId="77777777">
      <w:pPr>
        <w:pStyle w:val="text-bullets3"/>
        <w:spacing w:line="480" w:lineRule="auto"/>
      </w:pPr>
      <w:r>
        <w:t>Certain medications in use off label that are available in the United States:</w:t>
      </w:r>
    </w:p>
    <w:p w:rsidR="007110A8" w:rsidRPr="00A65C7C" w:rsidP="007110A8" w14:paraId="101F08BB" w14:textId="77777777">
      <w:pPr>
        <w:pStyle w:val="text-bullets3"/>
        <w:numPr>
          <w:ilvl w:val="3"/>
          <w:numId w:val="32"/>
        </w:numPr>
        <w:tabs>
          <w:tab w:val="num" w:pos="2160"/>
          <w:tab w:val="clear" w:pos="3240"/>
        </w:tabs>
        <w:spacing w:line="480" w:lineRule="auto"/>
        <w:ind w:hanging="1440"/>
      </w:pPr>
      <w:r w:rsidRPr="00A65C7C">
        <w:t>baclofen</w:t>
      </w:r>
    </w:p>
    <w:p w:rsidR="007110A8" w:rsidRPr="00A65C7C" w:rsidP="007110A8" w14:paraId="119EA370" w14:textId="77777777">
      <w:pPr>
        <w:pStyle w:val="text-bullets3"/>
        <w:numPr>
          <w:ilvl w:val="3"/>
          <w:numId w:val="32"/>
        </w:numPr>
        <w:tabs>
          <w:tab w:val="num" w:pos="2160"/>
          <w:tab w:val="clear" w:pos="3240"/>
        </w:tabs>
        <w:spacing w:line="480" w:lineRule="auto"/>
        <w:ind w:hanging="1440"/>
      </w:pPr>
      <w:r w:rsidRPr="00A65C7C">
        <w:t>gabapentin</w:t>
      </w:r>
    </w:p>
    <w:p w:rsidR="007110A8" w:rsidP="007110A8" w14:paraId="0DF0A754" w14:textId="77777777">
      <w:pPr>
        <w:pStyle w:val="text-bullets3"/>
        <w:numPr>
          <w:ilvl w:val="3"/>
          <w:numId w:val="32"/>
        </w:numPr>
        <w:tabs>
          <w:tab w:val="num" w:pos="2160"/>
          <w:tab w:val="clear" w:pos="3240"/>
        </w:tabs>
        <w:spacing w:line="480" w:lineRule="auto"/>
        <w:ind w:hanging="1440"/>
      </w:pPr>
      <w:r>
        <w:t>ondansetron</w:t>
      </w:r>
    </w:p>
    <w:p w:rsidR="007110A8" w:rsidP="007110A8" w14:paraId="644FF85C" w14:textId="77777777">
      <w:pPr>
        <w:pStyle w:val="text-bullets3"/>
        <w:numPr>
          <w:ilvl w:val="3"/>
          <w:numId w:val="32"/>
        </w:numPr>
        <w:tabs>
          <w:tab w:val="num" w:pos="2160"/>
          <w:tab w:val="clear" w:pos="3240"/>
        </w:tabs>
        <w:spacing w:line="480" w:lineRule="auto"/>
        <w:ind w:hanging="1440"/>
      </w:pPr>
      <w:r w:rsidRPr="00A65C7C">
        <w:t>topiramate</w:t>
      </w:r>
    </w:p>
    <w:p w:rsidR="007110A8" w:rsidP="007110A8" w14:paraId="6AF7E020" w14:textId="77777777">
      <w:pPr>
        <w:pStyle w:val="text-bullets3"/>
        <w:numPr>
          <w:ilvl w:val="3"/>
          <w:numId w:val="32"/>
        </w:numPr>
        <w:tabs>
          <w:tab w:val="num" w:pos="2160"/>
          <w:tab w:val="clear" w:pos="3240"/>
        </w:tabs>
        <w:spacing w:line="480" w:lineRule="auto"/>
        <w:ind w:hanging="1440"/>
      </w:pPr>
      <w:r>
        <w:t>prazosin</w:t>
      </w:r>
    </w:p>
    <w:p w:rsidR="007110A8" w:rsidRPr="00A65C7C" w:rsidP="007110A8" w14:paraId="425E0B62" w14:textId="77777777">
      <w:pPr>
        <w:pStyle w:val="text-bullets3"/>
        <w:numPr>
          <w:ilvl w:val="3"/>
          <w:numId w:val="32"/>
        </w:numPr>
        <w:tabs>
          <w:tab w:val="num" w:pos="2160"/>
          <w:tab w:val="clear" w:pos="3240"/>
        </w:tabs>
        <w:spacing w:line="480" w:lineRule="auto"/>
        <w:ind w:hanging="1440"/>
      </w:pPr>
      <w:r>
        <w:t>varenicline</w:t>
      </w:r>
    </w:p>
    <w:p w:rsidR="007110A8" w:rsidRPr="00A65C7C" w:rsidP="007110A8" w14:paraId="2CE78DD6" w14:textId="77777777">
      <w:pPr>
        <w:pStyle w:val="textbullets2"/>
        <w:spacing w:line="480" w:lineRule="auto"/>
      </w:pPr>
      <w:r>
        <w:t xml:space="preserve">Studies evaluating pharmacotherapy that used co-interventions with </w:t>
      </w:r>
      <w:r w:rsidRPr="00302132">
        <w:t>other treatments for AUDs</w:t>
      </w:r>
      <w:r>
        <w:t xml:space="preserve"> </w:t>
      </w:r>
      <w:r w:rsidRPr="00302132">
        <w:t xml:space="preserve">(e.g., </w:t>
      </w:r>
      <w:r w:rsidRPr="00A65C7C">
        <w:t>behavioral counseling</w:t>
      </w:r>
      <w:r>
        <w:t xml:space="preserve">, </w:t>
      </w:r>
      <w:r w:rsidRPr="00302132">
        <w:t xml:space="preserve">cognitive behavioral therapy, motivational enhancement therapy, </w:t>
      </w:r>
      <w:r>
        <w:t>psychosocial treatments, or self-help such as</w:t>
      </w:r>
      <w:r w:rsidRPr="00302132">
        <w:t xml:space="preserve"> 12-step programs</w:t>
      </w:r>
      <w:r>
        <w:t xml:space="preserve"> [e.g., </w:t>
      </w:r>
      <w:r w:rsidRPr="00302132">
        <w:t>Alcoholics Anonymous</w:t>
      </w:r>
      <w:r>
        <w:t>]</w:t>
      </w:r>
      <w:r w:rsidRPr="00302132">
        <w:t xml:space="preserve">) will be eligible for inclusion, </w:t>
      </w:r>
      <w:r w:rsidRPr="00302132">
        <w:t>as long as</w:t>
      </w:r>
      <w:r w:rsidRPr="00302132">
        <w:t xml:space="preserve"> they meet other inclusion/exclusion criteria.</w:t>
      </w:r>
      <w:r>
        <w:t xml:space="preserve"> </w:t>
      </w:r>
    </w:p>
    <w:p w:rsidR="007110A8" w:rsidRPr="00A65C7C" w:rsidP="007110A8" w14:paraId="4A391F69" w14:textId="77777777">
      <w:pPr>
        <w:pStyle w:val="textbullets2"/>
        <w:spacing w:line="480" w:lineRule="auto"/>
        <w:rPr>
          <w:i/>
        </w:rPr>
      </w:pPr>
      <w:r w:rsidRPr="00A65C7C">
        <w:t>This review will not include pharmacotherapy for alcohol withdrawal</w:t>
      </w:r>
      <w:r>
        <w:t>.</w:t>
      </w:r>
    </w:p>
    <w:p w:rsidR="007110A8" w:rsidRPr="00A65C7C" w:rsidP="007110A8" w14:paraId="0C76E2BA" w14:textId="77777777">
      <w:pPr>
        <w:pStyle w:val="PICOTBullet"/>
        <w:spacing w:before="0" w:line="480" w:lineRule="auto"/>
      </w:pPr>
      <w:r w:rsidRPr="00A65C7C">
        <w:t>Comparators</w:t>
      </w:r>
    </w:p>
    <w:p w:rsidR="007110A8" w:rsidRPr="009A68F4" w:rsidP="007110A8" w14:paraId="47E4BC68" w14:textId="77777777">
      <w:pPr>
        <w:pStyle w:val="textbullets2"/>
        <w:spacing w:line="480" w:lineRule="auto"/>
        <w:rPr>
          <w:b/>
          <w:bCs/>
        </w:rPr>
      </w:pPr>
      <w:r>
        <w:t>Studies must compare one of the medications listed above with placebo or another eligible medication.</w:t>
      </w:r>
    </w:p>
    <w:p w:rsidR="007110A8" w:rsidRPr="00A65C7C" w:rsidP="007110A8" w14:paraId="2D1CBC85" w14:textId="77777777">
      <w:pPr>
        <w:pStyle w:val="PICOTBullet"/>
        <w:spacing w:before="0" w:line="480" w:lineRule="auto"/>
        <w:rPr>
          <w:b w:val="0"/>
        </w:rPr>
      </w:pPr>
      <w:r w:rsidRPr="00A65C7C">
        <w:t>Outcomes</w:t>
      </w:r>
    </w:p>
    <w:p w:rsidR="007110A8" w:rsidRPr="00A65C7C" w:rsidP="007110A8" w14:paraId="427912E2" w14:textId="77777777">
      <w:pPr>
        <w:pStyle w:val="textbullets2"/>
        <w:spacing w:line="480" w:lineRule="auto"/>
      </w:pPr>
      <w:r>
        <w:t>C</w:t>
      </w:r>
      <w:r w:rsidRPr="00A65C7C">
        <w:t>onsumption outcomes</w:t>
      </w:r>
    </w:p>
    <w:p w:rsidR="007110A8" w:rsidRPr="00A65C7C" w:rsidP="007110A8" w14:paraId="39D63667" w14:textId="77777777">
      <w:pPr>
        <w:pStyle w:val="text-bullets3"/>
        <w:spacing w:line="480" w:lineRule="auto"/>
        <w:rPr>
          <w:iCs/>
        </w:rPr>
      </w:pPr>
      <w:r w:rsidRPr="00A65C7C">
        <w:t>abstinence/</w:t>
      </w:r>
      <w:r w:rsidRPr="000409B1">
        <w:t>any</w:t>
      </w:r>
      <w:r w:rsidRPr="00A65C7C">
        <w:t xml:space="preserve"> drinking</w:t>
      </w:r>
    </w:p>
    <w:p w:rsidR="007110A8" w:rsidRPr="000409B1" w:rsidP="007110A8" w14:paraId="69F1E023" w14:textId="77777777">
      <w:pPr>
        <w:pStyle w:val="textbullets4"/>
        <w:spacing w:line="480" w:lineRule="auto"/>
      </w:pPr>
      <w:r w:rsidRPr="000409B1">
        <w:t>rates of continuous abstinence</w:t>
      </w:r>
    </w:p>
    <w:p w:rsidR="007110A8" w:rsidRPr="00A65C7C" w:rsidP="007110A8" w14:paraId="7F308CEE" w14:textId="77777777">
      <w:pPr>
        <w:pStyle w:val="textbullets4"/>
        <w:spacing w:line="480" w:lineRule="auto"/>
        <w:rPr>
          <w:iCs/>
        </w:rPr>
      </w:pPr>
      <w:r w:rsidRPr="007F3E88">
        <w:t>percentage</w:t>
      </w:r>
      <w:r w:rsidRPr="00A65C7C">
        <w:t xml:space="preserve"> of days abstinent</w:t>
      </w:r>
    </w:p>
    <w:p w:rsidR="007110A8" w:rsidRPr="00A65C7C" w:rsidP="007110A8" w14:paraId="049B8E16" w14:textId="77777777">
      <w:pPr>
        <w:pStyle w:val="textbullets4"/>
        <w:spacing w:line="480" w:lineRule="auto"/>
        <w:rPr>
          <w:iCs/>
        </w:rPr>
      </w:pPr>
      <w:r w:rsidRPr="00A65C7C">
        <w:t>time to first drink/lapse</w:t>
      </w:r>
    </w:p>
    <w:p w:rsidR="007110A8" w:rsidRPr="00A65C7C" w:rsidP="007110A8" w14:paraId="5EA68CC6" w14:textId="77777777">
      <w:pPr>
        <w:pStyle w:val="textbullets4"/>
        <w:spacing w:line="480" w:lineRule="auto"/>
        <w:rPr>
          <w:iCs/>
        </w:rPr>
      </w:pPr>
      <w:r w:rsidRPr="00A65C7C">
        <w:t>time to heavy drinking/relapse</w:t>
      </w:r>
    </w:p>
    <w:p w:rsidR="007110A8" w:rsidRPr="00A65C7C" w:rsidP="007110A8" w14:paraId="36737D45" w14:textId="77777777">
      <w:pPr>
        <w:pStyle w:val="text-bullets3"/>
        <w:spacing w:line="480" w:lineRule="auto"/>
        <w:rPr>
          <w:iCs/>
        </w:rPr>
      </w:pPr>
      <w:r w:rsidRPr="00A65C7C">
        <w:t>reduction in alcohol consumption</w:t>
      </w:r>
    </w:p>
    <w:p w:rsidR="007110A8" w:rsidRPr="00E964C2" w:rsidP="007110A8" w14:paraId="079984C8" w14:textId="77777777">
      <w:pPr>
        <w:pStyle w:val="textbullets4"/>
        <w:spacing w:line="480" w:lineRule="auto"/>
        <w:rPr>
          <w:iCs/>
        </w:rPr>
      </w:pPr>
      <w:r w:rsidRPr="00A65C7C">
        <w:t>number of heavy drinking days</w:t>
      </w:r>
    </w:p>
    <w:p w:rsidR="007110A8" w:rsidRPr="00A65C7C" w:rsidP="007110A8" w14:paraId="27878F6D" w14:textId="77777777">
      <w:pPr>
        <w:pStyle w:val="textbullets4"/>
        <w:spacing w:line="480" w:lineRule="auto"/>
        <w:rPr>
          <w:iCs/>
        </w:rPr>
      </w:pPr>
      <w:r>
        <w:t>percentage of subjects with no heavy drinking days</w:t>
      </w:r>
    </w:p>
    <w:p w:rsidR="007110A8" w:rsidRPr="00A65C7C" w:rsidP="007110A8" w14:paraId="169606DE" w14:textId="77777777">
      <w:pPr>
        <w:pStyle w:val="textbullets4"/>
        <w:spacing w:line="480" w:lineRule="auto"/>
        <w:rPr>
          <w:iCs/>
        </w:rPr>
      </w:pPr>
      <w:r w:rsidRPr="00A65C7C">
        <w:t>number of drinking days</w:t>
      </w:r>
    </w:p>
    <w:p w:rsidR="007110A8" w:rsidRPr="00A65C7C" w:rsidP="007110A8" w14:paraId="149223F4" w14:textId="77777777">
      <w:pPr>
        <w:pStyle w:val="textbullets4"/>
        <w:spacing w:line="480" w:lineRule="auto"/>
        <w:rPr>
          <w:iCs/>
        </w:rPr>
      </w:pPr>
      <w:r w:rsidRPr="00A65C7C">
        <w:t>drinks per drinking day</w:t>
      </w:r>
    </w:p>
    <w:p w:rsidR="007110A8" w:rsidRPr="00A65C7C" w:rsidP="007110A8" w14:paraId="457A0F0C" w14:textId="77777777">
      <w:pPr>
        <w:pStyle w:val="textbullets4"/>
        <w:spacing w:line="480" w:lineRule="auto"/>
        <w:rPr>
          <w:iCs/>
        </w:rPr>
      </w:pPr>
      <w:r w:rsidRPr="00A65C7C">
        <w:t>drinks per week</w:t>
      </w:r>
    </w:p>
    <w:p w:rsidR="007110A8" w:rsidRPr="00A65C7C" w:rsidP="007110A8" w14:paraId="76A01D2B" w14:textId="77777777">
      <w:pPr>
        <w:pStyle w:val="textbullets2"/>
        <w:spacing w:line="480" w:lineRule="auto"/>
      </w:pPr>
      <w:r w:rsidRPr="00A65C7C">
        <w:t>Health outcomes</w:t>
      </w:r>
    </w:p>
    <w:p w:rsidR="007110A8" w:rsidRPr="00A65C7C" w:rsidP="007110A8" w14:paraId="778BE458" w14:textId="77777777">
      <w:pPr>
        <w:pStyle w:val="text-bullets3"/>
        <w:spacing w:line="480" w:lineRule="auto"/>
      </w:pPr>
      <w:r w:rsidRPr="00A65C7C">
        <w:t>accidents</w:t>
      </w:r>
    </w:p>
    <w:p w:rsidR="007110A8" w:rsidRPr="00A65C7C" w:rsidP="007110A8" w14:paraId="4CC3E932" w14:textId="77777777">
      <w:pPr>
        <w:pStyle w:val="text-bullets3"/>
        <w:spacing w:line="480" w:lineRule="auto"/>
      </w:pPr>
      <w:r w:rsidRPr="00A65C7C">
        <w:t>injuries</w:t>
      </w:r>
    </w:p>
    <w:p w:rsidR="007110A8" w:rsidP="007110A8" w14:paraId="12D60C4B" w14:textId="77777777">
      <w:pPr>
        <w:pStyle w:val="text-bullets3"/>
        <w:spacing w:line="480" w:lineRule="auto"/>
      </w:pPr>
      <w:r w:rsidRPr="00A65C7C">
        <w:t>quality of life</w:t>
      </w:r>
    </w:p>
    <w:p w:rsidR="007110A8" w:rsidRPr="00A65C7C" w:rsidP="007110A8" w14:paraId="38A246A7" w14:textId="77777777">
      <w:pPr>
        <w:pStyle w:val="text-bullets3"/>
        <w:spacing w:line="480" w:lineRule="auto"/>
      </w:pPr>
      <w:r>
        <w:t>function</w:t>
      </w:r>
    </w:p>
    <w:p w:rsidR="007110A8" w:rsidRPr="00A65C7C" w:rsidP="007110A8" w14:paraId="447D515B" w14:textId="77777777">
      <w:pPr>
        <w:pStyle w:val="text-bullets3"/>
        <w:spacing w:line="480" w:lineRule="auto"/>
      </w:pPr>
      <w:r w:rsidRPr="00A65C7C">
        <w:t>mortality</w:t>
      </w:r>
    </w:p>
    <w:p w:rsidR="007110A8" w:rsidRPr="00A65C7C" w:rsidP="007110A8" w14:paraId="16A6DDFD" w14:textId="77777777">
      <w:pPr>
        <w:pStyle w:val="textbullets2"/>
        <w:spacing w:line="480" w:lineRule="auto"/>
      </w:pPr>
      <w:r>
        <w:t>Adverse effects of intervention(s)</w:t>
      </w:r>
    </w:p>
    <w:p w:rsidR="007110A8" w:rsidRPr="00A65C7C" w:rsidP="007110A8" w14:paraId="1A9EE2CB" w14:textId="77777777">
      <w:pPr>
        <w:pStyle w:val="text-bullets3"/>
        <w:spacing w:line="480" w:lineRule="auto"/>
        <w:rPr>
          <w:iCs/>
        </w:rPr>
      </w:pPr>
      <w:r w:rsidRPr="00A65C7C">
        <w:t>withdrawals due to adverse events</w:t>
      </w:r>
    </w:p>
    <w:p w:rsidR="007110A8" w:rsidRPr="00A65C7C" w:rsidP="007110A8" w14:paraId="5C6F3BD8" w14:textId="77777777">
      <w:pPr>
        <w:pStyle w:val="text-bullets3"/>
        <w:spacing w:line="480" w:lineRule="auto"/>
        <w:rPr>
          <w:iCs/>
        </w:rPr>
      </w:pPr>
      <w:r w:rsidRPr="00A65C7C">
        <w:t>nausea/vomiting</w:t>
      </w:r>
    </w:p>
    <w:p w:rsidR="007110A8" w:rsidRPr="00A65C7C" w:rsidP="007110A8" w14:paraId="3257ACDB" w14:textId="77777777">
      <w:pPr>
        <w:pStyle w:val="text-bullets3"/>
        <w:spacing w:line="480" w:lineRule="auto"/>
        <w:rPr>
          <w:iCs/>
        </w:rPr>
      </w:pPr>
      <w:r w:rsidRPr="00A65C7C">
        <w:t>diarrhea</w:t>
      </w:r>
    </w:p>
    <w:p w:rsidR="007110A8" w:rsidRPr="00A65C7C" w:rsidP="007110A8" w14:paraId="688F09CC" w14:textId="77777777">
      <w:pPr>
        <w:pStyle w:val="text-bullets3"/>
        <w:spacing w:line="480" w:lineRule="auto"/>
        <w:rPr>
          <w:iCs/>
        </w:rPr>
      </w:pPr>
      <w:r w:rsidRPr="00A65C7C">
        <w:t>anorexia</w:t>
      </w:r>
    </w:p>
    <w:p w:rsidR="007110A8" w:rsidRPr="00A65C7C" w:rsidP="007110A8" w14:paraId="5277D8CF" w14:textId="77777777">
      <w:pPr>
        <w:pStyle w:val="text-bullets3"/>
        <w:spacing w:line="480" w:lineRule="auto"/>
        <w:rPr>
          <w:iCs/>
        </w:rPr>
      </w:pPr>
      <w:r w:rsidRPr="00A65C7C">
        <w:t>palpitations</w:t>
      </w:r>
    </w:p>
    <w:p w:rsidR="007110A8" w:rsidRPr="00A65C7C" w:rsidP="007110A8" w14:paraId="5AC56726" w14:textId="77777777">
      <w:pPr>
        <w:pStyle w:val="text-bullets3"/>
        <w:spacing w:line="480" w:lineRule="auto"/>
        <w:rPr>
          <w:iCs/>
        </w:rPr>
      </w:pPr>
      <w:r w:rsidRPr="00A65C7C">
        <w:t>headache</w:t>
      </w:r>
    </w:p>
    <w:p w:rsidR="007110A8" w:rsidRPr="00A65C7C" w:rsidP="007110A8" w14:paraId="6212F07F" w14:textId="77777777">
      <w:pPr>
        <w:pStyle w:val="text-bullets3"/>
        <w:spacing w:line="480" w:lineRule="auto"/>
        <w:rPr>
          <w:iCs/>
        </w:rPr>
      </w:pPr>
      <w:r w:rsidRPr="00A65C7C">
        <w:t>dizziness</w:t>
      </w:r>
    </w:p>
    <w:p w:rsidR="007110A8" w:rsidRPr="00A65C7C" w:rsidP="007110A8" w14:paraId="0BA13439" w14:textId="77777777">
      <w:pPr>
        <w:pStyle w:val="text-bullets3"/>
        <w:spacing w:line="480" w:lineRule="auto"/>
        <w:rPr>
          <w:iCs/>
        </w:rPr>
      </w:pPr>
      <w:r w:rsidRPr="00A65C7C">
        <w:t>cognitive dysfunction</w:t>
      </w:r>
    </w:p>
    <w:p w:rsidR="007110A8" w:rsidRPr="00A65C7C" w:rsidP="007110A8" w14:paraId="425D1A64" w14:textId="77777777">
      <w:pPr>
        <w:pStyle w:val="text-bullets3"/>
        <w:spacing w:line="480" w:lineRule="auto"/>
        <w:rPr>
          <w:iCs/>
        </w:rPr>
      </w:pPr>
      <w:r w:rsidRPr="00A65C7C">
        <w:t>taste abnormalities</w:t>
      </w:r>
    </w:p>
    <w:p w:rsidR="007110A8" w:rsidRPr="00A65C7C" w:rsidP="007110A8" w14:paraId="08CA4433" w14:textId="77777777">
      <w:pPr>
        <w:pStyle w:val="text-bullets3"/>
        <w:spacing w:line="480" w:lineRule="auto"/>
        <w:rPr>
          <w:iCs/>
        </w:rPr>
      </w:pPr>
      <w:r w:rsidRPr="00DD445E">
        <w:t>paresthesias</w:t>
      </w:r>
      <w:r w:rsidRPr="00A65C7C">
        <w:t xml:space="preserve"> (numbness, tingling)</w:t>
      </w:r>
    </w:p>
    <w:p w:rsidR="007110A8" w:rsidRPr="00A65C7C" w:rsidP="007110A8" w14:paraId="52A71225" w14:textId="77777777">
      <w:pPr>
        <w:pStyle w:val="text-bullets3"/>
        <w:spacing w:line="480" w:lineRule="auto"/>
        <w:rPr>
          <w:iCs/>
        </w:rPr>
      </w:pPr>
      <w:r w:rsidRPr="00A65C7C">
        <w:t>metabolic acidosis</w:t>
      </w:r>
    </w:p>
    <w:p w:rsidR="007110A8" w:rsidRPr="00A65C7C" w:rsidP="007110A8" w14:paraId="6E70096E" w14:textId="77777777">
      <w:pPr>
        <w:pStyle w:val="text-bullets3"/>
        <w:spacing w:line="480" w:lineRule="auto"/>
        <w:rPr>
          <w:iCs/>
        </w:rPr>
      </w:pPr>
      <w:r w:rsidRPr="00A65C7C">
        <w:t>glaucoma</w:t>
      </w:r>
    </w:p>
    <w:p w:rsidR="007110A8" w:rsidRPr="00A65C7C" w:rsidP="007110A8" w14:paraId="5B26A1B1" w14:textId="77777777">
      <w:pPr>
        <w:pStyle w:val="text-bullets3"/>
        <w:spacing w:line="480" w:lineRule="auto"/>
        <w:rPr>
          <w:iCs/>
        </w:rPr>
      </w:pPr>
      <w:r w:rsidRPr="00A65C7C">
        <w:t>vision changes</w:t>
      </w:r>
    </w:p>
    <w:p w:rsidR="007110A8" w:rsidRPr="00A65C7C" w:rsidP="007110A8" w14:paraId="7415F052" w14:textId="77777777">
      <w:pPr>
        <w:pStyle w:val="text-bullets3"/>
        <w:spacing w:line="480" w:lineRule="auto"/>
        <w:rPr>
          <w:iCs/>
        </w:rPr>
      </w:pPr>
      <w:r w:rsidRPr="00A65C7C">
        <w:t>suicidal ideation</w:t>
      </w:r>
    </w:p>
    <w:p w:rsidR="007110A8" w:rsidRPr="00A65C7C" w:rsidP="007110A8" w14:paraId="08B15EA5" w14:textId="77777777">
      <w:pPr>
        <w:pStyle w:val="text-bullets3"/>
        <w:spacing w:line="480" w:lineRule="auto"/>
        <w:rPr>
          <w:iCs/>
        </w:rPr>
      </w:pPr>
      <w:r w:rsidRPr="00A65C7C">
        <w:t>insomnia</w:t>
      </w:r>
    </w:p>
    <w:p w:rsidR="007110A8" w:rsidRPr="00A65C7C" w:rsidP="007110A8" w14:paraId="1788A64D" w14:textId="77777777">
      <w:pPr>
        <w:pStyle w:val="text-bullets3"/>
        <w:spacing w:line="480" w:lineRule="auto"/>
        <w:rPr>
          <w:iCs/>
        </w:rPr>
      </w:pPr>
      <w:r w:rsidRPr="00A65C7C">
        <w:t>anxiety</w:t>
      </w:r>
    </w:p>
    <w:p w:rsidR="007110A8" w:rsidRPr="00F668E9" w:rsidP="007110A8" w14:paraId="7060A0F3" w14:textId="77777777">
      <w:pPr>
        <w:pStyle w:val="text-bullets3"/>
        <w:spacing w:line="480" w:lineRule="auto"/>
        <w:rPr>
          <w:iCs/>
        </w:rPr>
      </w:pPr>
      <w:r w:rsidRPr="004D2F50">
        <w:t>rash</w:t>
      </w:r>
    </w:p>
    <w:p w:rsidR="007110A8" w:rsidRPr="00F668E9" w:rsidP="007110A8" w14:paraId="460B8755" w14:textId="77777777">
      <w:pPr>
        <w:pStyle w:val="text-bullets3"/>
        <w:spacing w:line="480" w:lineRule="auto"/>
        <w:rPr>
          <w:iCs/>
        </w:rPr>
      </w:pPr>
      <w:r>
        <w:t>tiredness</w:t>
      </w:r>
    </w:p>
    <w:p w:rsidR="007110A8" w:rsidRPr="00F668E9" w:rsidP="007110A8" w14:paraId="4353A7DD" w14:textId="77777777">
      <w:pPr>
        <w:pStyle w:val="text-bullets3"/>
        <w:spacing w:line="480" w:lineRule="auto"/>
        <w:rPr>
          <w:iCs/>
        </w:rPr>
      </w:pPr>
      <w:r>
        <w:t>weakness</w:t>
      </w:r>
    </w:p>
    <w:p w:rsidR="007110A8" w:rsidRPr="004D2F50" w:rsidP="007110A8" w14:paraId="7B5B96E8" w14:textId="77777777">
      <w:pPr>
        <w:pStyle w:val="text-bullets3"/>
        <w:spacing w:line="480" w:lineRule="auto"/>
        <w:rPr>
          <w:iCs/>
        </w:rPr>
      </w:pPr>
      <w:r>
        <w:t>constipation</w:t>
      </w:r>
    </w:p>
    <w:p w:rsidR="007110A8" w:rsidRPr="004D2F50" w:rsidP="007110A8" w14:paraId="03B94962" w14:textId="77777777">
      <w:pPr>
        <w:pStyle w:val="PICOTBullet"/>
        <w:spacing w:before="0" w:line="480" w:lineRule="auto"/>
        <w:rPr>
          <w:b w:val="0"/>
        </w:rPr>
      </w:pPr>
      <w:r w:rsidRPr="004D2F50">
        <w:t>Timing</w:t>
      </w:r>
    </w:p>
    <w:p w:rsidR="007110A8" w:rsidRPr="004D2F50" w:rsidP="007110A8" w14:paraId="7640D4E5" w14:textId="77777777">
      <w:pPr>
        <w:pStyle w:val="textbullets2"/>
        <w:spacing w:line="480" w:lineRule="auto"/>
        <w:rPr>
          <w:i/>
        </w:rPr>
      </w:pPr>
      <w:r w:rsidRPr="004D2F50">
        <w:t xml:space="preserve">Studies with at least 12 weeks of </w:t>
      </w:r>
      <w:r>
        <w:t xml:space="preserve">planned pharmacologic treatment and </w:t>
      </w:r>
      <w:r>
        <w:t>followup</w:t>
      </w:r>
      <w:r>
        <w:t xml:space="preserve"> </w:t>
      </w:r>
      <w:r w:rsidRPr="004D2F50">
        <w:t>from the time of medication initiation</w:t>
      </w:r>
    </w:p>
    <w:p w:rsidR="007110A8" w:rsidRPr="004D2F50" w:rsidP="007110A8" w14:paraId="30343A0C" w14:textId="77777777">
      <w:pPr>
        <w:pStyle w:val="PICOTBullet"/>
        <w:spacing w:before="0" w:line="480" w:lineRule="auto"/>
        <w:rPr>
          <w:b w:val="0"/>
        </w:rPr>
      </w:pPr>
      <w:r w:rsidRPr="004D2F50">
        <w:t>Setting</w:t>
      </w:r>
    </w:p>
    <w:p w:rsidR="007110A8" w:rsidRPr="0033062E" w:rsidP="007110A8" w14:paraId="5EA3A4B7" w14:textId="77777777">
      <w:pPr>
        <w:pStyle w:val="textbullets2"/>
        <w:spacing w:line="480" w:lineRule="auto"/>
        <w:rPr>
          <w:b/>
          <w:bCs/>
        </w:rPr>
      </w:pPr>
      <w:r>
        <w:t>Outpatient healthcare settings; KQ 4 applies to primary care settings only (i.e., internal medicine, family medicine, obstetrics/gynecology, or college and university health clinics)</w:t>
      </w:r>
    </w:p>
    <w:p w:rsidR="007110A8" w:rsidP="007110A8" w14:paraId="46F2EFD3" w14:textId="77777777">
      <w:pPr>
        <w:pStyle w:val="indentedbullets"/>
        <w:numPr>
          <w:ilvl w:val="0"/>
          <w:numId w:val="0"/>
        </w:numPr>
        <w:ind w:left="720" w:hanging="360"/>
      </w:pPr>
    </w:p>
    <w:p w:rsidR="007110A8" w:rsidP="007110A8" w14:paraId="70E74857" w14:textId="77777777">
      <w:pPr>
        <w:pStyle w:val="indentedbullets"/>
        <w:numPr>
          <w:ilvl w:val="0"/>
          <w:numId w:val="0"/>
        </w:numPr>
        <w:ind w:left="720" w:hanging="360"/>
      </w:pPr>
    </w:p>
    <w:p w:rsidR="007110A8" w:rsidP="007110A8" w14:paraId="73CF37E0" w14:textId="77777777">
      <w:pPr>
        <w:spacing w:line="480" w:lineRule="auto"/>
      </w:pPr>
      <w:r w:rsidRPr="008F3CCD">
        <w:t>Dated:</w:t>
      </w:r>
    </w:p>
    <w:p w:rsidR="007110A8" w:rsidRPr="00B25223" w:rsidP="007110A8" w14:paraId="6F9F7965" w14:textId="77777777">
      <w:pPr>
        <w:spacing w:line="480" w:lineRule="auto"/>
        <w:rPr>
          <w:b/>
          <w:bCs/>
          <w:noProof/>
        </w:rPr>
      </w:pPr>
      <w:r w:rsidRPr="00B25223">
        <w:rPr>
          <w:b/>
          <w:bCs/>
          <w:noProof/>
        </w:rPr>
        <w:t>Marquita Cullom</w:t>
      </w:r>
      <w:r>
        <w:rPr>
          <w:b/>
          <w:bCs/>
          <w:noProof/>
        </w:rPr>
        <w:t>,</w:t>
      </w:r>
    </w:p>
    <w:p w:rsidR="007110A8" w:rsidRPr="00B25223" w:rsidP="007110A8" w14:paraId="5400FC9E" w14:textId="77777777">
      <w:pPr>
        <w:spacing w:line="480" w:lineRule="auto"/>
        <w:rPr>
          <w:i/>
          <w:iCs/>
          <w:sz w:val="21"/>
          <w:szCs w:val="21"/>
        </w:rPr>
      </w:pPr>
      <w:r w:rsidRPr="00B25223">
        <w:rPr>
          <w:i/>
          <w:iCs/>
          <w:noProof/>
        </w:rPr>
        <w:t>Associate Director</w:t>
      </w:r>
      <w:r>
        <w:rPr>
          <w:i/>
          <w:iCs/>
          <w:noProof/>
        </w:rPr>
        <w:t>.</w:t>
      </w:r>
    </w:p>
    <w:p w:rsidR="007110A8" w:rsidRPr="00683248" w:rsidP="007110A8" w14:paraId="44E82D03" w14:textId="77777777">
      <w:pPr>
        <w:pStyle w:val="indentedbullets"/>
        <w:numPr>
          <w:ilvl w:val="0"/>
          <w:numId w:val="0"/>
        </w:numPr>
        <w:ind w:left="720" w:hanging="360"/>
      </w:pPr>
    </w:p>
    <w:p w:rsidR="006A556E" w:rsidP="006A556E" w14:paraId="23BF3EA8" w14:textId="77777777">
      <w:pPr>
        <w:spacing w:line="360" w:lineRule="auto"/>
        <w:rPr>
          <w:rFonts w:cs="Arial"/>
        </w:rPr>
      </w:pPr>
    </w:p>
    <w:p w:rsidR="006A556E" w:rsidRPr="006A556E" w:rsidP="006A556E" w14:paraId="219C968E" w14:textId="28829A56">
      <w:pPr>
        <w:spacing w:line="360" w:lineRule="auto"/>
        <w:rPr>
          <w:rFonts w:cs="Arial"/>
        </w:rPr>
      </w:pPr>
    </w:p>
    <w:sectPr w:rsidSect="00B23005">
      <w:footerReference w:type="defaul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swiss"/>
    <w:pitch w:val="variable"/>
    <w:sig w:usb0="E00002FF" w:usb1="7AC7FFFF" w:usb2="00000012" w:usb3="00000000" w:csb0="0002000D"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3549250"/>
      <w:docPartObj>
        <w:docPartGallery w:val="Page Numbers (Bottom of Page)"/>
        <w:docPartUnique/>
      </w:docPartObj>
    </w:sdtPr>
    <w:sdtEndPr>
      <w:rPr>
        <w:noProof/>
      </w:rPr>
    </w:sdtEndPr>
    <w:sdtContent>
      <w:p w:rsidR="00FA7E1C" w14:paraId="6E047472" w14:textId="77777777">
        <w:pPr>
          <w:pStyle w:val="Footer"/>
          <w:jc w:val="center"/>
        </w:pPr>
        <w:r>
          <w:fldChar w:fldCharType="begin"/>
        </w:r>
        <w:r>
          <w:instrText xml:space="preserve"> PAGE   \* MERGEFORMAT </w:instrText>
        </w:r>
        <w:r>
          <w:fldChar w:fldCharType="separate"/>
        </w:r>
        <w:r w:rsidR="00BB21CF">
          <w:rPr>
            <w:noProof/>
          </w:rPr>
          <w:t>4</w:t>
        </w:r>
        <w:r>
          <w:rPr>
            <w:noProof/>
          </w:rPr>
          <w:fldChar w:fldCharType="end"/>
        </w:r>
      </w:p>
    </w:sdtContent>
  </w:sdt>
  <w:p w:rsidR="00FA7E1C" w14:paraId="3BF433B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4E1638"/>
    <w:multiLevelType w:val="hybridMultilevel"/>
    <w:tmpl w:val="12A486B6"/>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9FC4030"/>
    <w:multiLevelType w:val="hybridMultilevel"/>
    <w:tmpl w:val="88CC89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E55AF3"/>
    <w:multiLevelType w:val="hybridMultilevel"/>
    <w:tmpl w:val="B4C0AC2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
    <w:nsid w:val="10B94980"/>
    <w:multiLevelType w:val="hybridMultilevel"/>
    <w:tmpl w:val="36D4B2D0"/>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476CC5"/>
    <w:multiLevelType w:val="hybridMultilevel"/>
    <w:tmpl w:val="B9EE5B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7043FE"/>
    <w:multiLevelType w:val="hybridMultilevel"/>
    <w:tmpl w:val="72524ADA"/>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8CB6A10"/>
    <w:multiLevelType w:val="hybridMultilevel"/>
    <w:tmpl w:val="71400FA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A682B29"/>
    <w:multiLevelType w:val="hybridMultilevel"/>
    <w:tmpl w:val="1412513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Wingdings" w:hAnsi="Wingding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D8779AF"/>
    <w:multiLevelType w:val="hybridMultilevel"/>
    <w:tmpl w:val="177AEF86"/>
    <w:lvl w:ilvl="0">
      <w:start w:val="1"/>
      <w:numFmt w:val="bullet"/>
      <w:lvlText w:val="o"/>
      <w:lvlJc w:val="left"/>
      <w:pPr>
        <w:ind w:left="2160" w:hanging="360"/>
      </w:pPr>
      <w:rPr>
        <w:rFonts w:ascii="Courier New" w:hAnsi="Courier New" w:cs="Courier New"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F960253"/>
    <w:multiLevelType w:val="hybridMultilevel"/>
    <w:tmpl w:val="A49C9FF2"/>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2A308A8"/>
    <w:multiLevelType w:val="hybridMultilevel"/>
    <w:tmpl w:val="9D22CD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C91343"/>
    <w:multiLevelType w:val="hybridMultilevel"/>
    <w:tmpl w:val="42F2AFA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4B91266"/>
    <w:multiLevelType w:val="hybridMultilevel"/>
    <w:tmpl w:val="FF76EA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9027C4B"/>
    <w:multiLevelType w:val="hybridMultilevel"/>
    <w:tmpl w:val="42647EC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AFC4B6E"/>
    <w:multiLevelType w:val="hybridMultilevel"/>
    <w:tmpl w:val="EE48D2F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DDE5FD8"/>
    <w:multiLevelType w:val="hybridMultilevel"/>
    <w:tmpl w:val="68FAD36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322C0801"/>
    <w:multiLevelType w:val="hybridMultilevel"/>
    <w:tmpl w:val="92C063EE"/>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41A19C4"/>
    <w:multiLevelType w:val="multilevel"/>
    <w:tmpl w:val="3B78B8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651AE7"/>
    <w:multiLevelType w:val="hybridMultilevel"/>
    <w:tmpl w:val="E230E1D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15D5CC4"/>
    <w:multiLevelType w:val="hybridMultilevel"/>
    <w:tmpl w:val="1F8CA8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AC23768"/>
    <w:multiLevelType w:val="hybridMultilevel"/>
    <w:tmpl w:val="7B1687C4"/>
    <w:lvl w:ilvl="0">
      <w:start w:val="1"/>
      <w:numFmt w:val="bullet"/>
      <w:lvlText w:val=""/>
      <w:lvlJc w:val="left"/>
      <w:pPr>
        <w:ind w:left="216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4DF75164"/>
    <w:multiLevelType w:val="hybridMultilevel"/>
    <w:tmpl w:val="4588BDD0"/>
    <w:lvl w:ilvl="0">
      <w:start w:val="1"/>
      <w:numFmt w:val="bullet"/>
      <w:pStyle w:val="indentedbullets"/>
      <w:lvlText w:val=""/>
      <w:lvlJc w:val="left"/>
      <w:pPr>
        <w:tabs>
          <w:tab w:val="num" w:pos="720"/>
        </w:tabs>
        <w:ind w:left="720" w:hanging="360"/>
      </w:pPr>
      <w:rPr>
        <w:rFonts w:ascii="Symbol" w:hAnsi="Symbol" w:hint="default"/>
      </w:rPr>
    </w:lvl>
    <w:lvl w:ilvl="1">
      <w:start w:val="1"/>
      <w:numFmt w:val="bullet"/>
      <w:pStyle w:val="textbullets2"/>
      <w:lvlText w:val="o"/>
      <w:lvlJc w:val="left"/>
      <w:pPr>
        <w:tabs>
          <w:tab w:val="num" w:pos="1800"/>
        </w:tabs>
        <w:ind w:left="1800" w:hanging="360"/>
      </w:pPr>
      <w:rPr>
        <w:rFonts w:ascii="Courier New" w:hAnsi="Courier New" w:cs="Courier New" w:hint="default"/>
      </w:rPr>
    </w:lvl>
    <w:lvl w:ilvl="2">
      <w:start w:val="1"/>
      <w:numFmt w:val="bullet"/>
      <w:pStyle w:val="text-bullets3"/>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3576B9A"/>
    <w:multiLevelType w:val="hybridMultilevel"/>
    <w:tmpl w:val="766697CA"/>
    <w:lvl w:ilvl="0">
      <w:start w:val="1"/>
      <w:numFmt w:val="bullet"/>
      <w:lvlText w:val=""/>
      <w:lvlJc w:val="left"/>
      <w:pPr>
        <w:ind w:left="2880" w:hanging="360"/>
      </w:pPr>
      <w:rPr>
        <w:rFonts w:ascii="Wingdings" w:hAnsi="Wingdings" w:hint="default"/>
      </w:rPr>
    </w:lvl>
    <w:lvl w:ilvl="1">
      <w:start w:val="1"/>
      <w:numFmt w:val="bullet"/>
      <w:lvlText w:val=""/>
      <w:lvlJc w:val="left"/>
      <w:pPr>
        <w:ind w:left="3600" w:hanging="360"/>
      </w:pPr>
      <w:rPr>
        <w:rFonts w:ascii="Wingdings" w:hAnsi="Wingdings"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5CB542BF"/>
    <w:multiLevelType w:val="hybridMultilevel"/>
    <w:tmpl w:val="A104B0B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Wingdings" w:hAnsi="Wingding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0DD4F19"/>
    <w:multiLevelType w:val="hybridMultilevel"/>
    <w:tmpl w:val="6CAEB60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2A77619"/>
    <w:multiLevelType w:val="hybridMultilevel"/>
    <w:tmpl w:val="EB6AE9E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94D0338"/>
    <w:multiLevelType w:val="hybridMultilevel"/>
    <w:tmpl w:val="6340FD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B270C3B"/>
    <w:multiLevelType w:val="hybridMultilevel"/>
    <w:tmpl w:val="ABAA43E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Wingdings" w:hAnsi="Wingding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F130DFD"/>
    <w:multiLevelType w:val="hybridMultilevel"/>
    <w:tmpl w:val="9502E30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FEB4E6B"/>
    <w:multiLevelType w:val="hybridMultilevel"/>
    <w:tmpl w:val="6C0C9B82"/>
    <w:lvl w:ilvl="0">
      <w:start w:val="1"/>
      <w:numFmt w:val="bullet"/>
      <w:pStyle w:val="PICO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7E6405"/>
    <w:multiLevelType w:val="hybridMultilevel"/>
    <w:tmpl w:val="8DEC3BC8"/>
    <w:lvl w:ilvl="0">
      <w:start w:val="1"/>
      <w:numFmt w:val="bullet"/>
      <w:pStyle w:val="textbullets4"/>
      <w:lvlText w:val="-"/>
      <w:lvlJc w:val="left"/>
      <w:pPr>
        <w:ind w:left="2160" w:hanging="360"/>
      </w:pPr>
      <w:rPr>
        <w:rFonts w:ascii="Courier New" w:hAnsi="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3FA7D38"/>
    <w:multiLevelType w:val="hybridMultilevel"/>
    <w:tmpl w:val="5C6E5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9715D9"/>
    <w:multiLevelType w:val="hybridMultilevel"/>
    <w:tmpl w:val="97B8D4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A6B3D2D"/>
    <w:multiLevelType w:val="hybridMultilevel"/>
    <w:tmpl w:val="3B8489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13"/>
  </w:num>
  <w:num w:numId="4">
    <w:abstractNumId w:val="15"/>
  </w:num>
  <w:num w:numId="5">
    <w:abstractNumId w:val="10"/>
  </w:num>
  <w:num w:numId="6">
    <w:abstractNumId w:val="25"/>
  </w:num>
  <w:num w:numId="7">
    <w:abstractNumId w:val="19"/>
  </w:num>
  <w:num w:numId="8">
    <w:abstractNumId w:val="2"/>
  </w:num>
  <w:num w:numId="9">
    <w:abstractNumId w:val="22"/>
  </w:num>
  <w:num w:numId="10">
    <w:abstractNumId w:val="6"/>
  </w:num>
  <w:num w:numId="11">
    <w:abstractNumId w:val="3"/>
  </w:num>
  <w:num w:numId="12">
    <w:abstractNumId w:val="16"/>
  </w:num>
  <w:num w:numId="13">
    <w:abstractNumId w:val="18"/>
  </w:num>
  <w:num w:numId="14">
    <w:abstractNumId w:val="5"/>
  </w:num>
  <w:num w:numId="15">
    <w:abstractNumId w:val="33"/>
  </w:num>
  <w:num w:numId="16">
    <w:abstractNumId w:val="31"/>
  </w:num>
  <w:num w:numId="17">
    <w:abstractNumId w:val="24"/>
  </w:num>
  <w:num w:numId="18">
    <w:abstractNumId w:val="9"/>
  </w:num>
  <w:num w:numId="19">
    <w:abstractNumId w:val="28"/>
  </w:num>
  <w:num w:numId="20">
    <w:abstractNumId w:val="14"/>
  </w:num>
  <w:num w:numId="21">
    <w:abstractNumId w:val="11"/>
  </w:num>
  <w:num w:numId="22">
    <w:abstractNumId w:val="1"/>
  </w:num>
  <w:num w:numId="23">
    <w:abstractNumId w:val="27"/>
  </w:num>
  <w:num w:numId="24">
    <w:abstractNumId w:val="7"/>
  </w:num>
  <w:num w:numId="25">
    <w:abstractNumId w:val="0"/>
  </w:num>
  <w:num w:numId="26">
    <w:abstractNumId w:val="12"/>
  </w:num>
  <w:num w:numId="27">
    <w:abstractNumId w:val="23"/>
  </w:num>
  <w:num w:numId="28">
    <w:abstractNumId w:val="20"/>
  </w:num>
  <w:num w:numId="29">
    <w:abstractNumId w:val="8"/>
  </w:num>
  <w:num w:numId="30">
    <w:abstractNumId w:val="26"/>
  </w:num>
  <w:num w:numId="31">
    <w:abstractNumId w:val="17"/>
  </w:num>
  <w:num w:numId="32">
    <w:abstractNumId w:val="21"/>
  </w:num>
  <w:num w:numId="33">
    <w:abstractNumId w:val="29"/>
  </w:num>
  <w:num w:numId="3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hang, Christine (AHRQ/CEPI)">
    <w15:presenceInfo w15:providerId="AD" w15:userId="S::Christine.Chang@AHRQ.hhs.gov::478da5f8-2200-4ba6-b415-ee0584e45b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08"/>
    <w:rsid w:val="00025CC6"/>
    <w:rsid w:val="000409B1"/>
    <w:rsid w:val="000E4D51"/>
    <w:rsid w:val="001324CA"/>
    <w:rsid w:val="00152F31"/>
    <w:rsid w:val="001C24F6"/>
    <w:rsid w:val="001D0454"/>
    <w:rsid w:val="001F2C94"/>
    <w:rsid w:val="0021580D"/>
    <w:rsid w:val="002629D2"/>
    <w:rsid w:val="00271639"/>
    <w:rsid w:val="00274816"/>
    <w:rsid w:val="0027633D"/>
    <w:rsid w:val="002A543A"/>
    <w:rsid w:val="002C4577"/>
    <w:rsid w:val="002F7B9D"/>
    <w:rsid w:val="00302132"/>
    <w:rsid w:val="0033062E"/>
    <w:rsid w:val="00373DA8"/>
    <w:rsid w:val="0037549D"/>
    <w:rsid w:val="00375686"/>
    <w:rsid w:val="003D0097"/>
    <w:rsid w:val="003D38D5"/>
    <w:rsid w:val="0042198D"/>
    <w:rsid w:val="00422F85"/>
    <w:rsid w:val="00456179"/>
    <w:rsid w:val="004A115D"/>
    <w:rsid w:val="004A5250"/>
    <w:rsid w:val="004B53C2"/>
    <w:rsid w:val="004C12DD"/>
    <w:rsid w:val="004D2F50"/>
    <w:rsid w:val="004D7808"/>
    <w:rsid w:val="00501DC2"/>
    <w:rsid w:val="00524BBF"/>
    <w:rsid w:val="005256F2"/>
    <w:rsid w:val="0055118C"/>
    <w:rsid w:val="005629DD"/>
    <w:rsid w:val="00583D2F"/>
    <w:rsid w:val="00595126"/>
    <w:rsid w:val="005C733B"/>
    <w:rsid w:val="005D71A7"/>
    <w:rsid w:val="0060535B"/>
    <w:rsid w:val="00612D93"/>
    <w:rsid w:val="00623323"/>
    <w:rsid w:val="0065186E"/>
    <w:rsid w:val="0065350F"/>
    <w:rsid w:val="00671A60"/>
    <w:rsid w:val="00674561"/>
    <w:rsid w:val="00677A0B"/>
    <w:rsid w:val="00683248"/>
    <w:rsid w:val="00696647"/>
    <w:rsid w:val="006A4C5B"/>
    <w:rsid w:val="006A556E"/>
    <w:rsid w:val="006C03CA"/>
    <w:rsid w:val="006C557E"/>
    <w:rsid w:val="006C7880"/>
    <w:rsid w:val="006C78C4"/>
    <w:rsid w:val="0070462C"/>
    <w:rsid w:val="007110A8"/>
    <w:rsid w:val="007746BC"/>
    <w:rsid w:val="00780273"/>
    <w:rsid w:val="007C4172"/>
    <w:rsid w:val="007F3E88"/>
    <w:rsid w:val="00824360"/>
    <w:rsid w:val="00827B96"/>
    <w:rsid w:val="00850D5B"/>
    <w:rsid w:val="00897796"/>
    <w:rsid w:val="008A11E4"/>
    <w:rsid w:val="008A4F0F"/>
    <w:rsid w:val="008C4FD7"/>
    <w:rsid w:val="008E2DC7"/>
    <w:rsid w:val="008F3CCD"/>
    <w:rsid w:val="00905FDB"/>
    <w:rsid w:val="009473EB"/>
    <w:rsid w:val="00966FDC"/>
    <w:rsid w:val="009A68F4"/>
    <w:rsid w:val="009D01C9"/>
    <w:rsid w:val="009D14BA"/>
    <w:rsid w:val="009D54E1"/>
    <w:rsid w:val="009E6E52"/>
    <w:rsid w:val="00A623E4"/>
    <w:rsid w:val="00A65C7C"/>
    <w:rsid w:val="00A677BE"/>
    <w:rsid w:val="00A80E68"/>
    <w:rsid w:val="00AA64DB"/>
    <w:rsid w:val="00B033F7"/>
    <w:rsid w:val="00B05431"/>
    <w:rsid w:val="00B23005"/>
    <w:rsid w:val="00B25223"/>
    <w:rsid w:val="00B41289"/>
    <w:rsid w:val="00B825D5"/>
    <w:rsid w:val="00BB21CF"/>
    <w:rsid w:val="00BD5DFC"/>
    <w:rsid w:val="00C26019"/>
    <w:rsid w:val="00CB59EB"/>
    <w:rsid w:val="00CC52D0"/>
    <w:rsid w:val="00D24F6B"/>
    <w:rsid w:val="00D66F91"/>
    <w:rsid w:val="00D67E55"/>
    <w:rsid w:val="00DA2FEA"/>
    <w:rsid w:val="00DB3C6E"/>
    <w:rsid w:val="00DD445E"/>
    <w:rsid w:val="00DF04D9"/>
    <w:rsid w:val="00E1486D"/>
    <w:rsid w:val="00E16C6C"/>
    <w:rsid w:val="00E30D16"/>
    <w:rsid w:val="00E61808"/>
    <w:rsid w:val="00E61B4C"/>
    <w:rsid w:val="00E952A1"/>
    <w:rsid w:val="00E964C2"/>
    <w:rsid w:val="00F07A06"/>
    <w:rsid w:val="00F32A10"/>
    <w:rsid w:val="00F449D0"/>
    <w:rsid w:val="00F64294"/>
    <w:rsid w:val="00F668E9"/>
    <w:rsid w:val="00F74DE2"/>
    <w:rsid w:val="00F82AC3"/>
    <w:rsid w:val="00F83477"/>
    <w:rsid w:val="00F849C4"/>
    <w:rsid w:val="00F86897"/>
    <w:rsid w:val="00F95EE2"/>
    <w:rsid w:val="00FA7E1C"/>
    <w:rsid w:val="00FB6129"/>
    <w:rsid w:val="00FC3B1B"/>
    <w:rsid w:val="00FD762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776F28"/>
  <w15:docId w15:val="{5C15DD20-FB4D-4C3B-A96B-61B11395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80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C12DD"/>
    <w:pPr>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D7808"/>
    <w:pPr>
      <w:ind w:left="240"/>
    </w:pPr>
  </w:style>
  <w:style w:type="character" w:styleId="CommentReference">
    <w:name w:val="annotation reference"/>
    <w:semiHidden/>
    <w:rsid w:val="004D7808"/>
    <w:rPr>
      <w:sz w:val="16"/>
      <w:szCs w:val="16"/>
    </w:rPr>
  </w:style>
  <w:style w:type="paragraph" w:styleId="CommentText">
    <w:name w:val="annotation text"/>
    <w:basedOn w:val="Normal"/>
    <w:link w:val="CommentTextChar"/>
    <w:uiPriority w:val="99"/>
    <w:semiHidden/>
    <w:rsid w:val="004D7808"/>
    <w:rPr>
      <w:sz w:val="20"/>
      <w:szCs w:val="20"/>
    </w:rPr>
  </w:style>
  <w:style w:type="character" w:customStyle="1" w:styleId="CommentTextChar">
    <w:name w:val="Comment Text Char"/>
    <w:basedOn w:val="DefaultParagraphFont"/>
    <w:link w:val="CommentText"/>
    <w:uiPriority w:val="99"/>
    <w:semiHidden/>
    <w:rsid w:val="004D780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7808"/>
    <w:rPr>
      <w:rFonts w:ascii="Tahoma" w:hAnsi="Tahoma" w:cs="Tahoma"/>
      <w:sz w:val="16"/>
      <w:szCs w:val="16"/>
    </w:rPr>
  </w:style>
  <w:style w:type="character" w:customStyle="1" w:styleId="BalloonTextChar">
    <w:name w:val="Balloon Text Char"/>
    <w:basedOn w:val="DefaultParagraphFont"/>
    <w:link w:val="BalloonText"/>
    <w:uiPriority w:val="99"/>
    <w:semiHidden/>
    <w:rsid w:val="004D7808"/>
    <w:rPr>
      <w:rFonts w:ascii="Tahoma" w:eastAsia="Times New Roman" w:hAnsi="Tahoma" w:cs="Tahoma"/>
      <w:sz w:val="16"/>
      <w:szCs w:val="16"/>
    </w:rPr>
  </w:style>
  <w:style w:type="paragraph" w:styleId="ListParagraph">
    <w:name w:val="List Paragraph"/>
    <w:basedOn w:val="Normal"/>
    <w:uiPriority w:val="34"/>
    <w:qFormat/>
    <w:rsid w:val="001F2C94"/>
    <w:pPr>
      <w:ind w:left="720"/>
      <w:contextualSpacing/>
    </w:pPr>
  </w:style>
  <w:style w:type="table" w:styleId="TableGrid">
    <w:name w:val="Table Grid"/>
    <w:basedOn w:val="TableNormal"/>
    <w:uiPriority w:val="59"/>
    <w:rsid w:val="005D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38D5"/>
    <w:pPr>
      <w:spacing w:after="200"/>
    </w:pPr>
    <w:rPr>
      <w:b/>
      <w:bCs/>
      <w:color w:val="4F81BD" w:themeColor="accent1"/>
      <w:sz w:val="18"/>
      <w:szCs w:val="18"/>
    </w:rPr>
  </w:style>
  <w:style w:type="character" w:customStyle="1" w:styleId="phone">
    <w:name w:val="phone"/>
    <w:basedOn w:val="DefaultParagraphFont"/>
    <w:rsid w:val="00674561"/>
  </w:style>
  <w:style w:type="paragraph" w:styleId="CommentSubject">
    <w:name w:val="annotation subject"/>
    <w:basedOn w:val="CommentText"/>
    <w:next w:val="CommentText"/>
    <w:link w:val="CommentSubjectChar"/>
    <w:uiPriority w:val="99"/>
    <w:semiHidden/>
    <w:unhideWhenUsed/>
    <w:rsid w:val="0065350F"/>
    <w:rPr>
      <w:b/>
      <w:bCs/>
    </w:rPr>
  </w:style>
  <w:style w:type="character" w:customStyle="1" w:styleId="CommentSubjectChar">
    <w:name w:val="Comment Subject Char"/>
    <w:basedOn w:val="CommentTextChar"/>
    <w:link w:val="CommentSubject"/>
    <w:uiPriority w:val="99"/>
    <w:semiHidden/>
    <w:rsid w:val="0065350F"/>
    <w:rPr>
      <w:rFonts w:ascii="Times New Roman" w:eastAsia="Times New Roman" w:hAnsi="Times New Roman" w:cs="Times New Roman"/>
      <w:b/>
      <w:bCs/>
      <w:sz w:val="20"/>
      <w:szCs w:val="20"/>
    </w:rPr>
  </w:style>
  <w:style w:type="paragraph" w:styleId="Header">
    <w:name w:val="header"/>
    <w:basedOn w:val="Normal"/>
    <w:link w:val="HeaderChar"/>
    <w:unhideWhenUsed/>
    <w:rsid w:val="00FA7E1C"/>
    <w:pPr>
      <w:tabs>
        <w:tab w:val="center" w:pos="4680"/>
        <w:tab w:val="right" w:pos="9360"/>
      </w:tabs>
    </w:pPr>
  </w:style>
  <w:style w:type="character" w:customStyle="1" w:styleId="HeaderChar">
    <w:name w:val="Header Char"/>
    <w:basedOn w:val="DefaultParagraphFont"/>
    <w:link w:val="Header"/>
    <w:rsid w:val="00FA7E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7E1C"/>
    <w:pPr>
      <w:tabs>
        <w:tab w:val="center" w:pos="4680"/>
        <w:tab w:val="right" w:pos="9360"/>
      </w:tabs>
    </w:pPr>
  </w:style>
  <w:style w:type="character" w:customStyle="1" w:styleId="FooterChar">
    <w:name w:val="Footer Char"/>
    <w:basedOn w:val="DefaultParagraphFont"/>
    <w:link w:val="Footer"/>
    <w:uiPriority w:val="99"/>
    <w:rsid w:val="00FA7E1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C12DD"/>
    <w:rPr>
      <w:rFonts w:ascii="Times New Roman" w:hAnsi="Times New Roman" w:cs="Times New Roman"/>
      <w:b/>
      <w:bCs/>
      <w:kern w:val="36"/>
      <w:sz w:val="48"/>
      <w:szCs w:val="48"/>
    </w:rPr>
  </w:style>
  <w:style w:type="character" w:styleId="Hyperlink">
    <w:name w:val="Hyperlink"/>
    <w:basedOn w:val="DefaultParagraphFont"/>
    <w:uiPriority w:val="99"/>
    <w:unhideWhenUsed/>
    <w:rsid w:val="004C12DD"/>
    <w:rPr>
      <w:color w:val="0000FF"/>
      <w:u w:val="single"/>
    </w:rPr>
  </w:style>
  <w:style w:type="paragraph" w:styleId="NormalWeb">
    <w:name w:val="Normal (Web)"/>
    <w:basedOn w:val="Normal"/>
    <w:uiPriority w:val="99"/>
    <w:semiHidden/>
    <w:unhideWhenUsed/>
    <w:rsid w:val="004C12DD"/>
    <w:pPr>
      <w:spacing w:before="100" w:beforeAutospacing="1" w:after="100" w:afterAutospacing="1"/>
    </w:pPr>
    <w:rPr>
      <w:rFonts w:eastAsiaTheme="minorHAnsi"/>
    </w:rPr>
  </w:style>
  <w:style w:type="character" w:styleId="Strong">
    <w:name w:val="Strong"/>
    <w:basedOn w:val="DefaultParagraphFont"/>
    <w:uiPriority w:val="22"/>
    <w:qFormat/>
    <w:rsid w:val="004C12DD"/>
    <w:rPr>
      <w:b/>
      <w:bCs/>
    </w:rPr>
  </w:style>
  <w:style w:type="character" w:styleId="Emphasis">
    <w:name w:val="Emphasis"/>
    <w:basedOn w:val="DefaultParagraphFont"/>
    <w:uiPriority w:val="20"/>
    <w:qFormat/>
    <w:rsid w:val="004C12DD"/>
    <w:rPr>
      <w:i/>
      <w:iCs/>
    </w:rPr>
  </w:style>
  <w:style w:type="paragraph" w:customStyle="1" w:styleId="Level3Heading">
    <w:name w:val="Level3Heading"/>
    <w:qFormat/>
    <w:rsid w:val="006A556E"/>
    <w:pPr>
      <w:keepNext/>
      <w:spacing w:before="240" w:after="0" w:line="240" w:lineRule="auto"/>
      <w:outlineLvl w:val="3"/>
    </w:pPr>
    <w:rPr>
      <w:rFonts w:ascii="Arial" w:eastAsia="Times New Roman" w:hAnsi="Arial" w:cs="Times New Roman"/>
      <w:b/>
      <w:bCs/>
      <w:sz w:val="28"/>
      <w:szCs w:val="24"/>
    </w:rPr>
  </w:style>
  <w:style w:type="character" w:customStyle="1" w:styleId="defanged44-colour">
    <w:name w:val="defanged44-colour"/>
    <w:basedOn w:val="DefaultParagraphFont"/>
    <w:rsid w:val="006A556E"/>
  </w:style>
  <w:style w:type="paragraph" w:styleId="FootnoteText">
    <w:name w:val="footnote text"/>
    <w:basedOn w:val="Normal"/>
    <w:link w:val="FootnoteTextChar"/>
    <w:semiHidden/>
    <w:unhideWhenUsed/>
    <w:rsid w:val="006A556E"/>
    <w:rPr>
      <w:rFonts w:ascii="Arial" w:eastAsia="ヒラギノ角ゴ Pro W3" w:hAnsi="Arial"/>
      <w:color w:val="000000"/>
      <w:sz w:val="20"/>
      <w:szCs w:val="20"/>
    </w:rPr>
  </w:style>
  <w:style w:type="character" w:customStyle="1" w:styleId="FootnoteTextChar">
    <w:name w:val="Footnote Text Char"/>
    <w:basedOn w:val="DefaultParagraphFont"/>
    <w:link w:val="FootnoteText"/>
    <w:semiHidden/>
    <w:rsid w:val="006A556E"/>
    <w:rPr>
      <w:rFonts w:ascii="Arial" w:eastAsia="ヒラギノ角ゴ Pro W3" w:hAnsi="Arial" w:cs="Times New Roman"/>
      <w:color w:val="000000"/>
      <w:sz w:val="20"/>
      <w:szCs w:val="20"/>
    </w:rPr>
  </w:style>
  <w:style w:type="character" w:styleId="FootnoteReference">
    <w:name w:val="footnote reference"/>
    <w:basedOn w:val="DefaultParagraphFont"/>
    <w:semiHidden/>
    <w:unhideWhenUsed/>
    <w:rsid w:val="006A556E"/>
    <w:rPr>
      <w:vertAlign w:val="superscript"/>
    </w:rPr>
  </w:style>
  <w:style w:type="paragraph" w:customStyle="1" w:styleId="WP9Heading5">
    <w:name w:val="WP9_Heading 5"/>
    <w:basedOn w:val="Normal"/>
    <w:rsid w:val="006A556E"/>
    <w:pPr>
      <w:widowControl w:val="0"/>
      <w:jc w:val="center"/>
    </w:pPr>
    <w:rPr>
      <w:b/>
      <w:sz w:val="36"/>
      <w:szCs w:val="20"/>
    </w:rPr>
  </w:style>
  <w:style w:type="paragraph" w:styleId="BodyText">
    <w:name w:val="Body Text"/>
    <w:basedOn w:val="Normal"/>
    <w:link w:val="BodyTextChar"/>
    <w:semiHidden/>
    <w:unhideWhenUsed/>
    <w:rsid w:val="006A556E"/>
    <w:rPr>
      <w:rFonts w:ascii="Palatino" w:eastAsia="Times" w:hAnsi="Palatino"/>
      <w:color w:val="000000"/>
      <w:szCs w:val="20"/>
    </w:rPr>
  </w:style>
  <w:style w:type="character" w:customStyle="1" w:styleId="BodyTextChar">
    <w:name w:val="Body Text Char"/>
    <w:basedOn w:val="DefaultParagraphFont"/>
    <w:link w:val="BodyText"/>
    <w:semiHidden/>
    <w:rsid w:val="006A556E"/>
    <w:rPr>
      <w:rFonts w:ascii="Palatino" w:eastAsia="Times" w:hAnsi="Palatino" w:cs="Times New Roman"/>
      <w:color w:val="000000"/>
      <w:sz w:val="24"/>
      <w:szCs w:val="20"/>
    </w:rPr>
  </w:style>
  <w:style w:type="paragraph" w:styleId="BodyTextIndent3">
    <w:name w:val="Body Text Indent 3"/>
    <w:basedOn w:val="Normal"/>
    <w:link w:val="BodyTextIndent3Char"/>
    <w:unhideWhenUsed/>
    <w:rsid w:val="006A556E"/>
    <w:pPr>
      <w:spacing w:after="120"/>
      <w:ind w:left="360"/>
    </w:pPr>
    <w:rPr>
      <w:sz w:val="16"/>
      <w:szCs w:val="16"/>
    </w:rPr>
  </w:style>
  <w:style w:type="character" w:customStyle="1" w:styleId="BodyTextIndent3Char">
    <w:name w:val="Body Text Indent 3 Char"/>
    <w:basedOn w:val="DefaultParagraphFont"/>
    <w:link w:val="BodyTextIndent3"/>
    <w:rsid w:val="006A556E"/>
    <w:rPr>
      <w:rFonts w:ascii="Times New Roman" w:eastAsia="Times New Roman" w:hAnsi="Times New Roman" w:cs="Times New Roman"/>
      <w:sz w:val="16"/>
      <w:szCs w:val="16"/>
    </w:rPr>
  </w:style>
  <w:style w:type="paragraph" w:customStyle="1" w:styleId="Default">
    <w:name w:val="Default"/>
    <w:rsid w:val="006A556E"/>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E16C6C"/>
    <w:pPr>
      <w:spacing w:after="100"/>
    </w:pPr>
  </w:style>
  <w:style w:type="paragraph" w:styleId="TOCHeading">
    <w:name w:val="TOC Heading"/>
    <w:basedOn w:val="Heading1"/>
    <w:next w:val="Normal"/>
    <w:uiPriority w:val="39"/>
    <w:unhideWhenUsed/>
    <w:qFormat/>
    <w:rsid w:val="00E16C6C"/>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3">
    <w:name w:val="toc 3"/>
    <w:basedOn w:val="Normal"/>
    <w:next w:val="Normal"/>
    <w:autoRedefine/>
    <w:uiPriority w:val="39"/>
    <w:unhideWhenUsed/>
    <w:rsid w:val="00E16C6C"/>
    <w:pPr>
      <w:spacing w:after="100"/>
      <w:ind w:left="480"/>
    </w:pPr>
  </w:style>
  <w:style w:type="paragraph" w:styleId="TOC4">
    <w:name w:val="toc 4"/>
    <w:basedOn w:val="Normal"/>
    <w:next w:val="Normal"/>
    <w:autoRedefine/>
    <w:uiPriority w:val="39"/>
    <w:unhideWhenUsed/>
    <w:rsid w:val="00E16C6C"/>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16C6C"/>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16C6C"/>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16C6C"/>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16C6C"/>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16C6C"/>
    <w:pPr>
      <w:spacing w:after="100" w:line="259" w:lineRule="auto"/>
      <w:ind w:left="1760"/>
    </w:pPr>
    <w:rPr>
      <w:rFonts w:asciiTheme="minorHAnsi" w:eastAsiaTheme="minorEastAsia" w:hAnsiTheme="minorHAnsi" w:cstheme="minorBidi"/>
      <w:sz w:val="22"/>
      <w:szCs w:val="22"/>
    </w:rPr>
  </w:style>
  <w:style w:type="paragraph" w:customStyle="1" w:styleId="HeadingI">
    <w:name w:val="Heading I"/>
    <w:rsid w:val="007110A8"/>
    <w:pPr>
      <w:keepNext/>
      <w:keepLines/>
      <w:widowControl w:val="0"/>
      <w:tabs>
        <w:tab w:val="left" w:pos="450"/>
      </w:tabs>
      <w:spacing w:before="240" w:after="0" w:line="240" w:lineRule="auto"/>
      <w:ind w:left="446" w:hanging="446"/>
      <w:outlineLvl w:val="0"/>
    </w:pPr>
    <w:rPr>
      <w:rFonts w:ascii="Times New Roman Bold" w:eastAsia="ヒラギノ角ゴ Pro W3" w:hAnsi="Times New Roman Bold" w:cs="Times New Roman"/>
      <w:b/>
      <w:color w:val="000000"/>
      <w:sz w:val="24"/>
      <w:szCs w:val="20"/>
    </w:rPr>
  </w:style>
  <w:style w:type="paragraph" w:customStyle="1" w:styleId="textbullets2">
    <w:name w:val="text bullets 2"/>
    <w:basedOn w:val="indentedbullets"/>
    <w:rsid w:val="007110A8"/>
    <w:pPr>
      <w:numPr>
        <w:ilvl w:val="1"/>
      </w:numPr>
      <w:tabs>
        <w:tab w:val="clear" w:pos="1800"/>
      </w:tabs>
      <w:spacing w:before="0" w:line="276" w:lineRule="auto"/>
      <w:ind w:left="1080"/>
    </w:pPr>
    <w:rPr>
      <w:rFonts w:ascii="Times New Roman" w:hAnsi="Times New Roman" w:cs="Times New Roman"/>
      <w:sz w:val="24"/>
      <w:szCs w:val="24"/>
    </w:rPr>
  </w:style>
  <w:style w:type="paragraph" w:customStyle="1" w:styleId="text-bullets3">
    <w:name w:val="text - bullets 3"/>
    <w:basedOn w:val="indentedbullets"/>
    <w:rsid w:val="007110A8"/>
    <w:pPr>
      <w:numPr>
        <w:ilvl w:val="2"/>
      </w:numPr>
      <w:tabs>
        <w:tab w:val="clear" w:pos="2520"/>
      </w:tabs>
      <w:spacing w:before="0" w:line="276" w:lineRule="auto"/>
      <w:ind w:left="1440"/>
    </w:pPr>
    <w:rPr>
      <w:rFonts w:ascii="Times New Roman" w:hAnsi="Times New Roman" w:cs="Times New Roman"/>
      <w:sz w:val="24"/>
      <w:szCs w:val="24"/>
    </w:rPr>
  </w:style>
  <w:style w:type="paragraph" w:customStyle="1" w:styleId="KQstem">
    <w:name w:val="KQ stem"/>
    <w:basedOn w:val="Normal"/>
    <w:link w:val="KQstemChar"/>
    <w:rsid w:val="007110A8"/>
    <w:pPr>
      <w:shd w:val="clear" w:color="auto" w:fill="FFFFFF"/>
      <w:spacing w:after="120"/>
      <w:ind w:left="360" w:hanging="360"/>
    </w:pPr>
  </w:style>
  <w:style w:type="character" w:customStyle="1" w:styleId="KQstemChar">
    <w:name w:val="KQ stem Char"/>
    <w:basedOn w:val="DefaultParagraphFont"/>
    <w:link w:val="KQstem"/>
    <w:rsid w:val="007110A8"/>
    <w:rPr>
      <w:rFonts w:ascii="Times New Roman" w:eastAsia="Times New Roman" w:hAnsi="Times New Roman" w:cs="Times New Roman"/>
      <w:sz w:val="24"/>
      <w:szCs w:val="24"/>
      <w:shd w:val="clear" w:color="auto" w:fill="FFFFFF"/>
    </w:rPr>
  </w:style>
  <w:style w:type="paragraph" w:customStyle="1" w:styleId="indentedbullets">
    <w:name w:val="indented bullets"/>
    <w:basedOn w:val="Normal"/>
    <w:rsid w:val="007110A8"/>
    <w:pPr>
      <w:numPr>
        <w:numId w:val="32"/>
      </w:numPr>
      <w:shd w:val="clear" w:color="auto" w:fill="FFFFFF"/>
      <w:spacing w:before="60"/>
    </w:pPr>
    <w:rPr>
      <w:rFonts w:ascii="Arial" w:hAnsi="Arial" w:cs="Arial"/>
      <w:sz w:val="19"/>
      <w:szCs w:val="19"/>
    </w:rPr>
  </w:style>
  <w:style w:type="paragraph" w:customStyle="1" w:styleId="PICOTBullet">
    <w:name w:val="PICOT Bullet"/>
    <w:basedOn w:val="Normal"/>
    <w:qFormat/>
    <w:rsid w:val="007110A8"/>
    <w:pPr>
      <w:keepNext/>
      <w:numPr>
        <w:numId w:val="33"/>
      </w:numPr>
      <w:spacing w:before="120"/>
      <w:ind w:left="360"/>
    </w:pPr>
    <w:rPr>
      <w:rFonts w:eastAsia="ヒラギノ角ゴ Pro W3"/>
      <w:b/>
      <w:color w:val="000000"/>
    </w:rPr>
  </w:style>
  <w:style w:type="paragraph" w:customStyle="1" w:styleId="textbullets4">
    <w:name w:val="text bullets 4"/>
    <w:basedOn w:val="Normal"/>
    <w:qFormat/>
    <w:rsid w:val="007110A8"/>
    <w:pPr>
      <w:numPr>
        <w:numId w:val="34"/>
      </w:numPr>
      <w:shd w:val="clear" w:color="auto" w:fill="FFFFFF"/>
      <w:spacing w:line="276" w:lineRule="auto"/>
      <w:ind w:left="1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emf" /><Relationship Id="rId6" Type="http://schemas.openxmlformats.org/officeDocument/2006/relationships/hyperlink" Target="https://gcc02.safelinks.protection.outlook.com/?url=https%3A%2F%2Feffectivehealthcare.ahrq.gov%2Fproducts%2Falcohol-misuse-drug-therapy%2Fprotocol&amp;data=04%7C01%7CJenae.Benns%40ahrq.hhs.gov%7Ce2b90e346d2a4cddbd6c08da1c8a3a24%7Cd58addea50534a808499ba4d944910df%7C0%7C0%7C637853677242934696%7CUnknown%7CTWFpbGZsb3d8eyJWIjoiMC4wLjAwMDAiLCJQIjoiV2luMzIiLCJBTiI6Ik1haWwiLCJXVCI6Mn0%3D%7C3000&amp;sdata=FtIFTMY70%2FAMWCTuiOC1%2BqjNKnfIHEhkhDpHE67rZHQ%3D&amp;reserved=0" TargetMode="External" /><Relationship Id="rId7" Type="http://schemas.openxmlformats.org/officeDocument/2006/relationships/hyperlink" Target="https://www.effectivehealthcare.ahrq.gov/email-updates"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1910</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Ryan T (Portland)</dc:creator>
  <cp:lastModifiedBy>Chang, Christine (AHRQ/CEPI)</cp:lastModifiedBy>
  <cp:revision>7</cp:revision>
  <dcterms:created xsi:type="dcterms:W3CDTF">2022-06-28T15:42:00Z</dcterms:created>
  <dcterms:modified xsi:type="dcterms:W3CDTF">2022-06-29T17:25:00Z</dcterms:modified>
</cp:coreProperties>
</file>