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97007" w:rsidRPr="00C75FAE" w:rsidP="00E97007" w14:paraId="360D329D" w14:textId="782CB455">
      <w:pPr>
        <w:jc w:val="center"/>
        <w:rPr>
          <w:rFonts w:ascii="Times New Roman" w:hAnsi="Times New Roman" w:cs="Times New Roman"/>
          <w:b/>
        </w:rPr>
      </w:pPr>
      <w:r>
        <w:rPr>
          <w:rFonts w:ascii="Times New Roman" w:hAnsi="Times New Roman"/>
          <w:b/>
        </w:rPr>
        <w:t>Justification for Non-Substantive Changes for</w:t>
      </w:r>
      <w:r w:rsidRPr="00C75FAE">
        <w:rPr>
          <w:rFonts w:ascii="Times New Roman" w:hAnsi="Times New Roman" w:cs="Times New Roman"/>
          <w:b/>
        </w:rPr>
        <w:t xml:space="preserve"> Form SSA-721</w:t>
      </w:r>
    </w:p>
    <w:p w:rsidR="00E97007" w:rsidP="00E97007" w14:paraId="4862588B" w14:textId="58478B98">
      <w:pPr>
        <w:jc w:val="center"/>
        <w:rPr>
          <w:rFonts w:ascii="Times New Roman" w:hAnsi="Times New Roman" w:cs="Times New Roman"/>
          <w:b/>
        </w:rPr>
      </w:pPr>
      <w:r w:rsidRPr="00C75FAE">
        <w:rPr>
          <w:rFonts w:ascii="Times New Roman" w:hAnsi="Times New Roman" w:cs="Times New Roman"/>
          <w:b/>
        </w:rPr>
        <w:t>Statement of Death by Funeral Director</w:t>
      </w:r>
      <w:r>
        <w:rPr>
          <w:rFonts w:ascii="Times New Roman" w:hAnsi="Times New Roman" w:cs="Times New Roman"/>
          <w:b/>
        </w:rPr>
        <w:t xml:space="preserve"> </w:t>
      </w:r>
      <w:r w:rsidR="002728CA">
        <w:rPr>
          <w:rFonts w:ascii="Times New Roman" w:hAnsi="Times New Roman" w:cs="Times New Roman"/>
          <w:b/>
        </w:rPr>
        <w:t>, and State Death Match</w:t>
      </w:r>
    </w:p>
    <w:p w:rsidR="00E97007" w:rsidRPr="00C75FAE" w:rsidP="00E97007" w14:paraId="33166CFE" w14:textId="77777777">
      <w:pPr>
        <w:jc w:val="center"/>
        <w:rPr>
          <w:rFonts w:ascii="Times New Roman" w:hAnsi="Times New Roman" w:cs="Times New Roman"/>
          <w:b/>
        </w:rPr>
      </w:pPr>
      <w:r w:rsidRPr="00C75FAE">
        <w:rPr>
          <w:rFonts w:ascii="Times New Roman" w:hAnsi="Times New Roman" w:cs="Times New Roman"/>
          <w:b/>
        </w:rPr>
        <w:t>20 CFR 404.715 and 404.720</w:t>
      </w:r>
    </w:p>
    <w:p w:rsidR="00E97007" w:rsidP="00E97007" w14:paraId="7E602DAD" w14:textId="4AC54B25">
      <w:pPr>
        <w:jc w:val="center"/>
        <w:rPr>
          <w:rFonts w:ascii="Times New Roman" w:hAnsi="Times New Roman" w:cs="Times New Roman"/>
          <w:b/>
        </w:rPr>
      </w:pPr>
      <w:r w:rsidRPr="00C75FAE">
        <w:rPr>
          <w:rFonts w:ascii="Times New Roman" w:hAnsi="Times New Roman" w:cs="Times New Roman"/>
          <w:b/>
        </w:rPr>
        <w:t>OMB No. 0960-0142</w:t>
      </w:r>
    </w:p>
    <w:p w:rsidR="00E97007" w:rsidRPr="00C75FAE" w:rsidP="00E97007" w14:paraId="0DE0A9AE" w14:textId="77777777">
      <w:pPr>
        <w:rPr>
          <w:rFonts w:ascii="Times New Roman" w:hAnsi="Times New Roman" w:cs="Times New Roman"/>
          <w:b/>
        </w:rPr>
      </w:pPr>
    </w:p>
    <w:p w:rsidR="00F166C7" w:rsidP="00F166C7" w14:paraId="2A8379CC" w14:textId="77777777">
      <w:r>
        <w:rPr>
          <w:rFonts w:ascii="Times New Roman" w:hAnsi="Times New Roman"/>
          <w:b/>
          <w:snapToGrid w:val="0"/>
          <w:u w:val="single"/>
        </w:rPr>
        <w:t>Background</w:t>
      </w:r>
    </w:p>
    <w:p w:rsidR="003D1B57" w:rsidRPr="007B103E" w:rsidP="007B103E" w14:paraId="5475C88D" w14:textId="69DC3B21">
      <w:pPr>
        <w:rPr>
          <w:rFonts w:ascii="Times New Roman" w:hAnsi="Times New Roman" w:cs="Times New Roman"/>
        </w:rPr>
      </w:pPr>
      <w:r>
        <w:t>T</w:t>
      </w:r>
      <w:r w:rsidRPr="007B103E">
        <w:rPr>
          <w:rFonts w:ascii="Times New Roman" w:hAnsi="Times New Roman" w:cs="Times New Roman"/>
        </w:rPr>
        <w:t>he Social Security Administration (SSA) provide</w:t>
      </w:r>
      <w:r w:rsidRPr="007B103E">
        <w:rPr>
          <w:rFonts w:ascii="Times New Roman" w:hAnsi="Times New Roman" w:cs="Times New Roman"/>
        </w:rPr>
        <w:t>s</w:t>
      </w:r>
      <w:r w:rsidRPr="007B103E">
        <w:rPr>
          <w:rFonts w:ascii="Times New Roman" w:hAnsi="Times New Roman" w:cs="Times New Roman"/>
        </w:rPr>
        <w:t xml:space="preserve"> death benefit payments to the appropriate surviving family member when an SSA-insured worker dies.  Before making these payments, SSA must obtain evidence of the insured individual’s death</w:t>
      </w:r>
      <w:r w:rsidRPr="007B103E" w:rsidR="007B103E">
        <w:rPr>
          <w:rFonts w:ascii="Times New Roman" w:hAnsi="Times New Roman" w:cs="Times New Roman"/>
        </w:rPr>
        <w:t xml:space="preserve">.  </w:t>
      </w:r>
      <w:r w:rsidRPr="007B103E" w:rsidR="004531A9">
        <w:rPr>
          <w:rFonts w:ascii="Times New Roman" w:hAnsi="Times New Roman" w:cs="Times New Roman"/>
        </w:rPr>
        <w:t>As regulated, states must furnish death information to SSA to compare to SSA’s payment files</w:t>
      </w:r>
      <w:r w:rsidRPr="007B103E">
        <w:rPr>
          <w:rFonts w:ascii="Times New Roman" w:hAnsi="Times New Roman" w:cs="Times New Roman"/>
        </w:rPr>
        <w:t xml:space="preserve">. </w:t>
      </w:r>
      <w:r w:rsidRPr="007B103E" w:rsidR="004531A9">
        <w:rPr>
          <w:rFonts w:ascii="Times New Roman" w:hAnsi="Times New Roman" w:cs="Times New Roman"/>
        </w:rPr>
        <w:t xml:space="preserve">SSA uses the State Death Match </w:t>
      </w:r>
    </w:p>
    <w:p w:rsidR="004531A9" w:rsidRPr="007B103E" w:rsidP="007B103E" w14:paraId="2664D76F" w14:textId="59E5803F">
      <w:pPr>
        <w:rPr>
          <w:rFonts w:ascii="Times New Roman" w:hAnsi="Times New Roman" w:cs="Times New Roman"/>
        </w:rPr>
      </w:pPr>
      <w:r w:rsidRPr="007B103E">
        <w:rPr>
          <w:rFonts w:ascii="Times New Roman" w:hAnsi="Times New Roman" w:cs="Times New Roman"/>
        </w:rPr>
        <w:t xml:space="preserve">(0960-0700) </w:t>
      </w:r>
      <w:r w:rsidRPr="007B103E">
        <w:rPr>
          <w:rFonts w:ascii="Times New Roman" w:hAnsi="Times New Roman" w:cs="Times New Roman"/>
        </w:rPr>
        <w:t>collections to ensure the accuracy of payment files by detecting unreported or inaccurate deaths of beneficiaries.  The states furnish death certificate information to SSA via a “manual registration” process, or via the Electronic Death Registration Process (EDR).  Both death match processes are automated electronic transfers between the states and SSA.</w:t>
      </w:r>
      <w:r w:rsidRPr="007B103E" w:rsidR="00F166C7">
        <w:rPr>
          <w:rFonts w:ascii="Times New Roman" w:hAnsi="Times New Roman" w:cs="Times New Roman"/>
        </w:rPr>
        <w:t xml:space="preserve"> </w:t>
      </w:r>
    </w:p>
    <w:p w:rsidR="004531A9" w:rsidP="00F166C7" w14:paraId="55C87B8D" w14:textId="77777777">
      <w:pPr>
        <w:jc w:val="both"/>
        <w:rPr>
          <w:rFonts w:ascii="Times New Roman" w:hAnsi="Times New Roman" w:cs="Times New Roman"/>
          <w:iCs/>
        </w:rPr>
      </w:pPr>
    </w:p>
    <w:p w:rsidR="00E97007" w:rsidP="00B45E16" w14:paraId="17E1235D" w14:textId="5EBE9E1E">
      <w:pPr>
        <w:jc w:val="both"/>
        <w:rPr>
          <w:rFonts w:ascii="Times New Roman" w:hAnsi="Times New Roman" w:cs="Times New Roman"/>
          <w:iCs/>
        </w:rPr>
      </w:pPr>
      <w:r>
        <w:rPr>
          <w:rFonts w:ascii="Times New Roman" w:eastAsia="SimSun" w:hAnsi="Times New Roman"/>
        </w:rPr>
        <w:t xml:space="preserve">Form </w:t>
      </w:r>
      <w:r w:rsidR="00B45E16">
        <w:rPr>
          <w:rFonts w:ascii="Times New Roman" w:eastAsia="SimSun" w:hAnsi="Times New Roman"/>
        </w:rPr>
        <w:t xml:space="preserve">SSA-721, </w:t>
      </w:r>
      <w:r w:rsidRPr="0069361F" w:rsidR="00B45E16">
        <w:rPr>
          <w:rFonts w:ascii="Times New Roman" w:hAnsi="Times New Roman"/>
        </w:rPr>
        <w:t>Statement of Death by Funeral Director (</w:t>
      </w:r>
      <w:r w:rsidR="00B45E16">
        <w:rPr>
          <w:rFonts w:ascii="Times New Roman" w:hAnsi="Times New Roman"/>
        </w:rPr>
        <w:t>OMB Control No. 0960</w:t>
      </w:r>
      <w:r w:rsidR="00B45E16">
        <w:rPr>
          <w:rFonts w:ascii="Times New Roman" w:hAnsi="Times New Roman"/>
        </w:rPr>
        <w:noBreakHyphen/>
      </w:r>
      <w:r w:rsidRPr="0069361F" w:rsidR="00B45E16">
        <w:rPr>
          <w:rFonts w:ascii="Times New Roman" w:hAnsi="Times New Roman"/>
        </w:rPr>
        <w:t>0142)</w:t>
      </w:r>
      <w:r w:rsidR="00B45E16">
        <w:rPr>
          <w:rFonts w:ascii="Times New Roman" w:hAnsi="Times New Roman"/>
        </w:rPr>
        <w:t xml:space="preserve"> i</w:t>
      </w:r>
      <w:r w:rsidRPr="0069361F" w:rsidR="00B45E16">
        <w:rPr>
          <w:rFonts w:ascii="Times New Roman" w:eastAsia="SimSun" w:hAnsi="Times New Roman"/>
        </w:rPr>
        <w:t>s the manual</w:t>
      </w:r>
      <w:r w:rsidRPr="00035908" w:rsidR="00B45E16">
        <w:rPr>
          <w:rFonts w:ascii="Times New Roman" w:eastAsia="SimSun" w:hAnsi="Times New Roman"/>
        </w:rPr>
        <w:t xml:space="preserve"> registration process</w:t>
      </w:r>
      <w:r w:rsidR="00B45E16">
        <w:rPr>
          <w:rFonts w:ascii="Times New Roman" w:eastAsia="SimSun" w:hAnsi="Times New Roman"/>
        </w:rPr>
        <w:t xml:space="preserve"> that begins</w:t>
      </w:r>
      <w:r w:rsidRPr="00035908" w:rsidR="00B45E16">
        <w:rPr>
          <w:rFonts w:ascii="Times New Roman" w:eastAsia="SimSun" w:hAnsi="Times New Roman"/>
        </w:rPr>
        <w:t xml:space="preserve"> with the funeral director, charged by state law with completing the demographic information on the deceased, such as name</w:t>
      </w:r>
      <w:r w:rsidR="00B45E16">
        <w:rPr>
          <w:rFonts w:ascii="Times New Roman" w:eastAsia="SimSun" w:hAnsi="Times New Roman"/>
        </w:rPr>
        <w:t>;</w:t>
      </w:r>
      <w:r w:rsidRPr="00035908" w:rsidR="00B45E16">
        <w:rPr>
          <w:rFonts w:ascii="Times New Roman" w:eastAsia="SimSun" w:hAnsi="Times New Roman"/>
        </w:rPr>
        <w:t xml:space="preserve"> date of birth</w:t>
      </w:r>
      <w:r w:rsidR="00B45E16">
        <w:rPr>
          <w:rFonts w:ascii="Times New Roman" w:eastAsia="SimSun" w:hAnsi="Times New Roman"/>
        </w:rPr>
        <w:t>;</w:t>
      </w:r>
      <w:r w:rsidRPr="00035908" w:rsidR="00B45E16">
        <w:rPr>
          <w:rFonts w:ascii="Times New Roman" w:eastAsia="SimSun" w:hAnsi="Times New Roman"/>
        </w:rPr>
        <w:t xml:space="preserve"> Social Security number (SSN)</w:t>
      </w:r>
      <w:r w:rsidR="00B45E16">
        <w:rPr>
          <w:rFonts w:ascii="Times New Roman" w:eastAsia="SimSun" w:hAnsi="Times New Roman"/>
        </w:rPr>
        <w:t>;</w:t>
      </w:r>
      <w:r w:rsidRPr="00035908" w:rsidR="00B45E16">
        <w:rPr>
          <w:rFonts w:ascii="Times New Roman" w:eastAsia="SimSun" w:hAnsi="Times New Roman"/>
        </w:rPr>
        <w:t xml:space="preserve"> and sex code on the death certificate</w:t>
      </w:r>
      <w:r w:rsidR="00B45E16">
        <w:rPr>
          <w:rFonts w:ascii="Times New Roman" w:eastAsia="SimSun" w:hAnsi="Times New Roman"/>
        </w:rPr>
        <w:t xml:space="preserve">. </w:t>
      </w:r>
      <w:r>
        <w:rPr>
          <w:rFonts w:ascii="Times New Roman" w:eastAsia="SimSun" w:hAnsi="Times New Roman"/>
        </w:rPr>
        <w:t xml:space="preserve"> </w:t>
      </w:r>
      <w:r w:rsidRPr="00C75FAE" w:rsidR="00B45E16">
        <w:rPr>
          <w:rFonts w:ascii="Times New Roman" w:hAnsi="Times New Roman" w:cs="Times New Roman"/>
          <w:iCs/>
        </w:rPr>
        <w:t>SSA uses Form SSA-721, Statement of Death by Funeral Director, to obtain a funeral director’s confirmation of death for an SSA</w:t>
      </w:r>
      <w:r w:rsidR="003D1B57">
        <w:rPr>
          <w:rFonts w:ascii="Times New Roman" w:hAnsi="Times New Roman" w:cs="Times New Roman"/>
          <w:iCs/>
        </w:rPr>
        <w:t xml:space="preserve"> </w:t>
      </w:r>
      <w:r w:rsidRPr="00C75FAE" w:rsidR="00B45E16">
        <w:rPr>
          <w:rFonts w:ascii="Times New Roman" w:hAnsi="Times New Roman" w:cs="Times New Roman"/>
          <w:iCs/>
        </w:rPr>
        <w:t>covered individual.</w:t>
      </w:r>
      <w:r w:rsidR="00B45E16">
        <w:rPr>
          <w:rFonts w:ascii="Times New Roman" w:hAnsi="Times New Roman" w:cs="Times New Roman"/>
          <w:iCs/>
        </w:rPr>
        <w:t xml:space="preserve"> </w:t>
      </w:r>
      <w:r w:rsidRPr="00C75FAE" w:rsidR="00F166C7">
        <w:rPr>
          <w:rFonts w:ascii="Times New Roman" w:hAnsi="Times New Roman" w:cs="Times New Roman"/>
          <w:iCs/>
        </w:rPr>
        <w:t xml:space="preserve">SSA considers a funeral director’s statement to be a preferred type of such evidence (as per </w:t>
      </w:r>
      <w:r w:rsidRPr="00C75FAE" w:rsidR="00F166C7">
        <w:rPr>
          <w:rFonts w:ascii="Times New Roman" w:hAnsi="Times New Roman" w:cs="Times New Roman"/>
          <w:i/>
          <w:iCs/>
        </w:rPr>
        <w:t>20 CFR 404.720</w:t>
      </w:r>
      <w:r w:rsidRPr="00C75FAE" w:rsidR="00F166C7">
        <w:rPr>
          <w:rFonts w:ascii="Times New Roman" w:hAnsi="Times New Roman" w:cs="Times New Roman"/>
          <w:iCs/>
        </w:rPr>
        <w:t xml:space="preserve">).  </w:t>
      </w:r>
    </w:p>
    <w:p w:rsidR="00B45E16" w:rsidP="00B45E16" w14:paraId="356F1DA2" w14:textId="02D09983">
      <w:pPr>
        <w:jc w:val="both"/>
        <w:rPr>
          <w:rFonts w:ascii="Times New Roman" w:hAnsi="Times New Roman" w:cs="Times New Roman"/>
          <w:iCs/>
        </w:rPr>
      </w:pPr>
    </w:p>
    <w:p w:rsidR="00B45E16" w:rsidRPr="007B103E" w:rsidP="00B45E16" w14:paraId="179DD8E9" w14:textId="423DB858">
      <w:pPr>
        <w:jc w:val="both"/>
        <w:rPr>
          <w:rFonts w:ascii="Times New Roman" w:hAnsi="Times New Roman" w:cs="Times New Roman"/>
        </w:rPr>
      </w:pPr>
      <w:r w:rsidRPr="0050249D">
        <w:rPr>
          <w:rFonts w:ascii="Times New Roman" w:hAnsi="Times New Roman" w:cs="Times New Roman"/>
          <w:bCs/>
        </w:rPr>
        <w:t>T</w:t>
      </w:r>
      <w:r w:rsidRPr="007B103E">
        <w:rPr>
          <w:rFonts w:ascii="Times New Roman" w:hAnsi="Times New Roman" w:cs="Times New Roman"/>
        </w:rPr>
        <w:t>he EDR process is web-based.</w:t>
      </w:r>
      <w:r w:rsidR="007B103E">
        <w:rPr>
          <w:rFonts w:ascii="Times New Roman" w:hAnsi="Times New Roman" w:cs="Times New Roman"/>
        </w:rPr>
        <w:t xml:space="preserve">  </w:t>
      </w:r>
      <w:r w:rsidRPr="007B103E">
        <w:rPr>
          <w:rFonts w:ascii="Times New Roman" w:hAnsi="Times New Roman" w:cs="Times New Roman"/>
        </w:rPr>
        <w:t xml:space="preserve">The system permits electronic transfer of the death certificate from the funeral director to the next participant who completes a portion of the certificate.  EDR reduces the processing time needed to register deaths, and drastically improves the business practices of the various participants in the death registration process.  EDR results in the state’s ability to send SSA the report within 6 days of the date of death, and within 24 hours of receipt in the state’s repository.  </w:t>
      </w:r>
    </w:p>
    <w:p w:rsidR="00BD6894" w:rsidP="00B45E16" w14:paraId="6313FC52" w14:textId="10C3D159">
      <w:pPr>
        <w:jc w:val="both"/>
        <w:rPr>
          <w:rFonts w:ascii="Times New Roman" w:hAnsi="Times New Roman" w:cs="Times New Roman"/>
          <w:bCs/>
        </w:rPr>
      </w:pPr>
    </w:p>
    <w:p w:rsidR="00BD6894" w:rsidRPr="0050249D" w:rsidP="00B45E16" w14:paraId="43430AF7" w14:textId="5E563203">
      <w:pPr>
        <w:jc w:val="both"/>
        <w:rPr>
          <w:rFonts w:ascii="Times New Roman" w:hAnsi="Times New Roman" w:cs="Times New Roman"/>
          <w:bCs/>
        </w:rPr>
      </w:pPr>
      <w:r w:rsidRPr="00035908">
        <w:rPr>
          <w:rFonts w:ascii="Times New Roman" w:eastAsia="SimSun" w:hAnsi="Times New Roman"/>
        </w:rPr>
        <w:t xml:space="preserve">If we did not collect death registration information for each deceased beneficiary, we would jeopardize the accuracy of SSA’s payment files, as well as the payment files of the federal </w:t>
      </w:r>
      <w:r w:rsidRPr="00035908" w:rsidR="007B103E">
        <w:rPr>
          <w:rFonts w:ascii="Times New Roman" w:eastAsia="SimSun" w:hAnsi="Times New Roman"/>
        </w:rPr>
        <w:t>benefit paying</w:t>
      </w:r>
      <w:r w:rsidRPr="00035908">
        <w:rPr>
          <w:rFonts w:ascii="Times New Roman" w:eastAsia="SimSun" w:hAnsi="Times New Roman"/>
        </w:rPr>
        <w:t xml:space="preserve"> agencies that also use this information.</w:t>
      </w:r>
      <w:r>
        <w:rPr>
          <w:rFonts w:ascii="Times New Roman" w:eastAsia="SimSun" w:hAnsi="Times New Roman"/>
        </w:rPr>
        <w:t xml:space="preserve">  </w:t>
      </w:r>
    </w:p>
    <w:p w:rsidR="00A65D3C" w:rsidP="00F166C7" w14:paraId="23AC2282" w14:textId="1DB49B23">
      <w:pPr>
        <w:rPr>
          <w:rFonts w:ascii="Times New Roman" w:hAnsi="Times New Roman" w:cs="Times New Roman"/>
          <w:b/>
        </w:rPr>
      </w:pPr>
    </w:p>
    <w:p w:rsidR="00A65D3C" w:rsidP="00A65D3C" w14:paraId="25A59A6C" w14:textId="77777777">
      <w:pPr>
        <w:rPr>
          <w:rFonts w:ascii="Times New Roman" w:hAnsi="Times New Roman"/>
          <w:b/>
          <w:bCs/>
          <w:u w:val="single"/>
        </w:rPr>
      </w:pPr>
    </w:p>
    <w:p w:rsidR="00A65D3C" w:rsidRPr="009775DF" w:rsidP="00A65D3C" w14:paraId="6D2FC373" w14:textId="36ED99F7">
      <w:pPr>
        <w:rPr>
          <w:rFonts w:ascii="Times New Roman" w:hAnsi="Times New Roman"/>
          <w:b/>
          <w:bCs/>
          <w:u w:val="single"/>
        </w:rPr>
      </w:pPr>
      <w:r w:rsidRPr="009775DF">
        <w:rPr>
          <w:rFonts w:ascii="Times New Roman" w:hAnsi="Times New Roman"/>
          <w:b/>
          <w:bCs/>
          <w:u w:val="single"/>
        </w:rPr>
        <w:t>Revisions to the Information Collection</w:t>
      </w:r>
    </w:p>
    <w:p w:rsidR="00A65D3C" w:rsidP="00A65D3C" w14:paraId="5C6A1736" w14:textId="77777777">
      <w:pPr>
        <w:rPr>
          <w:rFonts w:ascii="Times New Roman" w:hAnsi="Times New Roman"/>
          <w:bCs/>
        </w:rPr>
      </w:pPr>
    </w:p>
    <w:p w:rsidR="00A65D3C" w:rsidRPr="007B103E" w:rsidP="007B103E" w14:paraId="34B05EC0" w14:textId="2802D53E">
      <w:pPr>
        <w:pStyle w:val="ListParagraph"/>
        <w:numPr>
          <w:ilvl w:val="0"/>
          <w:numId w:val="1"/>
        </w:numPr>
        <w:ind w:left="360"/>
        <w:rPr>
          <w:rFonts w:ascii="Times New Roman" w:hAnsi="Times New Roman"/>
          <w:b/>
          <w:bCs/>
        </w:rPr>
      </w:pPr>
      <w:r w:rsidRPr="007B103E">
        <w:rPr>
          <w:rFonts w:ascii="Times New Roman" w:hAnsi="Times New Roman"/>
          <w:b/>
          <w:bCs/>
          <w:u w:val="single"/>
        </w:rPr>
        <w:t>Change #1</w:t>
      </w:r>
      <w:r w:rsidRPr="007B103E">
        <w:rPr>
          <w:rFonts w:ascii="Times New Roman" w:hAnsi="Times New Roman"/>
          <w:b/>
          <w:bCs/>
        </w:rPr>
        <w:t>:</w:t>
      </w:r>
    </w:p>
    <w:p w:rsidR="00A65D3C" w:rsidRPr="003D1B57" w:rsidP="007B103E" w14:paraId="53FDD67F" w14:textId="0669094E">
      <w:pPr>
        <w:ind w:left="360"/>
        <w:rPr>
          <w:rFonts w:ascii="Times New Roman" w:eastAsia="SimSun" w:hAnsi="Times New Roman"/>
        </w:rPr>
      </w:pPr>
      <w:r w:rsidRPr="00A65D3C">
        <w:rPr>
          <w:rFonts w:ascii="Times New Roman" w:hAnsi="Times New Roman"/>
        </w:rPr>
        <w:t xml:space="preserve">We </w:t>
      </w:r>
      <w:r w:rsidR="00210E71">
        <w:rPr>
          <w:rFonts w:ascii="Times New Roman" w:hAnsi="Times New Roman"/>
        </w:rPr>
        <w:t>are</w:t>
      </w:r>
      <w:r w:rsidRPr="00A65D3C">
        <w:rPr>
          <w:rFonts w:ascii="Times New Roman" w:hAnsi="Times New Roman"/>
        </w:rPr>
        <w:t xml:space="preserve"> </w:t>
      </w:r>
      <w:r w:rsidR="00360DEC">
        <w:rPr>
          <w:rFonts w:ascii="Times New Roman" w:hAnsi="Times New Roman"/>
        </w:rPr>
        <w:t xml:space="preserve">combining the </w:t>
      </w:r>
      <w:r w:rsidR="004D5D31">
        <w:rPr>
          <w:rFonts w:ascii="Times New Roman" w:hAnsi="Times New Roman"/>
        </w:rPr>
        <w:t xml:space="preserve">two information collection packages </w:t>
      </w:r>
      <w:r w:rsidRPr="00293A56" w:rsidR="00293A56">
        <w:rPr>
          <w:rFonts w:ascii="Times New Roman" w:hAnsi="Times New Roman"/>
        </w:rPr>
        <w:t>OMB number 0960-0142</w:t>
      </w:r>
      <w:r w:rsidRPr="003D1B57" w:rsidR="004D5D31">
        <w:rPr>
          <w:rFonts w:ascii="Times New Roman" w:hAnsi="Times New Roman"/>
        </w:rPr>
        <w:t>:</w:t>
      </w:r>
      <w:r w:rsidRPr="003D1B57" w:rsidR="00293A56">
        <w:rPr>
          <w:rFonts w:ascii="Times New Roman" w:hAnsi="Times New Roman"/>
        </w:rPr>
        <w:t xml:space="preserve"> </w:t>
      </w:r>
      <w:r w:rsidRPr="003D1B57">
        <w:rPr>
          <w:rFonts w:ascii="Times New Roman" w:hAnsi="Times New Roman"/>
        </w:rPr>
        <w:t xml:space="preserve">Form SSA-721 </w:t>
      </w:r>
      <w:r w:rsidRPr="003D1B57">
        <w:rPr>
          <w:rFonts w:ascii="Times New Roman" w:hAnsi="Times New Roman" w:cs="Times New Roman"/>
        </w:rPr>
        <w:t xml:space="preserve">Statement of Death by Funeral Director and </w:t>
      </w:r>
      <w:r w:rsidRPr="003D1B57" w:rsidR="004D5D31">
        <w:rPr>
          <w:rFonts w:ascii="Times New Roman" w:hAnsi="Times New Roman" w:cs="Times New Roman"/>
        </w:rPr>
        <w:t xml:space="preserve">OMB No. 0960-0700: </w:t>
      </w:r>
      <w:r w:rsidRPr="003D1B57">
        <w:rPr>
          <w:rFonts w:ascii="Times New Roman" w:eastAsia="SimSun" w:hAnsi="Times New Roman"/>
        </w:rPr>
        <w:t>State Death Match Collections</w:t>
      </w:r>
      <w:r w:rsidRPr="003D1B57" w:rsidR="00210E71">
        <w:rPr>
          <w:rFonts w:ascii="Times New Roman" w:eastAsia="SimSun" w:hAnsi="Times New Roman"/>
        </w:rPr>
        <w:t xml:space="preserve"> under one OMB number 0960-0142</w:t>
      </w:r>
      <w:r w:rsidRPr="003D1B57">
        <w:rPr>
          <w:rFonts w:ascii="Times New Roman" w:eastAsia="SimSun" w:hAnsi="Times New Roman"/>
        </w:rPr>
        <w:t>.</w:t>
      </w:r>
    </w:p>
    <w:p w:rsidR="00A65D3C" w:rsidP="00A65D3C" w14:paraId="5C36DA25" w14:textId="3F5B92C9">
      <w:pPr>
        <w:rPr>
          <w:rFonts w:ascii="Times New Roman" w:eastAsia="SimSun" w:hAnsi="Times New Roman"/>
        </w:rPr>
      </w:pPr>
    </w:p>
    <w:p w:rsidR="00A65D3C" w:rsidRPr="00A65D3C" w:rsidP="007B103E" w14:paraId="371AFE97" w14:textId="73464E56">
      <w:pPr>
        <w:ind w:firstLine="360"/>
        <w:rPr>
          <w:rFonts w:ascii="Times New Roman" w:hAnsi="Times New Roman" w:cs="Times New Roman"/>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p>
    <w:p w:rsidR="00A65D3C" w:rsidP="007B103E" w14:paraId="0FBB6393" w14:textId="0696A0A6">
      <w:pPr>
        <w:ind w:left="360"/>
        <w:rPr>
          <w:rFonts w:ascii="Times New Roman" w:hAnsi="Times New Roman" w:cs="Times New Roman"/>
          <w:color w:val="000000"/>
        </w:rPr>
      </w:pPr>
      <w:r>
        <w:rPr>
          <w:rFonts w:ascii="Times New Roman" w:hAnsi="Times New Roman" w:cs="Times New Roman"/>
          <w:color w:val="000000"/>
        </w:rPr>
        <w:t xml:space="preserve">We are combining these two information collections under one OMB number </w:t>
      </w:r>
      <w:r w:rsidR="00360DEC">
        <w:rPr>
          <w:rFonts w:ascii="Times New Roman" w:hAnsi="Times New Roman" w:cs="Times New Roman"/>
          <w:color w:val="000000"/>
        </w:rPr>
        <w:t xml:space="preserve">0960-0142 </w:t>
      </w:r>
      <w:r>
        <w:rPr>
          <w:rFonts w:ascii="Times New Roman" w:hAnsi="Times New Roman" w:cs="Times New Roman"/>
          <w:color w:val="000000"/>
        </w:rPr>
        <w:t>as per OMB’s Terms of Clearance. </w:t>
      </w:r>
    </w:p>
    <w:p w:rsidR="004D5D31" w:rsidP="00A65D3C" w14:paraId="5B9DB354" w14:textId="77777777">
      <w:pPr>
        <w:rPr>
          <w:rFonts w:ascii="Times New Roman" w:hAnsi="Times New Roman" w:cs="Times New Roman"/>
          <w:color w:val="000000"/>
        </w:rPr>
      </w:pPr>
    </w:p>
    <w:p w:rsidR="00B40F4D" w:rsidRPr="007B103E" w:rsidP="007B103E" w14:paraId="5C866A35" w14:textId="271E9CA9">
      <w:pPr>
        <w:pStyle w:val="ListParagraph"/>
        <w:numPr>
          <w:ilvl w:val="0"/>
          <w:numId w:val="1"/>
        </w:numPr>
        <w:ind w:left="360"/>
        <w:rPr>
          <w:rFonts w:ascii="Times New Roman" w:hAnsi="Times New Roman"/>
          <w:b/>
          <w:bCs/>
        </w:rPr>
      </w:pPr>
      <w:r w:rsidRPr="007B103E">
        <w:rPr>
          <w:rFonts w:ascii="Times New Roman" w:hAnsi="Times New Roman"/>
          <w:b/>
          <w:bCs/>
          <w:u w:val="single"/>
        </w:rPr>
        <w:t>Change #2</w:t>
      </w:r>
      <w:r w:rsidRPr="007B103E">
        <w:rPr>
          <w:rFonts w:ascii="Times New Roman" w:hAnsi="Times New Roman"/>
          <w:b/>
          <w:bCs/>
        </w:rPr>
        <w:t>:</w:t>
      </w:r>
    </w:p>
    <w:p w:rsidR="00642ECE" w:rsidRPr="001B7B4F" w:rsidP="007B103E" w14:paraId="5C6CBD35" w14:textId="1E28E438">
      <w:pPr>
        <w:ind w:left="360"/>
        <w:rPr>
          <w:rFonts w:ascii="Times New Roman" w:hAnsi="Times New Roman"/>
        </w:rPr>
      </w:pPr>
      <w:r w:rsidRPr="001B7B4F">
        <w:rPr>
          <w:rFonts w:ascii="Times New Roman" w:hAnsi="Times New Roman"/>
        </w:rPr>
        <w:t xml:space="preserve">We are updating the </w:t>
      </w:r>
      <w:r w:rsidRPr="001B7B4F">
        <w:rPr>
          <w:rFonts w:ascii="Times New Roman" w:eastAsia="SimSun" w:hAnsi="Times New Roman"/>
        </w:rPr>
        <w:t>Estimates of Public Reporting Burden chart</w:t>
      </w:r>
      <w:r w:rsidR="00941C65">
        <w:rPr>
          <w:rFonts w:ascii="Times New Roman" w:eastAsia="SimSun" w:hAnsi="Times New Roman"/>
        </w:rPr>
        <w:t xml:space="preserve"> in the </w:t>
      </w:r>
      <w:r w:rsidRPr="00293A56" w:rsidR="00293A56">
        <w:rPr>
          <w:rFonts w:ascii="Times New Roman" w:eastAsia="SimSun" w:hAnsi="Times New Roman"/>
        </w:rPr>
        <w:t xml:space="preserve">OMB No. 0960-0142 </w:t>
      </w:r>
      <w:r w:rsidRPr="001B7B4F">
        <w:rPr>
          <w:rFonts w:ascii="Times New Roman" w:eastAsia="SimSun" w:hAnsi="Times New Roman"/>
        </w:rPr>
        <w:t xml:space="preserve">to include the EDR as a </w:t>
      </w:r>
      <w:r w:rsidRPr="001B7B4F">
        <w:rPr>
          <w:rFonts w:ascii="Times New Roman" w:eastAsia="Calibri" w:hAnsi="Times New Roman"/>
          <w:sz w:val="22"/>
          <w:szCs w:val="22"/>
        </w:rPr>
        <w:t>Modality of Completion</w:t>
      </w:r>
      <w:r w:rsidR="00941C65">
        <w:rPr>
          <w:rFonts w:ascii="Times New Roman" w:eastAsia="Calibri" w:hAnsi="Times New Roman"/>
          <w:sz w:val="22"/>
          <w:szCs w:val="22"/>
        </w:rPr>
        <w:t>.</w:t>
      </w:r>
    </w:p>
    <w:p w:rsidR="00642ECE" w:rsidRPr="001B7B4F" w:rsidP="00B40F4D" w14:paraId="6891B5DF" w14:textId="38FB2DF0">
      <w:pPr>
        <w:rPr>
          <w:rFonts w:ascii="Times New Roman" w:hAnsi="Times New Roman"/>
        </w:rPr>
      </w:pPr>
    </w:p>
    <w:p w:rsidR="00642ECE" w:rsidP="007B103E" w14:paraId="171E28AE" w14:textId="2F409A62">
      <w:pPr>
        <w:ind w:firstLine="360"/>
        <w:rPr>
          <w:rFonts w:ascii="Times New Roman" w:hAnsi="Times New Roman"/>
          <w:b/>
          <w:bCs/>
        </w:rPr>
      </w:pPr>
      <w:r w:rsidRPr="00E60ECE">
        <w:rPr>
          <w:rFonts w:ascii="Times New Roman" w:hAnsi="Times New Roman"/>
          <w:b/>
          <w:bCs/>
          <w:u w:val="single"/>
        </w:rPr>
        <w:t>Justification #</w:t>
      </w:r>
      <w:r>
        <w:rPr>
          <w:rFonts w:ascii="Times New Roman" w:hAnsi="Times New Roman"/>
          <w:b/>
          <w:bCs/>
          <w:u w:val="single"/>
        </w:rPr>
        <w:t>2</w:t>
      </w:r>
      <w:r w:rsidRPr="00E60ECE">
        <w:rPr>
          <w:rFonts w:ascii="Times New Roman" w:hAnsi="Times New Roman"/>
          <w:b/>
          <w:bCs/>
        </w:rPr>
        <w:t>:</w:t>
      </w:r>
    </w:p>
    <w:p w:rsidR="003D1B57" w:rsidP="007B103E" w14:paraId="01C80C16" w14:textId="77777777">
      <w:pPr>
        <w:ind w:firstLine="360"/>
        <w:rPr>
          <w:rFonts w:ascii="Times New Roman" w:hAnsi="Times New Roman"/>
        </w:rPr>
      </w:pPr>
      <w:r w:rsidRPr="00F44D00">
        <w:rPr>
          <w:rFonts w:ascii="Times New Roman" w:hAnsi="Times New Roman"/>
        </w:rPr>
        <w:t xml:space="preserve">We are </w:t>
      </w:r>
      <w:r w:rsidR="005057D5">
        <w:rPr>
          <w:rFonts w:ascii="Times New Roman" w:hAnsi="Times New Roman"/>
        </w:rPr>
        <w:t>removing</w:t>
      </w:r>
      <w:r w:rsidR="00F44D00">
        <w:rPr>
          <w:rFonts w:ascii="Times New Roman" w:hAnsi="Times New Roman"/>
        </w:rPr>
        <w:t xml:space="preserve"> the </w:t>
      </w:r>
      <w:bookmarkStart w:id="0" w:name="_Hlk106878618"/>
      <w:r w:rsidRPr="00F44D00" w:rsidR="00F44D00">
        <w:rPr>
          <w:rFonts w:ascii="Times New Roman" w:hAnsi="Times New Roman"/>
        </w:rPr>
        <w:t xml:space="preserve">Estimates of Public Reporting Burden </w:t>
      </w:r>
      <w:r w:rsidR="005057D5">
        <w:rPr>
          <w:rFonts w:ascii="Times New Roman" w:hAnsi="Times New Roman"/>
        </w:rPr>
        <w:t>information</w:t>
      </w:r>
      <w:r w:rsidRPr="00F44D00" w:rsidR="00F44D00">
        <w:rPr>
          <w:rFonts w:ascii="Times New Roman" w:hAnsi="Times New Roman"/>
        </w:rPr>
        <w:t xml:space="preserve"> </w:t>
      </w:r>
      <w:bookmarkEnd w:id="0"/>
      <w:r w:rsidR="00F44D00">
        <w:rPr>
          <w:rFonts w:ascii="Times New Roman" w:hAnsi="Times New Roman"/>
        </w:rPr>
        <w:t xml:space="preserve">from OMB No. </w:t>
      </w:r>
    </w:p>
    <w:p w:rsidR="007B103E" w:rsidP="007B103E" w14:paraId="05320DC8" w14:textId="77777777">
      <w:pPr>
        <w:ind w:firstLine="360"/>
        <w:rPr>
          <w:rFonts w:ascii="Times New Roman" w:hAnsi="Times New Roman"/>
        </w:rPr>
      </w:pPr>
      <w:r>
        <w:rPr>
          <w:rFonts w:ascii="Times New Roman" w:hAnsi="Times New Roman"/>
        </w:rPr>
        <w:t xml:space="preserve">0960-0700 </w:t>
      </w:r>
      <w:r w:rsidR="005057D5">
        <w:rPr>
          <w:rFonts w:ascii="Times New Roman" w:hAnsi="Times New Roman"/>
        </w:rPr>
        <w:t xml:space="preserve">and adding it </w:t>
      </w:r>
      <w:r>
        <w:rPr>
          <w:rFonts w:ascii="Times New Roman" w:hAnsi="Times New Roman"/>
        </w:rPr>
        <w:t xml:space="preserve">to </w:t>
      </w:r>
      <w:r w:rsidRPr="00F44D00">
        <w:rPr>
          <w:rFonts w:ascii="Times New Roman" w:hAnsi="Times New Roman"/>
        </w:rPr>
        <w:t xml:space="preserve">Estimates of Public Reporting Burden chart </w:t>
      </w:r>
      <w:r>
        <w:rPr>
          <w:rFonts w:ascii="Times New Roman" w:hAnsi="Times New Roman"/>
        </w:rPr>
        <w:t xml:space="preserve">in </w:t>
      </w:r>
      <w:r w:rsidRPr="00F44D00">
        <w:rPr>
          <w:rFonts w:ascii="Times New Roman" w:hAnsi="Times New Roman"/>
        </w:rPr>
        <w:t xml:space="preserve">OMB No. </w:t>
      </w:r>
    </w:p>
    <w:p w:rsidR="004B6EE4" w:rsidRPr="001053A2" w:rsidP="001053A2" w14:paraId="1EDEA3FA" w14:textId="63B526EC">
      <w:pPr>
        <w:ind w:firstLine="360"/>
        <w:rPr>
          <w:rFonts w:ascii="Times New Roman" w:hAnsi="Times New Roman"/>
        </w:rPr>
      </w:pPr>
      <w:r w:rsidRPr="00F44D00">
        <w:rPr>
          <w:rFonts w:ascii="Times New Roman" w:hAnsi="Times New Roman"/>
        </w:rPr>
        <w:t>0960-0142</w:t>
      </w:r>
      <w:r>
        <w:rPr>
          <w:rFonts w:ascii="Times New Roman" w:hAnsi="Times New Roman"/>
        </w:rPr>
        <w:t xml:space="preserve"> to </w:t>
      </w:r>
      <w:r w:rsidRPr="00F44D00" w:rsidR="00941C65">
        <w:rPr>
          <w:rFonts w:ascii="Times New Roman" w:hAnsi="Times New Roman"/>
        </w:rPr>
        <w:t>combin</w:t>
      </w:r>
      <w:r>
        <w:rPr>
          <w:rFonts w:ascii="Times New Roman" w:hAnsi="Times New Roman"/>
        </w:rPr>
        <w:t>e</w:t>
      </w:r>
      <w:r w:rsidRPr="00F44D00" w:rsidR="00941C65">
        <w:rPr>
          <w:rFonts w:ascii="Times New Roman" w:hAnsi="Times New Roman"/>
        </w:rPr>
        <w:t xml:space="preserve"> the </w:t>
      </w:r>
      <w:r w:rsidRPr="00F44D00">
        <w:rPr>
          <w:rFonts w:ascii="Times New Roman" w:hAnsi="Times New Roman"/>
        </w:rPr>
        <w:t xml:space="preserve">two modalities </w:t>
      </w:r>
      <w:r w:rsidR="00293A56">
        <w:rPr>
          <w:rFonts w:ascii="Times New Roman" w:hAnsi="Times New Roman"/>
        </w:rPr>
        <w:t xml:space="preserve">SSA-721 and EDR </w:t>
      </w:r>
      <w:r w:rsidRPr="00F44D00">
        <w:rPr>
          <w:rFonts w:ascii="Times New Roman" w:hAnsi="Times New Roman"/>
        </w:rPr>
        <w:t>in one chart</w:t>
      </w:r>
      <w:r>
        <w:rPr>
          <w:rFonts w:ascii="Times New Roman" w:hAnsi="Times New Roman"/>
        </w:rPr>
        <w:t>.</w:t>
      </w:r>
      <w:bookmarkStart w:id="1" w:name="_Hlk106878656"/>
    </w:p>
    <w:p w:rsidR="001053A2" w:rsidP="004B6EE4" w14:paraId="53FA5C93" w14:textId="49F5130E">
      <w:pPr>
        <w:ind w:left="990"/>
        <w:rPr>
          <w:rFonts w:ascii="Times New Roman" w:hAnsi="Times New Roman" w:cs="Times New Roman"/>
          <w:b/>
          <w:bCs/>
          <w:iCs/>
          <w:u w:val="single"/>
        </w:rPr>
      </w:pPr>
    </w:p>
    <w:p w:rsidR="001053A2" w:rsidP="004B6EE4" w14:paraId="59E8D700" w14:textId="548D0FD0">
      <w:pPr>
        <w:ind w:left="990"/>
        <w:rPr>
          <w:rFonts w:ascii="Times New Roman" w:hAnsi="Times New Roman" w:cs="Times New Roman"/>
          <w:b/>
          <w:bCs/>
          <w:iCs/>
          <w:u w:val="single"/>
        </w:rPr>
      </w:pPr>
    </w:p>
    <w:p w:rsidR="001053A2" w:rsidP="001053A2" w14:paraId="1166D8D9" w14:textId="77777777">
      <w:pPr>
        <w:rPr>
          <w:rFonts w:ascii="Times New Roman" w:hAnsi="Times New Roman" w:cs="Times New Roman"/>
          <w:b/>
          <w:iCs/>
          <w:u w:val="single"/>
        </w:rPr>
      </w:pPr>
      <w:r>
        <w:rPr>
          <w:rFonts w:ascii="Times New Roman" w:hAnsi="Times New Roman" w:cs="Times New Roman"/>
          <w:b/>
          <w:iCs/>
          <w:u w:val="single"/>
        </w:rPr>
        <w:t>SSA-721</w:t>
      </w:r>
    </w:p>
    <w:tbl>
      <w:tblPr>
        <w:tblpPr w:leftFromText="180" w:rightFromText="180" w:vertAnchor="text" w:horzAnchor="margin" w:tblpY="189"/>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1523"/>
        <w:gridCol w:w="1310"/>
        <w:gridCol w:w="1190"/>
        <w:gridCol w:w="1256"/>
        <w:gridCol w:w="1389"/>
        <w:gridCol w:w="1716"/>
      </w:tblGrid>
      <w:tr w14:paraId="53D03F66" w14:textId="77777777" w:rsidTr="001053A2">
        <w:tblPrEx>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16" w:type="dxa"/>
            <w:tcBorders>
              <w:top w:val="single" w:sz="4" w:space="0" w:color="auto"/>
              <w:left w:val="single" w:sz="4" w:space="0" w:color="auto"/>
              <w:bottom w:val="single" w:sz="4" w:space="0" w:color="auto"/>
              <w:right w:val="single" w:sz="4" w:space="0" w:color="auto"/>
            </w:tcBorders>
            <w:hideMark/>
          </w:tcPr>
          <w:p w:rsidR="001053A2" w:rsidP="001053A2" w14:paraId="4CB62845" w14:textId="77777777">
            <w:pPr>
              <w:rPr>
                <w:rFonts w:ascii="Times New Roman" w:hAnsi="Times New Roman" w:cs="Times New Roman"/>
                <w:b/>
                <w:bCs/>
                <w:iCs/>
              </w:rPr>
            </w:pPr>
            <w:r>
              <w:rPr>
                <w:rFonts w:ascii="Times New Roman" w:hAnsi="Times New Roman" w:cs="Times New Roman"/>
                <w:b/>
                <w:bCs/>
                <w:iCs/>
              </w:rPr>
              <w:t>Modality of Completion</w:t>
            </w:r>
          </w:p>
        </w:tc>
        <w:tc>
          <w:tcPr>
            <w:tcW w:w="1523" w:type="dxa"/>
            <w:tcBorders>
              <w:top w:val="single" w:sz="4" w:space="0" w:color="auto"/>
              <w:left w:val="single" w:sz="4" w:space="0" w:color="auto"/>
              <w:bottom w:val="single" w:sz="4" w:space="0" w:color="auto"/>
              <w:right w:val="single" w:sz="4" w:space="0" w:color="auto"/>
            </w:tcBorders>
            <w:hideMark/>
          </w:tcPr>
          <w:p w:rsidR="001053A2" w:rsidP="001053A2" w14:paraId="0333B8FC" w14:textId="77777777">
            <w:pPr>
              <w:rPr>
                <w:rFonts w:ascii="Times New Roman" w:hAnsi="Times New Roman" w:cs="Times New Roman"/>
                <w:b/>
                <w:bCs/>
                <w:iCs/>
              </w:rPr>
            </w:pPr>
            <w:r>
              <w:rPr>
                <w:rFonts w:ascii="Times New Roman" w:hAnsi="Times New Roman" w:cs="Times New Roman"/>
                <w:b/>
                <w:bCs/>
                <w:iCs/>
              </w:rPr>
              <w:t>Number of Respondents</w:t>
            </w:r>
          </w:p>
        </w:tc>
        <w:tc>
          <w:tcPr>
            <w:tcW w:w="1310" w:type="dxa"/>
            <w:tcBorders>
              <w:top w:val="single" w:sz="4" w:space="0" w:color="auto"/>
              <w:left w:val="single" w:sz="4" w:space="0" w:color="auto"/>
              <w:bottom w:val="single" w:sz="4" w:space="0" w:color="auto"/>
              <w:right w:val="single" w:sz="4" w:space="0" w:color="auto"/>
            </w:tcBorders>
            <w:hideMark/>
          </w:tcPr>
          <w:p w:rsidR="001053A2" w:rsidP="001053A2" w14:paraId="724C4DD2" w14:textId="77777777">
            <w:pPr>
              <w:rPr>
                <w:rFonts w:ascii="Times New Roman" w:hAnsi="Times New Roman" w:cs="Times New Roman"/>
                <w:b/>
                <w:bCs/>
                <w:iCs/>
              </w:rPr>
            </w:pPr>
            <w:r>
              <w:rPr>
                <w:rFonts w:ascii="Times New Roman" w:hAnsi="Times New Roman" w:cs="Times New Roman"/>
                <w:b/>
                <w:bCs/>
                <w:iCs/>
              </w:rPr>
              <w:t>Frequency of Response</w:t>
            </w:r>
          </w:p>
        </w:tc>
        <w:tc>
          <w:tcPr>
            <w:tcW w:w="1190" w:type="dxa"/>
            <w:tcBorders>
              <w:top w:val="single" w:sz="4" w:space="0" w:color="auto"/>
              <w:left w:val="single" w:sz="4" w:space="0" w:color="auto"/>
              <w:bottom w:val="single" w:sz="4" w:space="0" w:color="auto"/>
              <w:right w:val="single" w:sz="4" w:space="0" w:color="auto"/>
            </w:tcBorders>
            <w:hideMark/>
          </w:tcPr>
          <w:p w:rsidR="001053A2" w:rsidP="001053A2" w14:paraId="74526CEC" w14:textId="77777777">
            <w:pPr>
              <w:rPr>
                <w:rFonts w:ascii="Times New Roman" w:hAnsi="Times New Roman" w:cs="Times New Roman"/>
                <w:b/>
                <w:bCs/>
                <w:iCs/>
              </w:rPr>
            </w:pPr>
            <w:r>
              <w:rPr>
                <w:rFonts w:ascii="Times New Roman" w:hAnsi="Times New Roman" w:cs="Times New Roman"/>
                <w:b/>
                <w:bCs/>
                <w:iCs/>
              </w:rPr>
              <w:t>Average Burden per Response (minutes)</w:t>
            </w:r>
          </w:p>
        </w:tc>
        <w:tc>
          <w:tcPr>
            <w:tcW w:w="1256" w:type="dxa"/>
            <w:tcBorders>
              <w:top w:val="single" w:sz="4" w:space="0" w:color="auto"/>
              <w:left w:val="single" w:sz="4" w:space="0" w:color="auto"/>
              <w:bottom w:val="single" w:sz="4" w:space="0" w:color="auto"/>
              <w:right w:val="single" w:sz="4" w:space="0" w:color="auto"/>
            </w:tcBorders>
            <w:hideMark/>
          </w:tcPr>
          <w:p w:rsidR="001053A2" w:rsidP="001053A2" w14:paraId="19297F6A" w14:textId="77777777">
            <w:pPr>
              <w:rPr>
                <w:rFonts w:ascii="Times New Roman" w:hAnsi="Times New Roman" w:cs="Times New Roman"/>
                <w:b/>
                <w:bCs/>
                <w:iCs/>
              </w:rPr>
            </w:pPr>
            <w:r>
              <w:rPr>
                <w:rFonts w:ascii="Times New Roman" w:hAnsi="Times New Roman" w:cs="Times New Roman"/>
                <w:b/>
                <w:bCs/>
                <w:iCs/>
              </w:rPr>
              <w:t>Estimated Total Annual Burden (hours)</w:t>
            </w:r>
          </w:p>
        </w:tc>
        <w:tc>
          <w:tcPr>
            <w:tcW w:w="1389" w:type="dxa"/>
            <w:tcBorders>
              <w:top w:val="single" w:sz="4" w:space="0" w:color="auto"/>
              <w:left w:val="single" w:sz="4" w:space="0" w:color="auto"/>
              <w:bottom w:val="single" w:sz="4" w:space="0" w:color="auto"/>
              <w:right w:val="single" w:sz="4" w:space="0" w:color="auto"/>
            </w:tcBorders>
            <w:hideMark/>
          </w:tcPr>
          <w:p w:rsidR="001053A2" w:rsidP="001053A2" w14:paraId="6809CBB7" w14:textId="77777777">
            <w:pPr>
              <w:rPr>
                <w:rFonts w:ascii="Times New Roman" w:hAnsi="Times New Roman" w:cs="Times New Roman"/>
                <w:b/>
                <w:bCs/>
                <w:iCs/>
              </w:rPr>
            </w:pPr>
            <w:r>
              <w:rPr>
                <w:rFonts w:ascii="Times New Roman" w:hAnsi="Times New Roman" w:cs="Times New Roman"/>
                <w:b/>
                <w:bCs/>
                <w:iCs/>
              </w:rPr>
              <w:t>Average Theoretical Hourly Cost Amount (dollars)*</w:t>
            </w:r>
          </w:p>
        </w:tc>
        <w:tc>
          <w:tcPr>
            <w:tcW w:w="1716" w:type="dxa"/>
            <w:tcBorders>
              <w:top w:val="single" w:sz="4" w:space="0" w:color="auto"/>
              <w:left w:val="single" w:sz="4" w:space="0" w:color="auto"/>
              <w:bottom w:val="single" w:sz="4" w:space="0" w:color="auto"/>
              <w:right w:val="single" w:sz="4" w:space="0" w:color="auto"/>
            </w:tcBorders>
            <w:hideMark/>
          </w:tcPr>
          <w:p w:rsidR="001053A2" w:rsidP="001053A2" w14:paraId="5AD90CE3" w14:textId="77777777">
            <w:pPr>
              <w:rPr>
                <w:rFonts w:ascii="Times New Roman" w:hAnsi="Times New Roman" w:cs="Times New Roman"/>
                <w:b/>
                <w:bCs/>
                <w:iCs/>
              </w:rPr>
            </w:pPr>
            <w:r>
              <w:rPr>
                <w:rFonts w:ascii="Times New Roman" w:hAnsi="Times New Roman" w:cs="Times New Roman"/>
                <w:b/>
                <w:bCs/>
                <w:iCs/>
              </w:rPr>
              <w:t>Total Annual Opportunity Cost (dollars)**</w:t>
            </w:r>
          </w:p>
        </w:tc>
      </w:tr>
      <w:tr w14:paraId="4D684C61" w14:textId="77777777" w:rsidTr="001053A2">
        <w:tblPrEx>
          <w:tblW w:w="9800" w:type="dxa"/>
          <w:tblLook w:val="01E0"/>
        </w:tblPrEx>
        <w:tc>
          <w:tcPr>
            <w:tcW w:w="1416" w:type="dxa"/>
            <w:tcBorders>
              <w:top w:val="single" w:sz="4" w:space="0" w:color="auto"/>
              <w:left w:val="single" w:sz="4" w:space="0" w:color="auto"/>
              <w:bottom w:val="single" w:sz="4" w:space="0" w:color="auto"/>
              <w:right w:val="single" w:sz="4" w:space="0" w:color="auto"/>
            </w:tcBorders>
            <w:hideMark/>
          </w:tcPr>
          <w:p w:rsidR="001053A2" w:rsidRPr="001053A2" w:rsidP="001053A2" w14:paraId="771D0B36" w14:textId="77777777">
            <w:pPr>
              <w:rPr>
                <w:rFonts w:ascii="Times New Roman" w:hAnsi="Times New Roman" w:cs="Times New Roman"/>
                <w:iCs/>
              </w:rPr>
            </w:pPr>
            <w:r w:rsidRPr="001053A2">
              <w:rPr>
                <w:rFonts w:ascii="Times New Roman" w:hAnsi="Times New Roman" w:cs="Times New Roman"/>
                <w:iCs/>
              </w:rPr>
              <w:t>SSA-721</w:t>
            </w:r>
          </w:p>
        </w:tc>
        <w:tc>
          <w:tcPr>
            <w:tcW w:w="1523" w:type="dxa"/>
            <w:tcBorders>
              <w:top w:val="single" w:sz="4" w:space="0" w:color="auto"/>
              <w:left w:val="single" w:sz="4" w:space="0" w:color="auto"/>
              <w:bottom w:val="single" w:sz="4" w:space="0" w:color="auto"/>
              <w:right w:val="single" w:sz="4" w:space="0" w:color="auto"/>
            </w:tcBorders>
            <w:hideMark/>
          </w:tcPr>
          <w:p w:rsidR="001053A2" w:rsidRPr="001053A2" w:rsidP="001053A2" w14:paraId="30440AAF" w14:textId="77777777">
            <w:pPr>
              <w:jc w:val="right"/>
              <w:rPr>
                <w:rFonts w:ascii="Times New Roman" w:hAnsi="Times New Roman" w:cs="Times New Roman"/>
                <w:iCs/>
              </w:rPr>
            </w:pPr>
            <w:r w:rsidRPr="001053A2">
              <w:rPr>
                <w:rFonts w:ascii="Times New Roman" w:hAnsi="Times New Roman" w:cs="Times New Roman"/>
                <w:iCs/>
              </w:rPr>
              <w:t>544,233</w:t>
            </w:r>
          </w:p>
        </w:tc>
        <w:tc>
          <w:tcPr>
            <w:tcW w:w="1310" w:type="dxa"/>
            <w:tcBorders>
              <w:top w:val="single" w:sz="4" w:space="0" w:color="auto"/>
              <w:left w:val="single" w:sz="4" w:space="0" w:color="auto"/>
              <w:bottom w:val="single" w:sz="4" w:space="0" w:color="auto"/>
              <w:right w:val="single" w:sz="4" w:space="0" w:color="auto"/>
            </w:tcBorders>
            <w:hideMark/>
          </w:tcPr>
          <w:p w:rsidR="001053A2" w:rsidRPr="001053A2" w:rsidP="001053A2" w14:paraId="3D5A9CFD" w14:textId="77777777">
            <w:pPr>
              <w:jc w:val="right"/>
              <w:rPr>
                <w:rFonts w:ascii="Times New Roman" w:hAnsi="Times New Roman" w:cs="Times New Roman"/>
                <w:iCs/>
              </w:rPr>
            </w:pPr>
            <w:r w:rsidRPr="001053A2">
              <w:rPr>
                <w:rFonts w:ascii="Times New Roman" w:hAnsi="Times New Roman" w:cs="Times New Roman"/>
                <w:iCs/>
              </w:rPr>
              <w:t>1</w:t>
            </w:r>
          </w:p>
        </w:tc>
        <w:tc>
          <w:tcPr>
            <w:tcW w:w="1190" w:type="dxa"/>
            <w:tcBorders>
              <w:top w:val="single" w:sz="4" w:space="0" w:color="auto"/>
              <w:left w:val="single" w:sz="4" w:space="0" w:color="auto"/>
              <w:bottom w:val="single" w:sz="4" w:space="0" w:color="auto"/>
              <w:right w:val="single" w:sz="4" w:space="0" w:color="auto"/>
            </w:tcBorders>
            <w:hideMark/>
          </w:tcPr>
          <w:p w:rsidR="001053A2" w:rsidRPr="001053A2" w:rsidP="001053A2" w14:paraId="58455F57" w14:textId="77777777">
            <w:pPr>
              <w:jc w:val="right"/>
              <w:rPr>
                <w:rFonts w:ascii="Times New Roman" w:hAnsi="Times New Roman" w:cs="Times New Roman"/>
                <w:iCs/>
              </w:rPr>
            </w:pPr>
            <w:r w:rsidRPr="001053A2">
              <w:rPr>
                <w:rFonts w:ascii="Times New Roman" w:hAnsi="Times New Roman" w:cs="Times New Roman"/>
                <w:iCs/>
              </w:rPr>
              <w:t>4</w:t>
            </w:r>
          </w:p>
        </w:tc>
        <w:tc>
          <w:tcPr>
            <w:tcW w:w="1256" w:type="dxa"/>
            <w:tcBorders>
              <w:top w:val="single" w:sz="4" w:space="0" w:color="auto"/>
              <w:left w:val="single" w:sz="4" w:space="0" w:color="auto"/>
              <w:bottom w:val="single" w:sz="4" w:space="0" w:color="auto"/>
              <w:right w:val="single" w:sz="4" w:space="0" w:color="auto"/>
            </w:tcBorders>
            <w:hideMark/>
          </w:tcPr>
          <w:p w:rsidR="001053A2" w:rsidRPr="001053A2" w:rsidP="001053A2" w14:paraId="786766BE" w14:textId="77777777">
            <w:pPr>
              <w:jc w:val="right"/>
              <w:rPr>
                <w:rFonts w:ascii="Times New Roman" w:hAnsi="Times New Roman" w:cs="Times New Roman"/>
                <w:iCs/>
              </w:rPr>
            </w:pPr>
            <w:r w:rsidRPr="001053A2">
              <w:rPr>
                <w:rFonts w:ascii="Times New Roman" w:hAnsi="Times New Roman" w:cs="Times New Roman"/>
                <w:iCs/>
              </w:rPr>
              <w:t>36,282</w:t>
            </w:r>
          </w:p>
        </w:tc>
        <w:tc>
          <w:tcPr>
            <w:tcW w:w="1389" w:type="dxa"/>
            <w:tcBorders>
              <w:top w:val="single" w:sz="4" w:space="0" w:color="auto"/>
              <w:left w:val="single" w:sz="4" w:space="0" w:color="auto"/>
              <w:bottom w:val="single" w:sz="4" w:space="0" w:color="auto"/>
              <w:right w:val="single" w:sz="4" w:space="0" w:color="auto"/>
            </w:tcBorders>
            <w:hideMark/>
          </w:tcPr>
          <w:p w:rsidR="001053A2" w:rsidRPr="001053A2" w:rsidP="001053A2" w14:paraId="31DD7492" w14:textId="77777777">
            <w:pPr>
              <w:jc w:val="right"/>
              <w:rPr>
                <w:rFonts w:ascii="Times New Roman" w:hAnsi="Times New Roman" w:cs="Times New Roman"/>
                <w:iCs/>
              </w:rPr>
            </w:pPr>
            <w:r w:rsidRPr="001053A2">
              <w:rPr>
                <w:rFonts w:ascii="Times New Roman" w:hAnsi="Times New Roman" w:cs="Times New Roman"/>
                <w:iCs/>
              </w:rPr>
              <w:t>$28.04*</w:t>
            </w:r>
          </w:p>
        </w:tc>
        <w:tc>
          <w:tcPr>
            <w:tcW w:w="1716" w:type="dxa"/>
            <w:tcBorders>
              <w:top w:val="single" w:sz="4" w:space="0" w:color="auto"/>
              <w:left w:val="single" w:sz="4" w:space="0" w:color="auto"/>
              <w:bottom w:val="single" w:sz="4" w:space="0" w:color="auto"/>
              <w:right w:val="single" w:sz="4" w:space="0" w:color="auto"/>
            </w:tcBorders>
            <w:hideMark/>
          </w:tcPr>
          <w:p w:rsidR="001053A2" w:rsidRPr="001053A2" w:rsidP="001053A2" w14:paraId="17CDCE19" w14:textId="77777777">
            <w:pPr>
              <w:jc w:val="right"/>
              <w:rPr>
                <w:rFonts w:ascii="Times New Roman" w:hAnsi="Times New Roman" w:cs="Times New Roman"/>
                <w:iCs/>
              </w:rPr>
            </w:pPr>
            <w:r w:rsidRPr="001053A2">
              <w:rPr>
                <w:rFonts w:ascii="Times New Roman" w:hAnsi="Times New Roman" w:cs="Times New Roman"/>
                <w:iCs/>
              </w:rPr>
              <w:t>$1,017,347**</w:t>
            </w:r>
          </w:p>
        </w:tc>
      </w:tr>
    </w:tbl>
    <w:p w:rsidR="001053A2" w:rsidP="001053A2" w14:paraId="4860E061" w14:textId="13178D66">
      <w:pPr>
        <w:rPr>
          <w:rFonts w:ascii="Times New Roman" w:hAnsi="Times New Roman" w:cs="Times New Roman"/>
          <w:b/>
          <w:bCs/>
          <w:iCs/>
          <w:sz w:val="22"/>
          <w:szCs w:val="22"/>
          <w:u w:val="single"/>
        </w:rPr>
      </w:pPr>
    </w:p>
    <w:p w:rsidR="00D62333" w:rsidP="00D62333" w14:paraId="7D6C6B10" w14:textId="77777777">
      <w:pPr>
        <w:rPr>
          <w:rFonts w:ascii="Times New Roman" w:hAnsi="Times New Roman" w:cs="Times New Roman"/>
          <w:b/>
          <w:bCs/>
          <w:iCs/>
          <w:sz w:val="22"/>
          <w:szCs w:val="22"/>
          <w:u w:val="single"/>
        </w:rPr>
      </w:pPr>
    </w:p>
    <w:p w:rsidR="00D62333" w:rsidRPr="0009304C" w:rsidP="00D62333" w14:paraId="099844BF" w14:textId="14BBA317">
      <w:pPr>
        <w:rPr>
          <w:rFonts w:ascii="Times New Roman" w:hAnsi="Times New Roman" w:cs="Times New Roman"/>
          <w:b/>
          <w:bCs/>
          <w:iCs/>
          <w:sz w:val="22"/>
          <w:szCs w:val="22"/>
          <w:u w:val="single"/>
        </w:rPr>
      </w:pPr>
      <w:r>
        <w:rPr>
          <w:rFonts w:ascii="Times New Roman" w:hAnsi="Times New Roman" w:cs="Times New Roman"/>
          <w:b/>
          <w:bCs/>
          <w:iCs/>
          <w:sz w:val="22"/>
          <w:szCs w:val="22"/>
          <w:u w:val="single"/>
        </w:rPr>
        <w:t>EDR</w:t>
      </w:r>
    </w:p>
    <w:tbl>
      <w:tblPr>
        <w:tblpPr w:leftFromText="180" w:rightFromText="180" w:vertAnchor="text" w:horzAnchor="margin" w:tblpXSpec="center" w:tblpY="676"/>
        <w:tblW w:w="11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5"/>
        <w:gridCol w:w="1440"/>
        <w:gridCol w:w="1260"/>
        <w:gridCol w:w="1170"/>
        <w:gridCol w:w="1440"/>
        <w:gridCol w:w="1440"/>
        <w:gridCol w:w="1350"/>
        <w:gridCol w:w="1710"/>
      </w:tblGrid>
      <w:tr w14:paraId="3E87F0F8" w14:textId="77777777" w:rsidTr="00F37FF5">
        <w:tblPrEx>
          <w:tblW w:w="11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6"/>
        </w:trPr>
        <w:tc>
          <w:tcPr>
            <w:tcW w:w="2065" w:type="dxa"/>
            <w:tcBorders>
              <w:top w:val="single" w:sz="4" w:space="0" w:color="auto"/>
              <w:left w:val="single" w:sz="4" w:space="0" w:color="auto"/>
              <w:bottom w:val="single" w:sz="4" w:space="0" w:color="auto"/>
              <w:right w:val="single" w:sz="4" w:space="0" w:color="auto"/>
            </w:tcBorders>
            <w:hideMark/>
          </w:tcPr>
          <w:p w:rsidR="00DE5688" w:rsidRPr="0009304C" w:rsidP="00D62333" w14:paraId="478CD18A" w14:textId="77777777">
            <w:pPr>
              <w:tabs>
                <w:tab w:val="left" w:pos="1350"/>
              </w:tabs>
              <w:autoSpaceDE w:val="0"/>
              <w:autoSpaceDN w:val="0"/>
              <w:adjustRightInd w:val="0"/>
              <w:ind w:hanging="18"/>
              <w:rPr>
                <w:rFonts w:ascii="Times New Roman" w:eastAsia="Calibri" w:hAnsi="Times New Roman" w:cs="Times New Roman"/>
                <w:sz w:val="22"/>
                <w:szCs w:val="22"/>
                <w:lang w:eastAsia="en-US"/>
              </w:rPr>
            </w:pPr>
            <w:r w:rsidRPr="0009304C">
              <w:rPr>
                <w:rFonts w:ascii="Times New Roman" w:eastAsia="Calibri" w:hAnsi="Times New Roman" w:cs="Times New Roman"/>
                <w:b/>
                <w:sz w:val="22"/>
                <w:szCs w:val="22"/>
              </w:rPr>
              <w:t>Modality of Completion</w:t>
            </w:r>
          </w:p>
        </w:tc>
        <w:tc>
          <w:tcPr>
            <w:tcW w:w="1440" w:type="dxa"/>
            <w:tcBorders>
              <w:top w:val="single" w:sz="4" w:space="0" w:color="auto"/>
              <w:left w:val="single" w:sz="4" w:space="0" w:color="auto"/>
              <w:bottom w:val="single" w:sz="4" w:space="0" w:color="auto"/>
              <w:right w:val="single" w:sz="4" w:space="0" w:color="auto"/>
            </w:tcBorders>
            <w:hideMark/>
          </w:tcPr>
          <w:p w:rsidR="00DE5688" w:rsidRPr="0009304C" w:rsidP="00D62333" w14:paraId="004F6EFB" w14:textId="77777777">
            <w:pPr>
              <w:tabs>
                <w:tab w:val="left" w:pos="1350"/>
              </w:tabs>
              <w:autoSpaceDE w:val="0"/>
              <w:autoSpaceDN w:val="0"/>
              <w:adjustRightInd w:val="0"/>
              <w:rPr>
                <w:rFonts w:ascii="Times New Roman" w:eastAsia="Calibri" w:hAnsi="Times New Roman" w:cs="Times New Roman"/>
                <w:sz w:val="22"/>
                <w:szCs w:val="22"/>
              </w:rPr>
            </w:pPr>
            <w:r w:rsidRPr="0009304C">
              <w:rPr>
                <w:rFonts w:ascii="Times New Roman" w:eastAsia="Calibri" w:hAnsi="Times New Roman" w:cs="Times New Roman"/>
                <w:b/>
                <w:sz w:val="22"/>
                <w:szCs w:val="22"/>
              </w:rPr>
              <w:t>Number of Respondents</w:t>
            </w:r>
          </w:p>
        </w:tc>
        <w:tc>
          <w:tcPr>
            <w:tcW w:w="1260" w:type="dxa"/>
            <w:tcBorders>
              <w:top w:val="single" w:sz="4" w:space="0" w:color="auto"/>
              <w:left w:val="single" w:sz="4" w:space="0" w:color="auto"/>
              <w:bottom w:val="single" w:sz="4" w:space="0" w:color="auto"/>
              <w:right w:val="single" w:sz="4" w:space="0" w:color="auto"/>
            </w:tcBorders>
            <w:hideMark/>
          </w:tcPr>
          <w:p w:rsidR="00DE5688" w:rsidRPr="0009304C" w:rsidP="00D62333" w14:paraId="0261507B" w14:textId="77777777">
            <w:pPr>
              <w:tabs>
                <w:tab w:val="left" w:pos="1350"/>
              </w:tabs>
              <w:autoSpaceDE w:val="0"/>
              <w:autoSpaceDN w:val="0"/>
              <w:adjustRightInd w:val="0"/>
              <w:rPr>
                <w:rFonts w:ascii="Times New Roman" w:eastAsia="Calibri" w:hAnsi="Times New Roman" w:cs="Times New Roman"/>
                <w:sz w:val="22"/>
                <w:szCs w:val="22"/>
              </w:rPr>
            </w:pPr>
            <w:r w:rsidRPr="0009304C">
              <w:rPr>
                <w:rFonts w:ascii="Times New Roman" w:eastAsia="Calibri" w:hAnsi="Times New Roman" w:cs="Times New Roman"/>
                <w:b/>
                <w:sz w:val="22"/>
                <w:szCs w:val="22"/>
              </w:rPr>
              <w:t>Frequency of Response</w:t>
            </w:r>
          </w:p>
        </w:tc>
        <w:tc>
          <w:tcPr>
            <w:tcW w:w="1170" w:type="dxa"/>
            <w:tcBorders>
              <w:top w:val="single" w:sz="4" w:space="0" w:color="auto"/>
              <w:left w:val="single" w:sz="4" w:space="0" w:color="auto"/>
              <w:bottom w:val="single" w:sz="4" w:space="0" w:color="auto"/>
              <w:right w:val="single" w:sz="4" w:space="0" w:color="auto"/>
            </w:tcBorders>
          </w:tcPr>
          <w:p w:rsidR="00DE5688" w:rsidRPr="0009304C" w:rsidP="00D62333" w14:paraId="6E17BDD4" w14:textId="67A9889C">
            <w:pPr>
              <w:tabs>
                <w:tab w:val="left" w:pos="1350"/>
              </w:tabs>
              <w:autoSpaceDE w:val="0"/>
              <w:autoSpaceDN w:val="0"/>
              <w:adjustRightInd w:val="0"/>
              <w:rPr>
                <w:rFonts w:ascii="Times New Roman" w:eastAsia="Calibri" w:hAnsi="Times New Roman" w:cs="Times New Roman"/>
                <w:b/>
                <w:sz w:val="22"/>
                <w:szCs w:val="22"/>
              </w:rPr>
            </w:pPr>
            <w:r w:rsidRPr="0009304C">
              <w:rPr>
                <w:rFonts w:ascii="Times New Roman" w:eastAsia="Calibri" w:hAnsi="Times New Roman" w:cs="Times New Roman"/>
                <w:b/>
                <w:sz w:val="22"/>
                <w:szCs w:val="22"/>
              </w:rPr>
              <w:t>Average Cost Per Record Request</w:t>
            </w:r>
          </w:p>
        </w:tc>
        <w:tc>
          <w:tcPr>
            <w:tcW w:w="1440" w:type="dxa"/>
            <w:tcBorders>
              <w:top w:val="single" w:sz="4" w:space="0" w:color="auto"/>
              <w:left w:val="single" w:sz="4" w:space="0" w:color="auto"/>
              <w:bottom w:val="single" w:sz="4" w:space="0" w:color="auto"/>
              <w:right w:val="single" w:sz="4" w:space="0" w:color="auto"/>
            </w:tcBorders>
          </w:tcPr>
          <w:p w:rsidR="00DE5688" w:rsidRPr="0009304C" w:rsidP="00D62333" w14:paraId="39F51E60" w14:textId="724577F4">
            <w:pPr>
              <w:tabs>
                <w:tab w:val="left" w:pos="1350"/>
              </w:tabs>
              <w:autoSpaceDE w:val="0"/>
              <w:autoSpaceDN w:val="0"/>
              <w:adjustRightInd w:val="0"/>
              <w:rPr>
                <w:rFonts w:ascii="Times New Roman" w:eastAsia="Calibri" w:hAnsi="Times New Roman" w:cs="Times New Roman"/>
                <w:b/>
                <w:sz w:val="22"/>
                <w:szCs w:val="22"/>
              </w:rPr>
            </w:pPr>
            <w:r w:rsidRPr="0009304C">
              <w:rPr>
                <w:rFonts w:ascii="Times New Roman" w:eastAsia="Calibri" w:hAnsi="Times New Roman" w:cs="Times New Roman"/>
                <w:b/>
                <w:sz w:val="22"/>
                <w:szCs w:val="22"/>
              </w:rPr>
              <w:t>Estimated Total Annual Burden (hours)</w:t>
            </w:r>
          </w:p>
        </w:tc>
        <w:tc>
          <w:tcPr>
            <w:tcW w:w="1440" w:type="dxa"/>
            <w:tcBorders>
              <w:top w:val="single" w:sz="4" w:space="0" w:color="auto"/>
              <w:left w:val="single" w:sz="4" w:space="0" w:color="auto"/>
              <w:bottom w:val="single" w:sz="4" w:space="0" w:color="auto"/>
              <w:right w:val="single" w:sz="4" w:space="0" w:color="auto"/>
            </w:tcBorders>
            <w:hideMark/>
          </w:tcPr>
          <w:p w:rsidR="00DE5688" w:rsidRPr="0009304C" w:rsidP="00D62333" w14:paraId="787F0A9D" w14:textId="20644480">
            <w:pPr>
              <w:tabs>
                <w:tab w:val="left" w:pos="1350"/>
              </w:tabs>
              <w:autoSpaceDE w:val="0"/>
              <w:autoSpaceDN w:val="0"/>
              <w:adjustRightInd w:val="0"/>
              <w:rPr>
                <w:rFonts w:ascii="Times New Roman" w:eastAsia="Calibri" w:hAnsi="Times New Roman" w:cs="Times New Roman"/>
                <w:sz w:val="22"/>
                <w:szCs w:val="22"/>
              </w:rPr>
            </w:pPr>
            <w:r w:rsidRPr="0009304C">
              <w:rPr>
                <w:rFonts w:ascii="Times New Roman" w:eastAsia="Calibri" w:hAnsi="Times New Roman" w:cs="Times New Roman"/>
                <w:b/>
                <w:sz w:val="22"/>
                <w:szCs w:val="22"/>
              </w:rPr>
              <w:t xml:space="preserve">Estimated Total Annual Burden </w:t>
            </w:r>
            <w:r w:rsidRPr="0009304C">
              <w:rPr>
                <w:rFonts w:ascii="Times New Roman" w:eastAsia="Calibri" w:hAnsi="Times New Roman" w:cs="Times New Roman"/>
                <w:b/>
                <w:sz w:val="22"/>
                <w:szCs w:val="22"/>
              </w:rPr>
              <w:t>hours Cost</w:t>
            </w:r>
          </w:p>
        </w:tc>
        <w:tc>
          <w:tcPr>
            <w:tcW w:w="1350" w:type="dxa"/>
            <w:tcBorders>
              <w:top w:val="single" w:sz="4" w:space="0" w:color="auto"/>
              <w:left w:val="single" w:sz="4" w:space="0" w:color="auto"/>
              <w:bottom w:val="single" w:sz="4" w:space="0" w:color="auto"/>
              <w:right w:val="single" w:sz="4" w:space="0" w:color="auto"/>
            </w:tcBorders>
            <w:hideMark/>
          </w:tcPr>
          <w:p w:rsidR="00DE5688" w:rsidRPr="0009304C" w:rsidP="00D62333" w14:paraId="3CC7239E" w14:textId="77777777">
            <w:pPr>
              <w:tabs>
                <w:tab w:val="left" w:pos="1350"/>
              </w:tabs>
              <w:autoSpaceDE w:val="0"/>
              <w:autoSpaceDN w:val="0"/>
              <w:adjustRightInd w:val="0"/>
              <w:rPr>
                <w:rFonts w:ascii="Times New Roman" w:eastAsia="Calibri" w:hAnsi="Times New Roman" w:cs="Times New Roman"/>
                <w:sz w:val="22"/>
                <w:szCs w:val="22"/>
              </w:rPr>
            </w:pPr>
            <w:r w:rsidRPr="0009304C">
              <w:rPr>
                <w:rFonts w:ascii="Times New Roman" w:eastAsia="Calibri" w:hAnsi="Times New Roman" w:cs="Times New Roman"/>
                <w:b/>
                <w:sz w:val="22"/>
                <w:szCs w:val="22"/>
              </w:rPr>
              <w:t>Average Theoretical Hourly Cost Amount (dollars)**</w:t>
            </w:r>
          </w:p>
        </w:tc>
        <w:tc>
          <w:tcPr>
            <w:tcW w:w="1710" w:type="dxa"/>
            <w:tcBorders>
              <w:top w:val="single" w:sz="4" w:space="0" w:color="auto"/>
              <w:left w:val="single" w:sz="4" w:space="0" w:color="auto"/>
              <w:bottom w:val="single" w:sz="4" w:space="0" w:color="auto"/>
              <w:right w:val="single" w:sz="4" w:space="0" w:color="auto"/>
            </w:tcBorders>
            <w:hideMark/>
          </w:tcPr>
          <w:p w:rsidR="00DE5688" w:rsidRPr="0009304C" w:rsidP="00D62333" w14:paraId="3EAE4488" w14:textId="77777777">
            <w:pPr>
              <w:autoSpaceDE w:val="0"/>
              <w:autoSpaceDN w:val="0"/>
              <w:adjustRightInd w:val="0"/>
              <w:rPr>
                <w:rFonts w:ascii="Times New Roman" w:eastAsia="Calibri" w:hAnsi="Times New Roman" w:cs="Times New Roman"/>
                <w:b/>
                <w:sz w:val="22"/>
                <w:szCs w:val="22"/>
              </w:rPr>
            </w:pPr>
            <w:r w:rsidRPr="0009304C">
              <w:rPr>
                <w:rFonts w:ascii="Times New Roman" w:eastAsia="Calibri" w:hAnsi="Times New Roman" w:cs="Times New Roman"/>
                <w:b/>
                <w:sz w:val="22"/>
                <w:szCs w:val="22"/>
              </w:rPr>
              <w:t>Total Annual Opportunity Cost (dollars) ***</w:t>
            </w:r>
          </w:p>
        </w:tc>
      </w:tr>
      <w:tr w14:paraId="70E7669C" w14:textId="77777777" w:rsidTr="00F37FF5">
        <w:tblPrEx>
          <w:tblW w:w="11875" w:type="dxa"/>
          <w:tblLayout w:type="fixed"/>
          <w:tblLook w:val="04A0"/>
        </w:tblPrEx>
        <w:trPr>
          <w:trHeight w:val="208"/>
        </w:trPr>
        <w:tc>
          <w:tcPr>
            <w:tcW w:w="2065" w:type="dxa"/>
            <w:tcBorders>
              <w:top w:val="single" w:sz="4" w:space="0" w:color="auto"/>
              <w:left w:val="single" w:sz="4" w:space="0" w:color="auto"/>
              <w:bottom w:val="single" w:sz="4" w:space="0" w:color="auto"/>
              <w:right w:val="single" w:sz="4" w:space="0" w:color="auto"/>
            </w:tcBorders>
            <w:hideMark/>
          </w:tcPr>
          <w:p w:rsidR="00DE5688" w:rsidRPr="000A4594" w:rsidP="0009304C" w14:paraId="00343297" w14:textId="77777777">
            <w:pPr>
              <w:rPr>
                <w:rFonts w:ascii="Times New Roman" w:hAnsi="Times New Roman" w:cs="Times New Roman"/>
                <w:color w:val="000000"/>
                <w:sz w:val="22"/>
                <w:szCs w:val="22"/>
              </w:rPr>
            </w:pPr>
            <w:r w:rsidRPr="000A4594">
              <w:rPr>
                <w:rFonts w:ascii="Times New Roman" w:hAnsi="Times New Roman" w:cs="Times New Roman"/>
                <w:color w:val="000000"/>
                <w:sz w:val="22"/>
                <w:szCs w:val="22"/>
              </w:rPr>
              <w:t>State Death Match</w:t>
            </w:r>
            <w:r w:rsidRPr="000A4594">
              <w:rPr>
                <w:rFonts w:ascii="Times New Roman" w:hAnsi="Times New Roman" w:cs="Times New Roman"/>
                <w:color w:val="000000"/>
                <w:sz w:val="22"/>
                <w:szCs w:val="22"/>
              </w:rPr>
              <w:noBreakHyphen/>
              <w:t>CyberFusion/GSO: Non-EDR Records from EDR sites</w:t>
            </w:r>
          </w:p>
        </w:tc>
        <w:tc>
          <w:tcPr>
            <w:tcW w:w="1440" w:type="dxa"/>
            <w:tcBorders>
              <w:top w:val="single" w:sz="4" w:space="0" w:color="auto"/>
              <w:left w:val="single" w:sz="4" w:space="0" w:color="auto"/>
              <w:bottom w:val="single" w:sz="4" w:space="0" w:color="auto"/>
              <w:right w:val="single" w:sz="4" w:space="0" w:color="auto"/>
            </w:tcBorders>
            <w:hideMark/>
          </w:tcPr>
          <w:p w:rsidR="00DE5688" w:rsidRPr="000A4594" w:rsidP="0009304C" w14:paraId="6D856BD2" w14:textId="77777777">
            <w:pPr>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39</w:t>
            </w:r>
          </w:p>
        </w:tc>
        <w:tc>
          <w:tcPr>
            <w:tcW w:w="1260" w:type="dxa"/>
            <w:tcBorders>
              <w:top w:val="single" w:sz="4" w:space="0" w:color="auto"/>
              <w:left w:val="single" w:sz="4" w:space="0" w:color="auto"/>
              <w:bottom w:val="single" w:sz="4" w:space="0" w:color="auto"/>
              <w:right w:val="single" w:sz="4" w:space="0" w:color="auto"/>
            </w:tcBorders>
            <w:hideMark/>
          </w:tcPr>
          <w:p w:rsidR="00DE5688" w:rsidRPr="000A4594" w:rsidP="0009304C" w14:paraId="3286547F" w14:textId="77777777">
            <w:pPr>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68,621</w:t>
            </w:r>
          </w:p>
        </w:tc>
        <w:tc>
          <w:tcPr>
            <w:tcW w:w="1170" w:type="dxa"/>
            <w:tcBorders>
              <w:top w:val="single" w:sz="4" w:space="0" w:color="auto"/>
              <w:left w:val="single" w:sz="4" w:space="0" w:color="auto"/>
              <w:bottom w:val="single" w:sz="4" w:space="0" w:color="auto"/>
              <w:right w:val="single" w:sz="4" w:space="0" w:color="auto"/>
            </w:tcBorders>
          </w:tcPr>
          <w:p w:rsidR="00DE5688" w:rsidRPr="000A4594" w:rsidP="00DE5688" w14:paraId="18BAB7FE" w14:textId="477A0018">
            <w:pPr>
              <w:widowControl w:val="0"/>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$0.88</w:t>
            </w:r>
          </w:p>
        </w:tc>
        <w:tc>
          <w:tcPr>
            <w:tcW w:w="1440" w:type="dxa"/>
            <w:tcBorders>
              <w:top w:val="single" w:sz="4" w:space="0" w:color="auto"/>
              <w:left w:val="single" w:sz="4" w:space="0" w:color="auto"/>
              <w:bottom w:val="single" w:sz="4" w:space="0" w:color="auto"/>
              <w:right w:val="single" w:sz="4" w:space="0" w:color="auto"/>
            </w:tcBorders>
          </w:tcPr>
          <w:p w:rsidR="00DE5688" w:rsidRPr="000A4594" w:rsidP="0009304C" w14:paraId="55D822F5" w14:textId="32588BF0">
            <w:pPr>
              <w:widowControl w:val="0"/>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2,676.219</w:t>
            </w:r>
          </w:p>
        </w:tc>
        <w:tc>
          <w:tcPr>
            <w:tcW w:w="1440" w:type="dxa"/>
            <w:tcBorders>
              <w:top w:val="single" w:sz="4" w:space="0" w:color="auto"/>
              <w:left w:val="single" w:sz="4" w:space="0" w:color="auto"/>
              <w:bottom w:val="single" w:sz="4" w:space="0" w:color="auto"/>
              <w:right w:val="single" w:sz="4" w:space="0" w:color="auto"/>
            </w:tcBorders>
            <w:hideMark/>
          </w:tcPr>
          <w:p w:rsidR="00DE5688" w:rsidRPr="000A4594" w:rsidP="0009304C" w14:paraId="34138038" w14:textId="0B9B09EB">
            <w:pPr>
              <w:widowControl w:val="0"/>
              <w:jc w:val="right"/>
              <w:rPr>
                <w:rFonts w:ascii="Times New Roman" w:eastAsia="Calibri" w:hAnsi="Times New Roman" w:cs="Times New Roman"/>
                <w:sz w:val="22"/>
                <w:szCs w:val="22"/>
              </w:rPr>
            </w:pPr>
            <w:r w:rsidRPr="000A4594">
              <w:rPr>
                <w:rFonts w:ascii="Times New Roman" w:hAnsi="Times New Roman" w:cs="Times New Roman"/>
                <w:color w:val="000000"/>
                <w:sz w:val="22"/>
                <w:szCs w:val="22"/>
              </w:rPr>
              <w:t>$2,355,073</w:t>
            </w:r>
          </w:p>
        </w:tc>
        <w:tc>
          <w:tcPr>
            <w:tcW w:w="1350" w:type="dxa"/>
            <w:tcBorders>
              <w:top w:val="single" w:sz="4" w:space="0" w:color="auto"/>
              <w:left w:val="single" w:sz="4" w:space="0" w:color="auto"/>
              <w:bottom w:val="single" w:sz="4" w:space="0" w:color="auto"/>
              <w:right w:val="single" w:sz="4" w:space="0" w:color="auto"/>
            </w:tcBorders>
            <w:hideMark/>
          </w:tcPr>
          <w:p w:rsidR="00DE5688" w:rsidRPr="000A4594" w:rsidP="0009304C" w14:paraId="6B2AADD9" w14:textId="77777777">
            <w:pPr>
              <w:widowControl w:val="0"/>
              <w:snapToGrid w:val="0"/>
              <w:jc w:val="right"/>
              <w:rPr>
                <w:rFonts w:ascii="Times New Roman" w:eastAsia="Calibri" w:hAnsi="Times New Roman" w:cs="Times New Roman"/>
                <w:sz w:val="22"/>
                <w:szCs w:val="22"/>
              </w:rPr>
            </w:pPr>
            <w:r w:rsidRPr="000A4594">
              <w:rPr>
                <w:rFonts w:ascii="Times New Roman" w:eastAsia="Calibri" w:hAnsi="Times New Roman" w:cs="Times New Roman"/>
                <w:sz w:val="22"/>
                <w:szCs w:val="22"/>
              </w:rPr>
              <w:t>$21.09**</w:t>
            </w:r>
          </w:p>
        </w:tc>
        <w:tc>
          <w:tcPr>
            <w:tcW w:w="1710" w:type="dxa"/>
            <w:tcBorders>
              <w:top w:val="single" w:sz="4" w:space="0" w:color="auto"/>
              <w:left w:val="single" w:sz="4" w:space="0" w:color="auto"/>
              <w:bottom w:val="single" w:sz="4" w:space="0" w:color="auto"/>
              <w:right w:val="single" w:sz="4" w:space="0" w:color="auto"/>
            </w:tcBorders>
            <w:hideMark/>
          </w:tcPr>
          <w:p w:rsidR="00DE5688" w:rsidRPr="000A4594" w:rsidP="0009304C" w14:paraId="5F5C3EF0" w14:textId="77777777">
            <w:pPr>
              <w:tabs>
                <w:tab w:val="left" w:pos="1350"/>
              </w:tabs>
              <w:autoSpaceDE w:val="0"/>
              <w:autoSpaceDN w:val="0"/>
              <w:adjustRightInd w:val="0"/>
              <w:jc w:val="right"/>
              <w:rPr>
                <w:rFonts w:ascii="Times New Roman" w:eastAsia="Calibri" w:hAnsi="Times New Roman" w:cs="Times New Roman"/>
                <w:sz w:val="22"/>
                <w:szCs w:val="22"/>
              </w:rPr>
            </w:pPr>
            <w:r w:rsidRPr="000A4594">
              <w:rPr>
                <w:rFonts w:ascii="Times New Roman" w:eastAsia="Calibri" w:hAnsi="Times New Roman" w:cs="Times New Roman"/>
                <w:sz w:val="22"/>
                <w:szCs w:val="22"/>
              </w:rPr>
              <w:t>$1,447,217***</w:t>
            </w:r>
          </w:p>
        </w:tc>
      </w:tr>
      <w:tr w14:paraId="4C13984E" w14:textId="77777777" w:rsidTr="00F37FF5">
        <w:tblPrEx>
          <w:tblW w:w="11875" w:type="dxa"/>
          <w:tblLayout w:type="fixed"/>
          <w:tblLook w:val="04A0"/>
        </w:tblPrEx>
        <w:trPr>
          <w:trHeight w:val="208"/>
        </w:trPr>
        <w:tc>
          <w:tcPr>
            <w:tcW w:w="2065" w:type="dxa"/>
            <w:tcBorders>
              <w:top w:val="single" w:sz="4" w:space="0" w:color="auto"/>
              <w:left w:val="single" w:sz="4" w:space="0" w:color="auto"/>
              <w:bottom w:val="single" w:sz="4" w:space="0" w:color="auto"/>
              <w:right w:val="single" w:sz="4" w:space="0" w:color="auto"/>
            </w:tcBorders>
            <w:hideMark/>
          </w:tcPr>
          <w:p w:rsidR="00DE5688" w:rsidRPr="000A4594" w:rsidP="0009304C" w14:paraId="78585E50" w14:textId="77777777">
            <w:pPr>
              <w:rPr>
                <w:rFonts w:ascii="Times New Roman" w:hAnsi="Times New Roman" w:cs="Times New Roman"/>
                <w:color w:val="000000"/>
                <w:sz w:val="22"/>
                <w:szCs w:val="22"/>
              </w:rPr>
            </w:pPr>
            <w:r w:rsidRPr="000A4594">
              <w:rPr>
                <w:rFonts w:ascii="Times New Roman" w:hAnsi="Times New Roman" w:cs="Times New Roman"/>
                <w:color w:val="000000"/>
                <w:sz w:val="22"/>
                <w:szCs w:val="22"/>
              </w:rPr>
              <w:t>State Death Match</w:t>
            </w:r>
            <w:r w:rsidRPr="000A4594">
              <w:rPr>
                <w:rFonts w:ascii="Times New Roman" w:hAnsi="Times New Roman" w:cs="Times New Roman"/>
                <w:color w:val="000000"/>
                <w:sz w:val="22"/>
                <w:szCs w:val="22"/>
              </w:rPr>
              <w:noBreakHyphen/>
              <w:t>CyberFusion/GSO: Non-EDR sites</w:t>
            </w:r>
          </w:p>
        </w:tc>
        <w:tc>
          <w:tcPr>
            <w:tcW w:w="1440" w:type="dxa"/>
            <w:tcBorders>
              <w:top w:val="single" w:sz="4" w:space="0" w:color="auto"/>
              <w:left w:val="single" w:sz="4" w:space="0" w:color="auto"/>
              <w:bottom w:val="single" w:sz="4" w:space="0" w:color="auto"/>
              <w:right w:val="single" w:sz="4" w:space="0" w:color="auto"/>
            </w:tcBorders>
            <w:hideMark/>
          </w:tcPr>
          <w:p w:rsidR="00DE5688" w:rsidRPr="000A4594" w:rsidP="0009304C" w14:paraId="712715C6" w14:textId="77777777">
            <w:pPr>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5</w:t>
            </w:r>
          </w:p>
        </w:tc>
        <w:tc>
          <w:tcPr>
            <w:tcW w:w="1260" w:type="dxa"/>
            <w:tcBorders>
              <w:top w:val="single" w:sz="4" w:space="0" w:color="auto"/>
              <w:left w:val="single" w:sz="4" w:space="0" w:color="auto"/>
              <w:bottom w:val="single" w:sz="4" w:space="0" w:color="auto"/>
              <w:right w:val="single" w:sz="4" w:space="0" w:color="auto"/>
            </w:tcBorders>
            <w:hideMark/>
          </w:tcPr>
          <w:p w:rsidR="00DE5688" w:rsidRPr="000A4594" w:rsidP="0009304C" w14:paraId="037B50BC" w14:textId="77777777">
            <w:pPr>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187,570</w:t>
            </w:r>
          </w:p>
        </w:tc>
        <w:tc>
          <w:tcPr>
            <w:tcW w:w="1170" w:type="dxa"/>
            <w:tcBorders>
              <w:top w:val="single" w:sz="4" w:space="0" w:color="auto"/>
              <w:left w:val="single" w:sz="4" w:space="0" w:color="auto"/>
              <w:bottom w:val="single" w:sz="4" w:space="0" w:color="auto"/>
              <w:right w:val="single" w:sz="4" w:space="0" w:color="auto"/>
            </w:tcBorders>
          </w:tcPr>
          <w:p w:rsidR="00DE5688" w:rsidRPr="000A4594" w:rsidP="00DE5688" w14:paraId="528EB9EE" w14:textId="187C21DF">
            <w:pPr>
              <w:ind w:firstLine="335"/>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$0.88</w:t>
            </w:r>
          </w:p>
        </w:tc>
        <w:tc>
          <w:tcPr>
            <w:tcW w:w="1440" w:type="dxa"/>
            <w:tcBorders>
              <w:top w:val="single" w:sz="4" w:space="0" w:color="auto"/>
              <w:left w:val="single" w:sz="4" w:space="0" w:color="auto"/>
              <w:bottom w:val="single" w:sz="4" w:space="0" w:color="auto"/>
              <w:right w:val="single" w:sz="4" w:space="0" w:color="auto"/>
            </w:tcBorders>
          </w:tcPr>
          <w:p w:rsidR="00DE5688" w:rsidRPr="000A4594" w:rsidP="0009304C" w14:paraId="307D2E0F" w14:textId="4E3140C6">
            <w:pPr>
              <w:ind w:firstLine="335"/>
              <w:rPr>
                <w:rFonts w:ascii="Times New Roman" w:hAnsi="Times New Roman" w:cs="Times New Roman"/>
                <w:color w:val="000000"/>
                <w:sz w:val="22"/>
                <w:szCs w:val="22"/>
              </w:rPr>
            </w:pPr>
            <w:r w:rsidRPr="000A4594">
              <w:rPr>
                <w:rFonts w:ascii="Times New Roman" w:hAnsi="Times New Roman" w:cs="Times New Roman"/>
                <w:color w:val="000000"/>
                <w:sz w:val="22"/>
                <w:szCs w:val="22"/>
              </w:rPr>
              <w:t>937,850</w:t>
            </w:r>
          </w:p>
        </w:tc>
        <w:tc>
          <w:tcPr>
            <w:tcW w:w="1440" w:type="dxa"/>
            <w:tcBorders>
              <w:top w:val="single" w:sz="4" w:space="0" w:color="auto"/>
              <w:left w:val="single" w:sz="4" w:space="0" w:color="auto"/>
              <w:bottom w:val="single" w:sz="4" w:space="0" w:color="auto"/>
              <w:right w:val="single" w:sz="4" w:space="0" w:color="auto"/>
            </w:tcBorders>
            <w:hideMark/>
          </w:tcPr>
          <w:p w:rsidR="00DE5688" w:rsidRPr="000A4594" w:rsidP="0009304C" w14:paraId="7D2AF130" w14:textId="5FC1FFBF">
            <w:pPr>
              <w:ind w:firstLine="335"/>
              <w:rPr>
                <w:rFonts w:ascii="Times New Roman" w:hAnsi="Times New Roman" w:cs="Times New Roman"/>
                <w:color w:val="000000"/>
                <w:sz w:val="22"/>
                <w:szCs w:val="22"/>
              </w:rPr>
            </w:pPr>
            <w:r w:rsidRPr="000A4594">
              <w:rPr>
                <w:rFonts w:ascii="Times New Roman" w:hAnsi="Times New Roman" w:cs="Times New Roman"/>
                <w:color w:val="000000"/>
                <w:sz w:val="22"/>
                <w:szCs w:val="22"/>
              </w:rPr>
              <w:t xml:space="preserve">$825,308 </w:t>
            </w:r>
          </w:p>
        </w:tc>
        <w:tc>
          <w:tcPr>
            <w:tcW w:w="1350" w:type="dxa"/>
            <w:tcBorders>
              <w:top w:val="single" w:sz="4" w:space="0" w:color="auto"/>
              <w:left w:val="single" w:sz="4" w:space="0" w:color="auto"/>
              <w:bottom w:val="single" w:sz="4" w:space="0" w:color="auto"/>
              <w:right w:val="single" w:sz="4" w:space="0" w:color="auto"/>
            </w:tcBorders>
            <w:hideMark/>
          </w:tcPr>
          <w:p w:rsidR="00DE5688" w:rsidRPr="000A4594" w:rsidP="0009304C" w14:paraId="7373C0E3" w14:textId="77777777">
            <w:pPr>
              <w:widowControl w:val="0"/>
              <w:snapToGrid w:val="0"/>
              <w:jc w:val="right"/>
              <w:rPr>
                <w:rFonts w:ascii="Times New Roman" w:eastAsia="Calibri" w:hAnsi="Times New Roman" w:cs="Times New Roman"/>
                <w:sz w:val="22"/>
                <w:szCs w:val="22"/>
              </w:rPr>
            </w:pPr>
            <w:r w:rsidRPr="000A4594">
              <w:rPr>
                <w:rFonts w:ascii="Times New Roman" w:eastAsia="Calibri" w:hAnsi="Times New Roman" w:cs="Times New Roman"/>
                <w:sz w:val="22"/>
                <w:szCs w:val="22"/>
              </w:rPr>
              <w:t>$21.09**</w:t>
            </w:r>
          </w:p>
        </w:tc>
        <w:tc>
          <w:tcPr>
            <w:tcW w:w="1710" w:type="dxa"/>
            <w:tcBorders>
              <w:top w:val="single" w:sz="4" w:space="0" w:color="auto"/>
              <w:left w:val="single" w:sz="4" w:space="0" w:color="auto"/>
              <w:bottom w:val="single" w:sz="4" w:space="0" w:color="auto"/>
              <w:right w:val="single" w:sz="4" w:space="0" w:color="auto"/>
            </w:tcBorders>
            <w:hideMark/>
          </w:tcPr>
          <w:p w:rsidR="00DE5688" w:rsidRPr="000A4594" w:rsidP="0009304C" w14:paraId="3ABBA772" w14:textId="77777777">
            <w:pPr>
              <w:tabs>
                <w:tab w:val="left" w:pos="1350"/>
              </w:tabs>
              <w:autoSpaceDE w:val="0"/>
              <w:autoSpaceDN w:val="0"/>
              <w:adjustRightInd w:val="0"/>
              <w:jc w:val="right"/>
              <w:rPr>
                <w:rFonts w:ascii="Times New Roman" w:eastAsia="Calibri" w:hAnsi="Times New Roman" w:cs="Times New Roman"/>
                <w:sz w:val="22"/>
                <w:szCs w:val="22"/>
              </w:rPr>
            </w:pPr>
            <w:r w:rsidRPr="000A4594">
              <w:rPr>
                <w:rFonts w:ascii="Times New Roman" w:eastAsia="Calibri" w:hAnsi="Times New Roman" w:cs="Times New Roman"/>
                <w:sz w:val="22"/>
                <w:szCs w:val="22"/>
              </w:rPr>
              <w:t>$3,955,851***</w:t>
            </w:r>
          </w:p>
        </w:tc>
      </w:tr>
      <w:tr w14:paraId="484202A7" w14:textId="77777777" w:rsidTr="00F37FF5">
        <w:tblPrEx>
          <w:tblW w:w="11875" w:type="dxa"/>
          <w:tblLayout w:type="fixed"/>
          <w:tblLook w:val="04A0"/>
        </w:tblPrEx>
        <w:trPr>
          <w:trHeight w:val="208"/>
        </w:trPr>
        <w:tc>
          <w:tcPr>
            <w:tcW w:w="2065" w:type="dxa"/>
            <w:tcBorders>
              <w:top w:val="single" w:sz="4" w:space="0" w:color="auto"/>
              <w:left w:val="single" w:sz="4" w:space="0" w:color="auto"/>
              <w:bottom w:val="single" w:sz="4" w:space="0" w:color="auto"/>
              <w:right w:val="single" w:sz="4" w:space="0" w:color="auto"/>
            </w:tcBorders>
            <w:hideMark/>
          </w:tcPr>
          <w:p w:rsidR="00DE5688" w:rsidRPr="000A4594" w:rsidP="0009304C" w14:paraId="26C6C4A6" w14:textId="77777777">
            <w:pPr>
              <w:rPr>
                <w:rFonts w:ascii="Times New Roman" w:hAnsi="Times New Roman" w:cs="Times New Roman"/>
                <w:b/>
                <w:color w:val="000000"/>
                <w:sz w:val="22"/>
                <w:szCs w:val="22"/>
              </w:rPr>
            </w:pPr>
            <w:r w:rsidRPr="000A4594">
              <w:rPr>
                <w:rFonts w:ascii="Times New Roman" w:hAnsi="Times New Roman" w:cs="Times New Roman"/>
                <w:b/>
                <w:color w:val="000000"/>
                <w:sz w:val="22"/>
                <w:szCs w:val="22"/>
              </w:rPr>
              <w:t>Total: Non-EDR</w:t>
            </w:r>
          </w:p>
        </w:tc>
        <w:tc>
          <w:tcPr>
            <w:tcW w:w="1440" w:type="dxa"/>
            <w:tcBorders>
              <w:top w:val="single" w:sz="4" w:space="0" w:color="auto"/>
              <w:left w:val="single" w:sz="4" w:space="0" w:color="auto"/>
              <w:bottom w:val="single" w:sz="4" w:space="0" w:color="auto"/>
              <w:right w:val="single" w:sz="4" w:space="0" w:color="auto"/>
            </w:tcBorders>
            <w:hideMark/>
          </w:tcPr>
          <w:p w:rsidR="00DE5688" w:rsidRPr="000A4594" w:rsidP="0009304C" w14:paraId="3272E5C1" w14:textId="77777777">
            <w:pPr>
              <w:jc w:val="right"/>
              <w:rPr>
                <w:rFonts w:ascii="Times New Roman" w:hAnsi="Times New Roman" w:cs="Times New Roman"/>
                <w:b/>
                <w:color w:val="000000"/>
                <w:sz w:val="22"/>
                <w:szCs w:val="22"/>
              </w:rPr>
            </w:pPr>
            <w:r w:rsidRPr="000A4594">
              <w:rPr>
                <w:rFonts w:ascii="Times New Roman" w:hAnsi="Times New Roman" w:cs="Times New Roman"/>
                <w:b/>
                <w:color w:val="000000"/>
                <w:sz w:val="22"/>
                <w:szCs w:val="22"/>
              </w:rPr>
              <w:t>44</w:t>
            </w:r>
          </w:p>
        </w:tc>
        <w:tc>
          <w:tcPr>
            <w:tcW w:w="1260" w:type="dxa"/>
            <w:tcBorders>
              <w:top w:val="single" w:sz="4" w:space="0" w:color="auto"/>
              <w:left w:val="single" w:sz="4" w:space="0" w:color="auto"/>
              <w:bottom w:val="single" w:sz="4" w:space="0" w:color="auto"/>
              <w:right w:val="single" w:sz="4" w:space="0" w:color="auto"/>
            </w:tcBorders>
          </w:tcPr>
          <w:p w:rsidR="00DE5688" w:rsidRPr="000A4594" w:rsidP="0009304C" w14:paraId="7CE4E198" w14:textId="77777777">
            <w:pPr>
              <w:jc w:val="right"/>
              <w:rPr>
                <w:rFonts w:ascii="Times New Roman" w:hAnsi="Times New Roman" w:cs="Times New Roman"/>
                <w:b/>
                <w:color w:val="000000"/>
                <w:sz w:val="22"/>
                <w:szCs w:val="22"/>
              </w:rPr>
            </w:pPr>
          </w:p>
        </w:tc>
        <w:tc>
          <w:tcPr>
            <w:tcW w:w="1170" w:type="dxa"/>
            <w:tcBorders>
              <w:top w:val="single" w:sz="4" w:space="0" w:color="auto"/>
              <w:left w:val="single" w:sz="4" w:space="0" w:color="auto"/>
              <w:bottom w:val="single" w:sz="4" w:space="0" w:color="auto"/>
              <w:right w:val="single" w:sz="4" w:space="0" w:color="auto"/>
            </w:tcBorders>
          </w:tcPr>
          <w:p w:rsidR="00DE5688" w:rsidRPr="000A4594" w:rsidP="0009304C" w14:paraId="6775EAD3" w14:textId="77777777">
            <w:pPr>
              <w:ind w:firstLine="158"/>
              <w:jc w:val="right"/>
              <w:rPr>
                <w:rFonts w:ascii="Times New Roman" w:hAnsi="Times New Roman" w:cs="Times New Roman"/>
                <w:b/>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DE5688" w:rsidRPr="000A4594" w:rsidP="0009304C" w14:paraId="7CA2FA63" w14:textId="487FBCAC">
            <w:pPr>
              <w:ind w:firstLine="158"/>
              <w:jc w:val="right"/>
              <w:rPr>
                <w:rFonts w:ascii="Times New Roman" w:hAnsi="Times New Roman" w:cs="Times New Roman"/>
                <w:b/>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DE5688" w:rsidRPr="000A4594" w:rsidP="0009304C" w14:paraId="2F94B3B0" w14:textId="4D5CCFF6">
            <w:pPr>
              <w:ind w:firstLine="158"/>
              <w:jc w:val="right"/>
              <w:rPr>
                <w:rFonts w:ascii="Times New Roman" w:hAnsi="Times New Roman" w:cs="Times New Roman"/>
                <w:b/>
                <w:color w:val="000000"/>
                <w:sz w:val="22"/>
                <w:szCs w:val="22"/>
              </w:rPr>
            </w:pPr>
            <w:r w:rsidRPr="000A4594">
              <w:rPr>
                <w:rFonts w:ascii="Times New Roman" w:hAnsi="Times New Roman" w:cs="Times New Roman"/>
                <w:b/>
                <w:color w:val="000000"/>
                <w:sz w:val="22"/>
                <w:szCs w:val="22"/>
              </w:rPr>
              <w:t>$3,180,381</w:t>
            </w:r>
          </w:p>
        </w:tc>
        <w:tc>
          <w:tcPr>
            <w:tcW w:w="1350" w:type="dxa"/>
            <w:tcBorders>
              <w:top w:val="single" w:sz="4" w:space="0" w:color="auto"/>
              <w:left w:val="single" w:sz="4" w:space="0" w:color="auto"/>
              <w:bottom w:val="single" w:sz="4" w:space="0" w:color="auto"/>
              <w:right w:val="single" w:sz="4" w:space="0" w:color="auto"/>
            </w:tcBorders>
          </w:tcPr>
          <w:p w:rsidR="00DE5688" w:rsidRPr="000A4594" w:rsidP="0009304C" w14:paraId="76BE4485" w14:textId="77777777">
            <w:pPr>
              <w:widowControl w:val="0"/>
              <w:snapToGrid w:val="0"/>
              <w:jc w:val="right"/>
              <w:rPr>
                <w:rFonts w:ascii="Times New Roman" w:eastAsia="Calibri" w:hAnsi="Times New Roman" w:cs="Times New Roman"/>
                <w:sz w:val="22"/>
                <w:szCs w:val="22"/>
              </w:rPr>
            </w:pPr>
          </w:p>
        </w:tc>
        <w:tc>
          <w:tcPr>
            <w:tcW w:w="1710" w:type="dxa"/>
            <w:tcBorders>
              <w:top w:val="single" w:sz="4" w:space="0" w:color="auto"/>
              <w:left w:val="single" w:sz="4" w:space="0" w:color="auto"/>
              <w:bottom w:val="single" w:sz="4" w:space="0" w:color="auto"/>
              <w:right w:val="single" w:sz="4" w:space="0" w:color="auto"/>
            </w:tcBorders>
            <w:hideMark/>
          </w:tcPr>
          <w:p w:rsidR="00DE5688" w:rsidRPr="000A4594" w:rsidP="0009304C" w14:paraId="7C579D7F" w14:textId="77777777">
            <w:pPr>
              <w:tabs>
                <w:tab w:val="left" w:pos="1350"/>
              </w:tabs>
              <w:autoSpaceDE w:val="0"/>
              <w:autoSpaceDN w:val="0"/>
              <w:adjustRightInd w:val="0"/>
              <w:jc w:val="right"/>
              <w:rPr>
                <w:rFonts w:ascii="Times New Roman" w:eastAsia="Calibri" w:hAnsi="Times New Roman" w:cs="Times New Roman"/>
                <w:b/>
                <w:sz w:val="22"/>
                <w:szCs w:val="22"/>
              </w:rPr>
            </w:pPr>
            <w:r w:rsidRPr="000A4594">
              <w:rPr>
                <w:rFonts w:ascii="Times New Roman" w:eastAsia="Calibri" w:hAnsi="Times New Roman" w:cs="Times New Roman"/>
                <w:b/>
                <w:sz w:val="22"/>
                <w:szCs w:val="22"/>
              </w:rPr>
              <w:t>$5,403,068</w:t>
            </w:r>
          </w:p>
        </w:tc>
      </w:tr>
      <w:tr w14:paraId="5267D0B0" w14:textId="77777777" w:rsidTr="00F37FF5">
        <w:tblPrEx>
          <w:tblW w:w="11875" w:type="dxa"/>
          <w:tblLayout w:type="fixed"/>
          <w:tblLook w:val="04A0"/>
        </w:tblPrEx>
        <w:trPr>
          <w:trHeight w:val="208"/>
        </w:trPr>
        <w:tc>
          <w:tcPr>
            <w:tcW w:w="2065" w:type="dxa"/>
            <w:tcBorders>
              <w:top w:val="single" w:sz="4" w:space="0" w:color="auto"/>
              <w:left w:val="single" w:sz="4" w:space="0" w:color="auto"/>
              <w:bottom w:val="single" w:sz="4" w:space="0" w:color="auto"/>
              <w:right w:val="single" w:sz="4" w:space="0" w:color="auto"/>
            </w:tcBorders>
            <w:hideMark/>
          </w:tcPr>
          <w:p w:rsidR="00DE5688" w:rsidRPr="000A4594" w:rsidP="0009304C" w14:paraId="276CA1B4" w14:textId="77777777">
            <w:pPr>
              <w:rPr>
                <w:rFonts w:ascii="Times New Roman" w:hAnsi="Times New Roman" w:cs="Times New Roman"/>
                <w:color w:val="000000"/>
                <w:sz w:val="22"/>
                <w:szCs w:val="22"/>
              </w:rPr>
            </w:pPr>
            <w:r w:rsidRPr="000A4594">
              <w:rPr>
                <w:rFonts w:ascii="Times New Roman" w:hAnsi="Times New Roman" w:cs="Times New Roman"/>
                <w:color w:val="000000"/>
                <w:sz w:val="22"/>
                <w:szCs w:val="22"/>
              </w:rPr>
              <w:t>State Death Match- EDR</w:t>
            </w:r>
          </w:p>
        </w:tc>
        <w:tc>
          <w:tcPr>
            <w:tcW w:w="1440" w:type="dxa"/>
            <w:tcBorders>
              <w:top w:val="single" w:sz="4" w:space="0" w:color="auto"/>
              <w:left w:val="single" w:sz="4" w:space="0" w:color="auto"/>
              <w:bottom w:val="single" w:sz="4" w:space="0" w:color="auto"/>
              <w:right w:val="single" w:sz="4" w:space="0" w:color="auto"/>
            </w:tcBorders>
            <w:hideMark/>
          </w:tcPr>
          <w:p w:rsidR="00DE5688" w:rsidRPr="000A4594" w:rsidP="0009304C" w14:paraId="0D84327D" w14:textId="77777777">
            <w:pPr>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48</w:t>
            </w:r>
          </w:p>
        </w:tc>
        <w:tc>
          <w:tcPr>
            <w:tcW w:w="1260" w:type="dxa"/>
            <w:tcBorders>
              <w:top w:val="single" w:sz="4" w:space="0" w:color="auto"/>
              <w:left w:val="single" w:sz="4" w:space="0" w:color="auto"/>
              <w:bottom w:val="single" w:sz="4" w:space="0" w:color="auto"/>
              <w:right w:val="single" w:sz="4" w:space="0" w:color="auto"/>
            </w:tcBorders>
            <w:hideMark/>
          </w:tcPr>
          <w:p w:rsidR="00DE5688" w:rsidRPr="000A4594" w:rsidP="0009304C" w14:paraId="23918C73" w14:textId="77777777">
            <w:pPr>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 xml:space="preserve">2,573,956 </w:t>
            </w:r>
          </w:p>
        </w:tc>
        <w:tc>
          <w:tcPr>
            <w:tcW w:w="1170" w:type="dxa"/>
            <w:tcBorders>
              <w:top w:val="single" w:sz="4" w:space="0" w:color="auto"/>
              <w:left w:val="single" w:sz="4" w:space="0" w:color="auto"/>
              <w:bottom w:val="single" w:sz="4" w:space="0" w:color="auto"/>
              <w:right w:val="single" w:sz="4" w:space="0" w:color="auto"/>
            </w:tcBorders>
          </w:tcPr>
          <w:p w:rsidR="00DE5688" w:rsidRPr="000A4594" w:rsidP="0009304C" w14:paraId="74511B3A" w14:textId="574D4407">
            <w:pPr>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$2.05</w:t>
            </w:r>
          </w:p>
        </w:tc>
        <w:tc>
          <w:tcPr>
            <w:tcW w:w="1440" w:type="dxa"/>
            <w:tcBorders>
              <w:top w:val="single" w:sz="4" w:space="0" w:color="auto"/>
              <w:left w:val="single" w:sz="4" w:space="0" w:color="auto"/>
              <w:bottom w:val="single" w:sz="4" w:space="0" w:color="auto"/>
              <w:right w:val="single" w:sz="4" w:space="0" w:color="auto"/>
            </w:tcBorders>
          </w:tcPr>
          <w:p w:rsidR="00DE5688" w:rsidRPr="000A4594" w:rsidP="0009304C" w14:paraId="4A9BEA05" w14:textId="31BE8069">
            <w:pPr>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123,549,888</w:t>
            </w:r>
          </w:p>
        </w:tc>
        <w:tc>
          <w:tcPr>
            <w:tcW w:w="1440" w:type="dxa"/>
            <w:tcBorders>
              <w:top w:val="single" w:sz="4" w:space="0" w:color="auto"/>
              <w:left w:val="single" w:sz="4" w:space="0" w:color="auto"/>
              <w:bottom w:val="single" w:sz="4" w:space="0" w:color="auto"/>
              <w:right w:val="single" w:sz="4" w:space="0" w:color="auto"/>
            </w:tcBorders>
            <w:hideMark/>
          </w:tcPr>
          <w:p w:rsidR="00DE5688" w:rsidRPr="000A4594" w:rsidP="0009304C" w14:paraId="3FB98441" w14:textId="136CA8FF">
            <w:pPr>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$253,277,270</w:t>
            </w:r>
          </w:p>
        </w:tc>
        <w:tc>
          <w:tcPr>
            <w:tcW w:w="1350" w:type="dxa"/>
            <w:tcBorders>
              <w:top w:val="single" w:sz="4" w:space="0" w:color="auto"/>
              <w:left w:val="single" w:sz="4" w:space="0" w:color="auto"/>
              <w:bottom w:val="single" w:sz="4" w:space="0" w:color="auto"/>
              <w:right w:val="single" w:sz="4" w:space="0" w:color="auto"/>
            </w:tcBorders>
            <w:hideMark/>
          </w:tcPr>
          <w:p w:rsidR="00DE5688" w:rsidRPr="000A4594" w:rsidP="0009304C" w14:paraId="4B138E60" w14:textId="77777777">
            <w:pPr>
              <w:widowControl w:val="0"/>
              <w:snapToGrid w:val="0"/>
              <w:jc w:val="right"/>
              <w:rPr>
                <w:rFonts w:ascii="Times New Roman" w:eastAsia="Calibri" w:hAnsi="Times New Roman" w:cs="Times New Roman"/>
                <w:sz w:val="22"/>
                <w:szCs w:val="22"/>
              </w:rPr>
            </w:pPr>
            <w:r w:rsidRPr="000A4594">
              <w:rPr>
                <w:rFonts w:ascii="Times New Roman" w:eastAsia="Calibri" w:hAnsi="Times New Roman" w:cs="Times New Roman"/>
                <w:sz w:val="22"/>
                <w:szCs w:val="22"/>
              </w:rPr>
              <w:t>$21.09**</w:t>
            </w:r>
          </w:p>
        </w:tc>
        <w:tc>
          <w:tcPr>
            <w:tcW w:w="1710" w:type="dxa"/>
            <w:tcBorders>
              <w:top w:val="single" w:sz="4" w:space="0" w:color="auto"/>
              <w:left w:val="single" w:sz="4" w:space="0" w:color="auto"/>
              <w:bottom w:val="single" w:sz="4" w:space="0" w:color="auto"/>
              <w:right w:val="single" w:sz="4" w:space="0" w:color="auto"/>
            </w:tcBorders>
            <w:hideMark/>
          </w:tcPr>
          <w:p w:rsidR="00DE5688" w:rsidRPr="000A4594" w:rsidP="0009304C" w14:paraId="4849CDC5" w14:textId="77777777">
            <w:pPr>
              <w:tabs>
                <w:tab w:val="left" w:pos="1350"/>
              </w:tabs>
              <w:autoSpaceDE w:val="0"/>
              <w:autoSpaceDN w:val="0"/>
              <w:adjustRightInd w:val="0"/>
              <w:jc w:val="right"/>
              <w:rPr>
                <w:rFonts w:ascii="Times New Roman" w:eastAsia="Calibri" w:hAnsi="Times New Roman" w:cs="Times New Roman"/>
                <w:sz w:val="22"/>
                <w:szCs w:val="22"/>
              </w:rPr>
            </w:pPr>
            <w:r w:rsidRPr="000A4594">
              <w:rPr>
                <w:rFonts w:ascii="Times New Roman" w:eastAsia="Calibri" w:hAnsi="Times New Roman" w:cs="Times New Roman"/>
                <w:sz w:val="22"/>
                <w:szCs w:val="22"/>
              </w:rPr>
              <w:t>$54,284,732***</w:t>
            </w:r>
          </w:p>
        </w:tc>
      </w:tr>
      <w:tr w14:paraId="7E1E4EDE" w14:textId="77777777" w:rsidTr="00F37FF5">
        <w:tblPrEx>
          <w:tblW w:w="11875" w:type="dxa"/>
          <w:tblLayout w:type="fixed"/>
          <w:tblLook w:val="04A0"/>
        </w:tblPrEx>
        <w:trPr>
          <w:trHeight w:val="208"/>
        </w:trPr>
        <w:tc>
          <w:tcPr>
            <w:tcW w:w="2065" w:type="dxa"/>
            <w:tcBorders>
              <w:top w:val="single" w:sz="4" w:space="0" w:color="auto"/>
              <w:left w:val="single" w:sz="4" w:space="0" w:color="auto"/>
              <w:bottom w:val="single" w:sz="4" w:space="0" w:color="auto"/>
              <w:right w:val="single" w:sz="4" w:space="0" w:color="auto"/>
            </w:tcBorders>
            <w:hideMark/>
          </w:tcPr>
          <w:p w:rsidR="00DE5688" w:rsidRPr="000A4594" w:rsidP="0009304C" w14:paraId="73BDCCC5" w14:textId="77777777">
            <w:pPr>
              <w:rPr>
                <w:rFonts w:ascii="Times New Roman" w:hAnsi="Times New Roman" w:cs="Times New Roman"/>
                <w:color w:val="000000"/>
                <w:sz w:val="22"/>
                <w:szCs w:val="22"/>
              </w:rPr>
            </w:pPr>
            <w:r w:rsidRPr="000A4594">
              <w:rPr>
                <w:rFonts w:ascii="Times New Roman" w:hAnsi="Times New Roman" w:cs="Times New Roman"/>
                <w:color w:val="000000"/>
                <w:sz w:val="22"/>
                <w:szCs w:val="22"/>
              </w:rPr>
              <w:t>States Expected to Become – State Death Match-EDR Within the Next 3 Years**</w:t>
            </w:r>
          </w:p>
        </w:tc>
        <w:tc>
          <w:tcPr>
            <w:tcW w:w="1440" w:type="dxa"/>
            <w:tcBorders>
              <w:top w:val="single" w:sz="4" w:space="0" w:color="auto"/>
              <w:left w:val="single" w:sz="4" w:space="0" w:color="auto"/>
              <w:bottom w:val="single" w:sz="4" w:space="0" w:color="auto"/>
              <w:right w:val="single" w:sz="4" w:space="0" w:color="auto"/>
            </w:tcBorders>
            <w:hideMark/>
          </w:tcPr>
          <w:p w:rsidR="00DE5688" w:rsidRPr="000A4594" w:rsidP="0009304C" w14:paraId="5365A3CA" w14:textId="77777777">
            <w:pPr>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5</w:t>
            </w:r>
          </w:p>
        </w:tc>
        <w:tc>
          <w:tcPr>
            <w:tcW w:w="1260" w:type="dxa"/>
            <w:tcBorders>
              <w:top w:val="single" w:sz="4" w:space="0" w:color="auto"/>
              <w:left w:val="single" w:sz="4" w:space="0" w:color="auto"/>
              <w:bottom w:val="single" w:sz="4" w:space="0" w:color="auto"/>
              <w:right w:val="single" w:sz="4" w:space="0" w:color="auto"/>
            </w:tcBorders>
            <w:hideMark/>
          </w:tcPr>
          <w:p w:rsidR="00DE5688" w:rsidRPr="000A4594" w:rsidP="0009304C" w14:paraId="7D4970E5" w14:textId="77777777">
            <w:pPr>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 xml:space="preserve">62,600 </w:t>
            </w:r>
          </w:p>
        </w:tc>
        <w:tc>
          <w:tcPr>
            <w:tcW w:w="1170" w:type="dxa"/>
            <w:tcBorders>
              <w:top w:val="single" w:sz="4" w:space="0" w:color="auto"/>
              <w:left w:val="single" w:sz="4" w:space="0" w:color="auto"/>
              <w:bottom w:val="single" w:sz="4" w:space="0" w:color="auto"/>
              <w:right w:val="single" w:sz="4" w:space="0" w:color="auto"/>
            </w:tcBorders>
          </w:tcPr>
          <w:p w:rsidR="00DE5688" w:rsidRPr="000A4594" w:rsidP="0009304C" w14:paraId="00FED015" w14:textId="1645A38C">
            <w:pPr>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$3.17</w:t>
            </w:r>
          </w:p>
        </w:tc>
        <w:tc>
          <w:tcPr>
            <w:tcW w:w="1440" w:type="dxa"/>
            <w:tcBorders>
              <w:top w:val="single" w:sz="4" w:space="0" w:color="auto"/>
              <w:left w:val="single" w:sz="4" w:space="0" w:color="auto"/>
              <w:bottom w:val="single" w:sz="4" w:space="0" w:color="auto"/>
              <w:right w:val="single" w:sz="4" w:space="0" w:color="auto"/>
            </w:tcBorders>
          </w:tcPr>
          <w:p w:rsidR="00DE5688" w:rsidRPr="000A4594" w:rsidP="0009304C" w14:paraId="3AF36274" w14:textId="668E6D2A">
            <w:pPr>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313,000</w:t>
            </w:r>
          </w:p>
        </w:tc>
        <w:tc>
          <w:tcPr>
            <w:tcW w:w="1440" w:type="dxa"/>
            <w:tcBorders>
              <w:top w:val="single" w:sz="4" w:space="0" w:color="auto"/>
              <w:left w:val="single" w:sz="4" w:space="0" w:color="auto"/>
              <w:bottom w:val="single" w:sz="4" w:space="0" w:color="auto"/>
              <w:right w:val="single" w:sz="4" w:space="0" w:color="auto"/>
            </w:tcBorders>
            <w:hideMark/>
          </w:tcPr>
          <w:p w:rsidR="00DE5688" w:rsidRPr="000A4594" w:rsidP="0009304C" w14:paraId="248395DB" w14:textId="5A6DA22C">
            <w:pPr>
              <w:jc w:val="right"/>
              <w:rPr>
                <w:rFonts w:ascii="Times New Roman" w:hAnsi="Times New Roman" w:cs="Times New Roman"/>
                <w:color w:val="000000"/>
                <w:sz w:val="22"/>
                <w:szCs w:val="22"/>
              </w:rPr>
            </w:pPr>
            <w:r w:rsidRPr="000A4594">
              <w:rPr>
                <w:rFonts w:ascii="Times New Roman" w:hAnsi="Times New Roman" w:cs="Times New Roman"/>
                <w:color w:val="000000"/>
                <w:sz w:val="22"/>
                <w:szCs w:val="22"/>
              </w:rPr>
              <w:t>$992,210</w:t>
            </w:r>
          </w:p>
        </w:tc>
        <w:tc>
          <w:tcPr>
            <w:tcW w:w="1350" w:type="dxa"/>
            <w:tcBorders>
              <w:top w:val="single" w:sz="4" w:space="0" w:color="auto"/>
              <w:left w:val="single" w:sz="4" w:space="0" w:color="auto"/>
              <w:bottom w:val="single" w:sz="4" w:space="0" w:color="auto"/>
              <w:right w:val="single" w:sz="4" w:space="0" w:color="auto"/>
            </w:tcBorders>
            <w:hideMark/>
          </w:tcPr>
          <w:p w:rsidR="00DE5688" w:rsidRPr="000A4594" w:rsidP="0009304C" w14:paraId="6718BAA3" w14:textId="77777777">
            <w:pPr>
              <w:widowControl w:val="0"/>
              <w:snapToGrid w:val="0"/>
              <w:jc w:val="right"/>
              <w:rPr>
                <w:rFonts w:ascii="Times New Roman" w:eastAsia="Calibri" w:hAnsi="Times New Roman" w:cs="Times New Roman"/>
                <w:sz w:val="22"/>
                <w:szCs w:val="22"/>
              </w:rPr>
            </w:pPr>
            <w:r w:rsidRPr="000A4594">
              <w:rPr>
                <w:rFonts w:ascii="Times New Roman" w:eastAsia="Calibri" w:hAnsi="Times New Roman" w:cs="Times New Roman"/>
                <w:sz w:val="22"/>
                <w:szCs w:val="22"/>
              </w:rPr>
              <w:t>$21.09**</w:t>
            </w:r>
          </w:p>
        </w:tc>
        <w:tc>
          <w:tcPr>
            <w:tcW w:w="1710" w:type="dxa"/>
            <w:tcBorders>
              <w:top w:val="single" w:sz="4" w:space="0" w:color="auto"/>
              <w:left w:val="single" w:sz="4" w:space="0" w:color="auto"/>
              <w:bottom w:val="single" w:sz="4" w:space="0" w:color="auto"/>
              <w:right w:val="single" w:sz="4" w:space="0" w:color="auto"/>
            </w:tcBorders>
            <w:hideMark/>
          </w:tcPr>
          <w:p w:rsidR="00DE5688" w:rsidRPr="000A4594" w:rsidP="0009304C" w14:paraId="3ABCF561" w14:textId="77777777">
            <w:pPr>
              <w:tabs>
                <w:tab w:val="left" w:pos="1350"/>
              </w:tabs>
              <w:autoSpaceDE w:val="0"/>
              <w:autoSpaceDN w:val="0"/>
              <w:adjustRightInd w:val="0"/>
              <w:jc w:val="right"/>
              <w:rPr>
                <w:rFonts w:ascii="Times New Roman" w:eastAsia="Calibri" w:hAnsi="Times New Roman" w:cs="Times New Roman"/>
                <w:sz w:val="22"/>
                <w:szCs w:val="22"/>
              </w:rPr>
            </w:pPr>
            <w:r w:rsidRPr="000A4594">
              <w:rPr>
                <w:rFonts w:ascii="Times New Roman" w:eastAsia="Calibri" w:hAnsi="Times New Roman" w:cs="Times New Roman"/>
                <w:sz w:val="22"/>
                <w:szCs w:val="22"/>
              </w:rPr>
              <w:t>$1,320,234***</w:t>
            </w:r>
          </w:p>
        </w:tc>
      </w:tr>
      <w:tr w14:paraId="75F94684" w14:textId="77777777" w:rsidTr="00F37FF5">
        <w:tblPrEx>
          <w:tblW w:w="11875" w:type="dxa"/>
          <w:tblLayout w:type="fixed"/>
          <w:tblLook w:val="04A0"/>
        </w:tblPrEx>
        <w:trPr>
          <w:trHeight w:val="208"/>
        </w:trPr>
        <w:tc>
          <w:tcPr>
            <w:tcW w:w="2065" w:type="dxa"/>
            <w:tcBorders>
              <w:top w:val="single" w:sz="4" w:space="0" w:color="auto"/>
              <w:left w:val="single" w:sz="4" w:space="0" w:color="auto"/>
              <w:bottom w:val="single" w:sz="4" w:space="0" w:color="auto"/>
              <w:right w:val="single" w:sz="4" w:space="0" w:color="auto"/>
            </w:tcBorders>
            <w:hideMark/>
          </w:tcPr>
          <w:p w:rsidR="00DE5688" w:rsidRPr="000A4594" w:rsidP="0009304C" w14:paraId="6BC4A989" w14:textId="77777777">
            <w:pPr>
              <w:rPr>
                <w:rFonts w:ascii="Times New Roman" w:hAnsi="Times New Roman" w:cs="Times New Roman"/>
                <w:color w:val="000000"/>
                <w:sz w:val="22"/>
                <w:szCs w:val="22"/>
              </w:rPr>
            </w:pPr>
            <w:r w:rsidRPr="000A4594">
              <w:rPr>
                <w:rFonts w:ascii="Times New Roman" w:hAnsi="Times New Roman" w:cs="Times New Roman"/>
                <w:b/>
                <w:bCs/>
                <w:color w:val="000000"/>
                <w:sz w:val="22"/>
                <w:szCs w:val="22"/>
              </w:rPr>
              <w:t>Totals: EDR and Expected EDR</w:t>
            </w:r>
          </w:p>
        </w:tc>
        <w:tc>
          <w:tcPr>
            <w:tcW w:w="1440" w:type="dxa"/>
            <w:tcBorders>
              <w:top w:val="single" w:sz="4" w:space="0" w:color="auto"/>
              <w:left w:val="single" w:sz="4" w:space="0" w:color="auto"/>
              <w:bottom w:val="single" w:sz="4" w:space="0" w:color="auto"/>
              <w:right w:val="single" w:sz="4" w:space="0" w:color="auto"/>
            </w:tcBorders>
            <w:hideMark/>
          </w:tcPr>
          <w:p w:rsidR="00DE5688" w:rsidRPr="000A4594" w:rsidP="0009304C" w14:paraId="72A8D597" w14:textId="77777777">
            <w:pPr>
              <w:jc w:val="right"/>
              <w:rPr>
                <w:rFonts w:ascii="Times New Roman" w:hAnsi="Times New Roman" w:cs="Times New Roman"/>
                <w:b/>
                <w:color w:val="000000"/>
                <w:sz w:val="22"/>
                <w:szCs w:val="22"/>
              </w:rPr>
            </w:pPr>
            <w:r w:rsidRPr="000A4594">
              <w:rPr>
                <w:rFonts w:ascii="Times New Roman" w:hAnsi="Times New Roman" w:cs="Times New Roman"/>
                <w:b/>
                <w:color w:val="000000"/>
                <w:sz w:val="22"/>
                <w:szCs w:val="22"/>
              </w:rPr>
              <w:t>53</w:t>
            </w:r>
          </w:p>
        </w:tc>
        <w:tc>
          <w:tcPr>
            <w:tcW w:w="1260" w:type="dxa"/>
            <w:tcBorders>
              <w:top w:val="single" w:sz="4" w:space="0" w:color="auto"/>
              <w:left w:val="single" w:sz="4" w:space="0" w:color="auto"/>
              <w:bottom w:val="single" w:sz="4" w:space="0" w:color="auto"/>
              <w:right w:val="single" w:sz="4" w:space="0" w:color="auto"/>
            </w:tcBorders>
          </w:tcPr>
          <w:p w:rsidR="00DE5688" w:rsidRPr="000A4594" w:rsidP="0009304C" w14:paraId="5217068D" w14:textId="77777777">
            <w:pPr>
              <w:jc w:val="right"/>
              <w:rPr>
                <w:rFonts w:ascii="Times New Roman" w:hAnsi="Times New Roman" w:cs="Times New Roman"/>
                <w:b/>
                <w:color w:val="000000"/>
                <w:sz w:val="22"/>
                <w:szCs w:val="22"/>
              </w:rPr>
            </w:pPr>
          </w:p>
        </w:tc>
        <w:tc>
          <w:tcPr>
            <w:tcW w:w="1170" w:type="dxa"/>
            <w:tcBorders>
              <w:top w:val="single" w:sz="4" w:space="0" w:color="auto"/>
              <w:left w:val="single" w:sz="4" w:space="0" w:color="auto"/>
              <w:bottom w:val="single" w:sz="4" w:space="0" w:color="auto"/>
              <w:right w:val="single" w:sz="4" w:space="0" w:color="auto"/>
            </w:tcBorders>
          </w:tcPr>
          <w:p w:rsidR="00DE5688" w:rsidRPr="000A4594" w:rsidP="0009304C" w14:paraId="63DA8943" w14:textId="77777777">
            <w:pPr>
              <w:jc w:val="right"/>
              <w:rPr>
                <w:rFonts w:ascii="Times New Roman" w:hAnsi="Times New Roman" w:cs="Times New Roman"/>
                <w:b/>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DE5688" w:rsidRPr="000A4594" w:rsidP="0009304C" w14:paraId="0653C787" w14:textId="4A8177B7">
            <w:pPr>
              <w:jc w:val="right"/>
              <w:rPr>
                <w:rFonts w:ascii="Times New Roman" w:hAnsi="Times New Roman" w:cs="Times New Roman"/>
                <w:b/>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DE5688" w:rsidRPr="000A4594" w:rsidP="0009304C" w14:paraId="731EEEF5" w14:textId="2614C845">
            <w:pPr>
              <w:jc w:val="right"/>
              <w:rPr>
                <w:rFonts w:ascii="Times New Roman" w:hAnsi="Times New Roman" w:cs="Times New Roman"/>
                <w:b/>
                <w:color w:val="000000"/>
                <w:sz w:val="22"/>
                <w:szCs w:val="22"/>
              </w:rPr>
            </w:pPr>
            <w:r w:rsidRPr="000A4594">
              <w:rPr>
                <w:rFonts w:ascii="Times New Roman" w:hAnsi="Times New Roman" w:cs="Times New Roman"/>
                <w:b/>
                <w:color w:val="000000"/>
                <w:sz w:val="22"/>
                <w:szCs w:val="22"/>
              </w:rPr>
              <w:t>$254,269,480</w:t>
            </w:r>
          </w:p>
        </w:tc>
        <w:tc>
          <w:tcPr>
            <w:tcW w:w="1350" w:type="dxa"/>
            <w:tcBorders>
              <w:top w:val="single" w:sz="4" w:space="0" w:color="auto"/>
              <w:left w:val="single" w:sz="4" w:space="0" w:color="auto"/>
              <w:bottom w:val="single" w:sz="4" w:space="0" w:color="auto"/>
              <w:right w:val="single" w:sz="4" w:space="0" w:color="auto"/>
            </w:tcBorders>
          </w:tcPr>
          <w:p w:rsidR="00DE5688" w:rsidRPr="000A4594" w:rsidP="0009304C" w14:paraId="04C233F4" w14:textId="77777777">
            <w:pPr>
              <w:widowControl w:val="0"/>
              <w:snapToGrid w:val="0"/>
              <w:jc w:val="right"/>
              <w:rPr>
                <w:rFonts w:ascii="Times New Roman" w:eastAsia="Calibri" w:hAnsi="Times New Roman" w:cs="Times New Roman"/>
                <w:sz w:val="22"/>
                <w:szCs w:val="22"/>
              </w:rPr>
            </w:pPr>
          </w:p>
        </w:tc>
        <w:tc>
          <w:tcPr>
            <w:tcW w:w="1710" w:type="dxa"/>
            <w:tcBorders>
              <w:top w:val="single" w:sz="4" w:space="0" w:color="auto"/>
              <w:left w:val="single" w:sz="4" w:space="0" w:color="auto"/>
              <w:bottom w:val="single" w:sz="4" w:space="0" w:color="auto"/>
              <w:right w:val="single" w:sz="4" w:space="0" w:color="auto"/>
            </w:tcBorders>
            <w:hideMark/>
          </w:tcPr>
          <w:p w:rsidR="00DE5688" w:rsidRPr="000A4594" w:rsidP="0009304C" w14:paraId="294FD05D" w14:textId="77777777">
            <w:pPr>
              <w:tabs>
                <w:tab w:val="left" w:pos="1350"/>
              </w:tabs>
              <w:autoSpaceDE w:val="0"/>
              <w:autoSpaceDN w:val="0"/>
              <w:adjustRightInd w:val="0"/>
              <w:jc w:val="right"/>
              <w:rPr>
                <w:rFonts w:ascii="Times New Roman" w:eastAsia="Calibri" w:hAnsi="Times New Roman" w:cs="Times New Roman"/>
                <w:b/>
                <w:sz w:val="22"/>
                <w:szCs w:val="22"/>
              </w:rPr>
            </w:pPr>
            <w:r w:rsidRPr="000A4594">
              <w:rPr>
                <w:rFonts w:ascii="Times New Roman" w:eastAsia="Calibri" w:hAnsi="Times New Roman" w:cs="Times New Roman"/>
                <w:b/>
                <w:sz w:val="22"/>
                <w:szCs w:val="22"/>
              </w:rPr>
              <w:t>$55,604,966***</w:t>
            </w:r>
          </w:p>
        </w:tc>
      </w:tr>
      <w:tr w14:paraId="0B0D3EAB" w14:textId="77777777" w:rsidTr="00F37FF5">
        <w:tblPrEx>
          <w:tblW w:w="11875" w:type="dxa"/>
          <w:tblLayout w:type="fixed"/>
          <w:tblLook w:val="04A0"/>
        </w:tblPrEx>
        <w:trPr>
          <w:trHeight w:val="208"/>
        </w:trPr>
        <w:tc>
          <w:tcPr>
            <w:tcW w:w="2065" w:type="dxa"/>
            <w:tcBorders>
              <w:top w:val="single" w:sz="4" w:space="0" w:color="auto"/>
              <w:left w:val="single" w:sz="4" w:space="0" w:color="auto"/>
              <w:bottom w:val="single" w:sz="4" w:space="0" w:color="auto"/>
              <w:right w:val="single" w:sz="4" w:space="0" w:color="auto"/>
            </w:tcBorders>
            <w:hideMark/>
          </w:tcPr>
          <w:p w:rsidR="00DE5688" w:rsidRPr="000A4594" w:rsidP="0009304C" w14:paraId="771321C6" w14:textId="00CC8ECF">
            <w:pPr>
              <w:rPr>
                <w:rFonts w:ascii="Times New Roman" w:hAnsi="Times New Roman" w:cs="Times New Roman"/>
                <w:b/>
                <w:bCs/>
                <w:color w:val="000000"/>
                <w:sz w:val="22"/>
                <w:szCs w:val="22"/>
              </w:rPr>
            </w:pPr>
            <w:r w:rsidRPr="000A4594">
              <w:rPr>
                <w:rFonts w:ascii="Times New Roman" w:hAnsi="Times New Roman" w:cs="Times New Roman"/>
                <w:b/>
                <w:bCs/>
                <w:color w:val="000000"/>
                <w:sz w:val="22"/>
                <w:szCs w:val="22"/>
              </w:rPr>
              <w:t>Combined</w:t>
            </w:r>
            <w:r w:rsidRPr="000A4594">
              <w:rPr>
                <w:rFonts w:ascii="Times New Roman" w:hAnsi="Times New Roman" w:cs="Times New Roman"/>
                <w:b/>
                <w:bCs/>
                <w:color w:val="000000"/>
                <w:sz w:val="22"/>
                <w:szCs w:val="22"/>
              </w:rPr>
              <w:t xml:space="preserve"> EDR</w:t>
            </w:r>
            <w:r w:rsidRPr="000A4594">
              <w:rPr>
                <w:rFonts w:ascii="Times New Roman" w:hAnsi="Times New Roman" w:cs="Times New Roman"/>
                <w:b/>
                <w:bCs/>
                <w:color w:val="000000"/>
                <w:sz w:val="22"/>
                <w:szCs w:val="22"/>
              </w:rPr>
              <w:t xml:space="preserve"> Totals</w:t>
            </w:r>
          </w:p>
        </w:tc>
        <w:tc>
          <w:tcPr>
            <w:tcW w:w="1440" w:type="dxa"/>
            <w:tcBorders>
              <w:top w:val="single" w:sz="4" w:space="0" w:color="auto"/>
              <w:left w:val="single" w:sz="4" w:space="0" w:color="auto"/>
              <w:bottom w:val="single" w:sz="4" w:space="0" w:color="auto"/>
              <w:right w:val="single" w:sz="4" w:space="0" w:color="auto"/>
            </w:tcBorders>
            <w:hideMark/>
          </w:tcPr>
          <w:p w:rsidR="00DE5688" w:rsidRPr="000A4594" w:rsidP="0009304C" w14:paraId="34039175" w14:textId="77777777">
            <w:pPr>
              <w:jc w:val="right"/>
              <w:rPr>
                <w:rFonts w:ascii="Times New Roman" w:hAnsi="Times New Roman" w:cs="Times New Roman"/>
                <w:b/>
                <w:color w:val="000000"/>
                <w:sz w:val="22"/>
                <w:szCs w:val="22"/>
              </w:rPr>
            </w:pPr>
            <w:r w:rsidRPr="000A4594">
              <w:rPr>
                <w:rFonts w:ascii="Times New Roman" w:hAnsi="Times New Roman" w:cs="Times New Roman"/>
                <w:b/>
                <w:color w:val="000000"/>
                <w:sz w:val="22"/>
                <w:szCs w:val="22"/>
              </w:rPr>
              <w:t>97</w:t>
            </w:r>
          </w:p>
        </w:tc>
        <w:tc>
          <w:tcPr>
            <w:tcW w:w="1260" w:type="dxa"/>
            <w:tcBorders>
              <w:top w:val="single" w:sz="4" w:space="0" w:color="auto"/>
              <w:left w:val="single" w:sz="4" w:space="0" w:color="auto"/>
              <w:bottom w:val="single" w:sz="4" w:space="0" w:color="auto"/>
              <w:right w:val="single" w:sz="4" w:space="0" w:color="auto"/>
            </w:tcBorders>
          </w:tcPr>
          <w:p w:rsidR="00DE5688" w:rsidRPr="000A4594" w:rsidP="0009304C" w14:paraId="07EFF7F8" w14:textId="77777777">
            <w:pPr>
              <w:jc w:val="right"/>
              <w:rPr>
                <w:rFonts w:ascii="Times New Roman" w:hAnsi="Times New Roman" w:cs="Times New Roman"/>
                <w:color w:val="000000"/>
                <w:sz w:val="22"/>
                <w:szCs w:val="22"/>
              </w:rPr>
            </w:pPr>
          </w:p>
        </w:tc>
        <w:tc>
          <w:tcPr>
            <w:tcW w:w="1170" w:type="dxa"/>
            <w:tcBorders>
              <w:top w:val="single" w:sz="4" w:space="0" w:color="auto"/>
              <w:left w:val="single" w:sz="4" w:space="0" w:color="auto"/>
              <w:bottom w:val="single" w:sz="4" w:space="0" w:color="auto"/>
              <w:right w:val="single" w:sz="4" w:space="0" w:color="auto"/>
            </w:tcBorders>
          </w:tcPr>
          <w:p w:rsidR="00DE5688" w:rsidRPr="000A4594" w:rsidP="0009304C" w14:paraId="4EEB44E1" w14:textId="77777777">
            <w:pPr>
              <w:jc w:val="right"/>
              <w:rPr>
                <w:rFonts w:ascii="Times New Roman" w:hAnsi="Times New Roman" w:cs="Times New Roman"/>
                <w:b/>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DE5688" w:rsidRPr="000A4594" w:rsidP="0009304C" w14:paraId="22152C66" w14:textId="51D0B637">
            <w:pPr>
              <w:jc w:val="right"/>
              <w:rPr>
                <w:rFonts w:ascii="Times New Roman" w:hAnsi="Times New Roman" w:cs="Times New Roman"/>
                <w:b/>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DE5688" w:rsidRPr="000A4594" w:rsidP="0009304C" w14:paraId="117B8315" w14:textId="571A2BF5">
            <w:pPr>
              <w:jc w:val="right"/>
              <w:rPr>
                <w:rFonts w:ascii="Times New Roman" w:hAnsi="Times New Roman" w:cs="Times New Roman"/>
                <w:b/>
                <w:color w:val="000000"/>
                <w:sz w:val="22"/>
                <w:szCs w:val="22"/>
              </w:rPr>
            </w:pPr>
            <w:r w:rsidRPr="000A4594">
              <w:rPr>
                <w:rFonts w:ascii="Times New Roman" w:hAnsi="Times New Roman" w:cs="Times New Roman"/>
                <w:b/>
                <w:color w:val="000000"/>
                <w:sz w:val="22"/>
                <w:szCs w:val="22"/>
              </w:rPr>
              <w:t>$257,449,861</w:t>
            </w:r>
          </w:p>
        </w:tc>
        <w:tc>
          <w:tcPr>
            <w:tcW w:w="1350" w:type="dxa"/>
            <w:tcBorders>
              <w:top w:val="single" w:sz="4" w:space="0" w:color="auto"/>
              <w:left w:val="single" w:sz="4" w:space="0" w:color="auto"/>
              <w:bottom w:val="single" w:sz="4" w:space="0" w:color="auto"/>
              <w:right w:val="single" w:sz="4" w:space="0" w:color="auto"/>
            </w:tcBorders>
          </w:tcPr>
          <w:p w:rsidR="00DE5688" w:rsidRPr="000A4594" w:rsidP="0009304C" w14:paraId="4A60890E" w14:textId="77777777">
            <w:pPr>
              <w:widowControl w:val="0"/>
              <w:snapToGrid w:val="0"/>
              <w:jc w:val="right"/>
              <w:rPr>
                <w:rFonts w:ascii="Times New Roman" w:eastAsia="Calibri" w:hAnsi="Times New Roman" w:cs="Times New Roman"/>
                <w:sz w:val="22"/>
                <w:szCs w:val="22"/>
              </w:rPr>
            </w:pPr>
          </w:p>
        </w:tc>
        <w:tc>
          <w:tcPr>
            <w:tcW w:w="1710" w:type="dxa"/>
            <w:tcBorders>
              <w:top w:val="single" w:sz="4" w:space="0" w:color="auto"/>
              <w:left w:val="single" w:sz="4" w:space="0" w:color="auto"/>
              <w:bottom w:val="single" w:sz="4" w:space="0" w:color="auto"/>
              <w:right w:val="single" w:sz="4" w:space="0" w:color="auto"/>
            </w:tcBorders>
            <w:hideMark/>
          </w:tcPr>
          <w:p w:rsidR="00DE5688" w:rsidRPr="000A4594" w:rsidP="0009304C" w14:paraId="7476C269" w14:textId="77777777">
            <w:pPr>
              <w:tabs>
                <w:tab w:val="left" w:pos="1350"/>
              </w:tabs>
              <w:autoSpaceDE w:val="0"/>
              <w:autoSpaceDN w:val="0"/>
              <w:adjustRightInd w:val="0"/>
              <w:jc w:val="right"/>
              <w:rPr>
                <w:rFonts w:ascii="Times New Roman" w:eastAsia="Calibri" w:hAnsi="Times New Roman" w:cs="Times New Roman"/>
                <w:b/>
                <w:sz w:val="22"/>
                <w:szCs w:val="22"/>
              </w:rPr>
            </w:pPr>
            <w:r w:rsidRPr="000A4594">
              <w:rPr>
                <w:rFonts w:ascii="Times New Roman" w:eastAsia="Calibri" w:hAnsi="Times New Roman" w:cs="Times New Roman"/>
                <w:b/>
                <w:sz w:val="22"/>
                <w:szCs w:val="22"/>
              </w:rPr>
              <w:t>$61,008,034***</w:t>
            </w:r>
          </w:p>
        </w:tc>
      </w:tr>
      <w:tr w14:paraId="01690102" w14:textId="77777777" w:rsidTr="00F37FF5">
        <w:tblPrEx>
          <w:tblW w:w="11875" w:type="dxa"/>
          <w:tblLayout w:type="fixed"/>
          <w:tblLook w:val="04A0"/>
        </w:tblPrEx>
        <w:trPr>
          <w:trHeight w:val="359"/>
        </w:trPr>
        <w:tc>
          <w:tcPr>
            <w:tcW w:w="2065" w:type="dxa"/>
            <w:tcBorders>
              <w:top w:val="single" w:sz="4" w:space="0" w:color="auto"/>
              <w:left w:val="single" w:sz="4" w:space="0" w:color="auto"/>
              <w:bottom w:val="single" w:sz="4" w:space="0" w:color="auto"/>
              <w:right w:val="single" w:sz="4" w:space="0" w:color="auto"/>
            </w:tcBorders>
          </w:tcPr>
          <w:p w:rsidR="00DE5688" w:rsidRPr="000A4594" w:rsidP="0009304C" w14:paraId="08FEFD9F" w14:textId="691D3F6E">
            <w:pPr>
              <w:rPr>
                <w:rFonts w:ascii="Times New Roman" w:hAnsi="Times New Roman" w:cs="Times New Roman"/>
                <w:b/>
                <w:bCs/>
                <w:color w:val="000000"/>
                <w:sz w:val="22"/>
                <w:szCs w:val="22"/>
              </w:rPr>
            </w:pPr>
            <w:r w:rsidRPr="000A4594">
              <w:rPr>
                <w:rFonts w:ascii="Times New Roman" w:hAnsi="Times New Roman" w:cs="Times New Roman"/>
                <w:b/>
                <w:bCs/>
                <w:color w:val="000000"/>
                <w:sz w:val="22"/>
                <w:szCs w:val="22"/>
              </w:rPr>
              <w:t xml:space="preserve">Grand Total </w:t>
            </w:r>
          </w:p>
        </w:tc>
        <w:tc>
          <w:tcPr>
            <w:tcW w:w="1440" w:type="dxa"/>
            <w:tcBorders>
              <w:top w:val="single" w:sz="4" w:space="0" w:color="auto"/>
              <w:left w:val="single" w:sz="4" w:space="0" w:color="auto"/>
              <w:bottom w:val="single" w:sz="4" w:space="0" w:color="auto"/>
              <w:right w:val="single" w:sz="4" w:space="0" w:color="auto"/>
            </w:tcBorders>
          </w:tcPr>
          <w:p w:rsidR="00DE5688" w:rsidRPr="000A4594" w:rsidP="0009304C" w14:paraId="39548106" w14:textId="6390AD6B">
            <w:pPr>
              <w:jc w:val="right"/>
              <w:rPr>
                <w:rFonts w:ascii="Times New Roman" w:hAnsi="Times New Roman" w:cs="Times New Roman"/>
                <w:b/>
                <w:color w:val="000000"/>
                <w:sz w:val="22"/>
                <w:szCs w:val="22"/>
              </w:rPr>
            </w:pPr>
            <w:r w:rsidRPr="000A4594">
              <w:rPr>
                <w:rFonts w:ascii="Times New Roman" w:hAnsi="Times New Roman" w:cs="Times New Roman"/>
                <w:b/>
                <w:bCs/>
                <w:iCs/>
                <w:sz w:val="22"/>
                <w:szCs w:val="22"/>
              </w:rPr>
              <w:t>544,330</w:t>
            </w:r>
          </w:p>
        </w:tc>
        <w:tc>
          <w:tcPr>
            <w:tcW w:w="1260" w:type="dxa"/>
            <w:tcBorders>
              <w:top w:val="single" w:sz="4" w:space="0" w:color="auto"/>
              <w:left w:val="single" w:sz="4" w:space="0" w:color="auto"/>
              <w:bottom w:val="single" w:sz="4" w:space="0" w:color="auto"/>
              <w:right w:val="single" w:sz="4" w:space="0" w:color="auto"/>
            </w:tcBorders>
          </w:tcPr>
          <w:p w:rsidR="00DE5688" w:rsidRPr="000A4594" w:rsidP="0009304C" w14:paraId="79E688DC" w14:textId="77777777">
            <w:pPr>
              <w:jc w:val="right"/>
              <w:rPr>
                <w:rFonts w:ascii="Times New Roman" w:hAnsi="Times New Roman" w:cs="Times New Roman"/>
                <w:color w:val="000000"/>
                <w:sz w:val="22"/>
                <w:szCs w:val="22"/>
              </w:rPr>
            </w:pPr>
          </w:p>
        </w:tc>
        <w:tc>
          <w:tcPr>
            <w:tcW w:w="1170" w:type="dxa"/>
            <w:tcBorders>
              <w:top w:val="single" w:sz="4" w:space="0" w:color="auto"/>
              <w:left w:val="single" w:sz="4" w:space="0" w:color="auto"/>
              <w:bottom w:val="single" w:sz="4" w:space="0" w:color="auto"/>
              <w:right w:val="single" w:sz="4" w:space="0" w:color="auto"/>
            </w:tcBorders>
          </w:tcPr>
          <w:p w:rsidR="00DE5688" w:rsidRPr="000A4594" w:rsidP="0009304C" w14:paraId="4A34FCC8" w14:textId="77777777">
            <w:pPr>
              <w:jc w:val="right"/>
              <w:rPr>
                <w:rFonts w:ascii="Times New Roman" w:hAnsi="Times New Roman" w:cs="Times New Roman"/>
                <w:b/>
                <w:bCs/>
                <w:i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DE5688" w:rsidRPr="000A4594" w:rsidP="0009304C" w14:paraId="564A8E7F" w14:textId="4D3DDD7D">
            <w:pPr>
              <w:jc w:val="right"/>
              <w:rPr>
                <w:rFonts w:ascii="Times New Roman" w:hAnsi="Times New Roman" w:cs="Times New Roman"/>
                <w:b/>
                <w:bCs/>
                <w:iCs/>
                <w:sz w:val="22"/>
                <w:szCs w:val="22"/>
              </w:rPr>
            </w:pPr>
            <w:r w:rsidRPr="000A4594">
              <w:rPr>
                <w:rFonts w:ascii="Times New Roman" w:hAnsi="Times New Roman" w:cs="Times New Roman"/>
                <w:b/>
                <w:bCs/>
                <w:iCs/>
                <w:sz w:val="22"/>
                <w:szCs w:val="22"/>
              </w:rPr>
              <w:t>1</w:t>
            </w:r>
            <w:r w:rsidR="00634EC2">
              <w:rPr>
                <w:rFonts w:ascii="Times New Roman" w:hAnsi="Times New Roman" w:cs="Times New Roman"/>
                <w:b/>
                <w:bCs/>
                <w:iCs/>
                <w:sz w:val="22"/>
                <w:szCs w:val="22"/>
              </w:rPr>
              <w:t>28,021,190</w:t>
            </w:r>
          </w:p>
        </w:tc>
        <w:tc>
          <w:tcPr>
            <w:tcW w:w="1440" w:type="dxa"/>
            <w:tcBorders>
              <w:top w:val="single" w:sz="4" w:space="0" w:color="auto"/>
              <w:left w:val="single" w:sz="4" w:space="0" w:color="auto"/>
              <w:bottom w:val="single" w:sz="4" w:space="0" w:color="auto"/>
              <w:right w:val="single" w:sz="4" w:space="0" w:color="auto"/>
            </w:tcBorders>
          </w:tcPr>
          <w:p w:rsidR="00DE5688" w:rsidRPr="000A4594" w:rsidP="0009304C" w14:paraId="2D90424A" w14:textId="21550917">
            <w:pPr>
              <w:jc w:val="right"/>
              <w:rPr>
                <w:rFonts w:ascii="Times New Roman" w:hAnsi="Times New Roman" w:cs="Times New Roman"/>
                <w:b/>
                <w:color w:val="000000"/>
                <w:sz w:val="22"/>
                <w:szCs w:val="22"/>
              </w:rPr>
            </w:pPr>
            <w:r w:rsidRPr="000A4594">
              <w:rPr>
                <w:rFonts w:ascii="Times New Roman" w:hAnsi="Times New Roman" w:cs="Times New Roman"/>
                <w:b/>
                <w:bCs/>
                <w:iCs/>
                <w:sz w:val="22"/>
                <w:szCs w:val="22"/>
              </w:rPr>
              <w:t>$257,486,143</w:t>
            </w:r>
          </w:p>
        </w:tc>
        <w:tc>
          <w:tcPr>
            <w:tcW w:w="1350" w:type="dxa"/>
            <w:tcBorders>
              <w:top w:val="single" w:sz="4" w:space="0" w:color="auto"/>
              <w:left w:val="single" w:sz="4" w:space="0" w:color="auto"/>
              <w:bottom w:val="single" w:sz="4" w:space="0" w:color="auto"/>
              <w:right w:val="single" w:sz="4" w:space="0" w:color="auto"/>
            </w:tcBorders>
          </w:tcPr>
          <w:p w:rsidR="00DE5688" w:rsidRPr="000A4594" w:rsidP="0009304C" w14:paraId="124BCE07" w14:textId="77777777">
            <w:pPr>
              <w:widowControl w:val="0"/>
              <w:snapToGrid w:val="0"/>
              <w:jc w:val="right"/>
              <w:rPr>
                <w:rFonts w:ascii="Times New Roman" w:eastAsia="Calibri" w:hAnsi="Times New Roman" w:cs="Times New Roman"/>
                <w:sz w:val="22"/>
                <w:szCs w:val="22"/>
              </w:rPr>
            </w:pPr>
          </w:p>
        </w:tc>
        <w:tc>
          <w:tcPr>
            <w:tcW w:w="1710" w:type="dxa"/>
            <w:tcBorders>
              <w:top w:val="single" w:sz="4" w:space="0" w:color="auto"/>
              <w:left w:val="single" w:sz="4" w:space="0" w:color="auto"/>
              <w:bottom w:val="single" w:sz="4" w:space="0" w:color="auto"/>
              <w:right w:val="single" w:sz="4" w:space="0" w:color="auto"/>
            </w:tcBorders>
          </w:tcPr>
          <w:p w:rsidR="00DE5688" w:rsidRPr="000A4594" w:rsidP="0009304C" w14:paraId="012B9E6A" w14:textId="517C9902">
            <w:pPr>
              <w:tabs>
                <w:tab w:val="left" w:pos="1350"/>
              </w:tabs>
              <w:autoSpaceDE w:val="0"/>
              <w:autoSpaceDN w:val="0"/>
              <w:adjustRightInd w:val="0"/>
              <w:jc w:val="right"/>
              <w:rPr>
                <w:rFonts w:ascii="Times New Roman" w:eastAsia="Calibri" w:hAnsi="Times New Roman" w:cs="Times New Roman"/>
                <w:b/>
                <w:sz w:val="22"/>
                <w:szCs w:val="22"/>
              </w:rPr>
            </w:pPr>
            <w:r w:rsidRPr="000A4594">
              <w:rPr>
                <w:rFonts w:ascii="Times New Roman" w:hAnsi="Times New Roman" w:cs="Times New Roman"/>
                <w:b/>
                <w:bCs/>
                <w:iCs/>
                <w:sz w:val="22"/>
                <w:szCs w:val="22"/>
              </w:rPr>
              <w:t>$62,025,381***</w:t>
            </w:r>
          </w:p>
        </w:tc>
      </w:tr>
      <w:bookmarkEnd w:id="1"/>
    </w:tbl>
    <w:p w:rsidR="001053A2" w:rsidP="00642ECE" w14:paraId="2072D727" w14:textId="77777777">
      <w:pPr>
        <w:rPr>
          <w:rFonts w:ascii="Times New Roman" w:hAnsi="Times New Roman"/>
          <w:bCs/>
        </w:rPr>
      </w:pPr>
    </w:p>
    <w:p w:rsidR="00F37FF5" w:rsidP="00642ECE" w14:paraId="23DFE9DE" w14:textId="77777777">
      <w:pPr>
        <w:rPr>
          <w:rFonts w:ascii="Times New Roman" w:hAnsi="Times New Roman"/>
          <w:bCs/>
        </w:rPr>
      </w:pPr>
    </w:p>
    <w:p w:rsidR="00642ECE" w:rsidRPr="009775DF" w:rsidP="00642ECE" w14:paraId="73B4C7EF" w14:textId="7F8B73A1">
      <w:pPr>
        <w:rPr>
          <w:rFonts w:ascii="Times New Roman" w:hAnsi="Times New Roman"/>
          <w:bCs/>
        </w:rPr>
      </w:pPr>
      <w:r w:rsidRPr="009775DF">
        <w:rPr>
          <w:rFonts w:ascii="Times New Roman" w:hAnsi="Times New Roman"/>
          <w:bCs/>
        </w:rPr>
        <w:t xml:space="preserve">After OMB approves the </w:t>
      </w:r>
      <w:r w:rsidR="00293A56">
        <w:rPr>
          <w:rFonts w:ascii="Times New Roman" w:hAnsi="Times New Roman"/>
          <w:bCs/>
        </w:rPr>
        <w:t xml:space="preserve">change request for </w:t>
      </w:r>
      <w:r w:rsidRPr="00293A56" w:rsidR="00293A56">
        <w:rPr>
          <w:rFonts w:ascii="Times New Roman" w:hAnsi="Times New Roman"/>
          <w:bCs/>
        </w:rPr>
        <w:t>OMB No. 0960-0142</w:t>
      </w:r>
      <w:r w:rsidR="00293A56">
        <w:rPr>
          <w:rFonts w:ascii="Times New Roman" w:hAnsi="Times New Roman"/>
          <w:bCs/>
        </w:rPr>
        <w:t xml:space="preserve"> to </w:t>
      </w:r>
      <w:r>
        <w:rPr>
          <w:rFonts w:ascii="Times New Roman" w:hAnsi="Times New Roman"/>
          <w:bCs/>
        </w:rPr>
        <w:t>combin</w:t>
      </w:r>
      <w:r w:rsidR="00293A56">
        <w:rPr>
          <w:rFonts w:ascii="Times New Roman" w:hAnsi="Times New Roman"/>
          <w:bCs/>
        </w:rPr>
        <w:t>e</w:t>
      </w:r>
      <w:r>
        <w:rPr>
          <w:rFonts w:ascii="Times New Roman" w:hAnsi="Times New Roman"/>
          <w:bCs/>
        </w:rPr>
        <w:t xml:space="preserve"> these two </w:t>
      </w:r>
      <w:r w:rsidR="00961A99">
        <w:rPr>
          <w:rFonts w:ascii="Times New Roman" w:hAnsi="Times New Roman"/>
          <w:bCs/>
        </w:rPr>
        <w:t xml:space="preserve">information </w:t>
      </w:r>
      <w:r>
        <w:rPr>
          <w:rFonts w:ascii="Times New Roman" w:hAnsi="Times New Roman"/>
          <w:bCs/>
        </w:rPr>
        <w:t>collections</w:t>
      </w:r>
      <w:r w:rsidR="00293A56">
        <w:rPr>
          <w:rFonts w:ascii="Times New Roman" w:hAnsi="Times New Roman"/>
          <w:bCs/>
        </w:rPr>
        <w:t>,</w:t>
      </w:r>
      <w:r>
        <w:rPr>
          <w:rFonts w:ascii="Times New Roman" w:hAnsi="Times New Roman"/>
          <w:bCs/>
        </w:rPr>
        <w:t xml:space="preserve"> </w:t>
      </w:r>
      <w:r w:rsidRPr="009775DF">
        <w:rPr>
          <w:rFonts w:ascii="Times New Roman" w:hAnsi="Times New Roman"/>
          <w:bCs/>
        </w:rPr>
        <w:t xml:space="preserve">SSA will </w:t>
      </w:r>
      <w:r>
        <w:rPr>
          <w:rFonts w:ascii="Times New Roman" w:hAnsi="Times New Roman"/>
          <w:bCs/>
        </w:rPr>
        <w:t xml:space="preserve">submit a </w:t>
      </w:r>
      <w:r w:rsidR="00F87472">
        <w:rPr>
          <w:rFonts w:ascii="Times New Roman" w:hAnsi="Times New Roman"/>
          <w:bCs/>
        </w:rPr>
        <w:t xml:space="preserve">request for </w:t>
      </w:r>
      <w:r w:rsidR="00961A99">
        <w:rPr>
          <w:rFonts w:ascii="Times New Roman" w:hAnsi="Times New Roman"/>
          <w:bCs/>
        </w:rPr>
        <w:t xml:space="preserve">the </w:t>
      </w:r>
      <w:r>
        <w:rPr>
          <w:rFonts w:ascii="Times New Roman" w:hAnsi="Times New Roman"/>
          <w:bCs/>
        </w:rPr>
        <w:t xml:space="preserve">discontinuation </w:t>
      </w:r>
      <w:r w:rsidR="00F87472">
        <w:rPr>
          <w:rFonts w:ascii="Times New Roman" w:hAnsi="Times New Roman"/>
          <w:bCs/>
        </w:rPr>
        <w:t>o</w:t>
      </w:r>
      <w:r w:rsidRPr="00F87472" w:rsidR="00F87472">
        <w:rPr>
          <w:rFonts w:ascii="Times New Roman" w:hAnsi="Times New Roman"/>
          <w:bCs/>
        </w:rPr>
        <w:t xml:space="preserve">f Information Collection </w:t>
      </w:r>
      <w:r w:rsidRPr="00642ECE">
        <w:rPr>
          <w:rFonts w:ascii="Times New Roman" w:eastAsia="SimSun" w:hAnsi="Times New Roman"/>
        </w:rPr>
        <w:t>OMB No. 0960-0700</w:t>
      </w:r>
      <w:r w:rsidRPr="00642ECE">
        <w:rPr>
          <w:rFonts w:ascii="Times New Roman" w:hAnsi="Times New Roman"/>
        </w:rPr>
        <w:t>.</w:t>
      </w:r>
      <w:r w:rsidRPr="009775DF">
        <w:rPr>
          <w:rFonts w:ascii="Times New Roman" w:hAnsi="Times New Roman"/>
          <w:bCs/>
        </w:rPr>
        <w:t xml:space="preserve">  </w:t>
      </w:r>
    </w:p>
    <w:p w:rsidR="00642ECE" w:rsidP="00B40F4D" w14:paraId="23AB0A3F" w14:textId="77777777">
      <w:pPr>
        <w:rPr>
          <w:rFonts w:ascii="Times New Roman" w:hAnsi="Times New Roman"/>
          <w:b/>
          <w:bCs/>
        </w:rPr>
      </w:pPr>
    </w:p>
    <w:p w:rsidR="00B40F4D" w:rsidP="00A65D3C" w14:paraId="4E5CE33D" w14:textId="77777777">
      <w:pPr>
        <w:rPr>
          <w:rFonts w:ascii="Times New Roman" w:hAnsi="Times New Roman" w:cs="Times New Roman"/>
          <w:b/>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3251E4"/>
    <w:multiLevelType w:val="hybridMultilevel"/>
    <w:tmpl w:val="987074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07"/>
    <w:rsid w:val="00035908"/>
    <w:rsid w:val="0009304C"/>
    <w:rsid w:val="000A4594"/>
    <w:rsid w:val="001053A2"/>
    <w:rsid w:val="001B7B4F"/>
    <w:rsid w:val="00210E71"/>
    <w:rsid w:val="002728CA"/>
    <w:rsid w:val="00293A56"/>
    <w:rsid w:val="0035761E"/>
    <w:rsid w:val="00360DEC"/>
    <w:rsid w:val="003D1B57"/>
    <w:rsid w:val="004531A9"/>
    <w:rsid w:val="004B6EE4"/>
    <w:rsid w:val="004D5D31"/>
    <w:rsid w:val="004E0C4C"/>
    <w:rsid w:val="0050249D"/>
    <w:rsid w:val="005057D5"/>
    <w:rsid w:val="00511465"/>
    <w:rsid w:val="00634EC2"/>
    <w:rsid w:val="00642ECE"/>
    <w:rsid w:val="0069361F"/>
    <w:rsid w:val="007B103E"/>
    <w:rsid w:val="008557C2"/>
    <w:rsid w:val="00941C65"/>
    <w:rsid w:val="00961A99"/>
    <w:rsid w:val="00963A0D"/>
    <w:rsid w:val="009775DF"/>
    <w:rsid w:val="00A345EC"/>
    <w:rsid w:val="00A65D3C"/>
    <w:rsid w:val="00AB0C46"/>
    <w:rsid w:val="00B40F4D"/>
    <w:rsid w:val="00B45E16"/>
    <w:rsid w:val="00B70A5B"/>
    <w:rsid w:val="00BD6894"/>
    <w:rsid w:val="00C75FAE"/>
    <w:rsid w:val="00CB67E0"/>
    <w:rsid w:val="00D24752"/>
    <w:rsid w:val="00D62333"/>
    <w:rsid w:val="00DB29E0"/>
    <w:rsid w:val="00DE5688"/>
    <w:rsid w:val="00E1351C"/>
    <w:rsid w:val="00E60ECE"/>
    <w:rsid w:val="00E821EB"/>
    <w:rsid w:val="00E97007"/>
    <w:rsid w:val="00EE3574"/>
    <w:rsid w:val="00F166C7"/>
    <w:rsid w:val="00F37FF5"/>
    <w:rsid w:val="00F44D00"/>
    <w:rsid w:val="00F62990"/>
    <w:rsid w:val="00F874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4F8734"/>
  <w15:chartTrackingRefBased/>
  <w15:docId w15:val="{DDB3610D-28BB-43F6-8D4C-BBB01F34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7007"/>
    <w:pPr>
      <w:spacing w:after="0" w:line="240" w:lineRule="auto"/>
    </w:pPr>
    <w:rPr>
      <w:rFonts w:ascii="Courier New" w:eastAsia="Times New Roman" w:hAnsi="Courier New" w:cs="Courier New"/>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6EE4"/>
    <w:rPr>
      <w:color w:val="0563C1" w:themeColor="hyperlink"/>
      <w:u w:val="single"/>
    </w:rPr>
  </w:style>
  <w:style w:type="paragraph" w:styleId="ListParagraph">
    <w:name w:val="List Paragraph"/>
    <w:basedOn w:val="Normal"/>
    <w:uiPriority w:val="34"/>
    <w:qFormat/>
    <w:rsid w:val="007B103E"/>
    <w:pPr>
      <w:ind w:left="720"/>
      <w:contextualSpacing/>
    </w:pPr>
  </w:style>
  <w:style w:type="table" w:styleId="TableGrid">
    <w:name w:val="Table Grid"/>
    <w:basedOn w:val="TableNormal"/>
    <w:uiPriority w:val="39"/>
    <w:rsid w:val="00105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OAESP</dc:creator>
  <cp:lastModifiedBy>SSA Response</cp:lastModifiedBy>
  <cp:revision>12</cp:revision>
  <dcterms:created xsi:type="dcterms:W3CDTF">2022-10-18T13:13:00Z</dcterms:created>
  <dcterms:modified xsi:type="dcterms:W3CDTF">2022-10-18T17:26:00Z</dcterms:modified>
</cp:coreProperties>
</file>