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361D" w:rsidRPr="00A7361D" w:rsidP="00A7361D" w14:paraId="4D11C703" w14:textId="77777777">
      <w:pPr>
        <w:tabs>
          <w:tab w:val="left" w:pos="-720"/>
        </w:tabs>
        <w:suppressAutoHyphens/>
        <w:jc w:val="center"/>
        <w:rPr>
          <w:rFonts w:ascii="Arial" w:hAnsi="Arial" w:cs="Arial"/>
          <w:sz w:val="40"/>
          <w:szCs w:val="40"/>
        </w:rPr>
      </w:pPr>
      <w:r w:rsidRPr="004F7B95">
        <w:rPr>
          <w:rFonts w:ascii="Times New Roman" w:hAnsi="Times New Roman"/>
          <w:sz w:val="24"/>
          <w:szCs w:val="24"/>
        </w:rPr>
        <w:tab/>
      </w:r>
      <w:bookmarkStart w:id="0" w:name="OLE_LINK3"/>
      <w:bookmarkStart w:id="1" w:name="OLE_LINK4"/>
      <w:r w:rsidRPr="00A7361D">
        <w:rPr>
          <w:rFonts w:ascii="Arial" w:hAnsi="Arial" w:cs="Arial"/>
          <w:sz w:val="40"/>
          <w:szCs w:val="40"/>
        </w:rPr>
        <w:t xml:space="preserve">Tribal Maternal, Infant, and Early Childhood Home Visiting Program </w:t>
      </w:r>
      <w:bookmarkEnd w:id="0"/>
      <w:bookmarkEnd w:id="1"/>
    </w:p>
    <w:p w:rsidR="00A7361D" w:rsidRPr="00A7361D" w:rsidP="00A7361D" w14:paraId="3E0C941C" w14:textId="77777777">
      <w:pPr>
        <w:tabs>
          <w:tab w:val="left" w:pos="-720"/>
        </w:tabs>
        <w:suppressAutoHyphens/>
        <w:jc w:val="center"/>
        <w:rPr>
          <w:rFonts w:ascii="Arial" w:hAnsi="Arial" w:cs="Arial"/>
          <w:sz w:val="40"/>
          <w:szCs w:val="40"/>
        </w:rPr>
      </w:pPr>
      <w:r>
        <w:rPr>
          <w:rFonts w:ascii="Arial" w:hAnsi="Arial" w:cs="Arial"/>
          <w:sz w:val="40"/>
          <w:szCs w:val="40"/>
        </w:rPr>
        <w:t>Form 2: Grantee Performance Measures</w:t>
      </w:r>
    </w:p>
    <w:p w:rsidR="00160621" w:rsidRPr="00160621" w:rsidP="00160621" w14:paraId="039ABDBB" w14:textId="77777777">
      <w:pPr>
        <w:pStyle w:val="ReportCover-Title"/>
        <w:jc w:val="center"/>
        <w:rPr>
          <w:rFonts w:ascii="Arial" w:hAnsi="Arial" w:cs="Arial"/>
          <w:color w:val="auto"/>
        </w:rPr>
      </w:pPr>
    </w:p>
    <w:p w:rsidR="00160621" w:rsidRPr="00160621" w:rsidP="00160621" w14:paraId="626D7451" w14:textId="77777777">
      <w:pPr>
        <w:pStyle w:val="ReportCover-Title"/>
        <w:rPr>
          <w:rFonts w:ascii="Arial" w:hAnsi="Arial" w:cs="Arial"/>
          <w:color w:val="auto"/>
        </w:rPr>
      </w:pPr>
    </w:p>
    <w:p w:rsidR="00160621" w:rsidRPr="00160621" w:rsidP="00160621" w14:paraId="1C1428E9" w14:textId="77777777">
      <w:pPr>
        <w:pStyle w:val="ReportCover-Title"/>
        <w:rPr>
          <w:rFonts w:ascii="Arial" w:hAnsi="Arial" w:cs="Arial"/>
          <w:color w:val="auto"/>
        </w:rPr>
      </w:pPr>
    </w:p>
    <w:p w:rsidR="00160621" w:rsidP="00160621" w14:paraId="4C72322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9E524F" w:rsidP="009E524F" w14:paraId="53FC101C" w14:textId="77777777">
      <w:pPr>
        <w:pStyle w:val="Header"/>
        <w:jc w:val="center"/>
      </w:pPr>
    </w:p>
    <w:p w:rsidR="009E524F" w:rsidRPr="009E524F" w:rsidP="009E524F" w14:paraId="0802F69D" w14:textId="77777777">
      <w:pPr>
        <w:pStyle w:val="Header"/>
        <w:jc w:val="center"/>
        <w:rPr>
          <w:rFonts w:ascii="Arial" w:hAnsi="Arial" w:cs="Arial"/>
          <w:b/>
          <w:sz w:val="32"/>
          <w:szCs w:val="32"/>
        </w:rPr>
      </w:pPr>
      <w:r w:rsidRPr="009E524F">
        <w:rPr>
          <w:rFonts w:ascii="Arial" w:hAnsi="Arial" w:cs="Arial"/>
          <w:b/>
          <w:sz w:val="32"/>
          <w:szCs w:val="32"/>
        </w:rPr>
        <w:t>0970-0500</w:t>
      </w:r>
    </w:p>
    <w:p w:rsidR="009E524F" w:rsidP="009E524F" w14:paraId="74BBA2D9" w14:textId="77777777">
      <w:pPr>
        <w:pStyle w:val="Header"/>
        <w:ind w:left="720"/>
        <w:jc w:val="right"/>
      </w:pPr>
    </w:p>
    <w:p w:rsidR="00A7361D" w:rsidRPr="00A7361D" w:rsidP="00A7361D" w14:paraId="5D63596A" w14:textId="77777777">
      <w:pPr>
        <w:widowControl/>
        <w:jc w:val="center"/>
        <w:rPr>
          <w:rFonts w:ascii="Arial" w:hAnsi="Arial" w:cs="Arial"/>
          <w:snapToGrid/>
          <w:color w:val="000000"/>
          <w:sz w:val="32"/>
          <w:szCs w:val="32"/>
        </w:rPr>
      </w:pPr>
    </w:p>
    <w:p w:rsidR="00160621" w:rsidRPr="00160621" w:rsidP="00160621" w14:paraId="476A17A4" w14:textId="77777777">
      <w:pPr>
        <w:pStyle w:val="ReportCover-Title"/>
        <w:jc w:val="center"/>
        <w:rPr>
          <w:rFonts w:ascii="Arial" w:hAnsi="Arial" w:cs="Arial"/>
          <w:color w:val="auto"/>
          <w:sz w:val="32"/>
          <w:szCs w:val="32"/>
        </w:rPr>
      </w:pPr>
    </w:p>
    <w:p w:rsidR="00160621" w:rsidRPr="00160621" w:rsidP="00160621" w14:paraId="4C19CA24" w14:textId="77777777">
      <w:pPr>
        <w:rPr>
          <w:rFonts w:ascii="Arial" w:hAnsi="Arial" w:cs="Arial"/>
          <w:szCs w:val="22"/>
        </w:rPr>
      </w:pPr>
    </w:p>
    <w:p w:rsidR="00160621" w:rsidRPr="00160621" w:rsidP="00160621" w14:paraId="146C9F92" w14:textId="77777777">
      <w:pPr>
        <w:pStyle w:val="ReportCover-Date"/>
        <w:jc w:val="center"/>
        <w:rPr>
          <w:rFonts w:ascii="Arial" w:hAnsi="Arial" w:cs="Arial"/>
          <w:color w:val="auto"/>
        </w:rPr>
      </w:pPr>
    </w:p>
    <w:p w:rsidR="00160621" w:rsidRPr="00160621" w:rsidP="00597E7F" w14:paraId="26326B5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74DF25A" w14:textId="77777777">
      <w:pPr>
        <w:pStyle w:val="ReportCover-Date"/>
        <w:jc w:val="center"/>
        <w:rPr>
          <w:rFonts w:ascii="Arial" w:hAnsi="Arial" w:cs="Arial"/>
          <w:color w:val="auto"/>
        </w:rPr>
      </w:pPr>
      <w:r>
        <w:rPr>
          <w:rFonts w:ascii="Arial" w:hAnsi="Arial" w:cs="Arial"/>
          <w:color w:val="auto"/>
        </w:rPr>
        <w:t>October 2022</w:t>
      </w:r>
    </w:p>
    <w:p w:rsidR="00160621" w:rsidP="00160621" w14:paraId="0457548B" w14:textId="77777777">
      <w:pPr>
        <w:jc w:val="center"/>
        <w:rPr>
          <w:rFonts w:ascii="Arial" w:hAnsi="Arial" w:cs="Arial"/>
        </w:rPr>
      </w:pPr>
    </w:p>
    <w:p w:rsidR="00597E7F" w:rsidP="00160621" w14:paraId="25531710" w14:textId="77777777">
      <w:pPr>
        <w:jc w:val="center"/>
        <w:rPr>
          <w:rFonts w:ascii="Arial" w:hAnsi="Arial" w:cs="Arial"/>
        </w:rPr>
      </w:pPr>
    </w:p>
    <w:p w:rsidR="00597E7F" w:rsidP="00160621" w14:paraId="7FA88DFC" w14:textId="77777777">
      <w:pPr>
        <w:jc w:val="center"/>
        <w:rPr>
          <w:rFonts w:ascii="Arial" w:hAnsi="Arial" w:cs="Arial"/>
        </w:rPr>
      </w:pPr>
    </w:p>
    <w:p w:rsidR="00597E7F" w:rsidP="00160621" w14:paraId="005C0033" w14:textId="77777777">
      <w:pPr>
        <w:jc w:val="center"/>
        <w:rPr>
          <w:rFonts w:ascii="Arial" w:hAnsi="Arial" w:cs="Arial"/>
        </w:rPr>
      </w:pPr>
    </w:p>
    <w:p w:rsidR="00597E7F" w:rsidP="00160621" w14:paraId="64805D8C" w14:textId="77777777">
      <w:pPr>
        <w:jc w:val="center"/>
        <w:rPr>
          <w:rFonts w:ascii="Arial" w:hAnsi="Arial" w:cs="Arial"/>
        </w:rPr>
      </w:pPr>
    </w:p>
    <w:p w:rsidR="00597E7F" w:rsidP="00160621" w14:paraId="2B91A678" w14:textId="77777777">
      <w:pPr>
        <w:jc w:val="center"/>
        <w:rPr>
          <w:rFonts w:ascii="Arial" w:hAnsi="Arial" w:cs="Arial"/>
        </w:rPr>
      </w:pPr>
    </w:p>
    <w:p w:rsidR="00597E7F" w:rsidP="00160621" w14:paraId="0DAC0CF5" w14:textId="77777777">
      <w:pPr>
        <w:jc w:val="center"/>
        <w:rPr>
          <w:rFonts w:ascii="Arial" w:hAnsi="Arial" w:cs="Arial"/>
        </w:rPr>
      </w:pPr>
    </w:p>
    <w:p w:rsidR="00597E7F" w:rsidP="00160621" w14:paraId="1C79D1CC" w14:textId="77777777">
      <w:pPr>
        <w:jc w:val="center"/>
        <w:rPr>
          <w:rFonts w:ascii="Arial" w:hAnsi="Arial" w:cs="Arial"/>
        </w:rPr>
      </w:pPr>
    </w:p>
    <w:p w:rsidR="00597E7F" w:rsidP="00160621" w14:paraId="08723AD5" w14:textId="77777777">
      <w:pPr>
        <w:jc w:val="center"/>
        <w:rPr>
          <w:rFonts w:ascii="Arial" w:hAnsi="Arial" w:cs="Arial"/>
        </w:rPr>
      </w:pPr>
    </w:p>
    <w:p w:rsidR="00597E7F" w:rsidP="00160621" w14:paraId="2147A7F1" w14:textId="77777777">
      <w:pPr>
        <w:jc w:val="center"/>
        <w:rPr>
          <w:rFonts w:ascii="Arial" w:hAnsi="Arial" w:cs="Arial"/>
        </w:rPr>
      </w:pPr>
    </w:p>
    <w:p w:rsidR="00597E7F" w:rsidP="00160621" w14:paraId="5502829F" w14:textId="77777777">
      <w:pPr>
        <w:jc w:val="center"/>
        <w:rPr>
          <w:rFonts w:ascii="Arial" w:hAnsi="Arial" w:cs="Arial"/>
        </w:rPr>
      </w:pPr>
    </w:p>
    <w:p w:rsidR="00597E7F" w:rsidP="00160621" w14:paraId="5C59DED5" w14:textId="77777777">
      <w:pPr>
        <w:jc w:val="center"/>
        <w:rPr>
          <w:rFonts w:ascii="Arial" w:hAnsi="Arial" w:cs="Arial"/>
        </w:rPr>
      </w:pPr>
    </w:p>
    <w:p w:rsidR="00597E7F" w:rsidP="00160621" w14:paraId="7EC67FBF" w14:textId="77777777">
      <w:pPr>
        <w:jc w:val="center"/>
        <w:rPr>
          <w:rFonts w:ascii="Arial" w:hAnsi="Arial" w:cs="Arial"/>
        </w:rPr>
      </w:pPr>
    </w:p>
    <w:p w:rsidR="00597E7F" w:rsidRPr="00160621" w:rsidP="00160621" w14:paraId="201FB195" w14:textId="77777777">
      <w:pPr>
        <w:jc w:val="center"/>
        <w:rPr>
          <w:rFonts w:ascii="Arial" w:hAnsi="Arial" w:cs="Arial"/>
        </w:rPr>
      </w:pPr>
    </w:p>
    <w:p w:rsidR="00160621" w:rsidRPr="00160621" w:rsidP="00160621" w14:paraId="7AEC69E2" w14:textId="77777777">
      <w:pPr>
        <w:jc w:val="center"/>
        <w:rPr>
          <w:rFonts w:ascii="Arial" w:hAnsi="Arial" w:cs="Arial"/>
        </w:rPr>
      </w:pPr>
      <w:r w:rsidRPr="00160621">
        <w:rPr>
          <w:rFonts w:ascii="Arial" w:hAnsi="Arial" w:cs="Arial"/>
        </w:rPr>
        <w:t>Submitted By:</w:t>
      </w:r>
    </w:p>
    <w:p w:rsidR="0051701C" w:rsidP="00160621" w14:paraId="5AA6EB40" w14:textId="7F7C90D6">
      <w:pPr>
        <w:jc w:val="center"/>
        <w:rPr>
          <w:rFonts w:ascii="Arial" w:hAnsi="Arial" w:cs="Arial"/>
        </w:rPr>
      </w:pPr>
      <w:r>
        <w:rPr>
          <w:rFonts w:ascii="Arial" w:hAnsi="Arial" w:cs="Arial"/>
        </w:rPr>
        <w:t xml:space="preserve">Office of </w:t>
      </w:r>
      <w:r w:rsidR="009B4B41">
        <w:rPr>
          <w:rFonts w:ascii="Arial" w:hAnsi="Arial" w:cs="Arial"/>
        </w:rPr>
        <w:t>Early Childhood Development</w:t>
      </w:r>
    </w:p>
    <w:p w:rsidR="00160621" w:rsidRPr="00160621" w:rsidP="00160621" w14:paraId="509BE2AC"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753B3F5" w14:textId="77777777">
      <w:pPr>
        <w:jc w:val="center"/>
        <w:rPr>
          <w:rFonts w:ascii="Arial" w:hAnsi="Arial" w:cs="Arial"/>
        </w:rPr>
      </w:pPr>
      <w:r w:rsidRPr="00160621">
        <w:rPr>
          <w:rFonts w:ascii="Arial" w:hAnsi="Arial" w:cs="Arial"/>
        </w:rPr>
        <w:t>U.S. Department of Health and Human Services</w:t>
      </w:r>
    </w:p>
    <w:p w:rsidR="00160621" w:rsidRPr="00160621" w:rsidP="00160621" w14:paraId="312B7ED1" w14:textId="77777777">
      <w:pPr>
        <w:jc w:val="center"/>
        <w:rPr>
          <w:rFonts w:ascii="Arial" w:hAnsi="Arial" w:cs="Arial"/>
        </w:rPr>
      </w:pPr>
    </w:p>
    <w:p w:rsidR="00160621" w:rsidP="00160621" w14:paraId="6CACF655" w14:textId="77777777">
      <w:pPr>
        <w:jc w:val="center"/>
        <w:rPr>
          <w:rFonts w:ascii="Arial" w:hAnsi="Arial" w:cs="Arial"/>
        </w:rPr>
      </w:pPr>
    </w:p>
    <w:p w:rsidR="0051701C" w:rsidRPr="00072D73" w:rsidP="00C1712F" w14:paraId="6BE5471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072D73">
        <w:rPr>
          <w:rFonts w:ascii="Times New Roman" w:hAnsi="Times New Roman"/>
          <w:b/>
          <w:snapToGrid/>
          <w:sz w:val="24"/>
          <w:szCs w:val="24"/>
        </w:rPr>
        <w:t xml:space="preserve">Circumstances Making the Collection of Information Necessary </w:t>
      </w:r>
    </w:p>
    <w:p w:rsidR="0051701C" w:rsidRPr="00E431DF" w:rsidP="00C1712F" w14:paraId="55E5F8F4" w14:textId="14790659">
      <w:pPr>
        <w:widowControl/>
        <w:autoSpaceDE w:val="0"/>
        <w:autoSpaceDN w:val="0"/>
        <w:adjustRightInd w:val="0"/>
        <w:ind w:left="360"/>
        <w:rPr>
          <w:rFonts w:ascii="Times New Roman" w:hAnsi="Times New Roman"/>
          <w:sz w:val="24"/>
          <w:szCs w:val="24"/>
        </w:rPr>
      </w:pPr>
      <w:r>
        <w:rPr>
          <w:rFonts w:ascii="Times New Roman" w:hAnsi="Times New Roman"/>
          <w:sz w:val="24"/>
          <w:szCs w:val="24"/>
        </w:rPr>
        <w:t>Section 511 of the Social Security Act</w:t>
      </w:r>
      <w:r w:rsidRPr="00E431DF">
        <w:rPr>
          <w:rFonts w:ascii="Times New Roman" w:hAnsi="Times New Roman"/>
          <w:sz w:val="24"/>
          <w:szCs w:val="24"/>
        </w:rPr>
        <w:t xml:space="preserve"> created the Maternal, Infant, and Early Childhood Home Visiting Program (MIECHV) and authorized the Secretary of </w:t>
      </w:r>
      <w:r w:rsidR="000F2B30">
        <w:rPr>
          <w:rFonts w:ascii="Times New Roman" w:hAnsi="Times New Roman"/>
          <w:sz w:val="24"/>
          <w:szCs w:val="24"/>
        </w:rPr>
        <w:t>the Department of Health and Human Services (</w:t>
      </w:r>
      <w:r w:rsidRPr="00E431DF">
        <w:rPr>
          <w:rFonts w:ascii="Times New Roman" w:hAnsi="Times New Roman"/>
          <w:sz w:val="24"/>
          <w:szCs w:val="24"/>
        </w:rPr>
        <w:t>HHS</w:t>
      </w:r>
      <w:r w:rsidR="000F2B30">
        <w:rPr>
          <w:rFonts w:ascii="Times New Roman" w:hAnsi="Times New Roman"/>
          <w:sz w:val="24"/>
          <w:szCs w:val="24"/>
        </w:rPr>
        <w:t>)</w:t>
      </w:r>
      <w:r w:rsidRPr="00E431DF">
        <w:rPr>
          <w:rFonts w:ascii="Times New Roman" w:hAnsi="Times New Roman"/>
          <w:sz w:val="24"/>
          <w:szCs w:val="24"/>
        </w:rPr>
        <w:t xml:space="preserve"> (in Section 511(h)(2)(A)) to award grants to Indian tribes (or a consortium of Indian tribes), tribal organizations, or urban Indian organizations to conduct an early c</w:t>
      </w:r>
      <w:r w:rsidR="00B108FD">
        <w:rPr>
          <w:rFonts w:ascii="Times New Roman" w:hAnsi="Times New Roman"/>
          <w:sz w:val="24"/>
          <w:szCs w:val="24"/>
        </w:rPr>
        <w:t xml:space="preserve">hildhood home visiting program. </w:t>
      </w:r>
      <w:r w:rsidRPr="00E431DF">
        <w:rPr>
          <w:rFonts w:ascii="Times New Roman" w:hAnsi="Times New Roman"/>
          <w:sz w:val="24"/>
          <w:szCs w:val="24"/>
        </w:rPr>
        <w:t>The legislation set aside 3 percent of the total MIECHV program appropri</w:t>
      </w:r>
      <w:r>
        <w:rPr>
          <w:rFonts w:ascii="Times New Roman" w:hAnsi="Times New Roman"/>
          <w:sz w:val="24"/>
          <w:szCs w:val="24"/>
        </w:rPr>
        <w:t xml:space="preserve">ation </w:t>
      </w:r>
      <w:r w:rsidRPr="00E431DF">
        <w:rPr>
          <w:rFonts w:ascii="Times New Roman" w:hAnsi="Times New Roman"/>
          <w:sz w:val="24"/>
          <w:szCs w:val="24"/>
        </w:rPr>
        <w:t xml:space="preserve">for grants to tribal entities. </w:t>
      </w:r>
    </w:p>
    <w:p w:rsidR="0051701C" w:rsidRPr="00E431DF" w:rsidP="000B06C4" w14:paraId="728C852D" w14:textId="77777777">
      <w:pPr>
        <w:ind w:left="360"/>
        <w:rPr>
          <w:rFonts w:ascii="Times New Roman" w:hAnsi="Times New Roman"/>
          <w:sz w:val="24"/>
          <w:szCs w:val="24"/>
        </w:rPr>
      </w:pPr>
    </w:p>
    <w:p w:rsidR="0051701C" w:rsidP="00C1712F" w14:paraId="13DDF5B4" w14:textId="63E54918">
      <w:pPr>
        <w:ind w:left="360"/>
        <w:rPr>
          <w:rFonts w:ascii="Times New Roman" w:hAnsi="Times New Roman"/>
          <w:sz w:val="24"/>
          <w:szCs w:val="24"/>
        </w:rPr>
      </w:pPr>
      <w:r w:rsidRPr="00E431DF">
        <w:rPr>
          <w:rFonts w:ascii="Times New Roman" w:hAnsi="Times New Roman"/>
          <w:sz w:val="24"/>
          <w:szCs w:val="24"/>
        </w:rPr>
        <w:t>The Administration for Children and Families</w:t>
      </w:r>
      <w:r w:rsidR="000F2B30">
        <w:rPr>
          <w:rFonts w:ascii="Times New Roman" w:hAnsi="Times New Roman"/>
          <w:sz w:val="24"/>
          <w:szCs w:val="24"/>
        </w:rPr>
        <w:t xml:space="preserve"> (ACF)</w:t>
      </w:r>
      <w:r w:rsidRPr="00E431DF">
        <w:rPr>
          <w:rFonts w:ascii="Times New Roman" w:hAnsi="Times New Roman"/>
          <w:sz w:val="24"/>
          <w:szCs w:val="24"/>
        </w:rPr>
        <w:t xml:space="preserve">, Office of </w:t>
      </w:r>
      <w:r w:rsidR="00824492">
        <w:rPr>
          <w:rFonts w:ascii="Times New Roman" w:hAnsi="Times New Roman"/>
          <w:sz w:val="24"/>
          <w:szCs w:val="24"/>
        </w:rPr>
        <w:t>Early Childhood Development (</w:t>
      </w:r>
      <w:r w:rsidR="0098492F">
        <w:rPr>
          <w:rFonts w:ascii="Times New Roman" w:hAnsi="Times New Roman"/>
          <w:sz w:val="24"/>
          <w:szCs w:val="24"/>
        </w:rPr>
        <w:t>ECD</w:t>
      </w:r>
      <w:r w:rsidR="00824492">
        <w:rPr>
          <w:rFonts w:ascii="Times New Roman" w:hAnsi="Times New Roman"/>
          <w:sz w:val="24"/>
          <w:szCs w:val="24"/>
        </w:rPr>
        <w:t>)</w:t>
      </w:r>
      <w:r w:rsidRPr="00E431DF">
        <w:rPr>
          <w:rFonts w:ascii="Times New Roman" w:hAnsi="Times New Roman"/>
          <w:sz w:val="24"/>
          <w:szCs w:val="24"/>
        </w:rPr>
        <w:t>, in collaboration with the Health Resources and Services Administration</w:t>
      </w:r>
      <w:r w:rsidR="00824492">
        <w:rPr>
          <w:rFonts w:ascii="Times New Roman" w:hAnsi="Times New Roman"/>
          <w:sz w:val="24"/>
          <w:szCs w:val="24"/>
        </w:rPr>
        <w:t xml:space="preserve"> (HRSA)</w:t>
      </w:r>
      <w:r w:rsidRPr="00E431DF">
        <w:rPr>
          <w:rFonts w:ascii="Times New Roman" w:hAnsi="Times New Roman"/>
          <w:sz w:val="24"/>
          <w:szCs w:val="24"/>
        </w:rPr>
        <w:t>, Maternal an</w:t>
      </w:r>
      <w:r>
        <w:rPr>
          <w:rFonts w:ascii="Times New Roman" w:hAnsi="Times New Roman"/>
          <w:sz w:val="24"/>
          <w:szCs w:val="24"/>
        </w:rPr>
        <w:t xml:space="preserve">d Child Health Bureau, awards </w:t>
      </w:r>
      <w:r w:rsidRPr="00E431DF">
        <w:rPr>
          <w:rFonts w:ascii="Times New Roman" w:hAnsi="Times New Roman"/>
          <w:sz w:val="24"/>
          <w:szCs w:val="24"/>
        </w:rPr>
        <w:t xml:space="preserve">grants for the Tribal </w:t>
      </w:r>
      <w:r>
        <w:rPr>
          <w:rFonts w:ascii="Times New Roman" w:hAnsi="Times New Roman"/>
          <w:sz w:val="24"/>
          <w:szCs w:val="24"/>
        </w:rPr>
        <w:t>MIECHV Program</w:t>
      </w:r>
      <w:r w:rsidRPr="00E431DF">
        <w:rPr>
          <w:rFonts w:ascii="Times New Roman" w:hAnsi="Times New Roman"/>
          <w:sz w:val="24"/>
          <w:szCs w:val="24"/>
        </w:rPr>
        <w:t xml:space="preserve">. The Tribal </w:t>
      </w:r>
      <w:r>
        <w:rPr>
          <w:rFonts w:ascii="Times New Roman" w:hAnsi="Times New Roman"/>
          <w:sz w:val="24"/>
          <w:szCs w:val="24"/>
        </w:rPr>
        <w:t>MIECHV</w:t>
      </w:r>
      <w:r w:rsidRPr="00E431DF">
        <w:rPr>
          <w:rFonts w:ascii="Times New Roman" w:hAnsi="Times New Roman"/>
          <w:sz w:val="24"/>
          <w:szCs w:val="24"/>
        </w:rPr>
        <w:t xml:space="preserve"> grant awards support 5-year cooperative agreements to implement high-quality, culturally-relevant, evidence-based home visiting programs in at-risk Tribal communities</w:t>
      </w:r>
      <w:r w:rsidR="00AB0C83">
        <w:rPr>
          <w:rFonts w:ascii="Times New Roman" w:hAnsi="Times New Roman"/>
          <w:sz w:val="24"/>
          <w:szCs w:val="24"/>
        </w:rPr>
        <w:t xml:space="preserve">. </w:t>
      </w:r>
    </w:p>
    <w:p w:rsidR="00AB0C83" w:rsidRPr="00E431DF" w:rsidP="000B06C4" w14:paraId="4527B2A9" w14:textId="77777777">
      <w:pPr>
        <w:ind w:left="360"/>
        <w:rPr>
          <w:rFonts w:ascii="Times New Roman" w:hAnsi="Times New Roman"/>
          <w:sz w:val="24"/>
          <w:szCs w:val="24"/>
        </w:rPr>
      </w:pPr>
    </w:p>
    <w:p w:rsidR="00B108FD" w:rsidRPr="003D4D39" w:rsidP="00C1712F" w14:paraId="1EFDE70C" w14:textId="77777777">
      <w:pPr>
        <w:ind w:left="360"/>
        <w:rPr>
          <w:rFonts w:ascii="Times New Roman" w:hAnsi="Times New Roman"/>
          <w:sz w:val="24"/>
          <w:szCs w:val="24"/>
        </w:rPr>
      </w:pPr>
      <w:r w:rsidRPr="003D4D39">
        <w:rPr>
          <w:rFonts w:ascii="Times New Roman" w:hAnsi="Times New Roman"/>
          <w:sz w:val="24"/>
          <w:szCs w:val="24"/>
        </w:rPr>
        <w:t xml:space="preserve">Tribal </w:t>
      </w:r>
      <w:r>
        <w:rPr>
          <w:rFonts w:ascii="Times New Roman" w:hAnsi="Times New Roman"/>
          <w:sz w:val="24"/>
          <w:szCs w:val="24"/>
        </w:rPr>
        <w:t>MIECHV</w:t>
      </w:r>
      <w:r w:rsidRPr="003D4D39">
        <w:rPr>
          <w:rFonts w:ascii="Times New Roman" w:hAnsi="Times New Roman"/>
          <w:sz w:val="24"/>
          <w:szCs w:val="24"/>
        </w:rPr>
        <w:t xml:space="preserve"> grants, to the greatest extent practicable, are to be consistent with the requirements of the </w:t>
      </w:r>
      <w:r>
        <w:rPr>
          <w:rFonts w:ascii="Times New Roman" w:hAnsi="Times New Roman"/>
          <w:sz w:val="24"/>
          <w:szCs w:val="24"/>
        </w:rPr>
        <w:t>MIECHV</w:t>
      </w:r>
      <w:r w:rsidRPr="003D4D39">
        <w:rPr>
          <w:rFonts w:ascii="Times New Roman" w:hAnsi="Times New Roman"/>
          <w:sz w:val="24"/>
          <w:szCs w:val="24"/>
        </w:rPr>
        <w:t xml:space="preserve"> grants to states and jurisdictions (authorized in Section 511(c)), and include conducting a needs assessment and establishing quantifiable, measurable benchmarks. </w:t>
      </w:r>
    </w:p>
    <w:p w:rsidR="00B108FD" w:rsidRPr="003D4D39" w:rsidP="000B06C4" w14:paraId="0D956F2F" w14:textId="77777777">
      <w:pPr>
        <w:ind w:left="360"/>
        <w:rPr>
          <w:rFonts w:ascii="Times New Roman" w:hAnsi="Times New Roman"/>
          <w:sz w:val="24"/>
          <w:szCs w:val="24"/>
        </w:rPr>
      </w:pPr>
    </w:p>
    <w:p w:rsidR="00B108FD" w:rsidRPr="003D4D39" w:rsidP="00C1712F" w14:paraId="38D71DEA" w14:textId="77777777">
      <w:pPr>
        <w:pStyle w:val="BlockText"/>
        <w:ind w:left="360"/>
        <w:rPr>
          <w:rFonts w:ascii="Times New Roman" w:hAnsi="Times New Roman" w:cs="Times New Roman"/>
          <w:szCs w:val="24"/>
        </w:rPr>
      </w:pPr>
      <w:r w:rsidRPr="003D4D39">
        <w:rPr>
          <w:rFonts w:ascii="Times New Roman" w:hAnsi="Times New Roman" w:cs="Times New Roman"/>
          <w:color w:val="000000"/>
          <w:szCs w:val="24"/>
        </w:rPr>
        <w:t xml:space="preserve">Specifically, the </w:t>
      </w:r>
      <w:r>
        <w:rPr>
          <w:rFonts w:ascii="Times New Roman" w:hAnsi="Times New Roman" w:cs="Times New Roman"/>
          <w:color w:val="000000"/>
          <w:szCs w:val="24"/>
        </w:rPr>
        <w:t>MIECHV</w:t>
      </w:r>
      <w:r w:rsidRPr="003D4D39">
        <w:rPr>
          <w:rFonts w:ascii="Times New Roman" w:hAnsi="Times New Roman" w:cs="Times New Roman"/>
          <w:color w:val="000000"/>
          <w:szCs w:val="24"/>
        </w:rPr>
        <w:t xml:space="preserve"> legislation</w:t>
      </w:r>
      <w:r w:rsidRPr="003D4D39">
        <w:rPr>
          <w:rFonts w:ascii="Times New Roman" w:hAnsi="Times New Roman" w:cs="Times New Roman"/>
          <w:szCs w:val="24"/>
        </w:rPr>
        <w:t xml:space="preserve"> requ</w:t>
      </w:r>
      <w:r>
        <w:rPr>
          <w:rFonts w:ascii="Times New Roman" w:hAnsi="Times New Roman" w:cs="Times New Roman"/>
          <w:szCs w:val="24"/>
        </w:rPr>
        <w:t>ires State and Tribal MIECHV</w:t>
      </w:r>
      <w:r w:rsidRPr="003D4D39">
        <w:rPr>
          <w:rFonts w:ascii="Times New Roman" w:hAnsi="Times New Roman" w:cs="Times New Roman"/>
          <w:szCs w:val="24"/>
        </w:rPr>
        <w:t xml:space="preserve"> grantees </w:t>
      </w:r>
      <w:r>
        <w:rPr>
          <w:rFonts w:ascii="Times New Roman" w:hAnsi="Times New Roman" w:cs="Times New Roman"/>
          <w:szCs w:val="24"/>
        </w:rPr>
        <w:t xml:space="preserve">to </w:t>
      </w:r>
      <w:r w:rsidRPr="003D4D39">
        <w:rPr>
          <w:rFonts w:ascii="Times New Roman" w:hAnsi="Times New Roman" w:cs="Times New Roman"/>
          <w:szCs w:val="24"/>
        </w:rPr>
        <w:t xml:space="preserve">collect data to measure improvements for eligible families in six specified areas (referred to as "benchmark areas") that encompass the major goals for the program and are listed below: </w:t>
      </w:r>
    </w:p>
    <w:p w:rsidR="00B108FD" w:rsidRPr="003D4D39" w:rsidP="00B108FD" w14:paraId="2FA36A8F" w14:textId="77777777">
      <w:pPr>
        <w:pStyle w:val="BlockText"/>
        <w:ind w:left="720"/>
        <w:rPr>
          <w:rFonts w:ascii="Times New Roman" w:hAnsi="Times New Roman" w:cs="Times New Roman"/>
          <w:szCs w:val="24"/>
        </w:rPr>
      </w:pPr>
    </w:p>
    <w:p w:rsidR="00B108FD" w:rsidP="00B108FD" w14:paraId="2B3BAD8B"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Improved maternal and newborn health</w:t>
      </w:r>
    </w:p>
    <w:p w:rsidR="00B108FD" w:rsidRPr="003D4D39" w:rsidP="00B108FD" w14:paraId="2B7D6CD0"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Prevention of child injuries, child abuse, neglect, or maltreatment,</w:t>
      </w:r>
      <w:r>
        <w:rPr>
          <w:rFonts w:ascii="Times New Roman" w:hAnsi="Times New Roman" w:cs="Times New Roman"/>
          <w:szCs w:val="24"/>
        </w:rPr>
        <w:t xml:space="preserve"> a</w:t>
      </w:r>
      <w:r w:rsidRPr="003D4D39">
        <w:rPr>
          <w:rFonts w:ascii="Times New Roman" w:hAnsi="Times New Roman" w:cs="Times New Roman"/>
          <w:szCs w:val="24"/>
        </w:rPr>
        <w:t>nd reduction in emergency department visits</w:t>
      </w:r>
    </w:p>
    <w:p w:rsidR="00B108FD" w:rsidRPr="003D4D39" w:rsidP="00B108FD" w14:paraId="05C42DB3"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Improvement in school readiness and achievement</w:t>
      </w:r>
    </w:p>
    <w:p w:rsidR="00B108FD" w:rsidRPr="003D4D39" w:rsidP="00B108FD" w14:paraId="5219E01A"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Reduction in crime or domestic violence</w:t>
      </w:r>
    </w:p>
    <w:p w:rsidR="00B108FD" w:rsidRPr="003D4D39" w:rsidP="00B108FD" w14:paraId="45B72880"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Improvement in family economic self-sufficiency</w:t>
      </w:r>
    </w:p>
    <w:p w:rsidR="00B108FD" w:rsidRPr="003D4D39" w:rsidP="00B108FD" w14:paraId="1E999549" w14:textId="77777777">
      <w:pPr>
        <w:pStyle w:val="BlockText"/>
        <w:numPr>
          <w:ilvl w:val="0"/>
          <w:numId w:val="20"/>
        </w:numPr>
        <w:rPr>
          <w:rFonts w:ascii="Times New Roman" w:hAnsi="Times New Roman" w:cs="Times New Roman"/>
          <w:szCs w:val="24"/>
        </w:rPr>
      </w:pPr>
      <w:r w:rsidRPr="003D4D39">
        <w:rPr>
          <w:rFonts w:ascii="Times New Roman" w:hAnsi="Times New Roman" w:cs="Times New Roman"/>
          <w:szCs w:val="24"/>
        </w:rPr>
        <w:t>Improvement in the coordination and referrals for other community resources and supports</w:t>
      </w:r>
    </w:p>
    <w:p w:rsidR="00B108FD" w:rsidP="00B108FD" w14:paraId="0500E2BF" w14:textId="77777777">
      <w:pPr>
        <w:widowControl/>
        <w:autoSpaceDE w:val="0"/>
        <w:autoSpaceDN w:val="0"/>
        <w:adjustRightInd w:val="0"/>
        <w:ind w:left="720"/>
        <w:rPr>
          <w:rFonts w:ascii="Times New Roman" w:hAnsi="Times New Roman"/>
          <w:sz w:val="24"/>
          <w:szCs w:val="24"/>
        </w:rPr>
      </w:pPr>
    </w:p>
    <w:p w:rsidR="00B108FD" w:rsidP="00C1712F" w14:paraId="0E0768F8" w14:textId="66D31BFB">
      <w:pPr>
        <w:ind w:left="360"/>
        <w:rPr>
          <w:rFonts w:ascii="Times New Roman" w:hAnsi="Times New Roman"/>
          <w:sz w:val="24"/>
          <w:szCs w:val="24"/>
        </w:rPr>
      </w:pPr>
      <w:r>
        <w:rPr>
          <w:rFonts w:ascii="Times New Roman" w:hAnsi="Times New Roman"/>
          <w:sz w:val="24"/>
          <w:szCs w:val="24"/>
        </w:rPr>
        <w:t xml:space="preserve">As part of their implementation plans, </w:t>
      </w:r>
      <w:r w:rsidRPr="00F50390">
        <w:rPr>
          <w:rFonts w:ascii="Times New Roman" w:hAnsi="Times New Roman"/>
          <w:sz w:val="24"/>
          <w:szCs w:val="24"/>
        </w:rPr>
        <w:t xml:space="preserve">Tribal </w:t>
      </w:r>
      <w:r>
        <w:rPr>
          <w:rFonts w:ascii="Times New Roman" w:hAnsi="Times New Roman"/>
          <w:sz w:val="24"/>
          <w:szCs w:val="24"/>
        </w:rPr>
        <w:t>MIECHV</w:t>
      </w:r>
      <w:r w:rsidRPr="00F50390">
        <w:rPr>
          <w:rFonts w:ascii="Times New Roman" w:hAnsi="Times New Roman"/>
          <w:sz w:val="24"/>
          <w:szCs w:val="24"/>
        </w:rPr>
        <w:t xml:space="preserve"> grantees are required to propose a plan for meeting the benchmark requirements specified in the legislation and must report </w:t>
      </w:r>
      <w:r w:rsidR="009C5CD2">
        <w:rPr>
          <w:rFonts w:ascii="Times New Roman" w:hAnsi="Times New Roman"/>
          <w:sz w:val="24"/>
          <w:szCs w:val="24"/>
        </w:rPr>
        <w:t>performance data</w:t>
      </w:r>
      <w:r>
        <w:rPr>
          <w:rFonts w:ascii="Times New Roman" w:hAnsi="Times New Roman"/>
          <w:sz w:val="24"/>
          <w:szCs w:val="24"/>
        </w:rPr>
        <w:t xml:space="preserve"> to HHS, with </w:t>
      </w:r>
      <w:r w:rsidRPr="00F50390">
        <w:rPr>
          <w:rFonts w:ascii="Times New Roman" w:hAnsi="Times New Roman"/>
          <w:sz w:val="24"/>
          <w:szCs w:val="24"/>
        </w:rPr>
        <w:t xml:space="preserve">improvement </w:t>
      </w:r>
      <w:r>
        <w:rPr>
          <w:rFonts w:ascii="Times New Roman" w:hAnsi="Times New Roman"/>
          <w:sz w:val="24"/>
          <w:szCs w:val="24"/>
        </w:rPr>
        <w:t xml:space="preserve">assessed </w:t>
      </w:r>
      <w:r w:rsidRPr="00F50390">
        <w:rPr>
          <w:rFonts w:ascii="Times New Roman" w:hAnsi="Times New Roman"/>
          <w:sz w:val="24"/>
          <w:szCs w:val="24"/>
        </w:rPr>
        <w:t>at the end of Year 4 and Year 5 of their 5-year grants</w:t>
      </w:r>
      <w:r>
        <w:rPr>
          <w:rFonts w:ascii="Times New Roman" w:hAnsi="Times New Roman"/>
          <w:sz w:val="24"/>
          <w:szCs w:val="24"/>
        </w:rPr>
        <w:t>.</w:t>
      </w:r>
      <w:r w:rsidRPr="00F50390">
        <w:rPr>
          <w:rFonts w:ascii="Times New Roman" w:hAnsi="Times New Roman"/>
          <w:sz w:val="24"/>
          <w:szCs w:val="24"/>
        </w:rPr>
        <w:t xml:space="preserve"> </w:t>
      </w:r>
      <w:r w:rsidR="00D10B31">
        <w:rPr>
          <w:rFonts w:ascii="Times New Roman" w:hAnsi="Times New Roman"/>
          <w:sz w:val="24"/>
          <w:szCs w:val="24"/>
        </w:rPr>
        <w:t xml:space="preserve">(With the American Rescue Plan Act, 19 of the 23 grantees received an additional year of funding and will report </w:t>
      </w:r>
      <w:r w:rsidR="0025360B">
        <w:rPr>
          <w:rFonts w:ascii="Times New Roman" w:hAnsi="Times New Roman"/>
          <w:sz w:val="24"/>
          <w:szCs w:val="24"/>
        </w:rPr>
        <w:t>a “</w:t>
      </w:r>
      <w:r w:rsidR="00D10B31">
        <w:rPr>
          <w:rFonts w:ascii="Times New Roman" w:hAnsi="Times New Roman"/>
          <w:sz w:val="24"/>
          <w:szCs w:val="24"/>
        </w:rPr>
        <w:t xml:space="preserve">Year 6 </w:t>
      </w:r>
      <w:r w:rsidR="0025360B">
        <w:rPr>
          <w:rFonts w:ascii="Times New Roman" w:hAnsi="Times New Roman"/>
          <w:sz w:val="24"/>
          <w:szCs w:val="24"/>
        </w:rPr>
        <w:t xml:space="preserve">“ </w:t>
      </w:r>
      <w:r w:rsidR="00D10B31">
        <w:rPr>
          <w:rFonts w:ascii="Times New Roman" w:hAnsi="Times New Roman"/>
          <w:sz w:val="24"/>
          <w:szCs w:val="24"/>
        </w:rPr>
        <w:t xml:space="preserve">of performance data). </w:t>
      </w:r>
      <w:r w:rsidRPr="009C5CD2" w:rsidR="009C5CD2">
        <w:rPr>
          <w:rFonts w:ascii="Times New Roman" w:hAnsi="Times New Roman"/>
          <w:sz w:val="24"/>
          <w:szCs w:val="24"/>
        </w:rPr>
        <w:t xml:space="preserve">The Tribal Home </w:t>
      </w:r>
      <w:r w:rsidRPr="009C5CD2" w:rsidR="009C5CD2">
        <w:rPr>
          <w:rFonts w:ascii="Times New Roman" w:hAnsi="Times New Roman"/>
          <w:bCs/>
          <w:sz w:val="24"/>
          <w:szCs w:val="24"/>
        </w:rPr>
        <w:t xml:space="preserve">Visiting (HV) Form 2 provides a template for Tribal MIECHV grantees to report data </w:t>
      </w:r>
      <w:r w:rsidRPr="009C5CD2" w:rsidR="009C5CD2">
        <w:rPr>
          <w:rFonts w:ascii="Times New Roman" w:hAnsi="Times New Roman"/>
          <w:sz w:val="24"/>
          <w:szCs w:val="24"/>
        </w:rPr>
        <w:t>on their progress in improving performance under the six benchmark areas, as stipulated in the legislation.</w:t>
      </w:r>
    </w:p>
    <w:p w:rsidR="001B2E96" w:rsidP="00C1712F" w14:paraId="4BE54858" w14:textId="361541D8">
      <w:pPr>
        <w:ind w:left="360"/>
        <w:rPr>
          <w:rFonts w:ascii="Times New Roman" w:hAnsi="Times New Roman"/>
          <w:sz w:val="24"/>
          <w:szCs w:val="24"/>
        </w:rPr>
      </w:pPr>
    </w:p>
    <w:p w:rsidR="001B2E96" w:rsidP="00C1712F" w14:paraId="688BC831" w14:textId="4C180B6D">
      <w:pPr>
        <w:ind w:left="360"/>
        <w:rPr>
          <w:rFonts w:ascii="Times New Roman" w:hAnsi="Times New Roman"/>
          <w:sz w:val="24"/>
          <w:szCs w:val="24"/>
        </w:rPr>
      </w:pPr>
      <w:r>
        <w:rPr>
          <w:rFonts w:ascii="Times New Roman" w:hAnsi="Times New Roman"/>
          <w:sz w:val="24"/>
          <w:szCs w:val="24"/>
        </w:rPr>
        <w:t xml:space="preserve">This request is for an extension with no changes to the </w:t>
      </w:r>
      <w:r w:rsidRPr="009C5CD2">
        <w:rPr>
          <w:rFonts w:ascii="Times New Roman" w:hAnsi="Times New Roman"/>
          <w:sz w:val="24"/>
          <w:szCs w:val="24"/>
        </w:rPr>
        <w:t xml:space="preserve">Tribal </w:t>
      </w:r>
      <w:r>
        <w:rPr>
          <w:rFonts w:ascii="Times New Roman" w:hAnsi="Times New Roman"/>
          <w:sz w:val="24"/>
          <w:szCs w:val="24"/>
        </w:rPr>
        <w:t>MIEC</w:t>
      </w:r>
      <w:r w:rsidRPr="009C5CD2">
        <w:rPr>
          <w:rFonts w:ascii="Times New Roman" w:hAnsi="Times New Roman"/>
          <w:sz w:val="24"/>
          <w:szCs w:val="24"/>
        </w:rPr>
        <w:t>HV Form 2</w:t>
      </w:r>
      <w:r>
        <w:rPr>
          <w:rFonts w:ascii="Times New Roman" w:hAnsi="Times New Roman"/>
          <w:sz w:val="24"/>
          <w:szCs w:val="24"/>
        </w:rPr>
        <w:t>.</w:t>
      </w:r>
    </w:p>
    <w:p w:rsidR="00824492" w:rsidP="00C1712F" w14:paraId="517B43DE" w14:textId="77777777">
      <w:pPr>
        <w:ind w:left="360"/>
        <w:rPr>
          <w:rFonts w:ascii="Times New Roman" w:hAnsi="Times New Roman"/>
          <w:sz w:val="24"/>
          <w:szCs w:val="24"/>
        </w:rPr>
      </w:pPr>
    </w:p>
    <w:p w:rsidR="002C3C4F" w:rsidRPr="00C1712F" w:rsidP="00C1712F" w14:paraId="5405B95F" w14:textId="77777777">
      <w:pPr>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P</w:t>
      </w:r>
      <w:r w:rsidRPr="00C1712F">
        <w:rPr>
          <w:rFonts w:ascii="Times New Roman" w:hAnsi="Times New Roman"/>
          <w:b/>
          <w:snapToGrid/>
          <w:sz w:val="24"/>
          <w:szCs w:val="24"/>
        </w:rPr>
        <w:t xml:space="preserve">urpose and Use of the Information Collection </w:t>
      </w:r>
    </w:p>
    <w:p w:rsidR="009C5CD2" w:rsidP="000B06C4" w14:paraId="7AA55AEF" w14:textId="59B58AE7">
      <w:pPr>
        <w:pStyle w:val="Header"/>
        <w:ind w:left="360"/>
        <w:rPr>
          <w:rFonts w:ascii="Times New Roman" w:hAnsi="Times New Roman"/>
          <w:szCs w:val="24"/>
        </w:rPr>
      </w:pPr>
      <w:r w:rsidRPr="009C5CD2">
        <w:rPr>
          <w:rFonts w:ascii="Times New Roman" w:hAnsi="Times New Roman"/>
          <w:sz w:val="24"/>
          <w:szCs w:val="24"/>
        </w:rPr>
        <w:t>The purpose of th</w:t>
      </w:r>
      <w:r w:rsidRPr="009C5CD2" w:rsidR="000F2B30">
        <w:rPr>
          <w:rFonts w:ascii="Times New Roman" w:hAnsi="Times New Roman"/>
          <w:sz w:val="24"/>
          <w:szCs w:val="24"/>
        </w:rPr>
        <w:t>is</w:t>
      </w:r>
      <w:r w:rsidRPr="009C5CD2">
        <w:rPr>
          <w:rFonts w:ascii="Times New Roman" w:hAnsi="Times New Roman"/>
          <w:sz w:val="24"/>
          <w:szCs w:val="24"/>
        </w:rPr>
        <w:t xml:space="preserve"> information collect</w:t>
      </w:r>
      <w:r w:rsidR="001B2E96">
        <w:rPr>
          <w:rFonts w:ascii="Times New Roman" w:hAnsi="Times New Roman"/>
          <w:sz w:val="24"/>
          <w:szCs w:val="24"/>
        </w:rPr>
        <w:t>ed through the</w:t>
      </w:r>
      <w:r w:rsidRPr="009C5CD2">
        <w:rPr>
          <w:rFonts w:ascii="Times New Roman" w:hAnsi="Times New Roman"/>
          <w:sz w:val="24"/>
          <w:szCs w:val="24"/>
        </w:rPr>
        <w:t xml:space="preserve"> Tribal </w:t>
      </w:r>
      <w:r w:rsidR="00D1090D">
        <w:rPr>
          <w:rFonts w:ascii="Times New Roman" w:hAnsi="Times New Roman"/>
          <w:sz w:val="24"/>
          <w:szCs w:val="24"/>
        </w:rPr>
        <w:t>MIEC</w:t>
      </w:r>
      <w:r w:rsidRPr="009C5CD2">
        <w:rPr>
          <w:rFonts w:ascii="Times New Roman" w:hAnsi="Times New Roman"/>
          <w:sz w:val="24"/>
          <w:szCs w:val="24"/>
        </w:rPr>
        <w:t xml:space="preserve">HV Form 2 </w:t>
      </w:r>
      <w:r w:rsidR="00B756A5">
        <w:rPr>
          <w:rFonts w:ascii="Times New Roman" w:hAnsi="Times New Roman"/>
          <w:sz w:val="24"/>
          <w:szCs w:val="24"/>
        </w:rPr>
        <w:t xml:space="preserve">is </w:t>
      </w:r>
      <w:r w:rsidRPr="009C5CD2">
        <w:rPr>
          <w:rFonts w:ascii="Times New Roman" w:hAnsi="Times New Roman"/>
          <w:sz w:val="24"/>
          <w:szCs w:val="24"/>
        </w:rPr>
        <w:t>to:</w:t>
      </w:r>
    </w:p>
    <w:p w:rsidR="009C5CD2" w:rsidRPr="009C5CD2" w:rsidP="009C5CD2" w14:paraId="349E7278" w14:textId="77777777">
      <w:pPr>
        <w:pStyle w:val="BlockText"/>
        <w:ind w:left="0"/>
        <w:rPr>
          <w:rFonts w:ascii="Times New Roman" w:hAnsi="Times New Roman" w:cs="Times New Roman"/>
          <w:szCs w:val="24"/>
        </w:rPr>
      </w:pPr>
    </w:p>
    <w:p w:rsidR="009C5CD2" w:rsidRPr="009C5CD2" w:rsidP="009C5CD2" w14:paraId="3D9A31F2" w14:textId="77777777">
      <w:pPr>
        <w:pStyle w:val="BlockText"/>
        <w:numPr>
          <w:ilvl w:val="0"/>
          <w:numId w:val="21"/>
        </w:numPr>
        <w:rPr>
          <w:rFonts w:ascii="Times New Roman" w:hAnsi="Times New Roman" w:cs="Times New Roman"/>
          <w:szCs w:val="24"/>
        </w:rPr>
      </w:pPr>
      <w:r w:rsidRPr="009C5CD2">
        <w:rPr>
          <w:rFonts w:ascii="Times New Roman" w:hAnsi="Times New Roman" w:cs="Times New Roman"/>
          <w:szCs w:val="24"/>
        </w:rPr>
        <w:t xml:space="preserve">Track and improve the quality of benchmark measures data submitted by the Tribal grantees; </w:t>
      </w:r>
    </w:p>
    <w:p w:rsidR="009C5CD2" w:rsidRPr="009C5CD2" w:rsidP="009C5CD2" w14:paraId="5F7AEE46" w14:textId="77777777">
      <w:pPr>
        <w:pStyle w:val="BlockText"/>
        <w:numPr>
          <w:ilvl w:val="0"/>
          <w:numId w:val="21"/>
        </w:numPr>
        <w:rPr>
          <w:rFonts w:ascii="Times New Roman" w:hAnsi="Times New Roman" w:cs="Times New Roman"/>
          <w:szCs w:val="24"/>
        </w:rPr>
      </w:pPr>
      <w:r w:rsidRPr="009C5CD2">
        <w:rPr>
          <w:rFonts w:ascii="Times New Roman" w:hAnsi="Times New Roman" w:cs="Times New Roman"/>
          <w:szCs w:val="24"/>
        </w:rPr>
        <w:t xml:space="preserve">Improve program monitoring and oversight; </w:t>
      </w:r>
    </w:p>
    <w:p w:rsidR="00D1090D" w:rsidP="00C31B1F" w14:paraId="0A13D9B6" w14:textId="77777777">
      <w:pPr>
        <w:pStyle w:val="BlockText"/>
        <w:numPr>
          <w:ilvl w:val="0"/>
          <w:numId w:val="21"/>
        </w:numPr>
        <w:rPr>
          <w:rFonts w:ascii="Times New Roman" w:hAnsi="Times New Roman" w:cs="Times New Roman"/>
          <w:szCs w:val="24"/>
        </w:rPr>
      </w:pPr>
      <w:r w:rsidRPr="00D1090D">
        <w:rPr>
          <w:rFonts w:ascii="Times New Roman" w:hAnsi="Times New Roman" w:cs="Times New Roman"/>
          <w:szCs w:val="24"/>
        </w:rPr>
        <w:t>Improve rigorous data analyses that help to assess the effectiveness of the programs and enable ACF to better monitor projects; and</w:t>
      </w:r>
    </w:p>
    <w:p w:rsidR="00D60543" w:rsidRPr="00D1090D" w:rsidP="00C31B1F" w14:paraId="3693CC45" w14:textId="77777777">
      <w:pPr>
        <w:pStyle w:val="BlockText"/>
        <w:numPr>
          <w:ilvl w:val="0"/>
          <w:numId w:val="21"/>
        </w:numPr>
        <w:rPr>
          <w:rFonts w:ascii="Times New Roman" w:hAnsi="Times New Roman" w:cs="Times New Roman"/>
          <w:szCs w:val="24"/>
        </w:rPr>
      </w:pPr>
      <w:r w:rsidRPr="00D1090D">
        <w:rPr>
          <w:rFonts w:ascii="Times New Roman" w:hAnsi="Times New Roman" w:cs="Times New Roman"/>
          <w:szCs w:val="24"/>
        </w:rPr>
        <w:t>Ensure adequate and timely reporting of program data to relevant federal agencies and stakeholders including Congress and members of the public.</w:t>
      </w:r>
    </w:p>
    <w:p w:rsidR="00790D2C" w:rsidP="0051278C" w14:paraId="5F1052E6" w14:textId="77777777">
      <w:pPr>
        <w:widowControl/>
        <w:tabs>
          <w:tab w:val="num" w:pos="360"/>
        </w:tabs>
        <w:ind w:left="720" w:hanging="360"/>
        <w:rPr>
          <w:rFonts w:ascii="Times New Roman" w:hAnsi="Times New Roman"/>
          <w:snapToGrid/>
          <w:sz w:val="24"/>
          <w:szCs w:val="24"/>
        </w:rPr>
      </w:pPr>
    </w:p>
    <w:p w:rsidR="000B06C4" w:rsidRPr="004F7B95" w:rsidP="0051278C" w14:paraId="1049279C" w14:textId="77777777">
      <w:pPr>
        <w:widowControl/>
        <w:tabs>
          <w:tab w:val="num" w:pos="360"/>
        </w:tabs>
        <w:ind w:left="720" w:hanging="360"/>
        <w:rPr>
          <w:rFonts w:ascii="Times New Roman" w:hAnsi="Times New Roman"/>
          <w:snapToGrid/>
          <w:sz w:val="24"/>
          <w:szCs w:val="24"/>
        </w:rPr>
      </w:pPr>
    </w:p>
    <w:p w:rsidR="002C3C4F" w:rsidRPr="00C1712F" w:rsidP="00C1712F" w14:paraId="61814E4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Use of Improved Information Technology and Burden Reduction </w:t>
      </w:r>
    </w:p>
    <w:p w:rsidR="009C2DE1" w:rsidP="00C1712F" w14:paraId="38A50C5A" w14:textId="76C7B341">
      <w:pPr>
        <w:widowControl/>
        <w:ind w:left="360"/>
        <w:rPr>
          <w:rFonts w:ascii="Times New Roman" w:hAnsi="Times New Roman"/>
          <w:snapToGrid/>
          <w:sz w:val="24"/>
          <w:szCs w:val="24"/>
        </w:rPr>
      </w:pPr>
      <w:r w:rsidRPr="002A3372">
        <w:rPr>
          <w:rFonts w:ascii="Times New Roman" w:hAnsi="Times New Roman"/>
          <w:sz w:val="24"/>
        </w:rPr>
        <w:t xml:space="preserve">Grantees collect information from home visiting participants using their own established methods. Grantees </w:t>
      </w:r>
      <w:r w:rsidR="00B756A5">
        <w:rPr>
          <w:rFonts w:ascii="Times New Roman" w:hAnsi="Times New Roman"/>
          <w:sz w:val="24"/>
        </w:rPr>
        <w:t>then</w:t>
      </w:r>
      <w:r w:rsidRPr="002A3372" w:rsidR="00B756A5">
        <w:rPr>
          <w:rFonts w:ascii="Times New Roman" w:hAnsi="Times New Roman"/>
          <w:sz w:val="24"/>
        </w:rPr>
        <w:t xml:space="preserve"> </w:t>
      </w:r>
      <w:r w:rsidRPr="002A3372">
        <w:rPr>
          <w:rFonts w:ascii="Times New Roman" w:hAnsi="Times New Roman"/>
          <w:sz w:val="24"/>
        </w:rPr>
        <w:t xml:space="preserve">aggregate and report this information </w:t>
      </w:r>
      <w:r w:rsidR="00C464CF">
        <w:rPr>
          <w:rFonts w:ascii="Times New Roman" w:hAnsi="Times New Roman"/>
          <w:sz w:val="24"/>
        </w:rPr>
        <w:t xml:space="preserve">using Form 2 </w:t>
      </w:r>
      <w:r w:rsidRPr="002A3372">
        <w:rPr>
          <w:rFonts w:ascii="Times New Roman" w:hAnsi="Times New Roman"/>
          <w:sz w:val="24"/>
        </w:rPr>
        <w:t xml:space="preserve">to ACF using the Tribal Home Visiting Reporting System (THVRS) which is an electronic reporting tool used by all Tribal MIECHV program grantees for </w:t>
      </w:r>
      <w:r w:rsidR="00A60130">
        <w:rPr>
          <w:rFonts w:ascii="Times New Roman" w:hAnsi="Times New Roman"/>
          <w:sz w:val="24"/>
        </w:rPr>
        <w:t xml:space="preserve">quarterly, </w:t>
      </w:r>
      <w:r w:rsidRPr="002A3372">
        <w:rPr>
          <w:rFonts w:ascii="Times New Roman" w:hAnsi="Times New Roman"/>
          <w:sz w:val="24"/>
        </w:rPr>
        <w:t xml:space="preserve">annual </w:t>
      </w:r>
      <w:r>
        <w:rPr>
          <w:rFonts w:ascii="Times New Roman" w:hAnsi="Times New Roman"/>
          <w:sz w:val="24"/>
        </w:rPr>
        <w:t xml:space="preserve">demographic and service utilization data and </w:t>
      </w:r>
      <w:r w:rsidRPr="002A3372">
        <w:rPr>
          <w:rFonts w:ascii="Times New Roman" w:hAnsi="Times New Roman"/>
          <w:sz w:val="24"/>
        </w:rPr>
        <w:t>performance reporting.</w:t>
      </w:r>
    </w:p>
    <w:p w:rsidR="00D60543" w:rsidP="0051278C" w14:paraId="2ED7BDA0" w14:textId="77777777">
      <w:pPr>
        <w:widowControl/>
        <w:tabs>
          <w:tab w:val="num" w:pos="360"/>
        </w:tabs>
        <w:ind w:left="720" w:hanging="360"/>
        <w:rPr>
          <w:rFonts w:ascii="Times New Roman" w:hAnsi="Times New Roman"/>
          <w:snapToGrid/>
          <w:sz w:val="24"/>
          <w:szCs w:val="24"/>
        </w:rPr>
      </w:pPr>
    </w:p>
    <w:p w:rsidR="000B06C4" w:rsidRPr="004F7B95" w:rsidP="0051278C" w14:paraId="2592704E" w14:textId="77777777">
      <w:pPr>
        <w:widowControl/>
        <w:tabs>
          <w:tab w:val="num" w:pos="360"/>
        </w:tabs>
        <w:ind w:left="720" w:hanging="360"/>
        <w:rPr>
          <w:rFonts w:ascii="Times New Roman" w:hAnsi="Times New Roman"/>
          <w:snapToGrid/>
          <w:sz w:val="24"/>
          <w:szCs w:val="24"/>
        </w:rPr>
      </w:pPr>
    </w:p>
    <w:p w:rsidR="002C3C4F" w:rsidRPr="00C1712F" w:rsidP="00C1712F" w14:paraId="7DEB174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Efforts to Identify Duplication and Use of Similar Information </w:t>
      </w:r>
    </w:p>
    <w:p w:rsidR="00EC698B" w:rsidRPr="004F7B95" w:rsidP="002A3372" w14:paraId="3EE81E49"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w:t>
      </w:r>
    </w:p>
    <w:p w:rsidR="009F5543" w:rsidRPr="004F7B95" w:rsidP="0051278C" w14:paraId="69DEB228" w14:textId="77777777">
      <w:pPr>
        <w:widowControl/>
        <w:tabs>
          <w:tab w:val="num" w:pos="360"/>
        </w:tabs>
        <w:ind w:left="720" w:hanging="360"/>
        <w:rPr>
          <w:rFonts w:ascii="Times New Roman" w:hAnsi="Times New Roman"/>
          <w:snapToGrid/>
          <w:sz w:val="24"/>
          <w:szCs w:val="24"/>
        </w:rPr>
      </w:pPr>
    </w:p>
    <w:p w:rsidR="009C2DE1" w:rsidRPr="004F7B95" w:rsidP="0051278C" w14:paraId="1F6587FE" w14:textId="77777777">
      <w:pPr>
        <w:widowControl/>
        <w:tabs>
          <w:tab w:val="num" w:pos="360"/>
        </w:tabs>
        <w:ind w:left="720" w:hanging="360"/>
        <w:rPr>
          <w:rFonts w:ascii="Times New Roman" w:hAnsi="Times New Roman"/>
          <w:snapToGrid/>
          <w:sz w:val="24"/>
          <w:szCs w:val="24"/>
        </w:rPr>
      </w:pPr>
    </w:p>
    <w:p w:rsidR="002C3C4F" w:rsidRPr="00C1712F" w:rsidP="00C1712F" w14:paraId="151EDE7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Impact on Small Businesses or Other Small Entities </w:t>
      </w:r>
    </w:p>
    <w:p w:rsidR="002A3372" w:rsidP="002A3372" w14:paraId="5C4A1243" w14:textId="77777777">
      <w:pPr>
        <w:widowControl/>
        <w:ind w:left="360"/>
        <w:rPr>
          <w:rFonts w:ascii="Times New Roman" w:hAnsi="Times New Roman"/>
          <w:sz w:val="24"/>
          <w:szCs w:val="24"/>
        </w:rPr>
      </w:pPr>
      <w:r>
        <w:rPr>
          <w:rFonts w:ascii="Times New Roman" w:hAnsi="Times New Roman"/>
          <w:sz w:val="24"/>
          <w:szCs w:val="24"/>
        </w:rPr>
        <w:t>There are no small businesses responding to this data request. Some organizations may be considered small entities (i.e. non-profit organizations), in this case t</w:t>
      </w:r>
      <w:r>
        <w:rPr>
          <w:rFonts w:ascii="Times New Roman" w:hAnsi="Times New Roman"/>
          <w:sz w:val="24"/>
          <w:szCs w:val="24"/>
        </w:rPr>
        <w:t xml:space="preserve">he information being requested has been held to the absolute minimum required </w:t>
      </w:r>
      <w:r>
        <w:rPr>
          <w:rFonts w:ascii="Times New Roman" w:hAnsi="Times New Roman"/>
          <w:sz w:val="24"/>
          <w:szCs w:val="24"/>
        </w:rPr>
        <w:t xml:space="preserve">by the legislation </w:t>
      </w:r>
      <w:r>
        <w:rPr>
          <w:rFonts w:ascii="Times New Roman" w:hAnsi="Times New Roman"/>
          <w:sz w:val="24"/>
          <w:szCs w:val="24"/>
        </w:rPr>
        <w:t xml:space="preserve">for </w:t>
      </w:r>
      <w:r>
        <w:rPr>
          <w:rFonts w:ascii="Times New Roman" w:hAnsi="Times New Roman"/>
          <w:sz w:val="24"/>
          <w:szCs w:val="24"/>
        </w:rPr>
        <w:t xml:space="preserve">its </w:t>
      </w:r>
      <w:r>
        <w:rPr>
          <w:rFonts w:ascii="Times New Roman" w:hAnsi="Times New Roman"/>
          <w:sz w:val="24"/>
          <w:szCs w:val="24"/>
        </w:rPr>
        <w:t>intended use.</w:t>
      </w:r>
    </w:p>
    <w:p w:rsidR="00D60543" w:rsidP="0051278C" w14:paraId="20AB7EAA" w14:textId="77777777">
      <w:pPr>
        <w:widowControl/>
        <w:tabs>
          <w:tab w:val="num" w:pos="360"/>
        </w:tabs>
        <w:ind w:left="720" w:hanging="360"/>
        <w:rPr>
          <w:rFonts w:ascii="Times New Roman" w:hAnsi="Times New Roman"/>
          <w:snapToGrid/>
          <w:sz w:val="24"/>
          <w:szCs w:val="24"/>
        </w:rPr>
      </w:pPr>
    </w:p>
    <w:p w:rsidR="00D60543" w:rsidRPr="004F7B95" w:rsidP="0051278C" w14:paraId="6E270FEE" w14:textId="77777777">
      <w:pPr>
        <w:widowControl/>
        <w:tabs>
          <w:tab w:val="num" w:pos="360"/>
        </w:tabs>
        <w:ind w:left="720" w:hanging="360"/>
        <w:rPr>
          <w:rFonts w:ascii="Times New Roman" w:hAnsi="Times New Roman"/>
          <w:snapToGrid/>
          <w:sz w:val="24"/>
          <w:szCs w:val="24"/>
        </w:rPr>
      </w:pPr>
    </w:p>
    <w:p w:rsidR="002C3C4F" w:rsidRPr="00C1712F" w:rsidP="00C1712F" w14:paraId="6B9B04EF"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Consequences of Collecting the Information Less Frequently </w:t>
      </w:r>
    </w:p>
    <w:p w:rsidR="009E524F" w:rsidRPr="00AE3686" w:rsidP="009E524F" w14:paraId="35193F2F" w14:textId="77777777">
      <w:pPr>
        <w:ind w:left="360"/>
        <w:rPr>
          <w:rFonts w:ascii="Times New Roman" w:hAnsi="Times New Roman"/>
          <w:sz w:val="24"/>
          <w:szCs w:val="24"/>
        </w:rPr>
      </w:pPr>
      <w:r w:rsidRPr="00E655DA">
        <w:rPr>
          <w:rFonts w:ascii="Times New Roman" w:hAnsi="Times New Roman"/>
          <w:sz w:val="24"/>
          <w:szCs w:val="24"/>
        </w:rPr>
        <w:t xml:space="preserve">Section 511 </w:t>
      </w:r>
      <w:r w:rsidRPr="00AE3686">
        <w:rPr>
          <w:rFonts w:ascii="Times New Roman" w:hAnsi="Times New Roman"/>
          <w:sz w:val="24"/>
          <w:szCs w:val="24"/>
        </w:rPr>
        <w:t>of</w:t>
      </w:r>
      <w:r w:rsidRPr="00E655DA">
        <w:rPr>
          <w:rFonts w:ascii="Times New Roman" w:hAnsi="Times New Roman"/>
          <w:sz w:val="24"/>
          <w:szCs w:val="24"/>
        </w:rPr>
        <w:t xml:space="preserve"> Title V of the Social Security Act requires </w:t>
      </w:r>
      <w:r>
        <w:rPr>
          <w:rFonts w:ascii="Times New Roman" w:hAnsi="Times New Roman"/>
          <w:sz w:val="24"/>
          <w:szCs w:val="24"/>
        </w:rPr>
        <w:t xml:space="preserve">Tribal MIECHV grantees to </w:t>
      </w:r>
      <w:r w:rsidRPr="00E655DA">
        <w:rPr>
          <w:rFonts w:ascii="Times New Roman" w:hAnsi="Times New Roman"/>
          <w:sz w:val="24"/>
          <w:szCs w:val="24"/>
        </w:rPr>
        <w:t>collect data to measure improvements for eligible families in the six specified benchmark areas</w:t>
      </w:r>
      <w:r w:rsidR="0006340A">
        <w:rPr>
          <w:rFonts w:ascii="Times New Roman" w:hAnsi="Times New Roman"/>
          <w:sz w:val="24"/>
          <w:szCs w:val="24"/>
        </w:rPr>
        <w:t xml:space="preserve"> on an annual basis</w:t>
      </w:r>
      <w:r>
        <w:rPr>
          <w:rFonts w:ascii="Times New Roman" w:hAnsi="Times New Roman"/>
          <w:sz w:val="24"/>
          <w:szCs w:val="24"/>
        </w:rPr>
        <w:t>.</w:t>
      </w:r>
      <w:r w:rsidRPr="00E655DA">
        <w:rPr>
          <w:rFonts w:ascii="Times New Roman" w:hAnsi="Times New Roman"/>
          <w:sz w:val="24"/>
          <w:szCs w:val="24"/>
        </w:rPr>
        <w:t xml:space="preserve">  A less frequent collection of performance measure information would </w:t>
      </w:r>
      <w:r>
        <w:rPr>
          <w:rFonts w:ascii="Times New Roman" w:hAnsi="Times New Roman"/>
          <w:sz w:val="24"/>
          <w:szCs w:val="24"/>
        </w:rPr>
        <w:t xml:space="preserve">be inconsistent with HHS grants policy and </w:t>
      </w:r>
      <w:r w:rsidRPr="00E655DA">
        <w:rPr>
          <w:rFonts w:ascii="Times New Roman" w:hAnsi="Times New Roman"/>
          <w:sz w:val="24"/>
          <w:szCs w:val="24"/>
        </w:rPr>
        <w:t xml:space="preserve">undermine the federal government’s ability to track progress of grantees in achieving improvement and would limit the ability to provide technical assistance in a timely and targeted manner during the </w:t>
      </w:r>
      <w:r>
        <w:rPr>
          <w:rFonts w:ascii="Times New Roman" w:hAnsi="Times New Roman"/>
          <w:sz w:val="24"/>
          <w:szCs w:val="24"/>
        </w:rPr>
        <w:t>p</w:t>
      </w:r>
      <w:r w:rsidRPr="00E655DA">
        <w:rPr>
          <w:rFonts w:ascii="Times New Roman" w:hAnsi="Times New Roman"/>
          <w:sz w:val="24"/>
          <w:szCs w:val="24"/>
        </w:rPr>
        <w:t xml:space="preserve">eriod defined in legislation. </w:t>
      </w:r>
    </w:p>
    <w:p w:rsidR="00D60543" w:rsidP="0051278C" w14:paraId="2499B961" w14:textId="77777777">
      <w:pPr>
        <w:widowControl/>
        <w:tabs>
          <w:tab w:val="num" w:pos="360"/>
        </w:tabs>
        <w:ind w:left="720" w:hanging="360"/>
        <w:rPr>
          <w:rFonts w:ascii="Times New Roman" w:hAnsi="Times New Roman"/>
          <w:snapToGrid/>
          <w:sz w:val="24"/>
          <w:szCs w:val="24"/>
        </w:rPr>
      </w:pPr>
    </w:p>
    <w:p w:rsidR="00D60543" w:rsidRPr="004F7B95" w:rsidP="0051278C" w14:paraId="386986C5" w14:textId="77777777">
      <w:pPr>
        <w:widowControl/>
        <w:tabs>
          <w:tab w:val="num" w:pos="360"/>
        </w:tabs>
        <w:ind w:left="720" w:hanging="360"/>
        <w:rPr>
          <w:rFonts w:ascii="Times New Roman" w:hAnsi="Times New Roman"/>
          <w:snapToGrid/>
          <w:sz w:val="24"/>
          <w:szCs w:val="24"/>
        </w:rPr>
      </w:pPr>
    </w:p>
    <w:p w:rsidR="002C3C4F" w:rsidRPr="00C1712F" w:rsidP="00C1712F" w14:paraId="436406D0"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Special Circumstances Relating to the Guidelines of 5 CFR 1320.5 </w:t>
      </w:r>
    </w:p>
    <w:p w:rsidR="00650B5E" w:rsidP="00C1712F" w14:paraId="6F662BD5" w14:textId="77777777">
      <w:pPr>
        <w:widowControl/>
        <w:tabs>
          <w:tab w:val="num" w:pos="360"/>
        </w:tabs>
        <w:ind w:left="360"/>
        <w:rPr>
          <w:rFonts w:ascii="Times New Roman" w:hAnsi="Times New Roman"/>
          <w:b/>
          <w:sz w:val="24"/>
          <w:szCs w:val="24"/>
        </w:rPr>
      </w:pPr>
      <w:r>
        <w:rPr>
          <w:rFonts w:ascii="Times New Roman" w:hAnsi="Times New Roman"/>
          <w:snapToGrid/>
          <w:sz w:val="24"/>
          <w:szCs w:val="24"/>
        </w:rPr>
        <w:t xml:space="preserve"> </w:t>
      </w:r>
      <w:r>
        <w:rPr>
          <w:rFonts w:ascii="Times New Roman" w:hAnsi="Times New Roman"/>
          <w:sz w:val="24"/>
          <w:szCs w:val="24"/>
        </w:rPr>
        <w:t>The collection of information will be conducted in accordance with 5 CFR 1320.5.</w:t>
      </w:r>
    </w:p>
    <w:p w:rsidR="00650B5E" w:rsidP="0051278C" w14:paraId="3DAC7527" w14:textId="77777777">
      <w:pPr>
        <w:widowControl/>
        <w:tabs>
          <w:tab w:val="num" w:pos="360"/>
        </w:tabs>
        <w:ind w:hanging="360"/>
        <w:rPr>
          <w:rFonts w:ascii="Times New Roman" w:hAnsi="Times New Roman"/>
          <w:snapToGrid/>
          <w:sz w:val="24"/>
          <w:szCs w:val="24"/>
        </w:rPr>
      </w:pPr>
    </w:p>
    <w:p w:rsidR="00650B5E" w:rsidRPr="004F7B95" w:rsidP="0051278C" w14:paraId="1C172CDE" w14:textId="77777777">
      <w:pPr>
        <w:widowControl/>
        <w:tabs>
          <w:tab w:val="num" w:pos="360"/>
        </w:tabs>
        <w:ind w:hanging="360"/>
        <w:rPr>
          <w:rFonts w:ascii="Times New Roman" w:hAnsi="Times New Roman"/>
          <w:snapToGrid/>
          <w:sz w:val="24"/>
          <w:szCs w:val="24"/>
        </w:rPr>
      </w:pPr>
    </w:p>
    <w:p w:rsidR="002C3C4F" w:rsidRPr="00C1712F" w:rsidP="00C1712F" w14:paraId="4020F00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Comments in Response to the Federal Register Notice and Efforts to Consult Outside the Agency </w:t>
      </w:r>
    </w:p>
    <w:p w:rsidR="005C4324" w:rsidRPr="004F7B95" w:rsidP="005C4324" w14:paraId="4AA42869" w14:textId="6634B228">
      <w:pPr>
        <w:ind w:left="360"/>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35226F">
        <w:rPr>
          <w:rFonts w:ascii="Times New Roman" w:hAnsi="Times New Roman"/>
          <w:sz w:val="24"/>
          <w:szCs w:val="24"/>
        </w:rPr>
        <w:t xml:space="preserve">This notice was published on </w:t>
      </w:r>
      <w:r w:rsidR="004821E6">
        <w:rPr>
          <w:rFonts w:ascii="Times New Roman" w:hAnsi="Times New Roman"/>
          <w:sz w:val="24"/>
          <w:szCs w:val="24"/>
        </w:rPr>
        <w:t>July 21</w:t>
      </w:r>
      <w:r w:rsidRPr="0035226F">
        <w:rPr>
          <w:rFonts w:ascii="Times New Roman" w:hAnsi="Times New Roman"/>
          <w:sz w:val="24"/>
          <w:szCs w:val="24"/>
        </w:rPr>
        <w:t>,</w:t>
      </w:r>
      <w:r w:rsidR="004821E6">
        <w:rPr>
          <w:rFonts w:ascii="Times New Roman" w:hAnsi="Times New Roman"/>
          <w:sz w:val="24"/>
          <w:szCs w:val="24"/>
        </w:rPr>
        <w:t xml:space="preserve"> </w:t>
      </w:r>
      <w:r w:rsidR="00467D70">
        <w:rPr>
          <w:rFonts w:ascii="Times New Roman" w:hAnsi="Times New Roman"/>
          <w:sz w:val="24"/>
          <w:szCs w:val="24"/>
        </w:rPr>
        <w:t>2022,</w:t>
      </w:r>
      <w:r w:rsidRPr="0035226F">
        <w:rPr>
          <w:rFonts w:ascii="Times New Roman" w:hAnsi="Times New Roman"/>
          <w:sz w:val="24"/>
          <w:szCs w:val="24"/>
        </w:rPr>
        <w:t xml:space="preserve"> Volume </w:t>
      </w:r>
      <w:r w:rsidRPr="0035226F" w:rsidR="00650B5E">
        <w:rPr>
          <w:rFonts w:ascii="Times New Roman" w:hAnsi="Times New Roman"/>
          <w:sz w:val="24"/>
          <w:szCs w:val="24"/>
        </w:rPr>
        <w:t>8</w:t>
      </w:r>
      <w:r w:rsidR="004821E6">
        <w:rPr>
          <w:rFonts w:ascii="Times New Roman" w:hAnsi="Times New Roman"/>
          <w:sz w:val="24"/>
          <w:szCs w:val="24"/>
        </w:rPr>
        <w:t>7</w:t>
      </w:r>
      <w:r w:rsidRPr="0035226F">
        <w:rPr>
          <w:rFonts w:ascii="Times New Roman" w:hAnsi="Times New Roman"/>
          <w:sz w:val="24"/>
          <w:szCs w:val="24"/>
        </w:rPr>
        <w:t xml:space="preserve">, Number </w:t>
      </w:r>
      <w:r w:rsidR="004821E6">
        <w:rPr>
          <w:rFonts w:ascii="Times New Roman" w:hAnsi="Times New Roman"/>
          <w:sz w:val="24"/>
          <w:szCs w:val="24"/>
        </w:rPr>
        <w:t>139</w:t>
      </w:r>
      <w:r w:rsidRPr="0035226F">
        <w:rPr>
          <w:rFonts w:ascii="Times New Roman" w:hAnsi="Times New Roman"/>
          <w:sz w:val="24"/>
          <w:szCs w:val="24"/>
        </w:rPr>
        <w:t xml:space="preserve">, page </w:t>
      </w:r>
      <w:r w:rsidR="00887F1D">
        <w:rPr>
          <w:rFonts w:ascii="Times New Roman" w:hAnsi="Times New Roman"/>
          <w:sz w:val="24"/>
          <w:szCs w:val="24"/>
        </w:rPr>
        <w:t>43529</w:t>
      </w:r>
      <w:r w:rsidRPr="0035226F">
        <w:rPr>
          <w:rFonts w:ascii="Times New Roman" w:hAnsi="Times New Roman"/>
          <w:sz w:val="24"/>
          <w:szCs w:val="24"/>
        </w:rPr>
        <w:t>, and provided a sixty-day period for public comment.</w:t>
      </w:r>
      <w:r w:rsidRPr="004F7B95">
        <w:rPr>
          <w:rFonts w:ascii="Times New Roman" w:hAnsi="Times New Roman"/>
          <w:sz w:val="24"/>
          <w:szCs w:val="24"/>
        </w:rPr>
        <w:t xml:space="preserve">  During the notice </w:t>
      </w:r>
      <w:r w:rsidR="007C277D">
        <w:rPr>
          <w:rFonts w:ascii="Times New Roman" w:hAnsi="Times New Roman"/>
          <w:sz w:val="24"/>
          <w:szCs w:val="24"/>
        </w:rPr>
        <w:t xml:space="preserve">ACF received one comment from the Association for State and Tribal Home Visiting Initiatives. </w:t>
      </w:r>
      <w:r w:rsidR="00B756A5">
        <w:rPr>
          <w:rFonts w:ascii="Times New Roman" w:hAnsi="Times New Roman"/>
          <w:sz w:val="24"/>
          <w:szCs w:val="24"/>
        </w:rPr>
        <w:t xml:space="preserve">The comment and </w:t>
      </w:r>
      <w:r w:rsidR="00B86601">
        <w:rPr>
          <w:rFonts w:ascii="Times New Roman" w:hAnsi="Times New Roman"/>
          <w:sz w:val="24"/>
          <w:szCs w:val="24"/>
        </w:rPr>
        <w:t xml:space="preserve">ACF’s response can be found in </w:t>
      </w:r>
      <w:r w:rsidR="00B756A5">
        <w:rPr>
          <w:rFonts w:ascii="Times New Roman" w:hAnsi="Times New Roman"/>
          <w:sz w:val="24"/>
          <w:szCs w:val="24"/>
        </w:rPr>
        <w:t xml:space="preserve">Attachment </w:t>
      </w:r>
      <w:r w:rsidR="00B86601">
        <w:rPr>
          <w:rFonts w:ascii="Times New Roman" w:hAnsi="Times New Roman"/>
          <w:sz w:val="24"/>
          <w:szCs w:val="24"/>
        </w:rPr>
        <w:t xml:space="preserve">B. </w:t>
      </w:r>
    </w:p>
    <w:p w:rsidR="00A61AC0" w:rsidP="00D60543" w14:paraId="16AF1A04" w14:textId="77777777">
      <w:pPr>
        <w:widowControl/>
        <w:tabs>
          <w:tab w:val="num" w:pos="360"/>
        </w:tabs>
        <w:ind w:left="360" w:hanging="360"/>
        <w:rPr>
          <w:rFonts w:ascii="Times New Roman" w:hAnsi="Times New Roman"/>
          <w:snapToGrid/>
          <w:sz w:val="24"/>
          <w:szCs w:val="24"/>
        </w:rPr>
      </w:pPr>
    </w:p>
    <w:p w:rsidR="00DB481B" w:rsidP="00C464CF" w14:paraId="5685C512" w14:textId="4C8866D9">
      <w:pPr>
        <w:widowControl/>
        <w:tabs>
          <w:tab w:val="num" w:pos="360"/>
        </w:tabs>
        <w:spacing w:after="60"/>
        <w:ind w:left="360" w:hanging="360"/>
        <w:rPr>
          <w:rFonts w:ascii="Times New Roman" w:hAnsi="Times New Roman"/>
          <w:snapToGrid/>
          <w:sz w:val="24"/>
          <w:szCs w:val="24"/>
        </w:rPr>
      </w:pPr>
      <w:r>
        <w:rPr>
          <w:rFonts w:ascii="Times New Roman" w:hAnsi="Times New Roman"/>
          <w:snapToGrid/>
          <w:sz w:val="24"/>
          <w:szCs w:val="24"/>
        </w:rPr>
        <w:tab/>
      </w:r>
      <w:r>
        <w:rPr>
          <w:rFonts w:ascii="Times New Roman" w:hAnsi="Times New Roman"/>
          <w:i/>
          <w:iCs/>
          <w:snapToGrid/>
          <w:sz w:val="24"/>
          <w:szCs w:val="24"/>
        </w:rPr>
        <w:t>Consultation</w:t>
      </w:r>
    </w:p>
    <w:p w:rsidR="00624B32" w:rsidP="00D60543" w14:paraId="27DE6B53" w14:textId="61CDA5E9">
      <w:pPr>
        <w:widowControl/>
        <w:tabs>
          <w:tab w:val="num" w:pos="360"/>
        </w:tabs>
        <w:ind w:left="360" w:hanging="360"/>
        <w:rPr>
          <w:rFonts w:ascii="Times New Roman" w:hAnsi="Times New Roman"/>
          <w:sz w:val="24"/>
          <w:szCs w:val="24"/>
        </w:rPr>
      </w:pPr>
      <w:r>
        <w:rPr>
          <w:rFonts w:ascii="Times New Roman" w:hAnsi="Times New Roman"/>
          <w:snapToGrid/>
          <w:sz w:val="24"/>
          <w:szCs w:val="24"/>
        </w:rPr>
        <w:tab/>
      </w:r>
      <w:r>
        <w:rPr>
          <w:rFonts w:ascii="Times New Roman" w:hAnsi="Times New Roman"/>
          <w:sz w:val="24"/>
          <w:szCs w:val="24"/>
        </w:rPr>
        <w:t xml:space="preserve">Grantees are currently in their final year of the grants and ACF plans to </w:t>
      </w:r>
      <w:r>
        <w:rPr>
          <w:rFonts w:ascii="Times New Roman" w:hAnsi="Times New Roman"/>
          <w:snapToGrid/>
          <w:sz w:val="24"/>
          <w:szCs w:val="24"/>
        </w:rPr>
        <w:t xml:space="preserve">review reporting processes and associated burden for future funding recipients. Grantee feedback will be solicited, as appropriate, to inform revisions to information collection requests for future </w:t>
      </w:r>
      <w:r w:rsidRPr="00261C7D">
        <w:rPr>
          <w:rFonts w:ascii="Times New Roman" w:hAnsi="Times New Roman"/>
          <w:sz w:val="24"/>
          <w:szCs w:val="24"/>
        </w:rPr>
        <w:t>Tribal MIECHV</w:t>
      </w:r>
      <w:r>
        <w:rPr>
          <w:rFonts w:ascii="Times New Roman" w:hAnsi="Times New Roman"/>
          <w:sz w:val="24"/>
          <w:szCs w:val="24"/>
        </w:rPr>
        <w:t xml:space="preserve"> funding recipients. If changes are identified, a revision request will be submitted to OMB and will include the standard time for public comments. </w:t>
      </w:r>
    </w:p>
    <w:p w:rsidR="00624B32" w:rsidP="00D60543" w14:paraId="2962C179" w14:textId="77777777">
      <w:pPr>
        <w:widowControl/>
        <w:tabs>
          <w:tab w:val="num" w:pos="360"/>
        </w:tabs>
        <w:ind w:left="360" w:hanging="360"/>
        <w:rPr>
          <w:rFonts w:ascii="Times New Roman" w:hAnsi="Times New Roman"/>
          <w:snapToGrid/>
          <w:sz w:val="24"/>
          <w:szCs w:val="24"/>
        </w:rPr>
      </w:pPr>
    </w:p>
    <w:p w:rsidR="00624B32" w:rsidRPr="00624B32" w:rsidP="00D60543" w14:paraId="51B884B2" w14:textId="77777777">
      <w:pPr>
        <w:widowControl/>
        <w:tabs>
          <w:tab w:val="num" w:pos="360"/>
        </w:tabs>
        <w:ind w:left="360" w:hanging="360"/>
        <w:rPr>
          <w:rFonts w:ascii="Times New Roman" w:hAnsi="Times New Roman"/>
          <w:snapToGrid/>
          <w:sz w:val="24"/>
          <w:szCs w:val="24"/>
        </w:rPr>
      </w:pPr>
    </w:p>
    <w:p w:rsidR="002C3C4F" w:rsidRPr="00C1712F" w:rsidP="00C1712F" w14:paraId="64E63787"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Explanation of Any Payment or Gift to Respondents </w:t>
      </w:r>
    </w:p>
    <w:p w:rsidR="00D60543" w:rsidP="0051278C" w14:paraId="6EED16C6"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 payments or gifts are provided to respondents.</w:t>
      </w:r>
    </w:p>
    <w:p w:rsidR="00D60543" w:rsidP="0051278C" w14:paraId="188F96E1" w14:textId="77777777">
      <w:pPr>
        <w:widowControl/>
        <w:tabs>
          <w:tab w:val="num" w:pos="360"/>
        </w:tabs>
        <w:ind w:left="720" w:hanging="360"/>
        <w:rPr>
          <w:rFonts w:ascii="Times New Roman" w:hAnsi="Times New Roman"/>
          <w:snapToGrid/>
          <w:sz w:val="24"/>
          <w:szCs w:val="24"/>
        </w:rPr>
      </w:pPr>
    </w:p>
    <w:p w:rsidR="00D60543" w:rsidP="0051278C" w14:paraId="579BED69" w14:textId="77777777">
      <w:pPr>
        <w:widowControl/>
        <w:tabs>
          <w:tab w:val="num" w:pos="360"/>
        </w:tabs>
        <w:ind w:left="720" w:hanging="360"/>
        <w:rPr>
          <w:rFonts w:ascii="Times New Roman" w:hAnsi="Times New Roman"/>
          <w:snapToGrid/>
          <w:sz w:val="24"/>
          <w:szCs w:val="24"/>
        </w:rPr>
      </w:pPr>
    </w:p>
    <w:p w:rsidR="002C3C4F" w:rsidRPr="00C1712F" w:rsidP="00C1712F" w14:paraId="13EFAD6A"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Assurance of Confidentiality Provided to Respondents </w:t>
      </w:r>
    </w:p>
    <w:p w:rsidR="00D60543" w:rsidP="00650B5E" w14:paraId="6CDC6DEF"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6E7AD3" w:rsidP="00650B5E" w14:paraId="5F724D07" w14:textId="77777777">
      <w:pPr>
        <w:widowControl/>
        <w:tabs>
          <w:tab w:val="num" w:pos="360"/>
        </w:tabs>
        <w:ind w:left="360"/>
        <w:rPr>
          <w:rFonts w:ascii="Times New Roman" w:hAnsi="Times New Roman"/>
          <w:snapToGrid/>
          <w:sz w:val="24"/>
          <w:szCs w:val="24"/>
        </w:rPr>
      </w:pPr>
    </w:p>
    <w:p w:rsidR="00D60543" w:rsidP="0051278C" w14:paraId="3F01F244" w14:textId="77777777">
      <w:pPr>
        <w:widowControl/>
        <w:tabs>
          <w:tab w:val="num" w:pos="360"/>
        </w:tabs>
        <w:ind w:left="720" w:hanging="360"/>
        <w:rPr>
          <w:rFonts w:ascii="Times New Roman" w:hAnsi="Times New Roman"/>
          <w:snapToGrid/>
          <w:sz w:val="24"/>
          <w:szCs w:val="24"/>
        </w:rPr>
      </w:pPr>
    </w:p>
    <w:p w:rsidR="002C3C4F" w:rsidRPr="00C1712F" w:rsidP="00C1712F" w14:paraId="48B7E3AF"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Justification for Sensitive Questions </w:t>
      </w:r>
    </w:p>
    <w:p w:rsidR="00CB1A12" w:rsidRPr="004F7B95" w:rsidP="0051278C" w14:paraId="51A68744"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personal questions of a sensitive nature.</w:t>
      </w:r>
    </w:p>
    <w:p w:rsidR="004602FE" w:rsidP="0051278C" w14:paraId="7CA01B9C" w14:textId="77777777">
      <w:pPr>
        <w:widowControl/>
        <w:tabs>
          <w:tab w:val="num" w:pos="360"/>
        </w:tabs>
        <w:ind w:left="720" w:hanging="360"/>
        <w:rPr>
          <w:rFonts w:ascii="Times New Roman" w:hAnsi="Times New Roman"/>
          <w:snapToGrid/>
          <w:sz w:val="24"/>
          <w:szCs w:val="24"/>
        </w:rPr>
      </w:pPr>
    </w:p>
    <w:p w:rsidR="00D60543" w:rsidP="0051278C" w14:paraId="25501CB2" w14:textId="1E948BB8">
      <w:pPr>
        <w:widowControl/>
        <w:tabs>
          <w:tab w:val="num" w:pos="360"/>
        </w:tabs>
        <w:ind w:left="720" w:hanging="360"/>
        <w:rPr>
          <w:rFonts w:ascii="Times New Roman" w:hAnsi="Times New Roman"/>
          <w:snapToGrid/>
          <w:sz w:val="24"/>
          <w:szCs w:val="24"/>
        </w:rPr>
      </w:pPr>
    </w:p>
    <w:p w:rsidR="0042381B" w:rsidP="0051278C" w14:paraId="43C0D129" w14:textId="5724D807">
      <w:pPr>
        <w:widowControl/>
        <w:tabs>
          <w:tab w:val="num" w:pos="360"/>
        </w:tabs>
        <w:ind w:left="720" w:hanging="360"/>
        <w:rPr>
          <w:rFonts w:ascii="Times New Roman" w:hAnsi="Times New Roman"/>
          <w:snapToGrid/>
          <w:sz w:val="24"/>
          <w:szCs w:val="24"/>
        </w:rPr>
      </w:pPr>
    </w:p>
    <w:p w:rsidR="0042381B" w:rsidP="0051278C" w14:paraId="3B805EFB" w14:textId="46C8A63D">
      <w:pPr>
        <w:widowControl/>
        <w:tabs>
          <w:tab w:val="num" w:pos="360"/>
        </w:tabs>
        <w:ind w:left="720" w:hanging="360"/>
        <w:rPr>
          <w:rFonts w:ascii="Times New Roman" w:hAnsi="Times New Roman"/>
          <w:snapToGrid/>
          <w:sz w:val="24"/>
          <w:szCs w:val="24"/>
        </w:rPr>
      </w:pPr>
    </w:p>
    <w:p w:rsidR="0042381B" w:rsidP="0051278C" w14:paraId="1A9E50F2" w14:textId="46942523">
      <w:pPr>
        <w:widowControl/>
        <w:tabs>
          <w:tab w:val="num" w:pos="360"/>
        </w:tabs>
        <w:ind w:left="720" w:hanging="360"/>
        <w:rPr>
          <w:rFonts w:ascii="Times New Roman" w:hAnsi="Times New Roman"/>
          <w:snapToGrid/>
          <w:sz w:val="24"/>
          <w:szCs w:val="24"/>
        </w:rPr>
      </w:pPr>
    </w:p>
    <w:p w:rsidR="0042381B" w:rsidP="0051278C" w14:paraId="3C6185A8" w14:textId="045164FD">
      <w:pPr>
        <w:widowControl/>
        <w:tabs>
          <w:tab w:val="num" w:pos="360"/>
        </w:tabs>
        <w:ind w:left="720" w:hanging="360"/>
        <w:rPr>
          <w:rFonts w:ascii="Times New Roman" w:hAnsi="Times New Roman"/>
          <w:snapToGrid/>
          <w:sz w:val="24"/>
          <w:szCs w:val="24"/>
        </w:rPr>
      </w:pPr>
    </w:p>
    <w:p w:rsidR="0042381B" w:rsidP="0051278C" w14:paraId="419BE10D" w14:textId="77777777">
      <w:pPr>
        <w:widowControl/>
        <w:tabs>
          <w:tab w:val="num" w:pos="360"/>
        </w:tabs>
        <w:ind w:left="720" w:hanging="360"/>
        <w:rPr>
          <w:rFonts w:ascii="Times New Roman" w:hAnsi="Times New Roman"/>
          <w:snapToGrid/>
          <w:sz w:val="24"/>
          <w:szCs w:val="24"/>
        </w:rPr>
      </w:pPr>
    </w:p>
    <w:p w:rsidR="002C3C4F" w:rsidRPr="00C1712F" w:rsidP="00C1712F" w14:paraId="0D69973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Estimates of Annualized Burden Hours and Costs </w:t>
      </w:r>
    </w:p>
    <w:p w:rsidR="00CB1A12" w:rsidRPr="004F7B95" w:rsidP="004F7B95" w14:paraId="26DB7F9D" w14:textId="77777777">
      <w:pPr>
        <w:widowControl/>
        <w:ind w:left="720"/>
        <w:rPr>
          <w:rFonts w:ascii="Times New Roman" w:hAnsi="Times New Roman"/>
          <w:snapToGrid/>
          <w:sz w:val="24"/>
          <w:szCs w:val="24"/>
        </w:rPr>
      </w:pP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8"/>
        <w:gridCol w:w="1239"/>
        <w:gridCol w:w="1555"/>
        <w:gridCol w:w="1386"/>
        <w:gridCol w:w="973"/>
        <w:gridCol w:w="1127"/>
        <w:gridCol w:w="1196"/>
      </w:tblGrid>
      <w:tr w14:paraId="457B589D" w14:textId="77777777" w:rsidTr="0042381B">
        <w:tblPrEx>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92"/>
          <w:jc w:val="center"/>
        </w:trPr>
        <w:tc>
          <w:tcPr>
            <w:tcW w:w="2065" w:type="dxa"/>
            <w:shd w:val="clear" w:color="auto" w:fill="BFBFBF"/>
            <w:vAlign w:val="center"/>
          </w:tcPr>
          <w:p w:rsidR="007655D1" w:rsidRPr="00405C10" w:rsidP="004110F5" w14:paraId="4DBB60F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745" w:type="dxa"/>
            <w:shd w:val="clear" w:color="auto" w:fill="BFBFBF"/>
            <w:vAlign w:val="center"/>
          </w:tcPr>
          <w:p w:rsidR="007655D1" w:rsidRPr="00405C10" w:rsidP="004F7B95" w14:paraId="28837650" w14:textId="77777777">
            <w:pPr>
              <w:jc w:val="center"/>
              <w:rPr>
                <w:rFonts w:ascii="Times New Roman" w:hAnsi="Times New Roman"/>
                <w:szCs w:val="24"/>
              </w:rPr>
            </w:pPr>
            <w:r w:rsidRPr="00405C10">
              <w:rPr>
                <w:rFonts w:ascii="Times New Roman" w:hAnsi="Times New Roman"/>
                <w:szCs w:val="24"/>
              </w:rPr>
              <w:t>Total Number of Respondents</w:t>
            </w:r>
          </w:p>
        </w:tc>
        <w:tc>
          <w:tcPr>
            <w:tcW w:w="1645" w:type="dxa"/>
            <w:shd w:val="clear" w:color="auto" w:fill="BFBFBF"/>
            <w:vAlign w:val="center"/>
          </w:tcPr>
          <w:p w:rsidR="007655D1" w:rsidRPr="00405C10" w:rsidP="004F7B95" w14:paraId="565EB6B3"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478" w:type="dxa"/>
            <w:shd w:val="clear" w:color="auto" w:fill="BFBFBF"/>
            <w:vAlign w:val="center"/>
          </w:tcPr>
          <w:p w:rsidR="007655D1" w:rsidRPr="00405C10" w:rsidP="004F7B95" w14:paraId="0A93D07D"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12" w:type="dxa"/>
            <w:shd w:val="clear" w:color="auto" w:fill="BFBFBF"/>
            <w:vAlign w:val="center"/>
          </w:tcPr>
          <w:p w:rsidR="007655D1" w:rsidRPr="00405C10" w:rsidP="004F7B95" w14:paraId="63B20E9E" w14:textId="77777777">
            <w:pPr>
              <w:jc w:val="center"/>
              <w:rPr>
                <w:rFonts w:ascii="Times New Roman" w:hAnsi="Times New Roman"/>
                <w:bCs/>
                <w:szCs w:val="24"/>
              </w:rPr>
            </w:pPr>
            <w:r w:rsidRPr="00405C10">
              <w:rPr>
                <w:rFonts w:ascii="Times New Roman" w:hAnsi="Times New Roman"/>
                <w:bCs/>
                <w:szCs w:val="24"/>
              </w:rPr>
              <w:t>Annual Burden Hours</w:t>
            </w:r>
          </w:p>
        </w:tc>
        <w:tc>
          <w:tcPr>
            <w:tcW w:w="1180" w:type="dxa"/>
            <w:shd w:val="clear" w:color="auto" w:fill="BFBFBF"/>
            <w:vAlign w:val="center"/>
          </w:tcPr>
          <w:p w:rsidR="007655D1" w:rsidRPr="00405C10" w:rsidP="004F7B95" w14:paraId="40E7C0FB" w14:textId="77777777">
            <w:pPr>
              <w:jc w:val="center"/>
              <w:rPr>
                <w:rFonts w:ascii="Times New Roman" w:hAnsi="Times New Roman"/>
                <w:szCs w:val="24"/>
              </w:rPr>
            </w:pPr>
            <w:r w:rsidRPr="00405C10">
              <w:rPr>
                <w:rFonts w:ascii="Times New Roman" w:hAnsi="Times New Roman"/>
                <w:bCs/>
                <w:szCs w:val="24"/>
              </w:rPr>
              <w:t>Average Hourly Wage</w:t>
            </w:r>
          </w:p>
        </w:tc>
        <w:tc>
          <w:tcPr>
            <w:tcW w:w="1249" w:type="dxa"/>
            <w:shd w:val="clear" w:color="auto" w:fill="BFBFBF"/>
            <w:vAlign w:val="center"/>
          </w:tcPr>
          <w:p w:rsidR="007655D1" w:rsidRPr="00405C10" w:rsidP="004F7B95" w14:paraId="15E32125" w14:textId="77777777">
            <w:pPr>
              <w:jc w:val="center"/>
              <w:rPr>
                <w:rFonts w:ascii="Times New Roman" w:hAnsi="Times New Roman"/>
                <w:szCs w:val="24"/>
              </w:rPr>
            </w:pPr>
            <w:r w:rsidRPr="00405C10">
              <w:rPr>
                <w:rFonts w:ascii="Times New Roman" w:hAnsi="Times New Roman"/>
                <w:bCs/>
                <w:szCs w:val="24"/>
              </w:rPr>
              <w:t>Total Annual Cost</w:t>
            </w:r>
          </w:p>
        </w:tc>
      </w:tr>
      <w:tr w14:paraId="57C887C9" w14:textId="77777777" w:rsidTr="0042381B">
        <w:tblPrEx>
          <w:tblW w:w="9374" w:type="dxa"/>
          <w:jc w:val="center"/>
          <w:tblLook w:val="00A0"/>
        </w:tblPrEx>
        <w:trPr>
          <w:trHeight w:val="422"/>
          <w:jc w:val="center"/>
        </w:trPr>
        <w:tc>
          <w:tcPr>
            <w:tcW w:w="2065" w:type="dxa"/>
            <w:vAlign w:val="center"/>
          </w:tcPr>
          <w:p w:rsidR="007655D1" w:rsidRPr="00405C10" w:rsidP="00DB481B" w14:paraId="28036683" w14:textId="77777777">
            <w:pPr>
              <w:tabs>
                <w:tab w:val="center" w:pos="4320"/>
                <w:tab w:val="right" w:pos="8640"/>
              </w:tabs>
              <w:rPr>
                <w:rFonts w:ascii="Times New Roman" w:hAnsi="Times New Roman"/>
                <w:szCs w:val="24"/>
              </w:rPr>
            </w:pPr>
            <w:r>
              <w:rPr>
                <w:rFonts w:ascii="Times New Roman" w:hAnsi="Times New Roman"/>
                <w:szCs w:val="24"/>
              </w:rPr>
              <w:t xml:space="preserve">Tribal MIECHV Form </w:t>
            </w:r>
            <w:r w:rsidR="00DB481B">
              <w:rPr>
                <w:rFonts w:ascii="Times New Roman" w:hAnsi="Times New Roman"/>
                <w:szCs w:val="24"/>
              </w:rPr>
              <w:t>2</w:t>
            </w:r>
          </w:p>
        </w:tc>
        <w:tc>
          <w:tcPr>
            <w:tcW w:w="745" w:type="dxa"/>
            <w:vAlign w:val="center"/>
          </w:tcPr>
          <w:p w:rsidR="007655D1" w:rsidRPr="00405C10" w:rsidP="00DB481B" w14:paraId="25808383" w14:textId="77777777">
            <w:pPr>
              <w:tabs>
                <w:tab w:val="center" w:pos="4320"/>
                <w:tab w:val="right" w:pos="8640"/>
              </w:tabs>
              <w:jc w:val="center"/>
              <w:rPr>
                <w:rFonts w:ascii="Times New Roman" w:hAnsi="Times New Roman"/>
                <w:szCs w:val="24"/>
                <w:highlight w:val="yellow"/>
              </w:rPr>
            </w:pPr>
            <w:r w:rsidRPr="00E36019">
              <w:rPr>
                <w:rFonts w:ascii="Times New Roman" w:hAnsi="Times New Roman"/>
                <w:szCs w:val="24"/>
              </w:rPr>
              <w:t>2</w:t>
            </w:r>
            <w:r w:rsidR="00C411B3">
              <w:rPr>
                <w:rFonts w:ascii="Times New Roman" w:hAnsi="Times New Roman"/>
                <w:szCs w:val="24"/>
              </w:rPr>
              <w:t>3</w:t>
            </w:r>
          </w:p>
        </w:tc>
        <w:tc>
          <w:tcPr>
            <w:tcW w:w="1645" w:type="dxa"/>
            <w:vAlign w:val="center"/>
          </w:tcPr>
          <w:p w:rsidR="007655D1" w:rsidRPr="00405C10" w:rsidP="00DB481B" w14:paraId="4E41FCD9"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478" w:type="dxa"/>
            <w:vAlign w:val="center"/>
          </w:tcPr>
          <w:p w:rsidR="007655D1" w:rsidRPr="00405C10" w:rsidP="00DB481B" w14:paraId="548DFCE1" w14:textId="77777777">
            <w:pPr>
              <w:tabs>
                <w:tab w:val="center" w:pos="4320"/>
                <w:tab w:val="right" w:pos="8640"/>
              </w:tabs>
              <w:jc w:val="center"/>
              <w:rPr>
                <w:rFonts w:ascii="Times New Roman" w:hAnsi="Times New Roman"/>
                <w:szCs w:val="24"/>
              </w:rPr>
            </w:pPr>
            <w:r>
              <w:rPr>
                <w:rFonts w:ascii="Times New Roman" w:hAnsi="Times New Roman"/>
                <w:szCs w:val="24"/>
              </w:rPr>
              <w:t>500</w:t>
            </w:r>
          </w:p>
        </w:tc>
        <w:tc>
          <w:tcPr>
            <w:tcW w:w="1012" w:type="dxa"/>
            <w:vAlign w:val="center"/>
          </w:tcPr>
          <w:p w:rsidR="007655D1" w:rsidRPr="00405C10" w:rsidP="00DB481B" w14:paraId="662B1ABA" w14:textId="77777777">
            <w:pPr>
              <w:tabs>
                <w:tab w:val="center" w:pos="4320"/>
                <w:tab w:val="right" w:pos="8640"/>
              </w:tabs>
              <w:jc w:val="center"/>
              <w:rPr>
                <w:rFonts w:ascii="Times New Roman" w:hAnsi="Times New Roman"/>
                <w:szCs w:val="24"/>
              </w:rPr>
            </w:pPr>
            <w:r>
              <w:rPr>
                <w:rFonts w:ascii="Times New Roman" w:hAnsi="Times New Roman"/>
                <w:szCs w:val="24"/>
              </w:rPr>
              <w:t>11</w:t>
            </w:r>
            <w:r>
              <w:rPr>
                <w:rFonts w:ascii="Times New Roman" w:hAnsi="Times New Roman"/>
                <w:szCs w:val="24"/>
              </w:rPr>
              <w:t>,500</w:t>
            </w:r>
          </w:p>
        </w:tc>
        <w:tc>
          <w:tcPr>
            <w:tcW w:w="1180" w:type="dxa"/>
            <w:vAlign w:val="center"/>
          </w:tcPr>
          <w:p w:rsidR="007655D1" w:rsidRPr="00405C10" w:rsidP="00DB481B" w14:paraId="1EAD4D5B" w14:textId="77777777">
            <w:pPr>
              <w:tabs>
                <w:tab w:val="center" w:pos="4320"/>
                <w:tab w:val="right" w:pos="8640"/>
              </w:tabs>
              <w:jc w:val="center"/>
              <w:rPr>
                <w:rFonts w:ascii="Times New Roman" w:hAnsi="Times New Roman"/>
                <w:szCs w:val="24"/>
              </w:rPr>
            </w:pPr>
            <w:r>
              <w:rPr>
                <w:rFonts w:ascii="Times New Roman" w:hAnsi="Times New Roman"/>
                <w:szCs w:val="24"/>
              </w:rPr>
              <w:t>$3</w:t>
            </w:r>
            <w:r w:rsidR="007252B9">
              <w:rPr>
                <w:rFonts w:ascii="Times New Roman" w:hAnsi="Times New Roman"/>
                <w:szCs w:val="24"/>
              </w:rPr>
              <w:t>8.90</w:t>
            </w:r>
          </w:p>
        </w:tc>
        <w:tc>
          <w:tcPr>
            <w:tcW w:w="1249" w:type="dxa"/>
            <w:vAlign w:val="center"/>
          </w:tcPr>
          <w:p w:rsidR="007655D1" w:rsidRPr="00405C10" w:rsidP="00DB481B" w14:paraId="797D523B" w14:textId="77777777">
            <w:pPr>
              <w:tabs>
                <w:tab w:val="center" w:pos="4320"/>
                <w:tab w:val="right" w:pos="8640"/>
              </w:tabs>
              <w:jc w:val="center"/>
              <w:rPr>
                <w:rFonts w:ascii="Times New Roman" w:hAnsi="Times New Roman"/>
                <w:szCs w:val="24"/>
              </w:rPr>
            </w:pPr>
            <w:r>
              <w:rPr>
                <w:rFonts w:ascii="Times New Roman" w:hAnsi="Times New Roman"/>
                <w:szCs w:val="24"/>
              </w:rPr>
              <w:t>$</w:t>
            </w:r>
            <w:r w:rsidR="007252B9">
              <w:rPr>
                <w:rFonts w:ascii="Times New Roman" w:hAnsi="Times New Roman"/>
                <w:szCs w:val="24"/>
              </w:rPr>
              <w:t>447,350</w:t>
            </w:r>
          </w:p>
        </w:tc>
      </w:tr>
    </w:tbl>
    <w:p w:rsidR="00CB1A12" w:rsidP="004F7B95" w14:paraId="5143D1B0" w14:textId="77777777">
      <w:pPr>
        <w:widowControl/>
        <w:ind w:left="720"/>
        <w:rPr>
          <w:rFonts w:ascii="Times New Roman" w:hAnsi="Times New Roman"/>
          <w:snapToGrid/>
          <w:sz w:val="24"/>
          <w:szCs w:val="24"/>
        </w:rPr>
      </w:pPr>
    </w:p>
    <w:p w:rsidR="00624B32" w:rsidP="00C464CF" w14:paraId="431F274E" w14:textId="48C2F094">
      <w:pPr>
        <w:widowControl/>
        <w:ind w:left="360"/>
        <w:rPr>
          <w:rFonts w:ascii="Times New Roman" w:hAnsi="Times New Roman"/>
          <w:snapToGrid/>
          <w:sz w:val="24"/>
          <w:szCs w:val="24"/>
        </w:rPr>
      </w:pPr>
      <w:r>
        <w:rPr>
          <w:rFonts w:ascii="Times New Roman" w:hAnsi="Times New Roman"/>
          <w:snapToGrid/>
          <w:sz w:val="24"/>
          <w:szCs w:val="24"/>
        </w:rPr>
        <w:t xml:space="preserve">The number of respondents is based on the current number of </w:t>
      </w:r>
      <w:r w:rsidRPr="00F50390">
        <w:rPr>
          <w:rFonts w:ascii="Times New Roman" w:hAnsi="Times New Roman"/>
          <w:sz w:val="24"/>
          <w:szCs w:val="24"/>
        </w:rPr>
        <w:t xml:space="preserve">Tribal </w:t>
      </w:r>
      <w:r>
        <w:rPr>
          <w:rFonts w:ascii="Times New Roman" w:hAnsi="Times New Roman"/>
          <w:sz w:val="24"/>
          <w:szCs w:val="24"/>
        </w:rPr>
        <w:t>MIECHV</w:t>
      </w:r>
      <w:r w:rsidRPr="00F50390">
        <w:rPr>
          <w:rFonts w:ascii="Times New Roman" w:hAnsi="Times New Roman"/>
          <w:sz w:val="24"/>
          <w:szCs w:val="24"/>
        </w:rPr>
        <w:t xml:space="preserve"> grantees</w:t>
      </w:r>
      <w:r>
        <w:rPr>
          <w:rFonts w:ascii="Times New Roman" w:hAnsi="Times New Roman"/>
          <w:sz w:val="24"/>
          <w:szCs w:val="24"/>
        </w:rPr>
        <w:t xml:space="preserve">. The average burden estimate is based on experience to date and has not changed since the prior approval. Grantees are currently in their final year of the grants and ACF plans to </w:t>
      </w:r>
      <w:r>
        <w:rPr>
          <w:rFonts w:ascii="Times New Roman" w:hAnsi="Times New Roman"/>
          <w:snapToGrid/>
          <w:sz w:val="24"/>
          <w:szCs w:val="24"/>
        </w:rPr>
        <w:t>review reporting processes and associated burden for future funding recipients. Grantee feedback will be solicited, as appropriate.</w:t>
      </w:r>
    </w:p>
    <w:p w:rsidR="00624B32" w:rsidP="00C464CF" w14:paraId="6601D6C4" w14:textId="77777777">
      <w:pPr>
        <w:widowControl/>
        <w:ind w:left="360"/>
        <w:rPr>
          <w:rFonts w:ascii="Times New Roman" w:hAnsi="Times New Roman"/>
          <w:snapToGrid/>
          <w:sz w:val="24"/>
          <w:szCs w:val="24"/>
        </w:rPr>
      </w:pPr>
    </w:p>
    <w:p w:rsidR="00624B32" w:rsidRPr="004F7B95" w:rsidP="00C464CF" w14:paraId="126B3A9C" w14:textId="27394CCB">
      <w:pPr>
        <w:widowControl/>
        <w:ind w:left="360"/>
        <w:rPr>
          <w:rFonts w:ascii="Times New Roman" w:hAnsi="Times New Roman"/>
          <w:snapToGrid/>
          <w:sz w:val="24"/>
          <w:szCs w:val="24"/>
        </w:rPr>
      </w:pPr>
      <w:r>
        <w:rPr>
          <w:rFonts w:ascii="Times New Roman" w:hAnsi="Times New Roman"/>
          <w:snapToGrid/>
          <w:sz w:val="24"/>
          <w:szCs w:val="24"/>
        </w:rPr>
        <w:t xml:space="preserve">To calculate cost, we used wage data for </w:t>
      </w:r>
      <w:r w:rsidRPr="00BC59DC">
        <w:rPr>
          <w:rFonts w:ascii="Times New Roman" w:hAnsi="Times New Roman"/>
          <w:bCs/>
          <w:snapToGrid/>
          <w:sz w:val="24"/>
          <w:szCs w:val="24"/>
        </w:rPr>
        <w:t>Social and Human Services Assistants</w:t>
      </w:r>
      <w:r>
        <w:rPr>
          <w:rFonts w:ascii="Times New Roman" w:hAnsi="Times New Roman"/>
          <w:snapToGrid/>
          <w:sz w:val="24"/>
          <w:szCs w:val="24"/>
        </w:rPr>
        <w:t xml:space="preserve"> (</w:t>
      </w:r>
      <w:r w:rsidRPr="004F7B95">
        <w:rPr>
          <w:rFonts w:ascii="Times New Roman" w:hAnsi="Times New Roman"/>
          <w:snapToGrid/>
          <w:sz w:val="24"/>
          <w:szCs w:val="24"/>
        </w:rPr>
        <w:t>job code 21-1093</w:t>
      </w:r>
      <w:r>
        <w:rPr>
          <w:rFonts w:ascii="Times New Roman" w:hAnsi="Times New Roman"/>
          <w:snapToGrid/>
          <w:sz w:val="24"/>
          <w:szCs w:val="24"/>
        </w:rPr>
        <w:t xml:space="preserve">) </w:t>
      </w:r>
      <w:r w:rsidRPr="004F7B95">
        <w:rPr>
          <w:rFonts w:ascii="Times New Roman" w:hAnsi="Times New Roman"/>
          <w:snapToGrid/>
          <w:sz w:val="24"/>
          <w:szCs w:val="24"/>
        </w:rPr>
        <w:t xml:space="preserve">from </w:t>
      </w:r>
      <w:r>
        <w:rPr>
          <w:rFonts w:ascii="Times New Roman" w:hAnsi="Times New Roman"/>
          <w:snapToGrid/>
          <w:sz w:val="24"/>
          <w:szCs w:val="24"/>
        </w:rPr>
        <w:t>2021, which</w:t>
      </w:r>
      <w:r w:rsidRPr="004F7B95">
        <w:rPr>
          <w:rFonts w:ascii="Times New Roman" w:hAnsi="Times New Roman"/>
          <w:snapToGrid/>
          <w:sz w:val="24"/>
          <w:szCs w:val="24"/>
        </w:rPr>
        <w:t xml:space="preserve"> is $1</w:t>
      </w:r>
      <w:r>
        <w:rPr>
          <w:rFonts w:ascii="Times New Roman" w:hAnsi="Times New Roman"/>
          <w:snapToGrid/>
          <w:sz w:val="24"/>
          <w:szCs w:val="24"/>
        </w:rPr>
        <w:t>9.45</w:t>
      </w:r>
      <w:r w:rsidRPr="004F7B95">
        <w:rPr>
          <w:rFonts w:ascii="Times New Roman" w:hAnsi="Times New Roman"/>
          <w:snapToGrid/>
          <w:sz w:val="24"/>
          <w:szCs w:val="24"/>
        </w:rPr>
        <w:t xml:space="preserve"> per hours.</w:t>
      </w:r>
      <w:r>
        <w:rPr>
          <w:rFonts w:ascii="Times New Roman" w:hAnsi="Times New Roman"/>
          <w:snapToGrid/>
          <w:sz w:val="24"/>
          <w:szCs w:val="24"/>
        </w:rPr>
        <w:t xml:space="preserve"> </w:t>
      </w:r>
      <w:r w:rsidRPr="004F7B95">
        <w:rPr>
          <w:rFonts w:ascii="Times New Roman" w:hAnsi="Times New Roman"/>
          <w:snapToGrid/>
          <w:sz w:val="24"/>
          <w:szCs w:val="24"/>
        </w:rPr>
        <w:t>To account for fringe benefits and overhead the rate is multiplied by two which is $3</w:t>
      </w:r>
      <w:r>
        <w:rPr>
          <w:rFonts w:ascii="Times New Roman" w:hAnsi="Times New Roman"/>
          <w:snapToGrid/>
          <w:sz w:val="24"/>
          <w:szCs w:val="24"/>
        </w:rPr>
        <w:t>8.90</w:t>
      </w:r>
      <w:r w:rsidRPr="004F7B95">
        <w:rPr>
          <w:rFonts w:ascii="Times New Roman" w:hAnsi="Times New Roman"/>
          <w:snapToGrid/>
          <w:sz w:val="24"/>
          <w:szCs w:val="24"/>
        </w:rPr>
        <w:t xml:space="preserve">.  </w:t>
      </w:r>
      <w:hyperlink r:id="rId10" w:history="1">
        <w:r w:rsidRPr="00624B32">
          <w:rPr>
            <w:rStyle w:val="Hyperlink"/>
            <w:rFonts w:ascii="Times New Roman" w:hAnsi="Times New Roman"/>
            <w:snapToGrid/>
            <w:sz w:val="24"/>
            <w:szCs w:val="24"/>
          </w:rPr>
          <w:t>https://www.bls.gov/oes/current/oes211093.htm</w:t>
        </w:r>
      </w:hyperlink>
    </w:p>
    <w:p w:rsidR="007A0FBE" w:rsidRPr="004F7B95" w:rsidP="00D60543" w14:paraId="3566EDDE" w14:textId="77777777">
      <w:pPr>
        <w:widowControl/>
        <w:rPr>
          <w:rFonts w:ascii="Times New Roman" w:hAnsi="Times New Roman"/>
          <w:snapToGrid/>
          <w:sz w:val="24"/>
          <w:szCs w:val="24"/>
        </w:rPr>
      </w:pPr>
    </w:p>
    <w:p w:rsidR="00556056" w:rsidP="00D60543" w14:paraId="48C01EFC" w14:textId="77777777">
      <w:pPr>
        <w:widowControl/>
        <w:rPr>
          <w:rFonts w:ascii="Times New Roman" w:hAnsi="Times New Roman"/>
          <w:snapToGrid/>
          <w:sz w:val="24"/>
          <w:szCs w:val="24"/>
        </w:rPr>
      </w:pPr>
    </w:p>
    <w:p w:rsidR="00D60543" w:rsidRPr="00C1712F" w:rsidP="00C1712F" w14:paraId="0D719260"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Estimates of Other Total Annual Cost Burden to Respondents and Record Keepers </w:t>
      </w:r>
    </w:p>
    <w:p w:rsidR="00D60543" w:rsidP="0042381B" w14:paraId="590924C5" w14:textId="2F6C349E">
      <w:pPr>
        <w:pStyle w:val="BodyTextIndent"/>
        <w:ind w:left="360"/>
        <w:rPr>
          <w:rFonts w:ascii="Times New Roman" w:hAnsi="Times New Roman"/>
        </w:rPr>
      </w:pPr>
      <w:r>
        <w:rPr>
          <w:rFonts w:ascii="Times New Roman" w:hAnsi="Times New Roman"/>
        </w:rPr>
        <w:t xml:space="preserve">There are no other </w:t>
      </w:r>
      <w:r w:rsidRPr="00A70844" w:rsidR="00A70844">
        <w:rPr>
          <w:rFonts w:ascii="Times New Roman" w:hAnsi="Times New Roman"/>
        </w:rPr>
        <w:t>cost</w:t>
      </w:r>
      <w:r>
        <w:rPr>
          <w:rFonts w:ascii="Times New Roman" w:hAnsi="Times New Roman"/>
        </w:rPr>
        <w:t>s</w:t>
      </w:r>
      <w:r w:rsidRPr="00A70844" w:rsidR="00A70844">
        <w:rPr>
          <w:rFonts w:ascii="Times New Roman" w:hAnsi="Times New Roman"/>
        </w:rPr>
        <w:t xml:space="preserve"> to respondents.</w:t>
      </w:r>
      <w:r w:rsidR="00467D70">
        <w:rPr>
          <w:rFonts w:ascii="Times New Roman" w:hAnsi="Times New Roman"/>
        </w:rPr>
        <w:t xml:space="preserve"> </w:t>
      </w:r>
    </w:p>
    <w:p w:rsidR="00D60543" w:rsidP="00D60543" w14:paraId="4ED486BD" w14:textId="77777777">
      <w:pPr>
        <w:widowControl/>
        <w:rPr>
          <w:rFonts w:ascii="Times New Roman" w:hAnsi="Times New Roman"/>
          <w:snapToGrid/>
          <w:sz w:val="24"/>
          <w:szCs w:val="24"/>
        </w:rPr>
      </w:pPr>
    </w:p>
    <w:p w:rsidR="00D60543" w:rsidP="00D60543" w14:paraId="4A41CD16" w14:textId="77777777">
      <w:pPr>
        <w:widowControl/>
        <w:rPr>
          <w:rFonts w:ascii="Times New Roman" w:hAnsi="Times New Roman"/>
          <w:snapToGrid/>
          <w:sz w:val="24"/>
          <w:szCs w:val="24"/>
        </w:rPr>
      </w:pPr>
    </w:p>
    <w:p w:rsidR="002C3C4F" w:rsidRPr="00C1712F" w:rsidP="00C1712F" w14:paraId="5965A952"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A</w:t>
      </w:r>
      <w:r w:rsidRPr="00C1712F">
        <w:rPr>
          <w:rFonts w:ascii="Times New Roman" w:hAnsi="Times New Roman"/>
          <w:b/>
          <w:snapToGrid/>
          <w:sz w:val="24"/>
          <w:szCs w:val="24"/>
        </w:rPr>
        <w:t xml:space="preserve">nnualized Cost to the Federal Government </w:t>
      </w:r>
    </w:p>
    <w:p w:rsidR="00A70844" w:rsidRPr="00A70844" w:rsidP="0042381B" w14:paraId="2C1D90F2" w14:textId="77777777">
      <w:pPr>
        <w:pStyle w:val="BodyTextIndent"/>
        <w:ind w:left="360"/>
        <w:rPr>
          <w:rFonts w:ascii="Times New Roman" w:hAnsi="Times New Roman"/>
        </w:rPr>
      </w:pPr>
      <w:r w:rsidRPr="00A70844">
        <w:rPr>
          <w:rFonts w:ascii="Times New Roman" w:hAnsi="Times New Roman"/>
        </w:rPr>
        <w:t>Costs to the federal government fall into two categories:</w:t>
      </w:r>
    </w:p>
    <w:p w:rsidR="00A70844" w:rsidRPr="00A70844" w:rsidP="00A70844" w14:paraId="054E6BCF" w14:textId="77777777">
      <w:pPr>
        <w:pStyle w:val="BodyTextIndent"/>
        <w:numPr>
          <w:ilvl w:val="0"/>
          <w:numId w:val="19"/>
        </w:numPr>
        <w:spacing w:before="120"/>
        <w:rPr>
          <w:rFonts w:ascii="Times New Roman" w:hAnsi="Times New Roman"/>
        </w:rPr>
      </w:pPr>
      <w:r w:rsidRPr="00A70844">
        <w:rPr>
          <w:rFonts w:ascii="Times New Roman" w:hAnsi="Times New Roman"/>
        </w:rPr>
        <w:t>Costs of contractual support for modifying the reporting system, maintenance, data cleaning and aggregation of data</w:t>
      </w:r>
      <w:r w:rsidR="005537B3">
        <w:rPr>
          <w:rFonts w:ascii="Times New Roman" w:hAnsi="Times New Roman"/>
        </w:rPr>
        <w:t>.</w:t>
      </w:r>
      <w:r w:rsidRPr="00A70844">
        <w:rPr>
          <w:rFonts w:ascii="Times New Roman" w:hAnsi="Times New Roman"/>
        </w:rPr>
        <w:t xml:space="preserve"> </w:t>
      </w:r>
    </w:p>
    <w:p w:rsidR="00A70844" w:rsidP="00A70844" w14:paraId="2C8A9A26" w14:textId="77777777">
      <w:pPr>
        <w:pStyle w:val="BodyTextIndent"/>
        <w:numPr>
          <w:ilvl w:val="0"/>
          <w:numId w:val="19"/>
        </w:numPr>
        <w:spacing w:before="120"/>
        <w:rPr>
          <w:rFonts w:ascii="Times New Roman" w:hAnsi="Times New Roman"/>
        </w:rPr>
      </w:pPr>
      <w:r w:rsidRPr="00A70844">
        <w:rPr>
          <w:rFonts w:ascii="Times New Roman" w:hAnsi="Times New Roman"/>
        </w:rPr>
        <w:t>Cost of federal staff time for project oversight and development</w:t>
      </w:r>
      <w:r w:rsidR="005537B3">
        <w:rPr>
          <w:rFonts w:ascii="Times New Roman" w:hAnsi="Times New Roman"/>
        </w:rPr>
        <w:t>.</w:t>
      </w:r>
    </w:p>
    <w:p w:rsidR="006E7AD3" w:rsidRPr="00A70844" w:rsidP="006E7AD3" w14:paraId="5C487540" w14:textId="77777777">
      <w:pPr>
        <w:pStyle w:val="BodyTextIndent"/>
        <w:spacing w:before="120"/>
        <w:rPr>
          <w:rFonts w:ascii="Times New Roman" w:hAnsi="Times New Roman"/>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6"/>
        <w:gridCol w:w="4701"/>
        <w:gridCol w:w="1525"/>
      </w:tblGrid>
      <w:tr w14:paraId="3AD20C14" w14:textId="77777777" w:rsidTr="0042381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46" w:type="dxa"/>
            <w:shd w:val="clear" w:color="auto" w:fill="auto"/>
          </w:tcPr>
          <w:p w:rsidR="00A70844" w:rsidRPr="0042381B" w:rsidP="0042381B" w14:paraId="62C70319" w14:textId="77777777">
            <w:pPr>
              <w:pStyle w:val="BodyTextIndent"/>
              <w:ind w:left="0"/>
              <w:rPr>
                <w:rFonts w:ascii="Times New Roman" w:hAnsi="Times New Roman"/>
                <w:b/>
                <w:bCs/>
              </w:rPr>
            </w:pPr>
            <w:r w:rsidRPr="0042381B">
              <w:rPr>
                <w:rFonts w:ascii="Times New Roman" w:hAnsi="Times New Roman"/>
                <w:b/>
                <w:bCs/>
              </w:rPr>
              <w:t>Type of Cost</w:t>
            </w:r>
          </w:p>
        </w:tc>
        <w:tc>
          <w:tcPr>
            <w:tcW w:w="4701" w:type="dxa"/>
            <w:shd w:val="clear" w:color="auto" w:fill="auto"/>
          </w:tcPr>
          <w:p w:rsidR="00A70844" w:rsidRPr="0042381B" w:rsidP="0042381B" w14:paraId="07CEB0AD" w14:textId="77777777">
            <w:pPr>
              <w:pStyle w:val="BodyTextIndent"/>
              <w:ind w:left="0"/>
              <w:rPr>
                <w:rFonts w:ascii="Times New Roman" w:hAnsi="Times New Roman"/>
                <w:b/>
                <w:bCs/>
              </w:rPr>
            </w:pPr>
            <w:r w:rsidRPr="0042381B">
              <w:rPr>
                <w:rFonts w:ascii="Times New Roman" w:hAnsi="Times New Roman"/>
                <w:b/>
                <w:bCs/>
              </w:rPr>
              <w:t>Description of Services</w:t>
            </w:r>
          </w:p>
        </w:tc>
        <w:tc>
          <w:tcPr>
            <w:tcW w:w="1525" w:type="dxa"/>
            <w:shd w:val="clear" w:color="auto" w:fill="auto"/>
          </w:tcPr>
          <w:p w:rsidR="00A70844" w:rsidRPr="0042381B" w:rsidP="0042381B" w14:paraId="1F5C811E" w14:textId="77777777">
            <w:pPr>
              <w:pStyle w:val="BodyTextIndent"/>
              <w:ind w:left="0"/>
              <w:rPr>
                <w:rFonts w:ascii="Times New Roman" w:hAnsi="Times New Roman"/>
                <w:b/>
                <w:bCs/>
              </w:rPr>
            </w:pPr>
            <w:r w:rsidRPr="0042381B">
              <w:rPr>
                <w:rFonts w:ascii="Times New Roman" w:hAnsi="Times New Roman"/>
                <w:b/>
                <w:bCs/>
              </w:rPr>
              <w:t>Annual Cost</w:t>
            </w:r>
          </w:p>
        </w:tc>
      </w:tr>
      <w:tr w14:paraId="225D77D7" w14:textId="77777777" w:rsidTr="0042381B">
        <w:tblPrEx>
          <w:tblW w:w="0" w:type="auto"/>
          <w:tblInd w:w="378" w:type="dxa"/>
          <w:tblLook w:val="04A0"/>
        </w:tblPrEx>
        <w:tc>
          <w:tcPr>
            <w:tcW w:w="2746" w:type="dxa"/>
            <w:shd w:val="clear" w:color="auto" w:fill="auto"/>
          </w:tcPr>
          <w:p w:rsidR="00A70844" w:rsidRPr="00597023" w:rsidP="00597023" w14:paraId="27262D3D" w14:textId="77777777">
            <w:pPr>
              <w:pStyle w:val="BodyTextIndent"/>
              <w:spacing w:before="120"/>
              <w:ind w:left="0"/>
              <w:rPr>
                <w:rFonts w:ascii="Times New Roman" w:hAnsi="Times New Roman"/>
              </w:rPr>
            </w:pPr>
            <w:r w:rsidRPr="00597023">
              <w:rPr>
                <w:rFonts w:ascii="Times New Roman" w:hAnsi="Times New Roman"/>
              </w:rPr>
              <w:t>Tribal Home Visiting Report</w:t>
            </w:r>
            <w:r w:rsidR="00B87973">
              <w:rPr>
                <w:rFonts w:ascii="Times New Roman" w:hAnsi="Times New Roman"/>
              </w:rPr>
              <w:t xml:space="preserve">ing System (THVRS) </w:t>
            </w:r>
            <w:r w:rsidRPr="00597023">
              <w:rPr>
                <w:rFonts w:ascii="Times New Roman" w:hAnsi="Times New Roman"/>
              </w:rPr>
              <w:t xml:space="preserve"> Contracted</w:t>
            </w:r>
          </w:p>
        </w:tc>
        <w:tc>
          <w:tcPr>
            <w:tcW w:w="4701" w:type="dxa"/>
            <w:shd w:val="clear" w:color="auto" w:fill="auto"/>
          </w:tcPr>
          <w:p w:rsidR="00A70844" w:rsidRPr="00597023" w:rsidP="00B87973" w14:paraId="7EA24C0E" w14:textId="77777777">
            <w:pPr>
              <w:pStyle w:val="BodyTextIndent"/>
              <w:spacing w:before="120"/>
              <w:ind w:left="0"/>
              <w:rPr>
                <w:rFonts w:ascii="Times New Roman" w:hAnsi="Times New Roman"/>
              </w:rPr>
            </w:pPr>
            <w:r w:rsidRPr="00597023">
              <w:rPr>
                <w:rFonts w:ascii="Times New Roman" w:hAnsi="Times New Roman"/>
              </w:rPr>
              <w:t>Modifications, maintenance, data cleaning and aggregation of the electronic reporting system</w:t>
            </w:r>
            <w:r w:rsidR="00B87973">
              <w:rPr>
                <w:rFonts w:ascii="Times New Roman" w:hAnsi="Times New Roman"/>
              </w:rPr>
              <w:t xml:space="preserve">. </w:t>
            </w:r>
            <w:r w:rsidRPr="00597023">
              <w:rPr>
                <w:rFonts w:ascii="Times New Roman" w:hAnsi="Times New Roman"/>
              </w:rPr>
              <w:t xml:space="preserve"> </w:t>
            </w:r>
          </w:p>
        </w:tc>
        <w:tc>
          <w:tcPr>
            <w:tcW w:w="1525" w:type="dxa"/>
            <w:shd w:val="clear" w:color="auto" w:fill="auto"/>
            <w:vAlign w:val="center"/>
          </w:tcPr>
          <w:p w:rsidR="00A70844" w:rsidRPr="00597023" w:rsidP="00C464CF" w14:paraId="334CBF8E" w14:textId="77777777">
            <w:pPr>
              <w:pStyle w:val="BodyTextIndent"/>
              <w:spacing w:before="120"/>
              <w:ind w:left="0"/>
              <w:jc w:val="center"/>
              <w:rPr>
                <w:rFonts w:ascii="Times New Roman" w:hAnsi="Times New Roman"/>
              </w:rPr>
            </w:pPr>
            <w:r w:rsidRPr="00597023">
              <w:rPr>
                <w:rFonts w:ascii="Times New Roman" w:hAnsi="Times New Roman"/>
              </w:rPr>
              <w:t>$7</w:t>
            </w:r>
            <w:r w:rsidR="00645E3C">
              <w:rPr>
                <w:rFonts w:ascii="Times New Roman" w:hAnsi="Times New Roman"/>
              </w:rPr>
              <w:t>8</w:t>
            </w:r>
            <w:r w:rsidRPr="00597023">
              <w:rPr>
                <w:rFonts w:ascii="Times New Roman" w:hAnsi="Times New Roman"/>
              </w:rPr>
              <w:t>,000</w:t>
            </w:r>
          </w:p>
        </w:tc>
      </w:tr>
      <w:tr w14:paraId="718AD0A3" w14:textId="77777777" w:rsidTr="0042381B">
        <w:tblPrEx>
          <w:tblW w:w="0" w:type="auto"/>
          <w:tblInd w:w="378" w:type="dxa"/>
          <w:tblLook w:val="04A0"/>
        </w:tblPrEx>
        <w:tc>
          <w:tcPr>
            <w:tcW w:w="2746" w:type="dxa"/>
            <w:shd w:val="clear" w:color="auto" w:fill="auto"/>
          </w:tcPr>
          <w:p w:rsidR="00A70844" w:rsidRPr="00597023" w:rsidP="00597023" w14:paraId="76CB30FE" w14:textId="77777777">
            <w:pPr>
              <w:pStyle w:val="BodyTextIndent"/>
              <w:spacing w:before="120"/>
              <w:ind w:left="0"/>
              <w:rPr>
                <w:rFonts w:ascii="Times New Roman" w:hAnsi="Times New Roman"/>
              </w:rPr>
            </w:pPr>
            <w:r w:rsidRPr="00597023">
              <w:rPr>
                <w:rFonts w:ascii="Times New Roman" w:hAnsi="Times New Roman"/>
              </w:rPr>
              <w:t>Government Program Analyst (10%)</w:t>
            </w:r>
          </w:p>
        </w:tc>
        <w:tc>
          <w:tcPr>
            <w:tcW w:w="4701" w:type="dxa"/>
            <w:shd w:val="clear" w:color="auto" w:fill="auto"/>
          </w:tcPr>
          <w:p w:rsidR="00A70844" w:rsidRPr="00597023" w:rsidP="00B87973" w14:paraId="6C2381D2" w14:textId="77777777">
            <w:pPr>
              <w:pStyle w:val="BodyTextIndent"/>
              <w:spacing w:before="120"/>
              <w:ind w:left="0"/>
              <w:rPr>
                <w:rFonts w:ascii="Times New Roman" w:hAnsi="Times New Roman"/>
              </w:rPr>
            </w:pPr>
            <w:r w:rsidRPr="00597023">
              <w:rPr>
                <w:rFonts w:ascii="Times New Roman" w:hAnsi="Times New Roman"/>
              </w:rPr>
              <w:t>Project management and oversight,</w:t>
            </w:r>
            <w:r w:rsidR="00B87973">
              <w:rPr>
                <w:rFonts w:ascii="Times New Roman" w:hAnsi="Times New Roman"/>
              </w:rPr>
              <w:t xml:space="preserve"> and</w:t>
            </w:r>
            <w:r w:rsidRPr="00597023">
              <w:rPr>
                <w:rFonts w:ascii="Times New Roman" w:hAnsi="Times New Roman"/>
              </w:rPr>
              <w:t xml:space="preserve"> consultation</w:t>
            </w:r>
            <w:r w:rsidR="00B87973">
              <w:rPr>
                <w:rFonts w:ascii="Times New Roman" w:hAnsi="Times New Roman"/>
              </w:rPr>
              <w:t>.</w:t>
            </w:r>
          </w:p>
        </w:tc>
        <w:tc>
          <w:tcPr>
            <w:tcW w:w="1525" w:type="dxa"/>
            <w:shd w:val="clear" w:color="auto" w:fill="auto"/>
            <w:vAlign w:val="center"/>
          </w:tcPr>
          <w:p w:rsidR="00A70844" w:rsidRPr="00597023" w:rsidP="00C464CF" w14:paraId="293857BE" w14:textId="77777777">
            <w:pPr>
              <w:pStyle w:val="BodyTextIndent"/>
              <w:spacing w:before="120"/>
              <w:ind w:left="0"/>
              <w:jc w:val="center"/>
              <w:rPr>
                <w:rFonts w:ascii="Times New Roman" w:hAnsi="Times New Roman"/>
              </w:rPr>
            </w:pPr>
            <w:r w:rsidRPr="00597023">
              <w:rPr>
                <w:rFonts w:ascii="Times New Roman" w:hAnsi="Times New Roman"/>
              </w:rPr>
              <w:t>$</w:t>
            </w:r>
            <w:r w:rsidRPr="00597023" w:rsidR="006E7AD3">
              <w:rPr>
                <w:rFonts w:ascii="Times New Roman" w:hAnsi="Times New Roman"/>
              </w:rPr>
              <w:t>1</w:t>
            </w:r>
            <w:r w:rsidR="00645E3C">
              <w:rPr>
                <w:rFonts w:ascii="Times New Roman" w:hAnsi="Times New Roman"/>
              </w:rPr>
              <w:t>5,000</w:t>
            </w:r>
          </w:p>
        </w:tc>
      </w:tr>
      <w:tr w14:paraId="018F3117" w14:textId="77777777" w:rsidTr="0042381B">
        <w:tblPrEx>
          <w:tblW w:w="0" w:type="auto"/>
          <w:tblInd w:w="378" w:type="dxa"/>
          <w:tblLook w:val="04A0"/>
        </w:tblPrEx>
        <w:tc>
          <w:tcPr>
            <w:tcW w:w="7447" w:type="dxa"/>
            <w:gridSpan w:val="2"/>
            <w:shd w:val="clear" w:color="auto" w:fill="auto"/>
            <w:vAlign w:val="center"/>
          </w:tcPr>
          <w:p w:rsidR="00624B32" w:rsidRPr="00597023" w:rsidP="00C464CF" w14:paraId="57232709" w14:textId="3BC1B850">
            <w:pPr>
              <w:pStyle w:val="BodyTextIndent"/>
              <w:spacing w:before="120"/>
              <w:ind w:left="0"/>
              <w:jc w:val="right"/>
              <w:rPr>
                <w:rFonts w:ascii="Times New Roman" w:hAnsi="Times New Roman"/>
              </w:rPr>
            </w:pPr>
            <w:r w:rsidRPr="00597023">
              <w:rPr>
                <w:rFonts w:ascii="Times New Roman" w:hAnsi="Times New Roman"/>
              </w:rPr>
              <w:t>Total Estimated Annual Cost</w:t>
            </w:r>
          </w:p>
        </w:tc>
        <w:tc>
          <w:tcPr>
            <w:tcW w:w="1525" w:type="dxa"/>
            <w:shd w:val="clear" w:color="auto" w:fill="auto"/>
            <w:vAlign w:val="center"/>
          </w:tcPr>
          <w:p w:rsidR="00624B32" w:rsidRPr="00597023" w:rsidP="00C464CF" w14:paraId="7A9D59E9" w14:textId="77777777">
            <w:pPr>
              <w:pStyle w:val="BodyTextIndent"/>
              <w:spacing w:before="120"/>
              <w:ind w:left="0"/>
              <w:jc w:val="center"/>
              <w:rPr>
                <w:rFonts w:ascii="Times New Roman" w:hAnsi="Times New Roman"/>
              </w:rPr>
            </w:pPr>
            <w:r>
              <w:rPr>
                <w:rFonts w:ascii="Times New Roman" w:hAnsi="Times New Roman"/>
              </w:rPr>
              <w:t>$93,000</w:t>
            </w:r>
          </w:p>
        </w:tc>
      </w:tr>
    </w:tbl>
    <w:p w:rsidR="0042381B" w:rsidP="00A70844" w14:paraId="0452DA5A" w14:textId="77777777">
      <w:pPr>
        <w:widowControl/>
        <w:ind w:left="360"/>
        <w:rPr>
          <w:rFonts w:ascii="Times New Roman" w:hAnsi="Times New Roman"/>
          <w:sz w:val="24"/>
          <w:szCs w:val="24"/>
        </w:rPr>
      </w:pPr>
    </w:p>
    <w:p w:rsidR="007935D5" w:rsidP="00A70844" w14:paraId="552E2689" w14:textId="6DBCF012">
      <w:pPr>
        <w:widowControl/>
        <w:ind w:left="360"/>
        <w:rPr>
          <w:rFonts w:ascii="Times New Roman" w:hAnsi="Times New Roman"/>
          <w:sz w:val="24"/>
          <w:szCs w:val="24"/>
        </w:rPr>
      </w:pPr>
      <w:r w:rsidRPr="006E7AD3">
        <w:rPr>
          <w:rFonts w:ascii="Times New Roman" w:hAnsi="Times New Roman"/>
          <w:sz w:val="24"/>
          <w:szCs w:val="24"/>
        </w:rPr>
        <w:t>Government costs include personnel costs for federal staff involved in project and contract oversight, instrument design, and analysis which inclu</w:t>
      </w:r>
      <w:r>
        <w:rPr>
          <w:rFonts w:ascii="Times New Roman" w:hAnsi="Times New Roman"/>
          <w:sz w:val="24"/>
          <w:szCs w:val="24"/>
        </w:rPr>
        <w:t>des approximately 10% of a GS-14</w:t>
      </w:r>
      <w:r w:rsidRPr="006E7AD3">
        <w:rPr>
          <w:rFonts w:ascii="Times New Roman" w:hAnsi="Times New Roman"/>
          <w:sz w:val="24"/>
          <w:szCs w:val="24"/>
        </w:rPr>
        <w:t xml:space="preserve"> Program Analyst</w:t>
      </w:r>
      <w:r w:rsidR="00F7688D">
        <w:rPr>
          <w:rFonts w:ascii="Times New Roman" w:hAnsi="Times New Roman"/>
          <w:sz w:val="24"/>
          <w:szCs w:val="24"/>
        </w:rPr>
        <w:t>.</w:t>
      </w:r>
    </w:p>
    <w:p w:rsidR="002C3C4F" w:rsidRPr="00C1712F" w:rsidP="00C1712F" w14:paraId="2D47523B"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Explanation for Program Changes or Adjustments </w:t>
      </w:r>
    </w:p>
    <w:p w:rsidR="00D60543" w:rsidP="004F7B95" w14:paraId="242A7B0D" w14:textId="4CA21592">
      <w:pPr>
        <w:widowControl/>
        <w:ind w:left="360"/>
        <w:rPr>
          <w:rFonts w:ascii="Times New Roman" w:hAnsi="Times New Roman"/>
          <w:snapToGrid/>
          <w:sz w:val="24"/>
          <w:szCs w:val="24"/>
        </w:rPr>
      </w:pPr>
      <w:r>
        <w:rPr>
          <w:rFonts w:ascii="Times New Roman" w:hAnsi="Times New Roman"/>
          <w:snapToGrid/>
          <w:sz w:val="24"/>
          <w:szCs w:val="24"/>
        </w:rPr>
        <w:t>There are no changes</w:t>
      </w:r>
      <w:r w:rsidR="00624B32">
        <w:rPr>
          <w:rFonts w:ascii="Times New Roman" w:hAnsi="Times New Roman"/>
          <w:snapToGrid/>
          <w:sz w:val="24"/>
          <w:szCs w:val="24"/>
        </w:rPr>
        <w:t xml:space="preserve"> proposed</w:t>
      </w:r>
      <w:r>
        <w:rPr>
          <w:rFonts w:ascii="Times New Roman" w:hAnsi="Times New Roman"/>
          <w:snapToGrid/>
          <w:sz w:val="24"/>
          <w:szCs w:val="24"/>
        </w:rPr>
        <w:t xml:space="preserve"> to the current form.</w:t>
      </w:r>
    </w:p>
    <w:p w:rsidR="00D60543" w:rsidP="004F7B95" w14:paraId="0CBF5E7E" w14:textId="2B7BB226">
      <w:pPr>
        <w:widowControl/>
        <w:ind w:left="360"/>
        <w:rPr>
          <w:rFonts w:ascii="Times New Roman" w:hAnsi="Times New Roman"/>
          <w:snapToGrid/>
          <w:sz w:val="24"/>
          <w:szCs w:val="24"/>
        </w:rPr>
      </w:pPr>
    </w:p>
    <w:p w:rsidR="00624B32" w:rsidRPr="004F7B95" w:rsidP="004F7B95" w14:paraId="436E362B" w14:textId="77777777">
      <w:pPr>
        <w:widowControl/>
        <w:ind w:left="360"/>
        <w:rPr>
          <w:rFonts w:ascii="Times New Roman" w:hAnsi="Times New Roman"/>
          <w:snapToGrid/>
          <w:sz w:val="24"/>
          <w:szCs w:val="24"/>
        </w:rPr>
      </w:pPr>
    </w:p>
    <w:p w:rsidR="002C3C4F" w:rsidRPr="00C1712F" w:rsidP="00C1712F" w14:paraId="2498C72A"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Plans for Tabulation and Publication and Project Time Schedule </w:t>
      </w:r>
    </w:p>
    <w:p w:rsidR="00D1090D" w:rsidP="00C1712F" w14:paraId="141D635D" w14:textId="77777777">
      <w:pPr>
        <w:ind w:left="360"/>
        <w:rPr>
          <w:rFonts w:ascii="Times New Roman" w:hAnsi="Times New Roman"/>
          <w:sz w:val="24"/>
        </w:rPr>
      </w:pPr>
      <w:r w:rsidRPr="006E7AD3">
        <w:rPr>
          <w:rFonts w:ascii="Times New Roman" w:hAnsi="Times New Roman"/>
          <w:sz w:val="24"/>
        </w:rPr>
        <w:t xml:space="preserve">Aggregation and descriptive statistics on </w:t>
      </w:r>
      <w:r w:rsidR="00660382">
        <w:rPr>
          <w:rFonts w:ascii="Times New Roman" w:hAnsi="Times New Roman"/>
          <w:sz w:val="24"/>
        </w:rPr>
        <w:t>performance</w:t>
      </w:r>
      <w:r w:rsidRPr="006E7AD3">
        <w:rPr>
          <w:rFonts w:ascii="Times New Roman" w:hAnsi="Times New Roman"/>
          <w:sz w:val="24"/>
        </w:rPr>
        <w:t xml:space="preserve"> data will be conducted to summarize the performance of grantees, </w:t>
      </w:r>
      <w:r w:rsidR="003B2B91">
        <w:rPr>
          <w:rFonts w:ascii="Times New Roman" w:hAnsi="Times New Roman"/>
          <w:sz w:val="24"/>
        </w:rPr>
        <w:t>and to provide vital information for TA purposes</w:t>
      </w:r>
      <w:r w:rsidRPr="006E7AD3">
        <w:rPr>
          <w:rFonts w:ascii="Times New Roman" w:hAnsi="Times New Roman"/>
          <w:sz w:val="24"/>
        </w:rPr>
        <w:t>. This summary information may be made public through data briefs, fact sheets, professional presentations, and/or published manuscripts.</w:t>
      </w:r>
    </w:p>
    <w:p w:rsidR="00566A52" w:rsidP="00C1712F" w14:paraId="467996BD" w14:textId="77777777">
      <w:pPr>
        <w:ind w:left="360"/>
        <w:rPr>
          <w:rFonts w:ascii="Times New Roman" w:hAnsi="Times New Roman"/>
          <w:sz w:val="24"/>
        </w:rPr>
      </w:pPr>
    </w:p>
    <w:p w:rsidR="006E7AD3" w:rsidRPr="006E7AD3" w:rsidP="00C1712F" w14:paraId="4198B417" w14:textId="4E368F66">
      <w:pPr>
        <w:ind w:left="360"/>
        <w:rPr>
          <w:rFonts w:ascii="Times New Roman" w:hAnsi="Times New Roman"/>
          <w:sz w:val="24"/>
        </w:rPr>
      </w:pPr>
      <w:r w:rsidRPr="006E7AD3">
        <w:rPr>
          <w:rFonts w:ascii="Times New Roman" w:hAnsi="Times New Roman"/>
          <w:sz w:val="24"/>
        </w:rPr>
        <w:t>ACF is r</w:t>
      </w:r>
      <w:r w:rsidR="00660382">
        <w:rPr>
          <w:rFonts w:ascii="Times New Roman" w:hAnsi="Times New Roman"/>
          <w:sz w:val="24"/>
        </w:rPr>
        <w:t xml:space="preserve">equesting a three-year </w:t>
      </w:r>
      <w:r w:rsidR="00624B32">
        <w:rPr>
          <w:rFonts w:ascii="Times New Roman" w:hAnsi="Times New Roman"/>
          <w:sz w:val="24"/>
        </w:rPr>
        <w:t xml:space="preserve">extension </w:t>
      </w:r>
      <w:r w:rsidRPr="006E7AD3">
        <w:rPr>
          <w:rFonts w:ascii="Times New Roman" w:hAnsi="Times New Roman"/>
          <w:sz w:val="24"/>
        </w:rPr>
        <w:t>for this data collection activity.</w:t>
      </w:r>
    </w:p>
    <w:p w:rsidR="005E4725" w:rsidP="00C1712F" w14:paraId="1A41B19F" w14:textId="77777777">
      <w:pPr>
        <w:ind w:left="360"/>
        <w:rPr>
          <w:rFonts w:ascii="Times New Roman" w:hAnsi="Times New Roman"/>
          <w:sz w:val="24"/>
        </w:rPr>
      </w:pPr>
    </w:p>
    <w:p w:rsidR="005537B3" w:rsidRPr="006E7AD3" w:rsidP="00C1712F" w14:paraId="6547DD60" w14:textId="77777777">
      <w:pPr>
        <w:ind w:left="360"/>
        <w:rPr>
          <w:rFonts w:ascii="Times New Roman" w:hAnsi="Times New Roman"/>
          <w:sz w:val="24"/>
        </w:rPr>
      </w:pPr>
      <w:r w:rsidRPr="006E7AD3">
        <w:rPr>
          <w:rFonts w:ascii="Times New Roman" w:hAnsi="Times New Roman"/>
          <w:sz w:val="24"/>
        </w:rPr>
        <w:t>Project Timeline</w:t>
      </w:r>
    </w:p>
    <w:p w:rsidR="005537B3" w:rsidP="00C1712F" w14:paraId="1104AA0F" w14:textId="77777777">
      <w:pPr>
        <w:ind w:left="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315"/>
      </w:tblGrid>
      <w:tr w14:paraId="3D23C2AB" w14:textId="77777777" w:rsidTr="00511A1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5537B3" w:rsidRPr="00597023" w:rsidP="00511A1D" w14:paraId="7AFCB06D"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005537B3" w:rsidRPr="00597023" w:rsidP="00511A1D" w14:paraId="4B094187" w14:textId="77777777">
            <w:pPr>
              <w:spacing w:before="120"/>
              <w:rPr>
                <w:rFonts w:ascii="Times New Roman" w:hAnsi="Times New Roman"/>
                <w:b/>
                <w:sz w:val="24"/>
              </w:rPr>
            </w:pPr>
            <w:r w:rsidRPr="00597023">
              <w:rPr>
                <w:rFonts w:ascii="Times New Roman" w:hAnsi="Times New Roman"/>
                <w:b/>
                <w:sz w:val="24"/>
              </w:rPr>
              <w:t>Time Schedule</w:t>
            </w:r>
          </w:p>
        </w:tc>
      </w:tr>
      <w:tr w14:paraId="02E47270" w14:textId="77777777" w:rsidTr="00511A1D">
        <w:tblPrEx>
          <w:tblW w:w="0" w:type="auto"/>
          <w:tblInd w:w="360" w:type="dxa"/>
          <w:tblLook w:val="04A0"/>
        </w:tblPrEx>
        <w:tc>
          <w:tcPr>
            <w:tcW w:w="4675" w:type="dxa"/>
            <w:shd w:val="clear" w:color="auto" w:fill="auto"/>
          </w:tcPr>
          <w:p w:rsidR="005537B3" w:rsidRPr="00597023" w:rsidP="00511A1D" w14:paraId="1FEFDFCF" w14:textId="77777777">
            <w:pPr>
              <w:spacing w:before="120"/>
              <w:rPr>
                <w:rFonts w:ascii="Times New Roman" w:hAnsi="Times New Roman"/>
                <w:sz w:val="24"/>
              </w:rPr>
            </w:pPr>
            <w:r w:rsidRPr="00597023">
              <w:rPr>
                <w:rFonts w:ascii="Times New Roman" w:hAnsi="Times New Roman"/>
                <w:sz w:val="24"/>
              </w:rPr>
              <w:t>Continue to distribute data collection forms and instructions to Tribal MIECHV grantees</w:t>
            </w:r>
          </w:p>
        </w:tc>
        <w:tc>
          <w:tcPr>
            <w:tcW w:w="4315" w:type="dxa"/>
            <w:shd w:val="clear" w:color="auto" w:fill="auto"/>
          </w:tcPr>
          <w:p w:rsidR="005537B3" w:rsidRPr="00597023" w:rsidP="00511A1D" w14:paraId="5069B8D4" w14:textId="77777777">
            <w:pPr>
              <w:spacing w:before="120"/>
              <w:rPr>
                <w:rFonts w:ascii="Times New Roman" w:hAnsi="Times New Roman"/>
                <w:sz w:val="24"/>
              </w:rPr>
            </w:pPr>
            <w:r>
              <w:rPr>
                <w:rFonts w:ascii="Times New Roman" w:hAnsi="Times New Roman"/>
                <w:sz w:val="24"/>
              </w:rPr>
              <w:t>Ongoing</w:t>
            </w:r>
          </w:p>
        </w:tc>
      </w:tr>
      <w:tr w14:paraId="596940EB" w14:textId="77777777" w:rsidTr="00511A1D">
        <w:tblPrEx>
          <w:tblW w:w="0" w:type="auto"/>
          <w:tblInd w:w="360" w:type="dxa"/>
          <w:tblLook w:val="04A0"/>
        </w:tblPrEx>
        <w:tc>
          <w:tcPr>
            <w:tcW w:w="4675" w:type="dxa"/>
            <w:shd w:val="clear" w:color="auto" w:fill="auto"/>
          </w:tcPr>
          <w:p w:rsidR="005537B3" w:rsidRPr="00597023" w:rsidP="00511A1D" w14:paraId="1106E8DD" w14:textId="77777777">
            <w:pPr>
              <w:spacing w:before="120"/>
              <w:rPr>
                <w:rFonts w:ascii="Times New Roman" w:hAnsi="Times New Roman"/>
                <w:sz w:val="24"/>
              </w:rPr>
            </w:pPr>
            <w:r>
              <w:rPr>
                <w:rFonts w:ascii="Times New Roman" w:hAnsi="Times New Roman"/>
                <w:sz w:val="24"/>
              </w:rPr>
              <w:t>Current Tribal MIECHV Form 2 Reporting Period (10/1/</w:t>
            </w:r>
            <w:r w:rsidR="0000270F">
              <w:rPr>
                <w:rFonts w:ascii="Times New Roman" w:hAnsi="Times New Roman"/>
                <w:sz w:val="24"/>
              </w:rPr>
              <w:t>21</w:t>
            </w:r>
            <w:r>
              <w:rPr>
                <w:rFonts w:ascii="Times New Roman" w:hAnsi="Times New Roman"/>
                <w:sz w:val="24"/>
              </w:rPr>
              <w:t>-9/30/2</w:t>
            </w:r>
            <w:r w:rsidR="0000270F">
              <w:rPr>
                <w:rFonts w:ascii="Times New Roman" w:hAnsi="Times New Roman"/>
                <w:sz w:val="24"/>
              </w:rPr>
              <w:t>2</w:t>
            </w:r>
            <w:r w:rsidRPr="00597023">
              <w:rPr>
                <w:rFonts w:ascii="Times New Roman" w:hAnsi="Times New Roman"/>
                <w:sz w:val="24"/>
              </w:rPr>
              <w:t>)</w:t>
            </w:r>
            <w:r w:rsidR="00FE35B3">
              <w:rPr>
                <w:rFonts w:ascii="Times New Roman" w:hAnsi="Times New Roman"/>
                <w:sz w:val="24"/>
              </w:rPr>
              <w:t xml:space="preserve"> </w:t>
            </w:r>
          </w:p>
        </w:tc>
        <w:tc>
          <w:tcPr>
            <w:tcW w:w="4315" w:type="dxa"/>
            <w:shd w:val="clear" w:color="auto" w:fill="auto"/>
          </w:tcPr>
          <w:p w:rsidR="005537B3" w:rsidRPr="00597023" w:rsidP="00511A1D" w14:paraId="51202647" w14:textId="77777777">
            <w:pPr>
              <w:spacing w:before="120"/>
              <w:rPr>
                <w:rFonts w:ascii="Times New Roman" w:hAnsi="Times New Roman"/>
                <w:sz w:val="24"/>
              </w:rPr>
            </w:pPr>
            <w:r w:rsidRPr="00597023">
              <w:rPr>
                <w:rFonts w:ascii="Times New Roman" w:hAnsi="Times New Roman"/>
                <w:sz w:val="24"/>
              </w:rPr>
              <w:t>Due</w:t>
            </w:r>
            <w:r w:rsidR="00D1090D">
              <w:rPr>
                <w:rFonts w:ascii="Times New Roman" w:hAnsi="Times New Roman"/>
                <w:sz w:val="24"/>
              </w:rPr>
              <w:t xml:space="preserve"> by 12/31/2</w:t>
            </w:r>
            <w:r w:rsidR="0000270F">
              <w:rPr>
                <w:rFonts w:ascii="Times New Roman" w:hAnsi="Times New Roman"/>
                <w:sz w:val="24"/>
              </w:rPr>
              <w:t>2</w:t>
            </w:r>
          </w:p>
        </w:tc>
      </w:tr>
      <w:tr w14:paraId="44E062B4" w14:textId="77777777" w:rsidTr="00511A1D">
        <w:tblPrEx>
          <w:tblW w:w="0" w:type="auto"/>
          <w:tblInd w:w="360" w:type="dxa"/>
          <w:tblLook w:val="04A0"/>
        </w:tblPrEx>
        <w:tc>
          <w:tcPr>
            <w:tcW w:w="8990" w:type="dxa"/>
            <w:gridSpan w:val="2"/>
            <w:shd w:val="clear" w:color="auto" w:fill="auto"/>
          </w:tcPr>
          <w:p w:rsidR="005537B3" w:rsidRPr="00597023" w:rsidP="00511A1D" w14:paraId="35EC4A05" w14:textId="77777777">
            <w:pPr>
              <w:spacing w:before="120"/>
              <w:rPr>
                <w:rFonts w:ascii="Times New Roman" w:hAnsi="Times New Roman"/>
                <w:sz w:val="24"/>
              </w:rPr>
            </w:pPr>
            <w:r>
              <w:rPr>
                <w:rFonts w:ascii="Times New Roman" w:hAnsi="Times New Roman"/>
                <w:sz w:val="24"/>
              </w:rPr>
              <w:t>Form 2</w:t>
            </w:r>
            <w:r w:rsidRPr="00597023">
              <w:rPr>
                <w:rFonts w:ascii="Times New Roman" w:hAnsi="Times New Roman"/>
                <w:sz w:val="24"/>
              </w:rPr>
              <w:t xml:space="preserve"> reporting will continue on an annual schedule throughout the OMB approved clearance timeframe. </w:t>
            </w:r>
          </w:p>
        </w:tc>
      </w:tr>
    </w:tbl>
    <w:p w:rsidR="00D60543" w:rsidRPr="004F7B95" w:rsidP="005E4725" w14:paraId="6F3778C4" w14:textId="77777777">
      <w:pPr>
        <w:spacing w:before="120"/>
        <w:ind w:left="360"/>
        <w:rPr>
          <w:rFonts w:ascii="Times New Roman" w:hAnsi="Times New Roman"/>
          <w:snapToGrid/>
          <w:sz w:val="24"/>
          <w:szCs w:val="24"/>
        </w:rPr>
      </w:pPr>
      <w:r w:rsidRPr="006E7AD3">
        <w:rPr>
          <w:rFonts w:ascii="Times New Roman" w:hAnsi="Times New Roman"/>
          <w:sz w:val="24"/>
        </w:rPr>
        <w:t xml:space="preserve">  </w:t>
      </w:r>
    </w:p>
    <w:p w:rsidR="007935D5" w:rsidRPr="004F7B95" w:rsidP="004F7B95" w14:paraId="3E20EE31" w14:textId="77777777">
      <w:pPr>
        <w:widowControl/>
        <w:ind w:left="720"/>
        <w:rPr>
          <w:rFonts w:ascii="Times New Roman" w:hAnsi="Times New Roman"/>
          <w:snapToGrid/>
          <w:sz w:val="24"/>
          <w:szCs w:val="24"/>
        </w:rPr>
      </w:pPr>
    </w:p>
    <w:p w:rsidR="002C3C4F" w:rsidRPr="00C1712F" w:rsidP="00C1712F" w14:paraId="105E925D" w14:textId="77777777">
      <w:pPr>
        <w:widowControl/>
        <w:numPr>
          <w:ilvl w:val="0"/>
          <w:numId w:val="3"/>
        </w:numPr>
        <w:tabs>
          <w:tab w:val="left"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 xml:space="preserve">Reason(s) Display of OMB Expiration Date is Inappropriate </w:t>
      </w:r>
    </w:p>
    <w:p w:rsidR="00D60543" w:rsidP="00986B80" w14:paraId="1721B4FB" w14:textId="77777777">
      <w:pPr>
        <w:pStyle w:val="BodyTextIndent"/>
        <w:spacing w:before="120"/>
        <w:ind w:left="360"/>
        <w:rPr>
          <w:rFonts w:ascii="Times New Roman" w:hAnsi="Times New Roman"/>
        </w:rPr>
      </w:pPr>
      <w:r w:rsidRPr="005E4725">
        <w:rPr>
          <w:rFonts w:ascii="Times New Roman" w:hAnsi="Times New Roman"/>
        </w:rPr>
        <w:t>The OMB number and Expiration date will be displayed on every page of every form/instrument.</w:t>
      </w:r>
    </w:p>
    <w:p w:rsidR="00986B80" w:rsidRPr="004F7B95" w:rsidP="00986B80" w14:paraId="0328C7B2" w14:textId="77777777">
      <w:pPr>
        <w:pStyle w:val="BodyTextIndent"/>
        <w:spacing w:before="120"/>
        <w:ind w:left="360"/>
        <w:rPr>
          <w:rFonts w:ascii="Times New Roman" w:hAnsi="Times New Roman"/>
        </w:rPr>
      </w:pPr>
    </w:p>
    <w:p w:rsidR="002C3C4F" w:rsidRPr="00C1712F" w:rsidP="00C1712F" w14:paraId="4E81A83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C1712F">
        <w:rPr>
          <w:rFonts w:ascii="Times New Roman" w:hAnsi="Times New Roman"/>
          <w:b/>
          <w:snapToGrid/>
          <w:sz w:val="24"/>
          <w:szCs w:val="24"/>
        </w:rPr>
        <w:t>Exceptions to Certification for Paperwork Reduction Act Submissions</w:t>
      </w:r>
    </w:p>
    <w:p w:rsidR="00EC698B" w:rsidRPr="004F7B95" w:rsidP="00C1712F" w14:paraId="5F1F3ACB" w14:textId="77777777">
      <w:pPr>
        <w:pStyle w:val="BodyTextIndent"/>
        <w:ind w:left="360"/>
        <w:rPr>
          <w:rFonts w:ascii="Times New Roman" w:hAnsi="Times New Roman"/>
        </w:rPr>
      </w:pPr>
      <w:r w:rsidRPr="005E4725">
        <w:rPr>
          <w:rFonts w:ascii="Times New Roman" w:hAnsi="Times New Roman"/>
        </w:rPr>
        <w:t>There are no exceptions to the certification.</w:t>
      </w:r>
    </w:p>
    <w:sectPr w:rsidSect="00986B80">
      <w:footerReference w:type="default" r:id="rId11"/>
      <w:endnotePr>
        <w:numFmt w:val="decimal"/>
      </w:endnotePr>
      <w:pgSz w:w="12240" w:h="15840"/>
      <w:pgMar w:top="1440" w:right="1440" w:bottom="1008"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95D31" w14:paraId="5570DEFB" w14:textId="77777777">
      <w:pPr>
        <w:spacing w:line="20" w:lineRule="exact"/>
        <w:rPr>
          <w:sz w:val="24"/>
        </w:rPr>
      </w:pPr>
    </w:p>
  </w:endnote>
  <w:endnote w:type="continuationSeparator" w:id="1">
    <w:p w:rsidR="00D95D31" w14:paraId="082C22DA" w14:textId="77777777">
      <w:r>
        <w:rPr>
          <w:sz w:val="24"/>
        </w:rPr>
        <w:t xml:space="preserve"> </w:t>
      </w:r>
    </w:p>
  </w:endnote>
  <w:endnote w:type="continuationNotice" w:id="2">
    <w:p w:rsidR="00D95D31" w14:paraId="14B82BC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93865D2" w14:textId="77777777">
    <w:pPr>
      <w:spacing w:before="140" w:line="100" w:lineRule="exact"/>
      <w:rPr>
        <w:sz w:val="10"/>
      </w:rPr>
    </w:pPr>
  </w:p>
  <w:p w:rsidR="00DC1C23" w14:paraId="63A71A34" w14:textId="77777777">
    <w:pPr>
      <w:tabs>
        <w:tab w:val="left" w:pos="-720"/>
      </w:tabs>
      <w:suppressAutoHyphens/>
      <w:rPr>
        <w:sz w:val="24"/>
      </w:rPr>
    </w:pPr>
  </w:p>
  <w:p w:rsidR="00DC1C23" w14:paraId="1CA532D5" w14:textId="653A31A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66A52">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61BC95BD"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66A52">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5D31" w14:paraId="6A499968" w14:textId="77777777">
      <w:r>
        <w:rPr>
          <w:sz w:val="24"/>
        </w:rPr>
        <w:separator/>
      </w:r>
    </w:p>
  </w:footnote>
  <w:footnote w:type="continuationSeparator" w:id="1">
    <w:p w:rsidR="00D95D31" w14:paraId="1ED08C8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A876FE"/>
    <w:multiLevelType w:val="hybridMultilevel"/>
    <w:tmpl w:val="8EDC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6B5A89"/>
    <w:multiLevelType w:val="hybridMultilevel"/>
    <w:tmpl w:val="FC6430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8"/>
  </w:num>
  <w:num w:numId="10">
    <w:abstractNumId w:val="10"/>
  </w:num>
  <w:num w:numId="11">
    <w:abstractNumId w:val="8"/>
  </w:num>
  <w:num w:numId="12">
    <w:abstractNumId w:val="0"/>
  </w:num>
  <w:num w:numId="13">
    <w:abstractNumId w:val="19"/>
  </w:num>
  <w:num w:numId="14">
    <w:abstractNumId w:val="1"/>
  </w:num>
  <w:num w:numId="15">
    <w:abstractNumId w:val="3"/>
  </w:num>
  <w:num w:numId="16">
    <w:abstractNumId w:val="15"/>
  </w:num>
  <w:num w:numId="17">
    <w:abstractNumId w:val="20"/>
  </w:num>
  <w:num w:numId="18">
    <w:abstractNumId w:val="4"/>
  </w:num>
  <w:num w:numId="19">
    <w:abstractNumId w:val="17"/>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270F"/>
    <w:rsid w:val="0006340A"/>
    <w:rsid w:val="00072D73"/>
    <w:rsid w:val="0009007E"/>
    <w:rsid w:val="00096C0C"/>
    <w:rsid w:val="000B06C4"/>
    <w:rsid w:val="000E4734"/>
    <w:rsid w:val="000F069F"/>
    <w:rsid w:val="000F2B30"/>
    <w:rsid w:val="00102200"/>
    <w:rsid w:val="001337B5"/>
    <w:rsid w:val="0014145B"/>
    <w:rsid w:val="00160621"/>
    <w:rsid w:val="00186385"/>
    <w:rsid w:val="00197845"/>
    <w:rsid w:val="001B2E96"/>
    <w:rsid w:val="001C483C"/>
    <w:rsid w:val="001C7FFE"/>
    <w:rsid w:val="001D1651"/>
    <w:rsid w:val="001D4B3B"/>
    <w:rsid w:val="001E2CCB"/>
    <w:rsid w:val="002175E6"/>
    <w:rsid w:val="00222C7F"/>
    <w:rsid w:val="00226C42"/>
    <w:rsid w:val="00234235"/>
    <w:rsid w:val="002464EB"/>
    <w:rsid w:val="002509BD"/>
    <w:rsid w:val="0025360B"/>
    <w:rsid w:val="00261C7D"/>
    <w:rsid w:val="00290A1C"/>
    <w:rsid w:val="00291C80"/>
    <w:rsid w:val="0029589B"/>
    <w:rsid w:val="00296738"/>
    <w:rsid w:val="002A3372"/>
    <w:rsid w:val="002B1662"/>
    <w:rsid w:val="002C3C4F"/>
    <w:rsid w:val="002E10D1"/>
    <w:rsid w:val="003405A4"/>
    <w:rsid w:val="0035226F"/>
    <w:rsid w:val="00354319"/>
    <w:rsid w:val="0038209B"/>
    <w:rsid w:val="003B2B91"/>
    <w:rsid w:val="003B7A50"/>
    <w:rsid w:val="003C1D6E"/>
    <w:rsid w:val="003D4D39"/>
    <w:rsid w:val="003E6EA3"/>
    <w:rsid w:val="003F6ECD"/>
    <w:rsid w:val="00400367"/>
    <w:rsid w:val="00405C10"/>
    <w:rsid w:val="004110F5"/>
    <w:rsid w:val="0042381B"/>
    <w:rsid w:val="004602FE"/>
    <w:rsid w:val="00467954"/>
    <w:rsid w:val="00467D70"/>
    <w:rsid w:val="00476C1F"/>
    <w:rsid w:val="00480072"/>
    <w:rsid w:val="004821E6"/>
    <w:rsid w:val="00490457"/>
    <w:rsid w:val="0049119A"/>
    <w:rsid w:val="004943E0"/>
    <w:rsid w:val="004C1F00"/>
    <w:rsid w:val="004E45FB"/>
    <w:rsid w:val="004F45CE"/>
    <w:rsid w:val="004F7B95"/>
    <w:rsid w:val="005001E8"/>
    <w:rsid w:val="00511A1D"/>
    <w:rsid w:val="0051278C"/>
    <w:rsid w:val="0051701C"/>
    <w:rsid w:val="00522C18"/>
    <w:rsid w:val="00541E51"/>
    <w:rsid w:val="005520C3"/>
    <w:rsid w:val="005537B3"/>
    <w:rsid w:val="00556056"/>
    <w:rsid w:val="00566A52"/>
    <w:rsid w:val="005824BD"/>
    <w:rsid w:val="005931D2"/>
    <w:rsid w:val="00597023"/>
    <w:rsid w:val="00597E7F"/>
    <w:rsid w:val="005B22D4"/>
    <w:rsid w:val="005C1D57"/>
    <w:rsid w:val="005C4324"/>
    <w:rsid w:val="005C60F1"/>
    <w:rsid w:val="005D1B7E"/>
    <w:rsid w:val="005D274E"/>
    <w:rsid w:val="005D61DB"/>
    <w:rsid w:val="005E0B35"/>
    <w:rsid w:val="005E4725"/>
    <w:rsid w:val="005F0ED4"/>
    <w:rsid w:val="00603498"/>
    <w:rsid w:val="00624B32"/>
    <w:rsid w:val="00634E1D"/>
    <w:rsid w:val="00637A6F"/>
    <w:rsid w:val="00640565"/>
    <w:rsid w:val="00645E3C"/>
    <w:rsid w:val="00650366"/>
    <w:rsid w:val="00650B5E"/>
    <w:rsid w:val="00651F0F"/>
    <w:rsid w:val="00660382"/>
    <w:rsid w:val="00673CAE"/>
    <w:rsid w:val="00681E38"/>
    <w:rsid w:val="00693450"/>
    <w:rsid w:val="006B1006"/>
    <w:rsid w:val="006B2726"/>
    <w:rsid w:val="006D1643"/>
    <w:rsid w:val="006D5CB2"/>
    <w:rsid w:val="006E6629"/>
    <w:rsid w:val="006E7AD3"/>
    <w:rsid w:val="006F41B1"/>
    <w:rsid w:val="006F589F"/>
    <w:rsid w:val="006F68BE"/>
    <w:rsid w:val="00707AFB"/>
    <w:rsid w:val="007252B9"/>
    <w:rsid w:val="00737675"/>
    <w:rsid w:val="00762C40"/>
    <w:rsid w:val="007655D1"/>
    <w:rsid w:val="00786793"/>
    <w:rsid w:val="00790D2C"/>
    <w:rsid w:val="00791D65"/>
    <w:rsid w:val="007935D5"/>
    <w:rsid w:val="007A0FBE"/>
    <w:rsid w:val="007C277D"/>
    <w:rsid w:val="007E48CC"/>
    <w:rsid w:val="0080325F"/>
    <w:rsid w:val="00810506"/>
    <w:rsid w:val="00814DB2"/>
    <w:rsid w:val="00824492"/>
    <w:rsid w:val="00841BDF"/>
    <w:rsid w:val="0084609A"/>
    <w:rsid w:val="00846E18"/>
    <w:rsid w:val="00887F1D"/>
    <w:rsid w:val="008900A8"/>
    <w:rsid w:val="008955AC"/>
    <w:rsid w:val="008B1EC1"/>
    <w:rsid w:val="008C2C0F"/>
    <w:rsid w:val="008F0228"/>
    <w:rsid w:val="009102CC"/>
    <w:rsid w:val="009113FF"/>
    <w:rsid w:val="0093104E"/>
    <w:rsid w:val="00936A53"/>
    <w:rsid w:val="009451B1"/>
    <w:rsid w:val="00945B72"/>
    <w:rsid w:val="00954360"/>
    <w:rsid w:val="00957799"/>
    <w:rsid w:val="00962045"/>
    <w:rsid w:val="00964F22"/>
    <w:rsid w:val="00966622"/>
    <w:rsid w:val="0098492F"/>
    <w:rsid w:val="00986B80"/>
    <w:rsid w:val="009B4B41"/>
    <w:rsid w:val="009C2DE1"/>
    <w:rsid w:val="009C5CD2"/>
    <w:rsid w:val="009D7A6D"/>
    <w:rsid w:val="009E524F"/>
    <w:rsid w:val="009E6157"/>
    <w:rsid w:val="009F5543"/>
    <w:rsid w:val="009F58E1"/>
    <w:rsid w:val="00A04EF3"/>
    <w:rsid w:val="00A160B5"/>
    <w:rsid w:val="00A60130"/>
    <w:rsid w:val="00A61AC0"/>
    <w:rsid w:val="00A6329E"/>
    <w:rsid w:val="00A70844"/>
    <w:rsid w:val="00A7361D"/>
    <w:rsid w:val="00A77AC0"/>
    <w:rsid w:val="00A918E4"/>
    <w:rsid w:val="00AA7B9B"/>
    <w:rsid w:val="00AB0148"/>
    <w:rsid w:val="00AB0C83"/>
    <w:rsid w:val="00AD5ED7"/>
    <w:rsid w:val="00AE3686"/>
    <w:rsid w:val="00AF17DB"/>
    <w:rsid w:val="00AF399C"/>
    <w:rsid w:val="00AF4347"/>
    <w:rsid w:val="00AF5FE7"/>
    <w:rsid w:val="00B108FD"/>
    <w:rsid w:val="00B27347"/>
    <w:rsid w:val="00B51CE1"/>
    <w:rsid w:val="00B756A5"/>
    <w:rsid w:val="00B84243"/>
    <w:rsid w:val="00B86601"/>
    <w:rsid w:val="00B87973"/>
    <w:rsid w:val="00B91420"/>
    <w:rsid w:val="00BC59DC"/>
    <w:rsid w:val="00BD378C"/>
    <w:rsid w:val="00C02282"/>
    <w:rsid w:val="00C13BA6"/>
    <w:rsid w:val="00C1712F"/>
    <w:rsid w:val="00C22D3C"/>
    <w:rsid w:val="00C31B1F"/>
    <w:rsid w:val="00C36079"/>
    <w:rsid w:val="00C411B3"/>
    <w:rsid w:val="00C464CF"/>
    <w:rsid w:val="00CB001E"/>
    <w:rsid w:val="00CB1A12"/>
    <w:rsid w:val="00CB51C0"/>
    <w:rsid w:val="00CE53AB"/>
    <w:rsid w:val="00CE6B13"/>
    <w:rsid w:val="00CF5F38"/>
    <w:rsid w:val="00D02EF1"/>
    <w:rsid w:val="00D1090D"/>
    <w:rsid w:val="00D10B31"/>
    <w:rsid w:val="00D176EB"/>
    <w:rsid w:val="00D45BAE"/>
    <w:rsid w:val="00D552FE"/>
    <w:rsid w:val="00D60543"/>
    <w:rsid w:val="00D65809"/>
    <w:rsid w:val="00D67D80"/>
    <w:rsid w:val="00D806D3"/>
    <w:rsid w:val="00D93380"/>
    <w:rsid w:val="00D95D31"/>
    <w:rsid w:val="00D9648C"/>
    <w:rsid w:val="00DB2443"/>
    <w:rsid w:val="00DB481B"/>
    <w:rsid w:val="00DC1C23"/>
    <w:rsid w:val="00E01B4E"/>
    <w:rsid w:val="00E20912"/>
    <w:rsid w:val="00E36019"/>
    <w:rsid w:val="00E368FB"/>
    <w:rsid w:val="00E431DF"/>
    <w:rsid w:val="00E4383A"/>
    <w:rsid w:val="00E655DA"/>
    <w:rsid w:val="00EC698B"/>
    <w:rsid w:val="00ED782E"/>
    <w:rsid w:val="00EE7A83"/>
    <w:rsid w:val="00EF121C"/>
    <w:rsid w:val="00F02021"/>
    <w:rsid w:val="00F10B17"/>
    <w:rsid w:val="00F210CA"/>
    <w:rsid w:val="00F50390"/>
    <w:rsid w:val="00F7688D"/>
    <w:rsid w:val="00F83116"/>
    <w:rsid w:val="00FA5092"/>
    <w:rsid w:val="00FB4221"/>
    <w:rsid w:val="00FB7547"/>
    <w:rsid w:val="00FE0FDC"/>
    <w:rsid w:val="00FE35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237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rsid w:val="00A70844"/>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link w:val="BodyTextIndent"/>
    <w:uiPriority w:val="99"/>
    <w:rsid w:val="00A70844"/>
    <w:rPr>
      <w:rFonts w:ascii="Baskerville Old Face" w:hAnsi="Baskerville Old Face"/>
      <w:sz w:val="24"/>
      <w:szCs w:val="24"/>
    </w:rPr>
  </w:style>
  <w:style w:type="paragraph" w:styleId="BlockText">
    <w:name w:val="Block Text"/>
    <w:basedOn w:val="Normal"/>
    <w:rsid w:val="00B108FD"/>
    <w:pPr>
      <w:widowControl/>
      <w:ind w:left="1890" w:right="720"/>
    </w:pPr>
    <w:rPr>
      <w:rFonts w:ascii="Arial" w:hAnsi="Arial" w:cs="Arial"/>
      <w:snapToGrid/>
      <w:sz w:val="24"/>
    </w:rPr>
  </w:style>
  <w:style w:type="character" w:styleId="FollowedHyperlink">
    <w:name w:val="FollowedHyperlink"/>
    <w:rsid w:val="00B87973"/>
    <w:rPr>
      <w:color w:val="954F72"/>
      <w:u w:val="single"/>
    </w:rPr>
  </w:style>
  <w:style w:type="character" w:styleId="UnresolvedMention">
    <w:name w:val="Unresolved Mention"/>
    <w:basedOn w:val="DefaultParagraphFont"/>
    <w:uiPriority w:val="99"/>
    <w:semiHidden/>
    <w:unhideWhenUsed/>
    <w:rsid w:val="0062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1F918-3DAE-4480-A547-3159CE9B1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6C4DD-61F3-4BBD-9EAC-896FBA83B097}">
  <ds:schemaRefs>
    <ds:schemaRef ds:uri="http://schemas.openxmlformats.org/officeDocument/2006/bibliography"/>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2022-10-06T17:28:00Z</dcterms:created>
  <dcterms:modified xsi:type="dcterms:W3CDTF">2022-10-06T17:42:00Z</dcterms:modified>
</cp:coreProperties>
</file>