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7139" w:rsidP="00A63CB7" w14:paraId="7567D4BB" w14:textId="5B39B083">
      <w:pPr>
        <w:widowControl/>
        <w:tabs>
          <w:tab w:val="left" w:pos="360"/>
          <w:tab w:val="left" w:pos="720"/>
        </w:tabs>
        <w:jc w:val="center"/>
        <w:rPr>
          <w:rFonts w:ascii="Times New Roman" w:hAnsi="Times New Roman"/>
          <w:b/>
          <w:szCs w:val="24"/>
        </w:rPr>
      </w:pPr>
      <w:r w:rsidRPr="00600EEB">
        <w:rPr>
          <w:rFonts w:ascii="Times New Roman" w:hAnsi="Times New Roman"/>
          <w:b/>
          <w:szCs w:val="24"/>
        </w:rPr>
        <w:t xml:space="preserve">Supporting Statement </w:t>
      </w:r>
      <w:r w:rsidR="00CC6479">
        <w:rPr>
          <w:rFonts w:ascii="Times New Roman" w:hAnsi="Times New Roman"/>
          <w:b/>
          <w:szCs w:val="24"/>
        </w:rPr>
        <w:t>A</w:t>
      </w:r>
    </w:p>
    <w:p w:rsidR="00725C87" w:rsidP="00A63CB7" w14:paraId="4F358368" w14:textId="26D835B1">
      <w:pPr>
        <w:widowControl/>
        <w:tabs>
          <w:tab w:val="left" w:pos="360"/>
          <w:tab w:val="left" w:pos="720"/>
        </w:tabs>
        <w:jc w:val="center"/>
        <w:rPr>
          <w:rFonts w:ascii="Times New Roman" w:hAnsi="Times New Roman"/>
          <w:b/>
        </w:rPr>
      </w:pPr>
      <w:r>
        <w:rPr>
          <w:rFonts w:ascii="Times New Roman" w:hAnsi="Times New Roman"/>
          <w:b/>
          <w:szCs w:val="24"/>
        </w:rPr>
        <w:t>Protection of Marine Archaeological Resources Notice of Proposed Rulemaking</w:t>
      </w:r>
    </w:p>
    <w:p w:rsidR="007B7139" w:rsidP="00F1483F" w14:paraId="106B4389" w14:textId="55FE2565">
      <w:pPr>
        <w:widowControl/>
        <w:tabs>
          <w:tab w:val="left" w:pos="360"/>
          <w:tab w:val="left" w:pos="720"/>
        </w:tabs>
        <w:jc w:val="center"/>
        <w:rPr>
          <w:rFonts w:ascii="Times New Roman" w:hAnsi="Times New Roman"/>
          <w:b/>
        </w:rPr>
      </w:pPr>
      <w:r>
        <w:rPr>
          <w:rFonts w:ascii="Times New Roman" w:hAnsi="Times New Roman"/>
          <w:b/>
        </w:rPr>
        <w:t xml:space="preserve">30 CFR </w:t>
      </w:r>
      <w:r w:rsidR="00E904B3">
        <w:rPr>
          <w:rFonts w:ascii="Times New Roman" w:hAnsi="Times New Roman"/>
          <w:b/>
        </w:rPr>
        <w:t>5</w:t>
      </w:r>
      <w:r>
        <w:rPr>
          <w:rFonts w:ascii="Times New Roman" w:hAnsi="Times New Roman"/>
          <w:b/>
        </w:rPr>
        <w:t>50, Subpart A</w:t>
      </w:r>
    </w:p>
    <w:p w:rsidR="007B7139" w:rsidP="00A63CB7" w14:paraId="7E0A9FA7" w14:textId="6603E825">
      <w:pPr>
        <w:widowControl/>
        <w:tabs>
          <w:tab w:val="left" w:pos="360"/>
          <w:tab w:val="left" w:pos="720"/>
        </w:tabs>
        <w:jc w:val="center"/>
        <w:rPr>
          <w:rFonts w:ascii="Times New Roman" w:hAnsi="Times New Roman"/>
          <w:b/>
        </w:rPr>
      </w:pPr>
      <w:r>
        <w:rPr>
          <w:rFonts w:ascii="Times New Roman" w:hAnsi="Times New Roman"/>
          <w:b/>
        </w:rPr>
        <w:t>OMB Control Number 1010-</w:t>
      </w:r>
      <w:r w:rsidR="00F1483F">
        <w:rPr>
          <w:rFonts w:ascii="Times New Roman" w:hAnsi="Times New Roman"/>
          <w:b/>
        </w:rPr>
        <w:t>NEW</w:t>
      </w:r>
    </w:p>
    <w:p w:rsidR="00725C87" w:rsidP="00AE6045" w14:paraId="77411940" w14:textId="77777777">
      <w:pPr>
        <w:widowControl/>
        <w:tabs>
          <w:tab w:val="center" w:pos="4680"/>
        </w:tabs>
        <w:rPr>
          <w:rFonts w:ascii="Arial" w:hAnsi="Arial" w:cs="Arial"/>
          <w:b/>
          <w:sz w:val="22"/>
          <w:szCs w:val="22"/>
        </w:rPr>
      </w:pPr>
    </w:p>
    <w:p w:rsidR="00E04EE4" w:rsidP="00AE6045" w14:paraId="0D56EDD9" w14:textId="4F908B69">
      <w:pPr>
        <w:widowControl/>
        <w:tabs>
          <w:tab w:val="center" w:pos="4680"/>
        </w:tabs>
        <w:rPr>
          <w:rFonts w:ascii="Arial" w:hAnsi="Arial" w:cs="Arial"/>
          <w:b/>
          <w:sz w:val="22"/>
          <w:szCs w:val="22"/>
        </w:rPr>
      </w:pPr>
      <w:r>
        <w:rPr>
          <w:rFonts w:ascii="Arial" w:hAnsi="Arial" w:cs="Arial"/>
          <w:b/>
          <w:sz w:val="22"/>
          <w:szCs w:val="22"/>
        </w:rPr>
        <w:t>Terms of Clearance</w:t>
      </w:r>
      <w:r w:rsidR="00F12A00">
        <w:rPr>
          <w:rFonts w:ascii="Arial" w:hAnsi="Arial" w:cs="Arial"/>
          <w:b/>
          <w:sz w:val="22"/>
          <w:szCs w:val="22"/>
        </w:rPr>
        <w:t>: None</w:t>
      </w:r>
    </w:p>
    <w:p w:rsidR="005A7397" w:rsidP="00AE6045" w14:paraId="5AEF4312" w14:textId="77777777">
      <w:pPr>
        <w:widowControl/>
        <w:tabs>
          <w:tab w:val="center" w:pos="4680"/>
        </w:tabs>
        <w:rPr>
          <w:rFonts w:ascii="Arial" w:hAnsi="Arial" w:cs="Arial"/>
          <w:b/>
          <w:sz w:val="22"/>
          <w:szCs w:val="22"/>
        </w:rPr>
      </w:pPr>
    </w:p>
    <w:p w:rsidR="005A7397" w:rsidRPr="00F362C3" w:rsidP="005A7397" w14:paraId="27ECEDF2"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E6045" w:rsidP="00AE6045" w14:paraId="47711FAD" w14:textId="77777777">
      <w:pPr>
        <w:widowControl/>
        <w:tabs>
          <w:tab w:val="center" w:pos="4680"/>
        </w:tabs>
        <w:rPr>
          <w:rFonts w:ascii="Times New Roman" w:hAnsi="Times New Roman"/>
          <w:b/>
        </w:rPr>
      </w:pPr>
    </w:p>
    <w:p w:rsidR="00AE6045" w:rsidP="00AE6045" w14:paraId="59D9039E" w14:textId="77777777">
      <w:pPr>
        <w:widowControl/>
        <w:tabs>
          <w:tab w:val="center" w:pos="4680"/>
        </w:tabs>
        <w:rPr>
          <w:rFonts w:ascii="Times New Roman" w:hAnsi="Times New Roman"/>
        </w:rPr>
      </w:pPr>
      <w:r>
        <w:rPr>
          <w:rFonts w:ascii="Times New Roman" w:hAnsi="Times New Roman"/>
        </w:rPr>
        <w:t>A Supporting Statement, including the text of the notice to the public required by 5 CFR 1320.5(a)(</w:t>
      </w:r>
      <w:r>
        <w:rPr>
          <w:rFonts w:ascii="Times New Roman" w:hAnsi="Times New Roman"/>
        </w:rPr>
        <w:t>i</w:t>
      </w:r>
      <w:r>
        <w:rPr>
          <w:rFonts w:ascii="Times New Roman" w:hAnsi="Times New Roman"/>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w:t>
      </w:r>
      <w:r w:rsidR="00746A48">
        <w:rPr>
          <w:rFonts w:ascii="Times New Roman" w:hAnsi="Times New Roman"/>
        </w:rPr>
        <w:t>statistical methods are employed</w:t>
      </w:r>
      <w:r>
        <w:rPr>
          <w:rFonts w:ascii="Times New Roman" w:hAnsi="Times New Roman"/>
        </w:rPr>
        <w:t xml:space="preserve">, Section B of the Supporting Statement must be completed.  </w:t>
      </w:r>
      <w:r w:rsidR="006F59CD">
        <w:rPr>
          <w:rFonts w:ascii="Times New Roman" w:hAnsi="Times New Roman"/>
        </w:rPr>
        <w:t xml:space="preserve">The </w:t>
      </w:r>
      <w:r>
        <w:rPr>
          <w:rFonts w:ascii="Times New Roman" w:hAnsi="Times New Roman"/>
        </w:rPr>
        <w:t>OMB reserves the right to require the submission of additional information with respect to any request for approval.</w:t>
      </w:r>
    </w:p>
    <w:p w:rsidR="00E25E73" w:rsidP="00AE6045" w14:paraId="65B0F148" w14:textId="77777777">
      <w:pPr>
        <w:widowControl/>
        <w:tabs>
          <w:tab w:val="center" w:pos="4680"/>
        </w:tabs>
        <w:rPr>
          <w:rFonts w:ascii="Arial" w:hAnsi="Arial" w:cs="Arial"/>
          <w:b/>
          <w:sz w:val="22"/>
          <w:szCs w:val="22"/>
        </w:rPr>
      </w:pPr>
    </w:p>
    <w:p w:rsidR="00AE6045" w:rsidP="00AE6045" w14:paraId="636C96EA" w14:textId="13134A4D">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DE1BDA" w:rsidRPr="00F362C3" w:rsidP="00AE6045" w14:paraId="3939C80C" w14:textId="77777777">
      <w:pPr>
        <w:widowControl/>
        <w:tabs>
          <w:tab w:val="center" w:pos="4680"/>
        </w:tabs>
        <w:rPr>
          <w:rFonts w:ascii="Arial" w:hAnsi="Arial" w:cs="Arial"/>
          <w:b/>
          <w:sz w:val="22"/>
          <w:szCs w:val="22"/>
        </w:rPr>
      </w:pPr>
    </w:p>
    <w:p w:rsidR="00DE1BDA" w:rsidRPr="00DE1BDA" w:rsidP="00DE1BDA" w14:paraId="42B66D5E" w14:textId="77777777">
      <w:pPr>
        <w:widowControl/>
        <w:tabs>
          <w:tab w:val="center" w:pos="4680"/>
        </w:tabs>
        <w:rPr>
          <w:rFonts w:ascii="Times New Roman" w:hAnsi="Times New Roman"/>
          <w:b/>
          <w:szCs w:val="24"/>
          <w:u w:val="single"/>
        </w:rPr>
      </w:pPr>
      <w:r w:rsidRPr="00DE1BDA">
        <w:rPr>
          <w:rFonts w:ascii="Times New Roman" w:hAnsi="Times New Roman"/>
          <w:b/>
          <w:szCs w:val="24"/>
          <w:u w:val="single"/>
        </w:rPr>
        <w:t>Introduction</w:t>
      </w:r>
    </w:p>
    <w:p w:rsidR="00DE1BDA" w:rsidP="00DE1BDA" w14:paraId="6B8E86F6" w14:textId="77777777">
      <w:pPr>
        <w:widowControl/>
        <w:tabs>
          <w:tab w:val="center" w:pos="4680"/>
        </w:tabs>
        <w:rPr>
          <w:rFonts w:ascii="Times New Roman" w:hAnsi="Times New Roman"/>
          <w:bCs/>
          <w:szCs w:val="24"/>
        </w:rPr>
      </w:pPr>
    </w:p>
    <w:p w:rsidR="0070251F" w:rsidRPr="0070251F" w:rsidP="0070251F" w14:paraId="1A9C2A69" w14:textId="77777777">
      <w:pPr>
        <w:widowControl/>
        <w:tabs>
          <w:tab w:val="center" w:pos="4680"/>
        </w:tabs>
        <w:rPr>
          <w:rFonts w:ascii="Times New Roman" w:hAnsi="Times New Roman"/>
          <w:bCs/>
          <w:szCs w:val="24"/>
        </w:rPr>
      </w:pPr>
      <w:r>
        <w:rPr>
          <w:rFonts w:ascii="Times New Roman" w:hAnsi="Times New Roman"/>
          <w:bCs/>
          <w:szCs w:val="24"/>
        </w:rPr>
        <w:t xml:space="preserve">Through a notice of proposed rulemaking, </w:t>
      </w:r>
      <w:r w:rsidR="001F70F7">
        <w:rPr>
          <w:rFonts w:ascii="Times New Roman" w:hAnsi="Times New Roman"/>
          <w:bCs/>
          <w:szCs w:val="24"/>
        </w:rPr>
        <w:t xml:space="preserve">the </w:t>
      </w:r>
      <w:r w:rsidR="00216FE7">
        <w:rPr>
          <w:rFonts w:ascii="Times New Roman" w:hAnsi="Times New Roman"/>
          <w:bCs/>
          <w:szCs w:val="24"/>
        </w:rPr>
        <w:t>Bureau of Ocean Energy Management (</w:t>
      </w:r>
      <w:r w:rsidRPr="005E5C44">
        <w:rPr>
          <w:rFonts w:ascii="Times New Roman" w:hAnsi="Times New Roman"/>
          <w:bCs/>
          <w:szCs w:val="24"/>
        </w:rPr>
        <w:t>BOEM</w:t>
      </w:r>
      <w:r w:rsidR="00216FE7">
        <w:rPr>
          <w:rFonts w:ascii="Times New Roman" w:hAnsi="Times New Roman"/>
          <w:bCs/>
          <w:szCs w:val="24"/>
        </w:rPr>
        <w:t>)</w:t>
      </w:r>
      <w:r w:rsidRPr="005E5C44">
        <w:rPr>
          <w:rFonts w:ascii="Times New Roman" w:hAnsi="Times New Roman"/>
          <w:bCs/>
          <w:szCs w:val="24"/>
        </w:rPr>
        <w:t xml:space="preserve"> is proposing to require </w:t>
      </w:r>
      <w:r w:rsidR="00F90703">
        <w:rPr>
          <w:rFonts w:ascii="Times New Roman" w:hAnsi="Times New Roman"/>
          <w:bCs/>
          <w:szCs w:val="24"/>
        </w:rPr>
        <w:t xml:space="preserve">lessees and </w:t>
      </w:r>
      <w:r w:rsidRPr="005E5C44">
        <w:rPr>
          <w:rFonts w:ascii="Times New Roman" w:hAnsi="Times New Roman"/>
          <w:bCs/>
          <w:szCs w:val="24"/>
        </w:rPr>
        <w:t>operators to submit an archaeological report with any oil and gas exploration or development plan they submit to BOEM for approval of activities proposed on the Outer Continental Shelf (OCS). An archaeological report is currently required only if the plan covers an area that the BOEM Regional Director has reason to believe may contain an archaeological resource. This proposed rule would increase the likelihood that archaeological resources are located and identified before they are inadvertently damaged by an OCS operator and thereby assure compliance with the N</w:t>
      </w:r>
      <w:r>
        <w:rPr>
          <w:rFonts w:ascii="Times New Roman" w:hAnsi="Times New Roman"/>
          <w:bCs/>
          <w:szCs w:val="24"/>
        </w:rPr>
        <w:t xml:space="preserve">ational </w:t>
      </w:r>
      <w:r w:rsidRPr="005E5C44">
        <w:rPr>
          <w:rFonts w:ascii="Times New Roman" w:hAnsi="Times New Roman"/>
          <w:bCs/>
          <w:szCs w:val="24"/>
        </w:rPr>
        <w:t>H</w:t>
      </w:r>
      <w:r>
        <w:rPr>
          <w:rFonts w:ascii="Times New Roman" w:hAnsi="Times New Roman"/>
          <w:bCs/>
          <w:szCs w:val="24"/>
        </w:rPr>
        <w:t xml:space="preserve">istoric </w:t>
      </w:r>
      <w:r w:rsidRPr="005E5C44">
        <w:rPr>
          <w:rFonts w:ascii="Times New Roman" w:hAnsi="Times New Roman"/>
          <w:bCs/>
          <w:szCs w:val="24"/>
        </w:rPr>
        <w:t>P</w:t>
      </w:r>
      <w:r>
        <w:rPr>
          <w:rFonts w:ascii="Times New Roman" w:hAnsi="Times New Roman"/>
          <w:bCs/>
          <w:szCs w:val="24"/>
        </w:rPr>
        <w:t xml:space="preserve">reservation </w:t>
      </w:r>
      <w:r w:rsidRPr="005E5C44">
        <w:rPr>
          <w:rFonts w:ascii="Times New Roman" w:hAnsi="Times New Roman"/>
          <w:bCs/>
          <w:szCs w:val="24"/>
        </w:rPr>
        <w:t>A</w:t>
      </w:r>
      <w:r>
        <w:rPr>
          <w:rFonts w:ascii="Times New Roman" w:hAnsi="Times New Roman"/>
          <w:bCs/>
          <w:szCs w:val="24"/>
        </w:rPr>
        <w:t>ct</w:t>
      </w:r>
      <w:r w:rsidR="001F70F7">
        <w:rPr>
          <w:rFonts w:ascii="Times New Roman" w:hAnsi="Times New Roman"/>
          <w:bCs/>
          <w:szCs w:val="24"/>
        </w:rPr>
        <w:t xml:space="preserve"> (NHPA)</w:t>
      </w:r>
      <w:r w:rsidRPr="005E5C44">
        <w:rPr>
          <w:rFonts w:ascii="Times New Roman" w:hAnsi="Times New Roman"/>
          <w:bCs/>
          <w:szCs w:val="24"/>
        </w:rPr>
        <w:t xml:space="preserve">. </w:t>
      </w:r>
      <w:r w:rsidRPr="0070251F">
        <w:rPr>
          <w:rFonts w:ascii="Times New Roman" w:hAnsi="Times New Roman"/>
          <w:bCs/>
          <w:szCs w:val="24"/>
        </w:rPr>
        <w:t>This proposed rule would define the minimum level of survey information necessary to support the conclusions in the archaeological report, the procedure for reporting possible archaeological resources, the procedure for continuing operations when a possible resource is present, and what to do if an unanticipated archaeological resource is discovered during operation.</w:t>
      </w:r>
    </w:p>
    <w:p w:rsidR="00AE6045" w:rsidP="00AE6045" w14:paraId="57E68B9D" w14:textId="77777777">
      <w:pPr>
        <w:widowControl/>
        <w:tabs>
          <w:tab w:val="center" w:pos="4680"/>
        </w:tabs>
        <w:rPr>
          <w:rFonts w:ascii="Times New Roman" w:hAnsi="Times New Roman"/>
          <w:b/>
        </w:rPr>
      </w:pPr>
    </w:p>
    <w:p w:rsidR="00AE6045" w:rsidP="00AE6045" w14:paraId="4286E27F"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AE6045" w:rsidRPr="00EB51C3" w:rsidP="00AE6045" w14:paraId="4BAC0185" w14:textId="77777777">
      <w:pPr>
        <w:widowControl/>
        <w:tabs>
          <w:tab w:val="left" w:pos="-1080"/>
          <w:tab w:val="left" w:pos="-720"/>
          <w:tab w:val="left" w:pos="360"/>
          <w:tab w:val="left" w:pos="720"/>
        </w:tabs>
        <w:rPr>
          <w:rFonts w:ascii="Times New Roman" w:hAnsi="Times New Roman"/>
        </w:rPr>
      </w:pPr>
    </w:p>
    <w:p w:rsidR="001564F1" w:rsidP="001564F1" w14:paraId="20C32DE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E6045" w:rsidP="00AE6045" w14:paraId="7AC59212" w14:textId="4FD23F37">
      <w:pPr>
        <w:widowControl/>
        <w:tabs>
          <w:tab w:val="left" w:pos="-1080"/>
          <w:tab w:val="left" w:pos="-720"/>
          <w:tab w:val="left" w:pos="360"/>
          <w:tab w:val="left" w:pos="720"/>
        </w:tabs>
        <w:rPr>
          <w:rFonts w:ascii="Times New Roman" w:hAnsi="Times New Roman"/>
        </w:rPr>
      </w:pPr>
    </w:p>
    <w:p w:rsidR="00DE1BDA" w:rsidP="00DE1BDA" w14:paraId="2570E61F" w14:textId="77777777">
      <w:pPr>
        <w:widowControl/>
        <w:tabs>
          <w:tab w:val="center" w:pos="4680"/>
        </w:tabs>
        <w:rPr>
          <w:rFonts w:ascii="Arial" w:hAnsi="Arial" w:cs="Arial"/>
          <w:b/>
          <w:sz w:val="22"/>
          <w:szCs w:val="22"/>
        </w:rPr>
      </w:pPr>
      <w:r>
        <w:rPr>
          <w:rFonts w:ascii="Arial" w:hAnsi="Arial" w:cs="Arial"/>
          <w:b/>
          <w:sz w:val="22"/>
          <w:szCs w:val="22"/>
        </w:rPr>
        <w:t>Introduction</w:t>
      </w:r>
    </w:p>
    <w:p w:rsidR="00DE1BDA" w:rsidP="00DE1BDA" w14:paraId="7739084D" w14:textId="77777777">
      <w:pPr>
        <w:widowControl/>
        <w:tabs>
          <w:tab w:val="center" w:pos="4680"/>
        </w:tabs>
        <w:rPr>
          <w:rFonts w:ascii="Times New Roman" w:hAnsi="Times New Roman"/>
          <w:bCs/>
          <w:szCs w:val="24"/>
        </w:rPr>
      </w:pPr>
    </w:p>
    <w:p w:rsidR="00B92A40" w:rsidRPr="00B92A40" w:rsidP="00FC10AD" w14:paraId="6A9EE6C0" w14:textId="77777777">
      <w:pPr>
        <w:widowControl/>
        <w:tabs>
          <w:tab w:val="center" w:pos="4680"/>
        </w:tabs>
        <w:rPr>
          <w:rFonts w:ascii="Times New Roman" w:hAnsi="Times New Roman"/>
          <w:bCs/>
          <w:i/>
          <w:iCs/>
          <w:szCs w:val="24"/>
        </w:rPr>
      </w:pPr>
      <w:r w:rsidRPr="00B92A40">
        <w:rPr>
          <w:rFonts w:ascii="Times New Roman" w:hAnsi="Times New Roman"/>
          <w:bCs/>
          <w:i/>
          <w:iCs/>
          <w:szCs w:val="24"/>
        </w:rPr>
        <w:t>Notice of Proposed Rulemaking</w:t>
      </w:r>
    </w:p>
    <w:p w:rsidR="00FC10AD" w:rsidP="00FC10AD" w14:paraId="6EDD881F" w14:textId="5DC8D1B0">
      <w:pPr>
        <w:widowControl/>
        <w:tabs>
          <w:tab w:val="center" w:pos="4680"/>
        </w:tabs>
        <w:rPr>
          <w:rFonts w:ascii="Times New Roman" w:hAnsi="Times New Roman"/>
          <w:bCs/>
          <w:szCs w:val="24"/>
        </w:rPr>
      </w:pPr>
      <w:r>
        <w:rPr>
          <w:rFonts w:ascii="Times New Roman" w:hAnsi="Times New Roman"/>
          <w:bCs/>
          <w:szCs w:val="24"/>
        </w:rPr>
        <w:t xml:space="preserve">Through the rulemaking process, BOEM is updating the 30 CFR 550 regulations pertaining to the protections of marine archaeological resources. </w:t>
      </w:r>
      <w:r w:rsidRPr="00DE1BDA" w:rsidR="00DE1BDA">
        <w:rPr>
          <w:rFonts w:ascii="Times New Roman" w:hAnsi="Times New Roman"/>
          <w:bCs/>
          <w:szCs w:val="24"/>
        </w:rPr>
        <w:t>Th</w:t>
      </w:r>
      <w:r w:rsidR="00DE1BDA">
        <w:rPr>
          <w:rFonts w:ascii="Times New Roman" w:hAnsi="Times New Roman"/>
          <w:bCs/>
          <w:szCs w:val="24"/>
        </w:rPr>
        <w:t xml:space="preserve">e notice of </w:t>
      </w:r>
      <w:r w:rsidRPr="00DE1BDA" w:rsidR="00DE1BDA">
        <w:rPr>
          <w:rFonts w:ascii="Times New Roman" w:hAnsi="Times New Roman"/>
          <w:bCs/>
          <w:szCs w:val="24"/>
        </w:rPr>
        <w:t>proposed rule</w:t>
      </w:r>
      <w:r w:rsidR="00DE1BDA">
        <w:rPr>
          <w:rFonts w:ascii="Times New Roman" w:hAnsi="Times New Roman"/>
          <w:bCs/>
          <w:szCs w:val="24"/>
        </w:rPr>
        <w:t>making</w:t>
      </w:r>
      <w:r w:rsidR="00A54BD9">
        <w:rPr>
          <w:rFonts w:ascii="Times New Roman" w:hAnsi="Times New Roman"/>
          <w:bCs/>
          <w:szCs w:val="24"/>
        </w:rPr>
        <w:t xml:space="preserve"> references new and existing information collection requirements for regulations at 30 CFR 550, Subpart A. </w:t>
      </w:r>
      <w:r w:rsidRPr="00A54BD9" w:rsidR="00A54BD9">
        <w:rPr>
          <w:rFonts w:ascii="Times New Roman" w:hAnsi="Times New Roman"/>
          <w:bCs/>
          <w:szCs w:val="24"/>
        </w:rPr>
        <w:t xml:space="preserve">The ICs related to this rulemaking concern requirements under 30 CFR part 550, </w:t>
      </w:r>
      <w:r w:rsidRPr="00A54BD9" w:rsidR="00A54BD9">
        <w:rPr>
          <w:rFonts w:ascii="Times New Roman" w:hAnsi="Times New Roman"/>
          <w:bCs/>
          <w:szCs w:val="24"/>
        </w:rPr>
        <w:t>specifically 30 CFR 550.194</w:t>
      </w:r>
      <w:r w:rsidR="0070251F">
        <w:rPr>
          <w:rFonts w:ascii="Times New Roman" w:hAnsi="Times New Roman"/>
          <w:bCs/>
          <w:szCs w:val="24"/>
        </w:rPr>
        <w:t xml:space="preserve"> and 30 CFR 550.195</w:t>
      </w:r>
      <w:r w:rsidR="00A54BD9">
        <w:rPr>
          <w:rFonts w:ascii="Times New Roman" w:hAnsi="Times New Roman"/>
          <w:bCs/>
          <w:szCs w:val="24"/>
        </w:rPr>
        <w:t xml:space="preserve"> regard</w:t>
      </w:r>
      <w:r>
        <w:rPr>
          <w:rFonts w:ascii="Times New Roman" w:hAnsi="Times New Roman"/>
          <w:bCs/>
          <w:szCs w:val="24"/>
        </w:rPr>
        <w:t xml:space="preserve">ing archaeological reporting. </w:t>
      </w:r>
      <w:r w:rsidRPr="00FC10AD">
        <w:rPr>
          <w:rFonts w:ascii="Times New Roman" w:hAnsi="Times New Roman"/>
          <w:bCs/>
          <w:szCs w:val="24"/>
        </w:rPr>
        <w:t>This proposed rule would define the minimum level of survey information necessary to support the conclusions in the archaeological report, the procedure for reporting possible archaeological resources, the procedure for continuing operations when a possible resource is present, and what to do if an unanticipated archaeological resource is discovered during operation.</w:t>
      </w:r>
    </w:p>
    <w:p w:rsidR="005011D3" w:rsidP="00FC10AD" w14:paraId="7F424037" w14:textId="2BA676C4">
      <w:pPr>
        <w:widowControl/>
        <w:tabs>
          <w:tab w:val="center" w:pos="4680"/>
        </w:tabs>
        <w:rPr>
          <w:rFonts w:ascii="Times New Roman" w:hAnsi="Times New Roman"/>
          <w:bCs/>
          <w:szCs w:val="24"/>
        </w:rPr>
      </w:pPr>
    </w:p>
    <w:p w:rsidR="005011D3" w:rsidRPr="005011D3" w:rsidP="005011D3" w14:paraId="0624EFAA" w14:textId="7FFB60E2">
      <w:pPr>
        <w:widowControl/>
        <w:tabs>
          <w:tab w:val="center" w:pos="4680"/>
        </w:tabs>
        <w:rPr>
          <w:rFonts w:ascii="Times New Roman" w:hAnsi="Times New Roman"/>
          <w:bCs/>
          <w:szCs w:val="24"/>
        </w:rPr>
      </w:pPr>
      <w:r w:rsidRPr="005011D3">
        <w:rPr>
          <w:rFonts w:ascii="Times New Roman" w:hAnsi="Times New Roman"/>
          <w:bCs/>
          <w:szCs w:val="24"/>
        </w:rPr>
        <w:t xml:space="preserve">Section 106 of the NHPA requires federal agencies to consider the impacts its undertakings will have on historic properties. BOEM has concluded that modifying generally accepted survey practices and codifying the minimally acceptable methods would be the most effective method for </w:t>
      </w:r>
      <w:r>
        <w:rPr>
          <w:rFonts w:ascii="Times New Roman" w:hAnsi="Times New Roman"/>
          <w:bCs/>
          <w:szCs w:val="24"/>
        </w:rPr>
        <w:t>compliance to the NHPA</w:t>
      </w:r>
      <w:r w:rsidRPr="005011D3">
        <w:rPr>
          <w:rFonts w:ascii="Times New Roman" w:hAnsi="Times New Roman"/>
          <w:bCs/>
          <w:szCs w:val="24"/>
        </w:rPr>
        <w:t>. This proposed rule would increase the likelihood that an archaeological resource is located and identified before it is inadvertently damaged by an OCS operator</w:t>
      </w:r>
      <w:r w:rsidR="000424DA">
        <w:rPr>
          <w:rFonts w:ascii="Times New Roman" w:hAnsi="Times New Roman"/>
          <w:bCs/>
          <w:szCs w:val="24"/>
        </w:rPr>
        <w:t>.</w:t>
      </w:r>
    </w:p>
    <w:p w:rsidR="005011D3" w:rsidRPr="00FC10AD" w:rsidP="00FC10AD" w14:paraId="2C270F8D" w14:textId="77777777">
      <w:pPr>
        <w:widowControl/>
        <w:tabs>
          <w:tab w:val="center" w:pos="4680"/>
        </w:tabs>
        <w:rPr>
          <w:rFonts w:ascii="Times New Roman" w:hAnsi="Times New Roman"/>
          <w:bCs/>
          <w:szCs w:val="24"/>
        </w:rPr>
      </w:pPr>
    </w:p>
    <w:p w:rsidR="00B92A40" w:rsidRPr="00B92A40" w:rsidP="000424DA" w14:paraId="71AFBA2A" w14:textId="54950141">
      <w:pPr>
        <w:widowControl/>
        <w:tabs>
          <w:tab w:val="center" w:pos="4680"/>
        </w:tabs>
        <w:rPr>
          <w:rFonts w:ascii="Times New Roman" w:hAnsi="Times New Roman"/>
          <w:i/>
          <w:iCs/>
        </w:rPr>
      </w:pPr>
      <w:r>
        <w:rPr>
          <w:rFonts w:ascii="Times New Roman" w:hAnsi="Times New Roman"/>
          <w:i/>
          <w:iCs/>
        </w:rPr>
        <w:t>OMB Approved Control Number 1010-0114</w:t>
      </w:r>
    </w:p>
    <w:p w:rsidR="00A54BD9" w:rsidRPr="00AC4321" w:rsidP="00D10A54" w14:paraId="181D5213" w14:textId="31915E32">
      <w:pPr>
        <w:widowControl/>
        <w:tabs>
          <w:tab w:val="left" w:pos="360"/>
          <w:tab w:val="left" w:pos="720"/>
        </w:tabs>
        <w:rPr>
          <w:rFonts w:ascii="Times New Roman" w:hAnsi="Times New Roman"/>
        </w:rPr>
      </w:pPr>
      <w:r w:rsidRPr="00AC4321">
        <w:rPr>
          <w:rFonts w:ascii="Times New Roman" w:hAnsi="Times New Roman"/>
        </w:rPr>
        <w:t>Th</w:t>
      </w:r>
      <w:r w:rsidR="00DE1BDA">
        <w:rPr>
          <w:rFonts w:ascii="Times New Roman" w:hAnsi="Times New Roman"/>
        </w:rPr>
        <w:t>e existing OMB approved</w:t>
      </w:r>
      <w:r w:rsidRPr="00AC4321">
        <w:rPr>
          <w:rFonts w:ascii="Times New Roman" w:hAnsi="Times New Roman"/>
        </w:rPr>
        <w:t xml:space="preserve"> </w:t>
      </w:r>
      <w:r w:rsidR="005011D3">
        <w:rPr>
          <w:rFonts w:ascii="Times New Roman" w:hAnsi="Times New Roman"/>
        </w:rPr>
        <w:t>Control Number</w:t>
      </w:r>
      <w:r w:rsidRPr="00AC4321">
        <w:rPr>
          <w:rFonts w:ascii="Times New Roman" w:hAnsi="Times New Roman"/>
        </w:rPr>
        <w:t xml:space="preserve"> </w:t>
      </w:r>
      <w:r>
        <w:rPr>
          <w:rFonts w:ascii="Times New Roman" w:hAnsi="Times New Roman"/>
        </w:rPr>
        <w:t xml:space="preserve">1010-0114 </w:t>
      </w:r>
      <w:r w:rsidRPr="00AC4321">
        <w:rPr>
          <w:rFonts w:ascii="Times New Roman" w:hAnsi="Times New Roman"/>
        </w:rPr>
        <w:t xml:space="preserve">covers 30 CFR </w:t>
      </w:r>
      <w:r>
        <w:rPr>
          <w:rFonts w:ascii="Times New Roman" w:hAnsi="Times New Roman"/>
        </w:rPr>
        <w:t>5</w:t>
      </w:r>
      <w:r w:rsidRPr="00AC4321">
        <w:rPr>
          <w:rFonts w:ascii="Times New Roman" w:hAnsi="Times New Roman"/>
        </w:rPr>
        <w:t xml:space="preserve">50, </w:t>
      </w:r>
      <w:r>
        <w:rPr>
          <w:rFonts w:ascii="Times New Roman" w:hAnsi="Times New Roman"/>
        </w:rPr>
        <w:t>S</w:t>
      </w:r>
      <w:r w:rsidRPr="00AC4321">
        <w:rPr>
          <w:rFonts w:ascii="Times New Roman" w:hAnsi="Times New Roman"/>
        </w:rPr>
        <w:t>ubpart A, General</w:t>
      </w:r>
      <w:r>
        <w:rPr>
          <w:rFonts w:ascii="Times New Roman" w:hAnsi="Times New Roman"/>
        </w:rPr>
        <w:t>, and Subpart K, Oil and Gas Production Requirements, that deal with general regulatory requirements of oil, gas, and sul</w:t>
      </w:r>
      <w:r w:rsidR="00B46821">
        <w:rPr>
          <w:rFonts w:ascii="Times New Roman" w:hAnsi="Times New Roman"/>
        </w:rPr>
        <w:t>f</w:t>
      </w:r>
      <w:r>
        <w:rPr>
          <w:rFonts w:ascii="Times New Roman" w:hAnsi="Times New Roman"/>
        </w:rPr>
        <w:t>ur operations on the OCS</w:t>
      </w:r>
      <w:r w:rsidRPr="00AC4321">
        <w:rPr>
          <w:rFonts w:ascii="Times New Roman" w:hAnsi="Times New Roman"/>
        </w:rPr>
        <w:t xml:space="preserve">. </w:t>
      </w:r>
      <w:r>
        <w:rPr>
          <w:rFonts w:ascii="Times New Roman" w:hAnsi="Times New Roman"/>
        </w:rPr>
        <w:t xml:space="preserve">If this proposed rule becomes effective and OMB approves the information collection request, BOEM would </w:t>
      </w:r>
      <w:r w:rsidR="00D16D70">
        <w:rPr>
          <w:rFonts w:ascii="Times New Roman" w:hAnsi="Times New Roman"/>
        </w:rPr>
        <w:t>update</w:t>
      </w:r>
      <w:r>
        <w:rPr>
          <w:rFonts w:ascii="Times New Roman" w:hAnsi="Times New Roman"/>
        </w:rPr>
        <w:t xml:space="preserve"> the existing OMB Control Number 1010-0114 for the Subpart A </w:t>
      </w:r>
      <w:r w:rsidR="00D16D70">
        <w:rPr>
          <w:rFonts w:ascii="Times New Roman" w:hAnsi="Times New Roman"/>
        </w:rPr>
        <w:t>by transferring the new</w:t>
      </w:r>
      <w:r>
        <w:rPr>
          <w:rFonts w:ascii="Times New Roman" w:hAnsi="Times New Roman"/>
        </w:rPr>
        <w:t xml:space="preserve"> the annual burden hours.</w:t>
      </w:r>
    </w:p>
    <w:p w:rsidR="00D10A54" w:rsidP="00AE6045" w14:paraId="70DCDD41" w14:textId="77777777">
      <w:pPr>
        <w:widowControl/>
        <w:tabs>
          <w:tab w:val="left" w:pos="-1080"/>
          <w:tab w:val="left" w:pos="-720"/>
          <w:tab w:val="left" w:pos="360"/>
          <w:tab w:val="left" w:pos="720"/>
        </w:tabs>
        <w:rPr>
          <w:rFonts w:ascii="Times New Roman" w:hAnsi="Times New Roman"/>
        </w:rPr>
      </w:pPr>
    </w:p>
    <w:p w:rsidR="009A6AF1" w:rsidP="009A6AF1" w14:paraId="71A03B3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AE6045" w14:paraId="2B0B9B2C" w14:textId="77777777">
      <w:pPr>
        <w:widowControl/>
        <w:tabs>
          <w:tab w:val="left" w:pos="360"/>
          <w:tab w:val="left" w:pos="720"/>
        </w:tabs>
        <w:rPr>
          <w:rFonts w:ascii="Times New Roman" w:hAnsi="Times New Roman"/>
          <w:b/>
        </w:rPr>
      </w:pPr>
    </w:p>
    <w:p w:rsidR="000424DA" w:rsidRPr="000424DA" w:rsidP="000424DA" w14:paraId="10EAA8CB" w14:textId="68B1A869">
      <w:pPr>
        <w:widowControl/>
        <w:tabs>
          <w:tab w:val="left" w:pos="360"/>
          <w:tab w:val="left" w:pos="720"/>
        </w:tabs>
        <w:rPr>
          <w:rFonts w:ascii="Times New Roman" w:hAnsi="Times New Roman"/>
          <w:i/>
          <w:iCs/>
        </w:rPr>
      </w:pPr>
      <w:r>
        <w:rPr>
          <w:rFonts w:ascii="Times New Roman" w:hAnsi="Times New Roman"/>
          <w:i/>
          <w:iCs/>
        </w:rPr>
        <w:t>Notice of Proposed Rulemaking</w:t>
      </w:r>
    </w:p>
    <w:p w:rsidR="000424DA" w:rsidP="000424DA" w14:paraId="08AC3DE2" w14:textId="505D165B">
      <w:pPr>
        <w:widowControl/>
        <w:tabs>
          <w:tab w:val="left" w:pos="360"/>
          <w:tab w:val="left" w:pos="720"/>
        </w:tabs>
        <w:rPr>
          <w:rFonts w:ascii="Times New Roman" w:hAnsi="Times New Roman"/>
        </w:rPr>
      </w:pPr>
      <w:r w:rsidRPr="000424DA">
        <w:rPr>
          <w:rFonts w:ascii="Times New Roman" w:hAnsi="Times New Roman"/>
        </w:rPr>
        <w:t xml:space="preserve">BOEM’s existing regulations require an archaeological report to be submitted with an Exploration Plan, a Development Operations Coordination Document, a Development and Production Plan, or other authorization issued by BOEM to permit the disturbance of the seafloor when the BOEM Regional Director has a “reason to believe” that an archaeological resource may be present. BOEM interprets such a “reason to believe” determination as requiring the Regional Director to either have evidence that such a resource is present or to utilize a predictive model that indicates the resource is likely to be present in the area.  </w:t>
      </w:r>
    </w:p>
    <w:p w:rsidR="00A54BD9" w:rsidRPr="000424DA" w:rsidP="000424DA" w14:paraId="71730196" w14:textId="77777777">
      <w:pPr>
        <w:widowControl/>
        <w:tabs>
          <w:tab w:val="left" w:pos="360"/>
          <w:tab w:val="left" w:pos="720"/>
        </w:tabs>
        <w:rPr>
          <w:rFonts w:ascii="Times New Roman" w:hAnsi="Times New Roman"/>
        </w:rPr>
      </w:pPr>
    </w:p>
    <w:p w:rsidR="000424DA" w:rsidRPr="000424DA" w:rsidP="000424DA" w14:paraId="52CEAE5D" w14:textId="3E5B6BB7">
      <w:pPr>
        <w:widowControl/>
        <w:tabs>
          <w:tab w:val="left" w:pos="360"/>
          <w:tab w:val="left" w:pos="720"/>
        </w:tabs>
        <w:rPr>
          <w:rFonts w:ascii="Times New Roman" w:hAnsi="Times New Roman"/>
        </w:rPr>
      </w:pPr>
      <w:r w:rsidRPr="000424DA">
        <w:rPr>
          <w:rFonts w:ascii="Times New Roman" w:hAnsi="Times New Roman"/>
        </w:rPr>
        <w:t>Prior to 2005, BOEM’s regulation stated: “If it is likely that an archaeological resource exists in the lease area, the Regional Director will notify you in writing.” That regulation was revised in 2005 to clarify the basis upon which the Regional Director would require an archaeological survey. The regulation was revised to state “If the Regional Director has reason to believe that an archaeological resource may exist in the lease area, the Regional Director will notify you in writing.” In explaining the revision, the preamble to the proposed rule (70 FR 14607 March 23, 2005) clarified the basis upon which the Regional Director would invoke the requirement for an archaeological survey on a lease area.</w:t>
      </w:r>
    </w:p>
    <w:p w:rsidR="000424DA" w:rsidP="000424DA" w14:paraId="00C2144E" w14:textId="77777777">
      <w:pPr>
        <w:widowControl/>
        <w:tabs>
          <w:tab w:val="left" w:pos="360"/>
          <w:tab w:val="left" w:pos="720"/>
        </w:tabs>
        <w:rPr>
          <w:rFonts w:ascii="Times New Roman" w:hAnsi="Times New Roman"/>
        </w:rPr>
      </w:pPr>
    </w:p>
    <w:p w:rsidR="000424DA" w:rsidRPr="000424DA" w:rsidP="000424DA" w14:paraId="5E040684" w14:textId="47F4E81E">
      <w:pPr>
        <w:widowControl/>
        <w:tabs>
          <w:tab w:val="left" w:pos="360"/>
          <w:tab w:val="left" w:pos="720"/>
        </w:tabs>
        <w:rPr>
          <w:rFonts w:ascii="Times New Roman" w:hAnsi="Times New Roman"/>
        </w:rPr>
      </w:pPr>
      <w:r w:rsidRPr="000424DA">
        <w:rPr>
          <w:rFonts w:ascii="Times New Roman" w:hAnsi="Times New Roman"/>
        </w:rPr>
        <w:t>In 2011, BOEM implemented new pre-seabed identification strategy for archaeology surveys in the G</w:t>
      </w:r>
      <w:r w:rsidR="001F70F7">
        <w:rPr>
          <w:rFonts w:ascii="Times New Roman" w:hAnsi="Times New Roman"/>
        </w:rPr>
        <w:t>ulf of Mexico R</w:t>
      </w:r>
      <w:r w:rsidRPr="000424DA">
        <w:rPr>
          <w:rFonts w:ascii="Times New Roman" w:hAnsi="Times New Roman"/>
        </w:rPr>
        <w:t xml:space="preserve">egion that were applied, when appropriate, to plans in lease areas outside of </w:t>
      </w:r>
      <w:r w:rsidRPr="000424DA">
        <w:rPr>
          <w:rFonts w:ascii="Times New Roman" w:hAnsi="Times New Roman"/>
        </w:rPr>
        <w:t>BOEM’s archaeological resource predictive model. These requirements included guidance that prior to conducting any bottom-disturbing activity on the OCS that could damage archaeological resources, operators should perform a survey of the area of the seafloor on which the activities were to take place and prepare an archaeological assessment of where these bottom disturbing activities are likely to occur. High resolution geophysical surveys are routinely utilized in the offshore environment to identify the presence or absence of potential geological and man-made hazards, sensitive biological habitats, and marine archaeological resources.  In keeping with professional standards that have evolved since the existing regulations were adopted, the proposed revision to the marine archaeological regulations would define the minimum level of survey information necessary to support the conclusions in the archaeological report.  The proposed changes are necessary to fulfill BOEM’s “reasonable and good faith identification effort” under the</w:t>
      </w:r>
      <w:r w:rsidR="00BF3374">
        <w:rPr>
          <w:rFonts w:ascii="Times New Roman" w:hAnsi="Times New Roman"/>
        </w:rPr>
        <w:t xml:space="preserve"> </w:t>
      </w:r>
      <w:r w:rsidRPr="000424DA">
        <w:rPr>
          <w:rFonts w:ascii="Times New Roman" w:hAnsi="Times New Roman"/>
        </w:rPr>
        <w:t xml:space="preserve">NHPA and to develop appropriate mitigations to avoid damaging historic and archaeological resources under NEPA. </w:t>
      </w:r>
    </w:p>
    <w:p w:rsidR="000424DA" w:rsidP="00B854D8" w14:paraId="7828DCDA" w14:textId="13365D55">
      <w:pPr>
        <w:widowControl/>
        <w:tabs>
          <w:tab w:val="left" w:pos="360"/>
          <w:tab w:val="left" w:pos="720"/>
        </w:tabs>
        <w:rPr>
          <w:rFonts w:ascii="Times New Roman" w:hAnsi="Times New Roman"/>
        </w:rPr>
      </w:pPr>
    </w:p>
    <w:p w:rsidR="00B51138" w:rsidRPr="007A7833" w:rsidP="00B51138" w14:paraId="55B01DAE" w14:textId="77777777">
      <w:pPr>
        <w:widowControl/>
        <w:tabs>
          <w:tab w:val="left" w:pos="-1080"/>
          <w:tab w:val="left" w:pos="-720"/>
          <w:tab w:val="left" w:pos="360"/>
          <w:tab w:val="left" w:pos="720"/>
        </w:tabs>
        <w:rPr>
          <w:rFonts w:ascii="Times New Roman" w:hAnsi="Times New Roman"/>
          <w:i/>
          <w:snapToGrid/>
        </w:rPr>
      </w:pPr>
      <w:r w:rsidRPr="00600EEB">
        <w:rPr>
          <w:rFonts w:ascii="Times New Roman" w:hAnsi="Times New Roman"/>
          <w:b/>
          <w:i/>
        </w:rPr>
        <w:t>3.</w:t>
      </w:r>
      <w:r w:rsidRPr="00600EEB">
        <w:rPr>
          <w:rFonts w:ascii="Times New Roman" w:hAnsi="Times New Roman"/>
          <w:b/>
          <w:i/>
        </w:rPr>
        <w:tab/>
      </w:r>
      <w:r w:rsidRPr="007A7833">
        <w:rPr>
          <w:rFonts w:ascii="Times New Roman" w:hAnsi="Times New Roman"/>
          <w:b/>
          <w:i/>
          <w:snapToGrid/>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7A7833">
        <w:rPr>
          <w:rFonts w:ascii="Times New Roman" w:hAnsi="Times New Roman"/>
          <w:i/>
          <w:snapToGrid/>
        </w:rPr>
        <w:t xml:space="preserve"> </w:t>
      </w:r>
    </w:p>
    <w:p w:rsidR="00B51138" w:rsidP="00B51138" w14:paraId="606F906C" w14:textId="77777777">
      <w:pPr>
        <w:widowControl/>
        <w:tabs>
          <w:tab w:val="left" w:pos="360"/>
          <w:tab w:val="left" w:pos="720"/>
          <w:tab w:val="left" w:pos="1080"/>
        </w:tabs>
        <w:rPr>
          <w:rFonts w:ascii="Times New Roman" w:hAnsi="Times New Roman"/>
          <w:b/>
        </w:rPr>
      </w:pPr>
    </w:p>
    <w:p w:rsidR="00AE6045" w:rsidP="00AE6045" w14:paraId="330474DF" w14:textId="6E649E89">
      <w:pPr>
        <w:widowControl/>
        <w:tabs>
          <w:tab w:val="left" w:pos="-1080"/>
          <w:tab w:val="left" w:pos="-720"/>
          <w:tab w:val="left" w:pos="360"/>
          <w:tab w:val="left" w:pos="720"/>
        </w:tabs>
        <w:rPr>
          <w:rFonts w:ascii="Times New Roman" w:hAnsi="Times New Roman"/>
        </w:rPr>
      </w:pPr>
      <w:r>
        <w:rPr>
          <w:rFonts w:ascii="Times New Roman" w:hAnsi="Times New Roman"/>
        </w:rPr>
        <w:t xml:space="preserve">BOEM encourages respondents </w:t>
      </w:r>
      <w:r w:rsidR="00063FDB">
        <w:rPr>
          <w:rFonts w:ascii="Times New Roman" w:hAnsi="Times New Roman"/>
        </w:rPr>
        <w:t xml:space="preserve">to </w:t>
      </w:r>
      <w:r>
        <w:rPr>
          <w:rFonts w:ascii="Times New Roman" w:hAnsi="Times New Roman"/>
        </w:rPr>
        <w:t xml:space="preserve">submit </w:t>
      </w:r>
      <w:r w:rsidR="00063FDB">
        <w:rPr>
          <w:rFonts w:ascii="Times New Roman" w:hAnsi="Times New Roman"/>
        </w:rPr>
        <w:t xml:space="preserve">the information </w:t>
      </w:r>
      <w:r>
        <w:rPr>
          <w:rFonts w:ascii="Times New Roman" w:hAnsi="Times New Roman"/>
        </w:rPr>
        <w:t>electronically.</w:t>
      </w:r>
      <w:r w:rsidR="00063FDB">
        <w:rPr>
          <w:rFonts w:ascii="Times New Roman" w:hAnsi="Times New Roman"/>
        </w:rPr>
        <w:t xml:space="preserve"> We estimate that 90 percent or more of the information would be collected electronically.</w:t>
      </w:r>
      <w:r>
        <w:rPr>
          <w:rFonts w:ascii="Times New Roman" w:hAnsi="Times New Roman"/>
        </w:rPr>
        <w:t xml:space="preserve">  </w:t>
      </w:r>
    </w:p>
    <w:p w:rsidR="00AE6045" w:rsidP="003A1C55" w14:paraId="4D046F98" w14:textId="77777777">
      <w:pPr>
        <w:widowControl/>
        <w:tabs>
          <w:tab w:val="left" w:pos="-1080"/>
          <w:tab w:val="left" w:pos="-720"/>
          <w:tab w:val="left" w:pos="360"/>
          <w:tab w:val="left" w:pos="720"/>
        </w:tabs>
        <w:rPr>
          <w:rFonts w:ascii="Times New Roman" w:hAnsi="Times New Roman"/>
          <w:b/>
        </w:rPr>
      </w:pPr>
    </w:p>
    <w:p w:rsidR="0020091B" w:rsidRPr="00600EEB" w:rsidP="0020091B" w14:paraId="3E39F93A"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28406F" w14:paraId="511B0C32" w14:textId="77777777">
      <w:pPr>
        <w:widowControl/>
        <w:tabs>
          <w:tab w:val="left" w:pos="360"/>
          <w:tab w:val="left" w:pos="720"/>
        </w:tabs>
        <w:rPr>
          <w:rFonts w:ascii="Times New Roman" w:hAnsi="Times New Roman"/>
        </w:rPr>
      </w:pPr>
    </w:p>
    <w:p w:rsidR="007B7139" w:rsidRPr="00AE6045" w14:paraId="15AFCA1C" w14:textId="19799A4C">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w:t>
      </w:r>
      <w:r w:rsidRPr="001D35C0">
        <w:rPr>
          <w:rFonts w:ascii="Times New Roman" w:hAnsi="Times New Roman"/>
        </w:rPr>
        <w:t xml:space="preserve">that define responsibilities </w:t>
      </w:r>
      <w:r w:rsidRPr="001D35C0" w:rsidR="001D35C0">
        <w:rPr>
          <w:rFonts w:ascii="Times New Roman" w:hAnsi="Times New Roman"/>
        </w:rPr>
        <w:t>with</w:t>
      </w:r>
      <w:r w:rsidRPr="001D35C0">
        <w:rPr>
          <w:rFonts w:ascii="Times New Roman" w:hAnsi="Times New Roman"/>
        </w:rPr>
        <w:t xml:space="preserve"> </w:t>
      </w:r>
      <w:r w:rsidRPr="001D35C0" w:rsidR="0028406F">
        <w:rPr>
          <w:rFonts w:ascii="Times New Roman" w:hAnsi="Times New Roman"/>
        </w:rPr>
        <w:t>other</w:t>
      </w:r>
      <w:r w:rsidRPr="001D35C0">
        <w:rPr>
          <w:rFonts w:ascii="Times New Roman" w:hAnsi="Times New Roman"/>
        </w:rPr>
        <w:t xml:space="preserve"> agenc</w:t>
      </w:r>
      <w:r w:rsidRPr="001D35C0" w:rsidR="0028406F">
        <w:rPr>
          <w:rFonts w:ascii="Times New Roman" w:hAnsi="Times New Roman"/>
        </w:rPr>
        <w:t>ies</w:t>
      </w:r>
      <w:r w:rsidRPr="001D35C0">
        <w:rPr>
          <w:rFonts w:ascii="Times New Roman" w:hAnsi="Times New Roman"/>
        </w:rPr>
        <w:t xml:space="preserve"> with respect to activities in the OCS. These MOU</w:t>
      </w:r>
      <w:r>
        <w:rPr>
          <w:rFonts w:ascii="Times New Roman" w:hAnsi="Times New Roman"/>
        </w:rPr>
        <w:t xml:space="preserve"> are effective in avoiding duplication of regulations and reporting requirements.</w:t>
      </w:r>
      <w:r>
        <w:rPr>
          <w:rFonts w:ascii="Times New Roman" w:hAnsi="Times New Roman"/>
          <w:b/>
        </w:rPr>
        <w:t xml:space="preserve"> </w:t>
      </w:r>
      <w:r>
        <w:rPr>
          <w:rFonts w:ascii="Times New Roman" w:hAnsi="Times New Roman"/>
        </w:rPr>
        <w:t>The information colle</w:t>
      </w:r>
      <w:r w:rsidR="00701F8C">
        <w:rPr>
          <w:rFonts w:ascii="Times New Roman" w:hAnsi="Times New Roman"/>
        </w:rPr>
        <w:t>cted</w:t>
      </w:r>
      <w:r>
        <w:rPr>
          <w:rFonts w:ascii="Times New Roman" w:hAnsi="Times New Roman"/>
        </w:rPr>
        <w:t xml:space="preserve"> is specific to a lease, a </w:t>
      </w:r>
      <w:r w:rsidR="00DF592D">
        <w:rPr>
          <w:rFonts w:ascii="Times New Roman" w:hAnsi="Times New Roman"/>
        </w:rPr>
        <w:t>lessee/</w:t>
      </w:r>
      <w:r>
        <w:rPr>
          <w:rFonts w:ascii="Times New Roman" w:hAnsi="Times New Roman"/>
        </w:rPr>
        <w:t xml:space="preserve">operator, or a particular request for </w:t>
      </w:r>
      <w:r w:rsidR="00C15FC8">
        <w:rPr>
          <w:rFonts w:ascii="Times New Roman" w:hAnsi="Times New Roman"/>
        </w:rPr>
        <w:t>BOEM</w:t>
      </w:r>
      <w:r>
        <w:rPr>
          <w:rFonts w:ascii="Times New Roman" w:hAnsi="Times New Roman"/>
        </w:rPr>
        <w:t xml:space="preserve"> approval and is unique to the site.  </w:t>
      </w:r>
    </w:p>
    <w:p w:rsidR="007B7139" w14:paraId="13E955E3" w14:textId="77777777">
      <w:pPr>
        <w:widowControl/>
        <w:tabs>
          <w:tab w:val="left" w:pos="360"/>
          <w:tab w:val="left" w:pos="720"/>
        </w:tabs>
        <w:rPr>
          <w:rFonts w:ascii="Times New Roman" w:hAnsi="Times New Roman"/>
        </w:rPr>
      </w:pPr>
    </w:p>
    <w:p w:rsidR="00CF519D" w:rsidRPr="00323421" w:rsidP="00CF519D" w14:paraId="7990A467" w14:textId="77777777">
      <w:pPr>
        <w:widowControl/>
        <w:tabs>
          <w:tab w:val="left" w:pos="-1080"/>
          <w:tab w:val="left" w:pos="-720"/>
          <w:tab w:val="left" w:pos="360"/>
          <w:tab w:val="left" w:pos="720"/>
        </w:tabs>
        <w:rPr>
          <w:rFonts w:ascii="Times New Roman" w:hAnsi="Times New Roman"/>
          <w:i/>
          <w:snapToGrid/>
        </w:rPr>
      </w:pPr>
      <w:r w:rsidRPr="00323421">
        <w:rPr>
          <w:rFonts w:ascii="Times New Roman" w:hAnsi="Times New Roman"/>
          <w:b/>
          <w:i/>
          <w:snapToGrid/>
        </w:rPr>
        <w:t>5.</w:t>
      </w:r>
      <w:r w:rsidRPr="00323421">
        <w:rPr>
          <w:rFonts w:ascii="Times New Roman" w:hAnsi="Times New Roman"/>
          <w:b/>
          <w:i/>
          <w:snapToGrid/>
        </w:rPr>
        <w:tab/>
        <w:t xml:space="preserve">If the collection of information impacts small businesses or other small entities, describe any methods used to minimize burden. </w:t>
      </w:r>
      <w:r w:rsidRPr="00323421">
        <w:rPr>
          <w:rFonts w:ascii="Times New Roman" w:hAnsi="Times New Roman"/>
          <w:i/>
          <w:snapToGrid/>
        </w:rPr>
        <w:t xml:space="preserve">  </w:t>
      </w:r>
    </w:p>
    <w:p w:rsidR="00AE6045" w:rsidP="00467207" w14:paraId="3CFFF370" w14:textId="3F788170">
      <w:pPr>
        <w:widowControl/>
        <w:tabs>
          <w:tab w:val="left" w:pos="-1080"/>
          <w:tab w:val="left" w:pos="-720"/>
          <w:tab w:val="left" w:pos="360"/>
          <w:tab w:val="left" w:pos="720"/>
        </w:tabs>
        <w:rPr>
          <w:rFonts w:ascii="Times New Roman" w:hAnsi="Times New Roman"/>
          <w:b/>
        </w:rPr>
      </w:pPr>
    </w:p>
    <w:p w:rsidR="00537589" w:rsidRPr="00537589" w:rsidP="00537589" w14:paraId="5876FA27" w14:textId="54F05498">
      <w:pPr>
        <w:widowControl/>
        <w:tabs>
          <w:tab w:val="left" w:pos="-1080"/>
          <w:tab w:val="left" w:pos="-720"/>
          <w:tab w:val="left" w:pos="360"/>
          <w:tab w:val="left" w:pos="720"/>
        </w:tabs>
        <w:rPr>
          <w:rFonts w:ascii="Times New Roman" w:hAnsi="Times New Roman"/>
          <w:bCs/>
          <w:i/>
          <w:iCs/>
        </w:rPr>
      </w:pPr>
      <w:r>
        <w:rPr>
          <w:rFonts w:ascii="Times New Roman" w:hAnsi="Times New Roman"/>
          <w:bCs/>
          <w:i/>
          <w:iCs/>
        </w:rPr>
        <w:t>Notice of Proposed Rulemaking</w:t>
      </w:r>
    </w:p>
    <w:p w:rsidR="00537589" w:rsidP="00537589" w14:paraId="0F7C3582" w14:textId="345AB7AC">
      <w:pPr>
        <w:widowControl/>
        <w:tabs>
          <w:tab w:val="left" w:pos="-1080"/>
          <w:tab w:val="left" w:pos="-720"/>
          <w:tab w:val="left" w:pos="360"/>
          <w:tab w:val="left" w:pos="720"/>
        </w:tabs>
        <w:rPr>
          <w:rFonts w:ascii="Times New Roman" w:hAnsi="Times New Roman"/>
          <w:bCs/>
        </w:rPr>
      </w:pPr>
      <w:r w:rsidRPr="00537589">
        <w:rPr>
          <w:rFonts w:ascii="Times New Roman" w:hAnsi="Times New Roman"/>
          <w:bCs/>
        </w:rPr>
        <w:t xml:space="preserve">The regulatory updates will not create additional paperwork burdens to small or other entities operating in OCS areas under BOEM’s regulatory authority, although they are expected to increase the time required to process, interpret, and report the results of each survey. The effect of this proposed rule is simply to clarify requirements and update BOEM regulations to reflect current practices consistent with the NHPA. Because lease operators have already been conducting HRG surveys and conducting the archaeological analysis consistent with the proposed regulatory requirements in this rule since at least 2011, BOEM does not anticipate that these regulatory updates will have a significant economic impact on small or large operators.  </w:t>
      </w:r>
    </w:p>
    <w:p w:rsidR="00537589" w:rsidP="00537589" w14:paraId="22E8C2DA" w14:textId="77777777">
      <w:pPr>
        <w:widowControl/>
        <w:tabs>
          <w:tab w:val="left" w:pos="-1080"/>
          <w:tab w:val="left" w:pos="-720"/>
          <w:tab w:val="left" w:pos="360"/>
          <w:tab w:val="left" w:pos="720"/>
        </w:tabs>
        <w:rPr>
          <w:rFonts w:ascii="Times New Roman" w:hAnsi="Times New Roman"/>
          <w:bCs/>
        </w:rPr>
      </w:pPr>
    </w:p>
    <w:p w:rsidR="00537589" w:rsidRPr="00537589" w:rsidP="00537589" w14:paraId="5897B4B8" w14:textId="174515DB">
      <w:pPr>
        <w:widowControl/>
        <w:tabs>
          <w:tab w:val="left" w:pos="-1080"/>
          <w:tab w:val="left" w:pos="-720"/>
          <w:tab w:val="left" w:pos="360"/>
          <w:tab w:val="left" w:pos="720"/>
        </w:tabs>
        <w:rPr>
          <w:rFonts w:ascii="Times New Roman" w:hAnsi="Times New Roman"/>
          <w:bCs/>
        </w:rPr>
      </w:pPr>
      <w:r w:rsidRPr="00537589">
        <w:rPr>
          <w:rFonts w:ascii="Times New Roman" w:hAnsi="Times New Roman"/>
          <w:bCs/>
        </w:rPr>
        <w:t>The proposed rule does not change the professional skills necessary for preparation of archaeological reports, however these reports must be completed by individuals who meet the Secretary of the Interior’s Professional Qualification Standards, as required by regulations implementing the NHPA. The only material regulatory compliance cost is expected for surveys conducted in less than or equal to 100 meters of water depth which will require tighter line spacing to detect potential archaeological resources.</w:t>
      </w:r>
    </w:p>
    <w:p w:rsidR="00FC10AD" w:rsidRPr="00FC10AD" w:rsidP="00467207" w14:paraId="0D0A7544" w14:textId="77777777">
      <w:pPr>
        <w:widowControl/>
        <w:tabs>
          <w:tab w:val="left" w:pos="-1080"/>
          <w:tab w:val="left" w:pos="-720"/>
          <w:tab w:val="left" w:pos="360"/>
          <w:tab w:val="left" w:pos="720"/>
        </w:tabs>
        <w:rPr>
          <w:rFonts w:ascii="Times New Roman" w:hAnsi="Times New Roman"/>
          <w:bCs/>
        </w:rPr>
      </w:pPr>
    </w:p>
    <w:p w:rsidR="001E03D8" w:rsidRPr="00D64DB3" w:rsidP="001E03D8" w14:paraId="1E728249" w14:textId="77777777">
      <w:pPr>
        <w:widowControl/>
        <w:tabs>
          <w:tab w:val="left" w:pos="-1080"/>
          <w:tab w:val="left" w:pos="-720"/>
          <w:tab w:val="left" w:pos="360"/>
          <w:tab w:val="left" w:pos="720"/>
        </w:tabs>
        <w:rPr>
          <w:rFonts w:ascii="Times New Roman" w:hAnsi="Times New Roman"/>
          <w:snapToGrid/>
        </w:rPr>
      </w:pPr>
      <w:r w:rsidRPr="00430B25">
        <w:rPr>
          <w:rFonts w:ascii="Times New Roman" w:hAnsi="Times New Roman"/>
          <w:b/>
          <w:i/>
          <w:snapToGrid/>
        </w:rPr>
        <w:t>6.</w:t>
      </w:r>
      <w:r w:rsidRPr="00430B25">
        <w:rPr>
          <w:rFonts w:ascii="Times New Roman" w:hAnsi="Times New Roman"/>
          <w:b/>
          <w:i/>
          <w:snapToGrid/>
        </w:rPr>
        <w:tab/>
        <w:t>Describe the consequence to Federal program or policy activities if the collection is not conducted or is conducted less frequently, as well as any technical or legal obstacles to reducing burden.</w:t>
      </w:r>
      <w:r w:rsidRPr="00430B25">
        <w:rPr>
          <w:rFonts w:ascii="Times New Roman" w:hAnsi="Times New Roman"/>
          <w:snapToGrid/>
        </w:rPr>
        <w:t xml:space="preserve">  </w:t>
      </w:r>
      <w:r w:rsidRPr="00D64DB3">
        <w:rPr>
          <w:rFonts w:ascii="Times New Roman" w:hAnsi="Times New Roman"/>
          <w:b/>
          <w:i/>
          <w:snapToGrid/>
        </w:rPr>
        <w:t xml:space="preserve"> </w:t>
      </w:r>
      <w:r w:rsidRPr="00D64DB3">
        <w:rPr>
          <w:rFonts w:ascii="Times New Roman" w:hAnsi="Times New Roman"/>
          <w:i/>
          <w:snapToGrid/>
        </w:rPr>
        <w:t xml:space="preserve">  </w:t>
      </w:r>
    </w:p>
    <w:p w:rsidR="000C7AF5" w:rsidP="000C7AF5" w14:paraId="29FCF077" w14:textId="77777777">
      <w:pPr>
        <w:widowControl/>
        <w:tabs>
          <w:tab w:val="left" w:pos="-1080"/>
          <w:tab w:val="left" w:pos="-720"/>
          <w:tab w:val="left" w:pos="360"/>
          <w:tab w:val="left" w:pos="720"/>
        </w:tabs>
        <w:rPr>
          <w:rFonts w:ascii="Times New Roman" w:hAnsi="Times New Roman"/>
        </w:rPr>
      </w:pPr>
    </w:p>
    <w:p w:rsidR="007B7139" w:rsidRPr="0035468A" w14:paraId="67A1E16D" w14:textId="26D7274D">
      <w:pPr>
        <w:widowControl/>
        <w:tabs>
          <w:tab w:val="left" w:pos="360"/>
          <w:tab w:val="left" w:pos="720"/>
        </w:tabs>
        <w:rPr>
          <w:rFonts w:ascii="Times New Roman" w:hAnsi="Times New Roman"/>
          <w:szCs w:val="24"/>
        </w:rPr>
      </w:pPr>
      <w:r>
        <w:rPr>
          <w:rFonts w:ascii="Times New Roman" w:hAnsi="Times New Roman"/>
          <w:szCs w:val="24"/>
        </w:rPr>
        <w:t>If w</w:t>
      </w:r>
      <w:r w:rsidRPr="0035468A" w:rsidR="0035468A">
        <w:rPr>
          <w:rFonts w:ascii="Times New Roman" w:hAnsi="Times New Roman"/>
          <w:szCs w:val="24"/>
        </w:rPr>
        <w:t xml:space="preserve">e </w:t>
      </w:r>
      <w:r w:rsidRPr="0035468A">
        <w:rPr>
          <w:rFonts w:ascii="Times New Roman" w:hAnsi="Times New Roman"/>
          <w:szCs w:val="24"/>
        </w:rPr>
        <w:t xml:space="preserve">did not collect the information, </w:t>
      </w:r>
      <w:r w:rsidR="00C15FC8">
        <w:rPr>
          <w:rFonts w:ascii="Times New Roman" w:hAnsi="Times New Roman"/>
          <w:szCs w:val="24"/>
        </w:rPr>
        <w:t>BOEM</w:t>
      </w:r>
      <w:r w:rsidRPr="0035468A">
        <w:rPr>
          <w:rFonts w:ascii="Times New Roman" w:hAnsi="Times New Roman"/>
          <w:szCs w:val="24"/>
        </w:rPr>
        <w:t xml:space="preserve"> would be unable to carry out the mandate of the </w:t>
      </w:r>
      <w:r w:rsidR="00063FDB">
        <w:rPr>
          <w:rFonts w:ascii="Times New Roman" w:hAnsi="Times New Roman"/>
          <w:szCs w:val="24"/>
        </w:rPr>
        <w:t xml:space="preserve">Outer Continental Shelf </w:t>
      </w:r>
      <w:r w:rsidRPr="0035468A">
        <w:rPr>
          <w:rFonts w:ascii="Times New Roman" w:hAnsi="Times New Roman"/>
          <w:szCs w:val="24"/>
        </w:rPr>
        <w:t xml:space="preserve">Lands Act </w:t>
      </w:r>
      <w:r w:rsidRPr="0035468A" w:rsidR="00DC0EA1">
        <w:rPr>
          <w:rFonts w:ascii="Times New Roman" w:hAnsi="Times New Roman"/>
          <w:szCs w:val="24"/>
        </w:rPr>
        <w:t xml:space="preserve">effectively </w:t>
      </w:r>
      <w:r w:rsidRPr="0035468A">
        <w:rPr>
          <w:rFonts w:ascii="Times New Roman" w:hAnsi="Times New Roman"/>
          <w:szCs w:val="24"/>
        </w:rPr>
        <w:t xml:space="preserve">and </w:t>
      </w:r>
      <w:r w:rsidR="00DC0EA1">
        <w:rPr>
          <w:rFonts w:ascii="Times New Roman" w:hAnsi="Times New Roman"/>
          <w:szCs w:val="24"/>
        </w:rPr>
        <w:t xml:space="preserve">to </w:t>
      </w:r>
      <w:r w:rsidRPr="0035468A">
        <w:rPr>
          <w:rFonts w:ascii="Times New Roman" w:hAnsi="Times New Roman"/>
          <w:szCs w:val="24"/>
        </w:rPr>
        <w:t>administer the offshore program with regard to determining well produc</w:t>
      </w:r>
      <w:r w:rsidR="0035468A">
        <w:rPr>
          <w:rFonts w:ascii="Times New Roman" w:hAnsi="Times New Roman"/>
          <w:szCs w:val="24"/>
        </w:rPr>
        <w:t>i</w:t>
      </w:r>
      <w:r w:rsidRPr="0035468A">
        <w:rPr>
          <w:rFonts w:ascii="Times New Roman" w:hAnsi="Times New Roman"/>
          <w:szCs w:val="24"/>
        </w:rPr>
        <w:t>bility</w:t>
      </w:r>
      <w:r w:rsidR="004410A8">
        <w:rPr>
          <w:rFonts w:ascii="Times New Roman" w:hAnsi="Times New Roman"/>
          <w:szCs w:val="24"/>
        </w:rPr>
        <w:t xml:space="preserve"> and reservoir capability</w:t>
      </w:r>
      <w:r w:rsidRPr="0035468A">
        <w:rPr>
          <w:rFonts w:ascii="Times New Roman" w:hAnsi="Times New Roman"/>
          <w:szCs w:val="24"/>
        </w:rPr>
        <w:t xml:space="preserve">, conserving resources, reimbursing certain costs, </w:t>
      </w:r>
      <w:r w:rsidR="009B213D">
        <w:rPr>
          <w:rFonts w:ascii="Times New Roman" w:hAnsi="Times New Roman"/>
          <w:szCs w:val="24"/>
        </w:rPr>
        <w:t xml:space="preserve">protecting correlative rights provisions, </w:t>
      </w:r>
      <w:r w:rsidRPr="0035468A">
        <w:rPr>
          <w:rFonts w:ascii="Times New Roman" w:hAnsi="Times New Roman"/>
          <w:szCs w:val="24"/>
        </w:rPr>
        <w:t xml:space="preserve">or allowing lessees greater flexibility in the manner in which they comply with the requirements of </w:t>
      </w:r>
      <w:r w:rsidR="00B77039">
        <w:rPr>
          <w:rFonts w:ascii="Times New Roman" w:hAnsi="Times New Roman"/>
          <w:szCs w:val="24"/>
        </w:rPr>
        <w:t xml:space="preserve">regulations under </w:t>
      </w:r>
      <w:r w:rsidRPr="0035468A">
        <w:rPr>
          <w:rFonts w:ascii="Times New Roman" w:hAnsi="Times New Roman"/>
          <w:szCs w:val="24"/>
        </w:rPr>
        <w:t xml:space="preserve">30 CFR </w:t>
      </w:r>
      <w:r w:rsidR="000D1007">
        <w:rPr>
          <w:rFonts w:ascii="Times New Roman" w:hAnsi="Times New Roman"/>
          <w:szCs w:val="24"/>
        </w:rPr>
        <w:t>5</w:t>
      </w:r>
      <w:r w:rsidRPr="0035468A">
        <w:rPr>
          <w:rFonts w:ascii="Times New Roman" w:hAnsi="Times New Roman"/>
          <w:szCs w:val="24"/>
        </w:rPr>
        <w:t xml:space="preserve">50 through the adoption of performance standards. </w:t>
      </w:r>
      <w:r w:rsidR="00063FDB">
        <w:rPr>
          <w:rFonts w:ascii="Times New Roman" w:hAnsi="Times New Roman"/>
          <w:szCs w:val="24"/>
        </w:rPr>
        <w:t>The frequency of submission is on occasion.</w:t>
      </w:r>
    </w:p>
    <w:p w:rsidR="007B7139" w14:paraId="48521323" w14:textId="77777777">
      <w:pPr>
        <w:widowControl/>
        <w:tabs>
          <w:tab w:val="left" w:pos="360"/>
          <w:tab w:val="left" w:pos="720"/>
        </w:tabs>
        <w:rPr>
          <w:rFonts w:ascii="Times New Roman" w:hAnsi="Times New Roman"/>
        </w:rPr>
      </w:pPr>
    </w:p>
    <w:p w:rsidR="000C7AF5" w:rsidRPr="00600EEB" w:rsidP="000C7AF5" w14:paraId="0FB5038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C7AF5" w:rsidP="000C7AF5" w14:paraId="2E551568"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9812DB" w:rsidP="009812DB" w14:paraId="1122F593"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p>
    <w:p w:rsidR="00E953E9" w:rsidRPr="00A90789" w:rsidP="00E953E9" w14:paraId="0533C420" w14:textId="77777777">
      <w:pPr>
        <w:widowControl/>
        <w:tabs>
          <w:tab w:val="left" w:pos="360"/>
          <w:tab w:val="left" w:pos="720"/>
          <w:tab w:val="left" w:pos="108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p>
    <w:p w:rsidR="000C7AF5" w:rsidRPr="00A90789" w:rsidP="000C7AF5" w14:paraId="2DF7AA3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124073">
        <w:rPr>
          <w:rFonts w:ascii="Times New Roman" w:hAnsi="Times New Roman"/>
          <w:b/>
          <w:i/>
        </w:rPr>
        <w:t>(c) requiring respondents to submit more than an original and two copies of any document.</w:t>
      </w:r>
    </w:p>
    <w:p w:rsidR="00124073" w:rsidRPr="00A90789" w:rsidP="00124073" w14:paraId="1148AD83"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p>
    <w:p w:rsidR="009E0613" w:rsidRPr="00B27CC7" w:rsidP="009E0613" w14:paraId="2C35254D"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p>
    <w:p w:rsidR="000F7DC6" w:rsidRPr="00B27CC7" w:rsidP="000F7DC6" w14:paraId="0DE4C2FB"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p>
    <w:p w:rsidR="000F7DC6" w:rsidRPr="00B27CC7" w:rsidP="000F7DC6" w14:paraId="1C18E004"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A7402" w:rsidP="006A7402" w14:paraId="0156C236"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FB3734" w:rsidP="006A7402" w14:paraId="78655367" w14:textId="77777777">
      <w:pPr>
        <w:widowControl/>
        <w:tabs>
          <w:tab w:val="left" w:pos="-1080"/>
          <w:tab w:val="left" w:pos="-720"/>
          <w:tab w:val="left" w:pos="360"/>
          <w:tab w:val="left" w:pos="720"/>
        </w:tabs>
        <w:rPr>
          <w:rFonts w:ascii="Times New Roman" w:hAnsi="Times New Roman"/>
          <w:b/>
          <w:i/>
        </w:rPr>
      </w:pPr>
    </w:p>
    <w:p w:rsidR="00FB3734" w:rsidRPr="00FB3734" w:rsidP="00FB3734" w14:paraId="5897B7C0" w14:textId="639A9B3D">
      <w:pPr>
        <w:widowControl/>
        <w:rPr>
          <w:rFonts w:ascii="Times New Roman" w:hAnsi="Times New Roman"/>
          <w:snapToGrid/>
          <w:szCs w:val="24"/>
        </w:rPr>
      </w:pPr>
      <w:r>
        <w:rPr>
          <w:rFonts w:ascii="Times New Roman" w:hAnsi="Times New Roman"/>
          <w:snapToGrid/>
          <w:szCs w:val="24"/>
        </w:rPr>
        <w:t>There</w:t>
      </w:r>
      <w:r w:rsidRPr="00FB3734">
        <w:rPr>
          <w:rFonts w:ascii="Times New Roman" w:hAnsi="Times New Roman"/>
          <w:snapToGrid/>
          <w:szCs w:val="24"/>
        </w:rPr>
        <w:t xml:space="preserve"> are no special circumstances that </w:t>
      </w:r>
      <w:r>
        <w:rPr>
          <w:rFonts w:ascii="Times New Roman" w:hAnsi="Times New Roman"/>
          <w:snapToGrid/>
          <w:szCs w:val="24"/>
        </w:rPr>
        <w:t xml:space="preserve">would </w:t>
      </w:r>
      <w:r w:rsidRPr="00FB3734">
        <w:rPr>
          <w:rFonts w:ascii="Times New Roman" w:hAnsi="Times New Roman"/>
          <w:snapToGrid/>
          <w:szCs w:val="24"/>
        </w:rPr>
        <w:t>require the collection to be conducted in a manner inconsistent with the guidelines.  We do not exceed the guidelines in 5 CFR 1320.5</w:t>
      </w:r>
      <w:r>
        <w:rPr>
          <w:rFonts w:ascii="Times New Roman" w:hAnsi="Times New Roman"/>
          <w:snapToGrid/>
          <w:szCs w:val="24"/>
        </w:rPr>
        <w:t>.</w:t>
      </w:r>
    </w:p>
    <w:p w:rsidR="000C7AF5" w:rsidP="000C7AF5" w14:paraId="4F712BF9" w14:textId="77777777">
      <w:pPr>
        <w:widowControl/>
        <w:tabs>
          <w:tab w:val="left" w:pos="-1080"/>
          <w:tab w:val="left" w:pos="-720"/>
          <w:tab w:val="left" w:pos="360"/>
          <w:tab w:val="left" w:pos="720"/>
        </w:tabs>
        <w:rPr>
          <w:rFonts w:ascii="Times New Roman" w:hAnsi="Times New Roman"/>
        </w:rPr>
      </w:pPr>
    </w:p>
    <w:p w:rsidR="0037366E" w:rsidRPr="008C0EDA" w:rsidP="0037366E" w14:paraId="43B0C6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600EEB">
        <w:rPr>
          <w:rFonts w:ascii="Times New Roman" w:hAnsi="Times New Roman"/>
          <w:b/>
          <w:i/>
        </w:rPr>
        <w:t>8.</w:t>
      </w:r>
      <w:r w:rsidRPr="00600EEB">
        <w:rPr>
          <w:rFonts w:ascii="Times New Roman" w:hAnsi="Times New Roman"/>
          <w:b/>
          <w:i/>
        </w:rPr>
        <w:tab/>
      </w:r>
      <w:r w:rsidRPr="008C0EDA">
        <w:rPr>
          <w:rFonts w:ascii="Times New Roman" w:hAnsi="Times New Roman"/>
          <w:b/>
          <w:i/>
          <w:snapToGrid/>
          <w:szCs w:val="24"/>
        </w:rPr>
        <w:t xml:space="preserve">If applicable, provide a copy and identify the date and page number of publication in the Federal Register of the agency's notice, required by 5 CFR 1320.8(d), soliciting comments on </w:t>
      </w:r>
      <w:r w:rsidRPr="008C0EDA">
        <w:rPr>
          <w:rFonts w:ascii="Times New Roman" w:hAnsi="Times New Roman"/>
          <w:b/>
          <w:i/>
          <w:snapToGrid/>
          <w:szCs w:val="24"/>
        </w:rPr>
        <w:t xml:space="preserve">the information collection prior to submission to OMB.  Summarize public comments received in response to that notice and in response to the PRA statement associated with the collection over the past </w:t>
      </w:r>
      <w:r w:rsidR="00ED34EF">
        <w:rPr>
          <w:rFonts w:ascii="Times New Roman" w:hAnsi="Times New Roman"/>
          <w:b/>
          <w:i/>
          <w:snapToGrid/>
          <w:szCs w:val="24"/>
        </w:rPr>
        <w:t>3</w:t>
      </w:r>
      <w:r w:rsidRPr="008C0EDA">
        <w:rPr>
          <w:rFonts w:ascii="Times New Roman" w:hAnsi="Times New Roman"/>
          <w:b/>
          <w:i/>
          <w:snapToGrid/>
          <w:szCs w:val="24"/>
        </w:rPr>
        <w:t xml:space="preserve"> years, and describe actions taken by the agency in response to these comments.  Specifically address comments received on cost and hour burden.</w:t>
      </w:r>
    </w:p>
    <w:p w:rsidR="000C7AF5" w:rsidP="000C7AF5" w14:paraId="6FBCDF10" w14:textId="77777777">
      <w:pPr>
        <w:widowControl/>
        <w:tabs>
          <w:tab w:val="left" w:pos="360"/>
          <w:tab w:val="left" w:pos="720"/>
          <w:tab w:val="left" w:pos="1080"/>
        </w:tabs>
        <w:rPr>
          <w:rFonts w:ascii="Times New Roman" w:hAnsi="Times New Roman"/>
          <w:b/>
        </w:rPr>
      </w:pPr>
    </w:p>
    <w:p w:rsidR="00D6090B" w:rsidRPr="004F0B62" w:rsidP="00D6090B" w14:paraId="3BC66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sidRPr="004F0B62">
        <w:rPr>
          <w:rFonts w:ascii="Times New Roman" w:hAnsi="Times New Roman"/>
          <w:b/>
          <w:i/>
          <w:snapToGrid/>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090B" w:rsidRPr="004F0B62" w:rsidP="00D6090B" w14:paraId="4580F2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00D6090B" w:rsidRPr="004F0B62" w:rsidP="00D6090B" w14:paraId="7EE719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F0B62">
        <w:rPr>
          <w:rFonts w:ascii="Times New Roman" w:hAnsi="Times New Roman"/>
          <w:b/>
          <w:i/>
          <w:snapToGrid/>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B7139" w14:paraId="02BA74D4" w14:textId="77777777">
      <w:pPr>
        <w:widowControl/>
        <w:tabs>
          <w:tab w:val="left" w:pos="-1080"/>
          <w:tab w:val="left" w:pos="-720"/>
          <w:tab w:val="left" w:pos="0"/>
          <w:tab w:val="left" w:pos="360"/>
          <w:tab w:val="left" w:pos="810"/>
          <w:tab w:val="left" w:pos="1260"/>
          <w:tab w:val="left" w:pos="3600"/>
        </w:tabs>
        <w:rPr>
          <w:rFonts w:ascii="Times New Roman" w:hAnsi="Times New Roman"/>
        </w:rPr>
      </w:pPr>
    </w:p>
    <w:p w:rsidR="00C22A9A" w:rsidP="00257E83" w14:paraId="03692B64" w14:textId="5836821A">
      <w:pPr>
        <w:widowControl/>
        <w:tabs>
          <w:tab w:val="left" w:pos="360"/>
        </w:tabs>
        <w:rPr>
          <w:rFonts w:ascii="Times New Roman" w:hAnsi="Times New Roman"/>
        </w:rPr>
      </w:pPr>
      <w:r>
        <w:rPr>
          <w:rFonts w:ascii="Times New Roman" w:hAnsi="Times New Roman"/>
        </w:rPr>
        <w:t>As required in 5 CFR 1320.11, BOEM is providing for and has described the 60-day review and comment process in the preamble of the proposed rule. We will address comments received on the information collection in the final rulemaking process.</w:t>
      </w:r>
    </w:p>
    <w:p w:rsidR="00C22A9A" w:rsidP="00257E83" w14:paraId="3E29FCCE" w14:textId="77777777">
      <w:pPr>
        <w:widowControl/>
        <w:tabs>
          <w:tab w:val="left" w:pos="360"/>
        </w:tabs>
        <w:rPr>
          <w:rFonts w:ascii="Times New Roman" w:hAnsi="Times New Roman"/>
        </w:rPr>
      </w:pPr>
    </w:p>
    <w:p w:rsidR="0032099A" w:rsidP="00706E32" w14:paraId="395A3030" w14:textId="77777777">
      <w:pPr>
        <w:widowControl/>
        <w:tabs>
          <w:tab w:val="left" w:pos="36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285C72" w:rsidP="00285C72" w14:paraId="53F78132" w14:textId="77777777">
      <w:pPr>
        <w:rPr>
          <w:rFonts w:ascii="Times New Roman" w:hAnsi="Times New Roman"/>
        </w:rPr>
      </w:pPr>
    </w:p>
    <w:p w:rsidR="007B7139" w:rsidRPr="00DF35B0" w:rsidP="00992981" w14:paraId="59243A3F" w14:textId="301C1606">
      <w:pPr>
        <w:pStyle w:val="CommentText"/>
        <w:rPr>
          <w:rFonts w:ascii="Times New Roman" w:hAnsi="Times New Roman"/>
          <w:sz w:val="24"/>
          <w:szCs w:val="24"/>
        </w:rPr>
      </w:pPr>
      <w:r w:rsidRPr="00B34234">
        <w:rPr>
          <w:rFonts w:ascii="Times New Roman" w:hAnsi="Times New Roman"/>
          <w:sz w:val="24"/>
          <w:szCs w:val="24"/>
        </w:rPr>
        <w:t xml:space="preserve">As </w:t>
      </w:r>
      <w:r w:rsidR="00E67A11">
        <w:rPr>
          <w:rFonts w:ascii="Times New Roman" w:hAnsi="Times New Roman"/>
          <w:sz w:val="24"/>
          <w:szCs w:val="24"/>
        </w:rPr>
        <w:t>stated</w:t>
      </w:r>
      <w:r w:rsidRPr="00B34234" w:rsidR="00E67A11">
        <w:rPr>
          <w:rFonts w:ascii="Times New Roman" w:hAnsi="Times New Roman"/>
          <w:sz w:val="24"/>
          <w:szCs w:val="24"/>
        </w:rPr>
        <w:t xml:space="preserve"> </w:t>
      </w:r>
      <w:r w:rsidRPr="00B34234">
        <w:rPr>
          <w:rFonts w:ascii="Times New Roman" w:hAnsi="Times New Roman"/>
          <w:sz w:val="24"/>
          <w:szCs w:val="24"/>
        </w:rPr>
        <w:t xml:space="preserve">in </w:t>
      </w:r>
      <w:r w:rsidR="004B028F">
        <w:rPr>
          <w:rFonts w:ascii="Times New Roman" w:hAnsi="Times New Roman"/>
          <w:sz w:val="24"/>
          <w:szCs w:val="24"/>
        </w:rPr>
        <w:t>sub</w:t>
      </w:r>
      <w:r w:rsidRPr="00B34234">
        <w:rPr>
          <w:rFonts w:ascii="Times New Roman" w:hAnsi="Times New Roman"/>
          <w:sz w:val="24"/>
          <w:szCs w:val="24"/>
        </w:rPr>
        <w:t xml:space="preserve">section </w:t>
      </w:r>
      <w:r w:rsidR="004B028F">
        <w:rPr>
          <w:rFonts w:ascii="Times New Roman" w:hAnsi="Times New Roman"/>
          <w:sz w:val="24"/>
          <w:szCs w:val="24"/>
        </w:rPr>
        <w:t>26(a)(1)(C)</w:t>
      </w:r>
      <w:r w:rsidRPr="00B34234">
        <w:rPr>
          <w:rFonts w:ascii="Times New Roman" w:hAnsi="Times New Roman"/>
          <w:sz w:val="24"/>
          <w:szCs w:val="24"/>
        </w:rPr>
        <w:t xml:space="preserve">, the OCS Lands Act mandates that we reimburse respondents for their costs of reproduction and processing of certain data and information requested by </w:t>
      </w:r>
      <w:r w:rsidRPr="00B34234" w:rsidR="00C15FC8">
        <w:rPr>
          <w:rFonts w:ascii="Times New Roman" w:hAnsi="Times New Roman"/>
          <w:sz w:val="24"/>
          <w:szCs w:val="24"/>
        </w:rPr>
        <w:t>BOEM</w:t>
      </w:r>
      <w:r w:rsidRPr="00B34234">
        <w:rPr>
          <w:rFonts w:ascii="Times New Roman" w:hAnsi="Times New Roman"/>
          <w:sz w:val="24"/>
          <w:szCs w:val="24"/>
        </w:rPr>
        <w:t>. The implementing regulations (§ </w:t>
      </w:r>
      <w:r w:rsidRPr="00B34234" w:rsidR="00C3604F">
        <w:rPr>
          <w:rFonts w:ascii="Times New Roman" w:hAnsi="Times New Roman"/>
          <w:sz w:val="24"/>
          <w:szCs w:val="24"/>
        </w:rPr>
        <w:t>5</w:t>
      </w:r>
      <w:r w:rsidRPr="00B34234">
        <w:rPr>
          <w:rFonts w:ascii="Times New Roman" w:hAnsi="Times New Roman"/>
          <w:sz w:val="24"/>
          <w:szCs w:val="24"/>
        </w:rPr>
        <w:t>50.19</w:t>
      </w:r>
      <w:r w:rsidRPr="00B34234" w:rsidR="00E13A5B">
        <w:rPr>
          <w:rFonts w:ascii="Times New Roman" w:hAnsi="Times New Roman"/>
          <w:sz w:val="24"/>
          <w:szCs w:val="24"/>
        </w:rPr>
        <w:t>6</w:t>
      </w:r>
      <w:r w:rsidRPr="00B34234">
        <w:rPr>
          <w:rFonts w:ascii="Times New Roman" w:hAnsi="Times New Roman"/>
          <w:sz w:val="24"/>
          <w:szCs w:val="24"/>
        </w:rPr>
        <w:t>) comply with the Act and provide for reimbursement payment of G&amp;G information when applicable</w:t>
      </w:r>
      <w:r w:rsidRPr="00DF35B0">
        <w:rPr>
          <w:rFonts w:ascii="Times New Roman" w:hAnsi="Times New Roman"/>
          <w:sz w:val="24"/>
          <w:szCs w:val="24"/>
        </w:rPr>
        <w:t>. We do not provide gifts to respondents.</w:t>
      </w:r>
    </w:p>
    <w:p w:rsidR="0035468A" w14:paraId="5DDB6FFB" w14:textId="77777777">
      <w:pPr>
        <w:widowControl/>
        <w:tabs>
          <w:tab w:val="left" w:pos="360"/>
          <w:tab w:val="left" w:pos="720"/>
        </w:tabs>
        <w:rPr>
          <w:rFonts w:ascii="Times New Roman" w:hAnsi="Times New Roman"/>
        </w:rPr>
      </w:pPr>
    </w:p>
    <w:p w:rsidR="004F46C2" w:rsidRPr="00600EEB" w:rsidP="004F46C2" w14:paraId="4663DC01"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BA0DF2" w:rsidP="00BA0DF2" w14:paraId="7FFBFACF" w14:textId="77777777">
      <w:pPr>
        <w:widowControl/>
        <w:tabs>
          <w:tab w:val="left" w:pos="-1080"/>
          <w:tab w:val="left" w:pos="-720"/>
          <w:tab w:val="left" w:pos="360"/>
          <w:tab w:val="left" w:pos="810"/>
        </w:tabs>
        <w:rPr>
          <w:rFonts w:ascii="Times New Roman" w:hAnsi="Times New Roman"/>
        </w:rPr>
      </w:pPr>
    </w:p>
    <w:p w:rsidR="00CC638B" w14:paraId="00D1DF59" w14:textId="77777777">
      <w:pPr>
        <w:widowControl/>
        <w:tabs>
          <w:tab w:val="left" w:pos="360"/>
          <w:tab w:val="left" w:pos="720"/>
        </w:tabs>
        <w:rPr>
          <w:rFonts w:ascii="Times New Roman" w:hAnsi="Times New Roman"/>
        </w:rPr>
      </w:pPr>
      <w:r w:rsidRPr="00855223">
        <w:rPr>
          <w:rFonts w:ascii="Times New Roman" w:hAnsi="Times New Roman"/>
        </w:rPr>
        <w:t>We protect proprietary information according to the Freedom of Information Act</w:t>
      </w:r>
      <w:r>
        <w:rPr>
          <w:rFonts w:ascii="Times New Roman" w:hAnsi="Times New Roman"/>
        </w:rPr>
        <w:t xml:space="preserve"> (5 U.S.C. 552)</w:t>
      </w:r>
      <w:r w:rsidRPr="00855223">
        <w:rPr>
          <w:rFonts w:ascii="Times New Roman" w:hAnsi="Times New Roman"/>
        </w:rPr>
        <w:t xml:space="preserve">, </w:t>
      </w:r>
      <w:r>
        <w:rPr>
          <w:rFonts w:ascii="Times New Roman" w:hAnsi="Times New Roman"/>
        </w:rPr>
        <w:t xml:space="preserve">it’s implementing regulations (43 CFR 2), </w:t>
      </w:r>
      <w:r w:rsidRPr="00855223">
        <w:rPr>
          <w:rFonts w:ascii="Times New Roman" w:hAnsi="Times New Roman"/>
        </w:rPr>
        <w:t xml:space="preserve">30 CFR 252, and </w:t>
      </w:r>
      <w:r>
        <w:rPr>
          <w:rFonts w:ascii="Times New Roman" w:hAnsi="Times New Roman"/>
        </w:rPr>
        <w:t>30 CFR 5</w:t>
      </w:r>
      <w:r w:rsidRPr="00855223">
        <w:rPr>
          <w:rFonts w:ascii="Times New Roman" w:hAnsi="Times New Roman"/>
        </w:rPr>
        <w:t>50.197, “Data and information to be made available to the public</w:t>
      </w:r>
      <w:r>
        <w:rPr>
          <w:rFonts w:ascii="Times New Roman" w:hAnsi="Times New Roman"/>
        </w:rPr>
        <w:t xml:space="preserve"> or for limited inspection.</w:t>
      </w:r>
      <w:r w:rsidRPr="00855223">
        <w:rPr>
          <w:rFonts w:ascii="Times New Roman" w:hAnsi="Times New Roman"/>
        </w:rPr>
        <w:t xml:space="preserve">”  </w:t>
      </w:r>
      <w:r>
        <w:rPr>
          <w:rFonts w:ascii="Times New Roman" w:hAnsi="Times New Roman"/>
        </w:rPr>
        <w:t xml:space="preserve">Proprietary information concerning geological and geophysical data will be protected according to 43 U.S.C. 1352.  </w:t>
      </w:r>
    </w:p>
    <w:p w:rsidR="00CC638B" w14:paraId="0E720E76" w14:textId="77777777">
      <w:pPr>
        <w:widowControl/>
        <w:tabs>
          <w:tab w:val="left" w:pos="360"/>
          <w:tab w:val="left" w:pos="720"/>
        </w:tabs>
        <w:rPr>
          <w:rFonts w:ascii="Times New Roman" w:hAnsi="Times New Roman"/>
          <w:b/>
        </w:rPr>
      </w:pPr>
    </w:p>
    <w:p w:rsidR="004F46C2" w:rsidRPr="00600EEB" w:rsidP="004F46C2" w14:paraId="48A17007"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BA0DF2" w:rsidP="00BA0DF2" w14:paraId="7453937F" w14:textId="77777777">
      <w:pPr>
        <w:widowControl/>
        <w:tabs>
          <w:tab w:val="left" w:pos="-1080"/>
          <w:tab w:val="left" w:pos="-720"/>
          <w:tab w:val="left" w:pos="360"/>
          <w:tab w:val="left" w:pos="810"/>
        </w:tabs>
        <w:rPr>
          <w:rFonts w:ascii="Times New Roman" w:hAnsi="Times New Roman"/>
        </w:rPr>
      </w:pPr>
    </w:p>
    <w:p w:rsidR="00BA0DF2" w:rsidP="00BA0DF2" w14:paraId="454E544A" w14:textId="77777777">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7B7139" w14:paraId="69047D1D" w14:textId="77777777">
      <w:pPr>
        <w:widowControl/>
        <w:tabs>
          <w:tab w:val="left" w:pos="360"/>
          <w:tab w:val="left" w:pos="720"/>
        </w:tabs>
        <w:rPr>
          <w:rFonts w:ascii="Times New Roman" w:hAnsi="Times New Roman"/>
        </w:rPr>
      </w:pPr>
    </w:p>
    <w:p w:rsidR="004F0F47" w:rsidRPr="00AA3C0C" w:rsidP="004F0F47" w14:paraId="6C40A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napToGrid/>
          <w:szCs w:val="24"/>
        </w:rPr>
      </w:pPr>
      <w:r w:rsidRPr="00600EEB">
        <w:rPr>
          <w:rFonts w:ascii="Times New Roman" w:hAnsi="Times New Roman"/>
          <w:b/>
          <w:i/>
        </w:rPr>
        <w:t>12.</w:t>
      </w:r>
      <w:r w:rsidRPr="00AA3C0C">
        <w:rPr>
          <w:rFonts w:ascii="Times New Roman" w:hAnsi="Times New Roman"/>
          <w:b/>
          <w:i/>
        </w:rPr>
        <w:tab/>
      </w:r>
      <w:r w:rsidRPr="00AA3C0C">
        <w:rPr>
          <w:rFonts w:ascii="Times New Roman" w:hAnsi="Times New Roman"/>
          <w:b/>
          <w:i/>
          <w:snapToGrid/>
          <w:szCs w:val="24"/>
        </w:rPr>
        <w:t>Provide estimates of the hour burden of the collection of information.  The statement should:</w:t>
      </w:r>
    </w:p>
    <w:p w:rsidR="004F0F47" w:rsidP="004F0F47" w14:paraId="06561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b/>
          <w:i/>
          <w:snapToGrid/>
          <w:szCs w:val="24"/>
        </w:rPr>
      </w:pPr>
    </w:p>
    <w:p w:rsidR="004F0F47" w:rsidP="004F0F47" w14:paraId="30522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t>(a)</w:t>
      </w:r>
      <w:r w:rsidRPr="00AA3C0C">
        <w:rPr>
          <w:rFonts w:ascii="Times New Roman" w:hAnsi="Times New Roman"/>
          <w:b/>
          <w:i/>
          <w:snapToGrid/>
          <w:szCs w:val="24"/>
        </w:rPr>
        <w:tab/>
        <w:t>Indicate the number of respondents, frequency of respo</w:t>
      </w:r>
      <w:r>
        <w:rPr>
          <w:rFonts w:ascii="Times New Roman" w:hAnsi="Times New Roman"/>
          <w:b/>
          <w:i/>
          <w:snapToGrid/>
          <w:szCs w:val="24"/>
        </w:rPr>
        <w:t xml:space="preserve">nse, annual hour burden, and an </w:t>
      </w:r>
      <w:r w:rsidRPr="00AA3C0C">
        <w:rPr>
          <w:rFonts w:ascii="Times New Roman" w:hAnsi="Times New Roman"/>
          <w:b/>
          <w:i/>
          <w:snapToGrid/>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F0F47" w:rsidRPr="00AA3C0C" w:rsidP="004F0F47" w14:paraId="59EF2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004F0F47" w:rsidRPr="00AA3C0C" w:rsidP="004F0F47" w14:paraId="45F58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t xml:space="preserve">(b) </w:t>
      </w:r>
      <w:r w:rsidRPr="00AA3C0C">
        <w:rPr>
          <w:rFonts w:ascii="Times New Roman" w:hAnsi="Times New Roman"/>
          <w:b/>
          <w:i/>
          <w:snapToGrid/>
          <w:szCs w:val="24"/>
        </w:rPr>
        <w:t>If this request for approval covers more than one form, provide separate hour burden estimates for each form and aggregate the hour burdens.</w:t>
      </w:r>
    </w:p>
    <w:p w:rsidR="00BA0DF2" w:rsidP="006F4019" w14:paraId="78961FD0" w14:textId="77777777">
      <w:pPr>
        <w:widowControl/>
        <w:tabs>
          <w:tab w:val="left" w:pos="-1080"/>
          <w:tab w:val="left" w:pos="-720"/>
          <w:tab w:val="left" w:pos="360"/>
          <w:tab w:val="left" w:pos="810"/>
        </w:tabs>
        <w:rPr>
          <w:rFonts w:ascii="Times New Roman" w:hAnsi="Times New Roman"/>
        </w:rPr>
      </w:pPr>
    </w:p>
    <w:p w:rsidR="001D7FF4" w:rsidP="001D7FF4" w14:paraId="516B353D" w14:textId="5DA59B17">
      <w:pPr>
        <w:pStyle w:val="CommentText"/>
        <w:rPr>
          <w:rFonts w:ascii="Times New Roman" w:hAnsi="Times New Roman"/>
          <w:sz w:val="24"/>
          <w:szCs w:val="24"/>
        </w:rPr>
      </w:pPr>
      <w:r w:rsidRPr="00E56550">
        <w:rPr>
          <w:rFonts w:ascii="Times New Roman" w:hAnsi="Times New Roman"/>
          <w:sz w:val="24"/>
          <w:szCs w:val="24"/>
        </w:rPr>
        <w:t>Potential respondents comprise</w:t>
      </w:r>
      <w:r w:rsidRPr="00E56550" w:rsidR="0035468A">
        <w:rPr>
          <w:rFonts w:ascii="Times New Roman" w:hAnsi="Times New Roman"/>
          <w:sz w:val="24"/>
          <w:szCs w:val="24"/>
        </w:rPr>
        <w:t xml:space="preserve"> </w:t>
      </w:r>
      <w:r w:rsidRPr="00E56550" w:rsidR="007B7139">
        <w:rPr>
          <w:rFonts w:ascii="Times New Roman" w:hAnsi="Times New Roman"/>
          <w:sz w:val="24"/>
          <w:szCs w:val="24"/>
        </w:rPr>
        <w:t>Federal oil</w:t>
      </w:r>
      <w:r w:rsidRPr="00E56550" w:rsidR="00EF6457">
        <w:rPr>
          <w:rFonts w:ascii="Times New Roman" w:hAnsi="Times New Roman"/>
          <w:sz w:val="24"/>
          <w:szCs w:val="24"/>
        </w:rPr>
        <w:t xml:space="preserve"> and gas or sul</w:t>
      </w:r>
      <w:r w:rsidR="00D7179F">
        <w:rPr>
          <w:rFonts w:ascii="Times New Roman" w:hAnsi="Times New Roman"/>
          <w:sz w:val="24"/>
          <w:szCs w:val="24"/>
        </w:rPr>
        <w:t>f</w:t>
      </w:r>
      <w:r w:rsidRPr="00E56550" w:rsidR="00EF6457">
        <w:rPr>
          <w:rFonts w:ascii="Times New Roman" w:hAnsi="Times New Roman"/>
          <w:sz w:val="24"/>
          <w:szCs w:val="24"/>
        </w:rPr>
        <w:t>ur lessees/operators</w:t>
      </w:r>
      <w:r w:rsidRPr="00E56550" w:rsidR="007B7139">
        <w:rPr>
          <w:rFonts w:ascii="Times New Roman" w:hAnsi="Times New Roman"/>
          <w:sz w:val="24"/>
          <w:szCs w:val="24"/>
        </w:rPr>
        <w:t xml:space="preserve">.  </w:t>
      </w:r>
      <w:r w:rsidRPr="00E56550">
        <w:rPr>
          <w:rFonts w:ascii="Times New Roman" w:hAnsi="Times New Roman"/>
          <w:sz w:val="24"/>
          <w:szCs w:val="24"/>
        </w:rPr>
        <w:t>It should be noted that not all of the potential respondents will submit information in any given year</w:t>
      </w:r>
      <w:r w:rsidR="00063FDB">
        <w:rPr>
          <w:rFonts w:ascii="Times New Roman" w:hAnsi="Times New Roman"/>
          <w:sz w:val="24"/>
          <w:szCs w:val="24"/>
        </w:rPr>
        <w:t>.</w:t>
      </w:r>
      <w:r w:rsidRPr="00E56550">
        <w:rPr>
          <w:rFonts w:ascii="Times New Roman" w:hAnsi="Times New Roman"/>
          <w:sz w:val="24"/>
          <w:szCs w:val="24"/>
        </w:rPr>
        <w:t xml:space="preserve"> </w:t>
      </w:r>
      <w:r w:rsidRPr="00E56550" w:rsidR="00DC6CDD">
        <w:rPr>
          <w:rFonts w:ascii="Times New Roman" w:hAnsi="Times New Roman"/>
          <w:sz w:val="24"/>
          <w:szCs w:val="24"/>
        </w:rPr>
        <w:t xml:space="preserve">The burden estimates include the time for reviewing instructions, searching existing data sources, gathering and maintaining the data needed, and completing and reviewing the collection of information.  </w:t>
      </w:r>
      <w:r w:rsidRPr="00E56550" w:rsidR="007B7139">
        <w:rPr>
          <w:rFonts w:ascii="Times New Roman" w:hAnsi="Times New Roman"/>
          <w:sz w:val="24"/>
          <w:szCs w:val="24"/>
        </w:rPr>
        <w:t>Refer to the</w:t>
      </w:r>
      <w:r w:rsidR="00063FDB">
        <w:rPr>
          <w:rFonts w:ascii="Times New Roman" w:hAnsi="Times New Roman"/>
          <w:sz w:val="24"/>
          <w:szCs w:val="24"/>
        </w:rPr>
        <w:t xml:space="preserve"> following</w:t>
      </w:r>
      <w:r w:rsidRPr="00E56550" w:rsidR="00917A24">
        <w:rPr>
          <w:rFonts w:ascii="Times New Roman" w:hAnsi="Times New Roman"/>
          <w:sz w:val="24"/>
          <w:szCs w:val="24"/>
        </w:rPr>
        <w:t xml:space="preserve"> table</w:t>
      </w:r>
      <w:r w:rsidRPr="00E56550" w:rsidR="007B7139">
        <w:rPr>
          <w:rFonts w:ascii="Times New Roman" w:hAnsi="Times New Roman"/>
          <w:sz w:val="24"/>
          <w:szCs w:val="24"/>
        </w:rPr>
        <w:t xml:space="preserve"> for a breakdown</w:t>
      </w:r>
      <w:r w:rsidRPr="00E56550" w:rsidR="00917A24">
        <w:rPr>
          <w:rFonts w:ascii="Times New Roman" w:hAnsi="Times New Roman"/>
          <w:sz w:val="24"/>
          <w:szCs w:val="24"/>
        </w:rPr>
        <w:t xml:space="preserve"> of the hour burdens</w:t>
      </w:r>
      <w:r w:rsidR="00063FDB">
        <w:rPr>
          <w:rFonts w:ascii="Times New Roman" w:hAnsi="Times New Roman"/>
          <w:sz w:val="24"/>
          <w:szCs w:val="24"/>
        </w:rPr>
        <w:t xml:space="preserve"> for this proposed rule. This rule proposes to add or revise the following:</w:t>
      </w:r>
      <w:r w:rsidR="00C8353D">
        <w:rPr>
          <w:rFonts w:ascii="Times New Roman" w:hAnsi="Times New Roman"/>
          <w:sz w:val="24"/>
          <w:szCs w:val="24"/>
        </w:rPr>
        <w:t xml:space="preserve"> </w:t>
      </w:r>
    </w:p>
    <w:p w:rsidR="001D7FF4" w:rsidRPr="001D7FF4" w:rsidP="001D7FF4" w14:paraId="353BB8A4" w14:textId="77777777">
      <w:pPr>
        <w:pStyle w:val="CommentText"/>
        <w:rPr>
          <w:rFonts w:ascii="Times New Roman" w:hAnsi="Times New Roman"/>
          <w:snapToGrid/>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36" w:type="dxa"/>
          <w:right w:w="136" w:type="dxa"/>
        </w:tblCellMar>
        <w:tblLook w:val="04A0"/>
      </w:tblPr>
      <w:tblGrid>
        <w:gridCol w:w="1567"/>
        <w:gridCol w:w="4119"/>
        <w:gridCol w:w="1019"/>
        <w:gridCol w:w="1646"/>
        <w:gridCol w:w="1126"/>
      </w:tblGrid>
      <w:tr w14:paraId="06A9DE4D" w14:textId="77777777" w:rsidTr="000B5FE6">
        <w:tblPrEx>
          <w:tblW w:w="0" w:type="auto"/>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36" w:type="dxa"/>
            <w:right w:w="136" w:type="dxa"/>
          </w:tblCellMar>
          <w:tblLook w:val="04A0"/>
        </w:tblPrEx>
        <w:trPr>
          <w:cantSplit/>
          <w:trHeight w:val="525"/>
          <w:tblHeader/>
          <w:jc w:val="center"/>
        </w:trPr>
        <w:tc>
          <w:tcPr>
            <w:tcW w:w="1567" w:type="dxa"/>
            <w:vMerge w:val="restart"/>
            <w:tcBorders>
              <w:top w:val="single" w:sz="4" w:space="0" w:color="auto"/>
              <w:left w:val="single" w:sz="4" w:space="0" w:color="auto"/>
              <w:bottom w:val="single" w:sz="8" w:space="0" w:color="000000"/>
              <w:right w:val="single" w:sz="8" w:space="0" w:color="000000"/>
            </w:tcBorders>
            <w:shd w:val="clear" w:color="auto" w:fill="E0E0E0"/>
            <w:vAlign w:val="center"/>
            <w:hideMark/>
          </w:tcPr>
          <w:p w:rsidR="001D7FF4" w:rsidRPr="001D7FF4" w:rsidP="001D7FF4" w14:paraId="18E63C74"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Citation</w:t>
            </w:r>
          </w:p>
          <w:p w:rsidR="001D7FF4" w:rsidRPr="001D7FF4" w:rsidP="001D7FF4" w14:paraId="53A9F911"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30 CFR 550</w:t>
            </w:r>
          </w:p>
          <w:p w:rsidR="001D7FF4" w:rsidRPr="001D7FF4" w:rsidP="001D7FF4" w14:paraId="3AC4F398"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subpart A and related forms/NTLs</w:t>
            </w:r>
          </w:p>
        </w:tc>
        <w:tc>
          <w:tcPr>
            <w:tcW w:w="4119" w:type="dxa"/>
            <w:vMerge w:val="restart"/>
            <w:tcBorders>
              <w:top w:val="single" w:sz="4" w:space="0" w:color="auto"/>
              <w:left w:val="single" w:sz="8" w:space="0" w:color="000000"/>
              <w:bottom w:val="single" w:sz="8" w:space="0" w:color="000000"/>
              <w:right w:val="single" w:sz="8" w:space="0" w:color="000000"/>
            </w:tcBorders>
            <w:shd w:val="clear" w:color="auto" w:fill="E0E0E0"/>
            <w:vAlign w:val="center"/>
            <w:hideMark/>
          </w:tcPr>
          <w:p w:rsidR="001D7FF4" w:rsidRPr="001D7FF4" w:rsidP="001D7FF4" w14:paraId="30C1CFB5"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Reporting or recordkeeping</w:t>
            </w:r>
          </w:p>
          <w:p w:rsidR="001D7FF4" w:rsidRPr="001D7FF4" w:rsidP="001D7FF4" w14:paraId="164A2328"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Requirement</w:t>
            </w:r>
          </w:p>
        </w:tc>
        <w:tc>
          <w:tcPr>
            <w:tcW w:w="1019" w:type="dxa"/>
            <w:tcBorders>
              <w:top w:val="single" w:sz="4" w:space="0" w:color="auto"/>
              <w:left w:val="single" w:sz="8" w:space="0" w:color="000000"/>
              <w:bottom w:val="single" w:sz="4" w:space="0" w:color="auto"/>
              <w:right w:val="single" w:sz="8" w:space="0" w:color="000000"/>
            </w:tcBorders>
            <w:shd w:val="clear" w:color="auto" w:fill="E0E0E0"/>
            <w:vAlign w:val="center"/>
            <w:hideMark/>
          </w:tcPr>
          <w:p w:rsidR="001D7FF4" w:rsidRPr="001D7FF4" w:rsidP="001D7FF4" w14:paraId="35336530"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Hour burden</w:t>
            </w:r>
          </w:p>
        </w:tc>
        <w:tc>
          <w:tcPr>
            <w:tcW w:w="1571" w:type="dxa"/>
            <w:tcBorders>
              <w:top w:val="single" w:sz="4" w:space="0" w:color="auto"/>
              <w:left w:val="single" w:sz="8" w:space="0" w:color="000000"/>
              <w:bottom w:val="single" w:sz="4" w:space="0" w:color="auto"/>
              <w:right w:val="single" w:sz="8" w:space="0" w:color="000000"/>
            </w:tcBorders>
            <w:shd w:val="clear" w:color="auto" w:fill="E0E0E0"/>
            <w:vAlign w:val="center"/>
            <w:hideMark/>
          </w:tcPr>
          <w:p w:rsidR="001D7FF4" w:rsidRPr="001D7FF4" w:rsidP="001D7FF4" w14:paraId="0FBDA9FF"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Average number of annual responses</w:t>
            </w:r>
          </w:p>
        </w:tc>
        <w:tc>
          <w:tcPr>
            <w:tcW w:w="1074" w:type="dxa"/>
            <w:tcBorders>
              <w:top w:val="single" w:sz="4" w:space="0" w:color="auto"/>
              <w:left w:val="single" w:sz="8" w:space="0" w:color="000000"/>
              <w:bottom w:val="single" w:sz="4" w:space="0" w:color="auto"/>
              <w:right w:val="single" w:sz="4" w:space="0" w:color="auto"/>
            </w:tcBorders>
            <w:shd w:val="clear" w:color="auto" w:fill="E0E0E0"/>
            <w:vAlign w:val="center"/>
            <w:hideMark/>
          </w:tcPr>
          <w:p w:rsidR="001D7FF4" w:rsidRPr="001D7FF4" w:rsidP="001D7FF4" w14:paraId="7A2F6104" w14:textId="77777777">
            <w:pPr>
              <w:keepNext/>
              <w:keepLines/>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Annual burden hours</w:t>
            </w:r>
          </w:p>
        </w:tc>
      </w:tr>
      <w:tr w14:paraId="76BC45B1" w14:textId="77777777" w:rsidTr="000B5FE6">
        <w:tblPrEx>
          <w:tblW w:w="0" w:type="auto"/>
          <w:jc w:val="center"/>
          <w:tblCellMar>
            <w:left w:w="136" w:type="dxa"/>
            <w:right w:w="136" w:type="dxa"/>
          </w:tblCellMar>
          <w:tblLook w:val="04A0"/>
        </w:tblPrEx>
        <w:trPr>
          <w:cantSplit/>
          <w:trHeight w:val="395"/>
          <w:tblHeader/>
          <w:jc w:val="center"/>
        </w:trPr>
        <w:tc>
          <w:tcPr>
            <w:tcW w:w="1567" w:type="dxa"/>
            <w:vMerge/>
            <w:tcBorders>
              <w:top w:val="single" w:sz="4" w:space="0" w:color="auto"/>
              <w:left w:val="single" w:sz="4" w:space="0" w:color="auto"/>
              <w:bottom w:val="single" w:sz="8" w:space="0" w:color="000000"/>
              <w:right w:val="single" w:sz="8" w:space="0" w:color="000000"/>
            </w:tcBorders>
            <w:vAlign w:val="center"/>
            <w:hideMark/>
          </w:tcPr>
          <w:p w:rsidR="001D7FF4" w:rsidRPr="001D7FF4" w:rsidP="001D7FF4" w14:paraId="3DC1EF96" w14:textId="77777777">
            <w:pPr>
              <w:widowControl/>
              <w:spacing w:after="200"/>
              <w:rPr>
                <w:rFonts w:ascii="Times New Roman" w:eastAsia="Calibri" w:hAnsi="Times New Roman"/>
                <w:b/>
                <w:snapToGrid/>
                <w:szCs w:val="24"/>
              </w:rPr>
            </w:pPr>
          </w:p>
        </w:tc>
        <w:tc>
          <w:tcPr>
            <w:tcW w:w="4119" w:type="dxa"/>
            <w:vMerge/>
            <w:tcBorders>
              <w:top w:val="single" w:sz="4" w:space="0" w:color="auto"/>
              <w:left w:val="single" w:sz="8" w:space="0" w:color="000000"/>
              <w:bottom w:val="single" w:sz="8" w:space="0" w:color="000000"/>
              <w:right w:val="single" w:sz="8" w:space="0" w:color="000000"/>
            </w:tcBorders>
            <w:vAlign w:val="center"/>
            <w:hideMark/>
          </w:tcPr>
          <w:p w:rsidR="001D7FF4" w:rsidRPr="001D7FF4" w:rsidP="001D7FF4" w14:paraId="54112F7F" w14:textId="77777777">
            <w:pPr>
              <w:widowControl/>
              <w:spacing w:after="200"/>
              <w:rPr>
                <w:rFonts w:ascii="Times New Roman" w:eastAsia="Calibri" w:hAnsi="Times New Roman"/>
                <w:b/>
                <w:snapToGrid/>
                <w:szCs w:val="24"/>
              </w:rPr>
            </w:pPr>
          </w:p>
        </w:tc>
        <w:tc>
          <w:tcPr>
            <w:tcW w:w="3664" w:type="dxa"/>
            <w:gridSpan w:val="3"/>
            <w:tcBorders>
              <w:top w:val="single" w:sz="4" w:space="0" w:color="auto"/>
              <w:left w:val="single" w:sz="8" w:space="0" w:color="000000"/>
              <w:bottom w:val="single" w:sz="8" w:space="0" w:color="000000"/>
              <w:right w:val="single" w:sz="8" w:space="0" w:color="000000"/>
            </w:tcBorders>
            <w:shd w:val="clear" w:color="auto" w:fill="E0E0E0"/>
            <w:vAlign w:val="center"/>
            <w:hideMark/>
          </w:tcPr>
          <w:p w:rsidR="001D7FF4" w:rsidRPr="001D7FF4" w:rsidP="001D7FF4" w14:paraId="32580B75" w14:textId="77777777">
            <w:pPr>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Non-hour cost burdens</w:t>
            </w:r>
          </w:p>
        </w:tc>
      </w:tr>
      <w:tr w14:paraId="08C45164" w14:textId="77777777" w:rsidTr="000B5FE6">
        <w:tblPrEx>
          <w:tblW w:w="0" w:type="auto"/>
          <w:jc w:val="center"/>
          <w:tblCellMar>
            <w:left w:w="136" w:type="dxa"/>
            <w:right w:w="136" w:type="dxa"/>
          </w:tblCellMar>
          <w:tblLook w:val="04A0"/>
        </w:tblPrEx>
        <w:trPr>
          <w:cantSplit/>
          <w:jc w:val="center"/>
        </w:trPr>
        <w:tc>
          <w:tcPr>
            <w:tcW w:w="9350" w:type="dxa"/>
            <w:gridSpan w:val="5"/>
            <w:tcBorders>
              <w:top w:val="single" w:sz="8" w:space="0" w:color="000000"/>
              <w:left w:val="single" w:sz="4" w:space="0" w:color="auto"/>
              <w:bottom w:val="single" w:sz="8" w:space="0" w:color="000000"/>
              <w:right w:val="single" w:sz="8" w:space="0" w:color="auto"/>
            </w:tcBorders>
            <w:shd w:val="clear" w:color="auto" w:fill="E0E0E0"/>
            <w:hideMark/>
          </w:tcPr>
          <w:p w:rsidR="001D7FF4" w:rsidRPr="001D7FF4" w:rsidP="001D7FF4" w14:paraId="2FCA8E5D" w14:textId="77777777">
            <w:pPr>
              <w:widowControl/>
              <w:spacing w:after="200"/>
              <w:jc w:val="center"/>
              <w:rPr>
                <w:rFonts w:ascii="Times New Roman" w:eastAsia="Calibri" w:hAnsi="Times New Roman"/>
                <w:b/>
                <w:snapToGrid/>
                <w:szCs w:val="24"/>
              </w:rPr>
            </w:pPr>
            <w:r w:rsidRPr="001D7FF4">
              <w:rPr>
                <w:rFonts w:ascii="Times New Roman" w:eastAsia="Calibri" w:hAnsi="Times New Roman"/>
                <w:b/>
                <w:snapToGrid/>
                <w:szCs w:val="24"/>
              </w:rPr>
              <w:t>Information and Reporting Requirements</w:t>
            </w:r>
          </w:p>
        </w:tc>
      </w:tr>
      <w:tr w14:paraId="6CB811B9" w14:textId="77777777" w:rsidTr="000B5FE6">
        <w:tblPrEx>
          <w:tblW w:w="0" w:type="auto"/>
          <w:jc w:val="center"/>
          <w:tblCellMar>
            <w:left w:w="136" w:type="dxa"/>
            <w:right w:w="136" w:type="dxa"/>
          </w:tblCellMar>
          <w:tblLook w:val="04A0"/>
        </w:tblPrEx>
        <w:trPr>
          <w:cantSplit/>
          <w:jc w:val="center"/>
        </w:trPr>
        <w:tc>
          <w:tcPr>
            <w:tcW w:w="1567" w:type="dxa"/>
            <w:tcBorders>
              <w:top w:val="single" w:sz="8" w:space="0" w:color="000000"/>
              <w:left w:val="single" w:sz="4" w:space="0" w:color="auto"/>
              <w:bottom w:val="single" w:sz="8" w:space="0" w:color="000000"/>
              <w:right w:val="single" w:sz="8" w:space="0" w:color="000000"/>
            </w:tcBorders>
            <w:hideMark/>
          </w:tcPr>
          <w:p w:rsidR="001D7FF4" w:rsidRPr="001D7FF4" w:rsidP="001D7FF4" w14:paraId="6E73275E"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194 (a), (c)</w:t>
            </w:r>
          </w:p>
        </w:tc>
        <w:tc>
          <w:tcPr>
            <w:tcW w:w="4119" w:type="dxa"/>
            <w:tcBorders>
              <w:top w:val="single" w:sz="8" w:space="0" w:color="000000"/>
              <w:left w:val="single" w:sz="8" w:space="0" w:color="000000"/>
              <w:bottom w:val="single" w:sz="8" w:space="0" w:color="000000"/>
              <w:right w:val="single" w:sz="8" w:space="0" w:color="000000"/>
            </w:tcBorders>
            <w:hideMark/>
          </w:tcPr>
          <w:p w:rsidR="001D7FF4" w:rsidRPr="001D7FF4" w:rsidP="001D7FF4" w14:paraId="52BA2A46"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 xml:space="preserve">Prepare and/or submit archaeological reports or evidence. Submit archaeological and follow-up reports and additional information. </w:t>
            </w:r>
          </w:p>
        </w:tc>
        <w:tc>
          <w:tcPr>
            <w:tcW w:w="1019" w:type="dxa"/>
            <w:tcBorders>
              <w:top w:val="single" w:sz="8" w:space="0" w:color="000000"/>
              <w:left w:val="single" w:sz="8" w:space="0" w:color="000000"/>
              <w:bottom w:val="single" w:sz="8" w:space="0" w:color="000000"/>
              <w:right w:val="single" w:sz="8" w:space="0" w:color="000000"/>
            </w:tcBorders>
            <w:hideMark/>
          </w:tcPr>
          <w:p w:rsidR="001D7FF4" w:rsidRPr="001D7FF4" w:rsidP="001D7FF4" w14:paraId="4AF49346"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 xml:space="preserve">50 </w:t>
            </w:r>
          </w:p>
        </w:tc>
        <w:tc>
          <w:tcPr>
            <w:tcW w:w="1571" w:type="dxa"/>
            <w:tcBorders>
              <w:top w:val="single" w:sz="8" w:space="0" w:color="000000"/>
              <w:left w:val="single" w:sz="8" w:space="0" w:color="000000"/>
              <w:bottom w:val="single" w:sz="8" w:space="0" w:color="000000"/>
              <w:right w:val="single" w:sz="8" w:space="0" w:color="000000"/>
            </w:tcBorders>
            <w:hideMark/>
          </w:tcPr>
          <w:p w:rsidR="001D7FF4" w:rsidRPr="001D7FF4" w:rsidP="001D7FF4" w14:paraId="23C2C816"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10 submissions</w:t>
            </w:r>
          </w:p>
        </w:tc>
        <w:tc>
          <w:tcPr>
            <w:tcW w:w="1074" w:type="dxa"/>
            <w:tcBorders>
              <w:top w:val="single" w:sz="8" w:space="0" w:color="000000"/>
              <w:left w:val="single" w:sz="8" w:space="0" w:color="000000"/>
              <w:bottom w:val="single" w:sz="8" w:space="0" w:color="000000"/>
              <w:right w:val="single" w:sz="4" w:space="0" w:color="auto"/>
            </w:tcBorders>
            <w:hideMark/>
          </w:tcPr>
          <w:p w:rsidR="001D7FF4" w:rsidRPr="001D7FF4" w:rsidP="001D7FF4" w14:paraId="0282BDCD" w14:textId="77777777">
            <w:pPr>
              <w:widowControl/>
              <w:spacing w:after="200"/>
              <w:jc w:val="right"/>
              <w:rPr>
                <w:rFonts w:ascii="Times New Roman" w:eastAsia="Calibri" w:hAnsi="Times New Roman"/>
                <w:snapToGrid/>
                <w:szCs w:val="24"/>
              </w:rPr>
            </w:pPr>
            <w:r w:rsidRPr="001D7FF4">
              <w:rPr>
                <w:rFonts w:ascii="Times New Roman" w:eastAsia="Calibri" w:hAnsi="Times New Roman"/>
                <w:snapToGrid/>
                <w:szCs w:val="24"/>
              </w:rPr>
              <w:t xml:space="preserve">500 </w:t>
            </w:r>
          </w:p>
        </w:tc>
      </w:tr>
      <w:tr w14:paraId="745ADD98" w14:textId="77777777" w:rsidTr="000B5FE6">
        <w:tblPrEx>
          <w:tblW w:w="0" w:type="auto"/>
          <w:jc w:val="center"/>
          <w:tblCellMar>
            <w:left w:w="136" w:type="dxa"/>
            <w:right w:w="136" w:type="dxa"/>
          </w:tblCellMar>
          <w:tblLook w:val="04A0"/>
        </w:tblPrEx>
        <w:trPr>
          <w:cantSplit/>
          <w:trHeight w:val="979"/>
          <w:jc w:val="center"/>
        </w:trPr>
        <w:tc>
          <w:tcPr>
            <w:tcW w:w="1567" w:type="dxa"/>
            <w:tcBorders>
              <w:top w:val="single" w:sz="8" w:space="0" w:color="000000"/>
              <w:left w:val="single" w:sz="4" w:space="0" w:color="auto"/>
              <w:bottom w:val="single" w:sz="8" w:space="0" w:color="000000"/>
              <w:right w:val="single" w:sz="8" w:space="0" w:color="000000"/>
            </w:tcBorders>
          </w:tcPr>
          <w:p w:rsidR="001D7FF4" w:rsidRPr="001D7FF4" w:rsidP="001D7FF4" w14:paraId="6C8CE583" w14:textId="23B33A19">
            <w:pPr>
              <w:widowControl/>
              <w:spacing w:after="200"/>
              <w:rPr>
                <w:rFonts w:ascii="Times New Roman" w:eastAsia="Calibri" w:hAnsi="Times New Roman"/>
                <w:snapToGrid/>
                <w:szCs w:val="24"/>
              </w:rPr>
            </w:pPr>
            <w:r w:rsidRPr="001D7FF4">
              <w:rPr>
                <w:rFonts w:ascii="Times New Roman" w:eastAsia="Calibri" w:hAnsi="Times New Roman"/>
                <w:snapToGrid/>
                <w:szCs w:val="24"/>
              </w:rPr>
              <w:t>194 (</w:t>
            </w:r>
            <w:r w:rsidR="0070251F">
              <w:rPr>
                <w:rFonts w:ascii="Times New Roman" w:eastAsia="Calibri" w:hAnsi="Times New Roman"/>
                <w:snapToGrid/>
                <w:szCs w:val="24"/>
              </w:rPr>
              <w:t>g</w:t>
            </w:r>
            <w:r w:rsidRPr="001D7FF4">
              <w:rPr>
                <w:rFonts w:ascii="Times New Roman" w:eastAsia="Calibri" w:hAnsi="Times New Roman"/>
                <w:snapToGrid/>
                <w:szCs w:val="24"/>
              </w:rPr>
              <w:t>)</w:t>
            </w:r>
          </w:p>
        </w:tc>
        <w:tc>
          <w:tcPr>
            <w:tcW w:w="4119" w:type="dxa"/>
            <w:tcBorders>
              <w:top w:val="single" w:sz="8" w:space="0" w:color="000000"/>
              <w:left w:val="single" w:sz="8" w:space="0" w:color="000000"/>
              <w:bottom w:val="single" w:sz="8" w:space="0" w:color="000000"/>
              <w:right w:val="single" w:sz="8" w:space="0" w:color="000000"/>
            </w:tcBorders>
          </w:tcPr>
          <w:p w:rsidR="001D7FF4" w:rsidRPr="001D7FF4" w:rsidP="001D7FF4" w14:paraId="744DB45E"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Locate and protect archaeological sites. Submit archaeological and follow-up reports and additional information.[*]</w:t>
            </w:r>
          </w:p>
        </w:tc>
        <w:tc>
          <w:tcPr>
            <w:tcW w:w="3664" w:type="dxa"/>
            <w:gridSpan w:val="3"/>
            <w:tcBorders>
              <w:top w:val="single" w:sz="8" w:space="0" w:color="000000"/>
              <w:left w:val="single" w:sz="8" w:space="0" w:color="000000"/>
              <w:bottom w:val="single" w:sz="8" w:space="0" w:color="000000"/>
              <w:right w:val="single" w:sz="4" w:space="0" w:color="auto"/>
            </w:tcBorders>
          </w:tcPr>
          <w:p w:rsidR="001D7FF4" w:rsidRPr="001D7FF4" w:rsidP="001D7FF4" w14:paraId="640D7BFF"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Requirement not considered IC under 5 CFR 1320.3(b)(2).</w:t>
            </w:r>
          </w:p>
        </w:tc>
      </w:tr>
      <w:tr w14:paraId="3D3A9940" w14:textId="77777777" w:rsidTr="000B5FE6">
        <w:tblPrEx>
          <w:tblW w:w="0" w:type="auto"/>
          <w:jc w:val="center"/>
          <w:tblCellMar>
            <w:left w:w="136" w:type="dxa"/>
            <w:right w:w="136" w:type="dxa"/>
          </w:tblCellMar>
          <w:tblLook w:val="04A0"/>
        </w:tblPrEx>
        <w:trPr>
          <w:cantSplit/>
          <w:trHeight w:val="979"/>
          <w:jc w:val="center"/>
        </w:trPr>
        <w:tc>
          <w:tcPr>
            <w:tcW w:w="1567" w:type="dxa"/>
            <w:tcBorders>
              <w:top w:val="single" w:sz="8" w:space="0" w:color="000000"/>
              <w:left w:val="single" w:sz="4" w:space="0" w:color="auto"/>
              <w:bottom w:val="single" w:sz="8" w:space="0" w:color="000000"/>
              <w:right w:val="single" w:sz="8" w:space="0" w:color="000000"/>
            </w:tcBorders>
          </w:tcPr>
          <w:p w:rsidR="001D7FF4" w:rsidRPr="001D7FF4" w:rsidP="001D7FF4" w14:paraId="5CF40900" w14:textId="35F28739">
            <w:pPr>
              <w:widowControl/>
              <w:spacing w:after="200"/>
              <w:rPr>
                <w:rFonts w:ascii="Times New Roman" w:eastAsia="Calibri" w:hAnsi="Times New Roman"/>
                <w:snapToGrid/>
                <w:szCs w:val="24"/>
              </w:rPr>
            </w:pPr>
            <w:r w:rsidRPr="001D7FF4">
              <w:rPr>
                <w:rFonts w:ascii="Times New Roman" w:eastAsia="Calibri" w:hAnsi="Times New Roman"/>
                <w:snapToGrid/>
                <w:szCs w:val="24"/>
              </w:rPr>
              <w:t>19</w:t>
            </w:r>
            <w:r w:rsidR="0070251F">
              <w:rPr>
                <w:rFonts w:ascii="Times New Roman" w:eastAsia="Calibri" w:hAnsi="Times New Roman"/>
                <w:snapToGrid/>
                <w:szCs w:val="24"/>
              </w:rPr>
              <w:t>5</w:t>
            </w:r>
            <w:r w:rsidRPr="001D7FF4">
              <w:rPr>
                <w:rFonts w:ascii="Times New Roman" w:eastAsia="Calibri" w:hAnsi="Times New Roman"/>
                <w:snapToGrid/>
                <w:szCs w:val="24"/>
              </w:rPr>
              <w:t xml:space="preserve"> (</w:t>
            </w:r>
            <w:r w:rsidR="0070251F">
              <w:rPr>
                <w:rFonts w:ascii="Times New Roman" w:eastAsia="Calibri" w:hAnsi="Times New Roman"/>
                <w:snapToGrid/>
                <w:szCs w:val="24"/>
              </w:rPr>
              <w:t>a</w:t>
            </w:r>
            <w:r w:rsidRPr="001D7FF4">
              <w:rPr>
                <w:rFonts w:ascii="Times New Roman" w:eastAsia="Calibri" w:hAnsi="Times New Roman"/>
                <w:snapToGrid/>
                <w:szCs w:val="24"/>
              </w:rPr>
              <w:t>)</w:t>
            </w:r>
          </w:p>
        </w:tc>
        <w:tc>
          <w:tcPr>
            <w:tcW w:w="4119" w:type="dxa"/>
            <w:tcBorders>
              <w:top w:val="single" w:sz="8" w:space="0" w:color="000000"/>
              <w:left w:val="single" w:sz="8" w:space="0" w:color="000000"/>
              <w:bottom w:val="single" w:sz="8" w:space="0" w:color="000000"/>
              <w:right w:val="single" w:sz="8" w:space="0" w:color="000000"/>
            </w:tcBorders>
          </w:tcPr>
          <w:p w:rsidR="001D7FF4" w:rsidRPr="001D7FF4" w:rsidP="001D7FF4" w14:paraId="190A3DB6"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Report archaeological discoveries to the Regional Director.</w:t>
            </w:r>
          </w:p>
        </w:tc>
        <w:tc>
          <w:tcPr>
            <w:tcW w:w="1019" w:type="dxa"/>
            <w:tcBorders>
              <w:top w:val="single" w:sz="8" w:space="0" w:color="000000"/>
              <w:left w:val="single" w:sz="8" w:space="0" w:color="000000"/>
              <w:bottom w:val="single" w:sz="8" w:space="0" w:color="000000"/>
              <w:right w:val="single" w:sz="8" w:space="0" w:color="000000"/>
            </w:tcBorders>
          </w:tcPr>
          <w:p w:rsidR="001D7FF4" w:rsidRPr="001D7FF4" w:rsidP="001D7FF4" w14:paraId="38EE3A7F"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1</w:t>
            </w:r>
          </w:p>
        </w:tc>
        <w:tc>
          <w:tcPr>
            <w:tcW w:w="1571" w:type="dxa"/>
            <w:tcBorders>
              <w:top w:val="single" w:sz="8" w:space="0" w:color="000000"/>
              <w:left w:val="single" w:sz="8" w:space="0" w:color="000000"/>
              <w:bottom w:val="single" w:sz="8" w:space="0" w:color="000000"/>
              <w:right w:val="single" w:sz="8" w:space="0" w:color="000000"/>
            </w:tcBorders>
          </w:tcPr>
          <w:p w:rsidR="001D7FF4" w:rsidRPr="001D7FF4" w:rsidP="001D7FF4" w14:paraId="2646E9A3"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3 reports</w:t>
            </w:r>
          </w:p>
        </w:tc>
        <w:tc>
          <w:tcPr>
            <w:tcW w:w="1074" w:type="dxa"/>
            <w:tcBorders>
              <w:top w:val="single" w:sz="8" w:space="0" w:color="000000"/>
              <w:left w:val="single" w:sz="8" w:space="0" w:color="000000"/>
              <w:bottom w:val="single" w:sz="8" w:space="0" w:color="000000"/>
              <w:right w:val="single" w:sz="4" w:space="0" w:color="auto"/>
            </w:tcBorders>
          </w:tcPr>
          <w:p w:rsidR="001D7FF4" w:rsidRPr="001D7FF4" w:rsidP="001D7FF4" w14:paraId="097DE158" w14:textId="77777777">
            <w:pPr>
              <w:widowControl/>
              <w:spacing w:after="200"/>
              <w:jc w:val="right"/>
              <w:rPr>
                <w:rFonts w:ascii="Times New Roman" w:eastAsia="Calibri" w:hAnsi="Times New Roman"/>
                <w:snapToGrid/>
                <w:szCs w:val="24"/>
              </w:rPr>
            </w:pPr>
            <w:r w:rsidRPr="001D7FF4">
              <w:rPr>
                <w:rFonts w:ascii="Times New Roman" w:eastAsia="Calibri" w:hAnsi="Times New Roman"/>
                <w:snapToGrid/>
                <w:szCs w:val="24"/>
              </w:rPr>
              <w:t>3 hours</w:t>
            </w:r>
          </w:p>
        </w:tc>
      </w:tr>
      <w:tr w14:paraId="545B448D" w14:textId="77777777" w:rsidTr="000B5FE6">
        <w:tblPrEx>
          <w:tblW w:w="0" w:type="auto"/>
          <w:jc w:val="center"/>
          <w:tblCellMar>
            <w:left w:w="136" w:type="dxa"/>
            <w:right w:w="136" w:type="dxa"/>
          </w:tblCellMar>
          <w:tblLook w:val="04A0"/>
        </w:tblPrEx>
        <w:trPr>
          <w:cantSplit/>
          <w:trHeight w:val="979"/>
          <w:jc w:val="center"/>
        </w:trPr>
        <w:tc>
          <w:tcPr>
            <w:tcW w:w="1567" w:type="dxa"/>
            <w:tcBorders>
              <w:top w:val="single" w:sz="8" w:space="0" w:color="000000"/>
              <w:left w:val="single" w:sz="4" w:space="0" w:color="auto"/>
              <w:bottom w:val="single" w:sz="8" w:space="0" w:color="000000"/>
              <w:right w:val="single" w:sz="8" w:space="0" w:color="000000"/>
            </w:tcBorders>
          </w:tcPr>
          <w:p w:rsidR="001D7FF4" w:rsidRPr="001D7FF4" w:rsidP="001D7FF4" w14:paraId="0C161381"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194</w:t>
            </w:r>
          </w:p>
        </w:tc>
        <w:tc>
          <w:tcPr>
            <w:tcW w:w="4119" w:type="dxa"/>
            <w:tcBorders>
              <w:top w:val="single" w:sz="8" w:space="0" w:color="000000"/>
              <w:left w:val="single" w:sz="8" w:space="0" w:color="000000"/>
              <w:bottom w:val="single" w:sz="8" w:space="0" w:color="000000"/>
              <w:right w:val="single" w:sz="8" w:space="0" w:color="000000"/>
            </w:tcBorders>
          </w:tcPr>
          <w:p w:rsidR="001D7FF4" w:rsidRPr="001D7FF4" w:rsidP="001D7FF4" w14:paraId="45F6FAE1"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Request departures from conducting archaeological resources surveys and/or submitting reports.[**]</w:t>
            </w:r>
          </w:p>
        </w:tc>
        <w:tc>
          <w:tcPr>
            <w:tcW w:w="1019" w:type="dxa"/>
            <w:tcBorders>
              <w:top w:val="single" w:sz="8" w:space="0" w:color="000000"/>
              <w:left w:val="single" w:sz="8" w:space="0" w:color="000000"/>
              <w:bottom w:val="single" w:sz="8" w:space="0" w:color="000000"/>
              <w:right w:val="single" w:sz="8" w:space="0" w:color="000000"/>
            </w:tcBorders>
          </w:tcPr>
          <w:p w:rsidR="001D7FF4" w:rsidRPr="001D7FF4" w:rsidP="001D7FF4" w14:paraId="2F035A5D"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1</w:t>
            </w:r>
          </w:p>
        </w:tc>
        <w:tc>
          <w:tcPr>
            <w:tcW w:w="1571" w:type="dxa"/>
            <w:tcBorders>
              <w:top w:val="single" w:sz="8" w:space="0" w:color="000000"/>
              <w:left w:val="single" w:sz="8" w:space="0" w:color="000000"/>
              <w:bottom w:val="single" w:sz="8" w:space="0" w:color="000000"/>
              <w:right w:val="single" w:sz="8" w:space="0" w:color="000000"/>
            </w:tcBorders>
          </w:tcPr>
          <w:p w:rsidR="001D7FF4" w:rsidRPr="001D7FF4" w:rsidP="001D7FF4" w14:paraId="2EAE6659"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2 requests</w:t>
            </w:r>
          </w:p>
        </w:tc>
        <w:tc>
          <w:tcPr>
            <w:tcW w:w="1074" w:type="dxa"/>
            <w:tcBorders>
              <w:top w:val="single" w:sz="8" w:space="0" w:color="000000"/>
              <w:left w:val="single" w:sz="8" w:space="0" w:color="000000"/>
              <w:bottom w:val="single" w:sz="8" w:space="0" w:color="000000"/>
              <w:right w:val="single" w:sz="4" w:space="0" w:color="auto"/>
            </w:tcBorders>
          </w:tcPr>
          <w:p w:rsidR="001D7FF4" w:rsidRPr="001D7FF4" w:rsidP="001D7FF4" w14:paraId="73991F86" w14:textId="77777777">
            <w:pPr>
              <w:widowControl/>
              <w:spacing w:after="200"/>
              <w:jc w:val="right"/>
              <w:rPr>
                <w:rFonts w:ascii="Times New Roman" w:eastAsia="Calibri" w:hAnsi="Times New Roman"/>
                <w:snapToGrid/>
                <w:szCs w:val="24"/>
              </w:rPr>
            </w:pPr>
            <w:r w:rsidRPr="001D7FF4">
              <w:rPr>
                <w:rFonts w:ascii="Times New Roman" w:eastAsia="Calibri" w:hAnsi="Times New Roman"/>
                <w:snapToGrid/>
                <w:szCs w:val="24"/>
              </w:rPr>
              <w:t>2 hours</w:t>
            </w:r>
          </w:p>
        </w:tc>
      </w:tr>
      <w:tr w14:paraId="1E12981E" w14:textId="77777777" w:rsidTr="000B5FE6">
        <w:tblPrEx>
          <w:tblW w:w="0" w:type="auto"/>
          <w:jc w:val="center"/>
          <w:tblCellMar>
            <w:left w:w="136" w:type="dxa"/>
            <w:right w:w="136" w:type="dxa"/>
          </w:tblCellMar>
          <w:tblLook w:val="04A0"/>
        </w:tblPrEx>
        <w:trPr>
          <w:cantSplit/>
          <w:trHeight w:val="407"/>
          <w:jc w:val="center"/>
        </w:trPr>
        <w:tc>
          <w:tcPr>
            <w:tcW w:w="1567" w:type="dxa"/>
            <w:vMerge w:val="restart"/>
            <w:tcBorders>
              <w:top w:val="single" w:sz="8" w:space="0" w:color="000000"/>
              <w:left w:val="single" w:sz="4" w:space="0" w:color="auto"/>
              <w:right w:val="single" w:sz="8" w:space="0" w:color="000000"/>
            </w:tcBorders>
          </w:tcPr>
          <w:p w:rsidR="001D7FF4" w:rsidRPr="001D7FF4" w:rsidP="001D7FF4" w14:paraId="4C61AC37" w14:textId="77777777">
            <w:pPr>
              <w:widowControl/>
              <w:spacing w:after="200"/>
              <w:jc w:val="both"/>
              <w:rPr>
                <w:rFonts w:ascii="Times New Roman" w:eastAsia="Calibri" w:hAnsi="Times New Roman"/>
                <w:b/>
                <w:bCs/>
                <w:snapToGrid/>
                <w:szCs w:val="24"/>
              </w:rPr>
            </w:pPr>
            <w:r w:rsidRPr="001D7FF4">
              <w:rPr>
                <w:rFonts w:ascii="Times New Roman" w:eastAsia="Calibri" w:hAnsi="Times New Roman"/>
                <w:b/>
                <w:bCs/>
                <w:snapToGrid/>
                <w:szCs w:val="24"/>
              </w:rPr>
              <w:t>Total Burden</w:t>
            </w:r>
          </w:p>
        </w:tc>
        <w:tc>
          <w:tcPr>
            <w:tcW w:w="4119" w:type="dxa"/>
            <w:vMerge w:val="restart"/>
            <w:tcBorders>
              <w:top w:val="single" w:sz="8" w:space="0" w:color="000000"/>
              <w:left w:val="single" w:sz="8" w:space="0" w:color="000000"/>
              <w:right w:val="single" w:sz="8" w:space="0" w:color="000000"/>
            </w:tcBorders>
          </w:tcPr>
          <w:p w:rsidR="001D7FF4" w:rsidRPr="001D7FF4" w:rsidP="001D7FF4" w14:paraId="5A188F66"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w:t>
            </w:r>
          </w:p>
        </w:tc>
        <w:tc>
          <w:tcPr>
            <w:tcW w:w="1019" w:type="dxa"/>
            <w:vMerge w:val="restart"/>
            <w:tcBorders>
              <w:top w:val="single" w:sz="8" w:space="0" w:color="000000"/>
              <w:left w:val="single" w:sz="8" w:space="0" w:color="000000"/>
              <w:right w:val="single" w:sz="8" w:space="0" w:color="000000"/>
            </w:tcBorders>
          </w:tcPr>
          <w:p w:rsidR="001D7FF4" w:rsidRPr="001D7FF4" w:rsidP="001D7FF4" w14:paraId="7B421896"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w:t>
            </w:r>
          </w:p>
        </w:tc>
        <w:tc>
          <w:tcPr>
            <w:tcW w:w="1571" w:type="dxa"/>
            <w:tcBorders>
              <w:top w:val="single" w:sz="8" w:space="0" w:color="000000"/>
              <w:left w:val="single" w:sz="8" w:space="0" w:color="000000"/>
              <w:bottom w:val="single" w:sz="8" w:space="0" w:color="000000"/>
              <w:right w:val="single" w:sz="8" w:space="0" w:color="000000"/>
            </w:tcBorders>
          </w:tcPr>
          <w:p w:rsidR="001D7FF4" w:rsidRPr="001D7FF4" w:rsidP="001D7FF4" w14:paraId="31B63F35"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15 responses</w:t>
            </w:r>
          </w:p>
        </w:tc>
        <w:tc>
          <w:tcPr>
            <w:tcW w:w="1074" w:type="dxa"/>
            <w:tcBorders>
              <w:top w:val="single" w:sz="8" w:space="0" w:color="000000"/>
              <w:left w:val="single" w:sz="8" w:space="0" w:color="000000"/>
              <w:right w:val="single" w:sz="4" w:space="0" w:color="auto"/>
            </w:tcBorders>
          </w:tcPr>
          <w:p w:rsidR="001D7FF4" w:rsidRPr="001D7FF4" w:rsidP="001D7FF4" w14:paraId="37A3B2E4" w14:textId="77777777">
            <w:pPr>
              <w:widowControl/>
              <w:spacing w:after="200"/>
              <w:jc w:val="right"/>
              <w:rPr>
                <w:rFonts w:ascii="Times New Roman" w:eastAsia="Calibri" w:hAnsi="Times New Roman"/>
                <w:snapToGrid/>
                <w:szCs w:val="24"/>
              </w:rPr>
            </w:pPr>
            <w:r w:rsidRPr="001D7FF4">
              <w:rPr>
                <w:rFonts w:ascii="Times New Roman" w:eastAsia="Calibri" w:hAnsi="Times New Roman"/>
                <w:snapToGrid/>
                <w:szCs w:val="24"/>
              </w:rPr>
              <w:t>505</w:t>
            </w:r>
          </w:p>
        </w:tc>
      </w:tr>
      <w:tr w14:paraId="6FEA9279" w14:textId="77777777" w:rsidTr="000B5FE6">
        <w:tblPrEx>
          <w:tblW w:w="0" w:type="auto"/>
          <w:jc w:val="center"/>
          <w:tblCellMar>
            <w:left w:w="136" w:type="dxa"/>
            <w:right w:w="136" w:type="dxa"/>
          </w:tblCellMar>
          <w:tblLook w:val="04A0"/>
        </w:tblPrEx>
        <w:trPr>
          <w:cantSplit/>
          <w:trHeight w:val="407"/>
          <w:jc w:val="center"/>
        </w:trPr>
        <w:tc>
          <w:tcPr>
            <w:tcW w:w="1567" w:type="dxa"/>
            <w:vMerge/>
            <w:tcBorders>
              <w:left w:val="single" w:sz="4" w:space="0" w:color="auto"/>
              <w:bottom w:val="single" w:sz="8" w:space="0" w:color="000000"/>
              <w:right w:val="single" w:sz="8" w:space="0" w:color="000000"/>
            </w:tcBorders>
          </w:tcPr>
          <w:p w:rsidR="001D7FF4" w:rsidRPr="001D7FF4" w:rsidP="001D7FF4" w14:paraId="4A626EB8" w14:textId="77777777">
            <w:pPr>
              <w:widowControl/>
              <w:spacing w:after="200"/>
              <w:rPr>
                <w:rFonts w:ascii="Times New Roman" w:eastAsia="Calibri" w:hAnsi="Times New Roman"/>
                <w:snapToGrid/>
                <w:szCs w:val="24"/>
              </w:rPr>
            </w:pPr>
          </w:p>
        </w:tc>
        <w:tc>
          <w:tcPr>
            <w:tcW w:w="4119" w:type="dxa"/>
            <w:vMerge/>
            <w:tcBorders>
              <w:left w:val="single" w:sz="8" w:space="0" w:color="000000"/>
              <w:bottom w:val="single" w:sz="8" w:space="0" w:color="000000"/>
              <w:right w:val="single" w:sz="8" w:space="0" w:color="000000"/>
            </w:tcBorders>
          </w:tcPr>
          <w:p w:rsidR="001D7FF4" w:rsidRPr="001D7FF4" w:rsidP="001D7FF4" w14:paraId="3D3E6F0C" w14:textId="77777777">
            <w:pPr>
              <w:widowControl/>
              <w:spacing w:after="200"/>
              <w:rPr>
                <w:rFonts w:ascii="Times New Roman" w:eastAsia="Calibri" w:hAnsi="Times New Roman"/>
                <w:snapToGrid/>
                <w:szCs w:val="24"/>
              </w:rPr>
            </w:pPr>
          </w:p>
        </w:tc>
        <w:tc>
          <w:tcPr>
            <w:tcW w:w="1019" w:type="dxa"/>
            <w:vMerge/>
            <w:tcBorders>
              <w:left w:val="single" w:sz="8" w:space="0" w:color="000000"/>
              <w:bottom w:val="single" w:sz="8" w:space="0" w:color="000000"/>
              <w:right w:val="single" w:sz="8" w:space="0" w:color="000000"/>
            </w:tcBorders>
          </w:tcPr>
          <w:p w:rsidR="001D7FF4" w:rsidRPr="001D7FF4" w:rsidP="001D7FF4" w14:paraId="1F36EFE9" w14:textId="77777777">
            <w:pPr>
              <w:widowControl/>
              <w:spacing w:after="200"/>
              <w:rPr>
                <w:rFonts w:ascii="Times New Roman" w:eastAsia="Calibri" w:hAnsi="Times New Roman"/>
                <w:snapToGrid/>
                <w:szCs w:val="24"/>
              </w:rPr>
            </w:pPr>
          </w:p>
        </w:tc>
        <w:tc>
          <w:tcPr>
            <w:tcW w:w="0" w:type="auto"/>
            <w:gridSpan w:val="2"/>
            <w:tcBorders>
              <w:top w:val="single" w:sz="8" w:space="0" w:color="000000"/>
              <w:left w:val="single" w:sz="8" w:space="0" w:color="000000"/>
              <w:bottom w:val="single" w:sz="8" w:space="0" w:color="000000"/>
              <w:right w:val="single" w:sz="4" w:space="0" w:color="auto"/>
            </w:tcBorders>
          </w:tcPr>
          <w:p w:rsidR="001D7FF4" w:rsidRPr="001D7FF4" w:rsidP="001D7FF4" w14:paraId="199E7B3D" w14:textId="77777777">
            <w:pPr>
              <w:widowControl/>
              <w:spacing w:after="200"/>
              <w:rPr>
                <w:rFonts w:ascii="Times New Roman" w:eastAsia="Calibri" w:hAnsi="Times New Roman"/>
                <w:snapToGrid/>
                <w:szCs w:val="24"/>
              </w:rPr>
            </w:pPr>
            <w:r w:rsidRPr="001D7FF4">
              <w:rPr>
                <w:rFonts w:ascii="Times New Roman" w:eastAsia="Calibri" w:hAnsi="Times New Roman"/>
                <w:snapToGrid/>
                <w:szCs w:val="24"/>
              </w:rPr>
              <w:t>$0 Non-hour cost burdens</w:t>
            </w:r>
          </w:p>
        </w:tc>
      </w:tr>
    </w:tbl>
    <w:p w:rsidR="001D7FF4" w:rsidRPr="001D7FF4" w:rsidP="001D7FF4" w14:paraId="15021875" w14:textId="77777777">
      <w:pPr>
        <w:widowControl/>
        <w:tabs>
          <w:tab w:val="left" w:pos="720"/>
        </w:tabs>
        <w:ind w:left="720"/>
        <w:rPr>
          <w:rFonts w:ascii="Times New Roman" w:hAnsi="Times New Roman"/>
          <w:snapToGrid/>
          <w:color w:val="000000"/>
          <w:szCs w:val="24"/>
        </w:rPr>
      </w:pPr>
      <w:r w:rsidRPr="001D7FF4">
        <w:rPr>
          <w:rFonts w:ascii="Times New Roman" w:hAnsi="Times New Roman"/>
          <w:snapToGrid/>
          <w:color w:val="000000"/>
          <w:szCs w:val="24"/>
        </w:rPr>
        <w:t>[*] The time and financial resources necessary to comply with this requirement would be incurred in the normal course of business using existing contracts already in place by the operator.</w:t>
      </w:r>
    </w:p>
    <w:p w:rsidR="001D7FF4" w:rsidRPr="001D7FF4" w:rsidP="001D7FF4" w14:paraId="0C70F495" w14:textId="250901E3">
      <w:pPr>
        <w:widowControl/>
        <w:tabs>
          <w:tab w:val="left" w:pos="720"/>
        </w:tabs>
        <w:ind w:left="720"/>
        <w:rPr>
          <w:rFonts w:ascii="Times New Roman" w:hAnsi="Times New Roman"/>
          <w:snapToGrid/>
          <w:color w:val="000000"/>
          <w:szCs w:val="24"/>
        </w:rPr>
      </w:pPr>
      <w:r w:rsidRPr="001D7FF4">
        <w:rPr>
          <w:rFonts w:ascii="Times New Roman" w:hAnsi="Times New Roman"/>
          <w:snapToGrid/>
          <w:color w:val="000000"/>
          <w:szCs w:val="24"/>
        </w:rPr>
        <w:t xml:space="preserve">[**] Departure requests do not occur </w:t>
      </w:r>
      <w:r w:rsidRPr="001D7FF4" w:rsidR="006628A2">
        <w:rPr>
          <w:rFonts w:ascii="Times New Roman" w:hAnsi="Times New Roman"/>
          <w:snapToGrid/>
          <w:color w:val="000000"/>
          <w:szCs w:val="24"/>
        </w:rPr>
        <w:t>often but</w:t>
      </w:r>
      <w:r w:rsidRPr="001D7FF4">
        <w:rPr>
          <w:rFonts w:ascii="Times New Roman" w:hAnsi="Times New Roman"/>
          <w:snapToGrid/>
          <w:color w:val="000000"/>
          <w:szCs w:val="24"/>
        </w:rPr>
        <w:t xml:space="preserve"> are included in burden calculation to allow for the rare occurrence when a company would request a departure from conducting a survey or submitting a report.</w:t>
      </w:r>
    </w:p>
    <w:p w:rsidR="007353A2" w:rsidRPr="001D7FF4" w:rsidP="00A85328" w14:paraId="4D48B62B" w14:textId="319BE0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Cs/>
          <w:snapToGrid/>
          <w:szCs w:val="24"/>
        </w:rPr>
      </w:pPr>
    </w:p>
    <w:p w:rsidR="00A85328" w:rsidRPr="00AA3C0C" w:rsidP="00A85328" w14:paraId="798172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 xml:space="preserve">(c) </w:t>
      </w:r>
      <w:r w:rsidRPr="00AA3C0C">
        <w:rPr>
          <w:rFonts w:ascii="Times New Roman" w:hAnsi="Times New Roman"/>
          <w:b/>
          <w:i/>
          <w:snapToGrid/>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F4019" w:rsidP="00FB4A6A" w14:paraId="76051689" w14:textId="77777777">
      <w:pPr>
        <w:widowControl/>
        <w:tabs>
          <w:tab w:val="left" w:pos="-1080"/>
          <w:tab w:val="left" w:pos="-720"/>
          <w:tab w:val="left" w:pos="0"/>
          <w:tab w:val="left" w:pos="450"/>
          <w:tab w:val="left" w:pos="900"/>
          <w:tab w:val="left" w:pos="1350"/>
          <w:tab w:val="left" w:pos="2880"/>
        </w:tabs>
        <w:rPr>
          <w:rFonts w:ascii="Times New Roman" w:hAnsi="Times New Roman"/>
          <w:i/>
        </w:rPr>
      </w:pPr>
    </w:p>
    <w:p w:rsidR="006F4019" w:rsidRPr="00FB712F" w:rsidP="006F4019" w14:paraId="3C3E73FD" w14:textId="49541B06">
      <w:pPr>
        <w:widowControl/>
        <w:tabs>
          <w:tab w:val="left" w:pos="360"/>
          <w:tab w:val="left" w:pos="720"/>
          <w:tab w:val="left" w:pos="1080"/>
        </w:tabs>
        <w:rPr>
          <w:rFonts w:ascii="Times New Roman" w:hAnsi="Times New Roman"/>
        </w:rPr>
      </w:pPr>
      <w:r w:rsidRPr="00FB712F">
        <w:rPr>
          <w:rFonts w:ascii="Times New Roman" w:hAnsi="Times New Roman"/>
        </w:rPr>
        <w:t>The average respondent cost is $</w:t>
      </w:r>
      <w:r w:rsidR="00E94DA0">
        <w:rPr>
          <w:rFonts w:ascii="Times New Roman" w:hAnsi="Times New Roman"/>
        </w:rPr>
        <w:t>89</w:t>
      </w:r>
      <w:r w:rsidRPr="00FB712F">
        <w:rPr>
          <w:rFonts w:ascii="Times New Roman" w:hAnsi="Times New Roman"/>
        </w:rPr>
        <w:t>/hour</w:t>
      </w:r>
      <w:r w:rsidRPr="00FB712F" w:rsidR="00862E44">
        <w:rPr>
          <w:rFonts w:ascii="Times New Roman" w:hAnsi="Times New Roman"/>
        </w:rPr>
        <w:t>*</w:t>
      </w:r>
      <w:r w:rsidRPr="00FB712F">
        <w:rPr>
          <w:rFonts w:ascii="Times New Roman" w:hAnsi="Times New Roman"/>
        </w:rPr>
        <w:t xml:space="preserve"> (rounded).  This cost is broken out in the below table using the Bureau of Labor Statistics data for the Hou</w:t>
      </w:r>
      <w:r w:rsidRPr="00FB712F" w:rsidR="005F5226">
        <w:rPr>
          <w:rFonts w:ascii="Times New Roman" w:hAnsi="Times New Roman"/>
        </w:rPr>
        <w:t xml:space="preserve">ston, TX area.  See BLS website </w:t>
      </w:r>
      <w:hyperlink r:id="rId5" w:history="1">
        <w:r w:rsidRPr="00FB712F" w:rsidR="005F5226">
          <w:rPr>
            <w:rStyle w:val="Hyperlink"/>
            <w:rFonts w:ascii="Times New Roman" w:hAnsi="Times New Roman"/>
          </w:rPr>
          <w:t>h</w:t>
        </w:r>
        <w:r w:rsidRPr="00FB712F" w:rsidR="00430E8A">
          <w:rPr>
            <w:rStyle w:val="Hyperlink"/>
            <w:rFonts w:ascii="Times New Roman" w:hAnsi="Times New Roman"/>
          </w:rPr>
          <w:t>ttp://www.bls.gov/oes/current/oes_26420.htm</w:t>
        </w:r>
      </w:hyperlink>
      <w:r w:rsidRPr="00FB712F">
        <w:rPr>
          <w:rFonts w:ascii="Times New Roman" w:hAnsi="Times New Roman"/>
        </w:rPr>
        <w:t xml:space="preserve">.  </w:t>
      </w:r>
    </w:p>
    <w:p w:rsidR="005F5226" w:rsidRPr="00FB712F" w:rsidP="006F4019" w14:paraId="42F4923E" w14:textId="77777777">
      <w:pPr>
        <w:widowControl/>
        <w:tabs>
          <w:tab w:val="left" w:pos="360"/>
          <w:tab w:val="left" w:pos="720"/>
          <w:tab w:val="left" w:pos="1080"/>
        </w:tabs>
        <w:rPr>
          <w:rFonts w:ascii="Times New Roman" w:hAnsi="Times New Roman"/>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5"/>
        <w:gridCol w:w="1417"/>
        <w:gridCol w:w="1930"/>
        <w:gridCol w:w="1675"/>
        <w:gridCol w:w="1607"/>
      </w:tblGrid>
      <w:tr w14:paraId="104BA498" w14:textId="77777777" w:rsidTr="005F5226">
        <w:tblPrEx>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66"/>
          <w:jc w:val="center"/>
        </w:trPr>
        <w:tc>
          <w:tcPr>
            <w:tcW w:w="3055" w:type="dxa"/>
            <w:shd w:val="clear" w:color="auto" w:fill="auto"/>
            <w:vAlign w:val="center"/>
          </w:tcPr>
          <w:p w:rsidR="002B229A" w:rsidRPr="00FB712F" w:rsidP="007332C7" w14:paraId="3B9B2C7D" w14:textId="77777777">
            <w:pPr>
              <w:widowControl/>
              <w:tabs>
                <w:tab w:val="left" w:pos="360"/>
                <w:tab w:val="left" w:pos="720"/>
                <w:tab w:val="left" w:pos="1080"/>
              </w:tabs>
              <w:rPr>
                <w:rFonts w:ascii="Times New Roman" w:hAnsi="Times New Roman"/>
                <w:b/>
                <w:sz w:val="22"/>
                <w:szCs w:val="22"/>
              </w:rPr>
            </w:pPr>
            <w:r w:rsidRPr="00FB712F">
              <w:rPr>
                <w:rFonts w:ascii="Times New Roman" w:hAnsi="Times New Roman"/>
                <w:b/>
                <w:sz w:val="22"/>
                <w:szCs w:val="22"/>
              </w:rPr>
              <w:t>Position</w:t>
            </w:r>
          </w:p>
        </w:tc>
        <w:tc>
          <w:tcPr>
            <w:tcW w:w="1417" w:type="dxa"/>
            <w:shd w:val="clear" w:color="auto" w:fill="auto"/>
          </w:tcPr>
          <w:p w:rsidR="002B229A" w:rsidRPr="00FB712F" w:rsidP="007332C7" w14:paraId="4B069AB1"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Hourly Pay rate ($/hour estimate)</w:t>
            </w:r>
          </w:p>
        </w:tc>
        <w:tc>
          <w:tcPr>
            <w:tcW w:w="1930" w:type="dxa"/>
            <w:shd w:val="clear" w:color="auto" w:fill="auto"/>
          </w:tcPr>
          <w:p w:rsidR="002B229A" w:rsidRPr="00FB712F" w:rsidP="001A4D5E" w14:paraId="576945A0"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Hourly rate including benefits (1.</w:t>
            </w:r>
            <w:r w:rsidRPr="00FB712F" w:rsidR="001A4D5E">
              <w:rPr>
                <w:rFonts w:ascii="Times New Roman" w:hAnsi="Times New Roman"/>
                <w:b/>
                <w:sz w:val="22"/>
                <w:szCs w:val="22"/>
              </w:rPr>
              <w:t>4</w:t>
            </w:r>
            <w:r w:rsidRPr="00FB712F">
              <w:rPr>
                <w:rFonts w:ascii="Times New Roman" w:hAnsi="Times New Roman"/>
                <w:b/>
                <w:sz w:val="22"/>
                <w:szCs w:val="22"/>
              </w:rPr>
              <w:t>** x $/hour)</w:t>
            </w:r>
          </w:p>
        </w:tc>
        <w:tc>
          <w:tcPr>
            <w:tcW w:w="1675" w:type="dxa"/>
            <w:shd w:val="clear" w:color="auto" w:fill="auto"/>
          </w:tcPr>
          <w:p w:rsidR="002B229A" w:rsidRPr="00FB712F" w:rsidP="007332C7" w14:paraId="7CA0F658"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Percent of time spent on collection</w:t>
            </w:r>
          </w:p>
        </w:tc>
        <w:tc>
          <w:tcPr>
            <w:tcW w:w="1607" w:type="dxa"/>
            <w:shd w:val="clear" w:color="auto" w:fill="auto"/>
          </w:tcPr>
          <w:p w:rsidR="002B229A" w:rsidRPr="00FB712F" w:rsidP="007332C7" w14:paraId="46178B66"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Weighted Average ($/hour)</w:t>
            </w:r>
          </w:p>
        </w:tc>
      </w:tr>
      <w:tr w14:paraId="34D4312A" w14:textId="77777777" w:rsidTr="005F5226">
        <w:tblPrEx>
          <w:tblW w:w="9684" w:type="dxa"/>
          <w:jc w:val="center"/>
          <w:tblLook w:val="01E0"/>
        </w:tblPrEx>
        <w:trPr>
          <w:trHeight w:val="755"/>
          <w:jc w:val="center"/>
        </w:trPr>
        <w:tc>
          <w:tcPr>
            <w:tcW w:w="3055" w:type="dxa"/>
            <w:shd w:val="clear" w:color="auto" w:fill="auto"/>
          </w:tcPr>
          <w:p w:rsidR="002B229A" w:rsidRPr="00FB712F" w:rsidP="007332C7" w14:paraId="40F61B35"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Administrative Support</w:t>
            </w:r>
          </w:p>
          <w:p w:rsidR="002B229A" w:rsidRPr="00FB712F" w:rsidP="007332C7" w14:paraId="3C7E9EBD"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43-6014</w:t>
            </w:r>
          </w:p>
        </w:tc>
        <w:tc>
          <w:tcPr>
            <w:tcW w:w="1417" w:type="dxa"/>
            <w:shd w:val="clear" w:color="auto" w:fill="auto"/>
          </w:tcPr>
          <w:p w:rsidR="002B229A" w:rsidRPr="00FB712F" w:rsidP="001A4D5E" w14:paraId="609C945F" w14:textId="20608E7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w:t>
            </w:r>
            <w:r w:rsidR="00E94DA0">
              <w:rPr>
                <w:rFonts w:ascii="Times New Roman" w:hAnsi="Times New Roman"/>
                <w:sz w:val="22"/>
                <w:szCs w:val="22"/>
              </w:rPr>
              <w:t>9</w:t>
            </w:r>
          </w:p>
        </w:tc>
        <w:tc>
          <w:tcPr>
            <w:tcW w:w="1930" w:type="dxa"/>
            <w:shd w:val="clear" w:color="auto" w:fill="auto"/>
          </w:tcPr>
          <w:p w:rsidR="002B229A" w:rsidRPr="00FB712F" w:rsidP="005F5226" w14:paraId="71F4E6F0" w14:textId="3346B2B1">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2</w:t>
            </w:r>
            <w:r w:rsidR="00E94DA0">
              <w:rPr>
                <w:rFonts w:ascii="Times New Roman" w:hAnsi="Times New Roman"/>
                <w:sz w:val="22"/>
                <w:szCs w:val="22"/>
              </w:rPr>
              <w:t>7</w:t>
            </w:r>
          </w:p>
        </w:tc>
        <w:tc>
          <w:tcPr>
            <w:tcW w:w="1675" w:type="dxa"/>
            <w:shd w:val="clear" w:color="auto" w:fill="auto"/>
          </w:tcPr>
          <w:p w:rsidR="002B229A" w:rsidRPr="00FB712F" w:rsidP="007332C7" w14:paraId="5B4C6AA4" w14:textId="77777777">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25%</w:t>
            </w:r>
          </w:p>
        </w:tc>
        <w:tc>
          <w:tcPr>
            <w:tcW w:w="1607" w:type="dxa"/>
            <w:shd w:val="clear" w:color="auto" w:fill="auto"/>
          </w:tcPr>
          <w:p w:rsidR="002B229A" w:rsidRPr="00FB712F" w:rsidP="001A4D5E" w14:paraId="1DA3ED52" w14:textId="3A41F802">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E94DA0">
              <w:rPr>
                <w:rFonts w:ascii="Times New Roman" w:hAnsi="Times New Roman"/>
                <w:sz w:val="22"/>
                <w:szCs w:val="22"/>
              </w:rPr>
              <w:t>7</w:t>
            </w:r>
          </w:p>
        </w:tc>
      </w:tr>
      <w:tr w14:paraId="6E7CCCA7" w14:textId="77777777" w:rsidTr="005F5226">
        <w:tblPrEx>
          <w:tblW w:w="9684" w:type="dxa"/>
          <w:jc w:val="center"/>
          <w:tblLook w:val="01E0"/>
        </w:tblPrEx>
        <w:trPr>
          <w:trHeight w:val="766"/>
          <w:jc w:val="center"/>
        </w:trPr>
        <w:tc>
          <w:tcPr>
            <w:tcW w:w="3055" w:type="dxa"/>
            <w:shd w:val="clear" w:color="auto" w:fill="auto"/>
          </w:tcPr>
          <w:p w:rsidR="002B229A" w:rsidRPr="00FB712F" w:rsidP="007332C7" w14:paraId="4B6EF1F2" w14:textId="58EC7A59">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Petroleum Engineers, Geologists</w:t>
            </w:r>
            <w:r w:rsidR="00693B37">
              <w:rPr>
                <w:rFonts w:ascii="Times New Roman" w:hAnsi="Times New Roman"/>
                <w:sz w:val="22"/>
                <w:szCs w:val="22"/>
              </w:rPr>
              <w:t>*</w:t>
            </w:r>
          </w:p>
          <w:p w:rsidR="002B229A" w:rsidRPr="00FB712F" w:rsidP="007332C7" w14:paraId="7A44BB02"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17-2171</w:t>
            </w:r>
          </w:p>
        </w:tc>
        <w:tc>
          <w:tcPr>
            <w:tcW w:w="1417" w:type="dxa"/>
            <w:shd w:val="clear" w:color="auto" w:fill="auto"/>
          </w:tcPr>
          <w:p w:rsidR="002B229A" w:rsidRPr="00FB712F" w:rsidP="00FF3675" w14:paraId="39C743B9" w14:textId="5B76FD99">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E94DA0">
              <w:rPr>
                <w:rFonts w:ascii="Times New Roman" w:hAnsi="Times New Roman"/>
                <w:sz w:val="22"/>
                <w:szCs w:val="22"/>
              </w:rPr>
              <w:t>77</w:t>
            </w:r>
          </w:p>
        </w:tc>
        <w:tc>
          <w:tcPr>
            <w:tcW w:w="1930" w:type="dxa"/>
            <w:shd w:val="clear" w:color="auto" w:fill="auto"/>
          </w:tcPr>
          <w:p w:rsidR="002B229A" w:rsidRPr="00FB712F" w:rsidP="005F5226" w14:paraId="2C7DDDC2" w14:textId="7EEBBD3B">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1</w:t>
            </w:r>
            <w:r w:rsidR="00E94DA0">
              <w:rPr>
                <w:rFonts w:ascii="Times New Roman" w:hAnsi="Times New Roman"/>
                <w:sz w:val="22"/>
                <w:szCs w:val="22"/>
              </w:rPr>
              <w:t>08</w:t>
            </w:r>
          </w:p>
        </w:tc>
        <w:tc>
          <w:tcPr>
            <w:tcW w:w="1675" w:type="dxa"/>
            <w:shd w:val="clear" w:color="auto" w:fill="auto"/>
          </w:tcPr>
          <w:p w:rsidR="002B229A" w:rsidRPr="00FB712F" w:rsidP="007332C7" w14:paraId="73B1353D" w14:textId="77777777">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65%</w:t>
            </w:r>
          </w:p>
        </w:tc>
        <w:tc>
          <w:tcPr>
            <w:tcW w:w="1607" w:type="dxa"/>
            <w:shd w:val="clear" w:color="auto" w:fill="auto"/>
          </w:tcPr>
          <w:p w:rsidR="002B229A" w:rsidRPr="00FB712F" w:rsidP="005F5226" w14:paraId="70545639" w14:textId="34C77ACB">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7</w:t>
            </w:r>
            <w:r w:rsidR="00E94DA0">
              <w:rPr>
                <w:rFonts w:ascii="Times New Roman" w:hAnsi="Times New Roman"/>
                <w:sz w:val="22"/>
                <w:szCs w:val="22"/>
              </w:rPr>
              <w:t>0</w:t>
            </w:r>
          </w:p>
        </w:tc>
      </w:tr>
      <w:tr w14:paraId="1E3758BD" w14:textId="77777777" w:rsidTr="005F5226">
        <w:tblPrEx>
          <w:tblW w:w="9684" w:type="dxa"/>
          <w:jc w:val="center"/>
          <w:tblLook w:val="01E0"/>
        </w:tblPrEx>
        <w:trPr>
          <w:trHeight w:val="248"/>
          <w:jc w:val="center"/>
        </w:trPr>
        <w:tc>
          <w:tcPr>
            <w:tcW w:w="3055" w:type="dxa"/>
            <w:shd w:val="clear" w:color="auto" w:fill="auto"/>
          </w:tcPr>
          <w:p w:rsidR="002B229A" w:rsidRPr="00FB712F" w:rsidP="007332C7" w14:paraId="44C41DED"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Engineer Managers</w:t>
            </w:r>
          </w:p>
          <w:p w:rsidR="002B229A" w:rsidRPr="00FB712F" w:rsidP="007332C7" w14:paraId="32BCDF4C"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11-9041</w:t>
            </w:r>
          </w:p>
        </w:tc>
        <w:tc>
          <w:tcPr>
            <w:tcW w:w="1417" w:type="dxa"/>
            <w:shd w:val="clear" w:color="auto" w:fill="auto"/>
          </w:tcPr>
          <w:p w:rsidR="002B229A" w:rsidRPr="00FB712F" w:rsidP="002B229A" w14:paraId="12CF240E" w14:textId="63BE890C">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E94DA0">
              <w:rPr>
                <w:rFonts w:ascii="Times New Roman" w:hAnsi="Times New Roman"/>
                <w:sz w:val="22"/>
                <w:szCs w:val="22"/>
              </w:rPr>
              <w:t>88</w:t>
            </w:r>
          </w:p>
        </w:tc>
        <w:tc>
          <w:tcPr>
            <w:tcW w:w="1930" w:type="dxa"/>
            <w:shd w:val="clear" w:color="auto" w:fill="auto"/>
          </w:tcPr>
          <w:p w:rsidR="002B229A" w:rsidRPr="00FB712F" w:rsidP="005F5226" w14:paraId="2FA6DE77" w14:textId="1F9C8041">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12</w:t>
            </w:r>
            <w:r w:rsidR="00E94DA0">
              <w:rPr>
                <w:rFonts w:ascii="Times New Roman" w:hAnsi="Times New Roman"/>
                <w:sz w:val="22"/>
                <w:szCs w:val="22"/>
              </w:rPr>
              <w:t>3</w:t>
            </w:r>
          </w:p>
        </w:tc>
        <w:tc>
          <w:tcPr>
            <w:tcW w:w="1675" w:type="dxa"/>
            <w:shd w:val="clear" w:color="auto" w:fill="auto"/>
          </w:tcPr>
          <w:p w:rsidR="002B229A" w:rsidRPr="00FB712F" w:rsidP="007332C7" w14:paraId="2FB1499B" w14:textId="77777777">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10%</w:t>
            </w:r>
          </w:p>
        </w:tc>
        <w:tc>
          <w:tcPr>
            <w:tcW w:w="1607" w:type="dxa"/>
            <w:shd w:val="clear" w:color="auto" w:fill="auto"/>
          </w:tcPr>
          <w:p w:rsidR="002B229A" w:rsidRPr="00FB712F" w:rsidP="005F5226" w14:paraId="3F619900" w14:textId="51F110DC">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w:t>
            </w:r>
            <w:r w:rsidR="00E94DA0">
              <w:rPr>
                <w:rFonts w:ascii="Times New Roman" w:hAnsi="Times New Roman"/>
                <w:sz w:val="22"/>
                <w:szCs w:val="22"/>
              </w:rPr>
              <w:t>2</w:t>
            </w:r>
          </w:p>
        </w:tc>
      </w:tr>
      <w:tr w14:paraId="5E1EF1FB" w14:textId="77777777" w:rsidTr="005F5226">
        <w:tblPrEx>
          <w:tblW w:w="9684" w:type="dxa"/>
          <w:jc w:val="center"/>
          <w:tblLook w:val="01E0"/>
        </w:tblPrEx>
        <w:trPr>
          <w:trHeight w:val="248"/>
          <w:jc w:val="center"/>
        </w:trPr>
        <w:tc>
          <w:tcPr>
            <w:tcW w:w="8077" w:type="dxa"/>
            <w:gridSpan w:val="4"/>
            <w:shd w:val="clear" w:color="auto" w:fill="auto"/>
          </w:tcPr>
          <w:p w:rsidR="002B229A" w:rsidRPr="00FB712F" w:rsidP="002B229A" w14:paraId="4C5405EE"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b/>
                <w:sz w:val="22"/>
                <w:szCs w:val="22"/>
              </w:rPr>
              <w:t>Weighted Average ($/hour)</w:t>
            </w:r>
          </w:p>
        </w:tc>
        <w:tc>
          <w:tcPr>
            <w:tcW w:w="1607" w:type="dxa"/>
            <w:shd w:val="clear" w:color="auto" w:fill="auto"/>
          </w:tcPr>
          <w:p w:rsidR="002B229A" w:rsidRPr="00FB712F" w:rsidP="007332C7" w14:paraId="4E7448F0" w14:textId="28209A32">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w:t>
            </w:r>
            <w:r w:rsidR="00E94DA0">
              <w:rPr>
                <w:rFonts w:ascii="Times New Roman" w:hAnsi="Times New Roman"/>
                <w:b/>
                <w:sz w:val="22"/>
                <w:szCs w:val="22"/>
              </w:rPr>
              <w:t>89</w:t>
            </w:r>
          </w:p>
        </w:tc>
      </w:tr>
    </w:tbl>
    <w:p w:rsidR="005F5226" w:rsidP="005F5226" w14:paraId="64361F5F" w14:textId="031E8C4B">
      <w:pPr>
        <w:widowControl/>
        <w:spacing w:line="240" w:lineRule="atLeast"/>
        <w:rPr>
          <w:rFonts w:ascii="Times New Roman" w:hAnsi="Times New Roman"/>
          <w:sz w:val="22"/>
          <w:szCs w:val="22"/>
        </w:rPr>
      </w:pPr>
      <w:r w:rsidRPr="00FB712F">
        <w:rPr>
          <w:rFonts w:ascii="Times New Roman" w:hAnsi="Times New Roman"/>
          <w:snapToGrid/>
          <w:sz w:val="22"/>
          <w:szCs w:val="22"/>
        </w:rPr>
        <w:t>The benefits multiplier of 1</w:t>
      </w:r>
      <w:r w:rsidRPr="00FB712F" w:rsidR="001A4D5E">
        <w:rPr>
          <w:rFonts w:ascii="Times New Roman" w:hAnsi="Times New Roman"/>
          <w:snapToGrid/>
          <w:sz w:val="22"/>
          <w:szCs w:val="22"/>
        </w:rPr>
        <w:t>.4</w:t>
      </w:r>
      <w:r w:rsidRPr="00FB712F">
        <w:rPr>
          <w:rFonts w:ascii="Times New Roman" w:hAnsi="Times New Roman"/>
          <w:snapToGrid/>
          <w:sz w:val="22"/>
          <w:szCs w:val="22"/>
        </w:rPr>
        <w:t xml:space="preserve"> is supported by data at:  </w:t>
      </w:r>
      <w:hyperlink r:id="rId6" w:history="1">
        <w:r w:rsidRPr="00FB712F">
          <w:rPr>
            <w:rStyle w:val="Hyperlink"/>
            <w:rFonts w:ascii="Times New Roman" w:hAnsi="Times New Roman"/>
            <w:sz w:val="22"/>
            <w:szCs w:val="22"/>
          </w:rPr>
          <w:t>http://www.bls.gov/news.release/ecec.nr0.htm</w:t>
        </w:r>
      </w:hyperlink>
      <w:r w:rsidRPr="00FB712F" w:rsidR="001A4D5E">
        <w:rPr>
          <w:rFonts w:ascii="Times New Roman" w:hAnsi="Times New Roman"/>
          <w:sz w:val="22"/>
          <w:szCs w:val="22"/>
        </w:rPr>
        <w:t>.</w:t>
      </w:r>
    </w:p>
    <w:p w:rsidR="00693B37" w:rsidRPr="00FB712F" w:rsidP="005F5226" w14:paraId="45F8BDA9" w14:textId="0234A629">
      <w:pPr>
        <w:widowControl/>
        <w:spacing w:line="240" w:lineRule="atLeast"/>
        <w:rPr>
          <w:rFonts w:ascii="Times New Roman" w:hAnsi="Times New Roman"/>
          <w:sz w:val="22"/>
          <w:szCs w:val="22"/>
        </w:rPr>
      </w:pPr>
      <w:r>
        <w:rPr>
          <w:rFonts w:ascii="Times New Roman" w:hAnsi="Times New Roman"/>
          <w:sz w:val="22"/>
          <w:szCs w:val="22"/>
        </w:rPr>
        <w:t>*Including archeologists within this wage rate category.</w:t>
      </w:r>
    </w:p>
    <w:p w:rsidR="005F5226" w:rsidRPr="00FB712F" w:rsidP="005F5226" w14:paraId="0B5E5CA7" w14:textId="77777777">
      <w:pPr>
        <w:widowControl/>
        <w:spacing w:line="240" w:lineRule="atLeast"/>
        <w:rPr>
          <w:rFonts w:ascii="Times New Roman" w:hAnsi="Times New Roman"/>
          <w:sz w:val="22"/>
          <w:szCs w:val="22"/>
        </w:rPr>
      </w:pPr>
    </w:p>
    <w:p w:rsidR="006F4019" w:rsidRPr="00B433FC" w:rsidP="005F5226" w14:paraId="3E151DAD" w14:textId="0FFA199E">
      <w:pPr>
        <w:widowControl/>
        <w:spacing w:line="240" w:lineRule="atLeast"/>
        <w:rPr>
          <w:rFonts w:ascii="Times New Roman" w:hAnsi="Times New Roman"/>
          <w:szCs w:val="24"/>
        </w:rPr>
      </w:pPr>
      <w:r w:rsidRPr="00FB712F">
        <w:rPr>
          <w:rFonts w:ascii="Times New Roman" w:hAnsi="Times New Roman"/>
          <w:szCs w:val="24"/>
        </w:rPr>
        <w:t>Based on a cos</w:t>
      </w:r>
      <w:r w:rsidRPr="00FB712F" w:rsidR="00917A24">
        <w:rPr>
          <w:rFonts w:ascii="Times New Roman" w:hAnsi="Times New Roman"/>
          <w:szCs w:val="24"/>
        </w:rPr>
        <w:t>t factor of $</w:t>
      </w:r>
      <w:r w:rsidR="00E94DA0">
        <w:rPr>
          <w:rFonts w:ascii="Times New Roman" w:hAnsi="Times New Roman"/>
          <w:szCs w:val="24"/>
        </w:rPr>
        <w:t>89</w:t>
      </w:r>
      <w:r w:rsidRPr="00FB712F">
        <w:rPr>
          <w:rFonts w:ascii="Times New Roman" w:hAnsi="Times New Roman"/>
          <w:szCs w:val="24"/>
        </w:rPr>
        <w:t xml:space="preserve"> per hour, we estimate the </w:t>
      </w:r>
      <w:r w:rsidRPr="00FB712F" w:rsidR="00992981">
        <w:rPr>
          <w:rFonts w:ascii="Times New Roman" w:hAnsi="Times New Roman"/>
          <w:szCs w:val="24"/>
        </w:rPr>
        <w:t xml:space="preserve">hour burden as a dollar equivalent </w:t>
      </w:r>
      <w:r w:rsidRPr="00FB712F">
        <w:rPr>
          <w:rFonts w:ascii="Times New Roman" w:hAnsi="Times New Roman"/>
          <w:szCs w:val="24"/>
        </w:rPr>
        <w:t>to industry is $</w:t>
      </w:r>
      <w:r w:rsidR="001D7FF4">
        <w:rPr>
          <w:rFonts w:ascii="Times New Roman" w:hAnsi="Times New Roman"/>
          <w:szCs w:val="24"/>
        </w:rPr>
        <w:t>44,945</w:t>
      </w:r>
      <w:r w:rsidRPr="00FB712F" w:rsidR="00EB3E97">
        <w:rPr>
          <w:rFonts w:ascii="Times New Roman" w:hAnsi="Times New Roman"/>
          <w:szCs w:val="24"/>
        </w:rPr>
        <w:t xml:space="preserve"> </w:t>
      </w:r>
      <w:r w:rsidRPr="00FB712F">
        <w:rPr>
          <w:rFonts w:ascii="Times New Roman" w:hAnsi="Times New Roman"/>
          <w:szCs w:val="24"/>
        </w:rPr>
        <w:t>($</w:t>
      </w:r>
      <w:r w:rsidR="00E94DA0">
        <w:rPr>
          <w:rFonts w:ascii="Times New Roman" w:hAnsi="Times New Roman"/>
          <w:szCs w:val="24"/>
        </w:rPr>
        <w:t>89</w:t>
      </w:r>
      <w:r w:rsidRPr="00FB712F" w:rsidR="0021160C">
        <w:rPr>
          <w:rFonts w:ascii="Times New Roman" w:hAnsi="Times New Roman"/>
          <w:szCs w:val="24"/>
        </w:rPr>
        <w:t xml:space="preserve"> </w:t>
      </w:r>
      <w:r w:rsidRPr="00FB712F">
        <w:rPr>
          <w:rFonts w:ascii="Times New Roman" w:hAnsi="Times New Roman"/>
          <w:szCs w:val="24"/>
        </w:rPr>
        <w:t xml:space="preserve">x </w:t>
      </w:r>
      <w:r w:rsidR="001D7FF4">
        <w:rPr>
          <w:rFonts w:ascii="Times New Roman" w:hAnsi="Times New Roman"/>
          <w:szCs w:val="24"/>
        </w:rPr>
        <w:t>505</w:t>
      </w:r>
      <w:r w:rsidRPr="00FB712F">
        <w:rPr>
          <w:rFonts w:ascii="Times New Roman" w:hAnsi="Times New Roman"/>
          <w:szCs w:val="24"/>
        </w:rPr>
        <w:t xml:space="preserve"> hours).</w:t>
      </w:r>
      <w:r w:rsidRPr="00B433FC">
        <w:rPr>
          <w:rFonts w:ascii="Times New Roman" w:hAnsi="Times New Roman"/>
          <w:szCs w:val="24"/>
        </w:rPr>
        <w:t xml:space="preserve">  </w:t>
      </w:r>
    </w:p>
    <w:p w:rsidR="009308F8" w:rsidP="00FB4A6A" w14:paraId="4B2059BA" w14:textId="77777777">
      <w:pPr>
        <w:widowControl/>
        <w:tabs>
          <w:tab w:val="left" w:pos="-1080"/>
          <w:tab w:val="left" w:pos="-720"/>
          <w:tab w:val="left" w:pos="0"/>
          <w:tab w:val="left" w:pos="450"/>
          <w:tab w:val="left" w:pos="900"/>
          <w:tab w:val="left" w:pos="1350"/>
          <w:tab w:val="left" w:pos="2880"/>
        </w:tabs>
      </w:pPr>
    </w:p>
    <w:p w:rsidR="00B42478" w:rsidP="00B42478" w14:paraId="331F1348"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Pr>
          <w:rFonts w:ascii="Times New Roman" w:hAnsi="Times New Roman"/>
          <w:b/>
          <w:i/>
        </w:rPr>
        <w:t xml:space="preserve">n estimate of the total annual </w:t>
      </w:r>
      <w:r w:rsidRPr="00600EEB">
        <w:rPr>
          <w:rFonts w:ascii="Times New Roman" w:hAnsi="Times New Roman"/>
          <w:b/>
          <w:i/>
        </w:rPr>
        <w:t>non-hour cost burden to respondents or recordkeepers resulting from the collection of information.  (Do not include the cost of any hour burden shown in Item 12).</w:t>
      </w:r>
    </w:p>
    <w:p w:rsidR="00B42478" w:rsidRPr="00600EEB" w:rsidP="00B42478" w14:paraId="4A337B69" w14:textId="77777777">
      <w:pPr>
        <w:widowControl/>
        <w:tabs>
          <w:tab w:val="left" w:pos="-1080"/>
          <w:tab w:val="left" w:pos="-720"/>
          <w:tab w:val="left" w:pos="360"/>
          <w:tab w:val="left" w:pos="810"/>
        </w:tabs>
        <w:rPr>
          <w:rFonts w:ascii="Times New Roman" w:hAnsi="Times New Roman"/>
          <w:b/>
          <w:i/>
        </w:rPr>
      </w:pPr>
    </w:p>
    <w:p w:rsidR="00B42478" w:rsidRPr="003B4A53" w:rsidP="00B42478" w14:paraId="341245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t>(a)</w:t>
      </w:r>
      <w:r w:rsidRPr="00600EEB">
        <w:rPr>
          <w:rFonts w:ascii="Times New Roman" w:hAnsi="Times New Roman"/>
          <w:b/>
          <w:i/>
        </w:rPr>
        <w:t xml:space="preserve"> </w:t>
      </w:r>
      <w:r w:rsidRPr="003B4A53">
        <w:rPr>
          <w:rFonts w:ascii="Times New Roman" w:hAnsi="Times New Roman"/>
          <w:b/>
          <w:i/>
          <w:snapToGrid/>
          <w:szCs w:val="24"/>
        </w:rPr>
        <w:t xml:space="preserve">The cost estimate should be split into two components: (a) a </w:t>
      </w:r>
      <w:r>
        <w:rPr>
          <w:rFonts w:ascii="Times New Roman" w:hAnsi="Times New Roman"/>
          <w:b/>
          <w:i/>
          <w:snapToGrid/>
          <w:szCs w:val="24"/>
        </w:rPr>
        <w:t xml:space="preserve">total capital and start-up cost </w:t>
      </w:r>
      <w:r w:rsidRPr="003B4A53">
        <w:rPr>
          <w:rFonts w:ascii="Times New Roman" w:hAnsi="Times New Roman"/>
          <w:b/>
          <w:i/>
          <w:snapToGrid/>
          <w:szCs w:val="24"/>
        </w:rPr>
        <w:t>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2478" w:rsidRPr="00600EEB" w:rsidP="00B42478" w14:paraId="3BF5E8D5" w14:textId="77777777">
      <w:pPr>
        <w:widowControl/>
        <w:tabs>
          <w:tab w:val="left" w:pos="-1080"/>
          <w:tab w:val="left" w:pos="-720"/>
          <w:tab w:val="left" w:pos="360"/>
          <w:tab w:val="left" w:pos="810"/>
        </w:tabs>
        <w:rPr>
          <w:rFonts w:ascii="Times New Roman" w:hAnsi="Times New Roman"/>
          <w:b/>
          <w:i/>
        </w:rPr>
      </w:pPr>
    </w:p>
    <w:p w:rsidR="00B42478" w:rsidRPr="007F080B" w:rsidP="00B42478" w14:paraId="63F20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t>(b)</w:t>
      </w:r>
      <w:r w:rsidRPr="00600EEB">
        <w:rPr>
          <w:rFonts w:ascii="Times New Roman" w:hAnsi="Times New Roman"/>
          <w:b/>
          <w:i/>
        </w:rPr>
        <w:t xml:space="preserve"> </w:t>
      </w:r>
      <w:r w:rsidRPr="007F080B">
        <w:rPr>
          <w:rFonts w:ascii="Times New Roman" w:hAnsi="Times New Roman"/>
          <w:b/>
          <w:i/>
          <w:snapToGrid/>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2478" w:rsidP="00B42478" w14:paraId="560665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i/>
        </w:rPr>
      </w:pPr>
    </w:p>
    <w:p w:rsidR="00B42478" w:rsidRPr="00F365EE" w:rsidP="00B42478" w14:paraId="4E628A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r>
      <w:r w:rsidRPr="00AF2A4E">
        <w:rPr>
          <w:rFonts w:ascii="Times New Roman" w:hAnsi="Times New Roman"/>
          <w:b/>
          <w:i/>
        </w:rPr>
        <w:t>(c)</w:t>
      </w:r>
      <w:r w:rsidRPr="00600EEB">
        <w:rPr>
          <w:rFonts w:ascii="Times New Roman" w:hAnsi="Times New Roman"/>
          <w:b/>
          <w:i/>
        </w:rPr>
        <w:t xml:space="preserve"> </w:t>
      </w:r>
      <w:r w:rsidRPr="00F365EE">
        <w:rPr>
          <w:rFonts w:ascii="Times New Roman" w:hAnsi="Times New Roman"/>
          <w:b/>
          <w:i/>
          <w:snapToGrid/>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0DF2" w:rsidP="00BA0DF2" w14:paraId="3569AB06" w14:textId="77777777">
      <w:pPr>
        <w:widowControl/>
        <w:tabs>
          <w:tab w:val="left" w:pos="-1080"/>
          <w:tab w:val="left" w:pos="-720"/>
          <w:tab w:val="left" w:pos="360"/>
          <w:tab w:val="left" w:pos="810"/>
        </w:tabs>
        <w:rPr>
          <w:rFonts w:ascii="Times New Roman" w:hAnsi="Times New Roman"/>
        </w:rPr>
      </w:pPr>
    </w:p>
    <w:p w:rsidR="00746A48" w:rsidP="00746A48" w14:paraId="31D2C552" w14:textId="53FC146E">
      <w:pPr>
        <w:widowControl/>
        <w:tabs>
          <w:tab w:val="left" w:pos="-1080"/>
          <w:tab w:val="left" w:pos="-720"/>
          <w:tab w:val="left" w:pos="360"/>
          <w:tab w:val="left" w:pos="720"/>
        </w:tabs>
        <w:rPr>
          <w:rFonts w:ascii="Times New Roman" w:hAnsi="Times New Roman"/>
        </w:rPr>
      </w:pPr>
      <w:r>
        <w:rPr>
          <w:rFonts w:ascii="Times New Roman" w:hAnsi="Times New Roman"/>
        </w:rPr>
        <w:t>There are no non-hour cost burdens related to this information collection request.</w:t>
      </w:r>
    </w:p>
    <w:p w:rsidR="00BA0DF2" w:rsidP="00BA0DF2" w14:paraId="7DE8A0D8" w14:textId="77777777">
      <w:pPr>
        <w:widowControl/>
        <w:tabs>
          <w:tab w:val="left" w:pos="-1080"/>
          <w:tab w:val="left" w:pos="-720"/>
          <w:tab w:val="left" w:pos="360"/>
          <w:tab w:val="left" w:pos="810"/>
        </w:tabs>
        <w:rPr>
          <w:rFonts w:ascii="Times New Roman" w:hAnsi="Times New Roman"/>
        </w:rPr>
      </w:pPr>
    </w:p>
    <w:p w:rsidR="00115812" w:rsidRPr="00AA204D" w:rsidP="00115812" w14:paraId="606F7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napToGrid/>
          <w:szCs w:val="24"/>
        </w:rPr>
      </w:pPr>
      <w:r w:rsidRPr="00600EEB">
        <w:rPr>
          <w:rFonts w:ascii="Times New Roman" w:hAnsi="Times New Roman"/>
          <w:b/>
          <w:i/>
        </w:rPr>
        <w:t>14.</w:t>
      </w:r>
      <w:r>
        <w:rPr>
          <w:rFonts w:ascii="Times New Roman" w:hAnsi="Times New Roman"/>
          <w:b/>
          <w:i/>
        </w:rPr>
        <w:t xml:space="preserve">  </w:t>
      </w:r>
      <w:r w:rsidRPr="00AA204D">
        <w:rPr>
          <w:rFonts w:ascii="Times New Roman" w:hAnsi="Times New Roman"/>
          <w:b/>
          <w:i/>
          <w:snapToGri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A204D">
        <w:rPr>
          <w:rFonts w:ascii="Times New Roman" w:hAnsi="Times New Roman"/>
          <w:snapToGrid/>
          <w:szCs w:val="24"/>
        </w:rPr>
        <w:t xml:space="preserve"> </w:t>
      </w:r>
    </w:p>
    <w:p w:rsidR="00C0401D" w:rsidP="00C0401D" w14:paraId="2F67094D" w14:textId="77777777">
      <w:pPr>
        <w:widowControl/>
        <w:tabs>
          <w:tab w:val="left" w:pos="-1080"/>
          <w:tab w:val="left" w:pos="-720"/>
          <w:tab w:val="left" w:pos="360"/>
          <w:tab w:val="left" w:pos="810"/>
        </w:tabs>
        <w:rPr>
          <w:rFonts w:ascii="Times New Roman" w:hAnsi="Times New Roman"/>
          <w:b/>
        </w:rPr>
      </w:pPr>
    </w:p>
    <w:p w:rsidR="006F4019" w:rsidRPr="00D6663A" w:rsidP="006F4019" w14:paraId="1EDC94F5" w14:textId="033614AD">
      <w:pPr>
        <w:widowControl/>
        <w:tabs>
          <w:tab w:val="left" w:pos="-1080"/>
          <w:tab w:val="left" w:pos="-720"/>
          <w:tab w:val="left" w:pos="360"/>
          <w:tab w:val="left" w:pos="720"/>
        </w:tabs>
        <w:rPr>
          <w:rFonts w:ascii="Times New Roman" w:hAnsi="Times New Roman"/>
        </w:rPr>
      </w:pPr>
      <w:r w:rsidRPr="00D6663A">
        <w:rPr>
          <w:rFonts w:ascii="Times New Roman" w:hAnsi="Times New Roman"/>
        </w:rPr>
        <w:t xml:space="preserve">To analyze and review the information required by </w:t>
      </w:r>
      <w:r w:rsidRPr="00D6663A" w:rsidR="007D652F">
        <w:rPr>
          <w:rFonts w:ascii="Times New Roman" w:hAnsi="Times New Roman"/>
        </w:rPr>
        <w:t>s</w:t>
      </w:r>
      <w:r w:rsidRPr="00D6663A">
        <w:rPr>
          <w:rFonts w:ascii="Times New Roman" w:hAnsi="Times New Roman"/>
        </w:rPr>
        <w:t>ubpart</w:t>
      </w:r>
      <w:r w:rsidRPr="00D6663A" w:rsidR="00992981">
        <w:rPr>
          <w:rFonts w:ascii="Times New Roman" w:hAnsi="Times New Roman"/>
        </w:rPr>
        <w:t>s</w:t>
      </w:r>
      <w:r w:rsidRPr="00D6663A">
        <w:rPr>
          <w:rFonts w:ascii="Times New Roman" w:hAnsi="Times New Roman"/>
        </w:rPr>
        <w:t xml:space="preserve"> A</w:t>
      </w:r>
      <w:r w:rsidRPr="00D6663A" w:rsidR="00992981">
        <w:rPr>
          <w:rFonts w:ascii="Times New Roman" w:hAnsi="Times New Roman"/>
        </w:rPr>
        <w:t xml:space="preserve"> and K</w:t>
      </w:r>
      <w:r w:rsidRPr="00D6663A">
        <w:rPr>
          <w:rFonts w:ascii="Times New Roman" w:hAnsi="Times New Roman"/>
        </w:rPr>
        <w:t xml:space="preserve">, we estimate the Government will spend an average of approximately ¾ hour for each hour spent by the respondents for a total of </w:t>
      </w:r>
      <w:r w:rsidR="00693B37">
        <w:rPr>
          <w:rFonts w:ascii="Times New Roman" w:hAnsi="Times New Roman"/>
        </w:rPr>
        <w:t>379</w:t>
      </w:r>
      <w:r w:rsidRPr="00D6663A" w:rsidR="007259C4">
        <w:rPr>
          <w:rFonts w:ascii="Times New Roman" w:hAnsi="Times New Roman"/>
        </w:rPr>
        <w:t xml:space="preserve"> </w:t>
      </w:r>
      <w:r w:rsidRPr="00D6663A" w:rsidR="006157D4">
        <w:rPr>
          <w:rFonts w:ascii="Times New Roman" w:hAnsi="Times New Roman"/>
        </w:rPr>
        <w:t xml:space="preserve">(rounded) </w:t>
      </w:r>
      <w:r w:rsidRPr="00D6663A">
        <w:rPr>
          <w:rFonts w:ascii="Times New Roman" w:hAnsi="Times New Roman"/>
        </w:rPr>
        <w:t xml:space="preserve">hours.  </w:t>
      </w:r>
    </w:p>
    <w:p w:rsidR="007D652F" w:rsidRPr="00086EDC" w:rsidP="006F4019" w14:paraId="0F4B4782" w14:textId="77777777">
      <w:pPr>
        <w:widowControl/>
        <w:tabs>
          <w:tab w:val="left" w:pos="-1080"/>
          <w:tab w:val="left" w:pos="-720"/>
          <w:tab w:val="left" w:pos="360"/>
          <w:tab w:val="left" w:pos="720"/>
        </w:tabs>
        <w:rPr>
          <w:rFonts w:ascii="Times New Roman" w:hAnsi="Times New Roman"/>
          <w:highlight w:val="yellow"/>
        </w:rPr>
      </w:pPr>
    </w:p>
    <w:p w:rsidR="007D652F" w:rsidRPr="001B3E22" w:rsidP="007D652F" w14:paraId="56030B29" w14:textId="0158953C">
      <w:pPr>
        <w:tabs>
          <w:tab w:val="left" w:pos="-1080"/>
          <w:tab w:val="left" w:pos="-720"/>
          <w:tab w:val="left" w:pos="360"/>
          <w:tab w:val="left" w:pos="810"/>
        </w:tabs>
        <w:rPr>
          <w:rFonts w:ascii="Times New Roman" w:hAnsi="Times New Roman"/>
        </w:rPr>
      </w:pPr>
      <w:r w:rsidRPr="001629AB">
        <w:rPr>
          <w:rFonts w:ascii="Times New Roman" w:hAnsi="Times New Roman"/>
        </w:rPr>
        <w:t>The average government cost is $</w:t>
      </w:r>
      <w:r w:rsidR="001B3E22">
        <w:rPr>
          <w:rFonts w:ascii="Times New Roman" w:hAnsi="Times New Roman"/>
        </w:rPr>
        <w:t>75</w:t>
      </w:r>
      <w:r w:rsidRPr="001629AB">
        <w:rPr>
          <w:rFonts w:ascii="Times New Roman" w:hAnsi="Times New Roman"/>
        </w:rPr>
        <w:t xml:space="preserve">/hour.  This cost is broken out in the below table using the current Office of Personnel Management salary data for the REST OF THE UNITED STATES </w:t>
      </w:r>
      <w:r w:rsidRPr="001B3E22" w:rsidR="001B3E22">
        <w:rPr>
          <w:rFonts w:ascii="Times New Roman" w:hAnsi="Times New Roman"/>
        </w:rPr>
        <w:t>https://www.opm.gov/policy-data-oversight/pay-leave/salaries-wages/salary-tables/22Tables/html/RUS_h.aspx</w:t>
      </w:r>
      <w:r w:rsidRPr="001B3E22">
        <w:rPr>
          <w:rFonts w:ascii="Times New Roman" w:hAnsi="Times New Roman"/>
        </w:rPr>
        <w:t xml:space="preserve">.   </w:t>
      </w:r>
    </w:p>
    <w:p w:rsidR="006F4019" w:rsidRPr="001629AB" w:rsidP="006F4019" w14:paraId="4DD001EE" w14:textId="77777777">
      <w:pPr>
        <w:widowControl/>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14:paraId="50C09543" w14:textId="77777777" w:rsidTr="007332C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6F4019" w:rsidRPr="001629AB" w:rsidP="007332C7" w14:paraId="3FE6DFBA" w14:textId="77777777">
            <w:pPr>
              <w:widowControl/>
              <w:tabs>
                <w:tab w:val="left" w:pos="360"/>
                <w:tab w:val="left" w:pos="720"/>
                <w:tab w:val="left" w:pos="1080"/>
              </w:tabs>
              <w:rPr>
                <w:rFonts w:ascii="Times New Roman" w:hAnsi="Times New Roman"/>
                <w:b/>
                <w:sz w:val="22"/>
                <w:szCs w:val="22"/>
              </w:rPr>
            </w:pPr>
            <w:r w:rsidRPr="001629AB">
              <w:rPr>
                <w:rFonts w:ascii="Times New Roman" w:hAnsi="Times New Roman"/>
                <w:b/>
                <w:sz w:val="22"/>
                <w:szCs w:val="22"/>
              </w:rPr>
              <w:t>Position</w:t>
            </w:r>
          </w:p>
        </w:tc>
        <w:tc>
          <w:tcPr>
            <w:tcW w:w="1426" w:type="dxa"/>
            <w:shd w:val="clear" w:color="auto" w:fill="auto"/>
            <w:vAlign w:val="center"/>
          </w:tcPr>
          <w:p w:rsidR="006F4019" w:rsidRPr="001629AB" w:rsidP="007332C7" w14:paraId="1721BB5D"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Grade</w:t>
            </w:r>
          </w:p>
        </w:tc>
        <w:tc>
          <w:tcPr>
            <w:tcW w:w="1405" w:type="dxa"/>
            <w:shd w:val="clear" w:color="auto" w:fill="auto"/>
          </w:tcPr>
          <w:p w:rsidR="006F4019" w:rsidRPr="001629AB" w:rsidP="007332C7" w14:paraId="041D9BA2"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Hourly Pay rate ($/hour estimate)</w:t>
            </w:r>
          </w:p>
        </w:tc>
        <w:tc>
          <w:tcPr>
            <w:tcW w:w="1979" w:type="dxa"/>
            <w:shd w:val="clear" w:color="auto" w:fill="auto"/>
          </w:tcPr>
          <w:p w:rsidR="006F4019" w:rsidRPr="001629AB" w:rsidP="00881D5E" w14:paraId="7EE835D8"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Hourly rate including benefits (1.</w:t>
            </w:r>
            <w:r w:rsidRPr="001629AB" w:rsidR="00881D5E">
              <w:rPr>
                <w:rFonts w:ascii="Times New Roman" w:hAnsi="Times New Roman"/>
                <w:b/>
                <w:sz w:val="22"/>
                <w:szCs w:val="22"/>
              </w:rPr>
              <w:t>6</w:t>
            </w:r>
            <w:r w:rsidRPr="001629AB">
              <w:rPr>
                <w:rFonts w:ascii="Times New Roman" w:hAnsi="Times New Roman"/>
                <w:b/>
                <w:sz w:val="22"/>
                <w:szCs w:val="22"/>
              </w:rPr>
              <w:t>* x $/hour)</w:t>
            </w:r>
          </w:p>
        </w:tc>
        <w:tc>
          <w:tcPr>
            <w:tcW w:w="1430" w:type="dxa"/>
            <w:shd w:val="clear" w:color="auto" w:fill="auto"/>
          </w:tcPr>
          <w:p w:rsidR="006F4019" w:rsidRPr="001629AB" w:rsidP="007332C7" w14:paraId="2D668ED0"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Percent of time spent on collection</w:t>
            </w:r>
          </w:p>
        </w:tc>
        <w:tc>
          <w:tcPr>
            <w:tcW w:w="1361" w:type="dxa"/>
            <w:shd w:val="clear" w:color="auto" w:fill="auto"/>
          </w:tcPr>
          <w:p w:rsidR="006F4019" w:rsidRPr="001629AB" w:rsidP="007332C7" w14:paraId="52819867"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Weighted Average ($/hour)</w:t>
            </w:r>
          </w:p>
        </w:tc>
      </w:tr>
      <w:tr w14:paraId="5DF78049" w14:textId="77777777" w:rsidTr="007332C7">
        <w:tblPrEx>
          <w:tblW w:w="10080" w:type="dxa"/>
          <w:tblInd w:w="108" w:type="dxa"/>
          <w:tblLook w:val="01E0"/>
        </w:tblPrEx>
        <w:tc>
          <w:tcPr>
            <w:tcW w:w="2479" w:type="dxa"/>
            <w:shd w:val="clear" w:color="auto" w:fill="auto"/>
          </w:tcPr>
          <w:p w:rsidR="006F4019" w:rsidRPr="001629AB" w:rsidP="007332C7" w14:paraId="072B101F"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Clerical</w:t>
            </w:r>
          </w:p>
        </w:tc>
        <w:tc>
          <w:tcPr>
            <w:tcW w:w="1426" w:type="dxa"/>
            <w:shd w:val="clear" w:color="auto" w:fill="auto"/>
          </w:tcPr>
          <w:p w:rsidR="006F4019" w:rsidRPr="001629AB" w:rsidP="007332C7" w14:paraId="1A163481"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GS-5/5</w:t>
            </w:r>
          </w:p>
        </w:tc>
        <w:tc>
          <w:tcPr>
            <w:tcW w:w="1405" w:type="dxa"/>
            <w:shd w:val="clear" w:color="auto" w:fill="auto"/>
          </w:tcPr>
          <w:p w:rsidR="006F4019" w:rsidRPr="001629AB" w:rsidP="007332C7" w14:paraId="60E8F807" w14:textId="4870C8C0">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1B3E22">
              <w:rPr>
                <w:rFonts w:ascii="Times New Roman" w:hAnsi="Times New Roman"/>
                <w:sz w:val="22"/>
                <w:szCs w:val="22"/>
              </w:rPr>
              <w:t>20</w:t>
            </w:r>
          </w:p>
        </w:tc>
        <w:tc>
          <w:tcPr>
            <w:tcW w:w="1979" w:type="dxa"/>
            <w:shd w:val="clear" w:color="auto" w:fill="auto"/>
          </w:tcPr>
          <w:p w:rsidR="006F4019" w:rsidRPr="001629AB" w:rsidP="00881D5E" w14:paraId="6480031A" w14:textId="04B4EAA6">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1B3E22">
              <w:rPr>
                <w:rFonts w:ascii="Times New Roman" w:hAnsi="Times New Roman"/>
                <w:sz w:val="22"/>
                <w:szCs w:val="22"/>
              </w:rPr>
              <w:t>32</w:t>
            </w:r>
          </w:p>
        </w:tc>
        <w:tc>
          <w:tcPr>
            <w:tcW w:w="1430" w:type="dxa"/>
            <w:shd w:val="clear" w:color="auto" w:fill="auto"/>
          </w:tcPr>
          <w:p w:rsidR="006F4019" w:rsidRPr="001629AB" w:rsidP="007332C7" w14:paraId="1E03DF21"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4%</w:t>
            </w:r>
          </w:p>
        </w:tc>
        <w:tc>
          <w:tcPr>
            <w:tcW w:w="1361" w:type="dxa"/>
            <w:shd w:val="clear" w:color="auto" w:fill="auto"/>
          </w:tcPr>
          <w:p w:rsidR="006F4019" w:rsidRPr="001629AB" w:rsidP="007332C7" w14:paraId="1593B0EF"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p>
        </w:tc>
      </w:tr>
      <w:tr w14:paraId="70654337" w14:textId="77777777" w:rsidTr="007332C7">
        <w:tblPrEx>
          <w:tblW w:w="10080" w:type="dxa"/>
          <w:tblInd w:w="108" w:type="dxa"/>
          <w:tblLook w:val="01E0"/>
        </w:tblPrEx>
        <w:tc>
          <w:tcPr>
            <w:tcW w:w="2479" w:type="dxa"/>
            <w:shd w:val="clear" w:color="auto" w:fill="auto"/>
          </w:tcPr>
          <w:p w:rsidR="006F4019" w:rsidRPr="001629AB" w:rsidP="007332C7" w14:paraId="7B016AF3"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Technician(s)</w:t>
            </w:r>
          </w:p>
        </w:tc>
        <w:tc>
          <w:tcPr>
            <w:tcW w:w="1426" w:type="dxa"/>
            <w:shd w:val="clear" w:color="auto" w:fill="auto"/>
          </w:tcPr>
          <w:p w:rsidR="006F4019" w:rsidRPr="001629AB" w:rsidP="007332C7" w14:paraId="0070E4D7"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GS-11/5</w:t>
            </w:r>
          </w:p>
        </w:tc>
        <w:tc>
          <w:tcPr>
            <w:tcW w:w="1405" w:type="dxa"/>
            <w:shd w:val="clear" w:color="auto" w:fill="auto"/>
          </w:tcPr>
          <w:p w:rsidR="006F4019" w:rsidRPr="001629AB" w:rsidP="007332C7" w14:paraId="0607C9A0" w14:textId="2B9AA17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$3</w:t>
            </w:r>
            <w:r w:rsidR="001B3E22">
              <w:rPr>
                <w:rFonts w:ascii="Times New Roman" w:hAnsi="Times New Roman"/>
                <w:sz w:val="22"/>
                <w:szCs w:val="22"/>
              </w:rPr>
              <w:t>6</w:t>
            </w:r>
          </w:p>
        </w:tc>
        <w:tc>
          <w:tcPr>
            <w:tcW w:w="1979" w:type="dxa"/>
            <w:shd w:val="clear" w:color="auto" w:fill="auto"/>
          </w:tcPr>
          <w:p w:rsidR="006F4019" w:rsidRPr="001629AB" w:rsidP="007332C7" w14:paraId="73CEB778" w14:textId="6631572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A445C9">
              <w:rPr>
                <w:rFonts w:ascii="Times New Roman" w:hAnsi="Times New Roman"/>
                <w:sz w:val="22"/>
                <w:szCs w:val="22"/>
              </w:rPr>
              <w:t>5</w:t>
            </w:r>
            <w:r w:rsidR="001B3E22">
              <w:rPr>
                <w:rFonts w:ascii="Times New Roman" w:hAnsi="Times New Roman"/>
                <w:sz w:val="22"/>
                <w:szCs w:val="22"/>
              </w:rPr>
              <w:t>8</w:t>
            </w:r>
          </w:p>
        </w:tc>
        <w:tc>
          <w:tcPr>
            <w:tcW w:w="1430" w:type="dxa"/>
            <w:shd w:val="clear" w:color="auto" w:fill="auto"/>
          </w:tcPr>
          <w:p w:rsidR="006F4019" w:rsidRPr="001629AB" w:rsidP="007332C7" w14:paraId="5C6172B5"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25%</w:t>
            </w:r>
          </w:p>
        </w:tc>
        <w:tc>
          <w:tcPr>
            <w:tcW w:w="1361" w:type="dxa"/>
            <w:shd w:val="clear" w:color="auto" w:fill="auto"/>
          </w:tcPr>
          <w:p w:rsidR="006F4019" w:rsidRPr="001629AB" w:rsidP="007332C7" w14:paraId="217A6AF0" w14:textId="0DE955DA">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r w:rsidR="001B3E22">
              <w:rPr>
                <w:rFonts w:ascii="Times New Roman" w:hAnsi="Times New Roman"/>
                <w:sz w:val="22"/>
                <w:szCs w:val="22"/>
              </w:rPr>
              <w:t>5</w:t>
            </w:r>
          </w:p>
        </w:tc>
      </w:tr>
      <w:tr w14:paraId="6A7AB97A" w14:textId="77777777" w:rsidTr="007332C7">
        <w:tblPrEx>
          <w:tblW w:w="10080" w:type="dxa"/>
          <w:tblInd w:w="108" w:type="dxa"/>
          <w:tblLook w:val="01E0"/>
        </w:tblPrEx>
        <w:tc>
          <w:tcPr>
            <w:tcW w:w="2479" w:type="dxa"/>
            <w:shd w:val="clear" w:color="auto" w:fill="auto"/>
          </w:tcPr>
          <w:p w:rsidR="006F4019" w:rsidRPr="001629AB" w:rsidP="007332C7" w14:paraId="77D08080"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Engineer(s)</w:t>
            </w:r>
          </w:p>
        </w:tc>
        <w:tc>
          <w:tcPr>
            <w:tcW w:w="1426" w:type="dxa"/>
            <w:shd w:val="clear" w:color="auto" w:fill="auto"/>
          </w:tcPr>
          <w:p w:rsidR="006F4019" w:rsidRPr="001629AB" w:rsidP="007332C7" w14:paraId="14DEA185"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GS-13/5</w:t>
            </w:r>
          </w:p>
        </w:tc>
        <w:tc>
          <w:tcPr>
            <w:tcW w:w="1405" w:type="dxa"/>
            <w:shd w:val="clear" w:color="auto" w:fill="auto"/>
          </w:tcPr>
          <w:p w:rsidR="006F4019" w:rsidRPr="001629AB" w:rsidP="007332C7" w14:paraId="3BE717E6" w14:textId="52CF4C8B">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1B3E22">
              <w:rPr>
                <w:rFonts w:ascii="Times New Roman" w:hAnsi="Times New Roman"/>
                <w:sz w:val="22"/>
                <w:szCs w:val="22"/>
              </w:rPr>
              <w:t>51</w:t>
            </w:r>
          </w:p>
        </w:tc>
        <w:tc>
          <w:tcPr>
            <w:tcW w:w="1979" w:type="dxa"/>
            <w:shd w:val="clear" w:color="auto" w:fill="auto"/>
          </w:tcPr>
          <w:p w:rsidR="006F4019" w:rsidRPr="001629AB" w:rsidP="007332C7" w14:paraId="2B8CAF51" w14:textId="392B40D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1B3E22">
              <w:rPr>
                <w:rFonts w:ascii="Times New Roman" w:hAnsi="Times New Roman"/>
                <w:sz w:val="22"/>
                <w:szCs w:val="22"/>
              </w:rPr>
              <w:t>82</w:t>
            </w:r>
          </w:p>
        </w:tc>
        <w:tc>
          <w:tcPr>
            <w:tcW w:w="1430" w:type="dxa"/>
            <w:shd w:val="clear" w:color="auto" w:fill="auto"/>
          </w:tcPr>
          <w:p w:rsidR="006F4019" w:rsidRPr="001629AB" w:rsidP="007332C7" w14:paraId="4F2E8B52"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65%</w:t>
            </w:r>
          </w:p>
        </w:tc>
        <w:tc>
          <w:tcPr>
            <w:tcW w:w="1361" w:type="dxa"/>
            <w:shd w:val="clear" w:color="auto" w:fill="auto"/>
          </w:tcPr>
          <w:p w:rsidR="006F4019" w:rsidRPr="001629AB" w:rsidP="007332C7" w14:paraId="47A39AE9" w14:textId="4B648EE4">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7E229D">
              <w:rPr>
                <w:rFonts w:ascii="Times New Roman" w:hAnsi="Times New Roman"/>
                <w:sz w:val="22"/>
                <w:szCs w:val="22"/>
              </w:rPr>
              <w:t>5</w:t>
            </w:r>
            <w:r w:rsidR="001B3E22">
              <w:rPr>
                <w:rFonts w:ascii="Times New Roman" w:hAnsi="Times New Roman"/>
                <w:sz w:val="22"/>
                <w:szCs w:val="22"/>
              </w:rPr>
              <w:t>3</w:t>
            </w:r>
          </w:p>
        </w:tc>
      </w:tr>
      <w:tr w14:paraId="41605D86" w14:textId="77777777" w:rsidTr="007332C7">
        <w:tblPrEx>
          <w:tblW w:w="10080" w:type="dxa"/>
          <w:tblInd w:w="108" w:type="dxa"/>
          <w:tblLook w:val="01E0"/>
        </w:tblPrEx>
        <w:tc>
          <w:tcPr>
            <w:tcW w:w="2479" w:type="dxa"/>
            <w:shd w:val="clear" w:color="auto" w:fill="auto"/>
          </w:tcPr>
          <w:p w:rsidR="006F4019" w:rsidRPr="001629AB" w:rsidP="007332C7" w14:paraId="012A7F8D"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Supervisory</w:t>
            </w:r>
          </w:p>
        </w:tc>
        <w:tc>
          <w:tcPr>
            <w:tcW w:w="1426" w:type="dxa"/>
            <w:shd w:val="clear" w:color="auto" w:fill="auto"/>
          </w:tcPr>
          <w:p w:rsidR="006F4019" w:rsidRPr="001629AB" w:rsidP="007332C7" w14:paraId="566BEBDC"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GS-14/5</w:t>
            </w:r>
          </w:p>
        </w:tc>
        <w:tc>
          <w:tcPr>
            <w:tcW w:w="1405" w:type="dxa"/>
            <w:shd w:val="clear" w:color="auto" w:fill="auto"/>
          </w:tcPr>
          <w:p w:rsidR="006F4019" w:rsidRPr="001629AB" w:rsidP="007332C7" w14:paraId="05443423" w14:textId="57573B63">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1B3E22">
              <w:rPr>
                <w:rFonts w:ascii="Times New Roman" w:hAnsi="Times New Roman"/>
                <w:sz w:val="22"/>
                <w:szCs w:val="22"/>
              </w:rPr>
              <w:t>61</w:t>
            </w:r>
          </w:p>
        </w:tc>
        <w:tc>
          <w:tcPr>
            <w:tcW w:w="1979" w:type="dxa"/>
            <w:shd w:val="clear" w:color="auto" w:fill="auto"/>
          </w:tcPr>
          <w:p w:rsidR="006F4019" w:rsidRPr="001629AB" w:rsidP="007332C7" w14:paraId="2490E028" w14:textId="488E1F1A">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$9</w:t>
            </w:r>
            <w:r w:rsidR="001B3E22">
              <w:rPr>
                <w:rFonts w:ascii="Times New Roman" w:hAnsi="Times New Roman"/>
                <w:sz w:val="22"/>
                <w:szCs w:val="22"/>
              </w:rPr>
              <w:t>8</w:t>
            </w:r>
          </w:p>
        </w:tc>
        <w:tc>
          <w:tcPr>
            <w:tcW w:w="1430" w:type="dxa"/>
            <w:shd w:val="clear" w:color="auto" w:fill="auto"/>
          </w:tcPr>
          <w:p w:rsidR="006F4019" w:rsidRPr="001629AB" w:rsidP="007332C7" w14:paraId="64F43645"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6%</w:t>
            </w:r>
          </w:p>
        </w:tc>
        <w:tc>
          <w:tcPr>
            <w:tcW w:w="1361" w:type="dxa"/>
            <w:shd w:val="clear" w:color="auto" w:fill="auto"/>
          </w:tcPr>
          <w:p w:rsidR="006F4019" w:rsidRPr="001629AB" w:rsidP="007332C7" w14:paraId="07D2E9CF" w14:textId="0F4C15FE">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1B3E22">
              <w:rPr>
                <w:rFonts w:ascii="Times New Roman" w:hAnsi="Times New Roman"/>
                <w:sz w:val="22"/>
                <w:szCs w:val="22"/>
              </w:rPr>
              <w:t>6</w:t>
            </w:r>
          </w:p>
        </w:tc>
      </w:tr>
      <w:tr w14:paraId="313C9793" w14:textId="77777777" w:rsidTr="007332C7">
        <w:tblPrEx>
          <w:tblW w:w="10080" w:type="dxa"/>
          <w:tblInd w:w="108" w:type="dxa"/>
          <w:tblLook w:val="01E0"/>
        </w:tblPrEx>
        <w:tc>
          <w:tcPr>
            <w:tcW w:w="8719" w:type="dxa"/>
            <w:gridSpan w:val="5"/>
            <w:shd w:val="clear" w:color="auto" w:fill="auto"/>
          </w:tcPr>
          <w:p w:rsidR="006F4019" w:rsidRPr="001629AB" w:rsidP="007332C7" w14:paraId="28F0C7C8" w14:textId="77777777">
            <w:pPr>
              <w:widowControl/>
              <w:tabs>
                <w:tab w:val="left" w:pos="360"/>
                <w:tab w:val="left" w:pos="720"/>
                <w:tab w:val="left" w:pos="1080"/>
              </w:tabs>
              <w:rPr>
                <w:rFonts w:ascii="Times New Roman" w:hAnsi="Times New Roman"/>
                <w:b/>
                <w:sz w:val="22"/>
                <w:szCs w:val="22"/>
              </w:rPr>
            </w:pPr>
            <w:r w:rsidRPr="001629AB">
              <w:rPr>
                <w:rFonts w:ascii="Times New Roman" w:hAnsi="Times New Roman"/>
                <w:b/>
                <w:sz w:val="22"/>
                <w:szCs w:val="22"/>
              </w:rPr>
              <w:t>Weighted Average ($/hour)</w:t>
            </w:r>
          </w:p>
        </w:tc>
        <w:tc>
          <w:tcPr>
            <w:tcW w:w="1361" w:type="dxa"/>
            <w:shd w:val="clear" w:color="auto" w:fill="auto"/>
          </w:tcPr>
          <w:p w:rsidR="006F4019" w:rsidRPr="001629AB" w:rsidP="007332C7" w14:paraId="382CFEED" w14:textId="74F47A2D">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w:t>
            </w:r>
            <w:r w:rsidRPr="001629AB" w:rsidR="007E229D">
              <w:rPr>
                <w:rFonts w:ascii="Times New Roman" w:hAnsi="Times New Roman"/>
                <w:b/>
                <w:sz w:val="22"/>
                <w:szCs w:val="22"/>
              </w:rPr>
              <w:t>7</w:t>
            </w:r>
            <w:r w:rsidR="001B3E22">
              <w:rPr>
                <w:rFonts w:ascii="Times New Roman" w:hAnsi="Times New Roman"/>
                <w:b/>
                <w:sz w:val="22"/>
                <w:szCs w:val="22"/>
              </w:rPr>
              <w:t>5</w:t>
            </w:r>
          </w:p>
        </w:tc>
      </w:tr>
    </w:tbl>
    <w:p w:rsidR="006F4019" w:rsidRPr="001629AB" w:rsidP="006F4019" w14:paraId="7C8FB532"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*A multiplier of 1.</w:t>
      </w:r>
      <w:r w:rsidRPr="001629AB" w:rsidR="00881D5E">
        <w:rPr>
          <w:rFonts w:ascii="Times New Roman" w:hAnsi="Times New Roman"/>
          <w:sz w:val="22"/>
          <w:szCs w:val="22"/>
        </w:rPr>
        <w:t>6</w:t>
      </w:r>
      <w:r w:rsidRPr="001629AB">
        <w:rPr>
          <w:rFonts w:ascii="Times New Roman" w:hAnsi="Times New Roman"/>
          <w:sz w:val="22"/>
          <w:szCs w:val="22"/>
        </w:rPr>
        <w:t xml:space="preserve"> </w:t>
      </w:r>
      <w:r w:rsidRPr="001629AB" w:rsidR="00E17D1D">
        <w:rPr>
          <w:rFonts w:ascii="Times New Roman" w:hAnsi="Times New Roman"/>
          <w:sz w:val="22"/>
          <w:szCs w:val="22"/>
        </w:rPr>
        <w:t xml:space="preserve">is </w:t>
      </w:r>
      <w:r w:rsidRPr="001629AB">
        <w:rPr>
          <w:rFonts w:ascii="Times New Roman" w:hAnsi="Times New Roman"/>
          <w:sz w:val="22"/>
          <w:szCs w:val="22"/>
        </w:rPr>
        <w:t xml:space="preserve">implied by BLS </w:t>
      </w:r>
      <w:r w:rsidRPr="001629AB" w:rsidR="00E17D1D">
        <w:rPr>
          <w:rFonts w:ascii="Times New Roman" w:hAnsi="Times New Roman"/>
          <w:sz w:val="22"/>
          <w:szCs w:val="22"/>
        </w:rPr>
        <w:t xml:space="preserve">information at </w:t>
      </w:r>
      <w:hyperlink r:id="rId6" w:history="1">
        <w:r w:rsidRPr="001629AB" w:rsidR="00BA384E">
          <w:rPr>
            <w:rStyle w:val="Hyperlink"/>
            <w:rFonts w:ascii="Times New Roman" w:hAnsi="Times New Roman"/>
            <w:sz w:val="22"/>
            <w:szCs w:val="22"/>
          </w:rPr>
          <w:t>http://www.bls.gov/news.release/ecec.nr0.htm</w:t>
        </w:r>
      </w:hyperlink>
      <w:r w:rsidRPr="001629AB">
        <w:rPr>
          <w:rFonts w:ascii="Times New Roman" w:hAnsi="Times New Roman"/>
          <w:sz w:val="22"/>
          <w:szCs w:val="22"/>
        </w:rPr>
        <w:t xml:space="preserve"> was added for benefits.</w:t>
      </w:r>
    </w:p>
    <w:p w:rsidR="006F4019" w:rsidRPr="001629AB" w:rsidP="006F4019" w14:paraId="3027345A" w14:textId="77777777">
      <w:pPr>
        <w:widowControl/>
        <w:tabs>
          <w:tab w:val="left" w:pos="360"/>
          <w:tab w:val="left" w:pos="720"/>
          <w:tab w:val="left" w:pos="1080"/>
        </w:tabs>
        <w:rPr>
          <w:rFonts w:ascii="Times New Roman" w:hAnsi="Times New Roman"/>
        </w:rPr>
      </w:pPr>
    </w:p>
    <w:p w:rsidR="006F4019" w:rsidP="006F4019" w14:paraId="6B103DD4" w14:textId="452BFCB1">
      <w:pPr>
        <w:widowControl/>
        <w:tabs>
          <w:tab w:val="left" w:pos="360"/>
          <w:tab w:val="left" w:pos="720"/>
          <w:tab w:val="left" w:pos="1080"/>
        </w:tabs>
        <w:rPr>
          <w:rFonts w:ascii="Times New Roman" w:hAnsi="Times New Roman"/>
        </w:rPr>
      </w:pPr>
      <w:r w:rsidRPr="001629AB">
        <w:rPr>
          <w:rFonts w:ascii="Times New Roman" w:hAnsi="Times New Roman"/>
        </w:rPr>
        <w:t>Based on a cost factor of $</w:t>
      </w:r>
      <w:r w:rsidRPr="001629AB" w:rsidR="007E229D">
        <w:rPr>
          <w:rFonts w:ascii="Times New Roman" w:hAnsi="Times New Roman"/>
        </w:rPr>
        <w:t>7</w:t>
      </w:r>
      <w:r w:rsidR="001B3E22">
        <w:rPr>
          <w:rFonts w:ascii="Times New Roman" w:hAnsi="Times New Roman"/>
        </w:rPr>
        <w:t>5</w:t>
      </w:r>
      <w:r w:rsidRPr="001629AB">
        <w:rPr>
          <w:rFonts w:ascii="Times New Roman" w:hAnsi="Times New Roman"/>
        </w:rPr>
        <w:t xml:space="preserve"> per hour, the cost to the government would be $ (</w:t>
      </w:r>
      <w:r w:rsidR="00693B37">
        <w:rPr>
          <w:rFonts w:ascii="Times New Roman" w:hAnsi="Times New Roman"/>
        </w:rPr>
        <w:t>505</w:t>
      </w:r>
      <w:r w:rsidRPr="001629AB" w:rsidR="00CE606A">
        <w:rPr>
          <w:rFonts w:ascii="Times New Roman" w:hAnsi="Times New Roman"/>
          <w:szCs w:val="24"/>
        </w:rPr>
        <w:t xml:space="preserve"> </w:t>
      </w:r>
      <w:r w:rsidRPr="001629AB">
        <w:rPr>
          <w:rFonts w:ascii="Times New Roman" w:hAnsi="Times New Roman"/>
        </w:rPr>
        <w:t xml:space="preserve">hours x 0.75 = </w:t>
      </w:r>
      <w:r w:rsidR="00693B37">
        <w:rPr>
          <w:rFonts w:ascii="Times New Roman" w:hAnsi="Times New Roman"/>
        </w:rPr>
        <w:t>379</w:t>
      </w:r>
      <w:r w:rsidRPr="001629AB" w:rsidR="00303BE0">
        <w:rPr>
          <w:rFonts w:ascii="Times New Roman" w:hAnsi="Times New Roman"/>
        </w:rPr>
        <w:t xml:space="preserve"> </w:t>
      </w:r>
      <w:r w:rsidRPr="001629AB">
        <w:rPr>
          <w:rFonts w:ascii="Times New Roman" w:hAnsi="Times New Roman"/>
        </w:rPr>
        <w:t>hours x $</w:t>
      </w:r>
      <w:r w:rsidRPr="001629AB" w:rsidR="007E229D">
        <w:rPr>
          <w:rFonts w:ascii="Times New Roman" w:hAnsi="Times New Roman"/>
        </w:rPr>
        <w:t>7</w:t>
      </w:r>
      <w:r w:rsidR="001B3E22">
        <w:rPr>
          <w:rFonts w:ascii="Times New Roman" w:hAnsi="Times New Roman"/>
        </w:rPr>
        <w:t>5</w:t>
      </w:r>
      <w:r w:rsidRPr="001629AB">
        <w:rPr>
          <w:rFonts w:ascii="Times New Roman" w:hAnsi="Times New Roman"/>
        </w:rPr>
        <w:t xml:space="preserve"> = $</w:t>
      </w:r>
      <w:r w:rsidR="00693B37">
        <w:rPr>
          <w:rFonts w:ascii="Times New Roman" w:hAnsi="Times New Roman"/>
        </w:rPr>
        <w:t>28,425</w:t>
      </w:r>
      <w:r w:rsidRPr="001629AB">
        <w:rPr>
          <w:rFonts w:ascii="Times New Roman" w:hAnsi="Times New Roman"/>
        </w:rPr>
        <w:t>).</w:t>
      </w:r>
      <w:r w:rsidRPr="001A3273">
        <w:rPr>
          <w:rFonts w:ascii="Times New Roman" w:hAnsi="Times New Roman"/>
        </w:rPr>
        <w:t xml:space="preserve">  </w:t>
      </w:r>
    </w:p>
    <w:p w:rsidR="006F4019" w:rsidP="006F4019" w14:paraId="6920E5C0" w14:textId="77777777">
      <w:pPr>
        <w:widowControl/>
        <w:tabs>
          <w:tab w:val="left" w:pos="-1080"/>
          <w:tab w:val="left" w:pos="-720"/>
          <w:tab w:val="left" w:pos="360"/>
          <w:tab w:val="left" w:pos="720"/>
        </w:tabs>
        <w:rPr>
          <w:rFonts w:ascii="Times New Roman" w:hAnsi="Times New Roman"/>
        </w:rPr>
      </w:pPr>
    </w:p>
    <w:p w:rsidR="004E3B8F" w:rsidP="004E3B8F" w14:paraId="2E1ADAC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A57FE0" w:rsidP="00C0401D" w14:paraId="5747F0F0" w14:textId="77777777">
      <w:pPr>
        <w:widowControl/>
        <w:tabs>
          <w:tab w:val="left" w:pos="-1080"/>
          <w:tab w:val="left" w:pos="-720"/>
          <w:tab w:val="left" w:pos="360"/>
          <w:tab w:val="left" w:pos="810"/>
        </w:tabs>
        <w:rPr>
          <w:rFonts w:ascii="Times New Roman" w:hAnsi="Times New Roman"/>
        </w:rPr>
      </w:pPr>
    </w:p>
    <w:p w:rsidR="00693B37" w:rsidRPr="00693B37" w:rsidP="00693B37" w14:paraId="6419D2A5" w14:textId="0BA05232">
      <w:pPr>
        <w:widowControl/>
        <w:tabs>
          <w:tab w:val="left" w:pos="360"/>
          <w:tab w:val="left" w:pos="720"/>
        </w:tabs>
        <w:rPr>
          <w:rFonts w:ascii="Times New Roman" w:hAnsi="Times New Roman"/>
        </w:rPr>
      </w:pPr>
      <w:r w:rsidRPr="00693B37">
        <w:rPr>
          <w:rFonts w:ascii="Times New Roman" w:hAnsi="Times New Roman"/>
        </w:rPr>
        <w:t>The new and revised information collection requirements for 30 CFR 550.194 identified below require approval by OMB.  BOEM would increase the</w:t>
      </w:r>
      <w:r>
        <w:rPr>
          <w:rFonts w:ascii="Times New Roman" w:hAnsi="Times New Roman"/>
        </w:rPr>
        <w:t>ir</w:t>
      </w:r>
      <w:r w:rsidRPr="00693B37">
        <w:rPr>
          <w:rFonts w:ascii="Times New Roman" w:hAnsi="Times New Roman"/>
        </w:rPr>
        <w:t xml:space="preserve"> overall annual burden hours by 505 hours. The burden hour</w:t>
      </w:r>
      <w:r w:rsidR="005C3750">
        <w:rPr>
          <w:rFonts w:ascii="Times New Roman" w:hAnsi="Times New Roman"/>
        </w:rPr>
        <w:t>s</w:t>
      </w:r>
      <w:r w:rsidRPr="00693B37">
        <w:rPr>
          <w:rFonts w:ascii="Times New Roman" w:hAnsi="Times New Roman"/>
        </w:rPr>
        <w:t xml:space="preserve"> are discussed below. </w:t>
      </w:r>
    </w:p>
    <w:p w:rsidR="000877C7" w:rsidRPr="000877C7" w:rsidP="000877C7" w14:paraId="0CFB7E0E" w14:textId="77777777">
      <w:pPr>
        <w:widowControl/>
        <w:tabs>
          <w:tab w:val="left" w:pos="360"/>
          <w:tab w:val="left" w:pos="720"/>
        </w:tabs>
        <w:rPr>
          <w:rFonts w:ascii="Times New Roman" w:hAnsi="Times New Roman"/>
        </w:rPr>
      </w:pPr>
    </w:p>
    <w:p w:rsidR="000877C7" w:rsidP="000877C7" w14:paraId="7CB2593E" w14:textId="02FF0770">
      <w:pPr>
        <w:widowControl/>
        <w:numPr>
          <w:ilvl w:val="0"/>
          <w:numId w:val="21"/>
        </w:numPr>
        <w:tabs>
          <w:tab w:val="left" w:pos="360"/>
          <w:tab w:val="left" w:pos="720"/>
        </w:tabs>
        <w:rPr>
          <w:rFonts w:ascii="Times New Roman" w:hAnsi="Times New Roman"/>
        </w:rPr>
      </w:pPr>
      <w:r w:rsidRPr="000877C7">
        <w:rPr>
          <w:rFonts w:ascii="Times New Roman" w:hAnsi="Times New Roman"/>
        </w:rPr>
        <w:t>Proposed 30 CFR 550.194(a): The proposed revision would require that any EP, DOCD, or DPP, or other authorization permit requiring a disturbance of the seafloor be accompanied by or contain archaeological reports or supporting evidence.  OMB has approved 12 annual burden hours under existing OMB Control Number 1010-0114.  The approved annual burden hours for this control number are low compared to the actual numbers. BOEM is proposing, therefore, to increase the estimated annual burden hours to 500 hours</w:t>
      </w:r>
      <w:r w:rsidR="005C3750">
        <w:rPr>
          <w:rFonts w:ascii="Times New Roman" w:hAnsi="Times New Roman"/>
        </w:rPr>
        <w:t>.</w:t>
      </w:r>
      <w:r w:rsidRPr="000877C7">
        <w:rPr>
          <w:rFonts w:ascii="Times New Roman" w:hAnsi="Times New Roman"/>
        </w:rPr>
        <w:t xml:space="preserve"> (+</w:t>
      </w:r>
      <w:r w:rsidR="005C3750">
        <w:rPr>
          <w:rFonts w:ascii="Times New Roman" w:hAnsi="Times New Roman"/>
        </w:rPr>
        <w:t>500</w:t>
      </w:r>
      <w:r w:rsidRPr="000877C7">
        <w:rPr>
          <w:rFonts w:ascii="Times New Roman" w:hAnsi="Times New Roman"/>
        </w:rPr>
        <w:t xml:space="preserve"> annual burden hours).</w:t>
      </w:r>
    </w:p>
    <w:p w:rsidR="000877C7" w:rsidRPr="000877C7" w:rsidP="000877C7" w14:paraId="001B7D70" w14:textId="77777777">
      <w:pPr>
        <w:widowControl/>
        <w:tabs>
          <w:tab w:val="left" w:pos="360"/>
          <w:tab w:val="left" w:pos="720"/>
        </w:tabs>
        <w:ind w:left="360"/>
        <w:rPr>
          <w:rFonts w:ascii="Times New Roman" w:hAnsi="Times New Roman"/>
        </w:rPr>
      </w:pPr>
    </w:p>
    <w:p w:rsidR="000877C7" w:rsidP="000877C7" w14:paraId="6116972F" w14:textId="39A7EB4F">
      <w:pPr>
        <w:widowControl/>
        <w:numPr>
          <w:ilvl w:val="0"/>
          <w:numId w:val="21"/>
        </w:numPr>
        <w:tabs>
          <w:tab w:val="left" w:pos="360"/>
          <w:tab w:val="left" w:pos="720"/>
        </w:tabs>
        <w:rPr>
          <w:rFonts w:ascii="Times New Roman" w:hAnsi="Times New Roman"/>
        </w:rPr>
      </w:pPr>
      <w:r w:rsidRPr="000877C7">
        <w:rPr>
          <w:rFonts w:ascii="Times New Roman" w:hAnsi="Times New Roman"/>
        </w:rPr>
        <w:t>Proposed 30 CFR 550.194(c):  Archaeological reports would be required to be based on a high-resolution geophysical survey of the Area of Potential Effects.  The high-resolution geophysical requirements proposed in 30 CFR 550.194(c) are also part of the requirements used for geological and geophysical information collection (i.e., shallow hazards surveys) under 30 CFR 550.214 and 550.244, and approved by OMB in OMB Control Number 1010-0151. Therefore, no additional burdens are expected to be placed on industry.</w:t>
      </w:r>
    </w:p>
    <w:p w:rsidR="000877C7" w:rsidRPr="000877C7" w:rsidP="000877C7" w14:paraId="79FB0353" w14:textId="77777777">
      <w:pPr>
        <w:widowControl/>
        <w:tabs>
          <w:tab w:val="left" w:pos="360"/>
          <w:tab w:val="left" w:pos="720"/>
        </w:tabs>
        <w:ind w:left="360"/>
        <w:rPr>
          <w:rFonts w:ascii="Times New Roman" w:hAnsi="Times New Roman"/>
        </w:rPr>
      </w:pPr>
    </w:p>
    <w:p w:rsidR="000877C7" w:rsidP="000877C7" w14:paraId="3AB2C310" w14:textId="0917CDF7">
      <w:pPr>
        <w:widowControl/>
        <w:numPr>
          <w:ilvl w:val="0"/>
          <w:numId w:val="21"/>
        </w:numPr>
        <w:tabs>
          <w:tab w:val="left" w:pos="360"/>
          <w:tab w:val="left" w:pos="720"/>
        </w:tabs>
        <w:rPr>
          <w:rFonts w:ascii="Times New Roman" w:hAnsi="Times New Roman"/>
        </w:rPr>
      </w:pPr>
      <w:r w:rsidRPr="000877C7">
        <w:rPr>
          <w:rFonts w:ascii="Times New Roman" w:hAnsi="Times New Roman"/>
        </w:rPr>
        <w:t>Proposed 30 CFR 550.194(</w:t>
      </w:r>
      <w:r w:rsidR="000B0C58">
        <w:rPr>
          <w:rFonts w:ascii="Times New Roman" w:hAnsi="Times New Roman"/>
        </w:rPr>
        <w:t>g</w:t>
      </w:r>
      <w:r w:rsidRPr="000877C7">
        <w:rPr>
          <w:rFonts w:ascii="Times New Roman" w:hAnsi="Times New Roman"/>
        </w:rPr>
        <w:t>):  If an archaeological resource is likely to be present, the operator would be required to either relocate the proposed operations at the site to avoid adversely affecting the area, or establish that the archaeological resource does not exist, will not be adversely affected by the operations, or that measures can be taken to protect the archaeological resource during the operations.  The likelihood that operators would opt for this latter option (to establish the archaeological resource is not present) is low.  If operators relocate the project to avoid the known archaeological resource, they could use resources already contracted and available on the project (without the delay of additional investigation).  Therefore, BOEM has determined there will likely not be an additional burden on industry.</w:t>
      </w:r>
    </w:p>
    <w:p w:rsidR="000877C7" w:rsidRPr="000877C7" w:rsidP="000877C7" w14:paraId="0BB51D4C" w14:textId="77777777">
      <w:pPr>
        <w:widowControl/>
        <w:tabs>
          <w:tab w:val="left" w:pos="360"/>
          <w:tab w:val="left" w:pos="720"/>
        </w:tabs>
        <w:ind w:left="360"/>
        <w:rPr>
          <w:rFonts w:ascii="Times New Roman" w:hAnsi="Times New Roman"/>
        </w:rPr>
      </w:pPr>
    </w:p>
    <w:p w:rsidR="000877C7" w:rsidP="000877C7" w14:paraId="76F2003F" w14:textId="53200473">
      <w:pPr>
        <w:widowControl/>
        <w:numPr>
          <w:ilvl w:val="0"/>
          <w:numId w:val="21"/>
        </w:numPr>
        <w:tabs>
          <w:tab w:val="left" w:pos="360"/>
          <w:tab w:val="left" w:pos="720"/>
        </w:tabs>
        <w:rPr>
          <w:rFonts w:ascii="Times New Roman" w:hAnsi="Times New Roman"/>
        </w:rPr>
      </w:pPr>
      <w:r w:rsidRPr="000877C7">
        <w:rPr>
          <w:rFonts w:ascii="Times New Roman" w:hAnsi="Times New Roman"/>
        </w:rPr>
        <w:t>Proposed 30 CFR 550.19</w:t>
      </w:r>
      <w:r w:rsidR="000B0C58">
        <w:rPr>
          <w:rFonts w:ascii="Times New Roman" w:hAnsi="Times New Roman"/>
        </w:rPr>
        <w:t>5</w:t>
      </w:r>
      <w:r w:rsidRPr="000877C7">
        <w:rPr>
          <w:rFonts w:ascii="Times New Roman" w:hAnsi="Times New Roman"/>
        </w:rPr>
        <w:t>(</w:t>
      </w:r>
      <w:r w:rsidR="000B0C58">
        <w:rPr>
          <w:rFonts w:ascii="Times New Roman" w:hAnsi="Times New Roman"/>
        </w:rPr>
        <w:t>a</w:t>
      </w:r>
      <w:r w:rsidRPr="000877C7">
        <w:rPr>
          <w:rFonts w:ascii="Times New Roman" w:hAnsi="Times New Roman"/>
        </w:rPr>
        <w:t xml:space="preserve">):  The proposed revision would require the operator to notify the BOEM Regional Director of any archaeological resource discovery.  </w:t>
      </w:r>
      <w:bookmarkStart w:id="0" w:name="_Hlk89259604"/>
      <w:r w:rsidRPr="000877C7">
        <w:rPr>
          <w:rFonts w:ascii="Times New Roman" w:hAnsi="Times New Roman"/>
        </w:rPr>
        <w:t xml:space="preserve">This requirement would likely occur during the operator’s remote sensing phase or during deployment by a remotely operated vehicle for surveys related to hydrophones.  </w:t>
      </w:r>
      <w:bookmarkEnd w:id="0"/>
      <w:r w:rsidRPr="000877C7">
        <w:rPr>
          <w:rFonts w:ascii="Times New Roman" w:hAnsi="Times New Roman"/>
        </w:rPr>
        <w:t>BOEM expects that the occurrence would be low, so BOEM estimates the annual burden hours to equal 3 hours (1 hour x 3 responses)</w:t>
      </w:r>
      <w:r w:rsidR="005C3750">
        <w:rPr>
          <w:rFonts w:ascii="Times New Roman" w:hAnsi="Times New Roman"/>
        </w:rPr>
        <w:t>.</w:t>
      </w:r>
      <w:r w:rsidRPr="000877C7">
        <w:rPr>
          <w:rFonts w:ascii="Times New Roman" w:hAnsi="Times New Roman"/>
        </w:rPr>
        <w:t xml:space="preserve"> (+3 annual burden hours).</w:t>
      </w:r>
    </w:p>
    <w:p w:rsidR="000877C7" w:rsidRPr="000877C7" w:rsidP="000877C7" w14:paraId="0EE5F40A" w14:textId="77777777">
      <w:pPr>
        <w:widowControl/>
        <w:tabs>
          <w:tab w:val="left" w:pos="360"/>
          <w:tab w:val="left" w:pos="720"/>
        </w:tabs>
        <w:ind w:left="360"/>
        <w:rPr>
          <w:rFonts w:ascii="Times New Roman" w:hAnsi="Times New Roman"/>
        </w:rPr>
      </w:pPr>
    </w:p>
    <w:p w:rsidR="000877C7" w:rsidRPr="000877C7" w:rsidP="000877C7" w14:paraId="3D005D02" w14:textId="5204A484">
      <w:pPr>
        <w:widowControl/>
        <w:numPr>
          <w:ilvl w:val="0"/>
          <w:numId w:val="21"/>
        </w:numPr>
        <w:tabs>
          <w:tab w:val="left" w:pos="360"/>
          <w:tab w:val="left" w:pos="720"/>
        </w:tabs>
        <w:rPr>
          <w:rFonts w:ascii="Times New Roman" w:hAnsi="Times New Roman"/>
        </w:rPr>
      </w:pPr>
      <w:r w:rsidRPr="000877C7">
        <w:rPr>
          <w:rFonts w:ascii="Times New Roman" w:hAnsi="Times New Roman"/>
        </w:rPr>
        <w:t>The annual burden hours for departure requests will remain the same at 2 annual burden hours.</w:t>
      </w:r>
      <w:r w:rsidR="005C3750">
        <w:rPr>
          <w:rFonts w:ascii="Times New Roman" w:hAnsi="Times New Roman"/>
        </w:rPr>
        <w:t xml:space="preserve"> (+2 annual burden hours).</w:t>
      </w:r>
    </w:p>
    <w:p w:rsidR="000877C7" w:rsidP="00A53B02" w14:paraId="309E39DC" w14:textId="77777777">
      <w:pPr>
        <w:widowControl/>
        <w:tabs>
          <w:tab w:val="left" w:pos="360"/>
          <w:tab w:val="left" w:pos="720"/>
        </w:tabs>
        <w:rPr>
          <w:rFonts w:ascii="Times New Roman" w:hAnsi="Times New Roman"/>
        </w:rPr>
      </w:pPr>
    </w:p>
    <w:p w:rsidR="007B02EC" w:rsidRPr="00E51DA0" w:rsidP="007B02EC" w14:paraId="34C100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600EEB">
        <w:rPr>
          <w:rFonts w:ascii="Times New Roman" w:hAnsi="Times New Roman"/>
          <w:b/>
          <w:i/>
        </w:rPr>
        <w:t>16.</w:t>
      </w:r>
      <w:r w:rsidRPr="00600EEB">
        <w:rPr>
          <w:rFonts w:ascii="Times New Roman" w:hAnsi="Times New Roman"/>
          <w:b/>
          <w:i/>
        </w:rPr>
        <w:tab/>
      </w:r>
      <w:r w:rsidRPr="00E51DA0">
        <w:rPr>
          <w:rFonts w:ascii="Times New Roman" w:hAnsi="Times New Roman"/>
          <w:b/>
          <w:i/>
          <w:snapToGri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401D" w:rsidP="00C0401D" w14:paraId="6B4061AB" w14:textId="77777777">
      <w:pPr>
        <w:widowControl/>
        <w:tabs>
          <w:tab w:val="left" w:pos="-1080"/>
          <w:tab w:val="left" w:pos="-720"/>
          <w:tab w:val="left" w:pos="360"/>
          <w:tab w:val="left" w:pos="810"/>
        </w:tabs>
        <w:rPr>
          <w:rFonts w:ascii="Times New Roman" w:hAnsi="Times New Roman"/>
        </w:rPr>
      </w:pPr>
    </w:p>
    <w:p w:rsidR="00C0401D" w:rsidP="00C0401D" w14:paraId="1FEFBB88"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C15FC8">
        <w:rPr>
          <w:rFonts w:ascii="Times New Roman" w:hAnsi="Times New Roman"/>
        </w:rPr>
        <w:t>BOEM</w:t>
      </w:r>
      <w:r>
        <w:rPr>
          <w:rFonts w:ascii="Times New Roman" w:hAnsi="Times New Roman"/>
        </w:rPr>
        <w:t xml:space="preserve"> will not </w:t>
      </w:r>
      <w:r w:rsidR="00E40AB8">
        <w:rPr>
          <w:rFonts w:ascii="Times New Roman" w:hAnsi="Times New Roman"/>
        </w:rPr>
        <w:t xml:space="preserve">tabulate or </w:t>
      </w:r>
      <w:r>
        <w:rPr>
          <w:rFonts w:ascii="Times New Roman" w:hAnsi="Times New Roman"/>
        </w:rPr>
        <w:t>publish the data.</w:t>
      </w:r>
    </w:p>
    <w:p w:rsidR="00C0401D" w:rsidP="00C0401D" w14:paraId="4AFA2526" w14:textId="77777777">
      <w:pPr>
        <w:widowControl/>
        <w:tabs>
          <w:tab w:val="left" w:pos="360"/>
          <w:tab w:val="left" w:pos="720"/>
        </w:tabs>
        <w:rPr>
          <w:rFonts w:ascii="Times New Roman" w:hAnsi="Times New Roman"/>
        </w:rPr>
      </w:pPr>
    </w:p>
    <w:p w:rsidR="007B02EC" w:rsidP="007B02EC" w14:paraId="79700D5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0401D" w:rsidP="00C0401D" w14:paraId="5ABD1AC6" w14:textId="77777777">
      <w:pPr>
        <w:widowControl/>
        <w:tabs>
          <w:tab w:val="left" w:pos="-1080"/>
          <w:tab w:val="left" w:pos="-720"/>
          <w:tab w:val="left" w:pos="360"/>
          <w:tab w:val="left" w:pos="810"/>
        </w:tabs>
        <w:rPr>
          <w:rFonts w:ascii="Times New Roman" w:hAnsi="Times New Roman"/>
        </w:rPr>
      </w:pPr>
    </w:p>
    <w:p w:rsidR="00C0401D" w:rsidP="00C0401D" w14:paraId="23B8F91F" w14:textId="0A667F2A">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C15FC8">
        <w:rPr>
          <w:rFonts w:ascii="Times New Roman" w:hAnsi="Times New Roman"/>
        </w:rPr>
        <w:t>BOEM</w:t>
      </w:r>
      <w:r>
        <w:rPr>
          <w:rFonts w:ascii="Times New Roman" w:hAnsi="Times New Roman"/>
        </w:rPr>
        <w:t xml:space="preserve"> will display the OMB approval </w:t>
      </w:r>
      <w:r w:rsidR="00E40AB8">
        <w:rPr>
          <w:rFonts w:ascii="Times New Roman" w:hAnsi="Times New Roman"/>
        </w:rPr>
        <w:t xml:space="preserve">number and OMB </w:t>
      </w:r>
      <w:r>
        <w:rPr>
          <w:rFonts w:ascii="Times New Roman" w:hAnsi="Times New Roman"/>
        </w:rPr>
        <w:t>expiration date</w:t>
      </w:r>
      <w:r w:rsidR="005C3750">
        <w:rPr>
          <w:rFonts w:ascii="Times New Roman" w:hAnsi="Times New Roman"/>
        </w:rPr>
        <w:t xml:space="preserve"> where required.</w:t>
      </w:r>
      <w:r w:rsidR="00123BFB">
        <w:rPr>
          <w:rFonts w:ascii="Times New Roman" w:hAnsi="Times New Roman"/>
        </w:rPr>
        <w:t xml:space="preserve">  </w:t>
      </w:r>
    </w:p>
    <w:p w:rsidR="00123BFB" w:rsidP="00C0401D" w14:paraId="0A39CFEA" w14:textId="77777777">
      <w:pPr>
        <w:widowControl/>
        <w:tabs>
          <w:tab w:val="left" w:pos="-1080"/>
          <w:tab w:val="left" w:pos="-720"/>
          <w:tab w:val="left" w:pos="360"/>
          <w:tab w:val="left" w:pos="810"/>
        </w:tabs>
        <w:rPr>
          <w:rFonts w:ascii="Times New Roman" w:hAnsi="Times New Roman"/>
        </w:rPr>
      </w:pPr>
    </w:p>
    <w:p w:rsidR="007B02EC" w:rsidRPr="00704809" w:rsidP="007B02EC" w14:paraId="66E9F9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704809">
        <w:rPr>
          <w:rFonts w:ascii="Times New Roman" w:hAnsi="Times New Roman"/>
          <w:b/>
          <w:i/>
        </w:rPr>
        <w:t>18.</w:t>
      </w:r>
      <w:r w:rsidRPr="00704809">
        <w:rPr>
          <w:rFonts w:ascii="Times New Roman" w:hAnsi="Times New Roman"/>
          <w:b/>
          <w:i/>
        </w:rPr>
        <w:tab/>
        <w:t>E</w:t>
      </w:r>
      <w:r w:rsidRPr="00704809">
        <w:rPr>
          <w:rFonts w:ascii="Times New Roman" w:hAnsi="Times New Roman"/>
          <w:b/>
          <w:i/>
          <w:snapToGrid/>
          <w:szCs w:val="24"/>
        </w:rPr>
        <w:t>xplain each exception to the topics of the certification statement identified in "Certification for Paperwork Reduction Act Submissions."</w:t>
      </w:r>
    </w:p>
    <w:p w:rsidR="00C0401D" w:rsidP="00C0401D" w14:paraId="39189E19" w14:textId="77777777">
      <w:pPr>
        <w:widowControl/>
        <w:tabs>
          <w:tab w:val="left" w:pos="-1080"/>
          <w:tab w:val="left" w:pos="-720"/>
          <w:tab w:val="left" w:pos="360"/>
          <w:tab w:val="left" w:pos="810"/>
        </w:tabs>
        <w:rPr>
          <w:rFonts w:ascii="Times New Roman" w:hAnsi="Times New Roman"/>
        </w:rPr>
      </w:pPr>
    </w:p>
    <w:p w:rsidR="00C0401D" w:rsidP="00C0401D" w14:paraId="0075FE2D"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C0401D" w:rsidP="00C0401D" w14:paraId="49A4B6B3" w14:textId="77777777">
      <w:pPr>
        <w:widowControl/>
        <w:tabs>
          <w:tab w:val="left" w:pos="-1080"/>
          <w:tab w:val="left" w:pos="-720"/>
          <w:tab w:val="left" w:pos="360"/>
          <w:tab w:val="left" w:pos="810"/>
        </w:tabs>
        <w:rPr>
          <w:rFonts w:ascii="Times New Roman" w:hAnsi="Times New Roman"/>
        </w:rPr>
      </w:pPr>
    </w:p>
    <w:sectPr w:rsidSect="00C322D9">
      <w:footerReference w:type="even" r:id="rId7"/>
      <w:footerReference w:type="default" r:id="rId8"/>
      <w:endnotePr>
        <w:numFmt w:val="decimal"/>
      </w:endnotePr>
      <w:type w:val="continuous"/>
      <w:pgSz w:w="12240" w:h="15840" w:code="1"/>
      <w:pgMar w:top="1440" w:right="1440" w:bottom="1440" w:left="1440" w:header="144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67C" w14:paraId="727FB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BE267C" w14:paraId="297B19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67C" w14:paraId="7BDEFB65" w14:textId="77777777">
    <w:pPr>
      <w:framePr w:wrap="around" w:vAnchor="text" w:hAnchor="margin" w:xAlign="center" w:y="1"/>
      <w:jc w:val="center"/>
    </w:pPr>
    <w:r>
      <w:fldChar w:fldCharType="begin"/>
    </w:r>
    <w:r>
      <w:instrText xml:space="preserve">PAGE </w:instrText>
    </w:r>
    <w:r>
      <w:fldChar w:fldCharType="separate"/>
    </w:r>
    <w:r w:rsidR="00D7179F">
      <w:rPr>
        <w:noProof/>
      </w:rPr>
      <w:t>12</w:t>
    </w:r>
    <w:r>
      <w:fldChar w:fldCharType="end"/>
    </w:r>
  </w:p>
  <w:p w:rsidR="00BE267C" w14:paraId="345F5CF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02E1F56"/>
    <w:multiLevelType w:val="hybridMultilevel"/>
    <w:tmpl w:val="B23063C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524C1E"/>
    <w:multiLevelType w:val="hybridMultilevel"/>
    <w:tmpl w:val="B3B816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202D16"/>
    <w:multiLevelType w:val="hybridMultilevel"/>
    <w:tmpl w:val="B67C2FE4"/>
    <w:lvl w:ilvl="0">
      <w:start w:val="1"/>
      <w:numFmt w:val="bullet"/>
      <w:lvlText w:val=""/>
      <w:lvlJc w:val="left"/>
      <w:pPr>
        <w:ind w:left="360" w:firstLine="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C15DEE"/>
    <w:multiLevelType w:val="hybridMultilevel"/>
    <w:tmpl w:val="748CBC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4210C4"/>
    <w:multiLevelType w:val="hybridMultilevel"/>
    <w:tmpl w:val="DEF62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840291"/>
    <w:multiLevelType w:val="hybridMultilevel"/>
    <w:tmpl w:val="33E89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F92DBC"/>
    <w:multiLevelType w:val="hybridMultilevel"/>
    <w:tmpl w:val="A986E570"/>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F56C88"/>
    <w:multiLevelType w:val="hybridMultilevel"/>
    <w:tmpl w:val="46361456"/>
    <w:lvl w:ilvl="0">
      <w:start w:val="1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E91B2C"/>
    <w:multiLevelType w:val="hybridMultilevel"/>
    <w:tmpl w:val="034E31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6AC19EB"/>
    <w:multiLevelType w:val="hybridMultilevel"/>
    <w:tmpl w:val="ED6002CE"/>
    <w:lvl w:ilvl="0">
      <w:start w:val="1"/>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
    <w:nsid w:val="3CE609AB"/>
    <w:multiLevelType w:val="hybridMultilevel"/>
    <w:tmpl w:val="44DC4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606A33"/>
    <w:multiLevelType w:val="hybridMultilevel"/>
    <w:tmpl w:val="DDB403E6"/>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F71D71"/>
    <w:multiLevelType w:val="hybridMultilevel"/>
    <w:tmpl w:val="0AAA95A0"/>
    <w:lvl w:ilvl="0">
      <w:start w:val="15"/>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DA066E"/>
    <w:multiLevelType w:val="hybridMultilevel"/>
    <w:tmpl w:val="AF3C1D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B42EB1"/>
    <w:multiLevelType w:val="hybridMultilevel"/>
    <w:tmpl w:val="EDC2C29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3A23DF5"/>
    <w:multiLevelType w:val="hybridMultilevel"/>
    <w:tmpl w:val="1E74B6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C44E48"/>
    <w:multiLevelType w:val="hybridMultilevel"/>
    <w:tmpl w:val="34A4E9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73C1356"/>
    <w:multiLevelType w:val="hybridMultilevel"/>
    <w:tmpl w:val="D7EC0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0700DE"/>
    <w:multiLevelType w:val="hybridMultilevel"/>
    <w:tmpl w:val="F934C212"/>
    <w:lvl w:ilvl="0">
      <w:start w:val="8"/>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0">
    <w:nsid w:val="7EA55CDE"/>
    <w:multiLevelType w:val="hybridMultilevel"/>
    <w:tmpl w:val="E55EEA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63840761">
    <w:abstractNumId w:val="19"/>
  </w:num>
  <w:num w:numId="2" w16cid:durableId="1773277446">
    <w:abstractNumId w:val="13"/>
  </w:num>
  <w:num w:numId="3" w16cid:durableId="402416643">
    <w:abstractNumId w:val="0"/>
    <w:lvlOverride w:ilvl="0">
      <w:startOverride w:val="2"/>
      <w:lvl w:ilvl="0">
        <w:start w:val="2"/>
        <w:numFmt w:val="decimal"/>
        <w:pStyle w:val="QuickA"/>
        <w:lvlText w:val="%1."/>
        <w:lvlJc w:val="left"/>
      </w:lvl>
    </w:lvlOverride>
  </w:num>
  <w:num w:numId="4" w16cid:durableId="347947556">
    <w:abstractNumId w:val="4"/>
  </w:num>
  <w:num w:numId="5" w16cid:durableId="1691879879">
    <w:abstractNumId w:val="14"/>
  </w:num>
  <w:num w:numId="6" w16cid:durableId="1689328991">
    <w:abstractNumId w:val="20"/>
  </w:num>
  <w:num w:numId="7" w16cid:durableId="1675378906">
    <w:abstractNumId w:val="17"/>
  </w:num>
  <w:num w:numId="8" w16cid:durableId="1992832770">
    <w:abstractNumId w:val="9"/>
  </w:num>
  <w:num w:numId="9" w16cid:durableId="1052537774">
    <w:abstractNumId w:val="6"/>
  </w:num>
  <w:num w:numId="10" w16cid:durableId="1566601601">
    <w:abstractNumId w:val="12"/>
  </w:num>
  <w:num w:numId="11" w16cid:durableId="376466182">
    <w:abstractNumId w:val="8"/>
  </w:num>
  <w:num w:numId="12" w16cid:durableId="1301808671">
    <w:abstractNumId w:val="7"/>
  </w:num>
  <w:num w:numId="13" w16cid:durableId="195852014">
    <w:abstractNumId w:val="5"/>
  </w:num>
  <w:num w:numId="14" w16cid:durableId="400713999">
    <w:abstractNumId w:val="11"/>
  </w:num>
  <w:num w:numId="15" w16cid:durableId="749235077">
    <w:abstractNumId w:val="15"/>
  </w:num>
  <w:num w:numId="16" w16cid:durableId="1327397852">
    <w:abstractNumId w:val="16"/>
  </w:num>
  <w:num w:numId="17" w16cid:durableId="256329963">
    <w:abstractNumId w:val="18"/>
  </w:num>
  <w:num w:numId="18" w16cid:durableId="649595491">
    <w:abstractNumId w:val="1"/>
  </w:num>
  <w:num w:numId="19" w16cid:durableId="344871501">
    <w:abstractNumId w:val="2"/>
  </w:num>
  <w:num w:numId="20" w16cid:durableId="709303465">
    <w:abstractNumId w:val="3"/>
  </w:num>
  <w:num w:numId="21" w16cid:durableId="798305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7F"/>
    <w:rsid w:val="00000DB9"/>
    <w:rsid w:val="00002F74"/>
    <w:rsid w:val="000039ED"/>
    <w:rsid w:val="000078C2"/>
    <w:rsid w:val="00010D7B"/>
    <w:rsid w:val="00011EE7"/>
    <w:rsid w:val="0001315B"/>
    <w:rsid w:val="00013A4D"/>
    <w:rsid w:val="00014148"/>
    <w:rsid w:val="00016CD4"/>
    <w:rsid w:val="0002022C"/>
    <w:rsid w:val="00020E1D"/>
    <w:rsid w:val="000236B8"/>
    <w:rsid w:val="00024CF7"/>
    <w:rsid w:val="000275A3"/>
    <w:rsid w:val="00036E78"/>
    <w:rsid w:val="000424DA"/>
    <w:rsid w:val="000435BD"/>
    <w:rsid w:val="00046A78"/>
    <w:rsid w:val="0004721C"/>
    <w:rsid w:val="000472B8"/>
    <w:rsid w:val="00052D92"/>
    <w:rsid w:val="00053AAE"/>
    <w:rsid w:val="00061972"/>
    <w:rsid w:val="00063FDB"/>
    <w:rsid w:val="00064DB8"/>
    <w:rsid w:val="000736C0"/>
    <w:rsid w:val="00073A26"/>
    <w:rsid w:val="00075C28"/>
    <w:rsid w:val="00076098"/>
    <w:rsid w:val="00077991"/>
    <w:rsid w:val="00084A6A"/>
    <w:rsid w:val="00086EDC"/>
    <w:rsid w:val="00086FA6"/>
    <w:rsid w:val="000877C7"/>
    <w:rsid w:val="00090E8C"/>
    <w:rsid w:val="0009201A"/>
    <w:rsid w:val="000929B4"/>
    <w:rsid w:val="00092A3E"/>
    <w:rsid w:val="00096BF3"/>
    <w:rsid w:val="000A13AD"/>
    <w:rsid w:val="000A28C5"/>
    <w:rsid w:val="000A29F7"/>
    <w:rsid w:val="000A38FB"/>
    <w:rsid w:val="000A5194"/>
    <w:rsid w:val="000B0C58"/>
    <w:rsid w:val="000B1E8C"/>
    <w:rsid w:val="000B1EE2"/>
    <w:rsid w:val="000B2D3A"/>
    <w:rsid w:val="000B55C6"/>
    <w:rsid w:val="000C0158"/>
    <w:rsid w:val="000C551C"/>
    <w:rsid w:val="000C7AF5"/>
    <w:rsid w:val="000D1007"/>
    <w:rsid w:val="000D50D0"/>
    <w:rsid w:val="000D62DE"/>
    <w:rsid w:val="000D7002"/>
    <w:rsid w:val="000D7F38"/>
    <w:rsid w:val="000E440B"/>
    <w:rsid w:val="000F04A1"/>
    <w:rsid w:val="000F20CD"/>
    <w:rsid w:val="000F3CD6"/>
    <w:rsid w:val="000F4747"/>
    <w:rsid w:val="000F7DC6"/>
    <w:rsid w:val="001007AE"/>
    <w:rsid w:val="0010095E"/>
    <w:rsid w:val="001046AA"/>
    <w:rsid w:val="00105C0E"/>
    <w:rsid w:val="00106D6B"/>
    <w:rsid w:val="001112BA"/>
    <w:rsid w:val="00113A60"/>
    <w:rsid w:val="00113D2A"/>
    <w:rsid w:val="0011460D"/>
    <w:rsid w:val="00115812"/>
    <w:rsid w:val="00116D0B"/>
    <w:rsid w:val="001179EB"/>
    <w:rsid w:val="00121B25"/>
    <w:rsid w:val="00123BFB"/>
    <w:rsid w:val="00124073"/>
    <w:rsid w:val="0012618F"/>
    <w:rsid w:val="00126FC9"/>
    <w:rsid w:val="00132433"/>
    <w:rsid w:val="00142775"/>
    <w:rsid w:val="001429A6"/>
    <w:rsid w:val="00142E7F"/>
    <w:rsid w:val="00144959"/>
    <w:rsid w:val="001475D6"/>
    <w:rsid w:val="00153435"/>
    <w:rsid w:val="00155A43"/>
    <w:rsid w:val="001564F1"/>
    <w:rsid w:val="001566B2"/>
    <w:rsid w:val="00157B23"/>
    <w:rsid w:val="00161AD0"/>
    <w:rsid w:val="001629AB"/>
    <w:rsid w:val="001648A7"/>
    <w:rsid w:val="00165F59"/>
    <w:rsid w:val="00171485"/>
    <w:rsid w:val="001722BF"/>
    <w:rsid w:val="00172D6F"/>
    <w:rsid w:val="00174108"/>
    <w:rsid w:val="0017470D"/>
    <w:rsid w:val="00183D89"/>
    <w:rsid w:val="0019112B"/>
    <w:rsid w:val="00193251"/>
    <w:rsid w:val="001A04D9"/>
    <w:rsid w:val="001A13B4"/>
    <w:rsid w:val="001A3273"/>
    <w:rsid w:val="001A4D5E"/>
    <w:rsid w:val="001A7C9B"/>
    <w:rsid w:val="001B3E22"/>
    <w:rsid w:val="001B3F42"/>
    <w:rsid w:val="001B7FE5"/>
    <w:rsid w:val="001C1EB1"/>
    <w:rsid w:val="001C250C"/>
    <w:rsid w:val="001C2BC2"/>
    <w:rsid w:val="001C5CCA"/>
    <w:rsid w:val="001C69AB"/>
    <w:rsid w:val="001D0B32"/>
    <w:rsid w:val="001D35C0"/>
    <w:rsid w:val="001D5FB4"/>
    <w:rsid w:val="001D742C"/>
    <w:rsid w:val="001D7FF4"/>
    <w:rsid w:val="001E03D8"/>
    <w:rsid w:val="001E07C6"/>
    <w:rsid w:val="001E2920"/>
    <w:rsid w:val="001E7E2F"/>
    <w:rsid w:val="001F6172"/>
    <w:rsid w:val="001F6893"/>
    <w:rsid w:val="001F70F7"/>
    <w:rsid w:val="0020091B"/>
    <w:rsid w:val="00200B44"/>
    <w:rsid w:val="0020118A"/>
    <w:rsid w:val="00204898"/>
    <w:rsid w:val="00205311"/>
    <w:rsid w:val="0021160C"/>
    <w:rsid w:val="00215143"/>
    <w:rsid w:val="002160BF"/>
    <w:rsid w:val="00216D0E"/>
    <w:rsid w:val="00216FE7"/>
    <w:rsid w:val="00224659"/>
    <w:rsid w:val="00224D0D"/>
    <w:rsid w:val="00225FC1"/>
    <w:rsid w:val="002315C7"/>
    <w:rsid w:val="00231A28"/>
    <w:rsid w:val="00232B44"/>
    <w:rsid w:val="00234B28"/>
    <w:rsid w:val="00236A8E"/>
    <w:rsid w:val="00237D7E"/>
    <w:rsid w:val="0024214F"/>
    <w:rsid w:val="0025270B"/>
    <w:rsid w:val="00254FC8"/>
    <w:rsid w:val="00257645"/>
    <w:rsid w:val="002579B7"/>
    <w:rsid w:val="00257E83"/>
    <w:rsid w:val="00270E8B"/>
    <w:rsid w:val="002742DF"/>
    <w:rsid w:val="00276BC1"/>
    <w:rsid w:val="00276C83"/>
    <w:rsid w:val="00277CE3"/>
    <w:rsid w:val="00282D4D"/>
    <w:rsid w:val="0028406F"/>
    <w:rsid w:val="002841CE"/>
    <w:rsid w:val="00284979"/>
    <w:rsid w:val="002856CA"/>
    <w:rsid w:val="00285C72"/>
    <w:rsid w:val="0029233B"/>
    <w:rsid w:val="002954FC"/>
    <w:rsid w:val="00297D44"/>
    <w:rsid w:val="002A0F8F"/>
    <w:rsid w:val="002A16C6"/>
    <w:rsid w:val="002A1994"/>
    <w:rsid w:val="002A3F75"/>
    <w:rsid w:val="002A647F"/>
    <w:rsid w:val="002A72DA"/>
    <w:rsid w:val="002B01ED"/>
    <w:rsid w:val="002B229A"/>
    <w:rsid w:val="002B3D79"/>
    <w:rsid w:val="002C029F"/>
    <w:rsid w:val="002C0B3F"/>
    <w:rsid w:val="002C3455"/>
    <w:rsid w:val="002C3DE2"/>
    <w:rsid w:val="002C4B46"/>
    <w:rsid w:val="002C65AF"/>
    <w:rsid w:val="002C717F"/>
    <w:rsid w:val="002D30B1"/>
    <w:rsid w:val="002D6031"/>
    <w:rsid w:val="002D7C0C"/>
    <w:rsid w:val="002E1E71"/>
    <w:rsid w:val="002E42A5"/>
    <w:rsid w:val="002E4352"/>
    <w:rsid w:val="002E527E"/>
    <w:rsid w:val="002E64A0"/>
    <w:rsid w:val="002F17F7"/>
    <w:rsid w:val="002F2F8A"/>
    <w:rsid w:val="00300DBF"/>
    <w:rsid w:val="00303BE0"/>
    <w:rsid w:val="00307DC6"/>
    <w:rsid w:val="003105E0"/>
    <w:rsid w:val="0031198C"/>
    <w:rsid w:val="00314D89"/>
    <w:rsid w:val="00315CDF"/>
    <w:rsid w:val="003167C8"/>
    <w:rsid w:val="0032099A"/>
    <w:rsid w:val="00322441"/>
    <w:rsid w:val="00323421"/>
    <w:rsid w:val="003265F0"/>
    <w:rsid w:val="0032763D"/>
    <w:rsid w:val="003276E6"/>
    <w:rsid w:val="00327838"/>
    <w:rsid w:val="00327DDE"/>
    <w:rsid w:val="003310F1"/>
    <w:rsid w:val="0033709C"/>
    <w:rsid w:val="0033795D"/>
    <w:rsid w:val="00337C72"/>
    <w:rsid w:val="00342E5B"/>
    <w:rsid w:val="00344697"/>
    <w:rsid w:val="00344A70"/>
    <w:rsid w:val="0035128B"/>
    <w:rsid w:val="00352480"/>
    <w:rsid w:val="0035468A"/>
    <w:rsid w:val="003556E1"/>
    <w:rsid w:val="00355722"/>
    <w:rsid w:val="003606CE"/>
    <w:rsid w:val="00367549"/>
    <w:rsid w:val="00371633"/>
    <w:rsid w:val="0037366E"/>
    <w:rsid w:val="0037528F"/>
    <w:rsid w:val="00376DA5"/>
    <w:rsid w:val="00377100"/>
    <w:rsid w:val="00377C7C"/>
    <w:rsid w:val="003816F1"/>
    <w:rsid w:val="00383F60"/>
    <w:rsid w:val="0038640C"/>
    <w:rsid w:val="00387196"/>
    <w:rsid w:val="0038769C"/>
    <w:rsid w:val="003955E8"/>
    <w:rsid w:val="0039781C"/>
    <w:rsid w:val="003A006E"/>
    <w:rsid w:val="003A0519"/>
    <w:rsid w:val="003A1C55"/>
    <w:rsid w:val="003A6363"/>
    <w:rsid w:val="003B230C"/>
    <w:rsid w:val="003B4A53"/>
    <w:rsid w:val="003B4FC4"/>
    <w:rsid w:val="003B64AA"/>
    <w:rsid w:val="003B77DB"/>
    <w:rsid w:val="003C1CCC"/>
    <w:rsid w:val="003C4E0B"/>
    <w:rsid w:val="003C601A"/>
    <w:rsid w:val="003D51BD"/>
    <w:rsid w:val="003D6E0C"/>
    <w:rsid w:val="003E0365"/>
    <w:rsid w:val="003E0D8D"/>
    <w:rsid w:val="003E2851"/>
    <w:rsid w:val="003E28E5"/>
    <w:rsid w:val="003E4077"/>
    <w:rsid w:val="003E7494"/>
    <w:rsid w:val="00407516"/>
    <w:rsid w:val="00407CE6"/>
    <w:rsid w:val="004200ED"/>
    <w:rsid w:val="00420216"/>
    <w:rsid w:val="004218C5"/>
    <w:rsid w:val="0042313A"/>
    <w:rsid w:val="00423ED2"/>
    <w:rsid w:val="0042685A"/>
    <w:rsid w:val="0043034D"/>
    <w:rsid w:val="00430B25"/>
    <w:rsid w:val="00430E8A"/>
    <w:rsid w:val="00436892"/>
    <w:rsid w:val="004410A8"/>
    <w:rsid w:val="00441A0B"/>
    <w:rsid w:val="00442450"/>
    <w:rsid w:val="004474E1"/>
    <w:rsid w:val="0045008D"/>
    <w:rsid w:val="0045334F"/>
    <w:rsid w:val="00455EDC"/>
    <w:rsid w:val="00456681"/>
    <w:rsid w:val="00457B29"/>
    <w:rsid w:val="00461851"/>
    <w:rsid w:val="00463FF2"/>
    <w:rsid w:val="00467207"/>
    <w:rsid w:val="0046782F"/>
    <w:rsid w:val="00476579"/>
    <w:rsid w:val="0048494F"/>
    <w:rsid w:val="00484ED5"/>
    <w:rsid w:val="00485407"/>
    <w:rsid w:val="00487D1B"/>
    <w:rsid w:val="00494992"/>
    <w:rsid w:val="004954FF"/>
    <w:rsid w:val="004B028F"/>
    <w:rsid w:val="004B3272"/>
    <w:rsid w:val="004B33F7"/>
    <w:rsid w:val="004C38A9"/>
    <w:rsid w:val="004C7A00"/>
    <w:rsid w:val="004D09C5"/>
    <w:rsid w:val="004D15A9"/>
    <w:rsid w:val="004D2BB3"/>
    <w:rsid w:val="004D5722"/>
    <w:rsid w:val="004D5EBF"/>
    <w:rsid w:val="004D7763"/>
    <w:rsid w:val="004E003C"/>
    <w:rsid w:val="004E07C6"/>
    <w:rsid w:val="004E3B8F"/>
    <w:rsid w:val="004E539E"/>
    <w:rsid w:val="004F0B62"/>
    <w:rsid w:val="004F0F47"/>
    <w:rsid w:val="004F46C2"/>
    <w:rsid w:val="004F5258"/>
    <w:rsid w:val="0050090C"/>
    <w:rsid w:val="005011D3"/>
    <w:rsid w:val="00501427"/>
    <w:rsid w:val="005050C0"/>
    <w:rsid w:val="005104C0"/>
    <w:rsid w:val="005116B8"/>
    <w:rsid w:val="00513E59"/>
    <w:rsid w:val="00514812"/>
    <w:rsid w:val="00524AC9"/>
    <w:rsid w:val="00525511"/>
    <w:rsid w:val="00526F52"/>
    <w:rsid w:val="00532BB1"/>
    <w:rsid w:val="00533A7C"/>
    <w:rsid w:val="005341BB"/>
    <w:rsid w:val="00535B7F"/>
    <w:rsid w:val="00537589"/>
    <w:rsid w:val="00537A12"/>
    <w:rsid w:val="00540D69"/>
    <w:rsid w:val="00542827"/>
    <w:rsid w:val="00546194"/>
    <w:rsid w:val="00550B8F"/>
    <w:rsid w:val="005558C5"/>
    <w:rsid w:val="00556B89"/>
    <w:rsid w:val="005640D9"/>
    <w:rsid w:val="0056773B"/>
    <w:rsid w:val="00584FBD"/>
    <w:rsid w:val="0058547C"/>
    <w:rsid w:val="005931AD"/>
    <w:rsid w:val="00593B04"/>
    <w:rsid w:val="005A0642"/>
    <w:rsid w:val="005A078A"/>
    <w:rsid w:val="005A201B"/>
    <w:rsid w:val="005A28AF"/>
    <w:rsid w:val="005A2C30"/>
    <w:rsid w:val="005A6091"/>
    <w:rsid w:val="005A6457"/>
    <w:rsid w:val="005A7397"/>
    <w:rsid w:val="005A7B0E"/>
    <w:rsid w:val="005B458A"/>
    <w:rsid w:val="005B4C71"/>
    <w:rsid w:val="005B53CB"/>
    <w:rsid w:val="005B6B91"/>
    <w:rsid w:val="005C2AF9"/>
    <w:rsid w:val="005C3750"/>
    <w:rsid w:val="005D1CEF"/>
    <w:rsid w:val="005D1D4D"/>
    <w:rsid w:val="005D3F39"/>
    <w:rsid w:val="005D4C69"/>
    <w:rsid w:val="005D5F1F"/>
    <w:rsid w:val="005D622D"/>
    <w:rsid w:val="005E2985"/>
    <w:rsid w:val="005E33DA"/>
    <w:rsid w:val="005E3DF8"/>
    <w:rsid w:val="005E5C44"/>
    <w:rsid w:val="005F10CC"/>
    <w:rsid w:val="005F2B26"/>
    <w:rsid w:val="005F2C3D"/>
    <w:rsid w:val="005F2DDC"/>
    <w:rsid w:val="005F5226"/>
    <w:rsid w:val="00600EEB"/>
    <w:rsid w:val="00605E46"/>
    <w:rsid w:val="00607EF2"/>
    <w:rsid w:val="0061123C"/>
    <w:rsid w:val="00611511"/>
    <w:rsid w:val="00613CBB"/>
    <w:rsid w:val="006157D4"/>
    <w:rsid w:val="00615A4B"/>
    <w:rsid w:val="00615CD9"/>
    <w:rsid w:val="006258BB"/>
    <w:rsid w:val="00627FB6"/>
    <w:rsid w:val="00631B59"/>
    <w:rsid w:val="00633201"/>
    <w:rsid w:val="00636E07"/>
    <w:rsid w:val="00637A76"/>
    <w:rsid w:val="00641044"/>
    <w:rsid w:val="006470C6"/>
    <w:rsid w:val="0065015F"/>
    <w:rsid w:val="00651509"/>
    <w:rsid w:val="006628A2"/>
    <w:rsid w:val="006644B2"/>
    <w:rsid w:val="00664E8D"/>
    <w:rsid w:val="00666B12"/>
    <w:rsid w:val="00671752"/>
    <w:rsid w:val="00681EAF"/>
    <w:rsid w:val="0068425D"/>
    <w:rsid w:val="00691E5D"/>
    <w:rsid w:val="00693337"/>
    <w:rsid w:val="00693B37"/>
    <w:rsid w:val="006954A8"/>
    <w:rsid w:val="006A0400"/>
    <w:rsid w:val="006A0F45"/>
    <w:rsid w:val="006A7402"/>
    <w:rsid w:val="006A7F4A"/>
    <w:rsid w:val="006B2510"/>
    <w:rsid w:val="006B75DA"/>
    <w:rsid w:val="006C2AEF"/>
    <w:rsid w:val="006C2B67"/>
    <w:rsid w:val="006C53E4"/>
    <w:rsid w:val="006C67D8"/>
    <w:rsid w:val="006C7416"/>
    <w:rsid w:val="006D1B48"/>
    <w:rsid w:val="006D6481"/>
    <w:rsid w:val="006E135C"/>
    <w:rsid w:val="006E6B39"/>
    <w:rsid w:val="006E7A5E"/>
    <w:rsid w:val="006F2CD7"/>
    <w:rsid w:val="006F2F87"/>
    <w:rsid w:val="006F4019"/>
    <w:rsid w:val="006F5440"/>
    <w:rsid w:val="006F59CD"/>
    <w:rsid w:val="006F7050"/>
    <w:rsid w:val="00700C4E"/>
    <w:rsid w:val="00701F8C"/>
    <w:rsid w:val="0070251F"/>
    <w:rsid w:val="00704809"/>
    <w:rsid w:val="00706E32"/>
    <w:rsid w:val="007115C9"/>
    <w:rsid w:val="00713571"/>
    <w:rsid w:val="007153C9"/>
    <w:rsid w:val="007172B9"/>
    <w:rsid w:val="0072487A"/>
    <w:rsid w:val="007259C4"/>
    <w:rsid w:val="00725C87"/>
    <w:rsid w:val="00731548"/>
    <w:rsid w:val="0073169E"/>
    <w:rsid w:val="00731A68"/>
    <w:rsid w:val="007332C7"/>
    <w:rsid w:val="00733CAC"/>
    <w:rsid w:val="007353A2"/>
    <w:rsid w:val="00746A48"/>
    <w:rsid w:val="00747637"/>
    <w:rsid w:val="00752292"/>
    <w:rsid w:val="00753287"/>
    <w:rsid w:val="007574F1"/>
    <w:rsid w:val="00760E01"/>
    <w:rsid w:val="00770B0A"/>
    <w:rsid w:val="00771D69"/>
    <w:rsid w:val="00771F8E"/>
    <w:rsid w:val="00772D8C"/>
    <w:rsid w:val="00774A67"/>
    <w:rsid w:val="0077570D"/>
    <w:rsid w:val="00775F53"/>
    <w:rsid w:val="00777F64"/>
    <w:rsid w:val="00782792"/>
    <w:rsid w:val="007857DD"/>
    <w:rsid w:val="0078660E"/>
    <w:rsid w:val="007906FD"/>
    <w:rsid w:val="00796C69"/>
    <w:rsid w:val="007A3444"/>
    <w:rsid w:val="007A3C6B"/>
    <w:rsid w:val="007A5651"/>
    <w:rsid w:val="007A7833"/>
    <w:rsid w:val="007B02EC"/>
    <w:rsid w:val="007B05B0"/>
    <w:rsid w:val="007B20EA"/>
    <w:rsid w:val="007B2E48"/>
    <w:rsid w:val="007B6DC7"/>
    <w:rsid w:val="007B7139"/>
    <w:rsid w:val="007C0C61"/>
    <w:rsid w:val="007C2CFA"/>
    <w:rsid w:val="007C365D"/>
    <w:rsid w:val="007C3AAA"/>
    <w:rsid w:val="007C4545"/>
    <w:rsid w:val="007C4BDB"/>
    <w:rsid w:val="007D2F91"/>
    <w:rsid w:val="007D4A61"/>
    <w:rsid w:val="007D4D2D"/>
    <w:rsid w:val="007D54D0"/>
    <w:rsid w:val="007D60E5"/>
    <w:rsid w:val="007D63BB"/>
    <w:rsid w:val="007D652F"/>
    <w:rsid w:val="007E229D"/>
    <w:rsid w:val="007E3F6E"/>
    <w:rsid w:val="007E5501"/>
    <w:rsid w:val="007E5BB8"/>
    <w:rsid w:val="007E7CF9"/>
    <w:rsid w:val="007F080B"/>
    <w:rsid w:val="007F1600"/>
    <w:rsid w:val="0080414F"/>
    <w:rsid w:val="0080472B"/>
    <w:rsid w:val="008049D1"/>
    <w:rsid w:val="00810191"/>
    <w:rsid w:val="00811797"/>
    <w:rsid w:val="00811B7A"/>
    <w:rsid w:val="0081323C"/>
    <w:rsid w:val="00816C56"/>
    <w:rsid w:val="00816E05"/>
    <w:rsid w:val="008206D9"/>
    <w:rsid w:val="00821F1C"/>
    <w:rsid w:val="0082343F"/>
    <w:rsid w:val="008263FA"/>
    <w:rsid w:val="0082759C"/>
    <w:rsid w:val="00830FCB"/>
    <w:rsid w:val="00833F06"/>
    <w:rsid w:val="00834FC5"/>
    <w:rsid w:val="00840EAA"/>
    <w:rsid w:val="00842C93"/>
    <w:rsid w:val="00842FDA"/>
    <w:rsid w:val="00854270"/>
    <w:rsid w:val="00855223"/>
    <w:rsid w:val="00862E44"/>
    <w:rsid w:val="008638ED"/>
    <w:rsid w:val="0086597D"/>
    <w:rsid w:val="0087129E"/>
    <w:rsid w:val="008733DD"/>
    <w:rsid w:val="008764C2"/>
    <w:rsid w:val="00881D5E"/>
    <w:rsid w:val="00891EAE"/>
    <w:rsid w:val="008923E2"/>
    <w:rsid w:val="008938EF"/>
    <w:rsid w:val="008951F1"/>
    <w:rsid w:val="00895268"/>
    <w:rsid w:val="00895C2A"/>
    <w:rsid w:val="008960B9"/>
    <w:rsid w:val="00896C99"/>
    <w:rsid w:val="008A2053"/>
    <w:rsid w:val="008A2B40"/>
    <w:rsid w:val="008A60DA"/>
    <w:rsid w:val="008A60F3"/>
    <w:rsid w:val="008A7738"/>
    <w:rsid w:val="008B0402"/>
    <w:rsid w:val="008B4F8F"/>
    <w:rsid w:val="008B5166"/>
    <w:rsid w:val="008B64E5"/>
    <w:rsid w:val="008C0EDA"/>
    <w:rsid w:val="008C13EC"/>
    <w:rsid w:val="008C1ACB"/>
    <w:rsid w:val="008C1B64"/>
    <w:rsid w:val="008C3A54"/>
    <w:rsid w:val="008C4307"/>
    <w:rsid w:val="008C57C8"/>
    <w:rsid w:val="008C7F30"/>
    <w:rsid w:val="008D11FC"/>
    <w:rsid w:val="008D1CC7"/>
    <w:rsid w:val="008D2AF6"/>
    <w:rsid w:val="008D3627"/>
    <w:rsid w:val="008D44AA"/>
    <w:rsid w:val="008D464D"/>
    <w:rsid w:val="008E1F9F"/>
    <w:rsid w:val="008E3A67"/>
    <w:rsid w:val="008E59B1"/>
    <w:rsid w:val="008E7282"/>
    <w:rsid w:val="008F2F6C"/>
    <w:rsid w:val="008F5C25"/>
    <w:rsid w:val="008F5CB0"/>
    <w:rsid w:val="0090056C"/>
    <w:rsid w:val="00900DA6"/>
    <w:rsid w:val="00907FC2"/>
    <w:rsid w:val="00912E15"/>
    <w:rsid w:val="0091387C"/>
    <w:rsid w:val="00917A24"/>
    <w:rsid w:val="009201C5"/>
    <w:rsid w:val="0092101E"/>
    <w:rsid w:val="00924D88"/>
    <w:rsid w:val="0092542A"/>
    <w:rsid w:val="00927D6D"/>
    <w:rsid w:val="009308F8"/>
    <w:rsid w:val="00930B63"/>
    <w:rsid w:val="009310E6"/>
    <w:rsid w:val="009329A9"/>
    <w:rsid w:val="00932D8C"/>
    <w:rsid w:val="009367B2"/>
    <w:rsid w:val="00940F0F"/>
    <w:rsid w:val="00941F00"/>
    <w:rsid w:val="00943FE1"/>
    <w:rsid w:val="009446F6"/>
    <w:rsid w:val="00945D1D"/>
    <w:rsid w:val="00953C8A"/>
    <w:rsid w:val="0095693F"/>
    <w:rsid w:val="00963FEC"/>
    <w:rsid w:val="009640EA"/>
    <w:rsid w:val="0096547E"/>
    <w:rsid w:val="009667F3"/>
    <w:rsid w:val="009809AD"/>
    <w:rsid w:val="00980C16"/>
    <w:rsid w:val="009812DB"/>
    <w:rsid w:val="0098130E"/>
    <w:rsid w:val="00981798"/>
    <w:rsid w:val="00985D60"/>
    <w:rsid w:val="009920C7"/>
    <w:rsid w:val="00992981"/>
    <w:rsid w:val="00993B27"/>
    <w:rsid w:val="00996C27"/>
    <w:rsid w:val="00996EF8"/>
    <w:rsid w:val="009A18E0"/>
    <w:rsid w:val="009A6AF1"/>
    <w:rsid w:val="009B0D56"/>
    <w:rsid w:val="009B1966"/>
    <w:rsid w:val="009B213D"/>
    <w:rsid w:val="009B4482"/>
    <w:rsid w:val="009B46CB"/>
    <w:rsid w:val="009B51CF"/>
    <w:rsid w:val="009B57C9"/>
    <w:rsid w:val="009B5E72"/>
    <w:rsid w:val="009C3ECC"/>
    <w:rsid w:val="009C4354"/>
    <w:rsid w:val="009C5C82"/>
    <w:rsid w:val="009C6A94"/>
    <w:rsid w:val="009C7822"/>
    <w:rsid w:val="009D2545"/>
    <w:rsid w:val="009D2E1A"/>
    <w:rsid w:val="009D41A3"/>
    <w:rsid w:val="009D4300"/>
    <w:rsid w:val="009E0613"/>
    <w:rsid w:val="009E06E2"/>
    <w:rsid w:val="009E1303"/>
    <w:rsid w:val="009E2821"/>
    <w:rsid w:val="009F0641"/>
    <w:rsid w:val="009F1AB0"/>
    <w:rsid w:val="009F3FEF"/>
    <w:rsid w:val="009F4B30"/>
    <w:rsid w:val="00A00416"/>
    <w:rsid w:val="00A03CC0"/>
    <w:rsid w:val="00A045A9"/>
    <w:rsid w:val="00A060F4"/>
    <w:rsid w:val="00A06433"/>
    <w:rsid w:val="00A07C79"/>
    <w:rsid w:val="00A13193"/>
    <w:rsid w:val="00A1543A"/>
    <w:rsid w:val="00A154E4"/>
    <w:rsid w:val="00A16481"/>
    <w:rsid w:val="00A20E33"/>
    <w:rsid w:val="00A20E39"/>
    <w:rsid w:val="00A25752"/>
    <w:rsid w:val="00A25CBD"/>
    <w:rsid w:val="00A27745"/>
    <w:rsid w:val="00A335A3"/>
    <w:rsid w:val="00A42F17"/>
    <w:rsid w:val="00A42FE4"/>
    <w:rsid w:val="00A43B24"/>
    <w:rsid w:val="00A445C9"/>
    <w:rsid w:val="00A5175E"/>
    <w:rsid w:val="00A519F9"/>
    <w:rsid w:val="00A53B02"/>
    <w:rsid w:val="00A53DAC"/>
    <w:rsid w:val="00A54BD9"/>
    <w:rsid w:val="00A5574E"/>
    <w:rsid w:val="00A57B3D"/>
    <w:rsid w:val="00A57FE0"/>
    <w:rsid w:val="00A6088F"/>
    <w:rsid w:val="00A63CB7"/>
    <w:rsid w:val="00A64EDD"/>
    <w:rsid w:val="00A70DC1"/>
    <w:rsid w:val="00A72458"/>
    <w:rsid w:val="00A757CD"/>
    <w:rsid w:val="00A80E69"/>
    <w:rsid w:val="00A817B6"/>
    <w:rsid w:val="00A85328"/>
    <w:rsid w:val="00A85F69"/>
    <w:rsid w:val="00A87113"/>
    <w:rsid w:val="00A90575"/>
    <w:rsid w:val="00A90789"/>
    <w:rsid w:val="00A90BB2"/>
    <w:rsid w:val="00A91507"/>
    <w:rsid w:val="00A94615"/>
    <w:rsid w:val="00A9627C"/>
    <w:rsid w:val="00AA204D"/>
    <w:rsid w:val="00AA3C0C"/>
    <w:rsid w:val="00AA5CFA"/>
    <w:rsid w:val="00AB71FC"/>
    <w:rsid w:val="00AC4321"/>
    <w:rsid w:val="00AD1FBE"/>
    <w:rsid w:val="00AD2555"/>
    <w:rsid w:val="00AD3855"/>
    <w:rsid w:val="00AD4E5A"/>
    <w:rsid w:val="00AD6493"/>
    <w:rsid w:val="00AD6EE3"/>
    <w:rsid w:val="00AD78F7"/>
    <w:rsid w:val="00AE362A"/>
    <w:rsid w:val="00AE6045"/>
    <w:rsid w:val="00AF1183"/>
    <w:rsid w:val="00AF2A4E"/>
    <w:rsid w:val="00B00077"/>
    <w:rsid w:val="00B02CD1"/>
    <w:rsid w:val="00B072AF"/>
    <w:rsid w:val="00B17284"/>
    <w:rsid w:val="00B17373"/>
    <w:rsid w:val="00B243AA"/>
    <w:rsid w:val="00B25365"/>
    <w:rsid w:val="00B26025"/>
    <w:rsid w:val="00B265B4"/>
    <w:rsid w:val="00B26DAC"/>
    <w:rsid w:val="00B27CC7"/>
    <w:rsid w:val="00B30C73"/>
    <w:rsid w:val="00B31103"/>
    <w:rsid w:val="00B3418B"/>
    <w:rsid w:val="00B34234"/>
    <w:rsid w:val="00B34BF7"/>
    <w:rsid w:val="00B3624E"/>
    <w:rsid w:val="00B42478"/>
    <w:rsid w:val="00B433FC"/>
    <w:rsid w:val="00B4378F"/>
    <w:rsid w:val="00B4513E"/>
    <w:rsid w:val="00B458F5"/>
    <w:rsid w:val="00B46821"/>
    <w:rsid w:val="00B46FA4"/>
    <w:rsid w:val="00B51138"/>
    <w:rsid w:val="00B5281A"/>
    <w:rsid w:val="00B56ECA"/>
    <w:rsid w:val="00B62308"/>
    <w:rsid w:val="00B6331D"/>
    <w:rsid w:val="00B638C8"/>
    <w:rsid w:val="00B65E5E"/>
    <w:rsid w:val="00B667F2"/>
    <w:rsid w:val="00B670B3"/>
    <w:rsid w:val="00B714D8"/>
    <w:rsid w:val="00B71662"/>
    <w:rsid w:val="00B7603B"/>
    <w:rsid w:val="00B76DF9"/>
    <w:rsid w:val="00B77039"/>
    <w:rsid w:val="00B809B6"/>
    <w:rsid w:val="00B839CB"/>
    <w:rsid w:val="00B854D8"/>
    <w:rsid w:val="00B85EC2"/>
    <w:rsid w:val="00B87630"/>
    <w:rsid w:val="00B8776A"/>
    <w:rsid w:val="00B912E4"/>
    <w:rsid w:val="00B91BB4"/>
    <w:rsid w:val="00B92154"/>
    <w:rsid w:val="00B92A40"/>
    <w:rsid w:val="00B96BE0"/>
    <w:rsid w:val="00B975CA"/>
    <w:rsid w:val="00B97C50"/>
    <w:rsid w:val="00BA0DF2"/>
    <w:rsid w:val="00BA384E"/>
    <w:rsid w:val="00BA7F03"/>
    <w:rsid w:val="00BB0348"/>
    <w:rsid w:val="00BB279D"/>
    <w:rsid w:val="00BC1EE1"/>
    <w:rsid w:val="00BC3DC3"/>
    <w:rsid w:val="00BC429F"/>
    <w:rsid w:val="00BC4D04"/>
    <w:rsid w:val="00BC5E49"/>
    <w:rsid w:val="00BD0DA0"/>
    <w:rsid w:val="00BD429E"/>
    <w:rsid w:val="00BD6B6D"/>
    <w:rsid w:val="00BD714C"/>
    <w:rsid w:val="00BE08AD"/>
    <w:rsid w:val="00BE267C"/>
    <w:rsid w:val="00BE2BF8"/>
    <w:rsid w:val="00BE4165"/>
    <w:rsid w:val="00BE4AF3"/>
    <w:rsid w:val="00BF01C8"/>
    <w:rsid w:val="00BF2400"/>
    <w:rsid w:val="00BF3374"/>
    <w:rsid w:val="00BF4151"/>
    <w:rsid w:val="00C03360"/>
    <w:rsid w:val="00C0401D"/>
    <w:rsid w:val="00C0712C"/>
    <w:rsid w:val="00C0770D"/>
    <w:rsid w:val="00C07885"/>
    <w:rsid w:val="00C07935"/>
    <w:rsid w:val="00C12B1B"/>
    <w:rsid w:val="00C15FC8"/>
    <w:rsid w:val="00C20686"/>
    <w:rsid w:val="00C20988"/>
    <w:rsid w:val="00C20B7D"/>
    <w:rsid w:val="00C22A9A"/>
    <w:rsid w:val="00C236CE"/>
    <w:rsid w:val="00C24D45"/>
    <w:rsid w:val="00C25F2F"/>
    <w:rsid w:val="00C26C86"/>
    <w:rsid w:val="00C27634"/>
    <w:rsid w:val="00C3089A"/>
    <w:rsid w:val="00C30B2E"/>
    <w:rsid w:val="00C30D11"/>
    <w:rsid w:val="00C322D9"/>
    <w:rsid w:val="00C335BE"/>
    <w:rsid w:val="00C35169"/>
    <w:rsid w:val="00C3604F"/>
    <w:rsid w:val="00C360E3"/>
    <w:rsid w:val="00C364C1"/>
    <w:rsid w:val="00C50603"/>
    <w:rsid w:val="00C5068B"/>
    <w:rsid w:val="00C521B8"/>
    <w:rsid w:val="00C53C97"/>
    <w:rsid w:val="00C55816"/>
    <w:rsid w:val="00C55CE9"/>
    <w:rsid w:val="00C62945"/>
    <w:rsid w:val="00C63768"/>
    <w:rsid w:val="00C647BE"/>
    <w:rsid w:val="00C66308"/>
    <w:rsid w:val="00C673E5"/>
    <w:rsid w:val="00C71A44"/>
    <w:rsid w:val="00C7619F"/>
    <w:rsid w:val="00C8353D"/>
    <w:rsid w:val="00C83646"/>
    <w:rsid w:val="00C872A2"/>
    <w:rsid w:val="00C94DD3"/>
    <w:rsid w:val="00CA13B2"/>
    <w:rsid w:val="00CB1DCB"/>
    <w:rsid w:val="00CB4260"/>
    <w:rsid w:val="00CB71CA"/>
    <w:rsid w:val="00CB7CAA"/>
    <w:rsid w:val="00CB7D0F"/>
    <w:rsid w:val="00CC6251"/>
    <w:rsid w:val="00CC638B"/>
    <w:rsid w:val="00CC6479"/>
    <w:rsid w:val="00CE606A"/>
    <w:rsid w:val="00CE798B"/>
    <w:rsid w:val="00CF139B"/>
    <w:rsid w:val="00CF1D32"/>
    <w:rsid w:val="00CF4AD2"/>
    <w:rsid w:val="00CF519D"/>
    <w:rsid w:val="00CF6095"/>
    <w:rsid w:val="00CF6300"/>
    <w:rsid w:val="00CF7A9A"/>
    <w:rsid w:val="00D01099"/>
    <w:rsid w:val="00D01CB4"/>
    <w:rsid w:val="00D02E84"/>
    <w:rsid w:val="00D04F15"/>
    <w:rsid w:val="00D07652"/>
    <w:rsid w:val="00D0767F"/>
    <w:rsid w:val="00D07A38"/>
    <w:rsid w:val="00D10A54"/>
    <w:rsid w:val="00D10E0E"/>
    <w:rsid w:val="00D10F2A"/>
    <w:rsid w:val="00D1232F"/>
    <w:rsid w:val="00D12FD4"/>
    <w:rsid w:val="00D13683"/>
    <w:rsid w:val="00D15BAF"/>
    <w:rsid w:val="00D16D70"/>
    <w:rsid w:val="00D176DE"/>
    <w:rsid w:val="00D244A8"/>
    <w:rsid w:val="00D24F36"/>
    <w:rsid w:val="00D24FD1"/>
    <w:rsid w:val="00D265DF"/>
    <w:rsid w:val="00D32201"/>
    <w:rsid w:val="00D3347F"/>
    <w:rsid w:val="00D34764"/>
    <w:rsid w:val="00D34A5A"/>
    <w:rsid w:val="00D403CB"/>
    <w:rsid w:val="00D42F76"/>
    <w:rsid w:val="00D43E47"/>
    <w:rsid w:val="00D459E9"/>
    <w:rsid w:val="00D46465"/>
    <w:rsid w:val="00D503BA"/>
    <w:rsid w:val="00D5387A"/>
    <w:rsid w:val="00D55946"/>
    <w:rsid w:val="00D56967"/>
    <w:rsid w:val="00D56D90"/>
    <w:rsid w:val="00D56FB8"/>
    <w:rsid w:val="00D576CE"/>
    <w:rsid w:val="00D6090B"/>
    <w:rsid w:val="00D61DD4"/>
    <w:rsid w:val="00D62890"/>
    <w:rsid w:val="00D64DB3"/>
    <w:rsid w:val="00D65560"/>
    <w:rsid w:val="00D66292"/>
    <w:rsid w:val="00D6663A"/>
    <w:rsid w:val="00D67B51"/>
    <w:rsid w:val="00D70917"/>
    <w:rsid w:val="00D7179F"/>
    <w:rsid w:val="00D73A71"/>
    <w:rsid w:val="00D74515"/>
    <w:rsid w:val="00D74925"/>
    <w:rsid w:val="00D77334"/>
    <w:rsid w:val="00D80169"/>
    <w:rsid w:val="00D84452"/>
    <w:rsid w:val="00D8750D"/>
    <w:rsid w:val="00D914EB"/>
    <w:rsid w:val="00D91AFF"/>
    <w:rsid w:val="00D92884"/>
    <w:rsid w:val="00D95C19"/>
    <w:rsid w:val="00DA1790"/>
    <w:rsid w:val="00DA1E75"/>
    <w:rsid w:val="00DA1FCD"/>
    <w:rsid w:val="00DA3A8C"/>
    <w:rsid w:val="00DA7123"/>
    <w:rsid w:val="00DB0145"/>
    <w:rsid w:val="00DB3BF1"/>
    <w:rsid w:val="00DB41AD"/>
    <w:rsid w:val="00DC0EA1"/>
    <w:rsid w:val="00DC6321"/>
    <w:rsid w:val="00DC6CDD"/>
    <w:rsid w:val="00DD00C7"/>
    <w:rsid w:val="00DD0227"/>
    <w:rsid w:val="00DD1F7A"/>
    <w:rsid w:val="00DD2AF8"/>
    <w:rsid w:val="00DD4D22"/>
    <w:rsid w:val="00DE1BDA"/>
    <w:rsid w:val="00DE2BF2"/>
    <w:rsid w:val="00DE57B5"/>
    <w:rsid w:val="00DE6394"/>
    <w:rsid w:val="00DE672E"/>
    <w:rsid w:val="00DF35B0"/>
    <w:rsid w:val="00DF592D"/>
    <w:rsid w:val="00E016B4"/>
    <w:rsid w:val="00E047AA"/>
    <w:rsid w:val="00E047C4"/>
    <w:rsid w:val="00E04EE4"/>
    <w:rsid w:val="00E0547F"/>
    <w:rsid w:val="00E062AC"/>
    <w:rsid w:val="00E07A72"/>
    <w:rsid w:val="00E07B1B"/>
    <w:rsid w:val="00E109A9"/>
    <w:rsid w:val="00E13A5B"/>
    <w:rsid w:val="00E17D1D"/>
    <w:rsid w:val="00E206CC"/>
    <w:rsid w:val="00E20FD4"/>
    <w:rsid w:val="00E25138"/>
    <w:rsid w:val="00E25E73"/>
    <w:rsid w:val="00E264FE"/>
    <w:rsid w:val="00E31199"/>
    <w:rsid w:val="00E334C3"/>
    <w:rsid w:val="00E34075"/>
    <w:rsid w:val="00E406A9"/>
    <w:rsid w:val="00E40AB8"/>
    <w:rsid w:val="00E4132D"/>
    <w:rsid w:val="00E41E7F"/>
    <w:rsid w:val="00E43193"/>
    <w:rsid w:val="00E4320A"/>
    <w:rsid w:val="00E45831"/>
    <w:rsid w:val="00E501D9"/>
    <w:rsid w:val="00E51416"/>
    <w:rsid w:val="00E51C2F"/>
    <w:rsid w:val="00E51DA0"/>
    <w:rsid w:val="00E56550"/>
    <w:rsid w:val="00E64319"/>
    <w:rsid w:val="00E64A52"/>
    <w:rsid w:val="00E65177"/>
    <w:rsid w:val="00E65223"/>
    <w:rsid w:val="00E67A11"/>
    <w:rsid w:val="00E72AF9"/>
    <w:rsid w:val="00E75352"/>
    <w:rsid w:val="00E76AD4"/>
    <w:rsid w:val="00E8032E"/>
    <w:rsid w:val="00E81D9E"/>
    <w:rsid w:val="00E87B0F"/>
    <w:rsid w:val="00E904B3"/>
    <w:rsid w:val="00E906B0"/>
    <w:rsid w:val="00E9204F"/>
    <w:rsid w:val="00E926BF"/>
    <w:rsid w:val="00E94DA0"/>
    <w:rsid w:val="00E953E9"/>
    <w:rsid w:val="00EA02F2"/>
    <w:rsid w:val="00EA06E9"/>
    <w:rsid w:val="00EA2B43"/>
    <w:rsid w:val="00EA50C8"/>
    <w:rsid w:val="00EB11FA"/>
    <w:rsid w:val="00EB1C21"/>
    <w:rsid w:val="00EB3E97"/>
    <w:rsid w:val="00EB4407"/>
    <w:rsid w:val="00EB51C3"/>
    <w:rsid w:val="00EB60FB"/>
    <w:rsid w:val="00EB690D"/>
    <w:rsid w:val="00EC1393"/>
    <w:rsid w:val="00EC25C7"/>
    <w:rsid w:val="00EC36F0"/>
    <w:rsid w:val="00EC40BC"/>
    <w:rsid w:val="00EC4E73"/>
    <w:rsid w:val="00EC5A73"/>
    <w:rsid w:val="00EC625D"/>
    <w:rsid w:val="00ED00B7"/>
    <w:rsid w:val="00ED1EE1"/>
    <w:rsid w:val="00ED34EF"/>
    <w:rsid w:val="00ED7573"/>
    <w:rsid w:val="00EE7703"/>
    <w:rsid w:val="00EF03C5"/>
    <w:rsid w:val="00EF0B58"/>
    <w:rsid w:val="00EF1096"/>
    <w:rsid w:val="00EF2144"/>
    <w:rsid w:val="00EF6457"/>
    <w:rsid w:val="00EF65BC"/>
    <w:rsid w:val="00F06EA2"/>
    <w:rsid w:val="00F07D7D"/>
    <w:rsid w:val="00F10360"/>
    <w:rsid w:val="00F11EF1"/>
    <w:rsid w:val="00F12A00"/>
    <w:rsid w:val="00F1483F"/>
    <w:rsid w:val="00F21F5E"/>
    <w:rsid w:val="00F2217E"/>
    <w:rsid w:val="00F33EBA"/>
    <w:rsid w:val="00F355E4"/>
    <w:rsid w:val="00F35C19"/>
    <w:rsid w:val="00F35DB6"/>
    <w:rsid w:val="00F362C3"/>
    <w:rsid w:val="00F365EE"/>
    <w:rsid w:val="00F40B32"/>
    <w:rsid w:val="00F41B04"/>
    <w:rsid w:val="00F507E7"/>
    <w:rsid w:val="00F50826"/>
    <w:rsid w:val="00F57FEB"/>
    <w:rsid w:val="00F6300E"/>
    <w:rsid w:val="00F72A5B"/>
    <w:rsid w:val="00F72D05"/>
    <w:rsid w:val="00F8133F"/>
    <w:rsid w:val="00F81B1F"/>
    <w:rsid w:val="00F82BB3"/>
    <w:rsid w:val="00F90703"/>
    <w:rsid w:val="00F90E33"/>
    <w:rsid w:val="00F90E84"/>
    <w:rsid w:val="00F9599C"/>
    <w:rsid w:val="00F95F5F"/>
    <w:rsid w:val="00F9630A"/>
    <w:rsid w:val="00FA0B4F"/>
    <w:rsid w:val="00FA4172"/>
    <w:rsid w:val="00FA6525"/>
    <w:rsid w:val="00FA7276"/>
    <w:rsid w:val="00FB02C4"/>
    <w:rsid w:val="00FB2D96"/>
    <w:rsid w:val="00FB3734"/>
    <w:rsid w:val="00FB4A6A"/>
    <w:rsid w:val="00FB4C4B"/>
    <w:rsid w:val="00FB712F"/>
    <w:rsid w:val="00FC07DC"/>
    <w:rsid w:val="00FC0E61"/>
    <w:rsid w:val="00FC10AD"/>
    <w:rsid w:val="00FC233B"/>
    <w:rsid w:val="00FC2EFC"/>
    <w:rsid w:val="00FC5CA7"/>
    <w:rsid w:val="00FC6726"/>
    <w:rsid w:val="00FD1D42"/>
    <w:rsid w:val="00FD43CF"/>
    <w:rsid w:val="00FE4A52"/>
    <w:rsid w:val="00FE7B5E"/>
    <w:rsid w:val="00FF34B0"/>
    <w:rsid w:val="00FF3675"/>
    <w:rsid w:val="00FF3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822078"/>
  <w15:chartTrackingRefBased/>
  <w15:docId w15:val="{71309676-0802-4552-87CB-8E4E66CA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paragraph" w:styleId="BalloonText">
    <w:name w:val="Balloon Text"/>
    <w:basedOn w:val="Normal"/>
    <w:semiHidden/>
    <w:rsid w:val="00615CD9"/>
    <w:rPr>
      <w:rFonts w:ascii="Tahoma" w:hAnsi="Tahoma" w:cs="Tahoma"/>
      <w:sz w:val="16"/>
      <w:szCs w:val="16"/>
    </w:rPr>
  </w:style>
  <w:style w:type="character" w:styleId="CommentReference">
    <w:name w:val="annotation reference"/>
    <w:semiHidden/>
    <w:rsid w:val="0017470D"/>
    <w:rPr>
      <w:sz w:val="16"/>
      <w:szCs w:val="16"/>
    </w:rPr>
  </w:style>
  <w:style w:type="paragraph" w:styleId="CommentText">
    <w:name w:val="annotation text"/>
    <w:basedOn w:val="Normal"/>
    <w:link w:val="CommentTextChar"/>
    <w:semiHidden/>
    <w:rsid w:val="0017470D"/>
    <w:rPr>
      <w:sz w:val="20"/>
    </w:rPr>
  </w:style>
  <w:style w:type="paragraph" w:styleId="CommentSubject">
    <w:name w:val="annotation subject"/>
    <w:basedOn w:val="CommentText"/>
    <w:next w:val="CommentText"/>
    <w:semiHidden/>
    <w:rsid w:val="0017470D"/>
    <w:rPr>
      <w:b/>
      <w:bCs/>
    </w:rPr>
  </w:style>
  <w:style w:type="character" w:customStyle="1" w:styleId="CommentTextChar">
    <w:name w:val="Comment Text Char"/>
    <w:link w:val="CommentText"/>
    <w:semiHidden/>
    <w:rsid w:val="002954FC"/>
    <w:rPr>
      <w:rFonts w:ascii="Courier" w:hAnsi="Courier"/>
      <w:snapToGrid w:val="0"/>
    </w:rPr>
  </w:style>
  <w:style w:type="paragraph" w:styleId="NormalWeb">
    <w:name w:val="Normal (Web)"/>
    <w:basedOn w:val="Normal"/>
    <w:uiPriority w:val="99"/>
    <w:unhideWhenUsed/>
    <w:rsid w:val="00796C69"/>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rsid w:val="00796C69"/>
  </w:style>
  <w:style w:type="character" w:styleId="FollowedHyperlink">
    <w:name w:val="FollowedHyperlink"/>
    <w:rsid w:val="00C55816"/>
    <w:rPr>
      <w:color w:val="800080"/>
      <w:u w:val="single"/>
    </w:rPr>
  </w:style>
  <w:style w:type="paragraph" w:styleId="ListParagraph">
    <w:name w:val="List Paragraph"/>
    <w:basedOn w:val="Normal"/>
    <w:uiPriority w:val="34"/>
    <w:qFormat/>
    <w:rsid w:val="00420216"/>
    <w:pPr>
      <w:ind w:left="720"/>
    </w:pPr>
  </w:style>
  <w:style w:type="table" w:styleId="GridTable4Accent5">
    <w:name w:val="Grid Table 4 Accent 5"/>
    <w:basedOn w:val="TableNormal"/>
    <w:uiPriority w:val="49"/>
    <w:rsid w:val="00257E83"/>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TMLPreformatted">
    <w:name w:val="HTML Preformatted"/>
    <w:basedOn w:val="Normal"/>
    <w:link w:val="HTMLPreformattedChar"/>
    <w:rsid w:val="00E87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E87B0F"/>
    <w:rPr>
      <w:rFonts w:ascii="Courier New" w:hAnsi="Courier New" w:cs="Courier New"/>
    </w:rPr>
  </w:style>
  <w:style w:type="paragraph" w:styleId="Revision">
    <w:name w:val="Revision"/>
    <w:hidden/>
    <w:uiPriority w:val="99"/>
    <w:semiHidden/>
    <w:rsid w:val="00216FE7"/>
    <w:rPr>
      <w:sz w:val="24"/>
      <w:szCs w:val="24"/>
    </w:rPr>
  </w:style>
  <w:style w:type="paragraph" w:styleId="FootnoteText">
    <w:name w:val="footnote text"/>
    <w:basedOn w:val="Normal"/>
    <w:link w:val="FootnoteTextChar"/>
    <w:rsid w:val="005011D3"/>
    <w:rPr>
      <w:sz w:val="20"/>
    </w:rPr>
  </w:style>
  <w:style w:type="character" w:customStyle="1" w:styleId="FootnoteTextChar">
    <w:name w:val="Footnote Text Char"/>
    <w:link w:val="FootnoteText"/>
    <w:rsid w:val="005011D3"/>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26420.htm" TargetMode="External" /><Relationship Id="rId6" Type="http://schemas.openxmlformats.org/officeDocument/2006/relationships/hyperlink" Target="http://www.bls.gov/news.release/ecec.nr0.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5C1E-0230-466E-9AF5-4CEF8A49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BOEM REGS</cp:lastModifiedBy>
  <cp:revision>5</cp:revision>
  <cp:lastPrinted>2019-10-31T20:21:00Z</cp:lastPrinted>
  <dcterms:created xsi:type="dcterms:W3CDTF">2023-01-06T20:20:00Z</dcterms:created>
  <dcterms:modified xsi:type="dcterms:W3CDTF">2023-02-15T18:37:00Z</dcterms:modified>
</cp:coreProperties>
</file>