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C95A3C" w:rsidP="00C95A3C" w14:paraId="7D7A25F1" w14:textId="77777777">
      <w:pPr>
        <w:tabs>
          <w:tab w:val="center" w:pos="4680"/>
        </w:tabs>
        <w:jc w:val="center"/>
        <w:rPr>
          <w:sz w:val="22"/>
        </w:rPr>
      </w:pPr>
      <w:r w:rsidRPr="00C95A3C">
        <w:rPr>
          <w:b/>
          <w:bCs/>
          <w:sz w:val="22"/>
        </w:rPr>
        <w:t xml:space="preserve">Justification for No Material or </w:t>
      </w:r>
      <w:r w:rsidRPr="00C95A3C">
        <w:rPr>
          <w:b/>
          <w:bCs/>
          <w:sz w:val="22"/>
        </w:rPr>
        <w:t>Nonsubstantive</w:t>
      </w:r>
      <w:r w:rsidRPr="00C95A3C">
        <w:rPr>
          <w:b/>
          <w:bCs/>
          <w:sz w:val="22"/>
        </w:rPr>
        <w:t xml:space="preserve"> Change to </w:t>
      </w:r>
      <w:r w:rsidRPr="00C95A3C">
        <w:rPr>
          <w:b/>
          <w:bCs/>
          <w:sz w:val="22"/>
        </w:rPr>
        <w:t>Currently-Approved</w:t>
      </w:r>
      <w:r w:rsidRPr="00C95A3C">
        <w:rPr>
          <w:b/>
          <w:bCs/>
          <w:sz w:val="22"/>
        </w:rPr>
        <w:t xml:space="preserve"> Collection</w:t>
      </w:r>
    </w:p>
    <w:p w:rsidR="00F34DED" w:rsidRPr="00C95A3C" w:rsidP="00C95A3C" w14:paraId="520E8DDA" w14:textId="77777777">
      <w:pPr>
        <w:rPr>
          <w:sz w:val="22"/>
        </w:rPr>
      </w:pPr>
    </w:p>
    <w:p w:rsidR="00F34DED" w:rsidRPr="00C95A3C" w:rsidP="00C95A3C" w14:paraId="1364D56A" w14:textId="77777777">
      <w:pPr>
        <w:rPr>
          <w:sz w:val="22"/>
        </w:rPr>
      </w:pPr>
      <w:r w:rsidRPr="00C95A3C">
        <w:rPr>
          <w:b/>
          <w:bCs/>
          <w:sz w:val="22"/>
        </w:rPr>
        <w:t>AGENCY:</w:t>
      </w:r>
      <w:r w:rsidRPr="00C95A3C">
        <w:rPr>
          <w:sz w:val="22"/>
        </w:rPr>
        <w:tab/>
        <w:t>Pension Benefit Guaranty Corporation (PBGC)</w:t>
      </w:r>
    </w:p>
    <w:p w:rsidR="00F34DED" w:rsidRPr="00C95A3C" w:rsidP="00C95A3C" w14:paraId="1E5C0898" w14:textId="77777777">
      <w:pPr>
        <w:rPr>
          <w:sz w:val="22"/>
        </w:rPr>
      </w:pPr>
    </w:p>
    <w:p w:rsidR="00F34DED" w:rsidRPr="00C95A3C" w:rsidP="00C95A3C" w14:paraId="4BC274D4" w14:textId="387E074F">
      <w:pPr>
        <w:tabs>
          <w:tab w:val="left" w:pos="-1440"/>
        </w:tabs>
        <w:ind w:left="1440" w:hanging="1440"/>
        <w:rPr>
          <w:sz w:val="22"/>
        </w:rPr>
      </w:pPr>
      <w:r w:rsidRPr="00C95A3C">
        <w:rPr>
          <w:b/>
          <w:bCs/>
          <w:sz w:val="22"/>
        </w:rPr>
        <w:t>TITLE:</w:t>
      </w:r>
      <w:r w:rsidRPr="00C95A3C">
        <w:rPr>
          <w:sz w:val="22"/>
        </w:rPr>
        <w:tab/>
      </w:r>
      <w:r w:rsidRPr="00C95A3C" w:rsidR="007907C4">
        <w:rPr>
          <w:sz w:val="22"/>
        </w:rPr>
        <w:t xml:space="preserve">Application for Special Financial Assistance </w:t>
      </w:r>
      <w:r w:rsidRPr="00C95A3C" w:rsidR="006925E4">
        <w:rPr>
          <w:sz w:val="22"/>
        </w:rPr>
        <w:t>(29 CFR part 4</w:t>
      </w:r>
      <w:r w:rsidRPr="00C95A3C" w:rsidR="007907C4">
        <w:rPr>
          <w:sz w:val="22"/>
        </w:rPr>
        <w:t>262</w:t>
      </w:r>
      <w:r w:rsidRPr="00C95A3C" w:rsidR="006925E4">
        <w:rPr>
          <w:sz w:val="22"/>
        </w:rPr>
        <w:t>)</w:t>
      </w:r>
    </w:p>
    <w:p w:rsidR="00F34DED" w:rsidRPr="00C95A3C" w:rsidP="00C95A3C" w14:paraId="7E08B909" w14:textId="77777777">
      <w:pPr>
        <w:rPr>
          <w:sz w:val="22"/>
        </w:rPr>
      </w:pPr>
    </w:p>
    <w:p w:rsidR="00F34DED" w:rsidRPr="00C95A3C" w:rsidP="00C95A3C" w14:paraId="2FAF8E2C" w14:textId="72DCE9B6">
      <w:pPr>
        <w:rPr>
          <w:sz w:val="22"/>
        </w:rPr>
      </w:pPr>
      <w:r w:rsidRPr="00C95A3C">
        <w:rPr>
          <w:b/>
          <w:bCs/>
          <w:sz w:val="22"/>
        </w:rPr>
        <w:t>STATUS:</w:t>
      </w:r>
      <w:r w:rsidRPr="00C95A3C">
        <w:rPr>
          <w:sz w:val="22"/>
        </w:rPr>
        <w:tab/>
        <w:t>OMB control number 1212</w:t>
      </w:r>
      <w:r w:rsidRPr="00C95A3C">
        <w:rPr>
          <w:sz w:val="22"/>
        </w:rPr>
        <w:noBreakHyphen/>
        <w:t>00</w:t>
      </w:r>
      <w:r w:rsidRPr="00C95A3C" w:rsidR="007907C4">
        <w:rPr>
          <w:sz w:val="22"/>
        </w:rPr>
        <w:t>74</w:t>
      </w:r>
      <w:r w:rsidRPr="00C95A3C">
        <w:rPr>
          <w:sz w:val="22"/>
        </w:rPr>
        <w:t xml:space="preserve">; expires </w:t>
      </w:r>
      <w:r w:rsidRPr="00C95A3C" w:rsidR="00F02A4D">
        <w:rPr>
          <w:sz w:val="22"/>
        </w:rPr>
        <w:t>01/31/2023</w:t>
      </w:r>
    </w:p>
    <w:p w:rsidR="00F34DED" w:rsidRPr="00C95A3C" w:rsidP="00C95A3C" w14:paraId="7CEE0A38" w14:textId="77777777">
      <w:pPr>
        <w:rPr>
          <w:sz w:val="22"/>
        </w:rPr>
      </w:pPr>
    </w:p>
    <w:p w:rsidR="00F34DED" w:rsidRPr="00C95A3C" w:rsidP="00C95A3C" w14:paraId="530AF72F" w14:textId="7936E2F9">
      <w:pPr>
        <w:tabs>
          <w:tab w:val="left" w:pos="-1440"/>
        </w:tabs>
        <w:ind w:left="1440" w:hanging="1440"/>
        <w:rPr>
          <w:sz w:val="22"/>
        </w:rPr>
      </w:pPr>
      <w:r w:rsidRPr="00C95A3C">
        <w:rPr>
          <w:b/>
          <w:bCs/>
          <w:sz w:val="22"/>
        </w:rPr>
        <w:t>CONTACT:</w:t>
      </w:r>
      <w:r w:rsidRPr="00C95A3C">
        <w:rPr>
          <w:sz w:val="22"/>
        </w:rPr>
        <w:tab/>
      </w:r>
      <w:r w:rsidRPr="00C95A3C" w:rsidR="007907C4">
        <w:rPr>
          <w:sz w:val="22"/>
        </w:rPr>
        <w:t>Hilary Duke</w:t>
      </w:r>
      <w:r w:rsidRPr="00C95A3C" w:rsidR="00074D7F">
        <w:rPr>
          <w:sz w:val="22"/>
        </w:rPr>
        <w:t xml:space="preserve"> (202-229-3839)</w:t>
      </w:r>
      <w:r w:rsidRPr="00C95A3C" w:rsidR="007907C4">
        <w:rPr>
          <w:sz w:val="22"/>
        </w:rPr>
        <w:t xml:space="preserve">, </w:t>
      </w:r>
      <w:r w:rsidRPr="00C95A3C" w:rsidR="002D2129">
        <w:rPr>
          <w:sz w:val="22"/>
        </w:rPr>
        <w:t xml:space="preserve">Melissa Rifkin </w:t>
      </w:r>
      <w:r w:rsidRPr="00C95A3C">
        <w:rPr>
          <w:sz w:val="22"/>
        </w:rPr>
        <w:t>(202-</w:t>
      </w:r>
      <w:r w:rsidRPr="00C95A3C" w:rsidR="002856E3">
        <w:rPr>
          <w:sz w:val="22"/>
        </w:rPr>
        <w:t>229-6</w:t>
      </w:r>
      <w:r w:rsidRPr="00C95A3C" w:rsidR="006925E4">
        <w:rPr>
          <w:sz w:val="22"/>
        </w:rPr>
        <w:t>563</w:t>
      </w:r>
      <w:r w:rsidRPr="00C95A3C">
        <w:rPr>
          <w:sz w:val="22"/>
        </w:rPr>
        <w:t>)</w:t>
      </w:r>
    </w:p>
    <w:p w:rsidR="00F34DED" w:rsidRPr="00C95A3C" w:rsidP="00C95A3C" w14:paraId="66B9B531" w14:textId="77777777">
      <w:pPr>
        <w:rPr>
          <w:sz w:val="22"/>
        </w:rPr>
      </w:pPr>
    </w:p>
    <w:p w:rsidR="0034049C" w:rsidP="00C95A3C" w14:paraId="655F99B0" w14:textId="660701F5">
      <w:pPr>
        <w:pStyle w:val="NormalWeb"/>
        <w:spacing w:before="0" w:beforeAutospacing="0" w:after="0" w:afterAutospacing="0"/>
        <w:rPr>
          <w:rStyle w:val="apple-converted-space"/>
          <w:rFonts w:ascii="Times New Roman" w:hAnsi="Times New Roman" w:cs="Times New Roman"/>
        </w:rPr>
      </w:pPr>
      <w:r w:rsidRPr="00C95A3C">
        <w:rPr>
          <w:rStyle w:val="bumpedfont15"/>
          <w:rFonts w:ascii="Times New Roman" w:hAnsi="Times New Roman" w:cs="Times New Roman"/>
        </w:rPr>
        <w:t>The</w:t>
      </w:r>
      <w:r w:rsidRPr="00C95A3C">
        <w:rPr>
          <w:rStyle w:val="apple-converted-space"/>
          <w:rFonts w:ascii="Times New Roman" w:hAnsi="Times New Roman" w:cs="Times New Roman"/>
        </w:rPr>
        <w:t> </w:t>
      </w:r>
      <w:r w:rsidRPr="00C95A3C">
        <w:rPr>
          <w:rStyle w:val="bumpedfont15"/>
          <w:rFonts w:ascii="Times New Roman" w:hAnsi="Times New Roman" w:cs="Times New Roman"/>
        </w:rPr>
        <w:t>Pension Benefit Guaranty Corporation (PBGC)</w:t>
      </w:r>
      <w:r w:rsidRPr="00C95A3C">
        <w:rPr>
          <w:rStyle w:val="apple-converted-space"/>
          <w:rFonts w:ascii="Times New Roman" w:hAnsi="Times New Roman" w:cs="Times New Roman"/>
        </w:rPr>
        <w:t> </w:t>
      </w:r>
      <w:r w:rsidRPr="00C95A3C">
        <w:rPr>
          <w:rStyle w:val="bumpedfont15"/>
          <w:rFonts w:ascii="Times New Roman" w:hAnsi="Times New Roman" w:cs="Times New Roman"/>
        </w:rPr>
        <w:t>is making</w:t>
      </w:r>
      <w:r w:rsidRPr="00C95A3C">
        <w:rPr>
          <w:rStyle w:val="apple-converted-space"/>
          <w:rFonts w:ascii="Times New Roman" w:hAnsi="Times New Roman" w:cs="Times New Roman"/>
        </w:rPr>
        <w:t> changes </w:t>
      </w:r>
      <w:r w:rsidRPr="00C95A3C">
        <w:rPr>
          <w:rStyle w:val="bumpedfont15"/>
          <w:rFonts w:ascii="Times New Roman" w:hAnsi="Times New Roman" w:cs="Times New Roman"/>
        </w:rPr>
        <w:t>that are not material</w:t>
      </w:r>
      <w:r w:rsidRPr="00C95A3C">
        <w:rPr>
          <w:rStyle w:val="apple-converted-space"/>
          <w:rFonts w:ascii="Times New Roman" w:hAnsi="Times New Roman" w:cs="Times New Roman"/>
        </w:rPr>
        <w:t> </w:t>
      </w:r>
      <w:r w:rsidRPr="00C95A3C">
        <w:rPr>
          <w:rStyle w:val="bumpedfont15"/>
          <w:rFonts w:ascii="Times New Roman" w:hAnsi="Times New Roman" w:cs="Times New Roman"/>
        </w:rPr>
        <w:t>to</w:t>
      </w:r>
      <w:r w:rsidR="009F6BFC">
        <w:rPr>
          <w:rStyle w:val="bumpedfont15"/>
          <w:rFonts w:ascii="Times New Roman" w:hAnsi="Times New Roman" w:cs="Times New Roman"/>
        </w:rPr>
        <w:t xml:space="preserve"> the </w:t>
      </w:r>
      <w:r w:rsidRPr="00C95A3C">
        <w:rPr>
          <w:rStyle w:val="bumpedfont15"/>
          <w:rFonts w:ascii="Times New Roman" w:hAnsi="Times New Roman" w:cs="Times New Roman"/>
        </w:rPr>
        <w:t>currently-approved</w:t>
      </w:r>
      <w:r w:rsidRPr="00C95A3C">
        <w:rPr>
          <w:rStyle w:val="bumpedfont15"/>
          <w:rFonts w:ascii="Times New Roman" w:hAnsi="Times New Roman" w:cs="Times New Roman"/>
        </w:rPr>
        <w:t xml:space="preserve"> </w:t>
      </w:r>
      <w:r w:rsidRPr="009F6BFC" w:rsidR="009F6BFC">
        <w:rPr>
          <w:rStyle w:val="apple-converted-space"/>
          <w:rFonts w:ascii="Times New Roman" w:hAnsi="Times New Roman" w:cs="Times New Roman"/>
        </w:rPr>
        <w:t>General Instructions for Multiemployer Plans Applying for Special Financial Assistance</w:t>
      </w:r>
      <w:r w:rsidRPr="00C95A3C">
        <w:rPr>
          <w:rStyle w:val="bumpedfont15"/>
          <w:rFonts w:ascii="Times New Roman" w:hAnsi="Times New Roman" w:cs="Times New Roman"/>
        </w:rPr>
        <w:t xml:space="preserve"> used by multiemployer plans to apply for Special Financial Assistance</w:t>
      </w:r>
      <w:r w:rsidRPr="00C95A3C">
        <w:rPr>
          <w:rStyle w:val="apple-converted-space"/>
          <w:rFonts w:ascii="Times New Roman" w:hAnsi="Times New Roman" w:cs="Times New Roman"/>
        </w:rPr>
        <w:t> </w:t>
      </w:r>
      <w:r w:rsidRPr="00C95A3C">
        <w:rPr>
          <w:rStyle w:val="bumpedfont15"/>
          <w:rFonts w:ascii="Times New Roman" w:hAnsi="Times New Roman" w:cs="Times New Roman"/>
        </w:rPr>
        <w:t>(SFA) under</w:t>
      </w:r>
      <w:r w:rsidRPr="00C95A3C">
        <w:rPr>
          <w:rStyle w:val="apple-converted-space"/>
          <w:rFonts w:ascii="Times New Roman" w:hAnsi="Times New Roman" w:cs="Times New Roman"/>
        </w:rPr>
        <w:t> </w:t>
      </w:r>
      <w:r w:rsidRPr="00C95A3C">
        <w:rPr>
          <w:rStyle w:val="bumpedfont15"/>
          <w:rFonts w:ascii="Times New Roman" w:hAnsi="Times New Roman" w:cs="Times New Roman"/>
        </w:rPr>
        <w:t>section 4262 of the Employee Retirement Income Security Act of 1974 and</w:t>
      </w:r>
      <w:r w:rsidRPr="00C95A3C">
        <w:rPr>
          <w:rStyle w:val="apple-converted-space"/>
          <w:rFonts w:ascii="Times New Roman" w:hAnsi="Times New Roman" w:cs="Times New Roman"/>
        </w:rPr>
        <w:t> </w:t>
      </w:r>
      <w:r w:rsidRPr="00C95A3C">
        <w:rPr>
          <w:rStyle w:val="bumpedfont15"/>
          <w:rFonts w:ascii="Times New Roman" w:hAnsi="Times New Roman" w:cs="Times New Roman"/>
        </w:rPr>
        <w:t>part 4262 of PBGC’s</w:t>
      </w:r>
      <w:r w:rsidR="009F6BFC">
        <w:rPr>
          <w:rStyle w:val="bumpedfont15"/>
          <w:rFonts w:ascii="Times New Roman" w:hAnsi="Times New Roman" w:cs="Times New Roman"/>
        </w:rPr>
        <w:t xml:space="preserve"> </w:t>
      </w:r>
      <w:r w:rsidRPr="00C95A3C">
        <w:rPr>
          <w:rStyle w:val="bumpedfont15"/>
          <w:rFonts w:ascii="Times New Roman" w:hAnsi="Times New Roman" w:cs="Times New Roman"/>
        </w:rPr>
        <w:t>regulations.</w:t>
      </w:r>
      <w:r w:rsidRPr="00C95A3C">
        <w:rPr>
          <w:rStyle w:val="apple-converted-space"/>
          <w:rFonts w:ascii="Times New Roman" w:hAnsi="Times New Roman" w:cs="Times New Roman"/>
        </w:rPr>
        <w:t> </w:t>
      </w:r>
      <w:r w:rsidR="00C95A3C">
        <w:rPr>
          <w:rStyle w:val="apple-converted-space"/>
          <w:rFonts w:ascii="Times New Roman" w:hAnsi="Times New Roman" w:cs="Times New Roman"/>
        </w:rPr>
        <w:t xml:space="preserve"> </w:t>
      </w:r>
      <w:r w:rsidRPr="00C95A3C">
        <w:rPr>
          <w:rStyle w:val="bumpedfont15"/>
          <w:rFonts w:ascii="Times New Roman" w:hAnsi="Times New Roman" w:cs="Times New Roman"/>
        </w:rPr>
        <w:t>A</w:t>
      </w:r>
      <w:r w:rsidRPr="00C95A3C">
        <w:rPr>
          <w:rStyle w:val="apple-converted-space"/>
          <w:rFonts w:ascii="Times New Roman" w:hAnsi="Times New Roman" w:cs="Times New Roman"/>
        </w:rPr>
        <w:t> </w:t>
      </w:r>
      <w:r w:rsidRPr="00C95A3C">
        <w:rPr>
          <w:rStyle w:val="bumpedfont15"/>
          <w:rFonts w:ascii="Times New Roman" w:hAnsi="Times New Roman" w:cs="Times New Roman"/>
        </w:rPr>
        <w:t>plan</w:t>
      </w:r>
      <w:r w:rsidRPr="00C95A3C">
        <w:rPr>
          <w:rStyle w:val="apple-converted-space"/>
          <w:rFonts w:ascii="Times New Roman" w:hAnsi="Times New Roman" w:cs="Times New Roman"/>
        </w:rPr>
        <w:t> </w:t>
      </w:r>
      <w:r w:rsidRPr="00C95A3C">
        <w:rPr>
          <w:rStyle w:val="bumpedfont15"/>
          <w:rFonts w:ascii="Times New Roman" w:hAnsi="Times New Roman" w:cs="Times New Roman"/>
        </w:rPr>
        <w:t xml:space="preserve">must </w:t>
      </w:r>
      <w:r w:rsidRPr="00C95A3C">
        <w:rPr>
          <w:rStyle w:val="bumpedfont15"/>
          <w:rFonts w:ascii="Times New Roman" w:hAnsi="Times New Roman" w:cs="Times New Roman"/>
        </w:rPr>
        <w:t>submit an application</w:t>
      </w:r>
      <w:r w:rsidRPr="00C95A3C">
        <w:rPr>
          <w:rStyle w:val="bumpedfont15"/>
          <w:rFonts w:ascii="Times New Roman" w:hAnsi="Times New Roman" w:cs="Times New Roman"/>
        </w:rPr>
        <w:t xml:space="preserve"> to PBGC, so that PBGC can</w:t>
      </w:r>
      <w:r w:rsidRPr="00C95A3C">
        <w:rPr>
          <w:rStyle w:val="apple-converted-space"/>
          <w:rFonts w:ascii="Times New Roman" w:hAnsi="Times New Roman" w:cs="Times New Roman"/>
        </w:rPr>
        <w:t> </w:t>
      </w:r>
      <w:r w:rsidRPr="00C95A3C">
        <w:rPr>
          <w:rStyle w:val="bumpedfont15"/>
          <w:rFonts w:ascii="Times New Roman" w:hAnsi="Times New Roman" w:cs="Times New Roman"/>
        </w:rPr>
        <w:t>review the plan’s eligibility for SFA and amount of requested SFA.</w:t>
      </w:r>
      <w:r w:rsidRPr="00C95A3C">
        <w:rPr>
          <w:rStyle w:val="apple-converted-space"/>
          <w:rFonts w:ascii="Times New Roman" w:hAnsi="Times New Roman" w:cs="Times New Roman"/>
        </w:rPr>
        <w:t> </w:t>
      </w:r>
      <w:r w:rsidR="009F6BFC">
        <w:rPr>
          <w:rStyle w:val="apple-converted-space"/>
          <w:rFonts w:ascii="Times New Roman" w:hAnsi="Times New Roman" w:cs="Times New Roman"/>
        </w:rPr>
        <w:t xml:space="preserve"> </w:t>
      </w:r>
      <w:r w:rsidRPr="00C95A3C">
        <w:rPr>
          <w:rStyle w:val="apple-converted-space"/>
          <w:rFonts w:ascii="Times New Roman" w:hAnsi="Times New Roman" w:cs="Times New Roman"/>
        </w:rPr>
        <w:t>These changes are intended only for purposes of clarity and do not add any new burden for filers. </w:t>
      </w:r>
    </w:p>
    <w:p w:rsidR="009F6BFC" w:rsidP="00C95A3C" w14:paraId="5E080221" w14:textId="74468B85">
      <w:pPr>
        <w:pStyle w:val="NormalWeb"/>
        <w:spacing w:before="0" w:beforeAutospacing="0" w:after="0" w:afterAutospacing="0"/>
        <w:rPr>
          <w:rStyle w:val="apple-converted-space"/>
          <w:rFonts w:ascii="Times New Roman" w:hAnsi="Times New Roman" w:cs="Times New Roman"/>
        </w:rPr>
      </w:pPr>
    </w:p>
    <w:p w:rsidR="000C5398" w:rsidP="00DE0DA9" w14:paraId="27C47AB5" w14:textId="20A207D9">
      <w:pPr>
        <w:pStyle w:val="NormalWeb"/>
        <w:spacing w:before="0" w:beforeAutospacing="0" w:after="0" w:afterAutospacing="0"/>
        <w:rPr>
          <w:rFonts w:ascii="Times New Roman" w:hAnsi="Times New Roman" w:cs="Times New Roman"/>
        </w:rPr>
      </w:pPr>
      <w:r w:rsidRPr="009F6BFC">
        <w:rPr>
          <w:rStyle w:val="apple-converted-space"/>
          <w:rFonts w:ascii="Times New Roman" w:hAnsi="Times New Roman" w:cs="Times New Roman"/>
        </w:rPr>
        <w:t>Section B.</w:t>
      </w:r>
      <w:r>
        <w:rPr>
          <w:rStyle w:val="apple-converted-space"/>
          <w:rFonts w:ascii="Times New Roman" w:hAnsi="Times New Roman" w:cs="Times New Roman"/>
        </w:rPr>
        <w:t>10</w:t>
      </w:r>
      <w:r w:rsidRPr="009F6BFC">
        <w:rPr>
          <w:rStyle w:val="apple-converted-space"/>
          <w:rFonts w:ascii="Times New Roman" w:hAnsi="Times New Roman" w:cs="Times New Roman"/>
        </w:rPr>
        <w:t xml:space="preserve"> of the </w:t>
      </w:r>
      <w:r>
        <w:rPr>
          <w:rStyle w:val="apple-converted-space"/>
          <w:rFonts w:ascii="Times New Roman" w:hAnsi="Times New Roman" w:cs="Times New Roman"/>
        </w:rPr>
        <w:t>i</w:t>
      </w:r>
      <w:r w:rsidRPr="009F6BFC">
        <w:rPr>
          <w:rStyle w:val="apple-converted-space"/>
          <w:rFonts w:ascii="Times New Roman" w:hAnsi="Times New Roman" w:cs="Times New Roman"/>
        </w:rPr>
        <w:t xml:space="preserve">nstructions </w:t>
      </w:r>
      <w:r>
        <w:rPr>
          <w:rStyle w:val="apple-converted-space"/>
          <w:rFonts w:ascii="Times New Roman" w:hAnsi="Times New Roman" w:cs="Times New Roman"/>
        </w:rPr>
        <w:t>r</w:t>
      </w:r>
      <w:r w:rsidRPr="009F6BFC">
        <w:rPr>
          <w:rStyle w:val="apple-converted-space"/>
          <w:rFonts w:ascii="Times New Roman" w:hAnsi="Times New Roman" w:cs="Times New Roman"/>
        </w:rPr>
        <w:t>equires plans to submit an Automated Clearing House (ACH) Vendor/Miscellaneous Payment Enrollment Form, form SF 3881</w:t>
      </w:r>
      <w:r>
        <w:rPr>
          <w:rStyle w:val="apple-converted-space"/>
          <w:rFonts w:ascii="Times New Roman" w:hAnsi="Times New Roman" w:cs="Times New Roman"/>
        </w:rPr>
        <w:t xml:space="preserve">, </w:t>
      </w:r>
      <w:r w:rsidRPr="00C95A3C">
        <w:rPr>
          <w:rStyle w:val="apple-converted-space"/>
          <w:rFonts w:ascii="Times New Roman" w:hAnsi="Times New Roman" w:cs="Times New Roman"/>
        </w:rPr>
        <w:t>a common form, hosted by the Dep</w:t>
      </w:r>
      <w:r>
        <w:rPr>
          <w:rStyle w:val="apple-converted-space"/>
          <w:rFonts w:ascii="Times New Roman" w:hAnsi="Times New Roman" w:cs="Times New Roman"/>
        </w:rPr>
        <w:t>t.</w:t>
      </w:r>
      <w:r w:rsidRPr="00C95A3C">
        <w:rPr>
          <w:rStyle w:val="apple-converted-space"/>
          <w:rFonts w:ascii="Times New Roman" w:hAnsi="Times New Roman" w:cs="Times New Roman"/>
        </w:rPr>
        <w:t xml:space="preserve"> of the Treasury and approved for PBGC’s usage. </w:t>
      </w:r>
      <w:r>
        <w:rPr>
          <w:rStyle w:val="apple-converted-space"/>
          <w:rFonts w:ascii="Times New Roman" w:hAnsi="Times New Roman" w:cs="Times New Roman"/>
        </w:rPr>
        <w:t xml:space="preserve"> </w:t>
      </w:r>
      <w:r w:rsidRPr="009F6BFC">
        <w:rPr>
          <w:rStyle w:val="apple-converted-space"/>
          <w:rFonts w:ascii="Times New Roman" w:hAnsi="Times New Roman" w:cs="Times New Roman"/>
        </w:rPr>
        <w:t xml:space="preserve">This form requests information about the plans’ financial institutions and bank accounts.  PBGC uses this information to effectuate electronic transfers of funds to plans if their SFA applications are approved.  To further protect against erroneous transfers, </w:t>
      </w:r>
      <w:r w:rsidRPr="00DE0DA9" w:rsidR="0034049C">
        <w:rPr>
          <w:rStyle w:val="apple-converted-space"/>
          <w:rFonts w:ascii="Times New Roman" w:hAnsi="Times New Roman" w:cs="Times New Roman"/>
        </w:rPr>
        <w:t xml:space="preserve">PBGC requires verification of the plan’s payment information </w:t>
      </w:r>
      <w:r w:rsidRPr="00DE0DA9" w:rsidR="00C95A3C">
        <w:rPr>
          <w:rStyle w:val="apple-converted-space"/>
          <w:rFonts w:ascii="Times New Roman" w:hAnsi="Times New Roman" w:cs="Times New Roman"/>
        </w:rPr>
        <w:t>in the form of a</w:t>
      </w:r>
      <w:r w:rsidRPr="00DE0DA9" w:rsidR="0034049C">
        <w:rPr>
          <w:rStyle w:val="apple-converted-space"/>
          <w:rFonts w:ascii="Times New Roman" w:hAnsi="Times New Roman" w:cs="Times New Roman"/>
        </w:rPr>
        <w:t xml:space="preserve"> “a notarized signature of the official on bank letterhead.”  However, the instructions are unclear on the information to include in this letter from the bank official.  PBGC proposes to add information to clarify the information required for this letter. </w:t>
      </w:r>
      <w:r w:rsidR="00DE0DA9">
        <w:rPr>
          <w:rStyle w:val="apple-converted-space"/>
          <w:rFonts w:ascii="Times New Roman" w:hAnsi="Times New Roman" w:cs="Times New Roman"/>
        </w:rPr>
        <w:t xml:space="preserve"> </w:t>
      </w:r>
      <w:r w:rsidRPr="00DE0DA9" w:rsidR="009E768E">
        <w:rPr>
          <w:rFonts w:ascii="Times New Roman" w:hAnsi="Times New Roman" w:cs="Times New Roman"/>
        </w:rPr>
        <w:t>The adde</w:t>
      </w:r>
      <w:r w:rsidRPr="00DE0DA9" w:rsidR="0034049C">
        <w:rPr>
          <w:rFonts w:ascii="Times New Roman" w:hAnsi="Times New Roman" w:cs="Times New Roman"/>
        </w:rPr>
        <w:t>d</w:t>
      </w:r>
      <w:r w:rsidRPr="00DE0DA9" w:rsidR="009E768E">
        <w:rPr>
          <w:rFonts w:ascii="Times New Roman" w:hAnsi="Times New Roman" w:cs="Times New Roman"/>
        </w:rPr>
        <w:t xml:space="preserve"> language </w:t>
      </w:r>
      <w:r w:rsidRPr="00DE0DA9" w:rsidR="0034049C">
        <w:rPr>
          <w:rFonts w:ascii="Times New Roman" w:hAnsi="Times New Roman" w:cs="Times New Roman"/>
        </w:rPr>
        <w:t xml:space="preserve">to Section B, item 10 on page 6 of the </w:t>
      </w:r>
      <w:r>
        <w:rPr>
          <w:rFonts w:ascii="Times New Roman" w:hAnsi="Times New Roman" w:cs="Times New Roman"/>
        </w:rPr>
        <w:t xml:space="preserve">instructions </w:t>
      </w:r>
      <w:r w:rsidRPr="00DE0DA9" w:rsidR="0034049C">
        <w:rPr>
          <w:rFonts w:ascii="Times New Roman" w:hAnsi="Times New Roman" w:cs="Times New Roman"/>
        </w:rPr>
        <w:t xml:space="preserve">is </w:t>
      </w:r>
      <w:r w:rsidR="00B071EE">
        <w:rPr>
          <w:rFonts w:ascii="Times New Roman" w:hAnsi="Times New Roman" w:cs="Times New Roman"/>
        </w:rPr>
        <w:t xml:space="preserve">shown </w:t>
      </w:r>
      <w:r w:rsidRPr="00DE0DA9" w:rsidR="0034049C">
        <w:rPr>
          <w:rFonts w:ascii="Times New Roman" w:hAnsi="Times New Roman" w:cs="Times New Roman"/>
        </w:rPr>
        <w:t xml:space="preserve">below. </w:t>
      </w:r>
    </w:p>
    <w:p w:rsidR="005F57D1" w:rsidP="00DE0DA9" w14:paraId="02860E55" w14:textId="2BB62F8A">
      <w:pPr>
        <w:pStyle w:val="NormalWeb"/>
        <w:spacing w:before="0" w:beforeAutospacing="0" w:after="0" w:afterAutospacing="0"/>
        <w:rPr>
          <w:rFonts w:ascii="Times New Roman" w:hAnsi="Times New Roman" w:cs="Times New Roman"/>
        </w:rPr>
      </w:pPr>
    </w:p>
    <w:p w:rsidR="004A3D62" w:rsidRPr="004A3D62" w:rsidP="004A3D62" w14:paraId="2DD861BA" w14:textId="77777777">
      <w:pPr>
        <w:rPr>
          <w:rFonts w:eastAsia="Calibri" w:cs="Times New Roman"/>
          <w:sz w:val="22"/>
        </w:rPr>
      </w:pPr>
      <w:r w:rsidRPr="004A3D62">
        <w:rPr>
          <w:rFonts w:eastAsia="Calibri" w:cs="Times New Roman"/>
          <w:sz w:val="22"/>
        </w:rPr>
        <w:t>(10) Automated Clearing House (ACH) Vendor/Miscellaneous Payment Enrollment Form</w:t>
      </w:r>
      <w:r w:rsidRPr="004A3D62">
        <w:rPr>
          <w:rFonts w:eastAsia="Calibri" w:cs="Times New Roman"/>
          <w:sz w:val="22"/>
        </w:rPr>
        <w:t xml:space="preserve"> and required notarized bank letter.</w:t>
      </w:r>
      <w:r w:rsidRPr="004A3D62">
        <w:rPr>
          <w:rFonts w:eastAsia="Calibri" w:cs="Times New Roman"/>
          <w:sz w:val="22"/>
        </w:rPr>
        <w:t xml:space="preserve"> This</w:t>
      </w:r>
      <w:r w:rsidRPr="004A3D62">
        <w:rPr>
          <w:rFonts w:eastAsia="Calibri" w:cs="Times New Roman"/>
          <w:sz w:val="22"/>
        </w:rPr>
        <w:t xml:space="preserve"> ACH</w:t>
      </w:r>
      <w:r w:rsidRPr="004A3D62">
        <w:rPr>
          <w:rFonts w:eastAsia="Calibri" w:cs="Times New Roman"/>
          <w:sz w:val="22"/>
        </w:rPr>
        <w:t xml:space="preserve"> form is used to enable the plan to receive electronic transfer of funds, if the SFA application is approved. When transferring funds, PBGC will use ACH process or Fedwire process </w:t>
      </w:r>
      <w:r w:rsidRPr="004A3D62">
        <w:rPr>
          <w:rFonts w:eastAsia="Calibri" w:cs="Times New Roman"/>
          <w:sz w:val="22"/>
        </w:rPr>
        <w:t xml:space="preserve">(preferred) </w:t>
      </w:r>
      <w:r w:rsidRPr="004A3D62">
        <w:rPr>
          <w:rFonts w:eastAsia="Calibri" w:cs="Times New Roman"/>
          <w:sz w:val="22"/>
        </w:rPr>
        <w:t>for amounts up to $100 million (if further information is required for a sub account</w:t>
      </w:r>
      <w:r w:rsidRPr="004A3D62">
        <w:rPr>
          <w:rFonts w:eastAsia="Calibri" w:cs="Times New Roman"/>
          <w:sz w:val="22"/>
        </w:rPr>
        <w:t xml:space="preserve"> i.e.,</w:t>
      </w:r>
      <w:r w:rsidRPr="004A3D62">
        <w:rPr>
          <w:rFonts w:eastAsia="Calibri" w:cs="Times New Roman"/>
          <w:sz w:val="22"/>
        </w:rPr>
        <w:t xml:space="preserve"> “further credit to” a Fedwire is required), and only Fedwire process for amounts over $100 million. If the plan is requesting SFA in an amount that is over $100 million, then the filer must confirm the bank’s routing number </w:t>
      </w:r>
      <w:r w:rsidRPr="004A3D62">
        <w:rPr>
          <w:rFonts w:eastAsia="Calibri" w:cs="Times New Roman"/>
          <w:sz w:val="22"/>
        </w:rPr>
        <w:t xml:space="preserve">listed on the ACH form </w:t>
      </w:r>
      <w:r w:rsidRPr="004A3D62">
        <w:rPr>
          <w:rFonts w:eastAsia="Calibri" w:cs="Times New Roman"/>
          <w:sz w:val="22"/>
        </w:rPr>
        <w:t xml:space="preserve">for a Fedwire transfer and any other information necessary for the transfer. </w:t>
      </w:r>
    </w:p>
    <w:p w:rsidR="004A3D62" w:rsidRPr="004A3D62" w:rsidP="004A3D62" w14:paraId="6129DCB5" w14:textId="77777777">
      <w:pPr>
        <w:rPr>
          <w:rFonts w:eastAsia="Calibri" w:cs="Times New Roman"/>
          <w:sz w:val="22"/>
        </w:rPr>
      </w:pPr>
    </w:p>
    <w:p w:rsidR="004A3D62" w:rsidRPr="004A3D62" w:rsidP="004A3D62" w14:paraId="1E04F82D" w14:textId="77777777">
      <w:pPr>
        <w:rPr>
          <w:rFonts w:eastAsia="Calibri" w:cs="Times New Roman"/>
          <w:sz w:val="22"/>
        </w:rPr>
      </w:pPr>
      <w:r w:rsidRPr="004A3D62">
        <w:rPr>
          <w:rFonts w:eastAsia="Calibri" w:cs="Times New Roman"/>
          <w:sz w:val="22"/>
        </w:rPr>
        <w:t>In addition to the plan’s completed, signed ACH payment form, the plan’s</w:t>
      </w:r>
      <w:r w:rsidRPr="004A3D62">
        <w:rPr>
          <w:rFonts w:eastAsia="Calibri" w:cs="Times New Roman"/>
          <w:sz w:val="22"/>
        </w:rPr>
        <w:t xml:space="preserve"> bank official must include </w:t>
      </w:r>
      <w:r w:rsidRPr="004A3D62">
        <w:rPr>
          <w:rFonts w:eastAsia="Calibri" w:cs="Times New Roman"/>
          <w:sz w:val="22"/>
        </w:rPr>
        <w:t xml:space="preserve">a notarized </w:t>
      </w:r>
      <w:r w:rsidRPr="004A3D62">
        <w:rPr>
          <w:rFonts w:eastAsia="Calibri" w:cs="Times New Roman"/>
          <w:sz w:val="22"/>
        </w:rPr>
        <w:t xml:space="preserve">bank letter on bank letterhead with </w:t>
      </w:r>
      <w:r w:rsidRPr="004A3D62">
        <w:rPr>
          <w:rFonts w:eastAsia="Calibri" w:cs="Times New Roman"/>
          <w:sz w:val="22"/>
        </w:rPr>
        <w:t xml:space="preserve">signature of the </w:t>
      </w:r>
      <w:r w:rsidRPr="004A3D62">
        <w:rPr>
          <w:rFonts w:eastAsia="Calibri" w:cs="Times New Roman"/>
          <w:sz w:val="22"/>
        </w:rPr>
        <w:t xml:space="preserve">bank </w:t>
      </w:r>
      <w:r w:rsidRPr="004A3D62">
        <w:rPr>
          <w:rFonts w:eastAsia="Calibri" w:cs="Times New Roman"/>
          <w:sz w:val="22"/>
        </w:rPr>
        <w:t>official</w:t>
      </w:r>
      <w:r w:rsidRPr="004A3D62">
        <w:rPr>
          <w:rFonts w:eastAsia="Calibri" w:cs="Times New Roman"/>
          <w:sz w:val="22"/>
        </w:rPr>
        <w:t>. The banking information in the ACH form must match the notarized bank letter by the bank official. The notarized letter should contain the following information:</w:t>
      </w:r>
    </w:p>
    <w:p w:rsidR="004A3D62" w:rsidRPr="004A3D62" w:rsidP="004A3D62" w14:paraId="3FB1A9D1" w14:textId="77777777">
      <w:pPr>
        <w:numPr>
          <w:ilvl w:val="0"/>
          <w:numId w:val="3"/>
        </w:numPr>
        <w:contextualSpacing/>
        <w:rPr>
          <w:rFonts w:eastAsia="Calibri" w:cs="Times New Roman"/>
          <w:sz w:val="22"/>
        </w:rPr>
      </w:pPr>
      <w:r w:rsidRPr="004A3D62">
        <w:rPr>
          <w:rFonts w:eastAsia="Calibri" w:cs="Times New Roman"/>
          <w:sz w:val="22"/>
        </w:rPr>
        <w:t>Name and email address of a point of contact at the bank (used for PBGC to confirm receipt of funds</w:t>
      </w:r>
      <w:r w:rsidRPr="004A3D62">
        <w:rPr>
          <w:rFonts w:eastAsia="Calibri" w:cs="Times New Roman"/>
          <w:sz w:val="22"/>
        </w:rPr>
        <w:t>);</w:t>
      </w:r>
    </w:p>
    <w:p w:rsidR="004A3D62" w:rsidRPr="004A3D62" w:rsidP="004A3D62" w14:paraId="1DCC9E1B" w14:textId="77777777">
      <w:pPr>
        <w:numPr>
          <w:ilvl w:val="0"/>
          <w:numId w:val="3"/>
        </w:numPr>
        <w:contextualSpacing/>
        <w:rPr>
          <w:rFonts w:eastAsia="Calibri" w:cs="Times New Roman"/>
          <w:sz w:val="22"/>
        </w:rPr>
      </w:pPr>
      <w:r w:rsidRPr="004A3D62">
        <w:rPr>
          <w:rFonts w:eastAsia="Calibri" w:cs="Times New Roman"/>
          <w:sz w:val="22"/>
        </w:rPr>
        <w:t xml:space="preserve">Depositor Account </w:t>
      </w:r>
      <w:r w:rsidRPr="004A3D62">
        <w:rPr>
          <w:rFonts w:eastAsia="Calibri" w:cs="Times New Roman"/>
          <w:sz w:val="22"/>
        </w:rPr>
        <w:t>Title;</w:t>
      </w:r>
    </w:p>
    <w:p w:rsidR="004A3D62" w:rsidRPr="004A3D62" w:rsidP="004A3D62" w14:paraId="4DDA29DB" w14:textId="77777777">
      <w:pPr>
        <w:numPr>
          <w:ilvl w:val="0"/>
          <w:numId w:val="3"/>
        </w:numPr>
        <w:contextualSpacing/>
        <w:rPr>
          <w:rFonts w:eastAsia="Calibri" w:cs="Times New Roman"/>
          <w:sz w:val="22"/>
        </w:rPr>
      </w:pPr>
      <w:r w:rsidRPr="004A3D62">
        <w:rPr>
          <w:rFonts w:eastAsia="Calibri" w:cs="Times New Roman"/>
          <w:sz w:val="22"/>
        </w:rPr>
        <w:t>Name</w:t>
      </w:r>
      <w:r w:rsidRPr="004A3D62">
        <w:rPr>
          <w:rFonts w:eastAsia="Calibri" w:cs="Times New Roman"/>
          <w:sz w:val="22"/>
        </w:rPr>
        <w:t xml:space="preserve"> on bank </w:t>
      </w:r>
      <w:r w:rsidRPr="004A3D62">
        <w:rPr>
          <w:rFonts w:eastAsia="Calibri" w:cs="Times New Roman"/>
          <w:sz w:val="22"/>
        </w:rPr>
        <w:t>account;</w:t>
      </w:r>
      <w:r w:rsidRPr="004A3D62">
        <w:rPr>
          <w:rFonts w:eastAsia="Calibri" w:cs="Times New Roman"/>
          <w:sz w:val="22"/>
        </w:rPr>
        <w:t xml:space="preserve"> i.e., no numerical characters</w:t>
      </w:r>
    </w:p>
    <w:p w:rsidR="004A3D62" w:rsidRPr="004A3D62" w:rsidP="004A3D62" w14:paraId="45848B4D" w14:textId="77777777">
      <w:pPr>
        <w:numPr>
          <w:ilvl w:val="0"/>
          <w:numId w:val="3"/>
        </w:numPr>
        <w:contextualSpacing/>
        <w:rPr>
          <w:rFonts w:eastAsia="Calibri" w:cs="Times New Roman"/>
          <w:sz w:val="22"/>
        </w:rPr>
      </w:pPr>
      <w:r w:rsidRPr="004A3D62">
        <w:rPr>
          <w:rFonts w:eastAsia="Calibri" w:cs="Times New Roman"/>
          <w:sz w:val="22"/>
        </w:rPr>
        <w:t xml:space="preserve">Bank routing </w:t>
      </w:r>
      <w:r w:rsidRPr="004A3D62">
        <w:rPr>
          <w:rFonts w:eastAsia="Calibri" w:cs="Times New Roman"/>
          <w:sz w:val="22"/>
        </w:rPr>
        <w:t>number;</w:t>
      </w:r>
    </w:p>
    <w:p w:rsidR="004A3D62" w:rsidRPr="004A3D62" w:rsidP="004A3D62" w14:paraId="08E0F386" w14:textId="77777777">
      <w:pPr>
        <w:numPr>
          <w:ilvl w:val="0"/>
          <w:numId w:val="3"/>
        </w:numPr>
        <w:contextualSpacing/>
        <w:rPr>
          <w:rFonts w:eastAsia="Calibri" w:cs="Times New Roman"/>
          <w:sz w:val="22"/>
        </w:rPr>
      </w:pPr>
      <w:r w:rsidRPr="004A3D62">
        <w:rPr>
          <w:rFonts w:eastAsia="Calibri" w:cs="Times New Roman"/>
          <w:sz w:val="22"/>
        </w:rPr>
        <w:t xml:space="preserve">Bank account </w:t>
      </w:r>
      <w:r w:rsidRPr="004A3D62">
        <w:rPr>
          <w:rFonts w:eastAsia="Calibri" w:cs="Times New Roman"/>
          <w:sz w:val="22"/>
        </w:rPr>
        <w:t>number;</w:t>
      </w:r>
    </w:p>
    <w:p w:rsidR="004A3D62" w:rsidRPr="004A3D62" w:rsidP="004A3D62" w14:paraId="38EB1A65" w14:textId="77777777">
      <w:pPr>
        <w:numPr>
          <w:ilvl w:val="0"/>
          <w:numId w:val="3"/>
        </w:numPr>
        <w:contextualSpacing/>
        <w:rPr>
          <w:rFonts w:eastAsia="Calibri" w:cs="Times New Roman"/>
          <w:sz w:val="22"/>
        </w:rPr>
      </w:pPr>
      <w:r w:rsidRPr="004A3D62">
        <w:rPr>
          <w:rFonts w:eastAsia="Calibri" w:cs="Times New Roman"/>
          <w:sz w:val="22"/>
        </w:rPr>
        <w:t>Any special instructions such as “for further credit instructions”; and</w:t>
      </w:r>
    </w:p>
    <w:p w:rsidR="004A3D62" w:rsidRPr="004A3D62" w:rsidP="004A3D62" w14:paraId="2E606FCE" w14:textId="77777777">
      <w:pPr>
        <w:numPr>
          <w:ilvl w:val="0"/>
          <w:numId w:val="3"/>
        </w:numPr>
        <w:contextualSpacing/>
        <w:rPr>
          <w:rFonts w:eastAsia="Calibri" w:cs="Times New Roman"/>
          <w:sz w:val="22"/>
        </w:rPr>
      </w:pPr>
      <w:r w:rsidRPr="004A3D62">
        <w:rPr>
          <w:rFonts w:eastAsia="Calibri" w:cs="Times New Roman"/>
          <w:sz w:val="22"/>
        </w:rPr>
        <w:t>Indicate if the banking instructions provided can accept ACH, Fedwire, or both payment types.</w:t>
      </w:r>
    </w:p>
    <w:p w:rsidR="004A3D62" w:rsidRPr="004A3D62" w:rsidP="004A3D62" w14:paraId="44AE06E1" w14:textId="77777777">
      <w:pPr>
        <w:rPr>
          <w:rFonts w:eastAsia="Calibri" w:cs="Times New Roman"/>
          <w:sz w:val="22"/>
        </w:rPr>
      </w:pPr>
    </w:p>
    <w:p w:rsidR="004A3D62" w:rsidRPr="004A3D62" w:rsidP="004A3D62" w14:paraId="074A97AE" w14:textId="7FDFE2DC">
      <w:pPr>
        <w:rPr>
          <w:rFonts w:eastAsia="Calibri" w:cs="Times New Roman"/>
          <w:sz w:val="22"/>
        </w:rPr>
      </w:pPr>
      <w:r w:rsidRPr="004A3D62">
        <w:rPr>
          <w:rFonts w:eastAsia="Calibri" w:cs="Times New Roman"/>
          <w:sz w:val="22"/>
        </w:rPr>
        <w:t>If a plan closes the bank account that it listed on this form before PBGC transfers the SFA, then the plan must notify PBGC immediately and submit an updated form with notarization.</w:t>
      </w:r>
    </w:p>
    <w:sectPr w:rsidSect="00DF611B">
      <w:footerReference w:type="default" r:id="rId8"/>
      <w:footerReference w:type="first" r:id="rId9"/>
      <w:pgSz w:w="12240" w:h="15840" w:code="1"/>
      <w:pgMar w:top="144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824102"/>
      <w:docPartObj>
        <w:docPartGallery w:val="Page Numbers (Bottom of Page)"/>
        <w:docPartUnique/>
      </w:docPartObj>
    </w:sdtPr>
    <w:sdtEndPr>
      <w:rPr>
        <w:noProof/>
      </w:rPr>
    </w:sdtEndPr>
    <w:sdtContent>
      <w:p w:rsidR="002465D5" w14:paraId="7C5ACF75" w14:textId="1D2A1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465D5" w14:paraId="19197D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46B" w14:paraId="75362B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01F9E"/>
    <w:multiLevelType w:val="hybridMultilevel"/>
    <w:tmpl w:val="73723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CBA0A21"/>
    <w:multiLevelType w:val="multilevel"/>
    <w:tmpl w:val="64DEF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4737179">
    <w:abstractNumId w:val="1"/>
  </w:num>
  <w:num w:numId="2" w16cid:durableId="448664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029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elissa Rifkin">
    <w15:presenceInfo w15:providerId="AD" w15:userId="S::Rifkin.Melissa@pbgc.gov::4078442f-ae8b-4e4f-b6e2-b358f4533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5120"/>
    <w:rsid w:val="00033CA5"/>
    <w:rsid w:val="00062B89"/>
    <w:rsid w:val="00070EB7"/>
    <w:rsid w:val="0007287C"/>
    <w:rsid w:val="00074D7F"/>
    <w:rsid w:val="0008093D"/>
    <w:rsid w:val="00086CA2"/>
    <w:rsid w:val="000B19F5"/>
    <w:rsid w:val="000C2C31"/>
    <w:rsid w:val="000C5398"/>
    <w:rsid w:val="000D761D"/>
    <w:rsid w:val="000F6C37"/>
    <w:rsid w:val="00105C0B"/>
    <w:rsid w:val="001105B9"/>
    <w:rsid w:val="00116CF6"/>
    <w:rsid w:val="00120448"/>
    <w:rsid w:val="00132391"/>
    <w:rsid w:val="001444FB"/>
    <w:rsid w:val="00172104"/>
    <w:rsid w:val="00172543"/>
    <w:rsid w:val="00186539"/>
    <w:rsid w:val="001925E6"/>
    <w:rsid w:val="001A5C8A"/>
    <w:rsid w:val="001B15C8"/>
    <w:rsid w:val="001B3AEB"/>
    <w:rsid w:val="001B5802"/>
    <w:rsid w:val="001B5E32"/>
    <w:rsid w:val="001C4744"/>
    <w:rsid w:val="001C5847"/>
    <w:rsid w:val="001C746B"/>
    <w:rsid w:val="001E5CD0"/>
    <w:rsid w:val="002008D1"/>
    <w:rsid w:val="002139B3"/>
    <w:rsid w:val="00217516"/>
    <w:rsid w:val="0022452C"/>
    <w:rsid w:val="0024229E"/>
    <w:rsid w:val="002465D5"/>
    <w:rsid w:val="0025762B"/>
    <w:rsid w:val="002856E3"/>
    <w:rsid w:val="002A33DB"/>
    <w:rsid w:val="002A4F4B"/>
    <w:rsid w:val="002B25D0"/>
    <w:rsid w:val="002B324E"/>
    <w:rsid w:val="002C1D2C"/>
    <w:rsid w:val="002C239E"/>
    <w:rsid w:val="002C419F"/>
    <w:rsid w:val="002C5AF9"/>
    <w:rsid w:val="002D2129"/>
    <w:rsid w:val="002F1F45"/>
    <w:rsid w:val="00300CA5"/>
    <w:rsid w:val="00305E7E"/>
    <w:rsid w:val="00314353"/>
    <w:rsid w:val="0032311D"/>
    <w:rsid w:val="00323315"/>
    <w:rsid w:val="0033116A"/>
    <w:rsid w:val="0034049C"/>
    <w:rsid w:val="00347152"/>
    <w:rsid w:val="003527F5"/>
    <w:rsid w:val="00361FE8"/>
    <w:rsid w:val="00365209"/>
    <w:rsid w:val="003653BE"/>
    <w:rsid w:val="00365858"/>
    <w:rsid w:val="003740F3"/>
    <w:rsid w:val="003823FB"/>
    <w:rsid w:val="00385E59"/>
    <w:rsid w:val="0039700D"/>
    <w:rsid w:val="003A2B3D"/>
    <w:rsid w:val="003A3E42"/>
    <w:rsid w:val="003A56F3"/>
    <w:rsid w:val="003D259E"/>
    <w:rsid w:val="003D3F59"/>
    <w:rsid w:val="003D7AC1"/>
    <w:rsid w:val="003E5366"/>
    <w:rsid w:val="00412E43"/>
    <w:rsid w:val="00422D40"/>
    <w:rsid w:val="00427C04"/>
    <w:rsid w:val="004324B3"/>
    <w:rsid w:val="004327E7"/>
    <w:rsid w:val="004542B8"/>
    <w:rsid w:val="00472A7B"/>
    <w:rsid w:val="004826A3"/>
    <w:rsid w:val="00482D85"/>
    <w:rsid w:val="00482EB0"/>
    <w:rsid w:val="004A0E0F"/>
    <w:rsid w:val="004A3D62"/>
    <w:rsid w:val="004D0A23"/>
    <w:rsid w:val="004E0277"/>
    <w:rsid w:val="004E08A5"/>
    <w:rsid w:val="004F5774"/>
    <w:rsid w:val="0050556A"/>
    <w:rsid w:val="0052791C"/>
    <w:rsid w:val="00546765"/>
    <w:rsid w:val="0055164B"/>
    <w:rsid w:val="005527CB"/>
    <w:rsid w:val="005562EB"/>
    <w:rsid w:val="0057401E"/>
    <w:rsid w:val="005847FB"/>
    <w:rsid w:val="005A079F"/>
    <w:rsid w:val="005A0CAE"/>
    <w:rsid w:val="005A3D17"/>
    <w:rsid w:val="005A761C"/>
    <w:rsid w:val="005B5696"/>
    <w:rsid w:val="005C76A8"/>
    <w:rsid w:val="005D4F2F"/>
    <w:rsid w:val="005D53C3"/>
    <w:rsid w:val="005E1EBB"/>
    <w:rsid w:val="005E2E26"/>
    <w:rsid w:val="005F57D1"/>
    <w:rsid w:val="00605E6D"/>
    <w:rsid w:val="0063366A"/>
    <w:rsid w:val="006517D0"/>
    <w:rsid w:val="0065442B"/>
    <w:rsid w:val="0065764A"/>
    <w:rsid w:val="006607AD"/>
    <w:rsid w:val="006804DF"/>
    <w:rsid w:val="00691A71"/>
    <w:rsid w:val="006925E4"/>
    <w:rsid w:val="006C2763"/>
    <w:rsid w:val="006E0DE0"/>
    <w:rsid w:val="006E2AAF"/>
    <w:rsid w:val="006E537F"/>
    <w:rsid w:val="006F1183"/>
    <w:rsid w:val="00710FDD"/>
    <w:rsid w:val="00714A67"/>
    <w:rsid w:val="007209FC"/>
    <w:rsid w:val="00722427"/>
    <w:rsid w:val="00725AA5"/>
    <w:rsid w:val="007358F1"/>
    <w:rsid w:val="00744C5D"/>
    <w:rsid w:val="007478D6"/>
    <w:rsid w:val="00764966"/>
    <w:rsid w:val="007811C8"/>
    <w:rsid w:val="007812E9"/>
    <w:rsid w:val="00784D2A"/>
    <w:rsid w:val="007907C4"/>
    <w:rsid w:val="00791687"/>
    <w:rsid w:val="00796027"/>
    <w:rsid w:val="007A4CF6"/>
    <w:rsid w:val="007A69AC"/>
    <w:rsid w:val="007A6DA1"/>
    <w:rsid w:val="007B2F1C"/>
    <w:rsid w:val="007B783E"/>
    <w:rsid w:val="007C653B"/>
    <w:rsid w:val="007E1873"/>
    <w:rsid w:val="007E2D43"/>
    <w:rsid w:val="00806AF9"/>
    <w:rsid w:val="0081673F"/>
    <w:rsid w:val="00824481"/>
    <w:rsid w:val="00851246"/>
    <w:rsid w:val="00863606"/>
    <w:rsid w:val="00865269"/>
    <w:rsid w:val="00883A9F"/>
    <w:rsid w:val="008D0AC7"/>
    <w:rsid w:val="008D50E8"/>
    <w:rsid w:val="008E3D12"/>
    <w:rsid w:val="008E5CD3"/>
    <w:rsid w:val="00905F3E"/>
    <w:rsid w:val="009144C1"/>
    <w:rsid w:val="00922E62"/>
    <w:rsid w:val="00926887"/>
    <w:rsid w:val="009313C2"/>
    <w:rsid w:val="00961934"/>
    <w:rsid w:val="0096265C"/>
    <w:rsid w:val="00963601"/>
    <w:rsid w:val="009637D1"/>
    <w:rsid w:val="00971C2F"/>
    <w:rsid w:val="00974129"/>
    <w:rsid w:val="00984202"/>
    <w:rsid w:val="00984710"/>
    <w:rsid w:val="00985B45"/>
    <w:rsid w:val="009A35E2"/>
    <w:rsid w:val="009B1C08"/>
    <w:rsid w:val="009C52C0"/>
    <w:rsid w:val="009D056F"/>
    <w:rsid w:val="009D5532"/>
    <w:rsid w:val="009E1BE6"/>
    <w:rsid w:val="009E42FA"/>
    <w:rsid w:val="009E768E"/>
    <w:rsid w:val="009E7D50"/>
    <w:rsid w:val="009F6BFC"/>
    <w:rsid w:val="00A061EE"/>
    <w:rsid w:val="00A11B93"/>
    <w:rsid w:val="00A21448"/>
    <w:rsid w:val="00A235DE"/>
    <w:rsid w:val="00A32A56"/>
    <w:rsid w:val="00A34878"/>
    <w:rsid w:val="00A512C9"/>
    <w:rsid w:val="00A53BF9"/>
    <w:rsid w:val="00A62A49"/>
    <w:rsid w:val="00A64B90"/>
    <w:rsid w:val="00A755FC"/>
    <w:rsid w:val="00A844DD"/>
    <w:rsid w:val="00A9655A"/>
    <w:rsid w:val="00AB0814"/>
    <w:rsid w:val="00AB0FA6"/>
    <w:rsid w:val="00AB1D3E"/>
    <w:rsid w:val="00AB1E5C"/>
    <w:rsid w:val="00AB75D8"/>
    <w:rsid w:val="00AE6EC4"/>
    <w:rsid w:val="00B002FE"/>
    <w:rsid w:val="00B00DE1"/>
    <w:rsid w:val="00B04998"/>
    <w:rsid w:val="00B05E50"/>
    <w:rsid w:val="00B071EE"/>
    <w:rsid w:val="00B53497"/>
    <w:rsid w:val="00B5551D"/>
    <w:rsid w:val="00B823D5"/>
    <w:rsid w:val="00B918FE"/>
    <w:rsid w:val="00B920D2"/>
    <w:rsid w:val="00B95808"/>
    <w:rsid w:val="00B96A39"/>
    <w:rsid w:val="00BA1BC8"/>
    <w:rsid w:val="00BA7F07"/>
    <w:rsid w:val="00BC36F0"/>
    <w:rsid w:val="00BD1603"/>
    <w:rsid w:val="00BD4E25"/>
    <w:rsid w:val="00BD556E"/>
    <w:rsid w:val="00BE277F"/>
    <w:rsid w:val="00BE451A"/>
    <w:rsid w:val="00BF7E2C"/>
    <w:rsid w:val="00C122D0"/>
    <w:rsid w:val="00C345CD"/>
    <w:rsid w:val="00C4796E"/>
    <w:rsid w:val="00C50770"/>
    <w:rsid w:val="00C57358"/>
    <w:rsid w:val="00C92A82"/>
    <w:rsid w:val="00C95A3C"/>
    <w:rsid w:val="00C95FFB"/>
    <w:rsid w:val="00CA71D7"/>
    <w:rsid w:val="00CA7E53"/>
    <w:rsid w:val="00CB301B"/>
    <w:rsid w:val="00CD7372"/>
    <w:rsid w:val="00CF147B"/>
    <w:rsid w:val="00D0308B"/>
    <w:rsid w:val="00D1439E"/>
    <w:rsid w:val="00D31452"/>
    <w:rsid w:val="00D45C8F"/>
    <w:rsid w:val="00D51200"/>
    <w:rsid w:val="00D53368"/>
    <w:rsid w:val="00D57850"/>
    <w:rsid w:val="00D64749"/>
    <w:rsid w:val="00D71646"/>
    <w:rsid w:val="00D71F37"/>
    <w:rsid w:val="00D731EE"/>
    <w:rsid w:val="00D87F02"/>
    <w:rsid w:val="00D96A05"/>
    <w:rsid w:val="00D97846"/>
    <w:rsid w:val="00DA47C5"/>
    <w:rsid w:val="00DA4CAC"/>
    <w:rsid w:val="00DB369B"/>
    <w:rsid w:val="00DB4949"/>
    <w:rsid w:val="00DB672F"/>
    <w:rsid w:val="00DB7057"/>
    <w:rsid w:val="00DB71C9"/>
    <w:rsid w:val="00DE0DA9"/>
    <w:rsid w:val="00DE5DEB"/>
    <w:rsid w:val="00DE76FE"/>
    <w:rsid w:val="00DF611B"/>
    <w:rsid w:val="00E016E1"/>
    <w:rsid w:val="00E04FAB"/>
    <w:rsid w:val="00E12324"/>
    <w:rsid w:val="00E254F2"/>
    <w:rsid w:val="00E27396"/>
    <w:rsid w:val="00E469BE"/>
    <w:rsid w:val="00E61DBE"/>
    <w:rsid w:val="00E70ACF"/>
    <w:rsid w:val="00EA37DD"/>
    <w:rsid w:val="00EA5AB8"/>
    <w:rsid w:val="00EB1C5A"/>
    <w:rsid w:val="00EC3288"/>
    <w:rsid w:val="00ED4633"/>
    <w:rsid w:val="00EE2829"/>
    <w:rsid w:val="00EE574C"/>
    <w:rsid w:val="00EF34AD"/>
    <w:rsid w:val="00EF6DA4"/>
    <w:rsid w:val="00F02A4D"/>
    <w:rsid w:val="00F25413"/>
    <w:rsid w:val="00F25AC5"/>
    <w:rsid w:val="00F34DED"/>
    <w:rsid w:val="00F51987"/>
    <w:rsid w:val="00F52A9F"/>
    <w:rsid w:val="00F543B6"/>
    <w:rsid w:val="00F8283C"/>
    <w:rsid w:val="00F842ED"/>
    <w:rsid w:val="00F844F0"/>
    <w:rsid w:val="00FB31C0"/>
    <w:rsid w:val="00FD35CD"/>
    <w:rsid w:val="00FD4D7F"/>
    <w:rsid w:val="00FE5F79"/>
    <w:rsid w:val="00FF65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paragraph" w:styleId="ListParagraph">
    <w:name w:val="List Paragraph"/>
    <w:basedOn w:val="Normal"/>
    <w:uiPriority w:val="34"/>
    <w:qFormat/>
    <w:rsid w:val="00AB75D8"/>
    <w:pPr>
      <w:ind w:left="720"/>
      <w:contextualSpacing/>
    </w:pPr>
  </w:style>
  <w:style w:type="character" w:styleId="CommentReference">
    <w:name w:val="annotation reference"/>
    <w:basedOn w:val="DefaultParagraphFont"/>
    <w:uiPriority w:val="99"/>
    <w:semiHidden/>
    <w:unhideWhenUsed/>
    <w:rsid w:val="004D0A23"/>
    <w:rPr>
      <w:sz w:val="16"/>
      <w:szCs w:val="16"/>
    </w:rPr>
  </w:style>
  <w:style w:type="paragraph" w:styleId="CommentText">
    <w:name w:val="annotation text"/>
    <w:basedOn w:val="Normal"/>
    <w:link w:val="CommentTextChar"/>
    <w:uiPriority w:val="99"/>
    <w:semiHidden/>
    <w:unhideWhenUsed/>
    <w:rsid w:val="004D0A23"/>
    <w:rPr>
      <w:sz w:val="20"/>
      <w:szCs w:val="20"/>
    </w:rPr>
  </w:style>
  <w:style w:type="character" w:customStyle="1" w:styleId="CommentTextChar">
    <w:name w:val="Comment Text Char"/>
    <w:basedOn w:val="DefaultParagraphFont"/>
    <w:link w:val="CommentText"/>
    <w:uiPriority w:val="99"/>
    <w:semiHidden/>
    <w:rsid w:val="004D0A23"/>
    <w:rPr>
      <w:sz w:val="20"/>
      <w:szCs w:val="20"/>
    </w:rPr>
  </w:style>
  <w:style w:type="paragraph" w:styleId="CommentSubject">
    <w:name w:val="annotation subject"/>
    <w:basedOn w:val="CommentText"/>
    <w:next w:val="CommentText"/>
    <w:link w:val="CommentSubjectChar"/>
    <w:uiPriority w:val="99"/>
    <w:semiHidden/>
    <w:unhideWhenUsed/>
    <w:rsid w:val="004D0A23"/>
    <w:rPr>
      <w:b/>
      <w:bCs/>
    </w:rPr>
  </w:style>
  <w:style w:type="character" w:customStyle="1" w:styleId="CommentSubjectChar">
    <w:name w:val="Comment Subject Char"/>
    <w:basedOn w:val="CommentTextChar"/>
    <w:link w:val="CommentSubject"/>
    <w:uiPriority w:val="99"/>
    <w:semiHidden/>
    <w:rsid w:val="004D0A23"/>
    <w:rPr>
      <w:b/>
      <w:bCs/>
      <w:sz w:val="20"/>
      <w:szCs w:val="20"/>
    </w:rPr>
  </w:style>
  <w:style w:type="paragraph" w:styleId="Revision">
    <w:name w:val="Revision"/>
    <w:hidden/>
    <w:uiPriority w:val="99"/>
    <w:semiHidden/>
    <w:rsid w:val="00B05E50"/>
  </w:style>
  <w:style w:type="character" w:styleId="Hyperlink">
    <w:name w:val="Hyperlink"/>
    <w:basedOn w:val="DefaultParagraphFont"/>
    <w:uiPriority w:val="99"/>
    <w:unhideWhenUsed/>
    <w:rsid w:val="003823FB"/>
    <w:rPr>
      <w:color w:val="0000FF" w:themeColor="hyperlink"/>
      <w:u w:val="single"/>
    </w:rPr>
  </w:style>
  <w:style w:type="character" w:styleId="UnresolvedMention">
    <w:name w:val="Unresolved Mention"/>
    <w:basedOn w:val="DefaultParagraphFont"/>
    <w:uiPriority w:val="99"/>
    <w:semiHidden/>
    <w:unhideWhenUsed/>
    <w:rsid w:val="003823FB"/>
    <w:rPr>
      <w:color w:val="605E5C"/>
      <w:shd w:val="clear" w:color="auto" w:fill="E1DFDD"/>
    </w:rPr>
  </w:style>
  <w:style w:type="paragraph" w:styleId="Header">
    <w:name w:val="header"/>
    <w:basedOn w:val="Normal"/>
    <w:link w:val="HeaderChar"/>
    <w:uiPriority w:val="99"/>
    <w:unhideWhenUsed/>
    <w:rsid w:val="001C746B"/>
    <w:pPr>
      <w:tabs>
        <w:tab w:val="center" w:pos="4680"/>
        <w:tab w:val="right" w:pos="9360"/>
      </w:tabs>
    </w:pPr>
  </w:style>
  <w:style w:type="character" w:customStyle="1" w:styleId="HeaderChar">
    <w:name w:val="Header Char"/>
    <w:basedOn w:val="DefaultParagraphFont"/>
    <w:link w:val="Header"/>
    <w:uiPriority w:val="99"/>
    <w:rsid w:val="001C746B"/>
  </w:style>
  <w:style w:type="paragraph" w:styleId="Footer">
    <w:name w:val="footer"/>
    <w:basedOn w:val="Normal"/>
    <w:link w:val="FooterChar"/>
    <w:uiPriority w:val="99"/>
    <w:unhideWhenUsed/>
    <w:rsid w:val="001C746B"/>
    <w:pPr>
      <w:tabs>
        <w:tab w:val="center" w:pos="4680"/>
        <w:tab w:val="right" w:pos="9360"/>
      </w:tabs>
    </w:pPr>
  </w:style>
  <w:style w:type="character" w:customStyle="1" w:styleId="FooterChar">
    <w:name w:val="Footer Char"/>
    <w:basedOn w:val="DefaultParagraphFont"/>
    <w:link w:val="Footer"/>
    <w:uiPriority w:val="99"/>
    <w:rsid w:val="001C746B"/>
  </w:style>
  <w:style w:type="paragraph" w:styleId="NormalWeb">
    <w:name w:val="Normal (Web)"/>
    <w:basedOn w:val="Normal"/>
    <w:uiPriority w:val="99"/>
    <w:unhideWhenUsed/>
    <w:rsid w:val="00BF7E2C"/>
    <w:pPr>
      <w:spacing w:before="100" w:beforeAutospacing="1" w:after="100" w:afterAutospacing="1"/>
    </w:pPr>
    <w:rPr>
      <w:rFonts w:ascii="Calibri" w:hAnsi="Calibri" w:cs="Calibri"/>
      <w:sz w:val="22"/>
    </w:rPr>
  </w:style>
  <w:style w:type="character" w:customStyle="1" w:styleId="bumpedfont15">
    <w:name w:val="bumpedfont15"/>
    <w:basedOn w:val="DefaultParagraphFont"/>
    <w:rsid w:val="00BF7E2C"/>
  </w:style>
  <w:style w:type="character" w:customStyle="1" w:styleId="apple-converted-space">
    <w:name w:val="apple-converted-space"/>
    <w:basedOn w:val="DefaultParagraphFont"/>
    <w:rsid w:val="00BF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0A760D84-73E3-4E34-A182-F5F0B9D16ABA}">
  <ds:schemaRefs>
    <ds:schemaRef ds:uri="Microsoft.SharePoint.Taxonomy.ContentTypeSync"/>
  </ds:schemaRefs>
</ds:datastoreItem>
</file>

<file path=customXml/itemProps3.xml><?xml version="1.0" encoding="utf-8"?>
<ds:datastoreItem xmlns:ds="http://schemas.openxmlformats.org/officeDocument/2006/customXml" ds:itemID="{E1C86EEC-869D-42AA-A20E-BF8433CF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Melissa Rifkin</cp:lastModifiedBy>
  <cp:revision>2</cp:revision>
  <dcterms:created xsi:type="dcterms:W3CDTF">2022-10-21T12:12:00Z</dcterms:created>
  <dcterms:modified xsi:type="dcterms:W3CDTF">2022-10-21T12:12:00Z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