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3731" w:rsidRPr="00C6228D" w:rsidP="001F3731" w14:paraId="38C53861" w14:textId="77777777">
      <w:pPr>
        <w:widowControl w:val="0"/>
        <w:spacing w:after="120" w:line="23" w:lineRule="atLeast"/>
        <w:jc w:val="center"/>
        <w:rPr>
          <w:rFonts w:ascii="Times New Roman" w:eastAsia="Times New Roman" w:hAnsi="Times New Roman"/>
          <w:b/>
          <w:bCs/>
          <w:sz w:val="32"/>
          <w:szCs w:val="32"/>
        </w:rPr>
      </w:pPr>
      <w:r w:rsidRPr="00C6228D">
        <w:rPr>
          <w:rFonts w:ascii="Times New Roman" w:eastAsia="Times New Roman" w:hAnsi="Times New Roman"/>
          <w:b/>
          <w:bCs/>
          <w:sz w:val="32"/>
          <w:szCs w:val="32"/>
        </w:rPr>
        <w:t>Public Comments Received During the 60-day Comment Period</w:t>
      </w:r>
    </w:p>
    <w:p w:rsidR="001F3731" w:rsidRPr="00AC5DAA" w:rsidP="001F3731" w14:paraId="0110B34A" w14:textId="4055DF36">
      <w:pPr>
        <w:widowControl w:val="0"/>
        <w:spacing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October</w:t>
      </w:r>
      <w:r w:rsidR="00293F81">
        <w:rPr>
          <w:rFonts w:ascii="Times New Roman" w:eastAsia="Times New Roman" w:hAnsi="Times New Roman"/>
          <w:b/>
          <w:bCs/>
          <w:sz w:val="24"/>
          <w:szCs w:val="24"/>
        </w:rPr>
        <w:t xml:space="preserve"> 202</w:t>
      </w:r>
      <w:r>
        <w:rPr>
          <w:rFonts w:ascii="Times New Roman" w:eastAsia="Times New Roman" w:hAnsi="Times New Roman"/>
          <w:b/>
          <w:bCs/>
          <w:sz w:val="24"/>
          <w:szCs w:val="24"/>
        </w:rPr>
        <w:t>2</w:t>
      </w:r>
    </w:p>
    <w:p w:rsidR="00C35387" w:rsidRPr="001F3731" w:rsidP="001F3731" w14:paraId="795F04A8" w14:textId="0BCAB75A">
      <w:pPr>
        <w:pStyle w:val="NoSpacing"/>
        <w:widowControl w:val="0"/>
        <w:spacing w:after="120" w:line="23" w:lineRule="atLeast"/>
        <w:jc w:val="center"/>
        <w:rPr>
          <w:rFonts w:ascii="Times New Roman" w:hAnsi="Times New Roman"/>
          <w:b/>
          <w:sz w:val="28"/>
          <w:szCs w:val="28"/>
        </w:rPr>
      </w:pPr>
      <w:r w:rsidRPr="001F3731">
        <w:rPr>
          <w:rFonts w:ascii="Times New Roman" w:hAnsi="Times New Roman"/>
          <w:b/>
          <w:sz w:val="28"/>
          <w:szCs w:val="28"/>
        </w:rPr>
        <w:t>National Teacher and Principal Survey of 202</w:t>
      </w:r>
      <w:r w:rsidR="003B4EE4">
        <w:rPr>
          <w:rFonts w:ascii="Times New Roman" w:hAnsi="Times New Roman"/>
          <w:b/>
          <w:sz w:val="28"/>
          <w:szCs w:val="28"/>
        </w:rPr>
        <w:t>3</w:t>
      </w:r>
      <w:r w:rsidRPr="001F3731">
        <w:rPr>
          <w:rFonts w:ascii="Times New Roman" w:hAnsi="Times New Roman"/>
          <w:b/>
          <w:sz w:val="28"/>
          <w:szCs w:val="28"/>
        </w:rPr>
        <w:t>-202</w:t>
      </w:r>
      <w:r w:rsidR="003B4EE4">
        <w:rPr>
          <w:rFonts w:ascii="Times New Roman" w:hAnsi="Times New Roman"/>
          <w:b/>
          <w:sz w:val="28"/>
          <w:szCs w:val="28"/>
        </w:rPr>
        <w:t>4</w:t>
      </w:r>
      <w:r w:rsidRPr="001F3731">
        <w:rPr>
          <w:rFonts w:ascii="Times New Roman" w:hAnsi="Times New Roman"/>
          <w:b/>
          <w:sz w:val="28"/>
          <w:szCs w:val="28"/>
        </w:rPr>
        <w:t xml:space="preserve"> (NTPS 202</w:t>
      </w:r>
      <w:r w:rsidR="003B4EE4">
        <w:rPr>
          <w:rFonts w:ascii="Times New Roman" w:hAnsi="Times New Roman"/>
          <w:b/>
          <w:sz w:val="28"/>
          <w:szCs w:val="28"/>
        </w:rPr>
        <w:t>3</w:t>
      </w:r>
      <w:r w:rsidRPr="001F3731">
        <w:rPr>
          <w:rFonts w:ascii="Times New Roman" w:hAnsi="Times New Roman"/>
          <w:b/>
          <w:sz w:val="28"/>
          <w:szCs w:val="28"/>
        </w:rPr>
        <w:t>-2</w:t>
      </w:r>
      <w:r w:rsidR="003B4EE4">
        <w:rPr>
          <w:rFonts w:ascii="Times New Roman" w:hAnsi="Times New Roman"/>
          <w:b/>
          <w:sz w:val="28"/>
          <w:szCs w:val="28"/>
        </w:rPr>
        <w:t>4</w:t>
      </w:r>
      <w:r w:rsidRPr="001F3731">
        <w:rPr>
          <w:rFonts w:ascii="Times New Roman" w:hAnsi="Times New Roman"/>
          <w:b/>
          <w:sz w:val="28"/>
          <w:szCs w:val="28"/>
        </w:rPr>
        <w:t xml:space="preserve">) </w:t>
      </w:r>
    </w:p>
    <w:p w:rsidR="00C35387" w:rsidRPr="004E7AEA" w:rsidP="001F3731" w14:paraId="4D42A08F" w14:textId="3ED9B566">
      <w:pPr>
        <w:pStyle w:val="NoSpacing"/>
        <w:widowControl w:val="0"/>
        <w:spacing w:after="120" w:line="23" w:lineRule="atLeast"/>
        <w:jc w:val="center"/>
        <w:rPr>
          <w:rFonts w:ascii="Times New Roman" w:hAnsi="Times New Roman"/>
          <w:sz w:val="24"/>
          <w:szCs w:val="24"/>
        </w:rPr>
      </w:pPr>
      <w:r w:rsidRPr="00293F81">
        <w:rPr>
          <w:rFonts w:ascii="Times New Roman" w:hAnsi="Times New Roman"/>
          <w:sz w:val="24"/>
          <w:szCs w:val="24"/>
        </w:rPr>
        <w:t>ED-20</w:t>
      </w:r>
      <w:r w:rsidR="00FD1DF5">
        <w:rPr>
          <w:rFonts w:ascii="Times New Roman" w:hAnsi="Times New Roman"/>
          <w:sz w:val="24"/>
          <w:szCs w:val="24"/>
        </w:rPr>
        <w:t>22</w:t>
      </w:r>
      <w:r w:rsidRPr="00293F81">
        <w:rPr>
          <w:rFonts w:ascii="Times New Roman" w:hAnsi="Times New Roman"/>
          <w:sz w:val="24"/>
          <w:szCs w:val="24"/>
        </w:rPr>
        <w:t>-</w:t>
      </w:r>
      <w:r w:rsidR="00FD1DF5">
        <w:rPr>
          <w:rFonts w:ascii="Times New Roman" w:hAnsi="Times New Roman"/>
          <w:sz w:val="24"/>
          <w:szCs w:val="24"/>
        </w:rPr>
        <w:t>SCC</w:t>
      </w:r>
      <w:r w:rsidRPr="00293F81">
        <w:rPr>
          <w:rFonts w:ascii="Times New Roman" w:hAnsi="Times New Roman"/>
          <w:sz w:val="24"/>
          <w:szCs w:val="24"/>
        </w:rPr>
        <w:t>-</w:t>
      </w:r>
      <w:r w:rsidRPr="00293F81" w:rsidR="00940393">
        <w:rPr>
          <w:rFonts w:ascii="Times New Roman" w:hAnsi="Times New Roman"/>
          <w:sz w:val="24"/>
          <w:szCs w:val="24"/>
        </w:rPr>
        <w:t>0</w:t>
      </w:r>
      <w:r w:rsidRPr="00293F81" w:rsidR="00293F81">
        <w:rPr>
          <w:rFonts w:ascii="Times New Roman" w:hAnsi="Times New Roman"/>
          <w:sz w:val="24"/>
          <w:szCs w:val="24"/>
        </w:rPr>
        <w:t>1</w:t>
      </w:r>
      <w:r w:rsidR="00FD1DF5">
        <w:rPr>
          <w:rFonts w:ascii="Times New Roman" w:hAnsi="Times New Roman"/>
          <w:sz w:val="24"/>
          <w:szCs w:val="24"/>
        </w:rPr>
        <w:t>00</w:t>
      </w:r>
      <w:r w:rsidRPr="00293F81">
        <w:rPr>
          <w:rFonts w:ascii="Times New Roman" w:hAnsi="Times New Roman"/>
          <w:sz w:val="24"/>
          <w:szCs w:val="24"/>
        </w:rPr>
        <w:tab/>
      </w:r>
      <w:r w:rsidRPr="00293F81">
        <w:rPr>
          <w:rFonts w:ascii="Times New Roman" w:hAnsi="Times New Roman"/>
          <w:sz w:val="24"/>
          <w:szCs w:val="24"/>
        </w:rPr>
        <w:tab/>
        <w:t>Comments on FR Doc # 20</w:t>
      </w:r>
      <w:r w:rsidR="003B4EE4">
        <w:rPr>
          <w:rFonts w:ascii="Times New Roman" w:hAnsi="Times New Roman"/>
          <w:sz w:val="24"/>
          <w:szCs w:val="24"/>
        </w:rPr>
        <w:t>22</w:t>
      </w:r>
      <w:r w:rsidRPr="00293F81">
        <w:rPr>
          <w:rFonts w:ascii="Times New Roman" w:hAnsi="Times New Roman"/>
          <w:sz w:val="24"/>
          <w:szCs w:val="24"/>
        </w:rPr>
        <w:t>-</w:t>
      </w:r>
      <w:r w:rsidR="003B4EE4">
        <w:rPr>
          <w:rFonts w:ascii="Times New Roman" w:hAnsi="Times New Roman"/>
          <w:sz w:val="24"/>
          <w:szCs w:val="24"/>
        </w:rPr>
        <w:t>16459</w:t>
      </w:r>
    </w:p>
    <w:p w:rsidR="00293F81" w:rsidP="001F3731" w14:paraId="6BB18A35" w14:textId="6A7E5A50">
      <w:pPr>
        <w:pStyle w:val="NoSpacing"/>
        <w:widowControl w:val="0"/>
        <w:spacing w:after="120" w:line="23" w:lineRule="atLeast"/>
        <w:rPr>
          <w:rFonts w:ascii="Times New Roman" w:hAnsi="Times New Roman"/>
          <w:b/>
          <w:sz w:val="24"/>
          <w:szCs w:val="24"/>
        </w:rPr>
      </w:pPr>
    </w:p>
    <w:p w:rsidR="00A63A74" w:rsidRPr="00104B5C" w:rsidP="00A63A74" w14:paraId="34B8B15E" w14:textId="39E98504">
      <w:pPr>
        <w:spacing w:line="23" w:lineRule="atLeast"/>
        <w:ind w:right="-14"/>
        <w:rPr>
          <w:rFonts w:ascii="Times New Roman" w:hAnsi="Times New Roman"/>
          <w:b/>
          <w:bCs/>
          <w:i/>
          <w:iCs/>
          <w:sz w:val="24"/>
          <w:szCs w:val="24"/>
        </w:rPr>
      </w:pPr>
      <w:r w:rsidRPr="00104B5C">
        <w:rPr>
          <w:rFonts w:ascii="Times New Roman" w:hAnsi="Times New Roman"/>
          <w:b/>
          <w:bCs/>
          <w:i/>
          <w:iCs/>
          <w:sz w:val="24"/>
          <w:szCs w:val="24"/>
        </w:rPr>
        <w:t xml:space="preserve">NCES and the staff of </w:t>
      </w:r>
      <w:r>
        <w:rPr>
          <w:rFonts w:ascii="Times New Roman" w:hAnsi="Times New Roman"/>
          <w:b/>
          <w:bCs/>
          <w:i/>
          <w:iCs/>
          <w:sz w:val="24"/>
          <w:szCs w:val="24"/>
        </w:rPr>
        <w:t>The National Teacher and Principal Survey</w:t>
      </w:r>
      <w:r w:rsidRPr="00104B5C">
        <w:rPr>
          <w:rFonts w:ascii="Times New Roman" w:hAnsi="Times New Roman"/>
          <w:b/>
          <w:bCs/>
          <w:i/>
          <w:iCs/>
          <w:sz w:val="24"/>
          <w:szCs w:val="24"/>
        </w:rPr>
        <w:t xml:space="preserve"> want to thank all public commenters for your feedback responding to a request for comments on </w:t>
      </w:r>
      <w:r>
        <w:rPr>
          <w:rFonts w:ascii="Times New Roman" w:hAnsi="Times New Roman"/>
          <w:b/>
          <w:bCs/>
          <w:i/>
          <w:iCs/>
          <w:sz w:val="24"/>
          <w:szCs w:val="24"/>
        </w:rPr>
        <w:t>NTPS 2023-24</w:t>
      </w:r>
      <w:r w:rsidRPr="00104B5C">
        <w:rPr>
          <w:rFonts w:ascii="Times New Roman" w:hAnsi="Times New Roman"/>
          <w:b/>
          <w:bCs/>
          <w:i/>
          <w:iCs/>
          <w:sz w:val="24"/>
          <w:szCs w:val="24"/>
        </w:rPr>
        <w:t xml:space="preserve"> published in the Federal Register. The National Center for Education Statistics (NCES) appreciates your interest in our work. The Paperwork Reduction Act (PRA) provides an opportunity for an open and public comment period where comments on collections can be made. We are grateful for this process and your comment and hope that you will continue to follow our work.</w:t>
      </w:r>
    </w:p>
    <w:p w:rsidR="00C35387" w:rsidRPr="000F00B0" w:rsidP="000F00B0" w14:paraId="10166DC9" w14:textId="5813D256">
      <w:pPr>
        <w:pStyle w:val="Heading1"/>
        <w:rPr>
          <w:rFonts w:ascii="Times New Roman" w:hAnsi="Times New Roman"/>
          <w:color w:val="auto"/>
          <w:sz w:val="24"/>
          <w:szCs w:val="24"/>
        </w:rPr>
      </w:pPr>
      <w:r w:rsidRPr="000F00B0">
        <w:rPr>
          <w:rFonts w:ascii="Times New Roman" w:hAnsi="Times New Roman"/>
          <w:color w:val="auto"/>
          <w:sz w:val="24"/>
          <w:szCs w:val="24"/>
        </w:rPr>
        <w:t xml:space="preserve">Document: </w:t>
      </w:r>
      <w:r w:rsidRPr="000F00B0" w:rsidR="002B16AC">
        <w:rPr>
          <w:rFonts w:ascii="Times New Roman" w:hAnsi="Times New Roman"/>
          <w:b w:val="0"/>
          <w:bCs w:val="0"/>
          <w:color w:val="auto"/>
          <w:sz w:val="24"/>
          <w:szCs w:val="24"/>
        </w:rPr>
        <w:t>ED-2022-SCC-0100-0006</w:t>
      </w:r>
    </w:p>
    <w:p w:rsidR="00C35387" w:rsidRPr="004E7AEA" w:rsidP="00AD217C" w14:paraId="477E77B5" w14:textId="1AEBD628">
      <w:pPr>
        <w:pStyle w:val="NoSpacing"/>
        <w:widowControl w:val="0"/>
        <w:spacing w:after="240" w:line="23" w:lineRule="atLeast"/>
        <w:rPr>
          <w:rFonts w:ascii="Times New Roman" w:hAnsi="Times New Roman"/>
          <w:sz w:val="24"/>
          <w:szCs w:val="24"/>
        </w:rPr>
      </w:pPr>
      <w:r w:rsidRPr="004E7AEA">
        <w:rPr>
          <w:rFonts w:ascii="Times New Roman" w:hAnsi="Times New Roman"/>
          <w:b/>
          <w:sz w:val="24"/>
          <w:szCs w:val="24"/>
        </w:rPr>
        <w:t xml:space="preserve">Name: </w:t>
      </w:r>
      <w:r w:rsidR="002B16AC">
        <w:rPr>
          <w:rFonts w:ascii="Times New Roman" w:hAnsi="Times New Roman"/>
          <w:sz w:val="24"/>
          <w:szCs w:val="24"/>
        </w:rPr>
        <w:t>Gabrielle Doyle, Advocacy Campaign Manager, The Trevor Project</w:t>
      </w:r>
    </w:p>
    <w:p w:rsidR="000F00B0" w:rsidRPr="003E0E4D" w:rsidP="00ED7E67" w14:paraId="6F9E2834" w14:textId="77777777">
      <w:pPr>
        <w:spacing w:line="240" w:lineRule="auto"/>
        <w:rPr>
          <w:rFonts w:ascii="Times New Roman" w:hAnsi="Times New Roman"/>
          <w:sz w:val="24"/>
          <w:szCs w:val="24"/>
        </w:rPr>
      </w:pPr>
      <w:r w:rsidRPr="003E0E4D">
        <w:rPr>
          <w:rFonts w:ascii="Times New Roman" w:hAnsi="Times New Roman"/>
          <w:sz w:val="24"/>
          <w:szCs w:val="24"/>
        </w:rPr>
        <w:t xml:space="preserve">The Trevor Project is pleased to submit this comment in response to the proposed National Teacher and Principal Survey of 2023–2024 (NTPS 2023–24) Preliminary Field Activities by the National Center for Education Statistics regarding issue (4), how might the Department enhance the quality, utility, and clarity of the information to be collected. The proposed survey provides an invaluable opportunity to gain insight on the experiences and recommendations of educators and principals nationwide. There is a significant opportunity to advance the quality of the school, principal, and teacher questionnaire to better reflect how lesbian, gay, bisexual, transgender, queer, and questioning (LGBTQ) youth are represented and affirmed within their school environments. Further advancement is also necessary to better understand how prepared school professionals are to respond to suicidality among all youth. </w:t>
      </w:r>
    </w:p>
    <w:p w:rsidR="000F00B0" w:rsidRPr="003E0E4D" w:rsidP="00ED7E67" w14:paraId="217941A3" w14:textId="77777777">
      <w:pPr>
        <w:spacing w:line="240" w:lineRule="auto"/>
        <w:rPr>
          <w:rFonts w:ascii="Times New Roman" w:hAnsi="Times New Roman"/>
          <w:sz w:val="24"/>
          <w:szCs w:val="24"/>
        </w:rPr>
      </w:pPr>
      <w:r w:rsidRPr="003E0E4D">
        <w:rPr>
          <w:rFonts w:ascii="Times New Roman" w:hAnsi="Times New Roman"/>
          <w:sz w:val="24"/>
          <w:szCs w:val="24"/>
        </w:rPr>
        <w:t xml:space="preserve">The Trevor Project is the world’s largest suicide prevention and mental health organization for LGBTQ young people. We offer a suite of 24/7 crisis intervention and suicide prevention programs, including TrevorLifeline, TrevorText, and TrevorChat as well as the world’s largest safe space social networking site for LGBTQ youth, TrevorSpace. </w:t>
      </w:r>
    </w:p>
    <w:p w:rsidR="000F00B0" w:rsidRPr="003E0E4D" w:rsidP="00ED7E67" w14:paraId="43D7CFAC" w14:textId="77777777">
      <w:pPr>
        <w:spacing w:line="240" w:lineRule="auto"/>
        <w:rPr>
          <w:rFonts w:ascii="Times New Roman" w:hAnsi="Times New Roman"/>
          <w:sz w:val="24"/>
          <w:szCs w:val="24"/>
        </w:rPr>
      </w:pPr>
      <w:r w:rsidRPr="003E0E4D">
        <w:rPr>
          <w:rFonts w:ascii="Times New Roman" w:hAnsi="Times New Roman"/>
          <w:sz w:val="24"/>
          <w:szCs w:val="24"/>
        </w:rPr>
        <w:t>According to The Trevor Project’s 2022 National Survey on LGBTQ Youth Mental Health, 45% of LGBTQ youth seriously considered attempting suicide in the past year, including more than half of transgender and nonbinary youth.</w:t>
      </w:r>
      <w:r>
        <w:rPr>
          <w:rStyle w:val="FootnoteReference"/>
          <w:rFonts w:ascii="Times New Roman" w:hAnsi="Times New Roman"/>
          <w:sz w:val="24"/>
          <w:szCs w:val="24"/>
        </w:rPr>
        <w:footnoteReference w:id="2"/>
      </w:r>
      <w:r w:rsidRPr="003E0E4D">
        <w:rPr>
          <w:rFonts w:ascii="Times New Roman" w:hAnsi="Times New Roman"/>
          <w:sz w:val="24"/>
          <w:szCs w:val="24"/>
        </w:rPr>
        <w:t xml:space="preserve"> This devastating statistic is not intrinsically tied to holding an LGBTQ identity, but rather due to the persistent and pervasive forms of systemic discrimination and violence that LGBTQ youth experience. LGBTQ youth who had access to spaces that affirmed their sexual orientation and gender identity — including schools — reported lower rates of attempting suicide than those who did not. It is for this reason that collecting data on educator and principal perceptions of their school climate is essential to better understand the status of LGBTQ affirming school environments nationwide. The below points emphasize specific questions currently included in the draft questionnaires.</w:t>
      </w:r>
      <w:r>
        <w:rPr>
          <w:rStyle w:val="FootnoteReference"/>
          <w:rFonts w:ascii="Times New Roman" w:hAnsi="Times New Roman"/>
          <w:sz w:val="24"/>
          <w:szCs w:val="24"/>
        </w:rPr>
        <w:footnoteReference w:id="3"/>
      </w:r>
      <w:r w:rsidRPr="003E0E4D">
        <w:rPr>
          <w:rFonts w:ascii="Times New Roman" w:hAnsi="Times New Roman"/>
          <w:sz w:val="24"/>
          <w:szCs w:val="24"/>
        </w:rPr>
        <w:t xml:space="preserve">  </w:t>
      </w:r>
    </w:p>
    <w:p w:rsidR="000F00B0" w:rsidRPr="003E0E4D" w:rsidP="00ED7E67" w14:paraId="4946E1EF" w14:textId="77777777">
      <w:pPr>
        <w:spacing w:line="240" w:lineRule="auto"/>
        <w:rPr>
          <w:rFonts w:ascii="Times New Roman" w:hAnsi="Times New Roman"/>
          <w:sz w:val="24"/>
          <w:szCs w:val="24"/>
        </w:rPr>
      </w:pPr>
      <w:r w:rsidRPr="003E0E4D">
        <w:rPr>
          <w:rFonts w:ascii="Times New Roman" w:hAnsi="Times New Roman"/>
          <w:sz w:val="24"/>
          <w:szCs w:val="24"/>
        </w:rPr>
        <w:t xml:space="preserve">I. Principal Questionnaire </w:t>
      </w:r>
    </w:p>
    <w:p w:rsidR="000F00B0" w:rsidRPr="003E0E4D" w:rsidP="00ED7E67" w14:paraId="3F566F9B" w14:textId="77777777">
      <w:pPr>
        <w:spacing w:line="240" w:lineRule="auto"/>
        <w:ind w:firstLine="720"/>
        <w:rPr>
          <w:rFonts w:ascii="Times New Roman" w:hAnsi="Times New Roman"/>
          <w:sz w:val="24"/>
          <w:szCs w:val="24"/>
        </w:rPr>
      </w:pPr>
      <w:r w:rsidRPr="003E0E4D">
        <w:rPr>
          <w:rFonts w:ascii="Times New Roman" w:hAnsi="Times New Roman"/>
          <w:sz w:val="24"/>
          <w:szCs w:val="24"/>
        </w:rPr>
        <w:t xml:space="preserve">A. 2. GOALS AND DECISION MAKING </w:t>
      </w:r>
    </w:p>
    <w:p w:rsidR="000F00B0" w:rsidRPr="003E0E4D" w:rsidP="00ED7E67" w14:paraId="720468B8" w14:textId="77777777">
      <w:pPr>
        <w:spacing w:line="240" w:lineRule="auto"/>
        <w:ind w:left="1080"/>
        <w:rPr>
          <w:rFonts w:ascii="Times New Roman" w:hAnsi="Times New Roman"/>
          <w:sz w:val="24"/>
          <w:szCs w:val="24"/>
        </w:rPr>
      </w:pPr>
      <w:r w:rsidRPr="003E0E4D">
        <w:rPr>
          <w:rFonts w:ascii="Times New Roman" w:hAnsi="Times New Roman"/>
          <w:sz w:val="24"/>
          <w:szCs w:val="24"/>
        </w:rPr>
        <w:t xml:space="preserve">1. 2-1 currently asks about the importance principals place on various educational goals from a list of ten goals. Goal 9 states “Promoting multicultural awareness or understanding”. To further clarify the meaning of multicultural awareness it is recommended to expand upon this option to read: </w:t>
      </w:r>
      <w:r w:rsidRPr="003E0E4D">
        <w:rPr>
          <w:rFonts w:ascii="Times New Roman" w:hAnsi="Times New Roman"/>
          <w:sz w:val="24"/>
          <w:szCs w:val="24"/>
        </w:rPr>
        <w:t xml:space="preserve">“Promoting multicultural awareness of understanding based upon race, color, religion, national origin, sexual orientation, gender identity, or ability”. This improvement will support a more nuanced understanding of what ‘multicultural’ can mean to a principal and broader school community. </w:t>
      </w:r>
    </w:p>
    <w:p w:rsidR="000F00B0" w:rsidRPr="003E0E4D" w:rsidP="00ED7E67" w14:paraId="2E324BC3" w14:textId="77777777">
      <w:pPr>
        <w:spacing w:line="240" w:lineRule="auto"/>
        <w:ind w:left="720"/>
        <w:rPr>
          <w:rFonts w:ascii="Times New Roman" w:hAnsi="Times New Roman"/>
          <w:sz w:val="24"/>
          <w:szCs w:val="24"/>
        </w:rPr>
      </w:pPr>
      <w:r w:rsidRPr="003E0E4D">
        <w:rPr>
          <w:rFonts w:ascii="Times New Roman" w:hAnsi="Times New Roman"/>
          <w:sz w:val="24"/>
          <w:szCs w:val="24"/>
        </w:rPr>
        <w:t xml:space="preserve">B. 3. SCHOOL CLIMATE AND SAFETY </w:t>
      </w:r>
    </w:p>
    <w:p w:rsidR="000F00B0" w:rsidRPr="003E0E4D" w:rsidP="00ED7E67" w14:paraId="5A91477D" w14:textId="77777777">
      <w:pPr>
        <w:spacing w:line="240" w:lineRule="auto"/>
        <w:ind w:left="1080"/>
        <w:rPr>
          <w:rFonts w:ascii="Times New Roman" w:hAnsi="Times New Roman"/>
          <w:sz w:val="24"/>
          <w:szCs w:val="24"/>
        </w:rPr>
      </w:pPr>
      <w:r w:rsidRPr="003E0E4D">
        <w:rPr>
          <w:rFonts w:ascii="Times New Roman" w:hAnsi="Times New Roman"/>
          <w:sz w:val="24"/>
          <w:szCs w:val="24"/>
        </w:rPr>
        <w:t xml:space="preserve">1. 3-1 currently asks principals about how often specific types of problems occur at their school. To ensure that the full spectrum of types of problems that can occur in schools is represented, it’s essential to explicitly address discrimination based on sexual orientation and gender identity. The following types of problems may be included in the proposed list: </w:t>
      </w:r>
    </w:p>
    <w:p w:rsidR="000F00B0" w:rsidRPr="003E0E4D" w:rsidP="00ED7E67" w14:paraId="12706379" w14:textId="77777777">
      <w:pPr>
        <w:spacing w:line="240" w:lineRule="auto"/>
        <w:ind w:left="1440"/>
        <w:rPr>
          <w:rFonts w:ascii="Times New Roman" w:hAnsi="Times New Roman"/>
          <w:sz w:val="24"/>
          <w:szCs w:val="24"/>
        </w:rPr>
      </w:pPr>
      <w:r w:rsidRPr="003E0E4D">
        <w:rPr>
          <w:rFonts w:ascii="Times New Roman" w:hAnsi="Times New Roman"/>
          <w:sz w:val="24"/>
          <w:szCs w:val="24"/>
        </w:rPr>
        <w:t xml:space="preserve">a) Student bullying based on sexual orientation </w:t>
      </w:r>
    </w:p>
    <w:p w:rsidR="000F00B0" w:rsidRPr="003E0E4D" w:rsidP="00ED7E67" w14:paraId="7CA4E35C" w14:textId="77777777">
      <w:pPr>
        <w:spacing w:line="240" w:lineRule="auto"/>
        <w:ind w:left="1440"/>
        <w:rPr>
          <w:rFonts w:ascii="Times New Roman" w:hAnsi="Times New Roman"/>
          <w:sz w:val="24"/>
          <w:szCs w:val="24"/>
        </w:rPr>
      </w:pPr>
      <w:r w:rsidRPr="003E0E4D">
        <w:rPr>
          <w:rFonts w:ascii="Times New Roman" w:hAnsi="Times New Roman"/>
          <w:sz w:val="24"/>
          <w:szCs w:val="24"/>
        </w:rPr>
        <w:t xml:space="preserve">b) Student bullying based on gender identity </w:t>
      </w:r>
    </w:p>
    <w:p w:rsidR="000F00B0" w:rsidRPr="003E0E4D" w:rsidP="00ED7E67" w14:paraId="5CB3286C" w14:textId="77777777">
      <w:pPr>
        <w:spacing w:line="240" w:lineRule="auto"/>
        <w:ind w:left="1440"/>
        <w:rPr>
          <w:rFonts w:ascii="Times New Roman" w:hAnsi="Times New Roman"/>
          <w:sz w:val="24"/>
          <w:szCs w:val="24"/>
        </w:rPr>
      </w:pPr>
      <w:r w:rsidRPr="003E0E4D">
        <w:rPr>
          <w:rFonts w:ascii="Times New Roman" w:hAnsi="Times New Roman"/>
          <w:sz w:val="24"/>
          <w:szCs w:val="24"/>
        </w:rPr>
        <w:t xml:space="preserve">c) Teacher acts of disrespect toward students based on sexual orientation or gender identity </w:t>
      </w:r>
    </w:p>
    <w:p w:rsidR="000F00B0" w:rsidRPr="003E0E4D" w:rsidP="00ED7E67" w14:paraId="60229591" w14:textId="77777777">
      <w:pPr>
        <w:spacing w:line="240" w:lineRule="auto"/>
        <w:ind w:left="1440"/>
        <w:rPr>
          <w:rFonts w:ascii="Times New Roman" w:hAnsi="Times New Roman"/>
          <w:sz w:val="24"/>
          <w:szCs w:val="24"/>
        </w:rPr>
      </w:pPr>
      <w:r w:rsidRPr="003E0E4D">
        <w:rPr>
          <w:rFonts w:ascii="Times New Roman" w:hAnsi="Times New Roman"/>
          <w:sz w:val="24"/>
          <w:szCs w:val="24"/>
        </w:rPr>
        <w:t xml:space="preserve">d) Teacher acts of disrespect towards students based on race, color, or national origin </w:t>
      </w:r>
    </w:p>
    <w:p w:rsidR="000F00B0" w:rsidRPr="003E0E4D" w:rsidP="00ED7E67" w14:paraId="29D0CFD1" w14:textId="77777777">
      <w:pPr>
        <w:spacing w:line="240" w:lineRule="auto"/>
        <w:ind w:left="1440"/>
        <w:rPr>
          <w:rFonts w:ascii="Times New Roman" w:hAnsi="Times New Roman"/>
          <w:sz w:val="24"/>
          <w:szCs w:val="24"/>
        </w:rPr>
      </w:pPr>
      <w:r w:rsidRPr="003E0E4D">
        <w:rPr>
          <w:rFonts w:ascii="Times New Roman" w:hAnsi="Times New Roman"/>
          <w:sz w:val="24"/>
          <w:szCs w:val="24"/>
        </w:rPr>
        <w:t xml:space="preserve">e) Physical conflicts perpetuated by school resource officers against students based on sexual orientation or gender identity </w:t>
      </w:r>
    </w:p>
    <w:p w:rsidR="000F00B0" w:rsidRPr="003E0E4D" w:rsidP="00ED7E67" w14:paraId="4AC14D3B" w14:textId="77777777">
      <w:pPr>
        <w:spacing w:line="240" w:lineRule="auto"/>
        <w:ind w:left="1440"/>
        <w:rPr>
          <w:rFonts w:ascii="Times New Roman" w:hAnsi="Times New Roman"/>
          <w:sz w:val="24"/>
          <w:szCs w:val="24"/>
        </w:rPr>
      </w:pPr>
      <w:r w:rsidRPr="003E0E4D">
        <w:rPr>
          <w:rFonts w:ascii="Times New Roman" w:hAnsi="Times New Roman"/>
          <w:sz w:val="24"/>
          <w:szCs w:val="24"/>
        </w:rPr>
        <w:t xml:space="preserve">f) Physical conflicts perpetuated by school resource officers against students based on race, color, or national origin </w:t>
      </w:r>
    </w:p>
    <w:p w:rsidR="000F00B0" w:rsidRPr="003E0E4D" w:rsidP="00ED7E67" w14:paraId="74BCB522" w14:textId="77777777">
      <w:pPr>
        <w:spacing w:line="240" w:lineRule="auto"/>
        <w:ind w:left="1440"/>
        <w:rPr>
          <w:rFonts w:ascii="Times New Roman" w:hAnsi="Times New Roman"/>
          <w:sz w:val="24"/>
          <w:szCs w:val="24"/>
        </w:rPr>
      </w:pPr>
      <w:r w:rsidRPr="003E0E4D">
        <w:rPr>
          <w:rFonts w:ascii="Times New Roman" w:hAnsi="Times New Roman"/>
          <w:sz w:val="24"/>
          <w:szCs w:val="24"/>
        </w:rPr>
        <w:t xml:space="preserve">g) Verbal conflicts perpetuated by school resource officers against students based on sexual orientation or gender identity </w:t>
      </w:r>
    </w:p>
    <w:p w:rsidR="000F00B0" w:rsidRPr="003E0E4D" w:rsidP="00ED7E67" w14:paraId="067DDE5A" w14:textId="77777777">
      <w:pPr>
        <w:spacing w:line="240" w:lineRule="auto"/>
        <w:ind w:left="1440"/>
        <w:rPr>
          <w:rFonts w:ascii="Times New Roman" w:hAnsi="Times New Roman"/>
          <w:sz w:val="24"/>
          <w:szCs w:val="24"/>
        </w:rPr>
      </w:pPr>
      <w:r w:rsidRPr="003E0E4D">
        <w:rPr>
          <w:rFonts w:ascii="Times New Roman" w:hAnsi="Times New Roman"/>
          <w:sz w:val="24"/>
          <w:szCs w:val="24"/>
        </w:rPr>
        <w:t xml:space="preserve">h) Verbal conflicts perpetuated by school resource officers against students based on race, color, or national origin </w:t>
      </w:r>
    </w:p>
    <w:p w:rsidR="000F00B0" w:rsidRPr="003E0E4D" w:rsidP="00ED7E67" w14:paraId="25C7E60F" w14:textId="77777777">
      <w:pPr>
        <w:spacing w:line="240" w:lineRule="auto"/>
        <w:ind w:left="720"/>
        <w:rPr>
          <w:rFonts w:ascii="Times New Roman" w:hAnsi="Times New Roman"/>
          <w:sz w:val="24"/>
          <w:szCs w:val="24"/>
        </w:rPr>
      </w:pPr>
      <w:r w:rsidRPr="003E0E4D">
        <w:rPr>
          <w:rFonts w:ascii="Times New Roman" w:hAnsi="Times New Roman"/>
          <w:sz w:val="24"/>
          <w:szCs w:val="24"/>
        </w:rPr>
        <w:t xml:space="preserve">C. 9. PRINCIPAL DEMOGRAPHIC INFORMATION </w:t>
      </w:r>
    </w:p>
    <w:p w:rsidR="000F00B0" w:rsidRPr="003E0E4D" w:rsidP="00ED7E67" w14:paraId="00D18C3E" w14:textId="77777777">
      <w:pPr>
        <w:spacing w:line="240" w:lineRule="auto"/>
        <w:ind w:left="1080"/>
        <w:rPr>
          <w:rFonts w:ascii="Times New Roman" w:hAnsi="Times New Roman"/>
          <w:sz w:val="24"/>
          <w:szCs w:val="24"/>
        </w:rPr>
      </w:pPr>
      <w:r w:rsidRPr="003E0E4D">
        <w:rPr>
          <w:rFonts w:ascii="Times New Roman" w:hAnsi="Times New Roman"/>
          <w:sz w:val="24"/>
          <w:szCs w:val="24"/>
        </w:rPr>
        <w:t>1. The current proposed demographic questions proposed in 9-1 through 9-5 fail to capture the diverse identities of principals nationwide. To collect more accurate data on the identities of LGBTQ principals nationwide, The Trevor Project recommends the inclusion of expansive questions related to sexual orientation and gender identity as included in the 2023-24 National Teacher and Principal Survey (NTPS) Cognitive/Usability Testing Attachment 3: Teacher Questionnaires (Public and Private.)</w:t>
      </w:r>
      <w:r>
        <w:rPr>
          <w:rStyle w:val="FootnoteReference"/>
          <w:rFonts w:ascii="Times New Roman" w:hAnsi="Times New Roman"/>
          <w:sz w:val="24"/>
          <w:szCs w:val="24"/>
        </w:rPr>
        <w:footnoteReference w:id="4"/>
      </w:r>
      <w:r w:rsidRPr="003E0E4D">
        <w:rPr>
          <w:rFonts w:ascii="Times New Roman" w:hAnsi="Times New Roman"/>
          <w:sz w:val="24"/>
          <w:szCs w:val="24"/>
        </w:rPr>
        <w:t xml:space="preserve">  </w:t>
      </w:r>
    </w:p>
    <w:p w:rsidR="000F00B0" w:rsidRPr="003E0E4D" w:rsidP="00ED7E67" w14:paraId="01FDE23F" w14:textId="77777777">
      <w:pPr>
        <w:spacing w:line="240" w:lineRule="auto"/>
        <w:ind w:left="720"/>
        <w:rPr>
          <w:rFonts w:ascii="Times New Roman" w:hAnsi="Times New Roman"/>
          <w:sz w:val="24"/>
          <w:szCs w:val="24"/>
        </w:rPr>
      </w:pPr>
      <w:r w:rsidRPr="003E0E4D">
        <w:rPr>
          <w:rFonts w:ascii="Times New Roman" w:hAnsi="Times New Roman"/>
          <w:sz w:val="24"/>
          <w:szCs w:val="24"/>
        </w:rPr>
        <w:t xml:space="preserve">D. The above recommendations equally apply to the Private School Principal Questionnaire. </w:t>
      </w:r>
    </w:p>
    <w:p w:rsidR="000F00B0" w:rsidRPr="003E0E4D" w:rsidP="00ED7E67" w14:paraId="03DD3573" w14:textId="77777777">
      <w:pPr>
        <w:spacing w:line="240" w:lineRule="auto"/>
        <w:rPr>
          <w:rFonts w:ascii="Times New Roman" w:hAnsi="Times New Roman"/>
          <w:sz w:val="24"/>
          <w:szCs w:val="24"/>
        </w:rPr>
      </w:pPr>
      <w:r w:rsidRPr="003E0E4D">
        <w:rPr>
          <w:rFonts w:ascii="Times New Roman" w:hAnsi="Times New Roman"/>
          <w:sz w:val="24"/>
          <w:szCs w:val="24"/>
        </w:rPr>
        <w:t xml:space="preserve">II. School Questionnaire </w:t>
      </w:r>
    </w:p>
    <w:p w:rsidR="000F00B0" w:rsidRPr="003E0E4D" w:rsidP="00ED7E67" w14:paraId="58584258" w14:textId="77777777">
      <w:pPr>
        <w:spacing w:line="240" w:lineRule="auto"/>
        <w:ind w:firstLine="720"/>
        <w:rPr>
          <w:rFonts w:ascii="Times New Roman" w:hAnsi="Times New Roman"/>
          <w:sz w:val="24"/>
          <w:szCs w:val="24"/>
        </w:rPr>
      </w:pPr>
      <w:r w:rsidRPr="003E0E4D">
        <w:rPr>
          <w:rFonts w:ascii="Times New Roman" w:hAnsi="Times New Roman"/>
          <w:sz w:val="24"/>
          <w:szCs w:val="24"/>
        </w:rPr>
        <w:t xml:space="preserve">A. 1. GENERAL INFORMATION ABOUT THIS SCHOOL </w:t>
      </w:r>
    </w:p>
    <w:p w:rsidR="000F00B0" w:rsidRPr="003E0E4D" w:rsidP="00ED7E67" w14:paraId="4CF6190F" w14:textId="77777777">
      <w:pPr>
        <w:spacing w:line="240" w:lineRule="auto"/>
        <w:ind w:left="1080"/>
        <w:rPr>
          <w:rFonts w:ascii="Times New Roman" w:hAnsi="Times New Roman"/>
          <w:sz w:val="24"/>
          <w:szCs w:val="24"/>
        </w:rPr>
      </w:pPr>
      <w:r w:rsidRPr="003E0E4D">
        <w:rPr>
          <w:rFonts w:ascii="Times New Roman" w:hAnsi="Times New Roman"/>
          <w:sz w:val="24"/>
          <w:szCs w:val="24"/>
        </w:rPr>
        <w:t>1. 1-16 currently asks which before-school or after-school programs or services are currently available for students in any grades K-12. While 1-16d lists school related activities and gives the examples of yearbook club and the school dance committee, it’s necessary to include the example of a Gender and Sexuality Alliance (GSA)</w:t>
      </w:r>
      <w:r>
        <w:rPr>
          <w:rStyle w:val="FootnoteReference"/>
          <w:rFonts w:ascii="Times New Roman" w:hAnsi="Times New Roman"/>
          <w:sz w:val="24"/>
          <w:szCs w:val="24"/>
        </w:rPr>
        <w:footnoteReference w:id="5"/>
      </w:r>
      <w:r w:rsidRPr="003E0E4D">
        <w:rPr>
          <w:rFonts w:ascii="Times New Roman" w:hAnsi="Times New Roman"/>
          <w:sz w:val="24"/>
          <w:szCs w:val="24"/>
        </w:rPr>
        <w:t xml:space="preserve">. If the respondent answers yes, they should be prompted to “GO TO item 1-16e” nested question to answer if a Gender and Sexuality Alliance is currently available for students. This information provides key insight on the availability of school-based </w:t>
      </w:r>
      <w:r w:rsidRPr="003E0E4D">
        <w:rPr>
          <w:rFonts w:ascii="Times New Roman" w:hAnsi="Times New Roman"/>
          <w:sz w:val="24"/>
          <w:szCs w:val="24"/>
        </w:rPr>
        <w:t>resources and supports available for LGBTQ youth, which plays an essential role in maintaining their mental health and wellbeing. Students who have a GSA in their school are less likely to hear “gay” used in a negative way, homophobic remarks, negative remarks about gender expression, report feeling unsafe, and more likely to report a greater number of supportive school staff and accepting peers.</w:t>
      </w:r>
      <w:r>
        <w:rPr>
          <w:rStyle w:val="FootnoteReference"/>
          <w:rFonts w:ascii="Times New Roman" w:hAnsi="Times New Roman"/>
          <w:sz w:val="24"/>
          <w:szCs w:val="24"/>
        </w:rPr>
        <w:footnoteReference w:id="6"/>
      </w:r>
      <w:r w:rsidRPr="003E0E4D">
        <w:rPr>
          <w:rFonts w:ascii="Times New Roman" w:hAnsi="Times New Roman"/>
          <w:sz w:val="24"/>
          <w:szCs w:val="24"/>
        </w:rPr>
        <w:t xml:space="preserve"> </w:t>
      </w:r>
    </w:p>
    <w:p w:rsidR="000F00B0" w:rsidRPr="003E0E4D" w:rsidP="00ED7E67" w14:paraId="182C352F" w14:textId="77777777">
      <w:pPr>
        <w:spacing w:line="240" w:lineRule="auto"/>
        <w:ind w:left="720"/>
        <w:rPr>
          <w:rFonts w:ascii="Times New Roman" w:hAnsi="Times New Roman"/>
          <w:sz w:val="24"/>
          <w:szCs w:val="24"/>
        </w:rPr>
      </w:pPr>
      <w:r w:rsidRPr="003E0E4D">
        <w:rPr>
          <w:rFonts w:ascii="Times New Roman" w:hAnsi="Times New Roman"/>
          <w:sz w:val="24"/>
          <w:szCs w:val="24"/>
        </w:rPr>
        <w:t xml:space="preserve">B. The above recommendation equally applies to the Private School Questionnaire. </w:t>
      </w:r>
    </w:p>
    <w:p w:rsidR="000F00B0" w:rsidRPr="003E0E4D" w:rsidP="00ED7E67" w14:paraId="730112A7" w14:textId="77777777">
      <w:pPr>
        <w:spacing w:line="240" w:lineRule="auto"/>
        <w:rPr>
          <w:rFonts w:ascii="Times New Roman" w:hAnsi="Times New Roman"/>
          <w:sz w:val="24"/>
          <w:szCs w:val="24"/>
        </w:rPr>
      </w:pPr>
      <w:r w:rsidRPr="003E0E4D">
        <w:rPr>
          <w:rFonts w:ascii="Times New Roman" w:hAnsi="Times New Roman"/>
          <w:sz w:val="24"/>
          <w:szCs w:val="24"/>
        </w:rPr>
        <w:t xml:space="preserve">III. Teacher Questionnaire </w:t>
      </w:r>
    </w:p>
    <w:p w:rsidR="000F00B0" w:rsidRPr="003E0E4D" w:rsidP="00ED7E67" w14:paraId="0B3594EC" w14:textId="77777777">
      <w:pPr>
        <w:spacing w:line="240" w:lineRule="auto"/>
        <w:ind w:firstLine="720"/>
        <w:rPr>
          <w:rFonts w:ascii="Times New Roman" w:hAnsi="Times New Roman"/>
          <w:sz w:val="24"/>
          <w:szCs w:val="24"/>
        </w:rPr>
      </w:pPr>
      <w:r w:rsidRPr="003E0E4D">
        <w:rPr>
          <w:rFonts w:ascii="Times New Roman" w:hAnsi="Times New Roman"/>
          <w:sz w:val="24"/>
          <w:szCs w:val="24"/>
        </w:rPr>
        <w:t xml:space="preserve">A. 3. EDUCATION AND TRAINING </w:t>
      </w:r>
    </w:p>
    <w:p w:rsidR="000F00B0" w:rsidRPr="003E0E4D" w:rsidP="00ED7E67" w14:paraId="219EC5C7" w14:textId="77777777">
      <w:pPr>
        <w:spacing w:line="240" w:lineRule="auto"/>
        <w:ind w:left="1080"/>
        <w:rPr>
          <w:rFonts w:ascii="Times New Roman" w:hAnsi="Times New Roman"/>
          <w:sz w:val="24"/>
          <w:szCs w:val="24"/>
        </w:rPr>
      </w:pPr>
      <w:r w:rsidRPr="003E0E4D">
        <w:rPr>
          <w:rFonts w:ascii="Times New Roman" w:hAnsi="Times New Roman"/>
          <w:sz w:val="24"/>
          <w:szCs w:val="24"/>
        </w:rPr>
        <w:t xml:space="preserve">1. 3-6 currently asks teachers if they took any graduate or undergraduate courses that taught them specific topics. 3-6e asks if they took a course on how to serve students from diverse economic backgrounds. To further understand the scope of education a teacher received to be culturally responsive to the needs of marginalized students, it’s essential to expand this question set. These additional questions may be phrased as: </w:t>
      </w:r>
    </w:p>
    <w:p w:rsidR="000F00B0" w:rsidRPr="003E0E4D" w:rsidP="00ED7E67" w14:paraId="631624EE" w14:textId="77777777">
      <w:pPr>
        <w:spacing w:line="240" w:lineRule="auto"/>
        <w:ind w:left="1440"/>
        <w:rPr>
          <w:rFonts w:ascii="Times New Roman" w:hAnsi="Times New Roman"/>
          <w:sz w:val="24"/>
          <w:szCs w:val="24"/>
        </w:rPr>
      </w:pPr>
      <w:r w:rsidRPr="003E0E4D">
        <w:rPr>
          <w:rFonts w:ascii="Times New Roman" w:hAnsi="Times New Roman"/>
          <w:sz w:val="24"/>
          <w:szCs w:val="24"/>
        </w:rPr>
        <w:t xml:space="preserve">a) How to serve students from diverse racial backgrounds? </w:t>
      </w:r>
    </w:p>
    <w:p w:rsidR="000F00B0" w:rsidRPr="003E0E4D" w:rsidP="00ED7E67" w14:paraId="63939CCB" w14:textId="77777777">
      <w:pPr>
        <w:spacing w:line="240" w:lineRule="auto"/>
        <w:ind w:left="1440"/>
        <w:rPr>
          <w:rFonts w:ascii="Times New Roman" w:hAnsi="Times New Roman"/>
          <w:sz w:val="24"/>
          <w:szCs w:val="24"/>
        </w:rPr>
      </w:pPr>
      <w:r w:rsidRPr="003E0E4D">
        <w:rPr>
          <w:rFonts w:ascii="Times New Roman" w:hAnsi="Times New Roman"/>
          <w:sz w:val="24"/>
          <w:szCs w:val="24"/>
        </w:rPr>
        <w:t xml:space="preserve">b) How to serve students who hold diverse sexual orientations and gender identities? </w:t>
      </w:r>
    </w:p>
    <w:p w:rsidR="000F00B0" w:rsidRPr="003E0E4D" w:rsidP="00ED7E67" w14:paraId="30F30BE3" w14:textId="77777777">
      <w:pPr>
        <w:spacing w:line="240" w:lineRule="auto"/>
        <w:ind w:left="720"/>
        <w:rPr>
          <w:rFonts w:ascii="Times New Roman" w:hAnsi="Times New Roman"/>
          <w:sz w:val="24"/>
          <w:szCs w:val="24"/>
        </w:rPr>
      </w:pPr>
      <w:r w:rsidRPr="003E0E4D">
        <w:rPr>
          <w:rFonts w:ascii="Times New Roman" w:hAnsi="Times New Roman"/>
          <w:sz w:val="24"/>
          <w:szCs w:val="24"/>
        </w:rPr>
        <w:t xml:space="preserve">B. 6. TEACHER PROFESSIONALDEVELOPMENT </w:t>
      </w:r>
    </w:p>
    <w:p w:rsidR="000F00B0" w:rsidRPr="003E0E4D" w:rsidP="00ED7E67" w14:paraId="771BCBC5" w14:textId="77777777">
      <w:pPr>
        <w:spacing w:line="240" w:lineRule="auto"/>
        <w:ind w:left="1080"/>
        <w:rPr>
          <w:rFonts w:ascii="Times New Roman" w:hAnsi="Times New Roman"/>
          <w:sz w:val="24"/>
          <w:szCs w:val="24"/>
        </w:rPr>
      </w:pPr>
      <w:r w:rsidRPr="003E0E4D">
        <w:rPr>
          <w:rFonts w:ascii="Times New Roman" w:hAnsi="Times New Roman"/>
          <w:sz w:val="24"/>
          <w:szCs w:val="24"/>
        </w:rPr>
        <w:t xml:space="preserve">1. 6-2 currently asks teachers to detail the varying types of professional development they received during the past 12 months. To better understand how educators are trained to respond to suicidality among youth and their cultural competency in working with LGBTQ youth. While these topics may be addressed in 6-7 under future professional development opportunities, the explicit inclusion of the below topics will result in quantifiable data on the provision of professional development opportunities related to suicide prevention and teaching LGBTQ youth. These questions, with the current response opportunities included in the questionnaire, may be phrased as: </w:t>
      </w:r>
    </w:p>
    <w:p w:rsidR="000F00B0" w:rsidRPr="003E0E4D" w:rsidP="00ED7E67" w14:paraId="00652946" w14:textId="77777777">
      <w:pPr>
        <w:spacing w:line="240" w:lineRule="auto"/>
        <w:ind w:left="1440"/>
        <w:rPr>
          <w:rFonts w:ascii="Times New Roman" w:hAnsi="Times New Roman"/>
          <w:sz w:val="24"/>
          <w:szCs w:val="24"/>
        </w:rPr>
      </w:pPr>
      <w:r w:rsidRPr="003E0E4D">
        <w:rPr>
          <w:rFonts w:ascii="Times New Roman" w:hAnsi="Times New Roman"/>
          <w:sz w:val="24"/>
          <w:szCs w:val="24"/>
        </w:rPr>
        <w:t xml:space="preserve">a) Professional development on prevention, intervention, and postvention measures to address suicidality among students </w:t>
      </w:r>
    </w:p>
    <w:p w:rsidR="000F00B0" w:rsidRPr="003E0E4D" w:rsidP="00ED7E67" w14:paraId="43ED1AB3" w14:textId="77777777">
      <w:pPr>
        <w:spacing w:line="240" w:lineRule="auto"/>
        <w:ind w:left="1440"/>
        <w:rPr>
          <w:rFonts w:ascii="Times New Roman" w:hAnsi="Times New Roman"/>
          <w:sz w:val="24"/>
          <w:szCs w:val="24"/>
        </w:rPr>
      </w:pPr>
      <w:r w:rsidRPr="003E0E4D">
        <w:rPr>
          <w:rFonts w:ascii="Times New Roman" w:hAnsi="Times New Roman"/>
          <w:sz w:val="24"/>
          <w:szCs w:val="24"/>
        </w:rPr>
        <w:t xml:space="preserve">b) Professional development on cultural competency to act in allyship with LGBTQ students </w:t>
      </w:r>
    </w:p>
    <w:p w:rsidR="000F00B0" w:rsidRPr="003E0E4D" w:rsidP="00ED7E67" w14:paraId="7A262EAD" w14:textId="77777777">
      <w:pPr>
        <w:spacing w:line="240" w:lineRule="auto"/>
        <w:ind w:left="1440"/>
        <w:rPr>
          <w:rFonts w:ascii="Times New Roman" w:hAnsi="Times New Roman"/>
          <w:sz w:val="24"/>
          <w:szCs w:val="24"/>
        </w:rPr>
      </w:pPr>
      <w:r w:rsidRPr="003E0E4D">
        <w:rPr>
          <w:rFonts w:ascii="Times New Roman" w:hAnsi="Times New Roman"/>
          <w:sz w:val="24"/>
          <w:szCs w:val="24"/>
        </w:rPr>
        <w:t xml:space="preserve">c) Professional development on cultural competency to act in allyship with Black, Indigenous, and other students of color </w:t>
      </w:r>
    </w:p>
    <w:p w:rsidR="000F00B0" w:rsidRPr="003E0E4D" w:rsidP="00ED7E67" w14:paraId="25D98F6C" w14:textId="77777777">
      <w:pPr>
        <w:spacing w:line="240" w:lineRule="auto"/>
        <w:ind w:left="720"/>
        <w:rPr>
          <w:rFonts w:ascii="Times New Roman" w:hAnsi="Times New Roman"/>
          <w:sz w:val="24"/>
          <w:szCs w:val="24"/>
        </w:rPr>
      </w:pPr>
      <w:r w:rsidRPr="003E0E4D">
        <w:rPr>
          <w:rFonts w:ascii="Times New Roman" w:hAnsi="Times New Roman"/>
          <w:sz w:val="24"/>
          <w:szCs w:val="24"/>
        </w:rPr>
        <w:t xml:space="preserve">C. 8. GENERAL EMPLOYMENT AND BACKGROUND INFORMATION </w:t>
      </w:r>
    </w:p>
    <w:p w:rsidR="000F00B0" w:rsidRPr="003E0E4D" w:rsidP="00ED7E67" w14:paraId="265FDD5B" w14:textId="77777777">
      <w:pPr>
        <w:spacing w:line="240" w:lineRule="auto"/>
        <w:ind w:left="1080"/>
        <w:rPr>
          <w:rFonts w:ascii="Times New Roman" w:hAnsi="Times New Roman"/>
          <w:sz w:val="24"/>
          <w:szCs w:val="24"/>
        </w:rPr>
      </w:pPr>
      <w:r w:rsidRPr="003E0E4D">
        <w:rPr>
          <w:rFonts w:ascii="Times New Roman" w:hAnsi="Times New Roman"/>
          <w:sz w:val="24"/>
          <w:szCs w:val="24"/>
        </w:rPr>
        <w:t>1. Similar to the Principal Questionnaire, 8-11, which asks respondents if they’re male or female, fails to capture the diverse identities of teachers nationwide. To collect more accurate data on the identities of LGBTQ teachers, The Trevor Project recommends the inclusion of expansive questions related to sexual orientation and gender identity as included in the 2023-24 National Teacher and Principal Survey (NTPS) Cognitive/Usability Testing Attachment 3: Teacher Questionnaires (Public and Private.)</w:t>
      </w:r>
      <w:r>
        <w:rPr>
          <w:rStyle w:val="FootnoteReference"/>
          <w:rFonts w:ascii="Times New Roman" w:hAnsi="Times New Roman"/>
          <w:sz w:val="24"/>
          <w:szCs w:val="24"/>
        </w:rPr>
        <w:footnoteReference w:id="7"/>
      </w:r>
      <w:r w:rsidRPr="003E0E4D">
        <w:rPr>
          <w:rFonts w:ascii="Times New Roman" w:hAnsi="Times New Roman"/>
          <w:sz w:val="24"/>
          <w:szCs w:val="24"/>
        </w:rPr>
        <w:t xml:space="preserve"> </w:t>
      </w:r>
    </w:p>
    <w:p w:rsidR="000F00B0" w:rsidRPr="003E0E4D" w:rsidP="00ED7E67" w14:paraId="46BBAB99" w14:textId="77777777">
      <w:pPr>
        <w:spacing w:line="240" w:lineRule="auto"/>
        <w:ind w:left="720"/>
        <w:rPr>
          <w:rFonts w:ascii="Times New Roman" w:hAnsi="Times New Roman"/>
          <w:sz w:val="24"/>
          <w:szCs w:val="24"/>
        </w:rPr>
      </w:pPr>
      <w:r w:rsidRPr="003E0E4D">
        <w:rPr>
          <w:rFonts w:ascii="Times New Roman" w:hAnsi="Times New Roman"/>
          <w:sz w:val="24"/>
          <w:szCs w:val="24"/>
        </w:rPr>
        <w:t xml:space="preserve">D. The above recommendations equally apply to the Private School Teacher Questionnaire. </w:t>
      </w:r>
    </w:p>
    <w:p w:rsidR="00293F81" w:rsidRPr="00293F81" w:rsidP="00ED7E67" w14:paraId="5B4ABE99" w14:textId="3B5B2A0C">
      <w:pPr>
        <w:spacing w:line="240" w:lineRule="auto"/>
        <w:rPr>
          <w:rFonts w:ascii="Times New Roman" w:hAnsi="Times New Roman"/>
          <w:sz w:val="24"/>
          <w:szCs w:val="24"/>
        </w:rPr>
      </w:pPr>
      <w:r w:rsidRPr="003E0E4D">
        <w:rPr>
          <w:rFonts w:ascii="Times New Roman" w:hAnsi="Times New Roman"/>
          <w:sz w:val="24"/>
          <w:szCs w:val="24"/>
        </w:rPr>
        <w:t xml:space="preserve">Through submitting this comment, The Trevor Project aims to support the advancement of the National Teacher and Principal Survey of 2023–2024 to be more inclusive and responsive to the needs and realities of LGBTQ </w:t>
      </w:r>
      <w:r w:rsidRPr="003E0E4D">
        <w:rPr>
          <w:rFonts w:ascii="Times New Roman" w:hAnsi="Times New Roman"/>
          <w:sz w:val="24"/>
          <w:szCs w:val="24"/>
        </w:rPr>
        <w:t xml:space="preserve">teachers and students. Through the adoption of the proposed revisions, the National Center for Education Statistics will collect insightful data on the status of LGBTQ inclusive schools and the evidence needed to advance meaningful policy change nationwide. Schools that affirm the unique needs of LGBTQ youth begin with educators and school professionals that are adequately prepared to support their LGBTQ staff and students. LGBTQ youth should be able to thrive in schools that are supportive and affirming of all students. Should you have any questions or if we can be of any assistance regarding this matter, please do not hesitate to contact me at </w:t>
      </w:r>
      <w:hyperlink r:id="rId9" w:history="1">
        <w:r w:rsidRPr="003E0E4D">
          <w:rPr>
            <w:rStyle w:val="Hyperlink"/>
            <w:rFonts w:ascii="Times New Roman" w:hAnsi="Times New Roman"/>
            <w:sz w:val="24"/>
            <w:szCs w:val="24"/>
          </w:rPr>
          <w:t>gabby.doyle@thetrevorproject.org</w:t>
        </w:r>
      </w:hyperlink>
      <w:r w:rsidRPr="003E0E4D">
        <w:rPr>
          <w:rFonts w:ascii="Times New Roman" w:hAnsi="Times New Roman"/>
          <w:sz w:val="24"/>
          <w:szCs w:val="24"/>
        </w:rPr>
        <w:t xml:space="preserve">. </w:t>
      </w:r>
    </w:p>
    <w:p w:rsidR="00293F81" w:rsidRPr="00293F81" w:rsidP="00ED7E67" w14:paraId="5D7EDF1A" w14:textId="1C6BFF92">
      <w:pPr>
        <w:spacing w:after="0" w:line="240" w:lineRule="auto"/>
        <w:rPr>
          <w:rFonts w:ascii="Times New Roman" w:hAnsi="Times New Roman"/>
          <w:sz w:val="24"/>
          <w:szCs w:val="24"/>
        </w:rPr>
      </w:pPr>
      <w:r>
        <w:rPr>
          <w:rFonts w:ascii="Times New Roman" w:hAnsi="Times New Roman"/>
          <w:sz w:val="24"/>
          <w:szCs w:val="24"/>
        </w:rPr>
        <w:t>Gabrielle Doyle</w:t>
      </w:r>
    </w:p>
    <w:p w:rsidR="00293F81" w:rsidP="00ED7E67" w14:paraId="26F2A33D" w14:textId="02C6DED9">
      <w:pPr>
        <w:spacing w:after="0" w:line="240" w:lineRule="auto"/>
        <w:rPr>
          <w:rFonts w:ascii="Times New Roman" w:hAnsi="Times New Roman"/>
          <w:sz w:val="24"/>
          <w:szCs w:val="24"/>
        </w:rPr>
      </w:pPr>
      <w:r>
        <w:rPr>
          <w:rFonts w:ascii="Times New Roman" w:hAnsi="Times New Roman"/>
          <w:sz w:val="24"/>
          <w:szCs w:val="24"/>
        </w:rPr>
        <w:t>Advocacy Campaign Manager</w:t>
      </w:r>
    </w:p>
    <w:p w:rsidR="00AD3370" w:rsidRPr="00293F81" w:rsidP="00ED7E67" w14:paraId="225FD82A" w14:textId="6552A208">
      <w:pPr>
        <w:spacing w:after="0" w:line="240" w:lineRule="auto"/>
        <w:rPr>
          <w:rFonts w:ascii="Times New Roman" w:hAnsi="Times New Roman"/>
          <w:sz w:val="24"/>
          <w:szCs w:val="24"/>
        </w:rPr>
      </w:pPr>
      <w:r>
        <w:rPr>
          <w:rFonts w:ascii="Times New Roman" w:hAnsi="Times New Roman"/>
          <w:sz w:val="24"/>
          <w:szCs w:val="24"/>
        </w:rPr>
        <w:t>The Trevor Project</w:t>
      </w:r>
    </w:p>
    <w:p w:rsidR="00293F81" w:rsidRPr="00293F81" w:rsidP="00AA50AA" w14:paraId="12B5E838" w14:textId="41BF19BA">
      <w:pPr>
        <w:spacing w:after="0" w:line="240" w:lineRule="auto"/>
        <w:rPr>
          <w:rFonts w:ascii="Times New Roman" w:hAnsi="Times New Roman"/>
          <w:sz w:val="24"/>
          <w:szCs w:val="24"/>
        </w:rPr>
      </w:pPr>
    </w:p>
    <w:p w:rsidR="00C35387" w:rsidRPr="004E7AEA" w:rsidP="001F3731" w14:paraId="24B43190" w14:textId="77777777">
      <w:pPr>
        <w:widowControl w:val="0"/>
        <w:spacing w:after="120"/>
        <w:rPr>
          <w:rFonts w:ascii="Times New Roman" w:hAnsi="Times New Roman"/>
          <w:sz w:val="24"/>
          <w:szCs w:val="24"/>
        </w:rPr>
      </w:pPr>
      <w:r w:rsidRPr="004E7AEA">
        <w:rPr>
          <w:rFonts w:ascii="Times New Roman" w:hAnsi="Times New Roman"/>
          <w:sz w:val="24"/>
          <w:szCs w:val="24"/>
        </w:rPr>
        <w:t>----------------------------------------------------------------</w:t>
      </w:r>
    </w:p>
    <w:p w:rsidR="00FF3D16" w:rsidP="00AF5867" w14:paraId="76AF820D" w14:textId="58152A96">
      <w:pPr>
        <w:widowControl w:val="0"/>
        <w:spacing w:after="120"/>
        <w:rPr>
          <w:rFonts w:ascii="Times New Roman" w:hAnsi="Times New Roman"/>
          <w:sz w:val="24"/>
          <w:szCs w:val="24"/>
        </w:rPr>
      </w:pPr>
      <w:r w:rsidRPr="004E7AEA">
        <w:rPr>
          <w:rFonts w:ascii="Times New Roman" w:hAnsi="Times New Roman"/>
          <w:sz w:val="24"/>
          <w:szCs w:val="24"/>
        </w:rPr>
        <w:t xml:space="preserve">Dear </w:t>
      </w:r>
      <w:r w:rsidR="005B11DE">
        <w:rPr>
          <w:rFonts w:ascii="Times New Roman" w:hAnsi="Times New Roman"/>
          <w:sz w:val="24"/>
          <w:szCs w:val="24"/>
        </w:rPr>
        <w:t>Ms. Doyle</w:t>
      </w:r>
      <w:r w:rsidRPr="004E7AEA">
        <w:rPr>
          <w:rFonts w:ascii="Times New Roman" w:hAnsi="Times New Roman"/>
          <w:sz w:val="24"/>
          <w:szCs w:val="24"/>
        </w:rPr>
        <w:t>,</w:t>
      </w:r>
    </w:p>
    <w:p w:rsidR="00461EFD" w:rsidP="006A7BFE" w14:paraId="4C6A9F36" w14:textId="0FD5A1DD">
      <w:pPr>
        <w:widowControl w:val="0"/>
        <w:spacing w:after="0"/>
        <w:rPr>
          <w:rFonts w:ascii="Times New Roman" w:hAnsi="Times New Roman"/>
          <w:sz w:val="24"/>
          <w:szCs w:val="24"/>
        </w:rPr>
      </w:pPr>
      <w:r>
        <w:rPr>
          <w:rFonts w:ascii="Times New Roman" w:hAnsi="Times New Roman"/>
          <w:sz w:val="24"/>
          <w:szCs w:val="24"/>
        </w:rPr>
        <w:t>Regarding principal and teacher demographics</w:t>
      </w:r>
      <w:r w:rsidR="007B27A2">
        <w:rPr>
          <w:rFonts w:ascii="Times New Roman" w:hAnsi="Times New Roman"/>
          <w:sz w:val="24"/>
          <w:szCs w:val="24"/>
        </w:rPr>
        <w:t xml:space="preserve"> and the potential collection of </w:t>
      </w:r>
      <w:r w:rsidR="00BD5BB8">
        <w:rPr>
          <w:rFonts w:ascii="Times New Roman" w:hAnsi="Times New Roman"/>
          <w:sz w:val="24"/>
          <w:szCs w:val="24"/>
        </w:rPr>
        <w:t xml:space="preserve">data on sexual orientation </w:t>
      </w:r>
      <w:r w:rsidR="005E6DF1">
        <w:rPr>
          <w:rFonts w:ascii="Times New Roman" w:hAnsi="Times New Roman"/>
          <w:sz w:val="24"/>
          <w:szCs w:val="24"/>
        </w:rPr>
        <w:t xml:space="preserve">and gender identity </w:t>
      </w:r>
      <w:r w:rsidR="00BD5BB8">
        <w:rPr>
          <w:rFonts w:ascii="Times New Roman" w:hAnsi="Times New Roman"/>
          <w:sz w:val="24"/>
          <w:szCs w:val="24"/>
        </w:rPr>
        <w:t xml:space="preserve">on the NTPS, we will share the results of cognitive and field tests at </w:t>
      </w:r>
      <w:r w:rsidR="009433EC">
        <w:rPr>
          <w:rFonts w:ascii="Times New Roman" w:hAnsi="Times New Roman"/>
          <w:sz w:val="24"/>
          <w:szCs w:val="24"/>
        </w:rPr>
        <w:t xml:space="preserve">the 2022 Federal Committee on Statistical Methodology (FCSM) Research and Policy Conference </w:t>
      </w:r>
      <w:r w:rsidR="00543337">
        <w:rPr>
          <w:rFonts w:ascii="Times New Roman" w:hAnsi="Times New Roman"/>
          <w:sz w:val="24"/>
          <w:szCs w:val="24"/>
        </w:rPr>
        <w:t>on October 25, 2022. Those findings</w:t>
      </w:r>
      <w:r w:rsidR="00247ED7">
        <w:rPr>
          <w:rFonts w:ascii="Times New Roman" w:hAnsi="Times New Roman"/>
          <w:sz w:val="24"/>
          <w:szCs w:val="24"/>
        </w:rPr>
        <w:t xml:space="preserve"> will inform our final questionnaire</w:t>
      </w:r>
      <w:r w:rsidR="00A934A6">
        <w:rPr>
          <w:rFonts w:ascii="Times New Roman" w:hAnsi="Times New Roman"/>
          <w:sz w:val="24"/>
          <w:szCs w:val="24"/>
        </w:rPr>
        <w:t>s</w:t>
      </w:r>
      <w:r w:rsidR="00247ED7">
        <w:rPr>
          <w:rFonts w:ascii="Times New Roman" w:hAnsi="Times New Roman"/>
          <w:sz w:val="24"/>
          <w:szCs w:val="24"/>
        </w:rPr>
        <w:t xml:space="preserve"> for public and private school principals and teachers for the 2023-24 NTPS.</w:t>
      </w:r>
      <w:r w:rsidR="007B27A2">
        <w:rPr>
          <w:rFonts w:ascii="Times New Roman" w:hAnsi="Times New Roman"/>
          <w:sz w:val="24"/>
          <w:szCs w:val="24"/>
        </w:rPr>
        <w:t xml:space="preserve"> </w:t>
      </w:r>
    </w:p>
    <w:p w:rsidR="00AF5867" w:rsidP="006A7BFE" w14:paraId="537D12C2" w14:textId="00457BDD">
      <w:pPr>
        <w:widowControl w:val="0"/>
        <w:spacing w:after="0"/>
        <w:rPr>
          <w:rFonts w:ascii="Times New Roman" w:hAnsi="Times New Roman"/>
          <w:sz w:val="24"/>
          <w:szCs w:val="24"/>
        </w:rPr>
      </w:pPr>
    </w:p>
    <w:p w:rsidR="00AF5867" w:rsidP="006A7BFE" w14:paraId="04AD8988" w14:textId="10042CEB">
      <w:pPr>
        <w:widowControl w:val="0"/>
        <w:spacing w:after="0"/>
        <w:rPr>
          <w:rFonts w:ascii="Times New Roman" w:hAnsi="Times New Roman"/>
          <w:sz w:val="24"/>
          <w:szCs w:val="24"/>
        </w:rPr>
      </w:pPr>
      <w:r>
        <w:rPr>
          <w:rFonts w:ascii="Times New Roman" w:hAnsi="Times New Roman"/>
          <w:sz w:val="24"/>
          <w:szCs w:val="24"/>
        </w:rPr>
        <w:t>We typically conduct cognitive interviews or other qualitative research before revising or creating new survey items, particularly for questions that have been fielded in multiple cycles of NTPS or its predecessor, the Schools and Staffing Survey (SASS)</w:t>
      </w:r>
      <w:r w:rsidR="00921487">
        <w:rPr>
          <w:rFonts w:ascii="Times New Roman" w:hAnsi="Times New Roman"/>
          <w:sz w:val="24"/>
          <w:szCs w:val="24"/>
        </w:rPr>
        <w:t>, such as question 2-1 on the Principal Questionnaire.</w:t>
      </w:r>
      <w:r w:rsidR="005B3EB3">
        <w:rPr>
          <w:rFonts w:ascii="Times New Roman" w:hAnsi="Times New Roman"/>
          <w:sz w:val="24"/>
          <w:szCs w:val="24"/>
        </w:rPr>
        <w:t xml:space="preserve"> </w:t>
      </w:r>
      <w:r w:rsidR="007C3D4E">
        <w:rPr>
          <w:rFonts w:ascii="Times New Roman" w:hAnsi="Times New Roman"/>
          <w:sz w:val="24"/>
          <w:szCs w:val="24"/>
        </w:rPr>
        <w:t>For new items or sub-items</w:t>
      </w:r>
      <w:r w:rsidR="00B02007">
        <w:rPr>
          <w:rFonts w:ascii="Times New Roman" w:hAnsi="Times New Roman"/>
          <w:sz w:val="24"/>
          <w:szCs w:val="24"/>
        </w:rPr>
        <w:t>,</w:t>
      </w:r>
      <w:r w:rsidR="007C3D4E">
        <w:rPr>
          <w:rFonts w:ascii="Times New Roman" w:hAnsi="Times New Roman"/>
          <w:sz w:val="24"/>
          <w:szCs w:val="24"/>
        </w:rPr>
        <w:t xml:space="preserve"> </w:t>
      </w:r>
      <w:r w:rsidR="00F2229D">
        <w:rPr>
          <w:rFonts w:ascii="Times New Roman" w:hAnsi="Times New Roman"/>
          <w:sz w:val="24"/>
          <w:szCs w:val="24"/>
        </w:rPr>
        <w:t xml:space="preserve">we </w:t>
      </w:r>
      <w:r w:rsidR="00B02007">
        <w:rPr>
          <w:rFonts w:ascii="Times New Roman" w:hAnsi="Times New Roman"/>
          <w:sz w:val="24"/>
          <w:szCs w:val="24"/>
        </w:rPr>
        <w:t>consider whether we will increase</w:t>
      </w:r>
      <w:r w:rsidR="00DD5DCB">
        <w:rPr>
          <w:rFonts w:ascii="Times New Roman" w:hAnsi="Times New Roman"/>
          <w:sz w:val="24"/>
          <w:szCs w:val="24"/>
        </w:rPr>
        <w:t xml:space="preserve"> the survey length and respondent burden</w:t>
      </w:r>
      <w:r w:rsidR="00F2229D">
        <w:rPr>
          <w:rFonts w:ascii="Times New Roman" w:hAnsi="Times New Roman"/>
          <w:sz w:val="24"/>
          <w:szCs w:val="24"/>
        </w:rPr>
        <w:t xml:space="preserve">. </w:t>
      </w:r>
      <w:r w:rsidR="007274FE">
        <w:rPr>
          <w:rFonts w:ascii="Times New Roman" w:hAnsi="Times New Roman"/>
          <w:sz w:val="24"/>
          <w:szCs w:val="24"/>
        </w:rPr>
        <w:t xml:space="preserve">We will consider conducting cognitive testing for a future cycle of NTPS for some of the suggested </w:t>
      </w:r>
      <w:r w:rsidR="00CB211F">
        <w:rPr>
          <w:rFonts w:ascii="Times New Roman" w:hAnsi="Times New Roman"/>
          <w:sz w:val="24"/>
          <w:szCs w:val="24"/>
        </w:rPr>
        <w:t xml:space="preserve">Principal and Teacher Questionnaire items, but do not plan to add them for the </w:t>
      </w:r>
      <w:r w:rsidRPr="003E0E4D" w:rsidR="00CB211F">
        <w:rPr>
          <w:rFonts w:ascii="Times New Roman" w:hAnsi="Times New Roman"/>
          <w:sz w:val="24"/>
          <w:szCs w:val="24"/>
        </w:rPr>
        <w:t>2023–2024</w:t>
      </w:r>
      <w:r w:rsidR="00CB211F">
        <w:rPr>
          <w:rFonts w:ascii="Times New Roman" w:hAnsi="Times New Roman"/>
          <w:sz w:val="24"/>
          <w:szCs w:val="24"/>
        </w:rPr>
        <w:t xml:space="preserve"> collection.</w:t>
      </w:r>
    </w:p>
    <w:p w:rsidR="00CB211F" w:rsidP="006A7BFE" w14:paraId="2B6AC5BA" w14:textId="3A3046A0">
      <w:pPr>
        <w:widowControl w:val="0"/>
        <w:spacing w:after="0"/>
        <w:rPr>
          <w:rFonts w:ascii="Times New Roman" w:hAnsi="Times New Roman"/>
          <w:sz w:val="24"/>
          <w:szCs w:val="24"/>
        </w:rPr>
      </w:pPr>
    </w:p>
    <w:p w:rsidR="00CB211F" w:rsidRPr="00461EFD" w:rsidP="006A7BFE" w14:paraId="69124658" w14:textId="37AB3D12">
      <w:pPr>
        <w:widowControl w:val="0"/>
        <w:spacing w:after="0"/>
        <w:rPr>
          <w:rFonts w:ascii="Times New Roman" w:hAnsi="Times New Roman"/>
          <w:sz w:val="24"/>
          <w:szCs w:val="24"/>
        </w:rPr>
      </w:pPr>
      <w:r>
        <w:rPr>
          <w:rFonts w:ascii="Times New Roman" w:hAnsi="Times New Roman"/>
          <w:sz w:val="24"/>
          <w:szCs w:val="24"/>
        </w:rPr>
        <w:t>Please note that several of the suggested items</w:t>
      </w:r>
      <w:r w:rsidR="001078DE">
        <w:rPr>
          <w:rFonts w:ascii="Times New Roman" w:hAnsi="Times New Roman"/>
          <w:sz w:val="24"/>
          <w:szCs w:val="24"/>
        </w:rPr>
        <w:t xml:space="preserve"> on climate and school programs are similar to questions asked in the School Survey on Crime and Safety (SSOCS)</w:t>
      </w:r>
      <w:r w:rsidR="00885E0D">
        <w:rPr>
          <w:rFonts w:ascii="Times New Roman" w:hAnsi="Times New Roman"/>
          <w:sz w:val="24"/>
          <w:szCs w:val="24"/>
        </w:rPr>
        <w:t xml:space="preserve">. SSOCS was most recently collected in the spring of </w:t>
      </w:r>
      <w:r w:rsidR="00E152E9">
        <w:rPr>
          <w:rFonts w:ascii="Times New Roman" w:hAnsi="Times New Roman"/>
          <w:sz w:val="24"/>
          <w:szCs w:val="24"/>
        </w:rPr>
        <w:t>2022, however, no future collections are planned.</w:t>
      </w:r>
    </w:p>
    <w:p w:rsidR="00461EFD" w:rsidP="006A7BFE" w14:paraId="522CC883" w14:textId="0FB34E04">
      <w:pPr>
        <w:widowControl w:val="0"/>
        <w:spacing w:after="0"/>
        <w:rPr>
          <w:rFonts w:ascii="Times New Roman" w:hAnsi="Times New Roman"/>
          <w:sz w:val="24"/>
          <w:szCs w:val="24"/>
          <w:highlight w:val="yellow"/>
        </w:rPr>
      </w:pPr>
    </w:p>
    <w:p w:rsidR="00ED7E67" w:rsidRPr="00ED7E67" w:rsidP="006A7BFE" w14:paraId="6CC4B044" w14:textId="2DE0824B">
      <w:pPr>
        <w:widowControl w:val="0"/>
        <w:spacing w:after="0"/>
        <w:rPr>
          <w:rFonts w:ascii="Times New Roman" w:hAnsi="Times New Roman"/>
          <w:sz w:val="24"/>
          <w:szCs w:val="24"/>
        </w:rPr>
      </w:pPr>
      <w:r w:rsidRPr="00ED7E67">
        <w:rPr>
          <w:rFonts w:ascii="Times New Roman" w:hAnsi="Times New Roman"/>
          <w:sz w:val="24"/>
          <w:szCs w:val="24"/>
        </w:rPr>
        <w:t>Thank you for your comment and your ongoing interest in NTPS and the work at NCES.</w:t>
      </w:r>
    </w:p>
    <w:p w:rsidR="00ED7E67" w:rsidP="006A7BFE" w14:paraId="4B09D047" w14:textId="77777777">
      <w:pPr>
        <w:widowControl w:val="0"/>
        <w:spacing w:after="0"/>
        <w:rPr>
          <w:rFonts w:ascii="Times New Roman" w:hAnsi="Times New Roman"/>
          <w:sz w:val="24"/>
          <w:szCs w:val="24"/>
          <w:highlight w:val="yellow"/>
        </w:rPr>
      </w:pPr>
    </w:p>
    <w:p w:rsidR="00C35387" w:rsidRPr="004E7AEA" w:rsidP="00AA50AA" w14:paraId="1D27D2CC"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Sincerely,</w:t>
      </w:r>
    </w:p>
    <w:p w:rsidR="00C35387" w:rsidRPr="004E7AEA" w:rsidP="00AA50AA" w14:paraId="1BCE8BFE" w14:textId="4BBB3BBE">
      <w:pPr>
        <w:widowControl w:val="0"/>
        <w:spacing w:after="0" w:line="240" w:lineRule="auto"/>
        <w:rPr>
          <w:rFonts w:ascii="Times New Roman" w:hAnsi="Times New Roman"/>
          <w:sz w:val="24"/>
          <w:szCs w:val="24"/>
        </w:rPr>
      </w:pPr>
      <w:r w:rsidRPr="004E7AEA">
        <w:rPr>
          <w:rFonts w:ascii="Times New Roman" w:hAnsi="Times New Roman"/>
          <w:sz w:val="24"/>
          <w:szCs w:val="24"/>
        </w:rPr>
        <w:t>Maura Spiegelman</w:t>
      </w:r>
    </w:p>
    <w:p w:rsidR="00C35387" w:rsidRPr="004E7AEA" w:rsidP="00AA50AA" w14:paraId="5DDD455F" w14:textId="12285A51">
      <w:pPr>
        <w:widowControl w:val="0"/>
        <w:spacing w:after="0" w:line="240" w:lineRule="auto"/>
        <w:rPr>
          <w:rFonts w:ascii="Times New Roman" w:hAnsi="Times New Roman"/>
          <w:sz w:val="24"/>
          <w:szCs w:val="24"/>
        </w:rPr>
      </w:pPr>
      <w:r w:rsidRPr="004E7AEA">
        <w:rPr>
          <w:rFonts w:ascii="Times New Roman" w:hAnsi="Times New Roman"/>
          <w:sz w:val="24"/>
          <w:szCs w:val="24"/>
        </w:rPr>
        <w:t>National Teacher and Principal Survey</w:t>
      </w:r>
    </w:p>
    <w:p w:rsidR="00C35387" w:rsidRPr="004E7AEA" w:rsidP="00AA50AA" w14:paraId="0CBB2CE6"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Cross-Sectional Surveys Branch</w:t>
      </w:r>
    </w:p>
    <w:p w:rsidR="00C35387" w:rsidRPr="004E7AEA" w:rsidP="00AA50AA" w14:paraId="03B62FCD"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National Center for Education Statistics</w:t>
      </w:r>
    </w:p>
    <w:p w:rsidR="00C35387" w:rsidRPr="004E7AEA" w:rsidP="00AA50AA" w14:paraId="7F548072"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U.S. Department of Education</w:t>
      </w:r>
    </w:p>
    <w:p w:rsidR="00D975CA" w:rsidP="00AA50AA" w14:paraId="44B2E6A1" w14:textId="7BE4C8D6">
      <w:pPr>
        <w:widowControl w:val="0"/>
        <w:spacing w:after="0" w:line="240" w:lineRule="auto"/>
        <w:rPr>
          <w:rFonts w:ascii="Times New Roman" w:hAnsi="Times New Roman"/>
          <w:sz w:val="24"/>
          <w:szCs w:val="24"/>
        </w:rPr>
      </w:pPr>
      <w:r w:rsidRPr="004E7AEA">
        <w:rPr>
          <w:rFonts w:ascii="Times New Roman" w:hAnsi="Times New Roman"/>
          <w:sz w:val="24"/>
          <w:szCs w:val="24"/>
        </w:rPr>
        <w:t xml:space="preserve">Office: </w:t>
      </w:r>
      <w:r w:rsidRPr="00984AF3">
        <w:rPr>
          <w:rFonts w:ascii="Times New Roman" w:hAnsi="Times New Roman"/>
          <w:sz w:val="24"/>
          <w:szCs w:val="24"/>
        </w:rPr>
        <w:t>202-245-</w:t>
      </w:r>
      <w:r w:rsidRPr="00984AF3" w:rsidR="00F82BA2">
        <w:rPr>
          <w:rFonts w:ascii="Times New Roman" w:hAnsi="Times New Roman"/>
          <w:sz w:val="24"/>
          <w:szCs w:val="24"/>
        </w:rPr>
        <w:t>6581</w:t>
      </w:r>
    </w:p>
    <w:p w:rsidR="00A13DF8" w:rsidP="00AA50AA" w14:paraId="1C0F6F6A" w14:textId="77777777">
      <w:pPr>
        <w:widowControl w:val="0"/>
        <w:spacing w:after="0" w:line="240" w:lineRule="auto"/>
        <w:rPr>
          <w:rFonts w:ascii="Times New Roman" w:hAnsi="Times New Roman"/>
          <w:sz w:val="24"/>
          <w:szCs w:val="24"/>
        </w:rPr>
      </w:pPr>
    </w:p>
    <w:p w:rsidR="00ED7E67" w14:paraId="431F6267" w14:textId="77777777">
      <w:pPr>
        <w:spacing w:after="160" w:line="259" w:lineRule="auto"/>
        <w:rPr>
          <w:rFonts w:ascii="Times New Roman" w:eastAsia="Times New Roman" w:hAnsi="Times New Roman"/>
          <w:b/>
          <w:bCs/>
          <w:sz w:val="24"/>
          <w:szCs w:val="24"/>
        </w:rPr>
      </w:pPr>
      <w:r>
        <w:rPr>
          <w:rFonts w:ascii="Times New Roman" w:hAnsi="Times New Roman"/>
          <w:sz w:val="24"/>
          <w:szCs w:val="24"/>
        </w:rPr>
        <w:br w:type="page"/>
      </w:r>
    </w:p>
    <w:p w:rsidR="00A13DF8" w:rsidRPr="000F00B0" w:rsidP="000F00B0" w14:paraId="105989A5" w14:textId="1E050F0F">
      <w:pPr>
        <w:pStyle w:val="Heading1"/>
        <w:rPr>
          <w:rFonts w:ascii="Times New Roman" w:hAnsi="Times New Roman"/>
          <w:color w:val="auto"/>
          <w:sz w:val="24"/>
          <w:szCs w:val="24"/>
        </w:rPr>
      </w:pPr>
      <w:r w:rsidRPr="000F00B0">
        <w:rPr>
          <w:rFonts w:ascii="Times New Roman" w:hAnsi="Times New Roman"/>
          <w:color w:val="auto"/>
          <w:sz w:val="24"/>
          <w:szCs w:val="24"/>
        </w:rPr>
        <w:t xml:space="preserve">Document: </w:t>
      </w:r>
      <w:r w:rsidRPr="000F00B0" w:rsidR="00DF04A0">
        <w:rPr>
          <w:rFonts w:ascii="Times New Roman" w:hAnsi="Times New Roman"/>
          <w:b w:val="0"/>
          <w:bCs w:val="0"/>
          <w:color w:val="auto"/>
          <w:sz w:val="24"/>
          <w:szCs w:val="24"/>
        </w:rPr>
        <w:t>ED-2022-SCC-0100-0007</w:t>
      </w:r>
    </w:p>
    <w:p w:rsidR="00A13DF8" w:rsidP="00AA50AA" w14:paraId="56022AA0" w14:textId="24D48EF0">
      <w:pPr>
        <w:pStyle w:val="NoSpacing"/>
        <w:widowControl w:val="0"/>
        <w:spacing w:after="240"/>
        <w:rPr>
          <w:rFonts w:ascii="Times New Roman" w:hAnsi="Times New Roman"/>
          <w:sz w:val="24"/>
          <w:szCs w:val="24"/>
        </w:rPr>
      </w:pPr>
      <w:r w:rsidRPr="004E7AEA">
        <w:rPr>
          <w:rFonts w:ascii="Times New Roman" w:hAnsi="Times New Roman"/>
          <w:b/>
          <w:sz w:val="24"/>
          <w:szCs w:val="24"/>
        </w:rPr>
        <w:t xml:space="preserve">Name: </w:t>
      </w:r>
      <w:r w:rsidR="00DF04A0">
        <w:rPr>
          <w:rFonts w:ascii="Times New Roman" w:hAnsi="Times New Roman"/>
          <w:sz w:val="24"/>
          <w:szCs w:val="24"/>
        </w:rPr>
        <w:t>Danielle R. Gilmore, Ph.D. Candidate, Program Evaluation, Graduate Research Assi</w:t>
      </w:r>
      <w:r w:rsidR="00024968">
        <w:rPr>
          <w:rFonts w:ascii="Times New Roman" w:hAnsi="Times New Roman"/>
          <w:sz w:val="24"/>
          <w:szCs w:val="24"/>
        </w:rPr>
        <w:t>s</w:t>
      </w:r>
      <w:r w:rsidR="00DF04A0">
        <w:rPr>
          <w:rFonts w:ascii="Times New Roman" w:hAnsi="Times New Roman"/>
          <w:sz w:val="24"/>
          <w:szCs w:val="24"/>
        </w:rPr>
        <w:t>tant</w:t>
      </w:r>
    </w:p>
    <w:p w:rsidR="00C92F68" w:rsidP="00C92F68" w14:paraId="742DE9A0" w14:textId="2E79494B">
      <w:pPr>
        <w:widowControl w:val="0"/>
        <w:spacing w:after="0" w:line="240" w:lineRule="auto"/>
        <w:rPr>
          <w:rFonts w:ascii="Times New Roman" w:hAnsi="Times New Roman"/>
          <w:sz w:val="24"/>
          <w:szCs w:val="24"/>
        </w:rPr>
      </w:pPr>
      <w:r w:rsidRPr="00C92F68">
        <w:rPr>
          <w:rFonts w:ascii="Times New Roman" w:hAnsi="Times New Roman"/>
          <w:sz w:val="24"/>
          <w:szCs w:val="24"/>
        </w:rPr>
        <w:t xml:space="preserve">Dear Ms. Valentine, </w:t>
      </w:r>
    </w:p>
    <w:p w:rsidR="00C92F68" w:rsidRPr="00C92F68" w:rsidP="00C92F68" w14:paraId="7DFD95CA" w14:textId="77777777">
      <w:pPr>
        <w:widowControl w:val="0"/>
        <w:spacing w:after="0" w:line="240" w:lineRule="auto"/>
        <w:rPr>
          <w:rFonts w:ascii="Times New Roman" w:hAnsi="Times New Roman"/>
          <w:sz w:val="24"/>
          <w:szCs w:val="24"/>
        </w:rPr>
      </w:pPr>
    </w:p>
    <w:p w:rsidR="00C92F68" w:rsidP="00C92F68" w14:paraId="206896CA" w14:textId="04685488">
      <w:pPr>
        <w:widowControl w:val="0"/>
        <w:spacing w:after="0" w:line="240" w:lineRule="auto"/>
        <w:rPr>
          <w:rFonts w:ascii="Times New Roman" w:hAnsi="Times New Roman"/>
          <w:sz w:val="24"/>
          <w:szCs w:val="24"/>
        </w:rPr>
      </w:pPr>
      <w:r w:rsidRPr="00C92F68">
        <w:rPr>
          <w:rFonts w:ascii="Times New Roman" w:hAnsi="Times New Roman"/>
          <w:sz w:val="24"/>
          <w:szCs w:val="24"/>
        </w:rPr>
        <w:t>I am pleased to respond to the Federal Register notice of August 2, 2022, concerning the Department of Education’s (Department) request for comments on the information collection request (ICR) for the National Teacher and Principal Survey of 2023-2024 (NTPS 2023-24). The Department is especially interested in public comment addressing the following issues: (1) is this collection necessary to the proper functions of the Department; (2) will this information be processed and used in a timely manner; (3) is the estimate of burden accurate; (4) how might the Department enhance the quality, utility, and clarity of the information to be collected; and (5) how might the Department minimize the burden of this collection on the respondents, including through the use of information technology. As a Ph.D. candidate at George Washington University and a graduate research assistant for the George Washington Institute of Public Policy, I focus on utilizing the lived experiences of educators to inform and enhance kindergarten through 12th grade (K12) education. From this perspective, I find that NTPS 2023-24 is highly important to the nation’s education because data inform education policy and research. Given the high importance, I utilize my expertise to critically examine the ICR so that the Department may enhance the quality, utility, and clarity of the information collected.</w:t>
      </w:r>
    </w:p>
    <w:p w:rsidR="00C92F68" w:rsidRPr="00C92F68" w:rsidP="00C92F68" w14:paraId="317F997C" w14:textId="77777777">
      <w:pPr>
        <w:widowControl w:val="0"/>
        <w:spacing w:after="0" w:line="240" w:lineRule="auto"/>
        <w:rPr>
          <w:rFonts w:ascii="Times New Roman" w:hAnsi="Times New Roman"/>
          <w:sz w:val="24"/>
          <w:szCs w:val="24"/>
        </w:rPr>
      </w:pPr>
    </w:p>
    <w:p w:rsidR="00C92F68" w:rsidP="00C92F68" w14:paraId="676D7A01" w14:textId="072FE6BE">
      <w:pPr>
        <w:widowControl w:val="0"/>
        <w:spacing w:after="0" w:line="240" w:lineRule="auto"/>
        <w:rPr>
          <w:rFonts w:ascii="Times New Roman" w:hAnsi="Times New Roman"/>
          <w:sz w:val="24"/>
          <w:szCs w:val="24"/>
        </w:rPr>
      </w:pPr>
      <w:r w:rsidRPr="00C92F68">
        <w:rPr>
          <w:rFonts w:ascii="Times New Roman" w:hAnsi="Times New Roman"/>
          <w:sz w:val="24"/>
          <w:szCs w:val="24"/>
        </w:rPr>
        <w:t xml:space="preserve">NTPS 2023-24 provides nationally representative data of K12 schools, teachers, and principals. Topics covered include characteristics of teachers, principals, schools, teacher training opportunities, retention, retirement, hiring, and shortages. In education, representation is especially important because there is no one-size-fits-all solution. All districts ultimately benefit when good data help legislators and administrators make good decisions. By participating in this survey, participants ensure that information about their district’s schools, principals, and teachers is included in those decisions. Education researchers and policymakers need high-quality representative data to inform future education policies that serve an equally diverse nation. Additionally, the longitudinal components provide vital information about teacher and principal retention and attrition. NTPS is the only national survey that provides this kind of information. The data they provide will better inform and help to shape future education policies. </w:t>
      </w:r>
    </w:p>
    <w:p w:rsidR="00C92F68" w:rsidRPr="00C92F68" w:rsidP="00C92F68" w14:paraId="53B3BF72" w14:textId="77777777">
      <w:pPr>
        <w:widowControl w:val="0"/>
        <w:spacing w:after="0" w:line="240" w:lineRule="auto"/>
        <w:rPr>
          <w:rFonts w:ascii="Times New Roman" w:hAnsi="Times New Roman"/>
          <w:sz w:val="24"/>
          <w:szCs w:val="24"/>
        </w:rPr>
      </w:pPr>
    </w:p>
    <w:p w:rsidR="00C92F68" w:rsidRPr="00C92F68" w:rsidP="00C92F68" w14:paraId="6DEE6229" w14:textId="77777777">
      <w:pPr>
        <w:widowControl w:val="0"/>
        <w:spacing w:after="0" w:line="240" w:lineRule="auto"/>
        <w:rPr>
          <w:rFonts w:ascii="Times New Roman" w:hAnsi="Times New Roman"/>
          <w:sz w:val="24"/>
          <w:szCs w:val="24"/>
        </w:rPr>
      </w:pPr>
      <w:r w:rsidRPr="00C92F68">
        <w:rPr>
          <w:rFonts w:ascii="Times New Roman" w:hAnsi="Times New Roman"/>
          <w:sz w:val="24"/>
          <w:szCs w:val="24"/>
        </w:rPr>
        <w:t xml:space="preserve">I believe it is important that the NTPS 2023-24 utilize high-validity instruments to ensure a more precise measurement of the various topics of interest included in the questionnaires. Consequently, I ask the Department to consider my comments included on the following page as an effort to ensure such validation. I present considerations for the Department to improve data quality. I appreciate the opportunity to comment on the National Teacher and Principal Survey of 2023-2024 (NTPS 2023-24), hope that my suggestion is useful, and look forward to seeing the Department of Education’s survey design decisions. I am available to speak about my suggestions if needed. </w:t>
      </w:r>
    </w:p>
    <w:p w:rsidR="00024968" w:rsidP="00AA50AA" w14:paraId="097C624F" w14:textId="48F9AABE">
      <w:pPr>
        <w:pStyle w:val="NoSpacing"/>
        <w:widowControl w:val="0"/>
        <w:spacing w:after="240"/>
        <w:rPr>
          <w:rFonts w:ascii="Times New Roman" w:hAnsi="Times New Roman"/>
          <w:sz w:val="24"/>
          <w:szCs w:val="24"/>
        </w:rPr>
      </w:pPr>
    </w:p>
    <w:p w:rsidR="0059792B" w:rsidRPr="0059792B" w:rsidP="0059792B" w14:paraId="35C6F7B2" w14:textId="77777777">
      <w:pPr>
        <w:pStyle w:val="NoSpacing"/>
        <w:widowControl w:val="0"/>
        <w:spacing w:after="240"/>
        <w:rPr>
          <w:rFonts w:ascii="Times New Roman" w:hAnsi="Times New Roman"/>
          <w:sz w:val="24"/>
          <w:szCs w:val="24"/>
        </w:rPr>
      </w:pPr>
      <w:r w:rsidRPr="0059792B">
        <w:rPr>
          <w:rFonts w:ascii="Times New Roman" w:hAnsi="Times New Roman"/>
          <w:sz w:val="24"/>
          <w:szCs w:val="24"/>
        </w:rPr>
        <w:t xml:space="preserve">Sincerely, </w:t>
      </w:r>
    </w:p>
    <w:p w:rsidR="0059792B" w:rsidRPr="0059792B" w:rsidP="0059792B" w14:paraId="2D193D3C" w14:textId="77777777">
      <w:pPr>
        <w:pStyle w:val="NoSpacing"/>
        <w:widowControl w:val="0"/>
        <w:rPr>
          <w:rFonts w:ascii="Times New Roman" w:hAnsi="Times New Roman"/>
          <w:sz w:val="24"/>
          <w:szCs w:val="24"/>
        </w:rPr>
      </w:pPr>
      <w:r w:rsidRPr="0059792B">
        <w:rPr>
          <w:rFonts w:ascii="Times New Roman" w:hAnsi="Times New Roman"/>
          <w:sz w:val="24"/>
          <w:szCs w:val="24"/>
        </w:rPr>
        <w:t xml:space="preserve">Danielle R. Gilmore </w:t>
      </w:r>
    </w:p>
    <w:p w:rsidR="0059792B" w:rsidRPr="0059792B" w:rsidP="0059792B" w14:paraId="3C4EEAE8" w14:textId="77777777">
      <w:pPr>
        <w:pStyle w:val="NoSpacing"/>
        <w:widowControl w:val="0"/>
        <w:rPr>
          <w:rFonts w:ascii="Times New Roman" w:hAnsi="Times New Roman"/>
          <w:sz w:val="24"/>
          <w:szCs w:val="24"/>
        </w:rPr>
      </w:pPr>
      <w:r w:rsidRPr="0059792B">
        <w:rPr>
          <w:rFonts w:ascii="Times New Roman" w:hAnsi="Times New Roman"/>
          <w:sz w:val="24"/>
          <w:szCs w:val="24"/>
        </w:rPr>
        <w:t xml:space="preserve">Ph.D. Candidate, Program Evaluation </w:t>
      </w:r>
    </w:p>
    <w:p w:rsidR="0059792B" w:rsidRPr="0059792B" w:rsidP="0059792B" w14:paraId="3A96A464" w14:textId="77777777">
      <w:pPr>
        <w:pStyle w:val="NoSpacing"/>
        <w:widowControl w:val="0"/>
        <w:rPr>
          <w:rFonts w:ascii="Times New Roman" w:hAnsi="Times New Roman"/>
          <w:sz w:val="24"/>
          <w:szCs w:val="24"/>
        </w:rPr>
      </w:pPr>
      <w:r w:rsidRPr="0059792B">
        <w:rPr>
          <w:rFonts w:ascii="Times New Roman" w:hAnsi="Times New Roman"/>
          <w:sz w:val="24"/>
          <w:szCs w:val="24"/>
        </w:rPr>
        <w:t xml:space="preserve">Graduate Research Assistant </w:t>
      </w:r>
    </w:p>
    <w:p w:rsidR="0059792B" w:rsidP="0059792B" w14:paraId="144272EA" w14:textId="77777777">
      <w:pPr>
        <w:pStyle w:val="NoSpacing"/>
        <w:widowControl w:val="0"/>
        <w:rPr>
          <w:rFonts w:ascii="Times New Roman" w:hAnsi="Times New Roman"/>
          <w:sz w:val="24"/>
          <w:szCs w:val="24"/>
        </w:rPr>
      </w:pPr>
    </w:p>
    <w:p w:rsidR="0059792B" w:rsidP="0059792B" w14:paraId="1803AFEB" w14:textId="77777777">
      <w:pPr>
        <w:pStyle w:val="NoSpacing"/>
        <w:widowControl w:val="0"/>
        <w:rPr>
          <w:rFonts w:ascii="Times New Roman" w:hAnsi="Times New Roman"/>
          <w:sz w:val="24"/>
          <w:szCs w:val="24"/>
        </w:rPr>
      </w:pPr>
    </w:p>
    <w:p w:rsidR="0059792B" w:rsidP="0059792B" w14:paraId="3E710819" w14:textId="77777777">
      <w:pPr>
        <w:pStyle w:val="NoSpacing"/>
        <w:widowControl w:val="0"/>
        <w:rPr>
          <w:rFonts w:ascii="Times New Roman" w:hAnsi="Times New Roman"/>
          <w:sz w:val="24"/>
          <w:szCs w:val="24"/>
        </w:rPr>
      </w:pPr>
    </w:p>
    <w:p w:rsidR="0059792B" w:rsidRPr="007843B4" w:rsidP="0059792B" w14:paraId="2D181517" w14:textId="60808B68">
      <w:pPr>
        <w:pStyle w:val="NoSpacing"/>
        <w:widowControl w:val="0"/>
        <w:rPr>
          <w:rFonts w:ascii="Times New Roman" w:hAnsi="Times New Roman"/>
          <w:b/>
          <w:bCs/>
          <w:sz w:val="24"/>
          <w:szCs w:val="24"/>
          <w:u w:val="single"/>
        </w:rPr>
      </w:pPr>
      <w:r w:rsidRPr="007843B4">
        <w:rPr>
          <w:rFonts w:ascii="Times New Roman" w:hAnsi="Times New Roman"/>
          <w:b/>
          <w:bCs/>
          <w:sz w:val="24"/>
          <w:szCs w:val="24"/>
          <w:u w:val="single"/>
        </w:rPr>
        <w:t>2023-24 NTPS Survey Commentary</w:t>
      </w:r>
    </w:p>
    <w:p w:rsidR="00024968" w:rsidP="00AA50AA" w14:paraId="7E768D41" w14:textId="2515F9F7">
      <w:pPr>
        <w:pStyle w:val="NoSpacing"/>
        <w:widowControl w:val="0"/>
        <w:spacing w:after="240"/>
        <w:rPr>
          <w:rFonts w:ascii="Times New Roman" w:hAnsi="Times New Roman"/>
          <w:sz w:val="24"/>
          <w:szCs w:val="24"/>
        </w:rPr>
      </w:pPr>
    </w:p>
    <w:p w:rsidR="00045723" w:rsidRPr="00045723" w:rsidP="00045723" w14:paraId="40AB92E6" w14:textId="77777777">
      <w:pPr>
        <w:pStyle w:val="ListParagraph"/>
        <w:numPr>
          <w:ilvl w:val="0"/>
          <w:numId w:val="9"/>
        </w:numPr>
        <w:spacing w:after="160" w:line="259" w:lineRule="auto"/>
        <w:rPr>
          <w:rFonts w:ascii="Times New Roman" w:hAnsi="Times New Roman"/>
          <w:sz w:val="24"/>
          <w:szCs w:val="24"/>
        </w:rPr>
      </w:pPr>
      <w:r w:rsidRPr="00045723">
        <w:rPr>
          <w:rFonts w:ascii="Times New Roman" w:hAnsi="Times New Roman"/>
          <w:sz w:val="24"/>
          <w:szCs w:val="24"/>
        </w:rPr>
        <w:t xml:space="preserve">To ensure high response rates and data quality, it is important to assess participants’ feasibility, especially for NTPS. In a school, teachers often have the least amount of free time during the day to </w:t>
      </w:r>
      <w:r w:rsidRPr="00045723">
        <w:rPr>
          <w:rFonts w:ascii="Times New Roman" w:hAnsi="Times New Roman"/>
          <w:sz w:val="24"/>
          <w:szCs w:val="24"/>
        </w:rPr>
        <w:t xml:space="preserve">teach classes, develop lesson plans, and grade papers. Yet, the estimated average response time for teachers (80-100 minutes) is significantly longer than that for the school (13 minutes) or principal (25-30 minutes) questionnaires. Please consider reducing the number of questions to limit the teacher burden. It is important to ask: how will we use the data and are there other places to get it (e.g., administrative records, staff evaluations)? </w:t>
      </w:r>
    </w:p>
    <w:p w:rsidR="00045723" w:rsidRPr="00045723" w:rsidP="00045723" w14:paraId="112F545B" w14:textId="77777777">
      <w:pPr>
        <w:pStyle w:val="ListParagraph"/>
        <w:numPr>
          <w:ilvl w:val="0"/>
          <w:numId w:val="9"/>
        </w:numPr>
        <w:spacing w:after="160" w:line="259" w:lineRule="auto"/>
        <w:rPr>
          <w:rFonts w:ascii="Times New Roman" w:hAnsi="Times New Roman"/>
          <w:sz w:val="24"/>
          <w:szCs w:val="24"/>
        </w:rPr>
      </w:pPr>
      <w:r w:rsidRPr="00045723">
        <w:rPr>
          <w:rFonts w:ascii="Times New Roman" w:hAnsi="Times New Roman"/>
          <w:sz w:val="24"/>
          <w:szCs w:val="24"/>
        </w:rPr>
        <w:t xml:space="preserve">The NTPS communication documents are not written to the appropriate reading level. All publicfacing materials should be at an eighth-grade reading level. Please consider using the standardized Flesch Kincaid Grade Level Readability Test to determine documents’ reading levels. </w:t>
      </w:r>
    </w:p>
    <w:p w:rsidR="00045723" w:rsidRPr="00045723" w:rsidP="00045723" w14:paraId="5FC3CF85" w14:textId="77777777">
      <w:pPr>
        <w:pStyle w:val="ListParagraph"/>
        <w:numPr>
          <w:ilvl w:val="0"/>
          <w:numId w:val="9"/>
        </w:numPr>
        <w:spacing w:after="160" w:line="259" w:lineRule="auto"/>
        <w:rPr>
          <w:rFonts w:ascii="Times New Roman" w:hAnsi="Times New Roman"/>
          <w:sz w:val="24"/>
          <w:szCs w:val="24"/>
        </w:rPr>
      </w:pPr>
      <w:r w:rsidRPr="00045723">
        <w:rPr>
          <w:rFonts w:ascii="Times New Roman" w:hAnsi="Times New Roman"/>
          <w:sz w:val="24"/>
          <w:szCs w:val="24"/>
        </w:rPr>
        <w:t xml:space="preserve">NTPS mentioned it tested the use of incentives to increase response among teachers. According to NTPS, the incentives significantly increased response rates for both public and private teachers and reduced the average number of days to complete the questionnaire. NTPS has indicated they plan to offer teachers an incentive for 2020-21. However, the benefits of participation do not include incentive information. Please consider including incentive information. Currently, there is a section on “Why participate in NTPS?” however this is focused on the benefits to society that occur because of participation. There is no discussion of the benefits to the survey participants. </w:t>
      </w:r>
    </w:p>
    <w:p w:rsidR="00045723" w:rsidRPr="00045723" w:rsidP="00045723" w14:paraId="75FCFE73" w14:textId="77777777">
      <w:pPr>
        <w:pStyle w:val="ListParagraph"/>
        <w:numPr>
          <w:ilvl w:val="0"/>
          <w:numId w:val="9"/>
        </w:numPr>
        <w:spacing w:after="160" w:line="259" w:lineRule="auto"/>
        <w:rPr>
          <w:rFonts w:ascii="Times New Roman" w:hAnsi="Times New Roman"/>
          <w:sz w:val="24"/>
          <w:szCs w:val="24"/>
        </w:rPr>
      </w:pPr>
      <w:r w:rsidRPr="00045723">
        <w:rPr>
          <w:rFonts w:ascii="Times New Roman" w:hAnsi="Times New Roman"/>
          <w:sz w:val="24"/>
          <w:szCs w:val="24"/>
        </w:rPr>
        <w:t xml:space="preserve">The NTPS questionnaires include “basic descriptive information on the respondent.” Individual information currently includes gender, age, and race/ethnicity. Such data allows for better understanding among subsets of the population, especially from historically underrepresented groups. However, disability status, bilingual status, and sexual orientation are not included. These are important identities to include to learn ways to better teach students with disabilities, students who are English Language Learners (ELL), and LGBTQ+ students. Additionally, gender demographic information is binary and only includes males and females. Please consider adding non-binary and other to enhance representation for those who do not identify as male or female. Demographic information on race does not include individuals of Middle Eastern or North African or (MENA) descent. Please consider including the option to allow for a better understanding of MENA educators and students. </w:t>
      </w:r>
    </w:p>
    <w:p w:rsidR="00045723" w:rsidRPr="00045723" w:rsidP="00045723" w14:paraId="05BA7984" w14:textId="77777777">
      <w:pPr>
        <w:pStyle w:val="ListParagraph"/>
        <w:numPr>
          <w:ilvl w:val="0"/>
          <w:numId w:val="9"/>
        </w:numPr>
        <w:spacing w:after="160" w:line="259" w:lineRule="auto"/>
        <w:rPr>
          <w:rFonts w:ascii="Times New Roman" w:hAnsi="Times New Roman"/>
          <w:sz w:val="24"/>
          <w:szCs w:val="24"/>
        </w:rPr>
      </w:pPr>
      <w:r w:rsidRPr="00045723">
        <w:rPr>
          <w:rFonts w:ascii="Times New Roman" w:hAnsi="Times New Roman"/>
          <w:sz w:val="24"/>
          <w:szCs w:val="24"/>
        </w:rPr>
        <w:t xml:space="preserve">The NTPS school questionnaire includes a measure for “average daily attendance.” Studies have shown that average daily attendance rates can mask chronic absenteeism within schools (Attendance Works, 2016; Attendance Works &amp; Everyone Graduates Center, 2017; Bai et al., 2018; Balfanz et al., 2016; Buckingham et al., 2013; Chang &amp; Works, 2013). Daily attendance rates do not provide the full picture of attendance because schools can have 90% daily occupancy and still have a quarter of students chronically absent since different students miss on different days. </w:t>
      </w:r>
    </w:p>
    <w:p w:rsidR="00045723" w:rsidRPr="00045723" w:rsidP="00045723" w14:paraId="5DD47A9E" w14:textId="77777777">
      <w:pPr>
        <w:pStyle w:val="ListParagraph"/>
        <w:numPr>
          <w:ilvl w:val="0"/>
          <w:numId w:val="9"/>
        </w:numPr>
        <w:spacing w:after="160" w:line="259" w:lineRule="auto"/>
        <w:rPr>
          <w:rFonts w:ascii="Times New Roman" w:hAnsi="Times New Roman"/>
          <w:sz w:val="24"/>
          <w:szCs w:val="24"/>
        </w:rPr>
      </w:pPr>
      <w:r w:rsidRPr="00045723">
        <w:rPr>
          <w:rFonts w:ascii="Times New Roman" w:hAnsi="Times New Roman"/>
          <w:sz w:val="24"/>
          <w:szCs w:val="24"/>
        </w:rPr>
        <w:t xml:space="preserve">The Teacher Listing Form (TLF) collected by the NTPS requests information on “subject taught (in eight categories: special education, general elementary, math, science, English/language arts, social studies, vocational/technical, and other).” Please consider including English as a Second Language (ESL). The United States continues to diversify, and the number of ELL students is likely to grow as a result (Voight et al., 2015). Measuring such data increases the understanding of how to better retain teachers and more effectively teach students. </w:t>
      </w:r>
    </w:p>
    <w:p w:rsidR="00045723" w:rsidRPr="00045723" w:rsidP="00045723" w14:paraId="3B70EC0C" w14:textId="77777777">
      <w:pPr>
        <w:pStyle w:val="ListParagraph"/>
        <w:numPr>
          <w:ilvl w:val="0"/>
          <w:numId w:val="9"/>
        </w:numPr>
        <w:spacing w:after="160" w:line="259" w:lineRule="auto"/>
        <w:rPr>
          <w:rFonts w:ascii="Times New Roman" w:hAnsi="Times New Roman"/>
          <w:sz w:val="24"/>
          <w:szCs w:val="24"/>
        </w:rPr>
      </w:pPr>
      <w:r w:rsidRPr="00045723">
        <w:rPr>
          <w:rFonts w:ascii="Times New Roman" w:hAnsi="Times New Roman"/>
          <w:sz w:val="24"/>
          <w:szCs w:val="24"/>
        </w:rPr>
        <w:t xml:space="preserve">Please consider adding definitions for time-based questions. For example, the Principal Questionnaire has individuals report on decisions for teacher professional development. The options include: Not at all, Somewhat, and a lot. These categories are vague and highly subjected which can affect data validity. Example definitions include: not at all (never), somewhat (1-49%), and a lot (more than 50%). In another example, participants are asked to report how frequently they engaged in specific activities over a 12-month period. The options include: never or rarely, sometimes, often, and very often. Example definitions include: never or rarely (0-1 month), sometimes (2-4 months), often (5-7 months), and very often (8+ months). </w:t>
      </w:r>
    </w:p>
    <w:p w:rsidR="00045723" w:rsidRPr="00045723" w:rsidP="00045723" w14:paraId="365DF953" w14:textId="77777777">
      <w:pPr>
        <w:rPr>
          <w:rFonts w:ascii="Times New Roman" w:hAnsi="Times New Roman"/>
          <w:sz w:val="24"/>
          <w:szCs w:val="24"/>
        </w:rPr>
      </w:pPr>
      <w:r w:rsidRPr="00045723">
        <w:rPr>
          <w:rFonts w:ascii="Times New Roman" w:hAnsi="Times New Roman"/>
          <w:sz w:val="24"/>
          <w:szCs w:val="24"/>
        </w:rPr>
        <w:t xml:space="preserve">References: </w:t>
      </w:r>
    </w:p>
    <w:p w:rsidR="00045723" w:rsidRPr="00045723" w:rsidP="00045723" w14:paraId="4E32C4AF" w14:textId="77777777">
      <w:pPr>
        <w:rPr>
          <w:rFonts w:ascii="Times New Roman" w:hAnsi="Times New Roman"/>
          <w:sz w:val="24"/>
          <w:szCs w:val="24"/>
        </w:rPr>
      </w:pPr>
      <w:r w:rsidRPr="00045723">
        <w:rPr>
          <w:rFonts w:ascii="Times New Roman" w:hAnsi="Times New Roman"/>
          <w:sz w:val="24"/>
          <w:szCs w:val="24"/>
        </w:rPr>
        <w:t xml:space="preserve">1. Attendance Works. (2016). What's the difference between chronic absence and truancy? In. </w:t>
      </w:r>
    </w:p>
    <w:p w:rsidR="00045723" w:rsidRPr="00045723" w:rsidP="00045723" w14:paraId="0CB05E1F" w14:textId="77777777">
      <w:pPr>
        <w:rPr>
          <w:rFonts w:ascii="Times New Roman" w:hAnsi="Times New Roman"/>
          <w:sz w:val="24"/>
          <w:szCs w:val="24"/>
        </w:rPr>
      </w:pPr>
      <w:r w:rsidRPr="00045723">
        <w:rPr>
          <w:rFonts w:ascii="Times New Roman" w:hAnsi="Times New Roman"/>
          <w:sz w:val="24"/>
          <w:szCs w:val="24"/>
        </w:rPr>
        <w:t xml:space="preserve">2. Attendance Works, &amp; Everyone Graduates Center. (2017). Portraits of change: Aligning school and community resources to reduce chronic absence. https://www.attendanceworks.org/wpcontent/uploads/2017/09/Attendance-Works-Portraits-of-Change-Main-Document-Final-Sept.- 1.pdf </w:t>
      </w:r>
    </w:p>
    <w:p w:rsidR="00045723" w:rsidRPr="00045723" w:rsidP="00045723" w14:paraId="651777FE" w14:textId="77777777">
      <w:pPr>
        <w:rPr>
          <w:rFonts w:ascii="Times New Roman" w:hAnsi="Times New Roman"/>
          <w:sz w:val="24"/>
          <w:szCs w:val="24"/>
        </w:rPr>
      </w:pPr>
      <w:r w:rsidRPr="00045723">
        <w:rPr>
          <w:rFonts w:ascii="Times New Roman" w:hAnsi="Times New Roman"/>
          <w:sz w:val="24"/>
          <w:szCs w:val="24"/>
        </w:rPr>
        <w:t xml:space="preserve">3. Bai, X., Ola, A., &amp; Akkaladevi, S. (2018). Examination of the Relationship Between Class Attendance and Student Performance. Issues in Information Systems, 19(3). </w:t>
      </w:r>
    </w:p>
    <w:p w:rsidR="00045723" w:rsidRPr="00045723" w:rsidP="00045723" w14:paraId="506335F8" w14:textId="77777777">
      <w:pPr>
        <w:rPr>
          <w:rFonts w:ascii="Times New Roman" w:hAnsi="Times New Roman"/>
          <w:sz w:val="24"/>
          <w:szCs w:val="24"/>
        </w:rPr>
      </w:pPr>
      <w:r w:rsidRPr="00045723">
        <w:rPr>
          <w:rFonts w:ascii="Times New Roman" w:hAnsi="Times New Roman"/>
          <w:sz w:val="24"/>
          <w:szCs w:val="24"/>
        </w:rPr>
        <w:t xml:space="preserve">4. Balfanz, R., Chang, H., &amp; Byrnes, V. (2016). Preventing missed opportunity: Taking collective action to confront chronic absence. </w:t>
      </w:r>
      <w:hyperlink r:id="rId10" w:history="1">
        <w:r w:rsidRPr="00045723">
          <w:rPr>
            <w:rStyle w:val="Hyperlink"/>
            <w:rFonts w:ascii="Times New Roman" w:hAnsi="Times New Roman"/>
            <w:sz w:val="24"/>
            <w:szCs w:val="24"/>
          </w:rPr>
          <w:t>https://attendanceworks.org/wpcontent/uploads/2017/09/PreventingMissedOpportunityFull_FINAL9.8.16_2.pdf</w:t>
        </w:r>
      </w:hyperlink>
      <w:r w:rsidRPr="00045723">
        <w:rPr>
          <w:rFonts w:ascii="Times New Roman" w:hAnsi="Times New Roman"/>
          <w:sz w:val="24"/>
          <w:szCs w:val="24"/>
        </w:rPr>
        <w:t xml:space="preserve"> </w:t>
      </w:r>
    </w:p>
    <w:p w:rsidR="00045723" w:rsidRPr="00045723" w:rsidP="00045723" w14:paraId="091A5E1D" w14:textId="77777777">
      <w:pPr>
        <w:rPr>
          <w:rFonts w:ascii="Times New Roman" w:hAnsi="Times New Roman"/>
          <w:sz w:val="24"/>
          <w:szCs w:val="24"/>
        </w:rPr>
      </w:pPr>
      <w:r w:rsidRPr="00045723">
        <w:rPr>
          <w:rFonts w:ascii="Times New Roman" w:hAnsi="Times New Roman"/>
          <w:sz w:val="24"/>
          <w:szCs w:val="24"/>
        </w:rPr>
        <w:t xml:space="preserve">5. Buckingham, J., Wheldall, K., &amp; Beaman-Wheldall, R. (2013). Why poor children are more likely to become poor readers: The school years. Australian Journal of Education, 57(3), 190-213. </w:t>
      </w:r>
    </w:p>
    <w:p w:rsidR="00045723" w:rsidRPr="00045723" w:rsidP="00045723" w14:paraId="53992B0B" w14:textId="77777777">
      <w:pPr>
        <w:rPr>
          <w:rFonts w:ascii="Times New Roman" w:hAnsi="Times New Roman"/>
          <w:sz w:val="24"/>
          <w:szCs w:val="24"/>
        </w:rPr>
      </w:pPr>
      <w:r w:rsidRPr="00045723">
        <w:rPr>
          <w:rFonts w:ascii="Times New Roman" w:hAnsi="Times New Roman"/>
          <w:sz w:val="24"/>
          <w:szCs w:val="24"/>
        </w:rPr>
        <w:t xml:space="preserve">6. Chang, H., &amp; Works, A. (2013). Reducing chronic absence: What will it take. San Francisco: The. </w:t>
      </w:r>
    </w:p>
    <w:p w:rsidR="00045723" w:rsidRPr="00045723" w:rsidP="00045723" w14:paraId="36151ACA" w14:textId="77777777">
      <w:pPr>
        <w:rPr>
          <w:rFonts w:ascii="Times New Roman" w:hAnsi="Times New Roman"/>
          <w:sz w:val="24"/>
          <w:szCs w:val="24"/>
        </w:rPr>
      </w:pPr>
      <w:r w:rsidRPr="00045723">
        <w:rPr>
          <w:rFonts w:ascii="Times New Roman" w:hAnsi="Times New Roman"/>
          <w:sz w:val="24"/>
          <w:szCs w:val="24"/>
        </w:rPr>
        <w:t>7. Voight, A., Hanson, T., O’Malley, M., &amp; Adekanye, L. (2015). The racial school climate gap: Within-school disparities in students’ experiences of safety, support, and connectedness. American journal of community psychology, 56(3-4), 252-267.</w:t>
      </w:r>
    </w:p>
    <w:p w:rsidR="000A6BDA" w:rsidRPr="004E7AEA" w:rsidP="000A6BDA" w14:paraId="33F1AC0A" w14:textId="79B59E06">
      <w:pPr>
        <w:widowControl w:val="0"/>
        <w:spacing w:after="120"/>
        <w:rPr>
          <w:rFonts w:ascii="Times New Roman" w:hAnsi="Times New Roman"/>
          <w:sz w:val="24"/>
          <w:szCs w:val="24"/>
        </w:rPr>
      </w:pPr>
      <w:r w:rsidRPr="004E7AEA">
        <w:rPr>
          <w:rFonts w:ascii="Times New Roman" w:hAnsi="Times New Roman"/>
          <w:sz w:val="24"/>
          <w:szCs w:val="24"/>
        </w:rPr>
        <w:t>----------------------------------------------------------------</w:t>
      </w:r>
    </w:p>
    <w:p w:rsidR="000A6BDA" w:rsidRPr="004E7AEA" w:rsidP="006A7BFE" w14:paraId="5961B8FF" w14:textId="64D96400">
      <w:pPr>
        <w:widowControl w:val="0"/>
        <w:spacing w:after="120"/>
        <w:rPr>
          <w:rFonts w:ascii="Times New Roman" w:hAnsi="Times New Roman"/>
          <w:sz w:val="24"/>
          <w:szCs w:val="24"/>
        </w:rPr>
      </w:pPr>
      <w:r w:rsidRPr="004E7AEA">
        <w:rPr>
          <w:rFonts w:ascii="Times New Roman" w:hAnsi="Times New Roman"/>
          <w:sz w:val="24"/>
          <w:szCs w:val="24"/>
        </w:rPr>
        <w:t xml:space="preserve">Dear </w:t>
      </w:r>
      <w:r>
        <w:rPr>
          <w:rFonts w:ascii="Times New Roman" w:hAnsi="Times New Roman"/>
          <w:sz w:val="24"/>
          <w:szCs w:val="24"/>
        </w:rPr>
        <w:t xml:space="preserve">Ms. </w:t>
      </w:r>
      <w:r w:rsidR="005B11DE">
        <w:rPr>
          <w:rFonts w:ascii="Times New Roman" w:hAnsi="Times New Roman"/>
          <w:sz w:val="24"/>
          <w:szCs w:val="24"/>
        </w:rPr>
        <w:t>Gilmore</w:t>
      </w:r>
      <w:r w:rsidRPr="004E7AEA">
        <w:rPr>
          <w:rFonts w:ascii="Times New Roman" w:hAnsi="Times New Roman"/>
          <w:sz w:val="24"/>
          <w:szCs w:val="24"/>
        </w:rPr>
        <w:t>,</w:t>
      </w:r>
    </w:p>
    <w:p w:rsidR="000A6BDA" w:rsidP="00ED7E67" w14:paraId="30014F6D" w14:textId="38C55C13">
      <w:pPr>
        <w:widowControl w:val="0"/>
        <w:spacing w:after="0" w:line="240" w:lineRule="auto"/>
        <w:rPr>
          <w:rFonts w:ascii="Times New Roman" w:hAnsi="Times New Roman"/>
          <w:sz w:val="24"/>
          <w:szCs w:val="24"/>
        </w:rPr>
      </w:pPr>
    </w:p>
    <w:p w:rsidR="00E152E9" w:rsidRPr="002E0160" w:rsidP="00ED7E67" w14:paraId="62196683" w14:textId="4777071F">
      <w:pPr>
        <w:spacing w:after="160" w:line="259" w:lineRule="auto"/>
        <w:rPr>
          <w:rFonts w:ascii="Times New Roman" w:hAnsi="Times New Roman"/>
          <w:sz w:val="24"/>
          <w:szCs w:val="24"/>
        </w:rPr>
      </w:pPr>
      <w:r>
        <w:rPr>
          <w:rFonts w:ascii="Times New Roman" w:hAnsi="Times New Roman"/>
          <w:sz w:val="24"/>
          <w:szCs w:val="24"/>
        </w:rPr>
        <w:t>Data from other sources such as the Civil Rights Data Collection (CRDC)</w:t>
      </w:r>
      <w:r w:rsidR="002E0160">
        <w:rPr>
          <w:rFonts w:ascii="Times New Roman" w:hAnsi="Times New Roman"/>
          <w:sz w:val="24"/>
          <w:szCs w:val="24"/>
        </w:rPr>
        <w:t>, ED</w:t>
      </w:r>
      <w:r w:rsidR="002E0160">
        <w:rPr>
          <w:rFonts w:ascii="Times New Roman" w:hAnsi="Times New Roman"/>
          <w:i/>
          <w:iCs/>
          <w:sz w:val="24"/>
          <w:szCs w:val="24"/>
        </w:rPr>
        <w:t>Facts</w:t>
      </w:r>
      <w:r w:rsidR="002E0160">
        <w:rPr>
          <w:rFonts w:ascii="Times New Roman" w:hAnsi="Times New Roman"/>
          <w:sz w:val="24"/>
          <w:szCs w:val="24"/>
        </w:rPr>
        <w:t xml:space="preserve">, and the Common Core of Data (CCD) </w:t>
      </w:r>
      <w:r w:rsidR="00086422">
        <w:rPr>
          <w:rFonts w:ascii="Times New Roman" w:hAnsi="Times New Roman"/>
          <w:sz w:val="24"/>
          <w:szCs w:val="24"/>
        </w:rPr>
        <w:t>have replaced survey questions on the NTPS, where possible, to reduce burden on responding schools. Those collections provide information about schools and districts, not individual teachers</w:t>
      </w:r>
      <w:r w:rsidR="00D858D6">
        <w:rPr>
          <w:rFonts w:ascii="Times New Roman" w:hAnsi="Times New Roman"/>
          <w:sz w:val="24"/>
          <w:szCs w:val="24"/>
        </w:rPr>
        <w:t xml:space="preserve">; there is no </w:t>
      </w:r>
      <w:r w:rsidR="00A73272">
        <w:rPr>
          <w:rFonts w:ascii="Times New Roman" w:hAnsi="Times New Roman"/>
          <w:sz w:val="24"/>
          <w:szCs w:val="24"/>
        </w:rPr>
        <w:t>comparable census of teacher</w:t>
      </w:r>
      <w:r w:rsidR="00874731">
        <w:rPr>
          <w:rFonts w:ascii="Times New Roman" w:hAnsi="Times New Roman"/>
          <w:sz w:val="24"/>
          <w:szCs w:val="24"/>
        </w:rPr>
        <w:t>s than can replace survey items</w:t>
      </w:r>
      <w:r w:rsidR="00696C07">
        <w:rPr>
          <w:rFonts w:ascii="Times New Roman" w:hAnsi="Times New Roman"/>
          <w:sz w:val="24"/>
          <w:szCs w:val="24"/>
        </w:rPr>
        <w:t xml:space="preserve">, </w:t>
      </w:r>
      <w:r w:rsidR="00D027AF">
        <w:rPr>
          <w:rFonts w:ascii="Times New Roman" w:hAnsi="Times New Roman"/>
          <w:sz w:val="24"/>
          <w:szCs w:val="24"/>
        </w:rPr>
        <w:t>particularly for questions about their individual experiences and perceptions</w:t>
      </w:r>
      <w:r w:rsidR="00874731">
        <w:rPr>
          <w:rFonts w:ascii="Times New Roman" w:hAnsi="Times New Roman"/>
          <w:sz w:val="24"/>
          <w:szCs w:val="24"/>
        </w:rPr>
        <w:t xml:space="preserve">. While states or districts may conduct their own surveys, </w:t>
      </w:r>
      <w:r w:rsidR="00201F5E">
        <w:rPr>
          <w:rFonts w:ascii="Times New Roman" w:hAnsi="Times New Roman"/>
          <w:sz w:val="24"/>
          <w:szCs w:val="24"/>
        </w:rPr>
        <w:t xml:space="preserve">those collections differ by jurisdiction. The NTPS uses standardized questions so that the same instrument is administered to teachers throughout the country. </w:t>
      </w:r>
    </w:p>
    <w:p w:rsidR="002A3555" w:rsidP="00ED7E67" w14:paraId="5133533F" w14:textId="037EA801">
      <w:pPr>
        <w:spacing w:after="160" w:line="259" w:lineRule="auto"/>
        <w:rPr>
          <w:rFonts w:ascii="Times New Roman" w:hAnsi="Times New Roman"/>
          <w:sz w:val="24"/>
          <w:szCs w:val="24"/>
        </w:rPr>
      </w:pPr>
      <w:r>
        <w:rPr>
          <w:rFonts w:ascii="Times New Roman" w:hAnsi="Times New Roman"/>
          <w:sz w:val="24"/>
          <w:szCs w:val="24"/>
        </w:rPr>
        <w:t xml:space="preserve">Letters and other communication materials have been tested </w:t>
      </w:r>
      <w:r>
        <w:rPr>
          <w:rFonts w:ascii="Times New Roman" w:hAnsi="Times New Roman"/>
          <w:sz w:val="24"/>
          <w:szCs w:val="24"/>
        </w:rPr>
        <w:t>with school staff, and we believe these materials are appropriate for this study.</w:t>
      </w:r>
    </w:p>
    <w:p w:rsidR="00D86687" w:rsidP="00ED7E67" w14:paraId="730C5B6D" w14:textId="77777777">
      <w:pPr>
        <w:spacing w:after="160" w:line="259" w:lineRule="auto"/>
        <w:rPr>
          <w:rFonts w:ascii="Times New Roman" w:hAnsi="Times New Roman"/>
          <w:sz w:val="24"/>
          <w:szCs w:val="24"/>
        </w:rPr>
      </w:pPr>
      <w:r>
        <w:rPr>
          <w:rFonts w:ascii="Times New Roman" w:hAnsi="Times New Roman"/>
          <w:sz w:val="24"/>
          <w:szCs w:val="24"/>
        </w:rPr>
        <w:t xml:space="preserve">Please note that the NTPS brochure may be given to </w:t>
      </w:r>
      <w:r w:rsidR="00FD54ED">
        <w:rPr>
          <w:rFonts w:ascii="Times New Roman" w:hAnsi="Times New Roman"/>
          <w:sz w:val="24"/>
          <w:szCs w:val="24"/>
        </w:rPr>
        <w:t xml:space="preserve">school </w:t>
      </w:r>
      <w:r w:rsidR="00BD23FB">
        <w:rPr>
          <w:rFonts w:ascii="Times New Roman" w:hAnsi="Times New Roman"/>
          <w:sz w:val="24"/>
          <w:szCs w:val="24"/>
        </w:rPr>
        <w:t xml:space="preserve">districts, </w:t>
      </w:r>
      <w:r w:rsidR="00E51671">
        <w:rPr>
          <w:rFonts w:ascii="Times New Roman" w:hAnsi="Times New Roman"/>
          <w:sz w:val="24"/>
          <w:szCs w:val="24"/>
        </w:rPr>
        <w:t>principals</w:t>
      </w:r>
      <w:r w:rsidR="00BD23FB">
        <w:rPr>
          <w:rFonts w:ascii="Times New Roman" w:hAnsi="Times New Roman"/>
          <w:sz w:val="24"/>
          <w:szCs w:val="24"/>
        </w:rPr>
        <w:t xml:space="preserve">, or other school staff, and it </w:t>
      </w:r>
      <w:r w:rsidR="0088129B">
        <w:rPr>
          <w:rFonts w:ascii="Times New Roman" w:hAnsi="Times New Roman"/>
          <w:sz w:val="24"/>
          <w:szCs w:val="24"/>
        </w:rPr>
        <w:t>is not solely available to sampled teachers</w:t>
      </w:r>
      <w:r w:rsidR="00BD23FB">
        <w:rPr>
          <w:rFonts w:ascii="Times New Roman" w:hAnsi="Times New Roman"/>
          <w:sz w:val="24"/>
          <w:szCs w:val="24"/>
        </w:rPr>
        <w:t>, so we do not explicitly state that teachers may be eligible to receive a cash incentive.</w:t>
      </w:r>
    </w:p>
    <w:p w:rsidR="00D86687" w:rsidP="00ED7E67" w14:paraId="3BBE3FAA" w14:textId="27A80720">
      <w:pPr>
        <w:spacing w:after="160" w:line="259" w:lineRule="auto"/>
        <w:rPr>
          <w:rFonts w:ascii="Times New Roman" w:hAnsi="Times New Roman"/>
          <w:sz w:val="24"/>
          <w:szCs w:val="24"/>
        </w:rPr>
      </w:pPr>
      <w:r>
        <w:rPr>
          <w:rFonts w:ascii="Times New Roman" w:hAnsi="Times New Roman"/>
          <w:sz w:val="24"/>
          <w:szCs w:val="24"/>
        </w:rPr>
        <w:t xml:space="preserve">Regarding principal and teacher demographics and the potential collection of data on sexual orientation </w:t>
      </w:r>
      <w:r w:rsidR="005E6DF1">
        <w:rPr>
          <w:rFonts w:ascii="Times New Roman" w:hAnsi="Times New Roman"/>
          <w:sz w:val="24"/>
          <w:szCs w:val="24"/>
        </w:rPr>
        <w:t xml:space="preserve">and gender identity </w:t>
      </w:r>
      <w:r>
        <w:rPr>
          <w:rFonts w:ascii="Times New Roman" w:hAnsi="Times New Roman"/>
          <w:sz w:val="24"/>
          <w:szCs w:val="24"/>
        </w:rPr>
        <w:t>on the NTPS, we will share the results of cognitive and field tests at the 2022 Federal Committee on Statistical Methodology (FCSM) Research and Policy Conference on October 25, 2022. Those findings will inform our final questionnaire</w:t>
      </w:r>
      <w:r w:rsidR="00D71354">
        <w:rPr>
          <w:rFonts w:ascii="Times New Roman" w:hAnsi="Times New Roman"/>
          <w:sz w:val="24"/>
          <w:szCs w:val="24"/>
        </w:rPr>
        <w:t>s</w:t>
      </w:r>
      <w:r>
        <w:rPr>
          <w:rFonts w:ascii="Times New Roman" w:hAnsi="Times New Roman"/>
          <w:sz w:val="24"/>
          <w:szCs w:val="24"/>
        </w:rPr>
        <w:t xml:space="preserve"> for public and private school principals and teachers for the 2023-24 NTPS. </w:t>
      </w:r>
    </w:p>
    <w:p w:rsidR="00D86687" w:rsidRPr="00461EFD" w:rsidP="00ED7E67" w14:paraId="27318B5C" w14:textId="7D1E5517">
      <w:pPr>
        <w:spacing w:after="160" w:line="259" w:lineRule="auto"/>
        <w:rPr>
          <w:rFonts w:ascii="Times New Roman" w:hAnsi="Times New Roman"/>
          <w:sz w:val="24"/>
          <w:szCs w:val="24"/>
        </w:rPr>
      </w:pPr>
      <w:r>
        <w:rPr>
          <w:rFonts w:ascii="Times New Roman" w:hAnsi="Times New Roman"/>
          <w:sz w:val="24"/>
          <w:szCs w:val="24"/>
        </w:rPr>
        <w:t xml:space="preserve">While we do not plan to revise the collection of data on principal or teacher race or ethnicity for the 2023-24 NTPS, we </w:t>
      </w:r>
      <w:r w:rsidR="00605E2A">
        <w:rPr>
          <w:rFonts w:ascii="Times New Roman" w:hAnsi="Times New Roman"/>
          <w:sz w:val="24"/>
          <w:szCs w:val="24"/>
        </w:rPr>
        <w:t xml:space="preserve">are following </w:t>
      </w:r>
      <w:r w:rsidR="00ED7E67">
        <w:rPr>
          <w:rFonts w:ascii="Times New Roman" w:hAnsi="Times New Roman"/>
          <w:sz w:val="24"/>
          <w:szCs w:val="24"/>
        </w:rPr>
        <w:t xml:space="preserve">the ongoing work surrounding the revision of OMB’s Statistical Policy Directive No. 15. </w:t>
      </w:r>
    </w:p>
    <w:p w:rsidR="000826F3" w:rsidP="00ED7E67" w14:paraId="7ACACCF7" w14:textId="587625A4">
      <w:pPr>
        <w:spacing w:after="160" w:line="259" w:lineRule="auto"/>
        <w:rPr>
          <w:rFonts w:ascii="Times New Roman" w:hAnsi="Times New Roman"/>
          <w:sz w:val="24"/>
          <w:szCs w:val="24"/>
        </w:rPr>
      </w:pPr>
      <w:r>
        <w:rPr>
          <w:rFonts w:ascii="Times New Roman" w:hAnsi="Times New Roman"/>
          <w:sz w:val="24"/>
          <w:szCs w:val="24"/>
        </w:rPr>
        <w:t>Please note that the TLF is used to create the teacher sampling frame, and teachers sampled for the NTPS Teacher Questionnaire are asked</w:t>
      </w:r>
      <w:r w:rsidR="00703791">
        <w:rPr>
          <w:rFonts w:ascii="Times New Roman" w:hAnsi="Times New Roman"/>
          <w:sz w:val="24"/>
          <w:szCs w:val="24"/>
        </w:rPr>
        <w:t xml:space="preserve"> more detailed questions about their main teaching assignment and other subjects they teach.</w:t>
      </w:r>
    </w:p>
    <w:p w:rsidR="00BF1EE6" w:rsidP="00ED7E67" w14:paraId="76F7C71F" w14:textId="3FBB2979">
      <w:pPr>
        <w:spacing w:after="160" w:line="259" w:lineRule="auto"/>
        <w:rPr>
          <w:rFonts w:ascii="Times New Roman" w:hAnsi="Times New Roman"/>
          <w:sz w:val="24"/>
          <w:szCs w:val="24"/>
        </w:rPr>
      </w:pPr>
      <w:r>
        <w:rPr>
          <w:rFonts w:ascii="Times New Roman" w:hAnsi="Times New Roman"/>
          <w:sz w:val="24"/>
          <w:szCs w:val="24"/>
        </w:rPr>
        <w:t>No changes are planned to questions on average daily attendance</w:t>
      </w:r>
      <w:r w:rsidR="00D214E8">
        <w:rPr>
          <w:rFonts w:ascii="Times New Roman" w:hAnsi="Times New Roman"/>
          <w:sz w:val="24"/>
          <w:szCs w:val="24"/>
        </w:rPr>
        <w:t>, since this is a valuable summary metric.</w:t>
      </w:r>
      <w:r w:rsidR="00976687">
        <w:rPr>
          <w:rFonts w:ascii="Times New Roman" w:hAnsi="Times New Roman"/>
          <w:sz w:val="24"/>
          <w:szCs w:val="24"/>
        </w:rPr>
        <w:t xml:space="preserve"> For questions for which we are not trying to measure the exact number of occurrences of an event, </w:t>
      </w:r>
      <w:r w:rsidR="006D41FE">
        <w:rPr>
          <w:rFonts w:ascii="Times New Roman" w:hAnsi="Times New Roman"/>
          <w:sz w:val="24"/>
          <w:szCs w:val="24"/>
        </w:rPr>
        <w:t>may be difficult to convert into discrete incidents</w:t>
      </w:r>
      <w:r w:rsidR="00310679">
        <w:rPr>
          <w:rFonts w:ascii="Times New Roman" w:hAnsi="Times New Roman"/>
          <w:sz w:val="24"/>
          <w:szCs w:val="24"/>
        </w:rPr>
        <w:t>,</w:t>
      </w:r>
      <w:r w:rsidR="006D41FE">
        <w:rPr>
          <w:rFonts w:ascii="Times New Roman" w:hAnsi="Times New Roman"/>
          <w:sz w:val="24"/>
          <w:szCs w:val="24"/>
        </w:rPr>
        <w:t xml:space="preserve"> or we are interested in perceived frequency, </w:t>
      </w:r>
      <w:r w:rsidR="00D5190B">
        <w:rPr>
          <w:rFonts w:ascii="Times New Roman" w:hAnsi="Times New Roman"/>
          <w:sz w:val="24"/>
          <w:szCs w:val="24"/>
        </w:rPr>
        <w:t>we deliberately use descriptors such as “sometimes” without further defining this for respondents.</w:t>
      </w:r>
      <w:r w:rsidR="00787306">
        <w:rPr>
          <w:rFonts w:ascii="Times New Roman" w:hAnsi="Times New Roman"/>
          <w:sz w:val="24"/>
          <w:szCs w:val="24"/>
        </w:rPr>
        <w:t xml:space="preserve"> During cognitive testing, </w:t>
      </w:r>
      <w:r w:rsidR="00C941A1">
        <w:rPr>
          <w:rFonts w:ascii="Times New Roman" w:hAnsi="Times New Roman"/>
          <w:sz w:val="24"/>
          <w:szCs w:val="24"/>
        </w:rPr>
        <w:t xml:space="preserve">we probe respondents on any difficulty they may have answering these </w:t>
      </w:r>
      <w:r w:rsidR="00B476ED">
        <w:rPr>
          <w:rFonts w:ascii="Times New Roman" w:hAnsi="Times New Roman"/>
          <w:sz w:val="24"/>
          <w:szCs w:val="24"/>
        </w:rPr>
        <w:t>items or understanding terminology.</w:t>
      </w:r>
      <w:r w:rsidR="00D5190B">
        <w:rPr>
          <w:rFonts w:ascii="Times New Roman" w:hAnsi="Times New Roman"/>
          <w:sz w:val="24"/>
          <w:szCs w:val="24"/>
        </w:rPr>
        <w:t xml:space="preserve"> </w:t>
      </w:r>
    </w:p>
    <w:p w:rsidR="00ED7E67" w:rsidRPr="00ED7E67" w:rsidP="00ED7E67" w14:paraId="3CBD29B0" w14:textId="77777777">
      <w:pPr>
        <w:widowControl w:val="0"/>
        <w:spacing w:after="0"/>
        <w:rPr>
          <w:rFonts w:ascii="Times New Roman" w:hAnsi="Times New Roman"/>
          <w:sz w:val="24"/>
          <w:szCs w:val="24"/>
        </w:rPr>
      </w:pPr>
      <w:r w:rsidRPr="00ED7E67">
        <w:rPr>
          <w:rFonts w:ascii="Times New Roman" w:hAnsi="Times New Roman"/>
          <w:sz w:val="24"/>
          <w:szCs w:val="24"/>
        </w:rPr>
        <w:t>Thank you for your comment and your ongoing interest in NTPS and the work at NCES.</w:t>
      </w:r>
    </w:p>
    <w:p w:rsidR="000A6BDA" w:rsidRPr="004E7AEA" w:rsidP="000A6BDA" w14:paraId="3D50E1EA" w14:textId="77777777">
      <w:pPr>
        <w:widowControl w:val="0"/>
        <w:spacing w:after="0" w:line="240" w:lineRule="auto"/>
        <w:rPr>
          <w:rFonts w:ascii="Times New Roman" w:hAnsi="Times New Roman"/>
          <w:sz w:val="24"/>
          <w:szCs w:val="24"/>
        </w:rPr>
      </w:pPr>
    </w:p>
    <w:p w:rsidR="000A6BDA" w:rsidRPr="004E7AEA" w:rsidP="000A6BDA" w14:paraId="62F79543"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Sincerely,</w:t>
      </w:r>
    </w:p>
    <w:p w:rsidR="000A6BDA" w:rsidRPr="004E7AEA" w:rsidP="000A6BDA" w14:paraId="4F262193"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Maura Spiegelman</w:t>
      </w:r>
    </w:p>
    <w:p w:rsidR="000A6BDA" w:rsidRPr="004E7AEA" w:rsidP="000A6BDA" w14:paraId="04E2F65F"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National Teacher and Principal Survey</w:t>
      </w:r>
    </w:p>
    <w:p w:rsidR="000A6BDA" w:rsidRPr="004E7AEA" w:rsidP="000A6BDA" w14:paraId="1212588E"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Cross-Sectional Surveys Branch</w:t>
      </w:r>
    </w:p>
    <w:p w:rsidR="000A6BDA" w:rsidRPr="004E7AEA" w:rsidP="000A6BDA" w14:paraId="64DC0258"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National Center for Education Statistics</w:t>
      </w:r>
    </w:p>
    <w:p w:rsidR="000A6BDA" w:rsidRPr="004E7AEA" w:rsidP="000A6BDA" w14:paraId="6752E41A"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U.S. Department of Education</w:t>
      </w:r>
    </w:p>
    <w:p w:rsidR="000A6BDA" w:rsidP="000A6BDA" w14:paraId="72059621"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 xml:space="preserve">Office: </w:t>
      </w:r>
      <w:r w:rsidRPr="00984AF3">
        <w:rPr>
          <w:rFonts w:ascii="Times New Roman" w:hAnsi="Times New Roman"/>
          <w:sz w:val="24"/>
          <w:szCs w:val="24"/>
        </w:rPr>
        <w:t>202-245-6581</w:t>
      </w:r>
    </w:p>
    <w:p w:rsidR="00293F81" w:rsidRPr="00293F81" w:rsidP="00A13DF8" w14:paraId="5AA36D02" w14:textId="77777777">
      <w:pPr>
        <w:widowControl w:val="0"/>
        <w:spacing w:after="120"/>
        <w:rPr>
          <w:rFonts w:ascii="Times New Roman" w:hAnsi="Times New Roman"/>
          <w:sz w:val="24"/>
          <w:szCs w:val="24"/>
        </w:rPr>
      </w:pPr>
    </w:p>
    <w:sectPr w:rsidSect="001F3731">
      <w:footerReference w:type="default" r:id="rId11"/>
      <w:pgSz w:w="12240" w:h="15840" w:code="1"/>
      <w:pgMar w:top="720" w:right="720" w:bottom="720"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5963201"/>
      <w:docPartObj>
        <w:docPartGallery w:val="Page Numbers (Bottom of Page)"/>
        <w:docPartUnique/>
      </w:docPartObj>
    </w:sdtPr>
    <w:sdtEndPr>
      <w:rPr>
        <w:noProof/>
      </w:rPr>
    </w:sdtEndPr>
    <w:sdtContent>
      <w:p w:rsidR="001F3731" w:rsidP="001F3731" w14:paraId="7546B969" w14:textId="29C8EFA6">
        <w:pPr>
          <w:pStyle w:val="Footer"/>
          <w:jc w:val="center"/>
        </w:pPr>
        <w:r>
          <w:fldChar w:fldCharType="begin"/>
        </w:r>
        <w:r>
          <w:instrText xml:space="preserve"> PAGE   \* MERGEFORMAT </w:instrText>
        </w:r>
        <w:r>
          <w:fldChar w:fldCharType="separate"/>
        </w:r>
        <w:r w:rsidR="00AA50AA">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26BA" w:rsidP="001F3731" w14:paraId="5D4A63F9" w14:textId="77777777">
      <w:pPr>
        <w:spacing w:after="0" w:line="240" w:lineRule="auto"/>
      </w:pPr>
      <w:r>
        <w:separator/>
      </w:r>
    </w:p>
  </w:footnote>
  <w:footnote w:type="continuationSeparator" w:id="1">
    <w:p w:rsidR="00A226BA" w:rsidP="001F3731" w14:paraId="78A43467" w14:textId="77777777">
      <w:pPr>
        <w:spacing w:after="0" w:line="240" w:lineRule="auto"/>
      </w:pPr>
      <w:r>
        <w:continuationSeparator/>
      </w:r>
    </w:p>
  </w:footnote>
  <w:footnote w:id="2">
    <w:p w:rsidR="000F00B0" w:rsidP="000F00B0" w14:paraId="4963D1EC" w14:textId="77777777">
      <w:pPr>
        <w:pStyle w:val="FootnoteText"/>
      </w:pPr>
      <w:r>
        <w:rPr>
          <w:rStyle w:val="FootnoteReference"/>
        </w:rPr>
        <w:footnoteRef/>
      </w:r>
      <w:r>
        <w:t xml:space="preserve"> https://www.thetrevorproject.org/survey-2022/</w:t>
      </w:r>
    </w:p>
  </w:footnote>
  <w:footnote w:id="3">
    <w:p w:rsidR="000F00B0" w:rsidP="000F00B0" w14:paraId="15791F08" w14:textId="77777777">
      <w:pPr>
        <w:pStyle w:val="FootnoteText"/>
      </w:pPr>
      <w:r>
        <w:rPr>
          <w:rStyle w:val="FootnoteReference"/>
        </w:rPr>
        <w:footnoteRef/>
      </w:r>
      <w:r>
        <w:t xml:space="preserve"> https://www.regulations.gov/document/ED-2022-SCC-0100-0003</w:t>
      </w:r>
    </w:p>
  </w:footnote>
  <w:footnote w:id="4">
    <w:p w:rsidR="000F00B0" w:rsidP="000F00B0" w14:paraId="62A836A4" w14:textId="77777777">
      <w:pPr>
        <w:pStyle w:val="FootnoteText"/>
      </w:pPr>
      <w:r>
        <w:rPr>
          <w:rStyle w:val="FootnoteReference"/>
        </w:rPr>
        <w:footnoteRef/>
      </w:r>
      <w:r>
        <w:t xml:space="preserve"> </w:t>
      </w:r>
      <w:hyperlink r:id="rId1" w:history="1">
        <w:r w:rsidRPr="00B62BD2">
          <w:rPr>
            <w:rStyle w:val="Hyperlink"/>
          </w:rPr>
          <w:t>https://www.reginfo.gov/public/do/DownloadDocument?objectID=119633901</w:t>
        </w:r>
      </w:hyperlink>
    </w:p>
  </w:footnote>
  <w:footnote w:id="5">
    <w:p w:rsidR="000F00B0" w:rsidP="000F00B0" w14:paraId="6A452F61" w14:textId="77777777">
      <w:pPr>
        <w:pStyle w:val="FootnoteText"/>
      </w:pPr>
      <w:r>
        <w:rPr>
          <w:rStyle w:val="FootnoteReference"/>
        </w:rPr>
        <w:footnoteRef/>
      </w:r>
      <w:r>
        <w:t xml:space="preserve"> https://gsanetwork.org/what-is-a-gsa/</w:t>
      </w:r>
    </w:p>
  </w:footnote>
  <w:footnote w:id="6">
    <w:p w:rsidR="000F00B0" w:rsidP="000F00B0" w14:paraId="7B379B77" w14:textId="77777777">
      <w:pPr>
        <w:pStyle w:val="FootnoteText"/>
      </w:pPr>
      <w:r>
        <w:rPr>
          <w:rStyle w:val="FootnoteReference"/>
        </w:rPr>
        <w:footnoteRef/>
      </w:r>
      <w:r>
        <w:t xml:space="preserve"> https://www.glsen.org/sites/default/files/2021-04/NSCS19-FullReport-032421-Web_0.pdf</w:t>
      </w:r>
    </w:p>
  </w:footnote>
  <w:footnote w:id="7">
    <w:p w:rsidR="000F00B0" w:rsidRPr="003E0E4D" w:rsidP="000F00B0" w14:paraId="1F540E68" w14:textId="77777777">
      <w:pPr>
        <w:pStyle w:val="FootnoteText"/>
        <w:rPr>
          <w:rFonts w:cs="Calibri"/>
        </w:rPr>
      </w:pPr>
      <w:r w:rsidRPr="003E0E4D">
        <w:rPr>
          <w:rStyle w:val="FootnoteReference"/>
          <w:rFonts w:cs="Calibri"/>
        </w:rPr>
        <w:footnoteRef/>
      </w:r>
      <w:r w:rsidRPr="003E0E4D">
        <w:rPr>
          <w:rFonts w:cs="Calibri"/>
        </w:rPr>
        <w:t xml:space="preserve"> https://www.reginfo.gov/public/do/DownloadDocument?objectID=119633901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F7568"/>
    <w:multiLevelType w:val="hybridMultilevel"/>
    <w:tmpl w:val="D410E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16C7C"/>
    <w:multiLevelType w:val="hybridMultilevel"/>
    <w:tmpl w:val="53066DAC"/>
    <w:lvl w:ilvl="0">
      <w:start w:val="1"/>
      <w:numFmt w:val="decimal"/>
      <w:lvlText w:val="%1."/>
      <w:lvlJc w:val="left"/>
      <w:pPr>
        <w:ind w:left="0" w:hanging="360"/>
      </w:pPr>
      <w:rPr>
        <w:rFonts w:ascii="Times New Roman" w:eastAsia="Calibri" w:hAnsi="Times New Roman" w:cs="Times New Roman"/>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
    <w:nsid w:val="14CD2D16"/>
    <w:multiLevelType w:val="hybridMultilevel"/>
    <w:tmpl w:val="A6906E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C6C100E"/>
    <w:multiLevelType w:val="hybridMultilevel"/>
    <w:tmpl w:val="2B420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912FCB"/>
    <w:multiLevelType w:val="hybridMultilevel"/>
    <w:tmpl w:val="879016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5219C7"/>
    <w:multiLevelType w:val="hybridMultilevel"/>
    <w:tmpl w:val="D0A4B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935745"/>
    <w:multiLevelType w:val="hybridMultilevel"/>
    <w:tmpl w:val="4C0A99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2D1883"/>
    <w:multiLevelType w:val="hybridMultilevel"/>
    <w:tmpl w:val="22A8F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135C79"/>
    <w:multiLevelType w:val="hybridMultilevel"/>
    <w:tmpl w:val="A78AF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5162961">
    <w:abstractNumId w:val="5"/>
  </w:num>
  <w:num w:numId="2" w16cid:durableId="1135296322">
    <w:abstractNumId w:val="1"/>
  </w:num>
  <w:num w:numId="3" w16cid:durableId="1959946835">
    <w:abstractNumId w:val="6"/>
  </w:num>
  <w:num w:numId="4" w16cid:durableId="919220846">
    <w:abstractNumId w:val="7"/>
  </w:num>
  <w:num w:numId="5" w16cid:durableId="562251746">
    <w:abstractNumId w:val="4"/>
  </w:num>
  <w:num w:numId="6" w16cid:durableId="872887787">
    <w:abstractNumId w:val="8"/>
  </w:num>
  <w:num w:numId="7" w16cid:durableId="1034034851">
    <w:abstractNumId w:val="2"/>
  </w:num>
  <w:num w:numId="8" w16cid:durableId="1515460973">
    <w:abstractNumId w:val="0"/>
  </w:num>
  <w:num w:numId="9" w16cid:durableId="17163508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piegelman, Maura">
    <w15:presenceInfo w15:providerId="AD" w15:userId="S::Maura.Spiegelman@ed.gov::64a596f0-a0e3-4cc2-b8b2-927fb7961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87"/>
    <w:rsid w:val="00005618"/>
    <w:rsid w:val="00011774"/>
    <w:rsid w:val="000120C9"/>
    <w:rsid w:val="00024968"/>
    <w:rsid w:val="00045723"/>
    <w:rsid w:val="00053616"/>
    <w:rsid w:val="000826F3"/>
    <w:rsid w:val="000844F7"/>
    <w:rsid w:val="00086422"/>
    <w:rsid w:val="0009707F"/>
    <w:rsid w:val="000A6BDA"/>
    <w:rsid w:val="000B16C8"/>
    <w:rsid w:val="000D6933"/>
    <w:rsid w:val="000E5FBF"/>
    <w:rsid w:val="000E7D5D"/>
    <w:rsid w:val="000F00B0"/>
    <w:rsid w:val="000F3C60"/>
    <w:rsid w:val="000F69A0"/>
    <w:rsid w:val="00104B5C"/>
    <w:rsid w:val="001078DE"/>
    <w:rsid w:val="00107CC8"/>
    <w:rsid w:val="0012054A"/>
    <w:rsid w:val="00123475"/>
    <w:rsid w:val="00134E40"/>
    <w:rsid w:val="00135797"/>
    <w:rsid w:val="00136FEE"/>
    <w:rsid w:val="001557D0"/>
    <w:rsid w:val="00160965"/>
    <w:rsid w:val="001631E0"/>
    <w:rsid w:val="001653AD"/>
    <w:rsid w:val="001722B1"/>
    <w:rsid w:val="00180878"/>
    <w:rsid w:val="00192F85"/>
    <w:rsid w:val="00193886"/>
    <w:rsid w:val="001938C4"/>
    <w:rsid w:val="00196148"/>
    <w:rsid w:val="001C18E9"/>
    <w:rsid w:val="001C3489"/>
    <w:rsid w:val="001E3281"/>
    <w:rsid w:val="001E4955"/>
    <w:rsid w:val="001E6220"/>
    <w:rsid w:val="001F3731"/>
    <w:rsid w:val="002004B1"/>
    <w:rsid w:val="00201F5E"/>
    <w:rsid w:val="00236B74"/>
    <w:rsid w:val="002438FF"/>
    <w:rsid w:val="00246404"/>
    <w:rsid w:val="00247ED7"/>
    <w:rsid w:val="00264A3A"/>
    <w:rsid w:val="00264E87"/>
    <w:rsid w:val="00266A0D"/>
    <w:rsid w:val="002773A6"/>
    <w:rsid w:val="0028306C"/>
    <w:rsid w:val="00285C70"/>
    <w:rsid w:val="002864DC"/>
    <w:rsid w:val="00286820"/>
    <w:rsid w:val="00293B35"/>
    <w:rsid w:val="00293F81"/>
    <w:rsid w:val="002A0A1C"/>
    <w:rsid w:val="002A3555"/>
    <w:rsid w:val="002A655C"/>
    <w:rsid w:val="002B16AC"/>
    <w:rsid w:val="002D344E"/>
    <w:rsid w:val="002D6619"/>
    <w:rsid w:val="002E0160"/>
    <w:rsid w:val="002F2621"/>
    <w:rsid w:val="00302FE4"/>
    <w:rsid w:val="00310679"/>
    <w:rsid w:val="00314BF8"/>
    <w:rsid w:val="00333858"/>
    <w:rsid w:val="003364ED"/>
    <w:rsid w:val="00351FC1"/>
    <w:rsid w:val="003568D5"/>
    <w:rsid w:val="00366C99"/>
    <w:rsid w:val="003763A7"/>
    <w:rsid w:val="003A3328"/>
    <w:rsid w:val="003A6820"/>
    <w:rsid w:val="003B2E57"/>
    <w:rsid w:val="003B4EE4"/>
    <w:rsid w:val="003B571D"/>
    <w:rsid w:val="003C5BD7"/>
    <w:rsid w:val="003E0E4D"/>
    <w:rsid w:val="003E543C"/>
    <w:rsid w:val="003F4A8F"/>
    <w:rsid w:val="00401A49"/>
    <w:rsid w:val="0041795F"/>
    <w:rsid w:val="00447001"/>
    <w:rsid w:val="00450313"/>
    <w:rsid w:val="00461EFD"/>
    <w:rsid w:val="004729E2"/>
    <w:rsid w:val="00472B8B"/>
    <w:rsid w:val="0047327A"/>
    <w:rsid w:val="00490CF4"/>
    <w:rsid w:val="00497B15"/>
    <w:rsid w:val="004A490C"/>
    <w:rsid w:val="004A5BCE"/>
    <w:rsid w:val="004B01C7"/>
    <w:rsid w:val="004B183E"/>
    <w:rsid w:val="004B1C39"/>
    <w:rsid w:val="004B2428"/>
    <w:rsid w:val="004B3118"/>
    <w:rsid w:val="004D0BB6"/>
    <w:rsid w:val="004E7AEA"/>
    <w:rsid w:val="00501652"/>
    <w:rsid w:val="00527DF3"/>
    <w:rsid w:val="00543337"/>
    <w:rsid w:val="00555673"/>
    <w:rsid w:val="00561FB2"/>
    <w:rsid w:val="00572CE7"/>
    <w:rsid w:val="00576D58"/>
    <w:rsid w:val="00587F74"/>
    <w:rsid w:val="00595CC5"/>
    <w:rsid w:val="0059792B"/>
    <w:rsid w:val="005B0C45"/>
    <w:rsid w:val="005B11DE"/>
    <w:rsid w:val="005B3EB3"/>
    <w:rsid w:val="005E6DF1"/>
    <w:rsid w:val="005F158E"/>
    <w:rsid w:val="005F797F"/>
    <w:rsid w:val="00605E2A"/>
    <w:rsid w:val="0061474F"/>
    <w:rsid w:val="00623ADF"/>
    <w:rsid w:val="00630389"/>
    <w:rsid w:val="00635FDC"/>
    <w:rsid w:val="00636131"/>
    <w:rsid w:val="006674C2"/>
    <w:rsid w:val="00672973"/>
    <w:rsid w:val="00674DED"/>
    <w:rsid w:val="00676B9F"/>
    <w:rsid w:val="00680238"/>
    <w:rsid w:val="006947B2"/>
    <w:rsid w:val="00695BF6"/>
    <w:rsid w:val="00696C07"/>
    <w:rsid w:val="006A7BFE"/>
    <w:rsid w:val="006D41FE"/>
    <w:rsid w:val="006D5F5E"/>
    <w:rsid w:val="006E2CB5"/>
    <w:rsid w:val="006E3279"/>
    <w:rsid w:val="006E45BE"/>
    <w:rsid w:val="00703791"/>
    <w:rsid w:val="007055FE"/>
    <w:rsid w:val="00706FDB"/>
    <w:rsid w:val="00711193"/>
    <w:rsid w:val="007274FE"/>
    <w:rsid w:val="00736C9B"/>
    <w:rsid w:val="007433C8"/>
    <w:rsid w:val="00753869"/>
    <w:rsid w:val="007744EB"/>
    <w:rsid w:val="007843B4"/>
    <w:rsid w:val="00787306"/>
    <w:rsid w:val="007A1DBE"/>
    <w:rsid w:val="007A7526"/>
    <w:rsid w:val="007B1C66"/>
    <w:rsid w:val="007B27A2"/>
    <w:rsid w:val="007C3D4E"/>
    <w:rsid w:val="007D0DAB"/>
    <w:rsid w:val="008030D2"/>
    <w:rsid w:val="00804EFF"/>
    <w:rsid w:val="00835394"/>
    <w:rsid w:val="00840943"/>
    <w:rsid w:val="00857109"/>
    <w:rsid w:val="008675AF"/>
    <w:rsid w:val="00874731"/>
    <w:rsid w:val="00880B80"/>
    <w:rsid w:val="0088129B"/>
    <w:rsid w:val="00885E0D"/>
    <w:rsid w:val="00887931"/>
    <w:rsid w:val="008907E2"/>
    <w:rsid w:val="00892D8A"/>
    <w:rsid w:val="008A6A3F"/>
    <w:rsid w:val="008B582D"/>
    <w:rsid w:val="008B75BA"/>
    <w:rsid w:val="008E141B"/>
    <w:rsid w:val="008F305C"/>
    <w:rsid w:val="008F51F2"/>
    <w:rsid w:val="00914EF7"/>
    <w:rsid w:val="00921487"/>
    <w:rsid w:val="00935EF5"/>
    <w:rsid w:val="00940393"/>
    <w:rsid w:val="009433EC"/>
    <w:rsid w:val="009533A5"/>
    <w:rsid w:val="0096180A"/>
    <w:rsid w:val="00961D93"/>
    <w:rsid w:val="00973A7C"/>
    <w:rsid w:val="00976687"/>
    <w:rsid w:val="00980752"/>
    <w:rsid w:val="00983DE7"/>
    <w:rsid w:val="00984AF3"/>
    <w:rsid w:val="0098566A"/>
    <w:rsid w:val="00986588"/>
    <w:rsid w:val="009A575E"/>
    <w:rsid w:val="009A649C"/>
    <w:rsid w:val="009D2ED7"/>
    <w:rsid w:val="00A01C69"/>
    <w:rsid w:val="00A13DF8"/>
    <w:rsid w:val="00A226BA"/>
    <w:rsid w:val="00A62251"/>
    <w:rsid w:val="00A63A74"/>
    <w:rsid w:val="00A666DA"/>
    <w:rsid w:val="00A73272"/>
    <w:rsid w:val="00A934A6"/>
    <w:rsid w:val="00AA4D7E"/>
    <w:rsid w:val="00AA4EDB"/>
    <w:rsid w:val="00AA50AA"/>
    <w:rsid w:val="00AB462D"/>
    <w:rsid w:val="00AC5DAA"/>
    <w:rsid w:val="00AD217C"/>
    <w:rsid w:val="00AD2C85"/>
    <w:rsid w:val="00AD3370"/>
    <w:rsid w:val="00AD33ED"/>
    <w:rsid w:val="00AF42B5"/>
    <w:rsid w:val="00AF5867"/>
    <w:rsid w:val="00AF7113"/>
    <w:rsid w:val="00B0017D"/>
    <w:rsid w:val="00B02007"/>
    <w:rsid w:val="00B04413"/>
    <w:rsid w:val="00B0644E"/>
    <w:rsid w:val="00B10AA1"/>
    <w:rsid w:val="00B139DF"/>
    <w:rsid w:val="00B20508"/>
    <w:rsid w:val="00B217DF"/>
    <w:rsid w:val="00B32DA7"/>
    <w:rsid w:val="00B4049B"/>
    <w:rsid w:val="00B4384B"/>
    <w:rsid w:val="00B476ED"/>
    <w:rsid w:val="00B61129"/>
    <w:rsid w:val="00B611EF"/>
    <w:rsid w:val="00B62BD2"/>
    <w:rsid w:val="00B70278"/>
    <w:rsid w:val="00BA00F9"/>
    <w:rsid w:val="00BA1D25"/>
    <w:rsid w:val="00BA29F5"/>
    <w:rsid w:val="00BC0455"/>
    <w:rsid w:val="00BC70DB"/>
    <w:rsid w:val="00BD23FB"/>
    <w:rsid w:val="00BD5BB8"/>
    <w:rsid w:val="00BF1EE6"/>
    <w:rsid w:val="00C35387"/>
    <w:rsid w:val="00C35481"/>
    <w:rsid w:val="00C45727"/>
    <w:rsid w:val="00C50C12"/>
    <w:rsid w:val="00C5467E"/>
    <w:rsid w:val="00C56EFC"/>
    <w:rsid w:val="00C6228D"/>
    <w:rsid w:val="00C625E0"/>
    <w:rsid w:val="00C66CB4"/>
    <w:rsid w:val="00C92F68"/>
    <w:rsid w:val="00C941A1"/>
    <w:rsid w:val="00C95ED3"/>
    <w:rsid w:val="00C9615E"/>
    <w:rsid w:val="00C97EE2"/>
    <w:rsid w:val="00CA4A4B"/>
    <w:rsid w:val="00CA7D3B"/>
    <w:rsid w:val="00CB211F"/>
    <w:rsid w:val="00CD2AAC"/>
    <w:rsid w:val="00CE1E75"/>
    <w:rsid w:val="00D027AF"/>
    <w:rsid w:val="00D1402E"/>
    <w:rsid w:val="00D14A3E"/>
    <w:rsid w:val="00D214E8"/>
    <w:rsid w:val="00D278B6"/>
    <w:rsid w:val="00D3456B"/>
    <w:rsid w:val="00D51045"/>
    <w:rsid w:val="00D5190B"/>
    <w:rsid w:val="00D543F9"/>
    <w:rsid w:val="00D65E31"/>
    <w:rsid w:val="00D71354"/>
    <w:rsid w:val="00D75A48"/>
    <w:rsid w:val="00D858D6"/>
    <w:rsid w:val="00D86687"/>
    <w:rsid w:val="00D90423"/>
    <w:rsid w:val="00D91CF1"/>
    <w:rsid w:val="00D93398"/>
    <w:rsid w:val="00D947AA"/>
    <w:rsid w:val="00D975CA"/>
    <w:rsid w:val="00DA6BB9"/>
    <w:rsid w:val="00DC012A"/>
    <w:rsid w:val="00DC2A81"/>
    <w:rsid w:val="00DC607B"/>
    <w:rsid w:val="00DD4821"/>
    <w:rsid w:val="00DD5DCB"/>
    <w:rsid w:val="00DD6C58"/>
    <w:rsid w:val="00DF04A0"/>
    <w:rsid w:val="00DF3851"/>
    <w:rsid w:val="00DF6CBF"/>
    <w:rsid w:val="00E01A4B"/>
    <w:rsid w:val="00E05136"/>
    <w:rsid w:val="00E0608A"/>
    <w:rsid w:val="00E152E9"/>
    <w:rsid w:val="00E37E92"/>
    <w:rsid w:val="00E427EA"/>
    <w:rsid w:val="00E44AA6"/>
    <w:rsid w:val="00E51671"/>
    <w:rsid w:val="00E66D51"/>
    <w:rsid w:val="00E71662"/>
    <w:rsid w:val="00E830EF"/>
    <w:rsid w:val="00EB1986"/>
    <w:rsid w:val="00ED7E67"/>
    <w:rsid w:val="00EE066C"/>
    <w:rsid w:val="00EF2C54"/>
    <w:rsid w:val="00F064CA"/>
    <w:rsid w:val="00F10910"/>
    <w:rsid w:val="00F15714"/>
    <w:rsid w:val="00F203FB"/>
    <w:rsid w:val="00F2229D"/>
    <w:rsid w:val="00F57874"/>
    <w:rsid w:val="00F60301"/>
    <w:rsid w:val="00F7088B"/>
    <w:rsid w:val="00F80ECC"/>
    <w:rsid w:val="00F82BA2"/>
    <w:rsid w:val="00F84E02"/>
    <w:rsid w:val="00F85C0C"/>
    <w:rsid w:val="00F932CC"/>
    <w:rsid w:val="00FA54F1"/>
    <w:rsid w:val="00FB0796"/>
    <w:rsid w:val="00FB6341"/>
    <w:rsid w:val="00FB7421"/>
    <w:rsid w:val="00FC0F94"/>
    <w:rsid w:val="00FD1DF5"/>
    <w:rsid w:val="00FD54ED"/>
    <w:rsid w:val="00FE6CDB"/>
    <w:rsid w:val="00FF1CD2"/>
    <w:rsid w:val="00FF3D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BEDB6E"/>
  <w15:docId w15:val="{AC233B20-2294-4B30-91F1-F91EA953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38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35387"/>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387"/>
    <w:rPr>
      <w:rFonts w:ascii="Calibri Light" w:eastAsia="Times New Roman" w:hAnsi="Calibri Light" w:cs="Times New Roman"/>
      <w:b/>
      <w:bCs/>
      <w:color w:val="2E74B5"/>
      <w:sz w:val="28"/>
      <w:szCs w:val="28"/>
    </w:rPr>
  </w:style>
  <w:style w:type="paragraph" w:styleId="NoSpacing">
    <w:name w:val="No Spacing"/>
    <w:uiPriority w:val="1"/>
    <w:qFormat/>
    <w:rsid w:val="00C3538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35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387"/>
    <w:rPr>
      <w:rFonts w:ascii="Tahoma" w:eastAsia="Calibri" w:hAnsi="Tahoma" w:cs="Tahoma"/>
      <w:sz w:val="16"/>
      <w:szCs w:val="16"/>
    </w:rPr>
  </w:style>
  <w:style w:type="paragraph" w:styleId="ListParagraph">
    <w:name w:val="List Paragraph"/>
    <w:basedOn w:val="Normal"/>
    <w:uiPriority w:val="34"/>
    <w:qFormat/>
    <w:rsid w:val="00C35387"/>
    <w:pPr>
      <w:ind w:left="720"/>
      <w:contextualSpacing/>
    </w:pPr>
  </w:style>
  <w:style w:type="numbering" w:customStyle="1" w:styleId="NoList1">
    <w:name w:val="No List1"/>
    <w:next w:val="NoList"/>
    <w:uiPriority w:val="99"/>
    <w:semiHidden/>
    <w:unhideWhenUsed/>
    <w:rsid w:val="00C35387"/>
  </w:style>
  <w:style w:type="paragraph" w:styleId="BodyText">
    <w:name w:val="Body Text"/>
    <w:basedOn w:val="Normal"/>
    <w:link w:val="BodyTextChar"/>
    <w:uiPriority w:val="1"/>
    <w:qFormat/>
    <w:rsid w:val="00C35387"/>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C35387"/>
    <w:rPr>
      <w:rFonts w:ascii="Calibri" w:hAnsi="Calibri" w:cs="Calibri"/>
      <w:sz w:val="24"/>
      <w:szCs w:val="24"/>
    </w:rPr>
  </w:style>
  <w:style w:type="paragraph" w:customStyle="1" w:styleId="TableParagraph">
    <w:name w:val="Table Paragraph"/>
    <w:basedOn w:val="Normal"/>
    <w:uiPriority w:val="1"/>
    <w:qFormat/>
    <w:rsid w:val="00C35387"/>
    <w:pPr>
      <w:autoSpaceDE w:val="0"/>
      <w:autoSpaceDN w:val="0"/>
      <w:adjustRightInd w:val="0"/>
      <w:spacing w:after="0" w:line="240" w:lineRule="auto"/>
    </w:pPr>
    <w:rPr>
      <w:rFonts w:ascii="Times New Roman" w:hAnsi="Times New Roman" w:eastAsiaTheme="minorHAnsi"/>
      <w:sz w:val="24"/>
      <w:szCs w:val="24"/>
    </w:rPr>
  </w:style>
  <w:style w:type="character" w:styleId="Hyperlink">
    <w:name w:val="Hyperlink"/>
    <w:basedOn w:val="DefaultParagraphFont"/>
    <w:uiPriority w:val="99"/>
    <w:unhideWhenUsed/>
    <w:rsid w:val="00C35387"/>
    <w:rPr>
      <w:color w:val="0000FF"/>
      <w:u w:val="single"/>
    </w:rPr>
  </w:style>
  <w:style w:type="character" w:customStyle="1" w:styleId="UnresolvedMention1">
    <w:name w:val="Unresolved Mention1"/>
    <w:basedOn w:val="DefaultParagraphFont"/>
    <w:uiPriority w:val="99"/>
    <w:semiHidden/>
    <w:unhideWhenUsed/>
    <w:rsid w:val="00B139DF"/>
    <w:rPr>
      <w:color w:val="605E5C"/>
      <w:shd w:val="clear" w:color="auto" w:fill="E1DFDD"/>
    </w:rPr>
  </w:style>
  <w:style w:type="paragraph" w:styleId="Header">
    <w:name w:val="header"/>
    <w:basedOn w:val="Normal"/>
    <w:link w:val="HeaderChar"/>
    <w:uiPriority w:val="99"/>
    <w:unhideWhenUsed/>
    <w:rsid w:val="001F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731"/>
    <w:rPr>
      <w:rFonts w:ascii="Calibri" w:eastAsia="Calibri" w:hAnsi="Calibri" w:cs="Times New Roman"/>
    </w:rPr>
  </w:style>
  <w:style w:type="paragraph" w:styleId="Footer">
    <w:name w:val="footer"/>
    <w:basedOn w:val="Normal"/>
    <w:link w:val="FooterChar"/>
    <w:uiPriority w:val="99"/>
    <w:unhideWhenUsed/>
    <w:rsid w:val="001F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731"/>
    <w:rPr>
      <w:rFonts w:ascii="Calibri" w:eastAsia="Calibri" w:hAnsi="Calibri" w:cs="Times New Roman"/>
    </w:rPr>
  </w:style>
  <w:style w:type="character" w:customStyle="1" w:styleId="UnresolvedMention2">
    <w:name w:val="Unresolved Mention2"/>
    <w:basedOn w:val="DefaultParagraphFont"/>
    <w:uiPriority w:val="99"/>
    <w:semiHidden/>
    <w:unhideWhenUsed/>
    <w:rsid w:val="00984AF3"/>
    <w:rPr>
      <w:color w:val="605E5C"/>
      <w:shd w:val="clear" w:color="auto" w:fill="E1DFDD"/>
    </w:rPr>
  </w:style>
  <w:style w:type="paragraph" w:styleId="FootnoteText">
    <w:name w:val="footnote text"/>
    <w:basedOn w:val="Normal"/>
    <w:link w:val="FootnoteTextChar"/>
    <w:uiPriority w:val="99"/>
    <w:semiHidden/>
    <w:unhideWhenUsed/>
    <w:rsid w:val="00A13D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13DF8"/>
    <w:rPr>
      <w:vertAlign w:val="superscript"/>
    </w:rPr>
  </w:style>
  <w:style w:type="character" w:styleId="CommentReference">
    <w:name w:val="annotation reference"/>
    <w:basedOn w:val="DefaultParagraphFont"/>
    <w:uiPriority w:val="99"/>
    <w:semiHidden/>
    <w:unhideWhenUsed/>
    <w:rsid w:val="00555673"/>
    <w:rPr>
      <w:sz w:val="16"/>
      <w:szCs w:val="16"/>
    </w:rPr>
  </w:style>
  <w:style w:type="paragraph" w:styleId="CommentText">
    <w:name w:val="annotation text"/>
    <w:basedOn w:val="Normal"/>
    <w:link w:val="CommentTextChar"/>
    <w:uiPriority w:val="99"/>
    <w:unhideWhenUsed/>
    <w:rsid w:val="00555673"/>
    <w:pPr>
      <w:spacing w:line="240" w:lineRule="auto"/>
    </w:pPr>
    <w:rPr>
      <w:sz w:val="20"/>
      <w:szCs w:val="20"/>
    </w:rPr>
  </w:style>
  <w:style w:type="character" w:customStyle="1" w:styleId="CommentTextChar">
    <w:name w:val="Comment Text Char"/>
    <w:basedOn w:val="DefaultParagraphFont"/>
    <w:link w:val="CommentText"/>
    <w:uiPriority w:val="99"/>
    <w:rsid w:val="0055567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5673"/>
    <w:rPr>
      <w:b/>
      <w:bCs/>
    </w:rPr>
  </w:style>
  <w:style w:type="character" w:customStyle="1" w:styleId="CommentSubjectChar">
    <w:name w:val="Comment Subject Char"/>
    <w:basedOn w:val="CommentTextChar"/>
    <w:link w:val="CommentSubject"/>
    <w:uiPriority w:val="99"/>
    <w:semiHidden/>
    <w:rsid w:val="00555673"/>
    <w:rPr>
      <w:rFonts w:ascii="Calibri" w:eastAsia="Calibri" w:hAnsi="Calibri" w:cs="Times New Roman"/>
      <w:b/>
      <w:bCs/>
      <w:sz w:val="20"/>
      <w:szCs w:val="20"/>
    </w:rPr>
  </w:style>
  <w:style w:type="paragraph" w:styleId="Revision">
    <w:name w:val="Revision"/>
    <w:hidden/>
    <w:uiPriority w:val="99"/>
    <w:semiHidden/>
    <w:rsid w:val="005E6D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ttendanceworks.org/wpcontent/uploads/2017/09/PreventingMissedOpportunityFull_FINAL9.8.16_2.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gabby.doyle@thetrevorproject.or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DownloadDocument?objectID=1196339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6FE41-8626-454C-913F-33A4E83061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E3C930-83BF-4D9D-80A7-BABACD180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319837-7DD9-4EB7-981C-A45AB4F1F660}">
  <ds:schemaRefs>
    <ds:schemaRef ds:uri="http://schemas.openxmlformats.org/officeDocument/2006/bibliography"/>
  </ds:schemaRefs>
</ds:datastoreItem>
</file>

<file path=customXml/itemProps4.xml><?xml version="1.0" encoding="utf-8"?>
<ds:datastoreItem xmlns:ds="http://schemas.openxmlformats.org/officeDocument/2006/customXml" ds:itemID="{7765F8CF-006A-4797-B828-389D44E4EF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3536</Words>
  <Characters>20159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Spiegelman, Maura</dc:creator>
  <cp:lastModifiedBy>Spiegelman, Maura</cp:lastModifiedBy>
  <cp:revision>2</cp:revision>
  <dcterms:created xsi:type="dcterms:W3CDTF">2022-10-13T19:19:00Z</dcterms:created>
  <dcterms:modified xsi:type="dcterms:W3CDTF">2022-10-13T19:19:00Z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