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2D37847D">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8A5950">
        <w:t>25</w:t>
      </w:r>
      <w:r w:rsidRPr="00413FDE" w:rsidR="00613169">
        <w:t>-000</w:t>
      </w:r>
      <w:r w:rsidRPr="00413FDE">
        <w:t>]</w:t>
      </w:r>
    </w:p>
    <w:p w:rsidR="00A2604E" w:rsidP="00A2604E" w14:paraId="4D16FE54" w14:textId="77777777"/>
    <w:p w:rsidR="00A2604E" w:rsidP="00A2604E" w14:paraId="0627AE31" w14:textId="6398D79C">
      <w:pPr>
        <w:jc w:val="center"/>
      </w:pPr>
      <w:r>
        <w:t>COMMISSION INFORMATION COLLECTION ACTIVITIES (FERC-</w:t>
      </w:r>
      <w:r w:rsidR="000D6969">
        <w:t>7</w:t>
      </w:r>
      <w:r w:rsidR="00297B2C">
        <w:t>25P1</w:t>
      </w:r>
      <w:r>
        <w:t>)</w:t>
      </w:r>
      <w:r w:rsidR="00B231BF">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5452CC" w:rsidP="005E410C" w14:paraId="3325DC6C" w14:textId="4FB130E3">
      <w:pPr>
        <w:jc w:val="center"/>
      </w:pPr>
      <w:r w:rsidRPr="005E410C">
        <w:t>(</w:t>
      </w:r>
      <w:r w:rsidR="00F8007A">
        <w:t>July 28, 2022</w:t>
      </w:r>
      <w:r w:rsidRPr="005E410C">
        <w:t>)</w:t>
      </w:r>
    </w:p>
    <w:p w:rsidR="005E410C" w:rsidRPr="005E410C" w:rsidP="005E410C" w14:paraId="66425AAB"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00B556C9" w14:paraId="35DEAE81" w14:textId="03DEF19B">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Pr="00974659" w:rsidR="00974659">
        <w:t>FERC-</w:t>
      </w:r>
      <w:r w:rsidR="00121A13">
        <w:t>725P1</w:t>
      </w:r>
      <w:r w:rsidRPr="00974659" w:rsidR="00974659">
        <w:t xml:space="preserve"> </w:t>
      </w:r>
      <w:r w:rsidR="00974659">
        <w:t>(</w:t>
      </w:r>
      <w:r w:rsidRPr="00121A13" w:rsidR="00121A13">
        <w:rPr>
          <w:szCs w:val="26"/>
        </w:rPr>
        <w:t>Mandatory Reliability Standards: PRC-005-6 Reliability Standard</w:t>
      </w:r>
      <w:r w:rsidR="00974659">
        <w:t>)</w:t>
      </w:r>
      <w:r w:rsidR="00150CBC">
        <w:rPr>
          <w:rFonts w:eastAsiaTheme="minorHAnsi"/>
          <w:szCs w:val="26"/>
        </w:rPr>
        <w:t>.</w:t>
      </w:r>
    </w:p>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45E28CD8">
      <w:pPr>
        <w:spacing w:line="480" w:lineRule="auto"/>
      </w:pPr>
      <w:r w:rsidRPr="00524164">
        <w:rPr>
          <w:b/>
        </w:rPr>
        <w:t>ADDRESSES:</w:t>
      </w:r>
      <w:r w:rsidRPr="00524164">
        <w:t xml:space="preserve">  </w:t>
      </w:r>
      <w:bookmarkStart w:id="1" w:name="OLE_LINK1"/>
      <w:r w:rsidRPr="0042765E">
        <w:t xml:space="preserve">You may submit your comments (identified by Docket No. </w:t>
      </w:r>
      <w:r w:rsidRPr="00413FDE">
        <w:t>IC</w:t>
      </w:r>
      <w:r w:rsidR="003F7A51">
        <w:t>22</w:t>
      </w:r>
      <w:r w:rsidRPr="00413FDE">
        <w:t>-</w:t>
      </w:r>
      <w:r w:rsidR="008A5950">
        <w:t>25</w:t>
      </w:r>
      <w:r w:rsidR="003F7A51">
        <w:t>-</w:t>
      </w:r>
      <w:r w:rsidRPr="00413FDE">
        <w:t>000</w:t>
      </w:r>
      <w:r w:rsidRPr="0042765E">
        <w:t>) by one of the following methods:</w:t>
      </w:r>
    </w:p>
    <w:p w:rsidR="0042765E" w:rsidRPr="0042765E" w:rsidP="0042765E" w14:paraId="6929A881" w14:textId="77777777">
      <w:pPr>
        <w:spacing w:line="480" w:lineRule="auto"/>
      </w:pPr>
      <w:r w:rsidRPr="0042765E">
        <w:t xml:space="preserve">Electronic filing through </w:t>
      </w:r>
      <w:hyperlink r:id="rId10" w:history="1">
        <w:r w:rsidRPr="0042765E">
          <w:rPr>
            <w:rStyle w:val="Hyperlink"/>
          </w:rPr>
          <w:t>http://www.ferc.gov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1AE7879A">
      <w:pPr>
        <w:numPr>
          <w:ilvl w:val="1"/>
          <w:numId w:val="6"/>
        </w:numPr>
        <w:spacing w:line="480" w:lineRule="auto"/>
      </w:pPr>
      <w:r w:rsidRPr="0042765E">
        <w:t>Mail via U.S. Postal Service Only</w:t>
      </w:r>
      <w:r w:rsidR="00B231BF">
        <w:t>,</w:t>
      </w:r>
      <w:r w:rsidRPr="0042765E">
        <w:t xml:space="preserve">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1"/>
    <w:p w:rsidR="00FB078F" w:rsidP="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974659" w:rsidP="00974659" w14:paraId="3CCB58E8" w14:textId="50EB8C79">
      <w:pPr>
        <w:tabs>
          <w:tab w:val="left" w:pos="7880"/>
        </w:tabs>
        <w:spacing w:line="480" w:lineRule="auto"/>
      </w:pPr>
      <w:r w:rsidRPr="00974659">
        <w:rPr>
          <w:b/>
        </w:rPr>
        <w:t>SUPPLEMENTARY INFORMATION:</w:t>
      </w:r>
      <w:r w:rsidRPr="00974659">
        <w:t xml:space="preserve">  </w:t>
      </w:r>
    </w:p>
    <w:p w:rsidR="00121A13" w:rsidRPr="00121A13" w:rsidP="00121A13" w14:paraId="490B266B" w14:textId="77777777">
      <w:pPr>
        <w:spacing w:line="480" w:lineRule="auto"/>
        <w:rPr>
          <w:szCs w:val="26"/>
        </w:rPr>
      </w:pPr>
      <w:r w:rsidRPr="00121A13">
        <w:rPr>
          <w:i/>
          <w:szCs w:val="26"/>
        </w:rPr>
        <w:t>Title:</w:t>
      </w:r>
      <w:r w:rsidRPr="00121A13">
        <w:rPr>
          <w:szCs w:val="26"/>
        </w:rPr>
        <w:t xml:space="preserve"> FERC-725P1 (</w:t>
      </w:r>
      <w:bookmarkStart w:id="2" w:name="_Hlk108625613"/>
      <w:r w:rsidRPr="00121A13">
        <w:rPr>
          <w:szCs w:val="26"/>
        </w:rPr>
        <w:t>Mandatory Reliability Standards: PRC-005-6 Reliability Standard</w:t>
      </w:r>
      <w:bookmarkEnd w:id="2"/>
      <w:r w:rsidRPr="00121A13">
        <w:rPr>
          <w:szCs w:val="26"/>
        </w:rPr>
        <w:t>)</w:t>
      </w:r>
    </w:p>
    <w:p w:rsidR="00121A13" w:rsidRPr="00121A13" w:rsidP="00121A13" w14:paraId="4BCDC251" w14:textId="77777777">
      <w:pPr>
        <w:spacing w:line="480" w:lineRule="auto"/>
        <w:rPr>
          <w:szCs w:val="26"/>
        </w:rPr>
      </w:pPr>
      <w:r w:rsidRPr="00121A13">
        <w:rPr>
          <w:i/>
          <w:szCs w:val="26"/>
        </w:rPr>
        <w:t xml:space="preserve">OMB Control No.: </w:t>
      </w:r>
      <w:r w:rsidRPr="00121A13">
        <w:rPr>
          <w:szCs w:val="26"/>
        </w:rPr>
        <w:t>1902-0280</w:t>
      </w:r>
    </w:p>
    <w:p w:rsidR="00121A13" w:rsidRPr="00121A13" w:rsidP="00121A13" w14:paraId="2FA48966" w14:textId="77777777">
      <w:pPr>
        <w:spacing w:line="480" w:lineRule="auto"/>
        <w:rPr>
          <w:szCs w:val="26"/>
        </w:rPr>
      </w:pPr>
      <w:r w:rsidRPr="00121A13">
        <w:rPr>
          <w:i/>
          <w:szCs w:val="26"/>
        </w:rPr>
        <w:t xml:space="preserve">Abstract: </w:t>
      </w:r>
      <w:r w:rsidRPr="00121A13">
        <w:rPr>
          <w:szCs w:val="26"/>
        </w:rPr>
        <w:t>The Commission requires the information collected by the FERC-725P1 to implement the statutory provisions of section 215 of the Federal Power Act (FPA).  On August 8, 2005, Congress enacted into law the Electricity Modernization Act of 2005, which is Title XII, Subtitle A, of the Energy Policy Act of 2005 (</w:t>
      </w:r>
      <w:r w:rsidRPr="00121A13">
        <w:rPr>
          <w:szCs w:val="26"/>
        </w:rPr>
        <w:t>EPAct</w:t>
      </w:r>
      <w:r w:rsidRPr="00121A13">
        <w:rPr>
          <w:szCs w:val="26"/>
        </w:rPr>
        <w:t xml:space="preserve"> 2005).  </w:t>
      </w:r>
      <w:r w:rsidRPr="00121A13">
        <w:rPr>
          <w:szCs w:val="26"/>
        </w:rPr>
        <w:t>EPAct</w:t>
      </w:r>
      <w:r w:rsidRPr="00121A13">
        <w:rPr>
          <w:szCs w:val="26"/>
        </w:rPr>
        <w:t xml:space="preserve"> 2005 added a new section 215 to the FPA, which required a Commission-certified Electric Reliability Organization (ERO) to develop mandatory and enforceable </w:t>
      </w:r>
      <w:r w:rsidRPr="00121A13">
        <w:rPr>
          <w:szCs w:val="26"/>
        </w:rPr>
        <w:t xml:space="preserve">Reliability Standards, which are subject to Commission review and approval.  Once approved, the Reliability Standards may be enforced by the ERO subject to Commission oversight, or the Commission can independently enforce Reliability Standards. </w:t>
      </w:r>
    </w:p>
    <w:p w:rsidR="00121A13" w:rsidRPr="00121A13" w:rsidP="00121A13" w14:paraId="5637DE14" w14:textId="77777777">
      <w:pPr>
        <w:spacing w:line="480" w:lineRule="auto"/>
        <w:rPr>
          <w:szCs w:val="26"/>
        </w:rPr>
      </w:pPr>
      <w:r w:rsidRPr="00121A13">
        <w:rPr>
          <w:szCs w:val="26"/>
        </w:rPr>
        <w:t>On February 3, 2006, the Commission issued Order No. 672, implementing section 215 of the FPA.  Pursuant to Order No. 672, the Commission certified one organization, North American Electric Reliability Corporation (NERC), as the ERO.   The Reliability Standards developed by the ERO and approved by the Commission apply to users, owners and operators of the Bulk-Power System as set forth in each Reliability Standard.</w:t>
      </w:r>
    </w:p>
    <w:p w:rsidR="00121A13" w:rsidRPr="00121A13" w:rsidP="00121A13" w14:paraId="384F7ECE" w14:textId="43B1EE7D">
      <w:pPr>
        <w:spacing w:line="480" w:lineRule="auto"/>
        <w:rPr>
          <w:szCs w:val="26"/>
        </w:rPr>
      </w:pPr>
      <w:r w:rsidRPr="00121A13">
        <w:rPr>
          <w:szCs w:val="26"/>
        </w:rPr>
        <w:t xml:space="preserve">On November 13, 2015, the North American Electric Reliability Corporation filed a petition for Commission approval of proposed Reliability Standard PRC-005-6 (Protection System, Automatic Reclosing, and Sudden Pressure Relaying Maintenance).  NERC also requested approval of the proposed implementation plan for PRC-005-6, and the retirement of previous versions of Reliability Standard PRC-005. </w:t>
      </w:r>
    </w:p>
    <w:p w:rsidR="00121A13" w:rsidRPr="00121A13" w:rsidP="00121A13" w14:paraId="5CC080FF" w14:textId="36C9C8BF">
      <w:pPr>
        <w:spacing w:line="480" w:lineRule="auto"/>
        <w:rPr>
          <w:szCs w:val="26"/>
        </w:rPr>
      </w:pPr>
      <w:r w:rsidRPr="00121A13">
        <w:rPr>
          <w:szCs w:val="26"/>
        </w:rPr>
        <w:t>NERC explained in its petition that Reliability Standard PRC-005-6 represent</w:t>
      </w:r>
      <w:r w:rsidR="00223A78">
        <w:rPr>
          <w:szCs w:val="26"/>
        </w:rPr>
        <w:t>ed</w:t>
      </w:r>
      <w:r w:rsidRPr="00121A13">
        <w:rPr>
          <w:szCs w:val="26"/>
        </w:rPr>
        <w:t xml:space="preserve"> an improvement upon the most </w:t>
      </w:r>
      <w:r w:rsidRPr="00121A13">
        <w:rPr>
          <w:szCs w:val="26"/>
        </w:rPr>
        <w:t>recently-approved</w:t>
      </w:r>
      <w:r w:rsidRPr="00121A13">
        <w:rPr>
          <w:szCs w:val="26"/>
        </w:rPr>
        <w:t xml:space="preserve"> version of the standard, PRC-005-4. FERC approved the proposed Reliability Standard PRC-005-6 on December 18, 2015.</w:t>
      </w:r>
    </w:p>
    <w:p w:rsidR="00121A13" w:rsidRPr="00121A13" w:rsidP="00121A13" w14:paraId="6021A082" w14:textId="59A77DA9">
      <w:pPr>
        <w:spacing w:line="480" w:lineRule="auto"/>
        <w:rPr>
          <w:szCs w:val="26"/>
        </w:rPr>
      </w:pPr>
      <w:r w:rsidRPr="008A5950">
        <w:rPr>
          <w:i/>
          <w:szCs w:val="26"/>
        </w:rPr>
        <w:t xml:space="preserve">Type of Respondent: </w:t>
      </w:r>
      <w:r w:rsidRPr="008A5950" w:rsidR="002E28FC">
        <w:rPr>
          <w:iCs/>
          <w:szCs w:val="26"/>
        </w:rPr>
        <w:t>Transmission Owner</w:t>
      </w:r>
      <w:r w:rsidRPr="008A5950" w:rsidR="006068D2">
        <w:rPr>
          <w:iCs/>
          <w:szCs w:val="26"/>
        </w:rPr>
        <w:t xml:space="preserve"> (TO)</w:t>
      </w:r>
      <w:r w:rsidRPr="008A5950" w:rsidR="002E28FC">
        <w:rPr>
          <w:iCs/>
          <w:szCs w:val="26"/>
        </w:rPr>
        <w:t>, Distribution Provider</w:t>
      </w:r>
      <w:r w:rsidRPr="008A5950" w:rsidR="006068D2">
        <w:rPr>
          <w:iCs/>
          <w:szCs w:val="26"/>
        </w:rPr>
        <w:t xml:space="preserve"> (DP),</w:t>
      </w:r>
      <w:r w:rsidRPr="008A5950">
        <w:rPr>
          <w:szCs w:val="26"/>
        </w:rPr>
        <w:t xml:space="preserve"> and Generator Owners (GOs).</w:t>
      </w:r>
    </w:p>
    <w:p w:rsidR="00121A13" w:rsidRPr="00121A13" w:rsidP="00121A13" w14:paraId="05178E52" w14:textId="17FBFFB0">
      <w:pPr>
        <w:spacing w:line="480" w:lineRule="auto"/>
        <w:rPr>
          <w:szCs w:val="26"/>
        </w:rPr>
      </w:pPr>
      <w:r w:rsidRPr="00121A13">
        <w:rPr>
          <w:i/>
          <w:szCs w:val="26"/>
        </w:rPr>
        <w:t>Estimate of Annual Burden</w:t>
      </w:r>
      <w:r>
        <w:rPr>
          <w:b/>
          <w:i/>
          <w:szCs w:val="26"/>
          <w:vertAlign w:val="superscript"/>
        </w:rPr>
        <w:footnoteReference w:id="3"/>
      </w:r>
      <w:r w:rsidRPr="00121A13">
        <w:rPr>
          <w:i/>
          <w:szCs w:val="26"/>
        </w:rPr>
        <w:t xml:space="preserve">: </w:t>
      </w:r>
      <w:r w:rsidRPr="00121A13">
        <w:rPr>
          <w:szCs w:val="26"/>
        </w:rPr>
        <w:t>The Commission estimates the annual public reporting burden for the information collection as</w:t>
      </w:r>
      <w:r>
        <w:rPr>
          <w:rStyle w:val="FootnoteReference"/>
        </w:rPr>
        <w:footnoteReference w:id="4"/>
      </w:r>
      <w:r w:rsidRPr="00121A13">
        <w:rPr>
          <w:szCs w:val="26"/>
        </w:rPr>
        <w:t>:</w:t>
      </w:r>
    </w:p>
    <w:tbl>
      <w:tblPr>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6"/>
        <w:gridCol w:w="1496"/>
        <w:gridCol w:w="1409"/>
        <w:gridCol w:w="1826"/>
        <w:gridCol w:w="1801"/>
      </w:tblGrid>
      <w:tr w14:paraId="7E0D695F" w14:textId="77777777" w:rsidTr="00265440">
        <w:tblPrEx>
          <w:tblW w:w="52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cPr>
          <w:p w:rsidR="00121A13" w:rsidRPr="00121A13" w:rsidP="00121A13" w14:paraId="73BB9343" w14:textId="77777777">
            <w:pPr>
              <w:jc w:val="center"/>
              <w:rPr>
                <w:rFonts w:eastAsia="Calibri"/>
                <w:b/>
                <w:sz w:val="20"/>
                <w:szCs w:val="20"/>
              </w:rPr>
            </w:pPr>
            <w:r w:rsidRPr="00121A13">
              <w:rPr>
                <w:rFonts w:eastAsia="Calibri"/>
                <w:b/>
                <w:sz w:val="20"/>
                <w:szCs w:val="20"/>
              </w:rPr>
              <w:t>FERC-725P1: Mandatory Reliability Standards: PRC-005-6</w:t>
            </w:r>
            <w:r>
              <w:rPr>
                <w:rFonts w:eastAsia="Calibri"/>
                <w:b/>
                <w:sz w:val="20"/>
                <w:szCs w:val="20"/>
                <w:vertAlign w:val="superscript"/>
              </w:rPr>
              <w:footnoteReference w:id="5"/>
            </w:r>
          </w:p>
        </w:tc>
      </w:tr>
      <w:tr w14:paraId="49AD66ED" w14:textId="77777777" w:rsidTr="00265440">
        <w:tblPrEx>
          <w:tblW w:w="5234" w:type="pct"/>
          <w:tblInd w:w="-72" w:type="dxa"/>
          <w:tblLayout w:type="fixed"/>
          <w:tblLook w:val="01E0"/>
        </w:tblPrEx>
        <w:trPr>
          <w:cantSplit/>
        </w:trPr>
        <w:tc>
          <w:tcPr>
            <w:tcW w:w="899" w:type="pct"/>
            <w:shd w:val="clear" w:color="auto" w:fill="D9D9D9"/>
          </w:tcPr>
          <w:p w:rsidR="00121A13" w:rsidRPr="00121A13" w:rsidP="00121A13" w14:paraId="6390616A" w14:textId="77777777">
            <w:pPr>
              <w:jc w:val="center"/>
              <w:rPr>
                <w:rFonts w:eastAsia="Calibri"/>
                <w:b/>
                <w:sz w:val="20"/>
                <w:szCs w:val="20"/>
              </w:rPr>
            </w:pPr>
          </w:p>
        </w:tc>
        <w:tc>
          <w:tcPr>
            <w:tcW w:w="764" w:type="pct"/>
            <w:shd w:val="clear" w:color="auto" w:fill="D9D9D9"/>
            <w:vAlign w:val="bottom"/>
          </w:tcPr>
          <w:p w:rsidR="00121A13" w:rsidRPr="00121A13" w:rsidP="00121A13" w14:paraId="34F5FBBF" w14:textId="77777777">
            <w:pPr>
              <w:jc w:val="center"/>
              <w:rPr>
                <w:rFonts w:eastAsia="Calibri"/>
                <w:b/>
                <w:sz w:val="20"/>
                <w:szCs w:val="20"/>
              </w:rPr>
            </w:pPr>
            <w:r w:rsidRPr="00121A13">
              <w:rPr>
                <w:rFonts w:eastAsia="Calibri"/>
                <w:b/>
                <w:sz w:val="20"/>
                <w:szCs w:val="20"/>
              </w:rPr>
              <w:t>Number of Respondents</w:t>
            </w:r>
            <w:r w:rsidRPr="00121A13">
              <w:rPr>
                <w:rFonts w:eastAsia="Calibri"/>
                <w:b/>
                <w:sz w:val="20"/>
                <w:szCs w:val="20"/>
              </w:rPr>
              <w:br/>
              <w:t>(1)</w:t>
            </w:r>
          </w:p>
        </w:tc>
        <w:tc>
          <w:tcPr>
            <w:tcW w:w="764" w:type="pct"/>
            <w:shd w:val="clear" w:color="auto" w:fill="D9D9D9"/>
            <w:vAlign w:val="bottom"/>
          </w:tcPr>
          <w:p w:rsidR="00121A13" w:rsidRPr="00121A13" w:rsidP="00121A13" w14:paraId="5BC798DD" w14:textId="77777777">
            <w:pPr>
              <w:jc w:val="center"/>
              <w:rPr>
                <w:rFonts w:eastAsia="Calibri"/>
                <w:b/>
                <w:sz w:val="20"/>
                <w:szCs w:val="20"/>
              </w:rPr>
            </w:pPr>
            <w:r w:rsidRPr="00121A13">
              <w:rPr>
                <w:rFonts w:eastAsia="Calibri"/>
                <w:b/>
                <w:sz w:val="20"/>
                <w:szCs w:val="20"/>
              </w:rPr>
              <w:t>Annual Number of Responses per Respondent</w:t>
            </w:r>
          </w:p>
          <w:p w:rsidR="00121A13" w:rsidRPr="00121A13" w:rsidP="00121A13" w14:paraId="13404542" w14:textId="77777777">
            <w:pPr>
              <w:jc w:val="center"/>
              <w:rPr>
                <w:rFonts w:eastAsia="Calibri"/>
                <w:b/>
                <w:sz w:val="20"/>
                <w:szCs w:val="20"/>
              </w:rPr>
            </w:pPr>
            <w:r w:rsidRPr="00121A13">
              <w:rPr>
                <w:rFonts w:eastAsia="Calibri"/>
                <w:b/>
                <w:sz w:val="20"/>
                <w:szCs w:val="20"/>
              </w:rPr>
              <w:t>(2)</w:t>
            </w:r>
          </w:p>
        </w:tc>
        <w:tc>
          <w:tcPr>
            <w:tcW w:w="720" w:type="pct"/>
            <w:shd w:val="clear" w:color="auto" w:fill="D9D9D9"/>
            <w:vAlign w:val="bottom"/>
          </w:tcPr>
          <w:p w:rsidR="00121A13" w:rsidRPr="00121A13" w:rsidP="00121A13" w14:paraId="23ADA8D4" w14:textId="77777777">
            <w:pPr>
              <w:jc w:val="center"/>
              <w:rPr>
                <w:rFonts w:eastAsia="Calibri"/>
                <w:b/>
                <w:sz w:val="20"/>
                <w:szCs w:val="20"/>
              </w:rPr>
            </w:pPr>
            <w:r w:rsidRPr="00121A13">
              <w:rPr>
                <w:rFonts w:eastAsia="Calibri"/>
                <w:b/>
                <w:sz w:val="20"/>
                <w:szCs w:val="20"/>
              </w:rPr>
              <w:t>Total Number of Responses (</w:t>
            </w:r>
            <w:r w:rsidRPr="00121A13">
              <w:rPr>
                <w:rFonts w:eastAsia="Calibri"/>
                <w:b/>
                <w:sz w:val="20"/>
                <w:szCs w:val="20"/>
              </w:rPr>
              <w:t>1)*</w:t>
            </w:r>
            <w:r w:rsidRPr="00121A13">
              <w:rPr>
                <w:rFonts w:eastAsia="Calibri"/>
                <w:b/>
                <w:sz w:val="20"/>
                <w:szCs w:val="20"/>
              </w:rPr>
              <w:t>(2)=(3)</w:t>
            </w:r>
          </w:p>
        </w:tc>
        <w:tc>
          <w:tcPr>
            <w:tcW w:w="933" w:type="pct"/>
            <w:shd w:val="clear" w:color="auto" w:fill="D9D9D9"/>
            <w:vAlign w:val="bottom"/>
          </w:tcPr>
          <w:p w:rsidR="00121A13" w:rsidRPr="00121A13" w:rsidP="00121A13" w14:paraId="58329B2A" w14:textId="77777777">
            <w:pPr>
              <w:jc w:val="center"/>
              <w:rPr>
                <w:rFonts w:eastAsia="Calibri"/>
                <w:b/>
                <w:sz w:val="20"/>
                <w:szCs w:val="20"/>
              </w:rPr>
            </w:pPr>
            <w:r w:rsidRPr="00121A13">
              <w:rPr>
                <w:rFonts w:eastAsia="Calibri"/>
                <w:b/>
                <w:sz w:val="20"/>
                <w:szCs w:val="20"/>
              </w:rPr>
              <w:t>Average Burden Hrs. &amp; Cost Per Response</w:t>
            </w:r>
            <w:r>
              <w:rPr>
                <w:rFonts w:eastAsia="Calibri"/>
                <w:b/>
                <w:sz w:val="20"/>
                <w:szCs w:val="20"/>
                <w:vertAlign w:val="superscript"/>
              </w:rPr>
              <w:footnoteReference w:id="6"/>
            </w:r>
          </w:p>
          <w:p w:rsidR="00121A13" w:rsidRPr="00121A13" w:rsidP="00121A13" w14:paraId="28778568" w14:textId="77777777">
            <w:pPr>
              <w:jc w:val="center"/>
              <w:rPr>
                <w:rFonts w:eastAsia="Calibri"/>
                <w:b/>
                <w:sz w:val="20"/>
                <w:szCs w:val="20"/>
              </w:rPr>
            </w:pPr>
            <w:r w:rsidRPr="00121A13">
              <w:rPr>
                <w:rFonts w:eastAsia="Calibri"/>
                <w:b/>
                <w:sz w:val="20"/>
                <w:szCs w:val="20"/>
              </w:rPr>
              <w:t>(4)</w:t>
            </w:r>
          </w:p>
        </w:tc>
        <w:tc>
          <w:tcPr>
            <w:tcW w:w="920" w:type="pct"/>
            <w:shd w:val="clear" w:color="auto" w:fill="D9D9D9"/>
            <w:vAlign w:val="bottom"/>
          </w:tcPr>
          <w:p w:rsidR="00121A13" w:rsidRPr="00121A13" w:rsidP="00121A13" w14:paraId="0C45B6E2" w14:textId="64C5E667">
            <w:pPr>
              <w:jc w:val="center"/>
              <w:rPr>
                <w:rFonts w:eastAsia="Calibri"/>
                <w:b/>
                <w:sz w:val="20"/>
                <w:szCs w:val="20"/>
              </w:rPr>
            </w:pPr>
            <w:r w:rsidRPr="00121A13">
              <w:rPr>
                <w:rFonts w:eastAsia="Calibri"/>
                <w:b/>
                <w:sz w:val="20"/>
                <w:szCs w:val="20"/>
              </w:rPr>
              <w:t>Total Annual Burden Hours &amp; Total Annual Cost</w:t>
            </w:r>
          </w:p>
          <w:p w:rsidR="00121A13" w:rsidRPr="00121A13" w:rsidP="00121A13" w14:paraId="6985B63E" w14:textId="77777777">
            <w:pPr>
              <w:jc w:val="center"/>
              <w:rPr>
                <w:rFonts w:eastAsia="Calibri"/>
                <w:b/>
                <w:sz w:val="20"/>
                <w:szCs w:val="20"/>
              </w:rPr>
            </w:pPr>
            <w:r w:rsidRPr="00121A13">
              <w:rPr>
                <w:rFonts w:eastAsia="Calibri"/>
                <w:b/>
                <w:sz w:val="20"/>
                <w:szCs w:val="20"/>
              </w:rPr>
              <w:t>(</w:t>
            </w:r>
            <w:r w:rsidRPr="00121A13">
              <w:rPr>
                <w:rFonts w:eastAsia="Calibri"/>
                <w:b/>
                <w:sz w:val="20"/>
                <w:szCs w:val="20"/>
              </w:rPr>
              <w:t>3)*</w:t>
            </w:r>
            <w:r w:rsidRPr="00121A13">
              <w:rPr>
                <w:rFonts w:eastAsia="Calibri"/>
                <w:b/>
                <w:sz w:val="20"/>
                <w:szCs w:val="20"/>
              </w:rPr>
              <w:t>(4)=(5)</w:t>
            </w:r>
          </w:p>
        </w:tc>
      </w:tr>
      <w:tr w14:paraId="3D7C9375" w14:textId="77777777" w:rsidTr="00265440">
        <w:tblPrEx>
          <w:tblW w:w="5234" w:type="pct"/>
          <w:tblInd w:w="-72" w:type="dxa"/>
          <w:tblLayout w:type="fixed"/>
          <w:tblLook w:val="01E0"/>
        </w:tblPrEx>
        <w:trPr>
          <w:cantSplit/>
        </w:trPr>
        <w:tc>
          <w:tcPr>
            <w:tcW w:w="899" w:type="pct"/>
            <w:vMerge w:val="restart"/>
            <w:vAlign w:val="center"/>
          </w:tcPr>
          <w:p w:rsidR="00463A82" w:rsidRPr="00121A13" w:rsidP="00617040" w14:paraId="1C527C59" w14:textId="77777777">
            <w:pPr>
              <w:jc w:val="center"/>
              <w:rPr>
                <w:rFonts w:eastAsia="Calibri"/>
                <w:sz w:val="20"/>
                <w:szCs w:val="20"/>
              </w:rPr>
            </w:pPr>
            <w:r w:rsidRPr="00121A13">
              <w:rPr>
                <w:rFonts w:eastAsia="Calibri"/>
                <w:sz w:val="20"/>
                <w:szCs w:val="20"/>
              </w:rPr>
              <w:t>PRC-005-6 Reliability Standard</w:t>
            </w:r>
          </w:p>
        </w:tc>
        <w:tc>
          <w:tcPr>
            <w:tcW w:w="764" w:type="pct"/>
          </w:tcPr>
          <w:p w:rsidR="00463A82" w:rsidRPr="00121A13" w:rsidP="00121A13" w14:paraId="23792B8A" w14:textId="709D56C7">
            <w:pPr>
              <w:jc w:val="right"/>
              <w:rPr>
                <w:rFonts w:eastAsia="Calibri"/>
                <w:sz w:val="20"/>
                <w:szCs w:val="20"/>
              </w:rPr>
            </w:pPr>
            <w:r>
              <w:rPr>
                <w:rFonts w:eastAsia="Calibri"/>
                <w:sz w:val="20"/>
                <w:szCs w:val="20"/>
              </w:rPr>
              <w:t>TO (332)</w:t>
            </w:r>
          </w:p>
        </w:tc>
        <w:tc>
          <w:tcPr>
            <w:tcW w:w="764" w:type="pct"/>
          </w:tcPr>
          <w:p w:rsidR="00463A82" w:rsidRPr="00121A13" w:rsidP="00121A13" w14:paraId="7A88125D" w14:textId="77777777">
            <w:pPr>
              <w:jc w:val="right"/>
              <w:rPr>
                <w:rFonts w:eastAsia="Calibri"/>
                <w:sz w:val="20"/>
                <w:szCs w:val="20"/>
              </w:rPr>
            </w:pPr>
            <w:r w:rsidRPr="00121A13">
              <w:rPr>
                <w:rFonts w:eastAsia="Calibri"/>
                <w:sz w:val="20"/>
                <w:szCs w:val="20"/>
              </w:rPr>
              <w:t>1</w:t>
            </w:r>
          </w:p>
        </w:tc>
        <w:tc>
          <w:tcPr>
            <w:tcW w:w="720" w:type="pct"/>
          </w:tcPr>
          <w:p w:rsidR="00463A82" w:rsidRPr="00121A13" w:rsidP="00121A13" w14:paraId="513573B1" w14:textId="5F1705DB">
            <w:pPr>
              <w:jc w:val="right"/>
              <w:rPr>
                <w:rFonts w:eastAsia="Calibri"/>
                <w:sz w:val="20"/>
                <w:szCs w:val="20"/>
              </w:rPr>
            </w:pPr>
            <w:r>
              <w:rPr>
                <w:rFonts w:eastAsia="Calibri"/>
                <w:sz w:val="20"/>
                <w:szCs w:val="20"/>
              </w:rPr>
              <w:t>332</w:t>
            </w:r>
          </w:p>
        </w:tc>
        <w:tc>
          <w:tcPr>
            <w:tcW w:w="933" w:type="pct"/>
          </w:tcPr>
          <w:p w:rsidR="00463A82" w:rsidRPr="008A5950" w:rsidP="00121A13" w14:paraId="0AA43B86" w14:textId="77777777">
            <w:pPr>
              <w:jc w:val="right"/>
              <w:rPr>
                <w:rFonts w:eastAsia="Calibri"/>
                <w:sz w:val="20"/>
                <w:szCs w:val="20"/>
              </w:rPr>
            </w:pPr>
            <w:r w:rsidRPr="008A5950">
              <w:rPr>
                <w:rFonts w:eastAsia="Calibri"/>
                <w:sz w:val="20"/>
                <w:szCs w:val="20"/>
              </w:rPr>
              <w:t xml:space="preserve">2 </w:t>
            </w:r>
            <w:r w:rsidRPr="008A5950">
              <w:rPr>
                <w:rFonts w:eastAsia="Calibri"/>
                <w:sz w:val="20"/>
                <w:szCs w:val="20"/>
              </w:rPr>
              <w:t>hrs.;</w:t>
            </w:r>
          </w:p>
          <w:p w:rsidR="00463A82" w:rsidRPr="008A5950" w:rsidP="00121A13" w14:paraId="598C3E92" w14:textId="4FA697E3">
            <w:pPr>
              <w:jc w:val="right"/>
              <w:rPr>
                <w:rFonts w:eastAsia="Calibri"/>
                <w:sz w:val="20"/>
                <w:szCs w:val="20"/>
              </w:rPr>
            </w:pPr>
            <w:r w:rsidRPr="008A5950">
              <w:rPr>
                <w:rFonts w:eastAsia="Calibri"/>
                <w:sz w:val="20"/>
                <w:szCs w:val="20"/>
              </w:rPr>
              <w:t>$144.3</w:t>
            </w:r>
            <w:r w:rsidR="00663763">
              <w:rPr>
                <w:rFonts w:eastAsia="Calibri"/>
                <w:sz w:val="20"/>
                <w:szCs w:val="20"/>
              </w:rPr>
              <w:t>0</w:t>
            </w:r>
          </w:p>
        </w:tc>
        <w:tc>
          <w:tcPr>
            <w:tcW w:w="920" w:type="pct"/>
          </w:tcPr>
          <w:p w:rsidR="00463A82" w:rsidRPr="008A5950" w:rsidP="00121A13" w14:paraId="74495E66" w14:textId="11487C40">
            <w:pPr>
              <w:jc w:val="right"/>
              <w:rPr>
                <w:rFonts w:eastAsia="Calibri"/>
                <w:sz w:val="20"/>
                <w:szCs w:val="20"/>
              </w:rPr>
            </w:pPr>
            <w:r w:rsidRPr="008A5950">
              <w:rPr>
                <w:rFonts w:eastAsia="Calibri"/>
                <w:sz w:val="20"/>
                <w:szCs w:val="20"/>
              </w:rPr>
              <w:t xml:space="preserve">664 </w:t>
            </w:r>
            <w:r w:rsidRPr="008A5950">
              <w:rPr>
                <w:rFonts w:eastAsia="Calibri"/>
                <w:sz w:val="20"/>
                <w:szCs w:val="20"/>
              </w:rPr>
              <w:t>hrs.;</w:t>
            </w:r>
          </w:p>
          <w:p w:rsidR="00463A82" w:rsidRPr="008A5950" w:rsidP="00121A13" w14:paraId="3DB75675" w14:textId="76CC2862">
            <w:pPr>
              <w:jc w:val="right"/>
              <w:rPr>
                <w:rFonts w:eastAsia="Calibri"/>
                <w:sz w:val="20"/>
                <w:szCs w:val="20"/>
              </w:rPr>
            </w:pPr>
            <w:r w:rsidRPr="008A5950">
              <w:rPr>
                <w:rFonts w:eastAsia="Calibri"/>
                <w:sz w:val="20"/>
                <w:szCs w:val="20"/>
              </w:rPr>
              <w:t>$</w:t>
            </w:r>
            <w:r w:rsidR="00084AF1">
              <w:rPr>
                <w:rFonts w:eastAsia="Calibri"/>
                <w:sz w:val="20"/>
                <w:szCs w:val="20"/>
              </w:rPr>
              <w:t>47,907.6</w:t>
            </w:r>
            <w:r w:rsidR="00ED4484">
              <w:rPr>
                <w:rFonts w:eastAsia="Calibri"/>
                <w:sz w:val="20"/>
                <w:szCs w:val="20"/>
              </w:rPr>
              <w:t>0</w:t>
            </w:r>
          </w:p>
        </w:tc>
      </w:tr>
      <w:tr w14:paraId="6253E40D" w14:textId="77777777" w:rsidTr="00265440">
        <w:tblPrEx>
          <w:tblW w:w="5234" w:type="pct"/>
          <w:tblInd w:w="-72" w:type="dxa"/>
          <w:tblLayout w:type="fixed"/>
          <w:tblLook w:val="01E0"/>
        </w:tblPrEx>
        <w:trPr>
          <w:cantSplit/>
        </w:trPr>
        <w:tc>
          <w:tcPr>
            <w:tcW w:w="899" w:type="pct"/>
            <w:vMerge/>
          </w:tcPr>
          <w:p w:rsidR="00463A82" w:rsidRPr="00121A13" w:rsidP="00617040" w14:paraId="34AD27B5" w14:textId="77777777">
            <w:pPr>
              <w:jc w:val="center"/>
              <w:rPr>
                <w:rFonts w:eastAsia="Calibri"/>
                <w:sz w:val="20"/>
                <w:szCs w:val="20"/>
              </w:rPr>
            </w:pPr>
          </w:p>
        </w:tc>
        <w:tc>
          <w:tcPr>
            <w:tcW w:w="764" w:type="pct"/>
          </w:tcPr>
          <w:p w:rsidR="00463A82" w:rsidRPr="00121A13" w:rsidP="00121A13" w14:paraId="71D92ABC" w14:textId="05858781">
            <w:pPr>
              <w:jc w:val="right"/>
              <w:rPr>
                <w:rFonts w:eastAsia="Calibri"/>
                <w:sz w:val="20"/>
                <w:szCs w:val="20"/>
              </w:rPr>
            </w:pPr>
            <w:r>
              <w:rPr>
                <w:rFonts w:eastAsia="Calibri"/>
                <w:sz w:val="20"/>
                <w:szCs w:val="20"/>
              </w:rPr>
              <w:t>GO (1094)</w:t>
            </w:r>
          </w:p>
        </w:tc>
        <w:tc>
          <w:tcPr>
            <w:tcW w:w="764" w:type="pct"/>
          </w:tcPr>
          <w:p w:rsidR="00463A82" w:rsidRPr="00121A13" w:rsidP="00121A13" w14:paraId="33496249" w14:textId="7069CD89">
            <w:pPr>
              <w:jc w:val="right"/>
              <w:rPr>
                <w:rFonts w:eastAsia="Calibri"/>
                <w:sz w:val="20"/>
                <w:szCs w:val="20"/>
              </w:rPr>
            </w:pPr>
            <w:r>
              <w:rPr>
                <w:rFonts w:eastAsia="Calibri"/>
                <w:sz w:val="20"/>
                <w:szCs w:val="20"/>
              </w:rPr>
              <w:t>1</w:t>
            </w:r>
          </w:p>
        </w:tc>
        <w:tc>
          <w:tcPr>
            <w:tcW w:w="720" w:type="pct"/>
          </w:tcPr>
          <w:p w:rsidR="00463A82" w:rsidRPr="00121A13" w:rsidP="00121A13" w14:paraId="214C6B41" w14:textId="503276CE">
            <w:pPr>
              <w:jc w:val="right"/>
              <w:rPr>
                <w:rFonts w:eastAsia="Calibri"/>
                <w:sz w:val="20"/>
                <w:szCs w:val="20"/>
              </w:rPr>
            </w:pPr>
            <w:r>
              <w:rPr>
                <w:rFonts w:eastAsia="Calibri"/>
                <w:sz w:val="20"/>
                <w:szCs w:val="20"/>
              </w:rPr>
              <w:t>1094</w:t>
            </w:r>
          </w:p>
        </w:tc>
        <w:tc>
          <w:tcPr>
            <w:tcW w:w="933" w:type="pct"/>
          </w:tcPr>
          <w:p w:rsidR="00463A82" w:rsidRPr="00121A13" w:rsidP="00121A13" w14:paraId="0BBB6333" w14:textId="61996916">
            <w:pPr>
              <w:jc w:val="right"/>
              <w:rPr>
                <w:rFonts w:eastAsia="Calibri"/>
                <w:sz w:val="20"/>
                <w:szCs w:val="20"/>
              </w:rPr>
            </w:pPr>
            <w:r>
              <w:rPr>
                <w:rFonts w:eastAsia="Calibri"/>
                <w:sz w:val="20"/>
                <w:szCs w:val="20"/>
              </w:rPr>
              <w:t>2</w:t>
            </w:r>
            <w:r w:rsidR="00A8079B">
              <w:rPr>
                <w:rFonts w:eastAsia="Calibri"/>
                <w:sz w:val="20"/>
                <w:szCs w:val="20"/>
              </w:rPr>
              <w:t xml:space="preserve"> </w:t>
            </w:r>
            <w:r>
              <w:rPr>
                <w:rFonts w:eastAsia="Calibri"/>
                <w:sz w:val="20"/>
                <w:szCs w:val="20"/>
              </w:rPr>
              <w:t>hrs</w:t>
            </w:r>
            <w:r w:rsidR="00FB2CE9">
              <w:rPr>
                <w:rFonts w:eastAsia="Calibri"/>
                <w:sz w:val="20"/>
                <w:szCs w:val="20"/>
              </w:rPr>
              <w:t>.;</w:t>
            </w:r>
            <w:r w:rsidR="00091C54">
              <w:rPr>
                <w:rFonts w:eastAsia="Calibri"/>
                <w:sz w:val="20"/>
                <w:szCs w:val="20"/>
              </w:rPr>
              <w:br/>
            </w:r>
            <w:r w:rsidR="00FB2CE9">
              <w:rPr>
                <w:rFonts w:eastAsia="Calibri"/>
                <w:sz w:val="20"/>
                <w:szCs w:val="20"/>
              </w:rPr>
              <w:t>$144.3</w:t>
            </w:r>
            <w:r w:rsidR="00663763">
              <w:rPr>
                <w:rFonts w:eastAsia="Calibri"/>
                <w:sz w:val="20"/>
                <w:szCs w:val="20"/>
              </w:rPr>
              <w:t>0</w:t>
            </w:r>
            <w:r w:rsidR="00FB2CE9">
              <w:rPr>
                <w:rFonts w:eastAsia="Calibri"/>
                <w:sz w:val="20"/>
                <w:szCs w:val="20"/>
              </w:rPr>
              <w:t xml:space="preserve"> </w:t>
            </w:r>
          </w:p>
        </w:tc>
        <w:tc>
          <w:tcPr>
            <w:tcW w:w="920" w:type="pct"/>
          </w:tcPr>
          <w:p w:rsidR="00463A82" w:rsidP="00121A13" w14:paraId="7216725C" w14:textId="105D52BD">
            <w:pPr>
              <w:jc w:val="right"/>
              <w:rPr>
                <w:rFonts w:eastAsia="Calibri"/>
                <w:sz w:val="20"/>
                <w:szCs w:val="20"/>
              </w:rPr>
            </w:pPr>
            <w:r>
              <w:rPr>
                <w:rFonts w:eastAsia="Calibri"/>
                <w:sz w:val="20"/>
                <w:szCs w:val="20"/>
              </w:rPr>
              <w:t>2</w:t>
            </w:r>
            <w:r w:rsidR="00140C5A">
              <w:rPr>
                <w:rFonts w:eastAsia="Calibri"/>
                <w:sz w:val="20"/>
                <w:szCs w:val="20"/>
              </w:rPr>
              <w:t>,</w:t>
            </w:r>
            <w:r>
              <w:rPr>
                <w:rFonts w:eastAsia="Calibri"/>
                <w:sz w:val="20"/>
                <w:szCs w:val="20"/>
              </w:rPr>
              <w:t>188</w:t>
            </w:r>
            <w:r w:rsidR="00FA5A29">
              <w:rPr>
                <w:rFonts w:eastAsia="Calibri"/>
                <w:sz w:val="20"/>
                <w:szCs w:val="20"/>
              </w:rPr>
              <w:t xml:space="preserve"> </w:t>
            </w:r>
            <w:r w:rsidR="00FA5A29">
              <w:rPr>
                <w:rFonts w:eastAsia="Calibri"/>
                <w:sz w:val="20"/>
                <w:szCs w:val="20"/>
              </w:rPr>
              <w:t>hrs</w:t>
            </w:r>
            <w:r w:rsidR="00FB2CE9">
              <w:rPr>
                <w:rFonts w:eastAsia="Calibri"/>
                <w:sz w:val="20"/>
                <w:szCs w:val="20"/>
              </w:rPr>
              <w:t>.;</w:t>
            </w:r>
          </w:p>
          <w:p w:rsidR="00FB2CE9" w:rsidRPr="00121A13" w:rsidP="00121A13" w14:paraId="2ED9530D" w14:textId="0E5B2099">
            <w:pPr>
              <w:jc w:val="right"/>
              <w:rPr>
                <w:rFonts w:eastAsia="Calibri"/>
                <w:sz w:val="20"/>
                <w:szCs w:val="20"/>
              </w:rPr>
            </w:pPr>
            <w:r>
              <w:rPr>
                <w:rFonts w:eastAsia="Calibri"/>
                <w:sz w:val="20"/>
                <w:szCs w:val="20"/>
              </w:rPr>
              <w:t>$157,864.2</w:t>
            </w:r>
            <w:r w:rsidR="00663763">
              <w:rPr>
                <w:rFonts w:eastAsia="Calibri"/>
                <w:sz w:val="20"/>
                <w:szCs w:val="20"/>
              </w:rPr>
              <w:t>0</w:t>
            </w:r>
          </w:p>
        </w:tc>
      </w:tr>
      <w:tr w14:paraId="101454FA" w14:textId="77777777" w:rsidTr="00265440">
        <w:tblPrEx>
          <w:tblW w:w="5234" w:type="pct"/>
          <w:tblInd w:w="-72" w:type="dxa"/>
          <w:tblLayout w:type="fixed"/>
          <w:tblLook w:val="01E0"/>
        </w:tblPrEx>
        <w:trPr>
          <w:cantSplit/>
        </w:trPr>
        <w:tc>
          <w:tcPr>
            <w:tcW w:w="899" w:type="pct"/>
            <w:vMerge/>
          </w:tcPr>
          <w:p w:rsidR="00463A82" w:rsidP="00617040" w14:paraId="3E2F6B94" w14:textId="77777777">
            <w:pPr>
              <w:jc w:val="center"/>
              <w:rPr>
                <w:rFonts w:eastAsia="Calibri"/>
                <w:sz w:val="20"/>
                <w:szCs w:val="20"/>
              </w:rPr>
            </w:pPr>
          </w:p>
        </w:tc>
        <w:tc>
          <w:tcPr>
            <w:tcW w:w="764" w:type="pct"/>
          </w:tcPr>
          <w:p w:rsidR="00463A82" w:rsidRPr="00121A13" w:rsidP="00121A13" w14:paraId="3C3EE8A1" w14:textId="18F0FEC0">
            <w:pPr>
              <w:jc w:val="right"/>
              <w:rPr>
                <w:rFonts w:eastAsia="Calibri"/>
                <w:sz w:val="20"/>
                <w:szCs w:val="20"/>
              </w:rPr>
            </w:pPr>
            <w:r>
              <w:rPr>
                <w:rFonts w:eastAsia="Calibri"/>
                <w:sz w:val="20"/>
                <w:szCs w:val="20"/>
              </w:rPr>
              <w:t xml:space="preserve">DP (302) </w:t>
            </w:r>
          </w:p>
        </w:tc>
        <w:tc>
          <w:tcPr>
            <w:tcW w:w="764" w:type="pct"/>
          </w:tcPr>
          <w:p w:rsidR="00463A82" w:rsidRPr="00121A13" w:rsidP="00121A13" w14:paraId="546F367D" w14:textId="7063FE54">
            <w:pPr>
              <w:jc w:val="right"/>
              <w:rPr>
                <w:rFonts w:eastAsia="Calibri"/>
                <w:sz w:val="20"/>
                <w:szCs w:val="20"/>
              </w:rPr>
            </w:pPr>
            <w:r>
              <w:rPr>
                <w:rFonts w:eastAsia="Calibri"/>
                <w:sz w:val="20"/>
                <w:szCs w:val="20"/>
              </w:rPr>
              <w:t>1</w:t>
            </w:r>
          </w:p>
        </w:tc>
        <w:tc>
          <w:tcPr>
            <w:tcW w:w="720" w:type="pct"/>
          </w:tcPr>
          <w:p w:rsidR="00463A82" w:rsidRPr="00121A13" w:rsidP="00121A13" w14:paraId="498A369F" w14:textId="6C71E5B2">
            <w:pPr>
              <w:jc w:val="right"/>
              <w:rPr>
                <w:rFonts w:eastAsia="Calibri"/>
                <w:sz w:val="20"/>
                <w:szCs w:val="20"/>
              </w:rPr>
            </w:pPr>
            <w:r>
              <w:rPr>
                <w:rFonts w:eastAsia="Calibri"/>
                <w:sz w:val="20"/>
                <w:szCs w:val="20"/>
              </w:rPr>
              <w:t>302</w:t>
            </w:r>
          </w:p>
        </w:tc>
        <w:tc>
          <w:tcPr>
            <w:tcW w:w="933" w:type="pct"/>
          </w:tcPr>
          <w:p w:rsidR="00463A82" w:rsidRPr="00121A13" w:rsidP="00121A13" w14:paraId="565E4A1A" w14:textId="143AF41E">
            <w:pPr>
              <w:jc w:val="right"/>
              <w:rPr>
                <w:rFonts w:eastAsia="Calibri"/>
                <w:sz w:val="20"/>
                <w:szCs w:val="20"/>
              </w:rPr>
            </w:pPr>
            <w:r>
              <w:rPr>
                <w:rFonts w:eastAsia="Calibri"/>
                <w:sz w:val="20"/>
                <w:szCs w:val="20"/>
              </w:rPr>
              <w:t>2</w:t>
            </w:r>
            <w:r w:rsidR="00A8079B">
              <w:rPr>
                <w:rFonts w:eastAsia="Calibri"/>
                <w:sz w:val="20"/>
                <w:szCs w:val="20"/>
              </w:rPr>
              <w:t xml:space="preserve"> </w:t>
            </w:r>
            <w:r>
              <w:rPr>
                <w:rFonts w:eastAsia="Calibri"/>
                <w:sz w:val="20"/>
                <w:szCs w:val="20"/>
              </w:rPr>
              <w:t>hrs</w:t>
            </w:r>
            <w:r w:rsidR="00FB2CE9">
              <w:rPr>
                <w:rFonts w:eastAsia="Calibri"/>
                <w:sz w:val="20"/>
                <w:szCs w:val="20"/>
              </w:rPr>
              <w:t>.;</w:t>
            </w:r>
            <w:r w:rsidR="00091C54">
              <w:rPr>
                <w:rFonts w:eastAsia="Calibri"/>
                <w:sz w:val="20"/>
                <w:szCs w:val="20"/>
              </w:rPr>
              <w:br/>
            </w:r>
            <w:r w:rsidR="00FB2CE9">
              <w:rPr>
                <w:rFonts w:eastAsia="Calibri"/>
                <w:sz w:val="20"/>
                <w:szCs w:val="20"/>
              </w:rPr>
              <w:t>$144.3</w:t>
            </w:r>
            <w:r w:rsidR="00663763">
              <w:rPr>
                <w:rFonts w:eastAsia="Calibri"/>
                <w:sz w:val="20"/>
                <w:szCs w:val="20"/>
              </w:rPr>
              <w:t>0</w:t>
            </w:r>
            <w:r w:rsidR="003336A7">
              <w:rPr>
                <w:rFonts w:eastAsia="Calibri"/>
                <w:sz w:val="20"/>
                <w:szCs w:val="20"/>
              </w:rPr>
              <w:t xml:space="preserve"> </w:t>
            </w:r>
          </w:p>
        </w:tc>
        <w:tc>
          <w:tcPr>
            <w:tcW w:w="920" w:type="pct"/>
          </w:tcPr>
          <w:p w:rsidR="00463A82" w:rsidP="00121A13" w14:paraId="7C754F7F" w14:textId="77777777">
            <w:pPr>
              <w:jc w:val="right"/>
              <w:rPr>
                <w:rFonts w:eastAsia="Calibri"/>
                <w:sz w:val="20"/>
                <w:szCs w:val="20"/>
              </w:rPr>
            </w:pPr>
            <w:r>
              <w:rPr>
                <w:rFonts w:eastAsia="Calibri"/>
                <w:sz w:val="20"/>
                <w:szCs w:val="20"/>
              </w:rPr>
              <w:t xml:space="preserve">604 </w:t>
            </w:r>
            <w:r>
              <w:rPr>
                <w:rFonts w:eastAsia="Calibri"/>
                <w:sz w:val="20"/>
                <w:szCs w:val="20"/>
              </w:rPr>
              <w:t>hrs</w:t>
            </w:r>
            <w:r w:rsidR="00FB2CE9">
              <w:rPr>
                <w:rFonts w:eastAsia="Calibri"/>
                <w:sz w:val="20"/>
                <w:szCs w:val="20"/>
              </w:rPr>
              <w:t>.;</w:t>
            </w:r>
          </w:p>
          <w:p w:rsidR="00FB2CE9" w:rsidP="00121A13" w14:paraId="7A4DA733" w14:textId="6DC29394">
            <w:pPr>
              <w:jc w:val="right"/>
              <w:rPr>
                <w:rFonts w:eastAsia="Calibri"/>
                <w:sz w:val="20"/>
                <w:szCs w:val="20"/>
              </w:rPr>
            </w:pPr>
            <w:r>
              <w:rPr>
                <w:rFonts w:eastAsia="Calibri"/>
                <w:sz w:val="20"/>
                <w:szCs w:val="20"/>
              </w:rPr>
              <w:t>$43,578.6</w:t>
            </w:r>
            <w:r w:rsidR="00AD443F">
              <w:rPr>
                <w:rFonts w:eastAsia="Calibri"/>
                <w:sz w:val="20"/>
                <w:szCs w:val="20"/>
              </w:rPr>
              <w:t>0</w:t>
            </w:r>
          </w:p>
        </w:tc>
      </w:tr>
      <w:tr w14:paraId="45EF73C8" w14:textId="77777777" w:rsidTr="00265440">
        <w:tblPrEx>
          <w:tblW w:w="5234" w:type="pct"/>
          <w:tblInd w:w="-72" w:type="dxa"/>
          <w:tblLayout w:type="fixed"/>
          <w:tblLook w:val="01E0"/>
        </w:tblPrEx>
        <w:trPr>
          <w:cantSplit/>
          <w:trHeight w:val="575"/>
        </w:trPr>
        <w:tc>
          <w:tcPr>
            <w:tcW w:w="899" w:type="pct"/>
            <w:vMerge/>
          </w:tcPr>
          <w:p w:rsidR="00140C5A" w:rsidP="00617040" w14:paraId="335FC6BD" w14:textId="77777777">
            <w:pPr>
              <w:jc w:val="center"/>
              <w:rPr>
                <w:rFonts w:eastAsia="Calibri"/>
                <w:sz w:val="20"/>
                <w:szCs w:val="20"/>
              </w:rPr>
            </w:pPr>
          </w:p>
        </w:tc>
        <w:tc>
          <w:tcPr>
            <w:tcW w:w="764" w:type="pct"/>
            <w:shd w:val="clear" w:color="auto" w:fill="D9D9D9" w:themeFill="background1" w:themeFillShade="D9"/>
          </w:tcPr>
          <w:p w:rsidR="00140C5A" w:rsidP="00121A13" w14:paraId="7C58133A" w14:textId="77777777">
            <w:pPr>
              <w:jc w:val="right"/>
              <w:rPr>
                <w:rFonts w:eastAsia="Calibri"/>
                <w:sz w:val="20"/>
                <w:szCs w:val="20"/>
              </w:rPr>
            </w:pPr>
          </w:p>
        </w:tc>
        <w:tc>
          <w:tcPr>
            <w:tcW w:w="764" w:type="pct"/>
            <w:shd w:val="clear" w:color="auto" w:fill="D9D9D9" w:themeFill="background1" w:themeFillShade="D9"/>
          </w:tcPr>
          <w:p w:rsidR="00140C5A" w:rsidP="00121A13" w14:paraId="59E69EB7" w14:textId="77777777">
            <w:pPr>
              <w:jc w:val="right"/>
              <w:rPr>
                <w:rFonts w:eastAsia="Calibri"/>
                <w:sz w:val="20"/>
                <w:szCs w:val="20"/>
              </w:rPr>
            </w:pPr>
          </w:p>
        </w:tc>
        <w:tc>
          <w:tcPr>
            <w:tcW w:w="720" w:type="pct"/>
          </w:tcPr>
          <w:p w:rsidR="00140C5A" w:rsidP="00121A13" w14:paraId="7F63BC0D" w14:textId="2A52D536">
            <w:pPr>
              <w:jc w:val="right"/>
              <w:rPr>
                <w:rFonts w:eastAsia="Calibri"/>
                <w:sz w:val="20"/>
                <w:szCs w:val="20"/>
              </w:rPr>
            </w:pPr>
            <w:r>
              <w:rPr>
                <w:rFonts w:eastAsia="Calibri"/>
                <w:sz w:val="20"/>
                <w:szCs w:val="20"/>
              </w:rPr>
              <w:t>1,728</w:t>
            </w:r>
          </w:p>
        </w:tc>
        <w:tc>
          <w:tcPr>
            <w:tcW w:w="933" w:type="pct"/>
            <w:shd w:val="clear" w:color="auto" w:fill="D9D9D9" w:themeFill="background1" w:themeFillShade="D9"/>
          </w:tcPr>
          <w:p w:rsidR="00140C5A" w:rsidP="00121A13" w14:paraId="30323C4E" w14:textId="77777777">
            <w:pPr>
              <w:jc w:val="right"/>
              <w:rPr>
                <w:rFonts w:eastAsia="Calibri"/>
                <w:sz w:val="20"/>
                <w:szCs w:val="20"/>
              </w:rPr>
            </w:pPr>
          </w:p>
        </w:tc>
        <w:tc>
          <w:tcPr>
            <w:tcW w:w="920" w:type="pct"/>
          </w:tcPr>
          <w:p w:rsidR="00140C5A" w:rsidP="00140C5A" w14:paraId="7A9969BE" w14:textId="77777777">
            <w:pPr>
              <w:jc w:val="right"/>
              <w:rPr>
                <w:rFonts w:eastAsia="Calibri"/>
                <w:sz w:val="20"/>
                <w:szCs w:val="20"/>
              </w:rPr>
            </w:pPr>
            <w:r>
              <w:rPr>
                <w:rFonts w:eastAsia="Calibri"/>
                <w:sz w:val="20"/>
                <w:szCs w:val="20"/>
              </w:rPr>
              <w:t xml:space="preserve">3,456 </w:t>
            </w:r>
            <w:r>
              <w:rPr>
                <w:rFonts w:eastAsia="Calibri"/>
                <w:sz w:val="20"/>
                <w:szCs w:val="20"/>
              </w:rPr>
              <w:t>hrs.;</w:t>
            </w:r>
          </w:p>
          <w:p w:rsidR="00140C5A" w14:paraId="1240404D" w14:textId="4179B856">
            <w:pPr>
              <w:jc w:val="right"/>
              <w:rPr>
                <w:rFonts w:eastAsia="Calibri"/>
                <w:sz w:val="20"/>
                <w:szCs w:val="20"/>
              </w:rPr>
            </w:pPr>
            <w:r>
              <w:rPr>
                <w:rFonts w:eastAsia="Calibri"/>
                <w:sz w:val="20"/>
                <w:szCs w:val="20"/>
              </w:rPr>
              <w:t>$</w:t>
            </w:r>
            <w:r w:rsidR="007133B0">
              <w:rPr>
                <w:rFonts w:eastAsia="Calibri"/>
                <w:sz w:val="20"/>
                <w:szCs w:val="20"/>
              </w:rPr>
              <w:t>249,350.</w:t>
            </w:r>
            <w:r w:rsidR="00500FCF">
              <w:rPr>
                <w:rFonts w:eastAsia="Calibri"/>
                <w:sz w:val="20"/>
                <w:szCs w:val="20"/>
              </w:rPr>
              <w:t>4</w:t>
            </w:r>
            <w:r w:rsidR="00ED4484">
              <w:rPr>
                <w:rFonts w:eastAsia="Calibri"/>
                <w:sz w:val="20"/>
                <w:szCs w:val="20"/>
              </w:rPr>
              <w:t>0</w:t>
            </w:r>
          </w:p>
        </w:tc>
      </w:tr>
    </w:tbl>
    <w:p w:rsidR="00121A13" w:rsidRPr="00121A13" w:rsidP="00121A13" w14:paraId="6F31B7E2" w14:textId="77777777">
      <w:pPr>
        <w:spacing w:line="480" w:lineRule="auto"/>
        <w:rPr>
          <w:szCs w:val="26"/>
        </w:rPr>
      </w:pPr>
    </w:p>
    <w:p w:rsidR="00AE1F12" w:rsidP="00265440" w14:paraId="23EE29AC" w14:textId="74111D13">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t xml:space="preserve">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77777777">
      <w:pPr>
        <w:ind w:firstLine="2174"/>
        <w:jc w:val="center"/>
      </w:pPr>
      <w:r w:rsidRPr="00AB4DBF">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9298D" w:rsidP="00B01B16" w14:paraId="5228E55A" w14:textId="77777777">
      <w:r>
        <w:separator/>
      </w:r>
    </w:p>
  </w:footnote>
  <w:footnote w:type="continuationSeparator" w:id="1">
    <w:p w:rsidR="0089298D" w:rsidP="00B01B16" w14:paraId="6CD10B5A" w14:textId="77777777">
      <w:r>
        <w:continuationSeparator/>
      </w:r>
    </w:p>
  </w:footnote>
  <w:footnote w:type="continuationNotice" w:id="2">
    <w:p w:rsidR="0089298D" w14:paraId="5791B0B0" w14:textId="77777777"/>
  </w:footnote>
  <w:footnote w:id="3">
    <w:p w:rsidR="00121A13" w:rsidRPr="00265440" w:rsidP="00121A13" w14:paraId="616844C6" w14:textId="77777777">
      <w:pPr>
        <w:pStyle w:val="FootnoteText"/>
        <w:rPr>
          <w:sz w:val="26"/>
          <w:szCs w:val="26"/>
        </w:rPr>
      </w:pPr>
      <w:r w:rsidRPr="00265440">
        <w:rPr>
          <w:rStyle w:val="FootnoteReference"/>
        </w:rPr>
        <w:footnoteRef/>
      </w:r>
      <w:r w:rsidRPr="00265440">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rsidR="007133B0" w14:paraId="398CAF73" w14:textId="157159C9">
      <w:pPr>
        <w:pStyle w:val="FootnoteText"/>
      </w:pPr>
      <w:r>
        <w:rPr>
          <w:rStyle w:val="FootnoteReference"/>
        </w:rPr>
        <w:footnoteRef/>
      </w:r>
      <w:r>
        <w:t xml:space="preserve"> </w:t>
      </w:r>
      <w:r w:rsidRPr="00265440">
        <w:rPr>
          <w:sz w:val="26"/>
          <w:szCs w:val="26"/>
        </w:rPr>
        <w:t>Total number of responses have increased due an accurate estimate in burden</w:t>
      </w:r>
      <w:r w:rsidR="00624630">
        <w:rPr>
          <w:sz w:val="26"/>
          <w:szCs w:val="26"/>
        </w:rPr>
        <w:t xml:space="preserve"> and due to an increase in </w:t>
      </w:r>
      <w:r w:rsidRPr="00624630" w:rsidR="00624630">
        <w:rPr>
          <w:sz w:val="24"/>
          <w:szCs w:val="24"/>
        </w:rPr>
        <w:t>review and adjustment of existing program for reclosing relays and associated equipment</w:t>
      </w:r>
      <w:r w:rsidR="00624630">
        <w:rPr>
          <w:sz w:val="24"/>
          <w:szCs w:val="24"/>
        </w:rPr>
        <w:t>.</w:t>
      </w:r>
    </w:p>
  </w:footnote>
  <w:footnote w:id="5">
    <w:p w:rsidR="00121A13" w:rsidRPr="00265440" w:rsidP="00121A13" w14:paraId="78233A84" w14:textId="77777777">
      <w:pPr>
        <w:pStyle w:val="FootnoteText"/>
        <w:rPr>
          <w:sz w:val="26"/>
          <w:szCs w:val="26"/>
        </w:rPr>
      </w:pPr>
      <w:r w:rsidRPr="00265440">
        <w:rPr>
          <w:rStyle w:val="FootnoteReference"/>
        </w:rPr>
        <w:footnoteRef/>
      </w:r>
      <w:r w:rsidRPr="00265440">
        <w:rPr>
          <w:sz w:val="26"/>
          <w:szCs w:val="26"/>
        </w:rPr>
        <w:t xml:space="preserve"> Entities affected by the PRC-005-6 Reliability Standard are registered to serve any of the following roles: </w:t>
      </w:r>
    </w:p>
    <w:p w:rsidR="00121A13" w:rsidRPr="00265440" w:rsidP="00121A13" w14:paraId="2E59668D" w14:textId="7C5ECB3C">
      <w:pPr>
        <w:pStyle w:val="FootnoteText"/>
        <w:rPr>
          <w:sz w:val="26"/>
          <w:szCs w:val="26"/>
        </w:rPr>
      </w:pPr>
      <w:r w:rsidRPr="00265440">
        <w:rPr>
          <w:sz w:val="26"/>
          <w:szCs w:val="26"/>
        </w:rPr>
        <w:t>TO=Transmission Owner;</w:t>
      </w:r>
      <w:r w:rsidRPr="00265440">
        <w:rPr>
          <w:sz w:val="26"/>
          <w:szCs w:val="26"/>
        </w:rPr>
        <w:t xml:space="preserve"> </w:t>
      </w:r>
      <w:r w:rsidRPr="00265440">
        <w:rPr>
          <w:sz w:val="26"/>
          <w:szCs w:val="26"/>
        </w:rPr>
        <w:t>GO=Generator Owner; DP=Distribution Provider.</w:t>
      </w:r>
      <w:r w:rsidRPr="00265440" w:rsidR="00223A78">
        <w:rPr>
          <w:sz w:val="26"/>
          <w:szCs w:val="26"/>
        </w:rPr>
        <w:t xml:space="preserve">  </w:t>
      </w:r>
      <w:r w:rsidRPr="00265440">
        <w:rPr>
          <w:sz w:val="26"/>
          <w:szCs w:val="26"/>
        </w:rPr>
        <w:t xml:space="preserve">Some entities are registered to serve </w:t>
      </w:r>
      <w:r w:rsidRPr="00265440">
        <w:rPr>
          <w:sz w:val="26"/>
          <w:szCs w:val="26"/>
        </w:rPr>
        <w:t xml:space="preserve">multiple </w:t>
      </w:r>
      <w:r w:rsidRPr="00265440">
        <w:rPr>
          <w:sz w:val="26"/>
          <w:szCs w:val="26"/>
        </w:rPr>
        <w:t>roles.</w:t>
      </w:r>
    </w:p>
  </w:footnote>
  <w:footnote w:id="6">
    <w:p w:rsidR="00121A13" w:rsidRPr="00265440" w:rsidP="00121A13" w14:paraId="36C0052B" w14:textId="0E46238E">
      <w:pPr>
        <w:pStyle w:val="FootnoteText"/>
        <w:rPr>
          <w:sz w:val="26"/>
          <w:szCs w:val="26"/>
        </w:rPr>
      </w:pPr>
      <w:r w:rsidRPr="00265440">
        <w:rPr>
          <w:rStyle w:val="FootnoteReference"/>
        </w:rPr>
        <w:footnoteRef/>
      </w:r>
      <w:r w:rsidRPr="00265440">
        <w:rPr>
          <w:sz w:val="26"/>
          <w:szCs w:val="26"/>
        </w:rPr>
        <w:t xml:space="preserve"> The estimated hourly cost (salary plus benefits) provided in this section is based on the salary figures (</w:t>
      </w:r>
      <w:hyperlink r:id="rId1" w:history="1">
        <w:r w:rsidRPr="00265440">
          <w:rPr>
            <w:rStyle w:val="Hyperlink"/>
            <w:sz w:val="26"/>
            <w:szCs w:val="26"/>
          </w:rPr>
          <w:t>http://www.bls.gov/oes/current/naics2_22.htm</w:t>
        </w:r>
      </w:hyperlink>
      <w:r w:rsidRPr="00265440">
        <w:rPr>
          <w:rStyle w:val="Hyperlink"/>
          <w:sz w:val="26"/>
          <w:szCs w:val="26"/>
        </w:rPr>
        <w:t>)</w:t>
      </w:r>
      <w:r w:rsidRPr="00265440">
        <w:rPr>
          <w:sz w:val="26"/>
          <w:szCs w:val="26"/>
        </w:rPr>
        <w:t xml:space="preserve"> and benefits (</w:t>
      </w:r>
      <w:hyperlink r:id="rId2" w:history="1">
        <w:r w:rsidRPr="00265440">
          <w:rPr>
            <w:rStyle w:val="Hyperlink"/>
            <w:sz w:val="26"/>
            <w:szCs w:val="26"/>
          </w:rPr>
          <w:t>http://www.bls.gov/news.release/ecec.nr0.htm</w:t>
        </w:r>
      </w:hyperlink>
      <w:r w:rsidRPr="00265440">
        <w:rPr>
          <w:rStyle w:val="Hyperlink"/>
          <w:sz w:val="26"/>
          <w:szCs w:val="26"/>
        </w:rPr>
        <w:t>)</w:t>
      </w:r>
      <w:r w:rsidRPr="00265440">
        <w:rPr>
          <w:sz w:val="26"/>
          <w:szCs w:val="26"/>
        </w:rPr>
        <w:t xml:space="preserve"> for May 2021 posted by the Bureau of Labor Statistics for the Utilities sector.  The hourly estimates for salary plus benefits are $</w:t>
      </w:r>
      <w:r w:rsidRPr="00265440" w:rsidR="00E468FD">
        <w:rPr>
          <w:sz w:val="26"/>
          <w:szCs w:val="26"/>
        </w:rPr>
        <w:t>72.15</w:t>
      </w:r>
      <w:r w:rsidRPr="00265440">
        <w:rPr>
          <w:sz w:val="26"/>
          <w:szCs w:val="26"/>
        </w:rPr>
        <w:t>/hour based on the Electrical Engineering career (Occupation Code: 17-2071).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290D393C">
        <w:pPr>
          <w:pStyle w:val="Header"/>
        </w:pPr>
        <w:r w:rsidRPr="00D954AE">
          <w:t>Docket No. IC2</w:t>
        </w:r>
        <w:r w:rsidR="00775977">
          <w:t>2</w:t>
        </w:r>
        <w:r w:rsidR="008A5950">
          <w:t>-25</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9355AE"/>
    <w:multiLevelType w:val="hybridMultilevel"/>
    <w:tmpl w:val="64220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334CE6"/>
    <w:multiLevelType w:val="hybridMultilevel"/>
    <w:tmpl w:val="BE30E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DE40FB"/>
    <w:multiLevelType w:val="hybridMultilevel"/>
    <w:tmpl w:val="1FE04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6"/>
  </w:num>
  <w:num w:numId="5">
    <w:abstractNumId w:val="17"/>
  </w:num>
  <w:num w:numId="6">
    <w:abstractNumId w:val="2"/>
  </w:num>
  <w:num w:numId="7">
    <w:abstractNumId w:val="12"/>
  </w:num>
  <w:num w:numId="8">
    <w:abstractNumId w:val="1"/>
  </w:num>
  <w:num w:numId="9">
    <w:abstractNumId w:val="8"/>
  </w:num>
  <w:num w:numId="10">
    <w:abstractNumId w:val="16"/>
  </w:num>
  <w:num w:numId="11">
    <w:abstractNumId w:val="3"/>
  </w:num>
  <w:num w:numId="12">
    <w:abstractNumId w:val="13"/>
  </w:num>
  <w:num w:numId="13">
    <w:abstractNumId w:val="0"/>
  </w:num>
  <w:num w:numId="14">
    <w:abstractNumId w:val="14"/>
  </w:num>
  <w:num w:numId="15">
    <w:abstractNumId w:val="7"/>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46C95"/>
    <w:rsid w:val="0005167F"/>
    <w:rsid w:val="000578D5"/>
    <w:rsid w:val="00062427"/>
    <w:rsid w:val="0006681D"/>
    <w:rsid w:val="00072E34"/>
    <w:rsid w:val="00082413"/>
    <w:rsid w:val="00084AF1"/>
    <w:rsid w:val="00084E3D"/>
    <w:rsid w:val="0008692A"/>
    <w:rsid w:val="00091C54"/>
    <w:rsid w:val="00097607"/>
    <w:rsid w:val="000A0250"/>
    <w:rsid w:val="000A2903"/>
    <w:rsid w:val="000A3078"/>
    <w:rsid w:val="000A3C2F"/>
    <w:rsid w:val="000A6164"/>
    <w:rsid w:val="000A6F37"/>
    <w:rsid w:val="000A7E68"/>
    <w:rsid w:val="000B431B"/>
    <w:rsid w:val="000B5B66"/>
    <w:rsid w:val="000B5C78"/>
    <w:rsid w:val="000D2970"/>
    <w:rsid w:val="000D318C"/>
    <w:rsid w:val="000D6969"/>
    <w:rsid w:val="000E1256"/>
    <w:rsid w:val="000E2568"/>
    <w:rsid w:val="000E4C61"/>
    <w:rsid w:val="000F23F7"/>
    <w:rsid w:val="000F3BC3"/>
    <w:rsid w:val="000F606E"/>
    <w:rsid w:val="00104CBA"/>
    <w:rsid w:val="00112B6B"/>
    <w:rsid w:val="00116326"/>
    <w:rsid w:val="00121A13"/>
    <w:rsid w:val="00125991"/>
    <w:rsid w:val="001309CE"/>
    <w:rsid w:val="0013255C"/>
    <w:rsid w:val="00135FC5"/>
    <w:rsid w:val="00137823"/>
    <w:rsid w:val="00140C5A"/>
    <w:rsid w:val="00150CBC"/>
    <w:rsid w:val="001527E6"/>
    <w:rsid w:val="0015445B"/>
    <w:rsid w:val="00156BBB"/>
    <w:rsid w:val="001600DF"/>
    <w:rsid w:val="00164215"/>
    <w:rsid w:val="0017164F"/>
    <w:rsid w:val="00171725"/>
    <w:rsid w:val="0017684C"/>
    <w:rsid w:val="00177704"/>
    <w:rsid w:val="00181BF7"/>
    <w:rsid w:val="00184A26"/>
    <w:rsid w:val="00184B43"/>
    <w:rsid w:val="0019402A"/>
    <w:rsid w:val="00197435"/>
    <w:rsid w:val="001974A9"/>
    <w:rsid w:val="001A2DAA"/>
    <w:rsid w:val="001A4D96"/>
    <w:rsid w:val="001A6645"/>
    <w:rsid w:val="001A6AD6"/>
    <w:rsid w:val="001B0BD2"/>
    <w:rsid w:val="001B3B4B"/>
    <w:rsid w:val="001B619F"/>
    <w:rsid w:val="001B78B8"/>
    <w:rsid w:val="001C543C"/>
    <w:rsid w:val="001C7064"/>
    <w:rsid w:val="001D578A"/>
    <w:rsid w:val="001D5F38"/>
    <w:rsid w:val="001E3237"/>
    <w:rsid w:val="001F1CDF"/>
    <w:rsid w:val="001F5A3B"/>
    <w:rsid w:val="00202E41"/>
    <w:rsid w:val="0020446B"/>
    <w:rsid w:val="00207AE7"/>
    <w:rsid w:val="00211105"/>
    <w:rsid w:val="002131D0"/>
    <w:rsid w:val="00213696"/>
    <w:rsid w:val="00223204"/>
    <w:rsid w:val="00223A78"/>
    <w:rsid w:val="00224BF8"/>
    <w:rsid w:val="00224DD2"/>
    <w:rsid w:val="0023740C"/>
    <w:rsid w:val="00237AB9"/>
    <w:rsid w:val="0024271E"/>
    <w:rsid w:val="0024309C"/>
    <w:rsid w:val="0024309D"/>
    <w:rsid w:val="00253F98"/>
    <w:rsid w:val="00257CC2"/>
    <w:rsid w:val="00262096"/>
    <w:rsid w:val="00265440"/>
    <w:rsid w:val="00265B23"/>
    <w:rsid w:val="00266431"/>
    <w:rsid w:val="002673C4"/>
    <w:rsid w:val="00274ABD"/>
    <w:rsid w:val="002860AE"/>
    <w:rsid w:val="00286927"/>
    <w:rsid w:val="002906E5"/>
    <w:rsid w:val="00292A4C"/>
    <w:rsid w:val="002933AF"/>
    <w:rsid w:val="00297211"/>
    <w:rsid w:val="00297B2C"/>
    <w:rsid w:val="002B5874"/>
    <w:rsid w:val="002C2C8B"/>
    <w:rsid w:val="002C3223"/>
    <w:rsid w:val="002C3579"/>
    <w:rsid w:val="002C5E0E"/>
    <w:rsid w:val="002D17E5"/>
    <w:rsid w:val="002D57E8"/>
    <w:rsid w:val="002E06A0"/>
    <w:rsid w:val="002E1C29"/>
    <w:rsid w:val="002E28FC"/>
    <w:rsid w:val="002E68D4"/>
    <w:rsid w:val="002E6DAA"/>
    <w:rsid w:val="002E7818"/>
    <w:rsid w:val="002F3236"/>
    <w:rsid w:val="002F4401"/>
    <w:rsid w:val="002F708A"/>
    <w:rsid w:val="00301E3D"/>
    <w:rsid w:val="00303516"/>
    <w:rsid w:val="00306318"/>
    <w:rsid w:val="00311D90"/>
    <w:rsid w:val="00314219"/>
    <w:rsid w:val="003149BC"/>
    <w:rsid w:val="0033340D"/>
    <w:rsid w:val="003336A7"/>
    <w:rsid w:val="00336AD9"/>
    <w:rsid w:val="00340D3C"/>
    <w:rsid w:val="00353270"/>
    <w:rsid w:val="00365468"/>
    <w:rsid w:val="003658A2"/>
    <w:rsid w:val="003673EC"/>
    <w:rsid w:val="00373A2E"/>
    <w:rsid w:val="00373B03"/>
    <w:rsid w:val="003758CE"/>
    <w:rsid w:val="00376525"/>
    <w:rsid w:val="003848DA"/>
    <w:rsid w:val="00387992"/>
    <w:rsid w:val="00397ABE"/>
    <w:rsid w:val="003A0DBD"/>
    <w:rsid w:val="003A2C3F"/>
    <w:rsid w:val="003A32E7"/>
    <w:rsid w:val="003B29FB"/>
    <w:rsid w:val="003B435C"/>
    <w:rsid w:val="003B5B0B"/>
    <w:rsid w:val="003C08DE"/>
    <w:rsid w:val="003C3E7A"/>
    <w:rsid w:val="003D0BB4"/>
    <w:rsid w:val="003D28D2"/>
    <w:rsid w:val="003D361D"/>
    <w:rsid w:val="003E0B2A"/>
    <w:rsid w:val="003E1657"/>
    <w:rsid w:val="003E1B25"/>
    <w:rsid w:val="003E1B5A"/>
    <w:rsid w:val="003E40B2"/>
    <w:rsid w:val="003E44AD"/>
    <w:rsid w:val="003F0FE7"/>
    <w:rsid w:val="003F2E32"/>
    <w:rsid w:val="003F2EC7"/>
    <w:rsid w:val="003F50FD"/>
    <w:rsid w:val="003F570B"/>
    <w:rsid w:val="003F6466"/>
    <w:rsid w:val="003F7A51"/>
    <w:rsid w:val="004025D2"/>
    <w:rsid w:val="00407BCE"/>
    <w:rsid w:val="00410A8B"/>
    <w:rsid w:val="00411B62"/>
    <w:rsid w:val="00413AA8"/>
    <w:rsid w:val="00413FDE"/>
    <w:rsid w:val="004177CD"/>
    <w:rsid w:val="004255F4"/>
    <w:rsid w:val="0042688C"/>
    <w:rsid w:val="0042765E"/>
    <w:rsid w:val="00427AE5"/>
    <w:rsid w:val="004417C4"/>
    <w:rsid w:val="00441F16"/>
    <w:rsid w:val="00443282"/>
    <w:rsid w:val="00443E45"/>
    <w:rsid w:val="00447C9E"/>
    <w:rsid w:val="00450D64"/>
    <w:rsid w:val="004562F1"/>
    <w:rsid w:val="004628F2"/>
    <w:rsid w:val="00463A82"/>
    <w:rsid w:val="00465456"/>
    <w:rsid w:val="00471921"/>
    <w:rsid w:val="00480D2D"/>
    <w:rsid w:val="00480E44"/>
    <w:rsid w:val="004867A6"/>
    <w:rsid w:val="00491543"/>
    <w:rsid w:val="00497A62"/>
    <w:rsid w:val="004A2FEC"/>
    <w:rsid w:val="004A661D"/>
    <w:rsid w:val="004A6FC8"/>
    <w:rsid w:val="004C0BC3"/>
    <w:rsid w:val="004C70C8"/>
    <w:rsid w:val="004E44F8"/>
    <w:rsid w:val="004E683E"/>
    <w:rsid w:val="004F56E3"/>
    <w:rsid w:val="00500FCF"/>
    <w:rsid w:val="00506F3A"/>
    <w:rsid w:val="00524164"/>
    <w:rsid w:val="00527733"/>
    <w:rsid w:val="00531000"/>
    <w:rsid w:val="005401E0"/>
    <w:rsid w:val="00544424"/>
    <w:rsid w:val="005452CC"/>
    <w:rsid w:val="0054746C"/>
    <w:rsid w:val="0055326E"/>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6AD3"/>
    <w:rsid w:val="005F7CE1"/>
    <w:rsid w:val="00602995"/>
    <w:rsid w:val="006068D2"/>
    <w:rsid w:val="006128A5"/>
    <w:rsid w:val="00613169"/>
    <w:rsid w:val="00617040"/>
    <w:rsid w:val="00624630"/>
    <w:rsid w:val="0062572C"/>
    <w:rsid w:val="00630E07"/>
    <w:rsid w:val="0063784F"/>
    <w:rsid w:val="00637F43"/>
    <w:rsid w:val="00641F0D"/>
    <w:rsid w:val="00643772"/>
    <w:rsid w:val="00644A1B"/>
    <w:rsid w:val="00650E6C"/>
    <w:rsid w:val="006536D8"/>
    <w:rsid w:val="00654399"/>
    <w:rsid w:val="00654BA4"/>
    <w:rsid w:val="0066195A"/>
    <w:rsid w:val="0066281B"/>
    <w:rsid w:val="00663763"/>
    <w:rsid w:val="00663FBE"/>
    <w:rsid w:val="00664931"/>
    <w:rsid w:val="006670C8"/>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3B0"/>
    <w:rsid w:val="00713417"/>
    <w:rsid w:val="007142E3"/>
    <w:rsid w:val="00714EDD"/>
    <w:rsid w:val="0071596F"/>
    <w:rsid w:val="00723505"/>
    <w:rsid w:val="007263B9"/>
    <w:rsid w:val="007352F2"/>
    <w:rsid w:val="0075009F"/>
    <w:rsid w:val="00752A48"/>
    <w:rsid w:val="007557B7"/>
    <w:rsid w:val="00757503"/>
    <w:rsid w:val="00757707"/>
    <w:rsid w:val="00761148"/>
    <w:rsid w:val="007633DD"/>
    <w:rsid w:val="007755E3"/>
    <w:rsid w:val="00775977"/>
    <w:rsid w:val="00781E6A"/>
    <w:rsid w:val="00793A61"/>
    <w:rsid w:val="00796170"/>
    <w:rsid w:val="007B1F57"/>
    <w:rsid w:val="007B370F"/>
    <w:rsid w:val="007B4938"/>
    <w:rsid w:val="007D02D8"/>
    <w:rsid w:val="007D1F32"/>
    <w:rsid w:val="007D7D22"/>
    <w:rsid w:val="007E3706"/>
    <w:rsid w:val="007F4CD3"/>
    <w:rsid w:val="007F61C2"/>
    <w:rsid w:val="00800590"/>
    <w:rsid w:val="00801456"/>
    <w:rsid w:val="008018DB"/>
    <w:rsid w:val="00802851"/>
    <w:rsid w:val="00803CA2"/>
    <w:rsid w:val="00805159"/>
    <w:rsid w:val="00807CAC"/>
    <w:rsid w:val="008115BF"/>
    <w:rsid w:val="008143B0"/>
    <w:rsid w:val="00816942"/>
    <w:rsid w:val="008212DA"/>
    <w:rsid w:val="00823681"/>
    <w:rsid w:val="00824D81"/>
    <w:rsid w:val="0082638F"/>
    <w:rsid w:val="008316A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5950"/>
    <w:rsid w:val="008A7371"/>
    <w:rsid w:val="008B7EC5"/>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7820"/>
    <w:rsid w:val="009744C8"/>
    <w:rsid w:val="00974530"/>
    <w:rsid w:val="00974659"/>
    <w:rsid w:val="00980E58"/>
    <w:rsid w:val="009815BD"/>
    <w:rsid w:val="00981886"/>
    <w:rsid w:val="00983F64"/>
    <w:rsid w:val="00990102"/>
    <w:rsid w:val="00990FEC"/>
    <w:rsid w:val="00992257"/>
    <w:rsid w:val="009928CD"/>
    <w:rsid w:val="009949AA"/>
    <w:rsid w:val="00994BDD"/>
    <w:rsid w:val="00995921"/>
    <w:rsid w:val="009A1B08"/>
    <w:rsid w:val="009B0524"/>
    <w:rsid w:val="009B166F"/>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42617"/>
    <w:rsid w:val="00A52189"/>
    <w:rsid w:val="00A57463"/>
    <w:rsid w:val="00A664DF"/>
    <w:rsid w:val="00A71219"/>
    <w:rsid w:val="00A713D0"/>
    <w:rsid w:val="00A722D4"/>
    <w:rsid w:val="00A75AAA"/>
    <w:rsid w:val="00A8079B"/>
    <w:rsid w:val="00A82A29"/>
    <w:rsid w:val="00A86B6F"/>
    <w:rsid w:val="00A959E1"/>
    <w:rsid w:val="00AA516A"/>
    <w:rsid w:val="00AA5B0E"/>
    <w:rsid w:val="00AA6A4A"/>
    <w:rsid w:val="00AB4DBF"/>
    <w:rsid w:val="00AC0504"/>
    <w:rsid w:val="00AC1DB7"/>
    <w:rsid w:val="00AC381D"/>
    <w:rsid w:val="00AC3A7C"/>
    <w:rsid w:val="00AC62A6"/>
    <w:rsid w:val="00AC664F"/>
    <w:rsid w:val="00AC750B"/>
    <w:rsid w:val="00AD1E15"/>
    <w:rsid w:val="00AD443F"/>
    <w:rsid w:val="00AD6937"/>
    <w:rsid w:val="00AD6946"/>
    <w:rsid w:val="00AE1F12"/>
    <w:rsid w:val="00AE24CC"/>
    <w:rsid w:val="00AE4155"/>
    <w:rsid w:val="00AE4B7C"/>
    <w:rsid w:val="00AE621E"/>
    <w:rsid w:val="00AE66F6"/>
    <w:rsid w:val="00AF17CE"/>
    <w:rsid w:val="00AF336D"/>
    <w:rsid w:val="00AF349B"/>
    <w:rsid w:val="00AF60E7"/>
    <w:rsid w:val="00AF65F0"/>
    <w:rsid w:val="00B009E9"/>
    <w:rsid w:val="00B01711"/>
    <w:rsid w:val="00B01B16"/>
    <w:rsid w:val="00B062D0"/>
    <w:rsid w:val="00B11D16"/>
    <w:rsid w:val="00B17A95"/>
    <w:rsid w:val="00B20A44"/>
    <w:rsid w:val="00B231BF"/>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66994"/>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DED"/>
    <w:rsid w:val="00C367A6"/>
    <w:rsid w:val="00C37BFF"/>
    <w:rsid w:val="00C4250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4854"/>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36B"/>
    <w:rsid w:val="00DB6882"/>
    <w:rsid w:val="00DC4B63"/>
    <w:rsid w:val="00DC5017"/>
    <w:rsid w:val="00DC5129"/>
    <w:rsid w:val="00DD7F1B"/>
    <w:rsid w:val="00DE1A87"/>
    <w:rsid w:val="00DE26A9"/>
    <w:rsid w:val="00DE451F"/>
    <w:rsid w:val="00DF35FA"/>
    <w:rsid w:val="00E03D2D"/>
    <w:rsid w:val="00E0415D"/>
    <w:rsid w:val="00E12A7A"/>
    <w:rsid w:val="00E21B31"/>
    <w:rsid w:val="00E27FD6"/>
    <w:rsid w:val="00E36A0F"/>
    <w:rsid w:val="00E400C7"/>
    <w:rsid w:val="00E40322"/>
    <w:rsid w:val="00E40CB4"/>
    <w:rsid w:val="00E41DB9"/>
    <w:rsid w:val="00E468FD"/>
    <w:rsid w:val="00E51470"/>
    <w:rsid w:val="00E56612"/>
    <w:rsid w:val="00E71CC0"/>
    <w:rsid w:val="00E731AE"/>
    <w:rsid w:val="00E74310"/>
    <w:rsid w:val="00E762BB"/>
    <w:rsid w:val="00E865C8"/>
    <w:rsid w:val="00E8661B"/>
    <w:rsid w:val="00E9084E"/>
    <w:rsid w:val="00E962E6"/>
    <w:rsid w:val="00E97D7C"/>
    <w:rsid w:val="00EA1793"/>
    <w:rsid w:val="00EA689F"/>
    <w:rsid w:val="00EC1434"/>
    <w:rsid w:val="00EC72B0"/>
    <w:rsid w:val="00EC77B3"/>
    <w:rsid w:val="00ED0142"/>
    <w:rsid w:val="00ED4484"/>
    <w:rsid w:val="00ED74AF"/>
    <w:rsid w:val="00EE18F2"/>
    <w:rsid w:val="00EE365D"/>
    <w:rsid w:val="00EF33BE"/>
    <w:rsid w:val="00EF4F97"/>
    <w:rsid w:val="00F05673"/>
    <w:rsid w:val="00F126FC"/>
    <w:rsid w:val="00F12983"/>
    <w:rsid w:val="00F15359"/>
    <w:rsid w:val="00F175C4"/>
    <w:rsid w:val="00F23714"/>
    <w:rsid w:val="00F245A2"/>
    <w:rsid w:val="00F309CB"/>
    <w:rsid w:val="00F31B85"/>
    <w:rsid w:val="00F32530"/>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007A"/>
    <w:rsid w:val="00F82EE1"/>
    <w:rsid w:val="00F93134"/>
    <w:rsid w:val="00F935D3"/>
    <w:rsid w:val="00FA194B"/>
    <w:rsid w:val="00FA3E17"/>
    <w:rsid w:val="00FA5A29"/>
    <w:rsid w:val="00FB078F"/>
    <w:rsid w:val="00FB2CE9"/>
    <w:rsid w:val="00FB3586"/>
    <w:rsid w:val="00FC128B"/>
    <w:rsid w:val="00FC3F00"/>
    <w:rsid w:val="00FC750D"/>
    <w:rsid w:val="00FD0EA3"/>
    <w:rsid w:val="00FE34E4"/>
    <w:rsid w:val="00FF1D71"/>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cp:lastPrinted>2016-12-20T13:40:00Z</cp:lastPrinted>
  <dcterms:created xsi:type="dcterms:W3CDTF">2022-10-13T18:59:00Z</dcterms:created>
  <dcterms:modified xsi:type="dcterms:W3CDTF">2022-10-13T18:59:00Z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82bdd7bd-889f-400c-9d36-3d6eb6bd8e74</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2022-10-13T18:57:51Z</vt:lpwstr>
  </property>
  <property fmtid="{D5CDD505-2E9C-101B-9397-08002B2CF9AE}" pid="8" name="MSIP_Label_6155a89b-0f08-4a93-8ea2-8a916d6643b5_SiteId">
    <vt:lpwstr>19caa9e9-04ff-43fa-885f-d77fac387903</vt:lpwstr>
  </property>
</Properties>
</file>