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407F" w:rsidRPr="00BD0FD5" w:rsidP="0092596C" w14:paraId="34B02DCB" w14:textId="77777777">
      <w:pPr>
        <w:spacing w:after="0" w:line="240" w:lineRule="auto"/>
        <w:jc w:val="center"/>
        <w:rPr>
          <w:rFonts w:ascii="Times New Roman" w:hAnsi="Times New Roman"/>
          <w:sz w:val="24"/>
          <w:szCs w:val="24"/>
        </w:rPr>
      </w:pPr>
      <w:r w:rsidRPr="00BD0FD5">
        <w:rPr>
          <w:rFonts w:ascii="Times New Roman" w:hAnsi="Times New Roman"/>
          <w:sz w:val="24"/>
          <w:szCs w:val="24"/>
        </w:rPr>
        <w:t>Supporting Statement</w:t>
      </w:r>
    </w:p>
    <w:p w:rsidR="007D1EDB" w:rsidRPr="000943D4" w:rsidP="009D4D24" w14:paraId="65D98BDA" w14:textId="53A92442">
      <w:pPr>
        <w:spacing w:after="0" w:line="240" w:lineRule="auto"/>
        <w:jc w:val="center"/>
        <w:rPr>
          <w:rFonts w:ascii="Times New Roman" w:hAnsi="Times New Roman"/>
          <w:b/>
          <w:bCs/>
          <w:sz w:val="24"/>
          <w:szCs w:val="24"/>
        </w:rPr>
      </w:pPr>
      <w:r w:rsidRPr="000943D4">
        <w:rPr>
          <w:rFonts w:ascii="Times New Roman" w:eastAsia="Times New Roman" w:hAnsi="Times New Roman" w:cs="Times New Roman"/>
          <w:b/>
          <w:bCs/>
          <w:sz w:val="26"/>
          <w:szCs w:val="26"/>
        </w:rPr>
        <w:t>FERC-725A, FERC-725D, FERC-725G, FERC-725M and FERC-725Z</w:t>
      </w:r>
      <w:r w:rsidRPr="000943D4" w:rsidR="00B3407F">
        <w:rPr>
          <w:rFonts w:ascii="Times New Roman" w:hAnsi="Times New Roman"/>
          <w:b/>
          <w:bCs/>
          <w:sz w:val="24"/>
          <w:szCs w:val="24"/>
        </w:rPr>
        <w:t>,</w:t>
      </w:r>
      <w:r w:rsidRPr="000943D4" w:rsidR="008F16EE">
        <w:rPr>
          <w:rFonts w:ascii="Times New Roman" w:hAnsi="Times New Roman"/>
          <w:b/>
          <w:bCs/>
          <w:sz w:val="24"/>
          <w:szCs w:val="24"/>
        </w:rPr>
        <w:t xml:space="preserve"> Mandatory Reliability Standards</w:t>
      </w:r>
    </w:p>
    <w:p w:rsidR="00FD66F1" w:rsidRPr="00BD0FD5" w:rsidP="0092596C" w14:paraId="06ED65FC" w14:textId="77777777">
      <w:pPr>
        <w:spacing w:after="0" w:line="240" w:lineRule="auto"/>
        <w:rPr>
          <w:rFonts w:ascii="Times New Roman" w:hAnsi="Times New Roman" w:cs="Times New Roman"/>
          <w:sz w:val="24"/>
          <w:szCs w:val="24"/>
        </w:rPr>
      </w:pPr>
    </w:p>
    <w:p w:rsidR="0081469B" w:rsidRPr="00BD0FD5" w:rsidP="0081469B" w14:paraId="5C6E31D6" w14:textId="187AF92F">
      <w:pPr>
        <w:spacing w:after="0" w:line="240" w:lineRule="auto"/>
        <w:rPr>
          <w:rFonts w:ascii="Times New Roman" w:hAnsi="Times New Roman"/>
          <w:sz w:val="24"/>
          <w:szCs w:val="24"/>
        </w:rPr>
      </w:pPr>
      <w:r w:rsidRPr="00BD0FD5">
        <w:rPr>
          <w:rFonts w:ascii="Times New Roman" w:hAnsi="Times New Roman"/>
          <w:sz w:val="24"/>
          <w:szCs w:val="24"/>
        </w:rPr>
        <w:t>The existing</w:t>
      </w:r>
      <w:r w:rsidRPr="00BD0FD5" w:rsidR="00333EE2">
        <w:rPr>
          <w:rFonts w:ascii="Times New Roman" w:hAnsi="Times New Roman"/>
          <w:sz w:val="24"/>
          <w:szCs w:val="24"/>
        </w:rPr>
        <w:t xml:space="preserve"> information collection requireme</w:t>
      </w:r>
      <w:r w:rsidRPr="00BD0FD5" w:rsidR="007A7A19">
        <w:rPr>
          <w:rFonts w:ascii="Times New Roman" w:hAnsi="Times New Roman"/>
          <w:sz w:val="24"/>
          <w:szCs w:val="24"/>
        </w:rPr>
        <w:t xml:space="preserve">nts in the </w:t>
      </w:r>
      <w:r w:rsidR="00DD2B39">
        <w:rPr>
          <w:rFonts w:ascii="Times New Roman" w:hAnsi="Times New Roman"/>
          <w:sz w:val="24"/>
          <w:szCs w:val="24"/>
        </w:rPr>
        <w:t xml:space="preserve">currently effective </w:t>
      </w:r>
      <w:r w:rsidR="007E08EF">
        <w:rPr>
          <w:rFonts w:ascii="Times New Roman" w:hAnsi="Times New Roman"/>
          <w:sz w:val="24"/>
          <w:szCs w:val="24"/>
        </w:rPr>
        <w:t xml:space="preserve">Mandatory </w:t>
      </w:r>
      <w:r w:rsidRPr="00BD0FD5" w:rsidR="007A7A19">
        <w:rPr>
          <w:rFonts w:ascii="Times New Roman" w:hAnsi="Times New Roman"/>
          <w:sz w:val="24"/>
          <w:szCs w:val="24"/>
        </w:rPr>
        <w:t>Reliability Standard</w:t>
      </w:r>
      <w:r w:rsidR="007E08EF">
        <w:rPr>
          <w:rFonts w:ascii="Times New Roman" w:hAnsi="Times New Roman"/>
          <w:sz w:val="24"/>
          <w:szCs w:val="24"/>
        </w:rPr>
        <w:t>s</w:t>
      </w:r>
      <w:r w:rsidR="00DD2B39">
        <w:rPr>
          <w:rFonts w:ascii="Times New Roman" w:hAnsi="Times New Roman"/>
          <w:sz w:val="24"/>
          <w:szCs w:val="24"/>
        </w:rPr>
        <w:t>,</w:t>
      </w:r>
      <w:r w:rsidRPr="00BD0FD5" w:rsidR="00333EE2">
        <w:rPr>
          <w:rFonts w:ascii="Times New Roman" w:hAnsi="Times New Roman"/>
          <w:sz w:val="24"/>
          <w:szCs w:val="24"/>
        </w:rPr>
        <w:t xml:space="preserve"> are approved by OMB under </w:t>
      </w:r>
      <w:r w:rsidRPr="004F5391" w:rsidR="004F5391">
        <w:rPr>
          <w:rFonts w:ascii="Times New Roman" w:eastAsia="Times New Roman" w:hAnsi="Times New Roman" w:cs="Times New Roman"/>
          <w:sz w:val="26"/>
          <w:szCs w:val="26"/>
        </w:rPr>
        <w:t>FERC-725A,</w:t>
      </w:r>
      <w:r w:rsidRPr="000943D4" w:rsidR="000943D4">
        <w:rPr>
          <w:rFonts w:ascii="Times New Roman" w:hAnsi="Times New Roman"/>
          <w:b/>
          <w:sz w:val="24"/>
          <w:szCs w:val="24"/>
        </w:rPr>
        <w:t xml:space="preserve"> </w:t>
      </w:r>
      <w:r w:rsidRPr="000943D4" w:rsidR="000943D4">
        <w:rPr>
          <w:rFonts w:ascii="Times New Roman" w:hAnsi="Times New Roman"/>
          <w:bCs/>
          <w:sz w:val="24"/>
          <w:szCs w:val="24"/>
        </w:rPr>
        <w:t>Mandatory Reliability Standards for the Bulk Power System;</w:t>
      </w:r>
      <w:r w:rsidRPr="004F5391" w:rsidR="004F5391">
        <w:rPr>
          <w:rFonts w:ascii="Times New Roman" w:eastAsia="Times New Roman" w:hAnsi="Times New Roman" w:cs="Times New Roman"/>
          <w:sz w:val="26"/>
          <w:szCs w:val="26"/>
        </w:rPr>
        <w:t xml:space="preserve"> FERC-725D,</w:t>
      </w:r>
      <w:r w:rsidRPr="000943D4" w:rsidR="000943D4">
        <w:rPr>
          <w:rFonts w:ascii="Times New Roman" w:eastAsia="Calibri" w:hAnsi="Times New Roman" w:cs="Times New Roman"/>
          <w:sz w:val="24"/>
          <w:szCs w:val="24"/>
        </w:rPr>
        <w:t xml:space="preserve"> Facilities Design, Connections and Maintenance Reliability Standards</w:t>
      </w:r>
      <w:r w:rsidR="000943D4">
        <w:rPr>
          <w:rFonts w:ascii="Times New Roman" w:eastAsia="Calibri" w:hAnsi="Times New Roman" w:cs="Times New Roman"/>
          <w:sz w:val="24"/>
          <w:szCs w:val="24"/>
        </w:rPr>
        <w:t>;</w:t>
      </w:r>
      <w:r w:rsidRPr="004F5391" w:rsidR="004F5391">
        <w:rPr>
          <w:rFonts w:ascii="Times New Roman" w:eastAsia="Times New Roman" w:hAnsi="Times New Roman" w:cs="Times New Roman"/>
          <w:sz w:val="26"/>
          <w:szCs w:val="26"/>
        </w:rPr>
        <w:t xml:space="preserve"> FERC-725G,</w:t>
      </w:r>
      <w:r w:rsidRPr="000943D4" w:rsidR="000943D4">
        <w:rPr>
          <w:rFonts w:ascii="Times New Roman" w:eastAsia="Times New Roman" w:hAnsi="Times New Roman" w:cs="Times New Roman"/>
          <w:b/>
          <w:bCs/>
          <w:sz w:val="26"/>
          <w:szCs w:val="26"/>
        </w:rPr>
        <w:t xml:space="preserve"> </w:t>
      </w:r>
      <w:r w:rsidRPr="000943D4" w:rsidR="000943D4">
        <w:rPr>
          <w:rFonts w:ascii="Times New Roman" w:eastAsia="Times New Roman" w:hAnsi="Times New Roman" w:cs="Times New Roman"/>
          <w:sz w:val="26"/>
          <w:szCs w:val="26"/>
        </w:rPr>
        <w:t>Mandatory Reliability Standards for the Bulk-Power System: PRC Standards;</w:t>
      </w:r>
      <w:r w:rsidRPr="004F5391" w:rsidR="004F5391">
        <w:rPr>
          <w:rFonts w:ascii="Times New Roman" w:eastAsia="Times New Roman" w:hAnsi="Times New Roman" w:cs="Times New Roman"/>
          <w:sz w:val="26"/>
          <w:szCs w:val="26"/>
        </w:rPr>
        <w:t xml:space="preserve"> FERC-725M</w:t>
      </w:r>
      <w:r w:rsidR="000943D4">
        <w:rPr>
          <w:rFonts w:ascii="Times New Roman" w:eastAsia="Times New Roman" w:hAnsi="Times New Roman" w:cs="Times New Roman"/>
          <w:sz w:val="26"/>
          <w:szCs w:val="26"/>
        </w:rPr>
        <w:t xml:space="preserve">, </w:t>
      </w:r>
      <w:r w:rsidRPr="000943D4" w:rsidR="000943D4">
        <w:rPr>
          <w:rFonts w:ascii="Times New Roman" w:eastAsia="Times New Roman" w:hAnsi="Times New Roman" w:cs="Times New Roman"/>
          <w:bCs/>
          <w:sz w:val="26"/>
          <w:szCs w:val="26"/>
        </w:rPr>
        <w:t xml:space="preserve">Mandatory Reliability Standard: </w:t>
      </w:r>
      <w:bookmarkStart w:id="0" w:name="_Hlk24027254"/>
      <w:r w:rsidRPr="000943D4" w:rsidR="000943D4">
        <w:rPr>
          <w:rFonts w:ascii="Times New Roman" w:hAnsi="Times New Roman" w:cs="Times New Roman"/>
          <w:bCs/>
          <w:sz w:val="26"/>
          <w:szCs w:val="26"/>
        </w:rPr>
        <w:t>FAC-003-4, Vegetation Management</w:t>
      </w:r>
      <w:bookmarkEnd w:id="0"/>
      <w:r w:rsidR="000943D4">
        <w:rPr>
          <w:rFonts w:ascii="Times New Roman" w:eastAsia="Times New Roman" w:hAnsi="Times New Roman" w:cs="Times New Roman"/>
          <w:sz w:val="26"/>
          <w:szCs w:val="26"/>
        </w:rPr>
        <w:t>;</w:t>
      </w:r>
      <w:r w:rsidRPr="004F5391" w:rsidR="004F5391">
        <w:rPr>
          <w:rFonts w:ascii="Times New Roman" w:eastAsia="Times New Roman" w:hAnsi="Times New Roman" w:cs="Times New Roman"/>
          <w:sz w:val="26"/>
          <w:szCs w:val="26"/>
        </w:rPr>
        <w:t xml:space="preserve"> and FERC-725Z</w:t>
      </w:r>
      <w:r w:rsidR="000943D4">
        <w:rPr>
          <w:rFonts w:ascii="Times New Roman" w:eastAsia="Times New Roman" w:hAnsi="Times New Roman" w:cs="Times New Roman"/>
          <w:sz w:val="26"/>
          <w:szCs w:val="26"/>
        </w:rPr>
        <w:t>,</w:t>
      </w:r>
      <w:r w:rsidRPr="000943D4" w:rsidR="000943D4">
        <w:rPr>
          <w:rFonts w:ascii="Times New Roman" w:eastAsia="Calibri" w:hAnsi="Times New Roman" w:cs="Times New Roman"/>
          <w:b/>
          <w:sz w:val="26"/>
          <w:szCs w:val="26"/>
        </w:rPr>
        <w:t xml:space="preserve"> </w:t>
      </w:r>
      <w:r w:rsidRPr="000943D4" w:rsidR="000943D4">
        <w:rPr>
          <w:rFonts w:ascii="Times New Roman" w:eastAsia="Calibri" w:hAnsi="Times New Roman" w:cs="Times New Roman"/>
          <w:bCs/>
          <w:sz w:val="26"/>
          <w:szCs w:val="26"/>
        </w:rPr>
        <w:t>Mandatory Reliability Standards:  IRO Reliability Standards</w:t>
      </w:r>
      <w:r w:rsidRPr="004F5391" w:rsidR="004F5391">
        <w:rPr>
          <w:rFonts w:ascii="Times New Roman" w:eastAsia="Times New Roman" w:hAnsi="Times New Roman" w:cs="Times New Roman"/>
          <w:iCs/>
          <w:color w:val="000000"/>
          <w:sz w:val="26"/>
          <w:szCs w:val="26"/>
        </w:rPr>
        <w:t xml:space="preserve"> the proposed retirement of FAC-010-3, the proposed FAC-011-4, FAC-014-3, IRO-008-3, TOP-001-6 and proposed corresponding revisions to FAC-003-5, PRC-002-3, PRC-023-5 and PRC-026-2 Reliability Standards</w:t>
      </w:r>
      <w:r w:rsidR="004F5391">
        <w:rPr>
          <w:rFonts w:ascii="Times New Roman" w:eastAsia="Times New Roman" w:hAnsi="Times New Roman" w:cs="Times New Roman"/>
          <w:iCs/>
          <w:color w:val="000000"/>
          <w:sz w:val="26"/>
          <w:szCs w:val="26"/>
        </w:rPr>
        <w:t>.</w:t>
      </w:r>
      <w:r w:rsidR="00EE7794">
        <w:rPr>
          <w:rFonts w:ascii="Times New Roman" w:hAnsi="Times New Roman" w:cs="Times New Roman"/>
          <w:sz w:val="24"/>
          <w:szCs w:val="24"/>
        </w:rPr>
        <w:t xml:space="preserve"> </w:t>
      </w:r>
    </w:p>
    <w:p w:rsidR="0002242D" w:rsidRPr="00BD0FD5" w:rsidP="0092596C" w14:paraId="0A7ACEEA" w14:textId="77777777">
      <w:pPr>
        <w:spacing w:after="0" w:line="240" w:lineRule="auto"/>
        <w:rPr>
          <w:rFonts w:ascii="Times New Roman" w:hAnsi="Times New Roman" w:cs="Times New Roman"/>
          <w:sz w:val="24"/>
          <w:szCs w:val="24"/>
        </w:rPr>
      </w:pPr>
    </w:p>
    <w:p w:rsidR="00A72E7B" w:rsidRPr="00BD0FD5" w:rsidP="0092596C" w14:paraId="2460974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CIRCUMSTANCES THAT MAKE THE COLLECTION OF INFORMATION NECESSARY</w:t>
      </w:r>
    </w:p>
    <w:p w:rsidR="00EB3E6F" w:rsidP="0092596C" w14:paraId="217ED921" w14:textId="149E547A">
      <w:pPr>
        <w:spacing w:after="0" w:line="240" w:lineRule="auto"/>
        <w:rPr>
          <w:rFonts w:ascii="Times New Roman" w:hAnsi="Times New Roman" w:cs="Times New Roman"/>
          <w:sz w:val="24"/>
          <w:szCs w:val="24"/>
        </w:rPr>
      </w:pPr>
    </w:p>
    <w:p w:rsidR="00792606" w:rsidRPr="00792606" w:rsidP="00792606" w14:paraId="609A25B8"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On August 8, 2005, The Electricity Modernization Act of 2005, which is Title XII of the Energy Policy Act of 2005 (EPAct 2005), was enacted into law</w:t>
      </w:r>
      <w:r>
        <w:rPr>
          <w:rFonts w:ascii="Times New Roman" w:eastAsia="Calibri" w:hAnsi="Times New Roman" w:cs="Times New Roman"/>
          <w:sz w:val="24"/>
          <w:szCs w:val="24"/>
          <w:vertAlign w:val="superscript"/>
        </w:rPr>
        <w:footnoteReference w:id="2"/>
      </w:r>
      <w:r w:rsidRPr="00792606">
        <w:rPr>
          <w:rFonts w:ascii="Times New Roman" w:eastAsia="Calibri" w:hAnsi="Times New Roman" w:cs="Times New Roman"/>
          <w:sz w:val="24"/>
          <w:szCs w:val="24"/>
        </w:rPr>
        <w:t>.  EPAct 2005 added a new section 215 to the Federal Power Act (FPA), which requires a Commission-certified Electric Reliability Organization (ERO) to develop mandatory and enforceable Reliability Standards, subject to Commission review and approval.</w:t>
      </w:r>
    </w:p>
    <w:p w:rsidR="00792606" w:rsidRPr="00792606" w:rsidP="00792606" w14:paraId="14A5E614" w14:textId="77777777">
      <w:pPr>
        <w:spacing w:after="0" w:line="240" w:lineRule="auto"/>
        <w:rPr>
          <w:rFonts w:ascii="Times New Roman" w:eastAsia="Calibri" w:hAnsi="Times New Roman" w:cs="Times New Roman"/>
          <w:sz w:val="24"/>
          <w:szCs w:val="24"/>
        </w:rPr>
      </w:pPr>
    </w:p>
    <w:p w:rsidR="00792606" w:rsidRPr="00792606" w:rsidP="00792606" w14:paraId="3B7845C3"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Section 215 of the FPA requires a Commission-certified ERO to develop mandatory and enforceable Reliability Standards, subject to Commission review and approval.</w:t>
      </w:r>
      <w:r>
        <w:rPr>
          <w:rFonts w:ascii="Times New Roman" w:eastAsia="Calibri" w:hAnsi="Times New Roman" w:cs="Times New Roman"/>
          <w:b/>
          <w:sz w:val="24"/>
          <w:szCs w:val="24"/>
          <w:vertAlign w:val="superscript"/>
        </w:rPr>
        <w:footnoteReference w:id="3"/>
      </w:r>
      <w:r w:rsidRPr="00792606">
        <w:rPr>
          <w:rFonts w:ascii="Times New Roman" w:eastAsia="Calibri" w:hAnsi="Times New Roman" w:cs="Times New Roman"/>
          <w:sz w:val="24"/>
          <w:szCs w:val="24"/>
        </w:rPr>
        <w:t xml:space="preserve">  Once approved, the Reliability Standards may be enforced by the ERO subject to Commission oversight or by the Commission independently.</w:t>
      </w:r>
      <w:r>
        <w:rPr>
          <w:rFonts w:ascii="Times New Roman" w:eastAsia="Calibri" w:hAnsi="Times New Roman" w:cs="Times New Roman"/>
          <w:b/>
          <w:sz w:val="24"/>
          <w:szCs w:val="24"/>
          <w:vertAlign w:val="superscript"/>
        </w:rPr>
        <w:footnoteReference w:id="4"/>
      </w:r>
      <w:r w:rsidRPr="00792606">
        <w:rPr>
          <w:rFonts w:ascii="Times New Roman" w:eastAsia="Calibri" w:hAnsi="Times New Roman" w:cs="Times New Roman"/>
          <w:sz w:val="24"/>
          <w:szCs w:val="24"/>
        </w:rPr>
        <w:t xml:space="preserve">  In 2006, the Commission certified NERC (North American Electric Reliability Corporation) as the ERO</w:t>
      </w:r>
      <w:r>
        <w:rPr>
          <w:rFonts w:ascii="Times New Roman" w:eastAsia="Calibri" w:hAnsi="Times New Roman" w:cs="Times New Roman"/>
          <w:sz w:val="24"/>
          <w:szCs w:val="24"/>
          <w:vertAlign w:val="superscript"/>
        </w:rPr>
        <w:footnoteReference w:id="5"/>
      </w:r>
      <w:r w:rsidRPr="00792606">
        <w:rPr>
          <w:rFonts w:ascii="Times New Roman" w:eastAsia="Calibri" w:hAnsi="Times New Roman" w:cs="Times New Roman"/>
          <w:sz w:val="24"/>
          <w:szCs w:val="24"/>
        </w:rPr>
        <w:t xml:space="preserve"> pursuant to section 215 of the FPA.</w:t>
      </w:r>
      <w:r>
        <w:rPr>
          <w:rFonts w:ascii="Times New Roman" w:eastAsia="Calibri" w:hAnsi="Times New Roman" w:cs="Times New Roman"/>
          <w:b/>
          <w:sz w:val="24"/>
          <w:szCs w:val="24"/>
          <w:vertAlign w:val="superscript"/>
        </w:rPr>
        <w:footnoteReference w:id="6"/>
      </w:r>
    </w:p>
    <w:p w:rsidR="00792606" w:rsidRPr="00792606" w:rsidP="00792606" w14:paraId="10192209" w14:textId="77777777">
      <w:pPr>
        <w:spacing w:after="0" w:line="240" w:lineRule="auto"/>
        <w:rPr>
          <w:rFonts w:ascii="Times New Roman" w:eastAsia="Calibri" w:hAnsi="Times New Roman" w:cs="Times New Roman"/>
          <w:sz w:val="24"/>
          <w:szCs w:val="24"/>
        </w:rPr>
      </w:pPr>
    </w:p>
    <w:p w:rsidR="00792606" w:rsidRPr="00792606" w:rsidP="00792606" w14:paraId="2F3B5EBB"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 xml:space="preserve">On March 16, 2007 (pursuant to section 215(d) of the FPA), the Commission issued Order No. 693, approving 83 of the 107 initial Reliability Standards filed by NERC.  Order 693 addressed </w:t>
      </w:r>
      <w:r w:rsidRPr="00792606">
        <w:rPr>
          <w:rFonts w:ascii="Times New Roman" w:eastAsia="Calibri" w:hAnsi="Times New Roman" w:cs="Times New Roman"/>
          <w:sz w:val="24"/>
          <w:szCs w:val="24"/>
        </w:rPr>
        <w:t xml:space="preserve">several Reliability Standards. In the intervening years, numerous changes have been made to update, eliminate, or establish various Reliability Standards.  </w:t>
      </w:r>
    </w:p>
    <w:p w:rsidR="00792606" w:rsidRPr="00792606" w:rsidP="00792606" w14:paraId="13ADECE6" w14:textId="77777777">
      <w:pPr>
        <w:spacing w:after="0" w:line="240" w:lineRule="auto"/>
        <w:rPr>
          <w:rFonts w:ascii="Times New Roman" w:eastAsia="Calibri" w:hAnsi="Times New Roman" w:cs="Times New Roman"/>
          <w:sz w:val="24"/>
          <w:szCs w:val="24"/>
        </w:rPr>
      </w:pPr>
    </w:p>
    <w:p w:rsidR="00792606" w:rsidRPr="00BD0FD5" w:rsidP="0092596C" w14:paraId="191B90BC" w14:textId="77777777">
      <w:pPr>
        <w:spacing w:after="0" w:line="240" w:lineRule="auto"/>
        <w:rPr>
          <w:rFonts w:ascii="Times New Roman" w:hAnsi="Times New Roman" w:cs="Times New Roman"/>
          <w:sz w:val="24"/>
          <w:szCs w:val="24"/>
        </w:rPr>
      </w:pPr>
    </w:p>
    <w:p w:rsidR="00A72E7B" w:rsidRPr="00BD0FD5" w:rsidP="0092596C" w14:paraId="1A5C90A5"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rsidR="009A6326" w:rsidP="009A6326" w14:paraId="6C25D29F" w14:textId="30B0D1B1">
      <w:pPr>
        <w:spacing w:after="0" w:line="240" w:lineRule="auto"/>
        <w:rPr>
          <w:rFonts w:ascii="Times New Roman" w:hAnsi="Times New Roman" w:cs="Times New Roman"/>
          <w:sz w:val="24"/>
          <w:szCs w:val="24"/>
        </w:rPr>
      </w:pPr>
    </w:p>
    <w:p w:rsidR="007F0136" w:rsidP="007F0136" w14:paraId="1089FE4B" w14:textId="3F19B14F">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 xml:space="preserve">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w:t>
      </w:r>
      <w:r>
        <w:rPr>
          <w:rFonts w:ascii="Times New Roman" w:hAnsi="Times New Roman" w:cs="Times New Roman"/>
          <w:sz w:val="24"/>
          <w:szCs w:val="24"/>
        </w:rPr>
        <w:t xml:space="preserve"> </w:t>
      </w:r>
      <w:r w:rsidRPr="007F0136">
        <w:rPr>
          <w:rFonts w:ascii="Times New Roman" w:hAnsi="Times New Roman" w:cs="Times New Roman"/>
          <w:sz w:val="24"/>
          <w:szCs w:val="24"/>
        </w:rPr>
        <w:t>Without collecting this information, reliability of the bulk-power system could become compromised, potentially resulting in outages.</w:t>
      </w:r>
    </w:p>
    <w:p w:rsidR="00792606" w:rsidRPr="00792606" w:rsidP="00792606" w14:paraId="092B2E3B" w14:textId="77777777">
      <w:pPr>
        <w:spacing w:line="240" w:lineRule="auto"/>
        <w:rPr>
          <w:rFonts w:ascii="Times New Roman" w:hAnsi="Times New Roman" w:cs="Times New Roman"/>
          <w:iCs/>
          <w:sz w:val="24"/>
          <w:szCs w:val="24"/>
        </w:rPr>
      </w:pPr>
      <w:r w:rsidRPr="00792606">
        <w:rPr>
          <w:rFonts w:ascii="Times New Roman" w:hAnsi="Times New Roman" w:cs="Times New Roman"/>
          <w:iCs/>
          <w:sz w:val="24"/>
          <w:szCs w:val="24"/>
        </w:rPr>
        <w:t>Section 215 of the Federal Power Act (FPA)</w:t>
      </w:r>
      <w:r>
        <w:rPr>
          <w:rStyle w:val="FootnoteReference"/>
          <w:rFonts w:ascii="Times New Roman" w:hAnsi="Times New Roman" w:cs="Times New Roman"/>
          <w:iCs/>
          <w:sz w:val="24"/>
          <w:szCs w:val="24"/>
        </w:rPr>
        <w:footnoteReference w:id="7"/>
      </w:r>
      <w:r w:rsidRPr="00792606">
        <w:rPr>
          <w:rFonts w:ascii="Times New Roman" w:hAnsi="Times New Roman" w:cs="Times New Roman"/>
          <w:iCs/>
          <w:sz w:val="24"/>
          <w:szCs w:val="24"/>
        </w:rPr>
        <w:t xml:space="preserve"> requires a Commission-certified Electric Reliability Organization (ERO) to develop mandatory and enforceable Reliability Standards, which are subject to Commission review and approval.  The Commission has certified the North American Reliability Corporation (NERC) as the ERO.  In addition, a Regional Entity may propose Reliability Standards to be effective in that region.</w:t>
      </w:r>
      <w:r>
        <w:rPr>
          <w:rFonts w:ascii="Times New Roman" w:hAnsi="Times New Roman" w:cs="Times New Roman"/>
          <w:b/>
          <w:iCs/>
          <w:sz w:val="24"/>
          <w:szCs w:val="24"/>
          <w:vertAlign w:val="superscript"/>
        </w:rPr>
        <w:footnoteReference w:id="8"/>
      </w:r>
      <w:r w:rsidRPr="00792606">
        <w:rPr>
          <w:rFonts w:ascii="Times New Roman" w:hAnsi="Times New Roman" w:cs="Times New Roman"/>
          <w:iCs/>
          <w:sz w:val="24"/>
          <w:szCs w:val="24"/>
        </w:rPr>
        <w:t xml:space="preserve">  Once approved, Reliability Standards may be enforced by the ERO subject to Commission oversight or by the Commission independently.   </w:t>
      </w:r>
    </w:p>
    <w:p w:rsidR="00792606" w:rsidRPr="00792606" w:rsidP="00792606" w14:paraId="58993272" w14:textId="77777777">
      <w:pPr>
        <w:spacing w:line="240" w:lineRule="auto"/>
        <w:rPr>
          <w:rFonts w:ascii="Times New Roman" w:hAnsi="Times New Roman" w:cs="Times New Roman"/>
          <w:sz w:val="24"/>
          <w:szCs w:val="24"/>
        </w:rPr>
      </w:pPr>
      <w:r w:rsidRPr="00792606">
        <w:rPr>
          <w:rFonts w:ascii="Times New Roman" w:hAnsi="Times New Roman" w:cs="Times New Roman"/>
          <w:sz w:val="24"/>
          <w:szCs w:val="24"/>
        </w:rPr>
        <w:t xml:space="preserve">The number of respondents below is based on an estimate of the NERC compliance registry for balancing authority, transmission operator, generator operator, generator owner and reliability coordinator.  The Commission based its paperwork burden estimates on the NERC compliance registry as of January 7, 2022.  According to the registry, there are 98 balancing authorities (BAs), 325 transmission owners (TOs), 168 transmission operators (TOPs), 204 transmission planners (TPs), 1,068 generator owners (GOs), 945 generator operators (GOPs), 302 distribution providers (DPs), 63 planning coordinators (PCs) and 12 reliability coordinators (RCs).  The estimates are based on the change in burden from the current standards to the standards approved in this Order.  The Commission based the burden estimates on staff experience, knowledge, and expertise.  </w:t>
      </w:r>
    </w:p>
    <w:p w:rsidR="00792606" w:rsidRPr="00792606" w:rsidP="00792606" w14:paraId="08313548" w14:textId="77777777">
      <w:pPr>
        <w:spacing w:line="240" w:lineRule="auto"/>
        <w:rPr>
          <w:rFonts w:ascii="Times New Roman" w:hAnsi="Times New Roman" w:cs="Times New Roman"/>
          <w:sz w:val="24"/>
          <w:szCs w:val="24"/>
        </w:rPr>
      </w:pPr>
      <w:r w:rsidRPr="00792606">
        <w:rPr>
          <w:rFonts w:ascii="Times New Roman" w:hAnsi="Times New Roman" w:cs="Times New Roman"/>
          <w:sz w:val="24"/>
          <w:szCs w:val="24"/>
        </w:rPr>
        <w:t xml:space="preserve">The estimates are based combination on one-time (years 1 and 2) and ongoing execution (year 3) obligations to follow the revised Reliability Standards.  </w:t>
      </w:r>
    </w:p>
    <w:p w:rsidR="00792606" w:rsidRPr="00792606" w:rsidP="00792606" w14:paraId="62D5B3EA" w14:textId="77777777">
      <w:pPr>
        <w:spacing w:line="240" w:lineRule="auto"/>
        <w:rPr>
          <w:rFonts w:ascii="Times New Roman" w:hAnsi="Times New Roman" w:cs="Times New Roman"/>
          <w:sz w:val="24"/>
          <w:szCs w:val="24"/>
        </w:rPr>
      </w:pPr>
      <w:r w:rsidRPr="00792606">
        <w:rPr>
          <w:rFonts w:ascii="Times New Roman" w:hAnsi="Times New Roman" w:cs="Times New Roman"/>
          <w:sz w:val="24"/>
          <w:szCs w:val="24"/>
        </w:rPr>
        <w:t xml:space="preserve">The Project 2015-09 Establish and Communicate System Operating Limits Standard Drafting Team (SDT): (1) developed proposed revisions to Reliability Standards and their applicable functional entities: FAC-011-4 (RC), FAC-014-3 (PC, RC, TO, TP), IRO-008-3 (RC), and TOP-001-6 (BA, TO, GO, DP); (2) proposed the retirement of FAC-010-3 (PA/PC) and developed corresponding revisions to FAC-003-5 (TO, GO), PRC-002-3 (RC, TO, GO), PRC-023-5 (TO, GO, DP, PC), and PRC-026-2 (TO, GO, PC) Reliability Standards to remove or replace </w:t>
      </w:r>
      <w:r w:rsidRPr="00792606">
        <w:rPr>
          <w:rFonts w:ascii="Times New Roman" w:hAnsi="Times New Roman" w:cs="Times New Roman"/>
          <w:sz w:val="24"/>
          <w:szCs w:val="24"/>
        </w:rPr>
        <w:t>references to system operating limits (SOLs) and interconnection reliability operating limits (IROLs) established by planning entities.</w:t>
      </w:r>
    </w:p>
    <w:p w:rsidR="00792606" w:rsidRPr="00792606" w:rsidP="00792606" w14:paraId="3B641105" w14:textId="77777777">
      <w:pPr>
        <w:spacing w:line="240" w:lineRule="auto"/>
        <w:rPr>
          <w:rFonts w:ascii="Times New Roman" w:hAnsi="Times New Roman" w:cs="Times New Roman"/>
          <w:bCs/>
          <w:sz w:val="24"/>
          <w:szCs w:val="24"/>
        </w:rPr>
      </w:pPr>
      <w:r w:rsidRPr="00792606">
        <w:rPr>
          <w:rFonts w:ascii="Times New Roman" w:hAnsi="Times New Roman" w:cs="Times New Roman"/>
          <w:bCs/>
          <w:sz w:val="24"/>
          <w:szCs w:val="24"/>
        </w:rPr>
        <w:t xml:space="preserve">The developed proposed revisions to </w:t>
      </w:r>
      <w:r w:rsidRPr="00792606">
        <w:rPr>
          <w:rFonts w:ascii="Times New Roman" w:hAnsi="Times New Roman" w:cs="Times New Roman"/>
          <w:sz w:val="24"/>
          <w:szCs w:val="24"/>
        </w:rPr>
        <w:t>Reliability Standards are</w:t>
      </w:r>
      <w:r w:rsidRPr="00792606">
        <w:rPr>
          <w:rFonts w:ascii="Times New Roman" w:hAnsi="Times New Roman" w:cs="Times New Roman"/>
          <w:bCs/>
          <w:sz w:val="24"/>
          <w:szCs w:val="24"/>
        </w:rPr>
        <w:t xml:space="preserve">:  </w:t>
      </w:r>
    </w:p>
    <w:p w:rsidR="00792606" w:rsidRPr="00792606" w:rsidP="00792606" w14:paraId="08EDADB5" w14:textId="77777777">
      <w:pPr>
        <w:pStyle w:val="ListParagraph"/>
        <w:numPr>
          <w:ilvl w:val="0"/>
          <w:numId w:val="37"/>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 xml:space="preserve">FAC-011-4 is applicable to the RC and its purpose is to ensure that SOLs used in the reliable operation of the bulk electric system are determined based on an established RC methodology or methodologies.  NERC clarified acceptable system performance criteria for the operations horizon and developed an SOL risk-based notification framework through the RC’s SOL methodology. </w:t>
      </w:r>
    </w:p>
    <w:p w:rsidR="00792606" w:rsidRPr="00792606" w:rsidP="00792606" w14:paraId="212DB7C5" w14:textId="77777777">
      <w:pPr>
        <w:pStyle w:val="ListParagraph"/>
        <w:numPr>
          <w:ilvl w:val="0"/>
          <w:numId w:val="37"/>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FAC-014-3 is applicable to the PC, RC, TOP and TP and its purpose is to ensure that SOLs used in the reliable operation of the bulk electric system are determined based on an established RC methodology or methodologies and that Planning Assessment performance criteria is coordinated with these methodologies.  NERC removed references to planning horizon SOLs and IROLs and clearly delineate specific functional entity responsibility for determining and communicating each type of SOL used in operations.</w:t>
      </w:r>
    </w:p>
    <w:p w:rsidR="00792606" w:rsidRPr="00792606" w:rsidP="00792606" w14:paraId="71EFD130" w14:textId="77777777">
      <w:pPr>
        <w:pStyle w:val="ListParagraph"/>
        <w:numPr>
          <w:ilvl w:val="0"/>
          <w:numId w:val="37"/>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IRO-008-3 is applicable to the RC and requires RCs to perform analyses and assessments to prevent instability, uncontrolled separation, or cascading.  NERC added a new requirement requiring a RC to use its SOL methodology when determining SOL exceedances for its analyses and assessments and further revised a requirement requiring the RC to use its SOL risk-based notification framework when communicating SOL or IROL exceedances.</w:t>
      </w:r>
    </w:p>
    <w:p w:rsidR="00792606" w:rsidRPr="00792606" w:rsidP="00792606" w14:paraId="1839095D" w14:textId="77777777">
      <w:pPr>
        <w:pStyle w:val="ListParagraph"/>
        <w:numPr>
          <w:ilvl w:val="0"/>
          <w:numId w:val="37"/>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TOP-001-6 is applicable to the BA, TOP, GOP, and DP but the proposed revisions only impact the TOP.  NERC added a new requirement requiring a TOP to use its RC SOL methodology when determining SOL exceedances and further revised a requirement requiring TOP notifications regarding SOL exceedances to be done according to the risk-based approach in the RC’s SOL methodology.</w:t>
      </w:r>
    </w:p>
    <w:p w:rsidR="00792606" w:rsidRPr="00792606" w:rsidP="00792606" w14:paraId="5F28F00D" w14:textId="77777777">
      <w:pPr>
        <w:spacing w:line="240" w:lineRule="auto"/>
        <w:rPr>
          <w:rFonts w:ascii="Times New Roman" w:hAnsi="Times New Roman" w:cs="Times New Roman"/>
          <w:bCs/>
          <w:sz w:val="24"/>
          <w:szCs w:val="24"/>
        </w:rPr>
      </w:pPr>
      <w:r w:rsidRPr="00792606">
        <w:rPr>
          <w:rFonts w:ascii="Times New Roman" w:hAnsi="Times New Roman" w:cs="Times New Roman"/>
          <w:bCs/>
          <w:sz w:val="24"/>
          <w:szCs w:val="24"/>
        </w:rPr>
        <w:t xml:space="preserve">NERC further proposes the retirement of currently effective Reliability Standard FAC-010-3 that requires PCs and TPs to establish SOLs for the planning horizon.  The proposed retirement of FAC-010-3 is mainly due to its redundancy with currently effective TPL-001-4 Standard and new requirements in proposed FAC-014-3.  </w:t>
      </w:r>
    </w:p>
    <w:p w:rsidR="00792606" w:rsidRPr="00792606" w:rsidP="00792606" w14:paraId="408E1690" w14:textId="77777777">
      <w:pPr>
        <w:spacing w:line="240" w:lineRule="auto"/>
        <w:rPr>
          <w:rFonts w:ascii="Times New Roman" w:hAnsi="Times New Roman" w:cs="Times New Roman"/>
          <w:bCs/>
          <w:sz w:val="24"/>
          <w:szCs w:val="24"/>
        </w:rPr>
      </w:pPr>
      <w:r w:rsidRPr="00792606">
        <w:rPr>
          <w:rFonts w:ascii="Times New Roman" w:hAnsi="Times New Roman" w:cs="Times New Roman"/>
          <w:bCs/>
          <w:sz w:val="24"/>
          <w:szCs w:val="24"/>
        </w:rPr>
        <w:t xml:space="preserve">In addition, the proposed retirement of FAC-010-3 </w:t>
      </w:r>
      <w:r w:rsidRPr="00792606">
        <w:rPr>
          <w:rFonts w:ascii="Times New Roman" w:hAnsi="Times New Roman" w:cs="Times New Roman"/>
          <w:sz w:val="24"/>
          <w:szCs w:val="24"/>
        </w:rPr>
        <w:t>developed corresponding revisions to proposed Reliability Standards FAC-003-5, PRC-002-3, PRC-023-5, and PRC-026-2 as follows:</w:t>
      </w:r>
    </w:p>
    <w:p w:rsidR="00792606" w:rsidRPr="00792606" w:rsidP="00792606" w14:paraId="2604651C" w14:textId="77777777">
      <w:pPr>
        <w:pStyle w:val="ListParagraph"/>
        <w:numPr>
          <w:ilvl w:val="0"/>
          <w:numId w:val="34"/>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 xml:space="preserve">FAC-003-5 is applicable to TOs and GOs and NERC proposes to modify Applicability Sections 4.2.2 and 4.3.1.2 of FAC-003-5 to replace references to “elements of an IROL under NERC Standard FAC-014 by the Planning Coordinator” with references to facilities: </w:t>
      </w:r>
    </w:p>
    <w:p w:rsidR="00792606" w:rsidRPr="00792606" w:rsidP="00792606" w14:paraId="696460C5" w14:textId="7D09F451">
      <w:pPr>
        <w:spacing w:line="240" w:lineRule="auto"/>
        <w:ind w:left="1440"/>
        <w:rPr>
          <w:rFonts w:ascii="Times New Roman" w:hAnsi="Times New Roman" w:cs="Times New Roman"/>
          <w:bCs/>
          <w:sz w:val="24"/>
          <w:szCs w:val="24"/>
        </w:rPr>
      </w:pPr>
      <w:r w:rsidRPr="00792606">
        <w:rPr>
          <w:rFonts w:ascii="Times New Roman" w:hAnsi="Times New Roman" w:cs="Times New Roman"/>
          <w:bCs/>
          <w:sz w:val="24"/>
          <w:szCs w:val="24"/>
        </w:rPr>
        <w:t>“Identified by the Planning Coordinator or Transmission Planner, per its Planning Assessment of the Near‐Term Transmission Planning Horizon as a Facility that if lost or degraded are expected to result in instances of instability, Cascading, or uncontrolled separation that adversely impacts the reliability of the Bulk Electric System for a planning event.”</w:t>
      </w:r>
    </w:p>
    <w:p w:rsidR="00792606" w:rsidRPr="00792606" w:rsidP="00792606" w14:paraId="4AE15D4D" w14:textId="77777777">
      <w:pPr>
        <w:pStyle w:val="ListParagraph"/>
        <w:numPr>
          <w:ilvl w:val="0"/>
          <w:numId w:val="35"/>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PRC-002-3 is applicable to the RC, TO and GO and NERC proposes to modify the applicability of the PRC-002-3 standard to remove PCs as a responsible entity subject to the standard and replace any references in the standard that would have included PCs with references to RCs. NERC concluded that the RC was the appropriate entity to carry out the duties that currently apply to PCs in certain interconnections, including the identification of BES elements that are part of an IROL or stability-related SOL.</w:t>
      </w:r>
    </w:p>
    <w:p w:rsidR="00792606" w:rsidRPr="00792606" w:rsidP="00792606" w14:paraId="42C536DA" w14:textId="77777777">
      <w:pPr>
        <w:pStyle w:val="ListParagraph"/>
        <w:numPr>
          <w:ilvl w:val="0"/>
          <w:numId w:val="35"/>
        </w:numPr>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PRC-023-5 is applicable to the TO, GO, DP and PC and NERC proposes to modify Section B2 of Attachment B to PRC-023-5 as follows:</w:t>
      </w:r>
    </w:p>
    <w:p w:rsidR="00792606" w:rsidRPr="00792606" w:rsidP="00792606" w14:paraId="22D627E8" w14:textId="77777777">
      <w:pPr>
        <w:pStyle w:val="ListParagraph"/>
        <w:spacing w:line="240" w:lineRule="auto"/>
        <w:ind w:left="1440"/>
        <w:rPr>
          <w:rFonts w:ascii="Times New Roman" w:hAnsi="Times New Roman" w:cs="Times New Roman"/>
          <w:bCs/>
          <w:sz w:val="24"/>
          <w:szCs w:val="24"/>
        </w:rPr>
      </w:pPr>
      <w:r w:rsidRPr="00792606">
        <w:rPr>
          <w:rFonts w:ascii="Times New Roman" w:hAnsi="Times New Roman" w:cs="Times New Roman"/>
          <w:bCs/>
          <w:sz w:val="24"/>
          <w:szCs w:val="24"/>
        </w:rPr>
        <w:t>“B2. The circuit is selected by the Planning Coordinator or Transmission Planner based on Planning Assessments of the Near-Term Transmission Planning Horizon that identify instances of instability, Cascading, or uncontrolled separation, that adversely impact the reliability of the Bulk Electric System for planning events. “</w:t>
      </w:r>
    </w:p>
    <w:p w:rsidR="00792606" w:rsidRPr="00792606" w:rsidP="00792606" w14:paraId="0CC5B98A" w14:textId="77777777">
      <w:pPr>
        <w:pStyle w:val="ListParagraph"/>
        <w:spacing w:line="240" w:lineRule="auto"/>
        <w:ind w:left="1080" w:hanging="360"/>
        <w:rPr>
          <w:rFonts w:ascii="Times New Roman" w:hAnsi="Times New Roman" w:cs="Times New Roman"/>
          <w:bCs/>
          <w:sz w:val="24"/>
          <w:szCs w:val="24"/>
        </w:rPr>
      </w:pPr>
    </w:p>
    <w:p w:rsidR="00792606" w:rsidRPr="00792606" w:rsidP="00792606" w14:paraId="186B96D6" w14:textId="77777777">
      <w:pPr>
        <w:pStyle w:val="ListParagraph"/>
        <w:spacing w:line="240" w:lineRule="auto"/>
        <w:rPr>
          <w:rFonts w:ascii="Times New Roman" w:hAnsi="Times New Roman" w:cs="Times New Roman"/>
          <w:bCs/>
          <w:sz w:val="24"/>
          <w:szCs w:val="24"/>
        </w:rPr>
      </w:pPr>
      <w:r w:rsidRPr="00792606">
        <w:rPr>
          <w:rFonts w:ascii="Times New Roman" w:hAnsi="Times New Roman" w:cs="Times New Roman"/>
          <w:bCs/>
          <w:sz w:val="24"/>
          <w:szCs w:val="24"/>
        </w:rPr>
        <w:t>Attachment B sets the criteria used to determine the circuits in a Planning Coordinator area for which Transmission Owners, Generator Owners, and Distribution Providers must comply with certain requirements in the standard applicable to protective relays.</w:t>
      </w:r>
    </w:p>
    <w:p w:rsidR="00792606" w:rsidRPr="00792606" w:rsidP="00792606" w14:paraId="72864FF4" w14:textId="77777777">
      <w:pPr>
        <w:pStyle w:val="ListParagraph"/>
        <w:spacing w:line="240" w:lineRule="auto"/>
        <w:rPr>
          <w:rFonts w:ascii="Times New Roman" w:hAnsi="Times New Roman" w:cs="Times New Roman"/>
          <w:bCs/>
          <w:sz w:val="24"/>
          <w:szCs w:val="24"/>
        </w:rPr>
      </w:pPr>
    </w:p>
    <w:p w:rsidR="00792606" w:rsidP="00792606" w14:paraId="25B63708" w14:textId="01EEB3ED">
      <w:pPr>
        <w:pStyle w:val="ListParagraph"/>
        <w:numPr>
          <w:ilvl w:val="0"/>
          <w:numId w:val="36"/>
        </w:numPr>
        <w:spacing w:after="0" w:line="240" w:lineRule="auto"/>
        <w:ind w:left="720"/>
        <w:rPr>
          <w:rFonts w:ascii="Times New Roman" w:hAnsi="Times New Roman" w:cs="Times New Roman"/>
          <w:bCs/>
          <w:sz w:val="24"/>
          <w:szCs w:val="24"/>
        </w:rPr>
      </w:pPr>
      <w:r w:rsidRPr="00792606">
        <w:rPr>
          <w:rFonts w:ascii="Times New Roman" w:hAnsi="Times New Roman" w:cs="Times New Roman"/>
          <w:bCs/>
          <w:sz w:val="24"/>
          <w:szCs w:val="24"/>
        </w:rPr>
        <w:t xml:space="preserve">PRC-026-2 is applicable to the GO, PC and TO and NERC proposes modification to the PRC-026-2 standard, Requirement R1, Criteria 1, 2, and 4 to replace references to planning horizon SOLs with references to the TPL-001-4 Planning Assessment. </w:t>
      </w:r>
    </w:p>
    <w:p w:rsidR="00792606" w:rsidRPr="00792606" w:rsidP="00792606" w14:paraId="3D793F2C" w14:textId="77777777">
      <w:pPr>
        <w:pStyle w:val="ListParagraph"/>
        <w:spacing w:after="0" w:line="240" w:lineRule="auto"/>
        <w:rPr>
          <w:rFonts w:ascii="Times New Roman" w:hAnsi="Times New Roman" w:cs="Times New Roman"/>
          <w:bCs/>
          <w:sz w:val="24"/>
          <w:szCs w:val="24"/>
        </w:rPr>
      </w:pPr>
    </w:p>
    <w:p w:rsidR="00EB3E6F" w:rsidRPr="00BD0FD5" w:rsidP="0092596C" w14:paraId="04ECF797"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rsidR="00D517AE" w:rsidP="0092596C" w14:paraId="55CEF604" w14:textId="77777777">
      <w:pPr>
        <w:spacing w:after="0" w:line="240" w:lineRule="auto"/>
        <w:rPr>
          <w:rFonts w:ascii="Times New Roman" w:hAnsi="Times New Roman" w:cs="Times New Roman"/>
          <w:sz w:val="24"/>
          <w:szCs w:val="24"/>
        </w:rPr>
      </w:pPr>
    </w:p>
    <w:p w:rsidR="00EB3E6F" w:rsidRPr="00BD0FD5" w:rsidP="0092596C" w14:paraId="11E30C30" w14:textId="200E0B29">
      <w:pPr>
        <w:spacing w:after="0" w:line="240" w:lineRule="auto"/>
        <w:rPr>
          <w:rFonts w:ascii="Times New Roman" w:hAnsi="Times New Roman" w:cs="Times New Roman"/>
          <w:sz w:val="24"/>
          <w:szCs w:val="24"/>
        </w:rPr>
      </w:pPr>
      <w:r>
        <w:rPr>
          <w:rFonts w:ascii="Times New Roman" w:hAnsi="Times New Roman" w:cs="Times New Roman"/>
          <w:sz w:val="24"/>
          <w:szCs w:val="24"/>
        </w:rPr>
        <w:t>FERC-725-A</w:t>
      </w:r>
    </w:p>
    <w:p w:rsidR="00C00D70" w:rsidP="0092596C" w14:paraId="4E5746FB" w14:textId="52538A52">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The use of current or improved technology is not covered in Reliability </w:t>
      </w:r>
      <w:r w:rsidRPr="00BD0FD5" w:rsidR="00896DEA">
        <w:rPr>
          <w:rFonts w:ascii="Times New Roman" w:hAnsi="Times New Roman" w:cs="Times New Roman"/>
          <w:sz w:val="24"/>
          <w:szCs w:val="24"/>
        </w:rPr>
        <w:t>Standards and</w:t>
      </w:r>
      <w:r w:rsidRPr="00BD0FD5">
        <w:rPr>
          <w:rFonts w:ascii="Times New Roman" w:hAnsi="Times New Roman" w:cs="Times New Roman"/>
          <w:sz w:val="24"/>
          <w:szCs w:val="24"/>
        </w:rPr>
        <w:t xml:space="preserve"> is therefore left to the discretion of each reporting entity.</w:t>
      </w:r>
      <w:r w:rsidRPr="00DD0209" w:rsidR="00DD0209">
        <w:t xml:space="preserve"> </w:t>
      </w:r>
      <w:r w:rsidR="00DD1F76">
        <w:t xml:space="preserve"> </w:t>
      </w:r>
      <w:r w:rsidR="00D517AE">
        <w:rPr>
          <w:rFonts w:ascii="Times New Roman" w:hAnsi="Times New Roman" w:cs="Times New Roman"/>
          <w:sz w:val="24"/>
          <w:szCs w:val="24"/>
        </w:rPr>
        <w:t>N</w:t>
      </w:r>
      <w:r w:rsidRPr="00DD0209" w:rsidR="00DD0209">
        <w:rPr>
          <w:rFonts w:ascii="Times New Roman" w:hAnsi="Times New Roman" w:cs="Times New Roman"/>
          <w:sz w:val="24"/>
          <w:szCs w:val="24"/>
        </w:rPr>
        <w:t xml:space="preserve">early </w:t>
      </w:r>
      <w:r w:rsidRPr="00DD0209" w:rsidR="000C7F68">
        <w:rPr>
          <w:rFonts w:ascii="Times New Roman" w:hAnsi="Times New Roman" w:cs="Times New Roman"/>
          <w:sz w:val="24"/>
          <w:szCs w:val="24"/>
        </w:rPr>
        <w:t>all</w:t>
      </w:r>
      <w:r w:rsidRPr="00DD0209" w:rsidR="00DD0209">
        <w:rPr>
          <w:rFonts w:ascii="Times New Roman" w:hAnsi="Times New Roman" w:cs="Times New Roman"/>
          <w:sz w:val="24"/>
          <w:szCs w:val="24"/>
        </w:rPr>
        <w:t xml:space="preserve"> the respondents are likely to make and keep related records in an electronic format.  Each of the </w:t>
      </w:r>
      <w:r w:rsidR="00DD1F76">
        <w:rPr>
          <w:rFonts w:ascii="Times New Roman" w:hAnsi="Times New Roman" w:cs="Times New Roman"/>
          <w:sz w:val="24"/>
          <w:szCs w:val="24"/>
        </w:rPr>
        <w:t>six</w:t>
      </w:r>
      <w:r w:rsidRPr="00DD0209" w:rsidR="00DD1F76">
        <w:rPr>
          <w:rFonts w:ascii="Times New Roman" w:hAnsi="Times New Roman" w:cs="Times New Roman"/>
          <w:sz w:val="24"/>
          <w:szCs w:val="24"/>
        </w:rPr>
        <w:t xml:space="preserve"> </w:t>
      </w:r>
      <w:r w:rsidRPr="00DD0209" w:rsidR="00DD0209">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D517AE" w:rsidP="0092596C" w14:paraId="239CF6BF" w14:textId="57B2CB89">
      <w:pPr>
        <w:spacing w:after="0" w:line="240" w:lineRule="auto"/>
        <w:rPr>
          <w:rFonts w:ascii="Times New Roman" w:hAnsi="Times New Roman" w:cs="Times New Roman"/>
          <w:sz w:val="24"/>
          <w:szCs w:val="24"/>
        </w:rPr>
      </w:pPr>
    </w:p>
    <w:p w:rsidR="00D517AE" w:rsidP="0092596C" w14:paraId="013731EC" w14:textId="6F5E154D">
      <w:pPr>
        <w:spacing w:after="0" w:line="240" w:lineRule="auto"/>
        <w:rPr>
          <w:rFonts w:ascii="Times New Roman" w:hAnsi="Times New Roman" w:cs="Times New Roman"/>
          <w:sz w:val="24"/>
          <w:szCs w:val="24"/>
        </w:rPr>
      </w:pPr>
      <w:r>
        <w:rPr>
          <w:rFonts w:ascii="Times New Roman" w:hAnsi="Times New Roman" w:cs="Times New Roman"/>
          <w:sz w:val="24"/>
          <w:szCs w:val="24"/>
        </w:rPr>
        <w:t>FERC-725D</w:t>
      </w:r>
      <w:r w:rsidR="00824795">
        <w:rPr>
          <w:rFonts w:ascii="Times New Roman" w:hAnsi="Times New Roman" w:cs="Times New Roman"/>
          <w:sz w:val="24"/>
          <w:szCs w:val="24"/>
        </w:rPr>
        <w:t>, 725G</w:t>
      </w:r>
    </w:p>
    <w:p w:rsidR="00D517AE" w:rsidP="0092596C" w14:paraId="0FDED882" w14:textId="75E6582A">
      <w:pPr>
        <w:spacing w:after="0" w:line="240" w:lineRule="auto"/>
        <w:rPr>
          <w:rFonts w:ascii="Times New Roman" w:eastAsia="Calibri" w:hAnsi="Times New Roman" w:cs="Times New Roman"/>
          <w:sz w:val="24"/>
          <w:szCs w:val="24"/>
        </w:rPr>
      </w:pPr>
      <w:r w:rsidRPr="00D517AE">
        <w:rPr>
          <w:rFonts w:ascii="Times New Roman" w:eastAsia="Calibri" w:hAnsi="Times New Roman" w:cs="Times New Roman"/>
          <w:sz w:val="24"/>
          <w:szCs w:val="24"/>
        </w:rPr>
        <w:t xml:space="preserve">The use of current or improved technology is not covered in Reliability Standards and is therefore left to the discretion of each reporting entity.  Commission staff estimates that nearly </w:t>
      </w:r>
      <w:r w:rsidRPr="00D517AE" w:rsidR="000C7F68">
        <w:rPr>
          <w:rFonts w:ascii="Times New Roman" w:eastAsia="Calibri" w:hAnsi="Times New Roman" w:cs="Times New Roman"/>
          <w:sz w:val="24"/>
          <w:szCs w:val="24"/>
        </w:rPr>
        <w:t>all</w:t>
      </w:r>
      <w:r w:rsidRPr="00D517AE">
        <w:rPr>
          <w:rFonts w:ascii="Times New Roman" w:eastAsia="Calibri" w:hAnsi="Times New Roman" w:cs="Times New Roman"/>
          <w:sz w:val="24"/>
          <w:szCs w:val="24"/>
        </w:rPr>
        <w:t xml:space="preserve">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w:t>
      </w:r>
      <w:r w:rsidRPr="00824795" w:rsidR="00824795">
        <w:rPr>
          <w:rFonts w:ascii="Times New Roman" w:eastAsia="Calibri" w:hAnsi="Times New Roman" w:cs="Times New Roman"/>
          <w:sz w:val="24"/>
          <w:szCs w:val="24"/>
        </w:rPr>
        <w:t>These portals are accessible through an internet browser password protected user interface.</w:t>
      </w:r>
    </w:p>
    <w:p w:rsidR="00824795" w:rsidP="0092596C" w14:paraId="433AC553" w14:textId="2EF14C6E">
      <w:pPr>
        <w:spacing w:after="0" w:line="240" w:lineRule="auto"/>
        <w:rPr>
          <w:rFonts w:ascii="Times New Roman" w:eastAsia="Calibri" w:hAnsi="Times New Roman" w:cs="Times New Roman"/>
          <w:sz w:val="24"/>
          <w:szCs w:val="24"/>
        </w:rPr>
      </w:pPr>
    </w:p>
    <w:p w:rsidR="00824795" w:rsidP="0092596C" w14:paraId="529779EA" w14:textId="77777777">
      <w:pPr>
        <w:spacing w:after="0" w:line="240" w:lineRule="auto"/>
        <w:rPr>
          <w:rFonts w:ascii="Times New Roman" w:eastAsia="Calibri" w:hAnsi="Times New Roman" w:cs="Times New Roman"/>
          <w:sz w:val="24"/>
          <w:szCs w:val="24"/>
        </w:rPr>
      </w:pPr>
    </w:p>
    <w:p w:rsidR="00824795" w:rsidP="0092596C" w14:paraId="59A06D09" w14:textId="7F83A2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FERC-725M, 725Z</w:t>
      </w:r>
    </w:p>
    <w:p w:rsidR="00824795" w:rsidP="00824795" w14:paraId="7926F8F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or improved technology and the medium are not covered in Reliability Standards. </w:t>
      </w:r>
    </w:p>
    <w:p w:rsidR="00824795" w:rsidP="00824795" w14:paraId="6729DF85" w14:textId="77777777">
      <w:pPr>
        <w:spacing w:after="0" w:line="240" w:lineRule="auto"/>
        <w:rPr>
          <w:rFonts w:ascii="Times New Roman" w:hAnsi="Times New Roman" w:cs="Times New Roman"/>
          <w:sz w:val="26"/>
          <w:szCs w:val="26"/>
        </w:rPr>
      </w:pPr>
    </w:p>
    <w:p w:rsidR="00824795" w:rsidP="00824795" w14:paraId="4C70E1C9" w14:textId="1644012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We think that nearly </w:t>
      </w:r>
      <w:r w:rsidR="000C7F68">
        <w:rPr>
          <w:rFonts w:ascii="Times New Roman" w:hAnsi="Times New Roman" w:cs="Times New Roman"/>
          <w:sz w:val="26"/>
          <w:szCs w:val="26"/>
        </w:rPr>
        <w:t>all</w:t>
      </w:r>
      <w:r>
        <w:rPr>
          <w:rFonts w:ascii="Times New Roman" w:hAnsi="Times New Roman" w:cs="Times New Roman"/>
          <w:sz w:val="26"/>
          <w:szCs w:val="26"/>
        </w:rPr>
        <w:t xml:space="preserve"> the respondents are likely to make and keep related records in an electronic format.  Each of the six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00824795" w:rsidP="00824795" w14:paraId="2192A826" w14:textId="77777777">
      <w:pPr>
        <w:spacing w:after="0" w:line="240" w:lineRule="auto"/>
        <w:rPr>
          <w:rFonts w:ascii="Times New Roman" w:hAnsi="Times New Roman" w:cs="Times New Roman"/>
          <w:sz w:val="26"/>
          <w:szCs w:val="26"/>
        </w:rPr>
      </w:pPr>
    </w:p>
    <w:p w:rsidR="00824795" w:rsidP="00824795" w14:paraId="12498243" w14:textId="77777777">
      <w:pPr>
        <w:spacing w:after="0" w:line="240" w:lineRule="auto"/>
        <w:rPr>
          <w:rFonts w:ascii="Times New Roman" w:hAnsi="Times New Roman" w:cs="Times New Roman"/>
          <w:color w:val="FFFFFF" w:themeColor="background1"/>
          <w:sz w:val="26"/>
          <w:szCs w:val="26"/>
        </w:rPr>
      </w:pPr>
      <w:r>
        <w:rPr>
          <w:rFonts w:ascii="Times New Roman" w:hAnsi="Times New Roman" w:cs="Times New Roman"/>
          <w:sz w:val="26"/>
          <w:szCs w:val="26"/>
        </w:rPr>
        <w:t xml:space="preserve">In general, the Commission supports the use of information technology to reduce burden. </w:t>
      </w:r>
    </w:p>
    <w:p w:rsidR="00EB3E6F" w:rsidRPr="00BD0FD5" w:rsidP="0092596C" w14:paraId="054AF835" w14:textId="77777777">
      <w:pPr>
        <w:spacing w:after="0" w:line="240" w:lineRule="auto"/>
        <w:rPr>
          <w:rFonts w:ascii="Times New Roman" w:hAnsi="Times New Roman" w:cs="Times New Roman"/>
          <w:sz w:val="24"/>
          <w:szCs w:val="24"/>
        </w:rPr>
      </w:pPr>
    </w:p>
    <w:p w:rsidR="00EB3E6F" w:rsidRPr="00BD0FD5" w:rsidP="0092596C" w14:paraId="2820C7BF"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Pr="00BD0FD5" w:rsidR="00E05FA3">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D0FD5" w:rsidP="0092596C" w14:paraId="0C9BB099" w14:textId="77777777">
      <w:pPr>
        <w:spacing w:after="0" w:line="240" w:lineRule="auto"/>
        <w:rPr>
          <w:rFonts w:ascii="Times New Roman" w:hAnsi="Times New Roman" w:cs="Times New Roman"/>
          <w:sz w:val="24"/>
          <w:szCs w:val="24"/>
        </w:rPr>
      </w:pPr>
    </w:p>
    <w:p w:rsidR="007F58DE" w:rsidRPr="007F58DE" w:rsidP="007F58DE" w14:paraId="27CB5DA3" w14:textId="77777777">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rsidR="007F58DE" w:rsidRPr="007F58DE" w:rsidP="007F58DE" w14:paraId="42FA9778" w14:textId="1A60821D">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00AE205C" w:rsidRPr="00BD0FD5" w:rsidP="0092596C" w14:paraId="4CDD391B" w14:textId="2A497815">
      <w:pPr>
        <w:spacing w:after="0" w:line="240" w:lineRule="auto"/>
        <w:rPr>
          <w:rFonts w:ascii="Times New Roman" w:hAnsi="Times New Roman" w:cs="Times New Roman"/>
          <w:sz w:val="24"/>
          <w:szCs w:val="24"/>
        </w:rPr>
      </w:pPr>
    </w:p>
    <w:p w:rsidR="00EB3E6F" w:rsidRPr="00BD0FD5" w:rsidP="0092596C" w14:paraId="093A326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rsidR="00EB3E6F" w:rsidRPr="00BD0FD5" w:rsidP="0092596C" w14:paraId="18ABCDBE" w14:textId="77777777">
      <w:pPr>
        <w:spacing w:after="0" w:line="240" w:lineRule="auto"/>
        <w:rPr>
          <w:rFonts w:ascii="Times New Roman" w:hAnsi="Times New Roman" w:cs="Times New Roman"/>
          <w:sz w:val="24"/>
          <w:szCs w:val="24"/>
        </w:rPr>
      </w:pPr>
    </w:p>
    <w:p w:rsidR="00C00D70" w:rsidRPr="00BD0FD5" w:rsidP="0092596C" w14:paraId="40F90D38" w14:textId="77777777">
      <w:pPr>
        <w:spacing w:after="0" w:line="240" w:lineRule="auto"/>
        <w:rPr>
          <w:rFonts w:ascii="Times New Roman" w:hAnsi="Times New Roman" w:cs="Times New Roman"/>
          <w:sz w:val="24"/>
          <w:szCs w:val="24"/>
        </w:rPr>
      </w:pPr>
    </w:p>
    <w:p w:rsidR="00C00D70" w:rsidP="0092596C" w14:paraId="2D7CFBFB" w14:textId="3F7B23B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general, small entities may </w:t>
      </w:r>
      <w:r w:rsidRPr="00BD0FD5" w:rsidR="00B86284">
        <w:rPr>
          <w:rFonts w:ascii="Times New Roman" w:hAnsi="Times New Roman" w:cs="Times New Roman"/>
          <w:sz w:val="24"/>
          <w:szCs w:val="24"/>
        </w:rPr>
        <w:t xml:space="preserve">reduce their burden by taking part in a joint registration organization or </w:t>
      </w:r>
      <w:r w:rsidRPr="00BD0FD5">
        <w:rPr>
          <w:rFonts w:ascii="Times New Roman" w:hAnsi="Times New Roman" w:cs="Times New Roman"/>
          <w:sz w:val="24"/>
          <w:szCs w:val="24"/>
        </w:rPr>
        <w:t>a coordinated functional registration</w:t>
      </w:r>
      <w:r w:rsidRPr="00BD0FD5" w:rsidR="00B86284">
        <w:rPr>
          <w:rFonts w:ascii="Times New Roman" w:hAnsi="Times New Roman" w:cs="Times New Roman"/>
          <w:sz w:val="24"/>
          <w:szCs w:val="24"/>
        </w:rPr>
        <w:t>.  These options allow an entity to share its compliance burden with other entities.</w:t>
      </w:r>
    </w:p>
    <w:p w:rsidR="007F0136" w:rsidP="0092596C" w14:paraId="7215EC62" w14:textId="4E1A61B0">
      <w:pPr>
        <w:spacing w:after="0" w:line="240" w:lineRule="auto"/>
        <w:rPr>
          <w:rFonts w:ascii="Times New Roman" w:hAnsi="Times New Roman" w:cs="Times New Roman"/>
          <w:sz w:val="24"/>
          <w:szCs w:val="24"/>
        </w:rPr>
      </w:pPr>
    </w:p>
    <w:p w:rsidR="007F0136" w:rsidRPr="007F0136" w:rsidP="007F0136" w14:paraId="0A9E5EDB" w14:textId="77777777">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Detailed information regarding these options is available in NERC’s Rules of Procedure at sections 507 and 508.</w:t>
      </w:r>
      <w:r>
        <w:rPr>
          <w:rFonts w:ascii="Times New Roman" w:hAnsi="Times New Roman" w:cs="Times New Roman"/>
          <w:sz w:val="24"/>
          <w:szCs w:val="24"/>
          <w:vertAlign w:val="superscript"/>
        </w:rPr>
        <w:footnoteReference w:id="9"/>
      </w:r>
      <w:r w:rsidRPr="007F0136">
        <w:rPr>
          <w:rFonts w:ascii="Times New Roman" w:hAnsi="Times New Roman" w:cs="Times New Roman"/>
          <w:sz w:val="24"/>
          <w:szCs w:val="24"/>
          <w:vertAlign w:val="superscript"/>
        </w:rPr>
        <w:t xml:space="preserve"> </w:t>
      </w:r>
    </w:p>
    <w:p w:rsidR="007F0136" w:rsidRPr="00BD0FD5" w:rsidP="0092596C" w14:paraId="652280F7" w14:textId="77777777">
      <w:pPr>
        <w:spacing w:after="0" w:line="240" w:lineRule="auto"/>
        <w:rPr>
          <w:rFonts w:ascii="Times New Roman" w:hAnsi="Times New Roman" w:cs="Times New Roman"/>
          <w:sz w:val="24"/>
          <w:szCs w:val="24"/>
        </w:rPr>
      </w:pPr>
    </w:p>
    <w:p w:rsidR="00EB3E6F" w:rsidRPr="00BD0FD5" w:rsidP="0092596C" w14:paraId="2EDB8F78" w14:textId="77777777">
      <w:pPr>
        <w:spacing w:after="0" w:line="240" w:lineRule="auto"/>
        <w:rPr>
          <w:rFonts w:ascii="Times New Roman" w:hAnsi="Times New Roman" w:cs="Times New Roman"/>
          <w:sz w:val="24"/>
          <w:szCs w:val="24"/>
        </w:rPr>
      </w:pPr>
    </w:p>
    <w:p w:rsidR="00EB3E6F" w:rsidP="0092596C" w14:paraId="381BCCC8" w14:textId="2209DB4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rsidR="009118FF" w:rsidP="009118FF" w14:paraId="3C1459C7" w14:textId="77777777">
      <w:pPr>
        <w:spacing w:after="0" w:line="240" w:lineRule="auto"/>
        <w:rPr>
          <w:rFonts w:ascii="Times New Roman" w:hAnsi="Times New Roman" w:cs="Times New Roman"/>
          <w:b/>
          <w:sz w:val="24"/>
          <w:szCs w:val="24"/>
        </w:rPr>
      </w:pPr>
    </w:p>
    <w:p w:rsidR="009118FF" w:rsidP="009118FF" w14:paraId="496A4395" w14:textId="5082917D">
      <w:pPr>
        <w:spacing w:after="0" w:line="240" w:lineRule="auto"/>
        <w:rPr>
          <w:rFonts w:ascii="Times New Roman" w:hAnsi="Times New Roman" w:cs="Times New Roman"/>
          <w:b/>
          <w:sz w:val="24"/>
          <w:szCs w:val="24"/>
        </w:rPr>
      </w:pPr>
      <w:r>
        <w:rPr>
          <w:rFonts w:ascii="Times New Roman" w:hAnsi="Times New Roman" w:cs="Times New Roman"/>
          <w:b/>
          <w:sz w:val="24"/>
          <w:szCs w:val="24"/>
        </w:rPr>
        <w:t>FERC-725D</w:t>
      </w:r>
    </w:p>
    <w:p w:rsidR="009118FF" w:rsidRPr="009118FF" w:rsidP="009118FF" w14:paraId="5807EA19" w14:textId="06ECC3FF">
      <w:pPr>
        <w:spacing w:after="0" w:line="240" w:lineRule="auto"/>
        <w:rPr>
          <w:rFonts w:ascii="Times New Roman" w:eastAsia="Calibri" w:hAnsi="Times New Roman" w:cs="Times New Roman"/>
          <w:bCs/>
          <w:sz w:val="24"/>
          <w:szCs w:val="24"/>
        </w:rPr>
      </w:pPr>
      <w:r w:rsidRPr="009118FF">
        <w:rPr>
          <w:rFonts w:ascii="Times New Roman" w:eastAsia="Calibri" w:hAnsi="Times New Roman" w:cs="Times New Roman"/>
          <w:bCs/>
          <w:sz w:val="24"/>
          <w:szCs w:val="24"/>
        </w:rPr>
        <w:t xml:space="preserve">FAC-001-3 imposes the obligation to document, maintain, and publish interconnection requirements. Failure to properly maintain the interconnection requirement documents and make them available to entities upon request could adversely impact reliable planning and operation of the Bulk Electric System because data needed to perform studies to determine the impact of interconnecting facilities on existing </w:t>
      </w:r>
      <w:r w:rsidR="00464140">
        <w:rPr>
          <w:rFonts w:ascii="Times New Roman" w:eastAsia="Calibri" w:hAnsi="Times New Roman" w:cs="Times New Roman"/>
          <w:bCs/>
          <w:sz w:val="24"/>
          <w:szCs w:val="24"/>
        </w:rPr>
        <w:t>i</w:t>
      </w:r>
      <w:r w:rsidRPr="009118FF">
        <w:rPr>
          <w:rFonts w:ascii="Times New Roman" w:eastAsia="Calibri" w:hAnsi="Times New Roman" w:cs="Times New Roman"/>
          <w:bCs/>
          <w:sz w:val="24"/>
          <w:szCs w:val="24"/>
        </w:rPr>
        <w:t xml:space="preserve">nterconnections as well as on affected systems may not be provided. Further, lack of these documents could result in inaccurate and uncoordinated interconnection studies, leading to possible instances of instability, uncontrolled </w:t>
      </w:r>
      <w:r w:rsidRPr="009118FF" w:rsidR="000C7F68">
        <w:rPr>
          <w:rFonts w:ascii="Times New Roman" w:eastAsia="Calibri" w:hAnsi="Times New Roman" w:cs="Times New Roman"/>
          <w:bCs/>
          <w:sz w:val="24"/>
          <w:szCs w:val="24"/>
        </w:rPr>
        <w:t>separation,</w:t>
      </w:r>
      <w:r w:rsidRPr="009118FF">
        <w:rPr>
          <w:rFonts w:ascii="Times New Roman" w:eastAsia="Calibri" w:hAnsi="Times New Roman" w:cs="Times New Roman"/>
          <w:bCs/>
          <w:sz w:val="24"/>
          <w:szCs w:val="24"/>
        </w:rPr>
        <w:t xml:space="preserve"> and cascading failures. The requirements include retention periods that identify the period of time an entity is required to retain specific evidence to demonstrate compliance. </w:t>
      </w:r>
    </w:p>
    <w:p w:rsidR="009118FF" w:rsidRPr="009118FF" w:rsidP="009118FF" w14:paraId="42AC95C0" w14:textId="77777777">
      <w:pPr>
        <w:spacing w:after="0" w:line="240" w:lineRule="auto"/>
        <w:rPr>
          <w:rFonts w:ascii="Times New Roman" w:eastAsia="Calibri" w:hAnsi="Times New Roman" w:cs="Times New Roman"/>
          <w:bCs/>
          <w:sz w:val="24"/>
          <w:szCs w:val="24"/>
        </w:rPr>
      </w:pPr>
    </w:p>
    <w:p w:rsidR="009118FF" w:rsidRPr="009118FF" w:rsidP="009118FF" w14:paraId="71F9CA54" w14:textId="5AD1DB09">
      <w:pPr>
        <w:spacing w:after="0" w:line="240" w:lineRule="auto"/>
        <w:rPr>
          <w:rFonts w:ascii="Times New Roman" w:eastAsia="Calibri" w:hAnsi="Times New Roman" w:cs="Times New Roman"/>
          <w:bCs/>
          <w:sz w:val="24"/>
          <w:szCs w:val="24"/>
        </w:rPr>
      </w:pPr>
      <w:r w:rsidRPr="009118FF">
        <w:rPr>
          <w:rFonts w:ascii="Times New Roman" w:eastAsia="Calibri" w:hAnsi="Times New Roman" w:cs="Times New Roman"/>
          <w:bCs/>
          <w:sz w:val="24"/>
          <w:szCs w:val="24"/>
        </w:rPr>
        <w:t xml:space="preserve">For Reliability Standard FAC-002-3, all applicable entities need to cooperate in sharing data so valid and complete studies can be performed to accurately assess the reliability impact of interconnecting new or materially modified facilities. Failing to conduct studies of these interconnecting facilities could lead to instances of violation with other national and regional standards. Also, actual system performance under normal and emergency conditions may not match the results of steady-state, short </w:t>
      </w:r>
      <w:r w:rsidRPr="009118FF" w:rsidR="000C7F68">
        <w:rPr>
          <w:rFonts w:ascii="Times New Roman" w:eastAsia="Calibri" w:hAnsi="Times New Roman" w:cs="Times New Roman"/>
          <w:bCs/>
          <w:sz w:val="24"/>
          <w:szCs w:val="24"/>
        </w:rPr>
        <w:t>circuit,</w:t>
      </w:r>
      <w:r w:rsidRPr="009118FF">
        <w:rPr>
          <w:rFonts w:ascii="Times New Roman" w:eastAsia="Calibri" w:hAnsi="Times New Roman" w:cs="Times New Roman"/>
          <w:bCs/>
          <w:sz w:val="24"/>
          <w:szCs w:val="24"/>
        </w:rPr>
        <w:t xml:space="preserve"> and dynamic studies, which could impact Bulk Electric System reliability and lead to instances of instability, uncontrolled </w:t>
      </w:r>
      <w:r w:rsidRPr="009118FF" w:rsidR="000C7F68">
        <w:rPr>
          <w:rFonts w:ascii="Times New Roman" w:eastAsia="Calibri" w:hAnsi="Times New Roman" w:cs="Times New Roman"/>
          <w:bCs/>
          <w:sz w:val="24"/>
          <w:szCs w:val="24"/>
        </w:rPr>
        <w:t>separation,</w:t>
      </w:r>
      <w:r w:rsidRPr="009118FF">
        <w:rPr>
          <w:rFonts w:ascii="Times New Roman" w:eastAsia="Calibri" w:hAnsi="Times New Roman" w:cs="Times New Roman"/>
          <w:bCs/>
          <w:sz w:val="24"/>
          <w:szCs w:val="24"/>
        </w:rPr>
        <w:t xml:space="preserve"> and cascading failures. These requirements include retention periods that identify the period of time an entity is required to retain specific evidence to demonstrate compliance. If a responsible entity is found non-compliant, it shall keep information related to the non-compliance until mitigation is complete and approved. </w:t>
      </w:r>
    </w:p>
    <w:p w:rsidR="009118FF" w:rsidRPr="009118FF" w:rsidP="009118FF" w14:paraId="16D3E1B8" w14:textId="77777777">
      <w:pPr>
        <w:spacing w:after="0"/>
        <w:rPr>
          <w:rFonts w:ascii="Times New Roman" w:eastAsia="Calibri" w:hAnsi="Times New Roman" w:cs="Times New Roman"/>
          <w:sz w:val="24"/>
          <w:szCs w:val="24"/>
        </w:rPr>
      </w:pPr>
    </w:p>
    <w:p w:rsidR="009118FF" w:rsidRPr="009118FF" w:rsidP="009118FF" w14:paraId="59870438" w14:textId="60E0B5EF">
      <w:pPr>
        <w:spacing w:after="0"/>
        <w:rPr>
          <w:rFonts w:ascii="Times New Roman" w:eastAsia="Calibri" w:hAnsi="Times New Roman" w:cs="Times New Roman"/>
          <w:sz w:val="24"/>
          <w:szCs w:val="24"/>
        </w:rPr>
      </w:pPr>
      <w:r w:rsidRPr="009118FF">
        <w:rPr>
          <w:rFonts w:ascii="Times New Roman" w:eastAsia="Calibri" w:hAnsi="Times New Roman" w:cs="Times New Roman"/>
          <w:sz w:val="24"/>
          <w:szCs w:val="24"/>
        </w:rPr>
        <w:t>As for FAC</w:t>
      </w:r>
      <w:r w:rsidR="00CE5F91">
        <w:rPr>
          <w:rFonts w:ascii="Times New Roman" w:eastAsia="Calibri" w:hAnsi="Times New Roman" w:cs="Times New Roman"/>
          <w:sz w:val="24"/>
          <w:szCs w:val="24"/>
        </w:rPr>
        <w:t>-0</w:t>
      </w:r>
      <w:r w:rsidRPr="009118FF">
        <w:rPr>
          <w:rFonts w:ascii="Times New Roman" w:eastAsia="Calibri" w:hAnsi="Times New Roman" w:cs="Times New Roman"/>
          <w:sz w:val="24"/>
          <w:szCs w:val="24"/>
        </w:rPr>
        <w:t>10-3</w:t>
      </w:r>
      <w:r>
        <w:rPr>
          <w:rFonts w:ascii="Times New Roman" w:eastAsia="Calibri" w:hAnsi="Times New Roman" w:cs="Times New Roman"/>
          <w:sz w:val="24"/>
          <w:szCs w:val="24"/>
        </w:rPr>
        <w:t xml:space="preserve"> (being retired)</w:t>
      </w:r>
      <w:r w:rsidRPr="009118FF">
        <w:rPr>
          <w:rFonts w:ascii="Times New Roman" w:eastAsia="Calibri" w:hAnsi="Times New Roman" w:cs="Times New Roman"/>
          <w:sz w:val="24"/>
          <w:szCs w:val="24"/>
        </w:rPr>
        <w:t>, FAC</w:t>
      </w:r>
      <w:r w:rsidR="00CE5F91">
        <w:rPr>
          <w:rFonts w:ascii="Times New Roman" w:eastAsia="Calibri" w:hAnsi="Times New Roman" w:cs="Times New Roman"/>
          <w:sz w:val="24"/>
          <w:szCs w:val="24"/>
        </w:rPr>
        <w:t>-0</w:t>
      </w:r>
      <w:r w:rsidRPr="009118FF">
        <w:rPr>
          <w:rFonts w:ascii="Times New Roman" w:eastAsia="Calibri" w:hAnsi="Times New Roman" w:cs="Times New Roman"/>
          <w:sz w:val="24"/>
          <w:szCs w:val="24"/>
        </w:rPr>
        <w:t>11-3, and FAC</w:t>
      </w:r>
      <w:r w:rsidR="00CE5F91">
        <w:rPr>
          <w:rFonts w:ascii="Times New Roman" w:eastAsia="Calibri" w:hAnsi="Times New Roman" w:cs="Times New Roman"/>
          <w:sz w:val="24"/>
          <w:szCs w:val="24"/>
        </w:rPr>
        <w:t>-0</w:t>
      </w:r>
      <w:r w:rsidRPr="009118FF">
        <w:rPr>
          <w:rFonts w:ascii="Times New Roman" w:eastAsia="Calibri" w:hAnsi="Times New Roman" w:cs="Times New Roman"/>
          <w:sz w:val="24"/>
          <w:szCs w:val="24"/>
        </w:rPr>
        <w:t>14-</w:t>
      </w:r>
      <w:r w:rsidR="00CE5F91">
        <w:rPr>
          <w:rFonts w:ascii="Times New Roman" w:eastAsia="Calibri" w:hAnsi="Times New Roman" w:cs="Times New Roman"/>
          <w:sz w:val="24"/>
          <w:szCs w:val="24"/>
        </w:rPr>
        <w:t>2</w:t>
      </w:r>
      <w:r w:rsidRPr="009118FF">
        <w:rPr>
          <w:rFonts w:ascii="Times New Roman" w:eastAsia="Calibri" w:hAnsi="Times New Roman" w:cs="Times New Roman"/>
          <w:sz w:val="24"/>
          <w:szCs w:val="24"/>
        </w:rPr>
        <w:t>, the establishment of how to identify SOLs and use it within the planning and operating horizons is critical to the reliability of the BPS.  Failure to keep accurate data could cause contingency cases to be out of date and problem areas not being properly identified.</w:t>
      </w:r>
    </w:p>
    <w:p w:rsidR="009118FF" w:rsidP="009118FF" w14:paraId="1E662ABF" w14:textId="77777777">
      <w:pPr>
        <w:spacing w:after="0" w:line="240" w:lineRule="auto"/>
        <w:rPr>
          <w:rFonts w:ascii="Times New Roman" w:hAnsi="Times New Roman" w:cs="Times New Roman"/>
          <w:b/>
          <w:sz w:val="24"/>
          <w:szCs w:val="24"/>
        </w:rPr>
      </w:pPr>
    </w:p>
    <w:p w:rsidR="009118FF" w:rsidP="009118FF" w14:paraId="5D0D3C8C" w14:textId="4D2E9971">
      <w:pPr>
        <w:spacing w:after="0" w:line="240" w:lineRule="auto"/>
        <w:rPr>
          <w:rFonts w:ascii="Times New Roman" w:hAnsi="Times New Roman" w:cs="Times New Roman"/>
          <w:b/>
          <w:sz w:val="24"/>
          <w:szCs w:val="24"/>
        </w:rPr>
      </w:pPr>
      <w:r>
        <w:rPr>
          <w:rFonts w:ascii="Times New Roman" w:hAnsi="Times New Roman" w:cs="Times New Roman"/>
          <w:b/>
          <w:sz w:val="24"/>
          <w:szCs w:val="24"/>
        </w:rPr>
        <w:t>FERC-725M</w:t>
      </w:r>
    </w:p>
    <w:p w:rsidR="009118FF" w:rsidP="009118FF" w14:paraId="0FC16D54" w14:textId="77777777">
      <w:pPr>
        <w:spacing w:after="0" w:line="240" w:lineRule="auto"/>
        <w:rPr>
          <w:rFonts w:ascii="Times New Roman" w:hAnsi="Times New Roman" w:cs="Times New Roman"/>
          <w:b/>
          <w:sz w:val="24"/>
          <w:szCs w:val="24"/>
        </w:rPr>
      </w:pPr>
    </w:p>
    <w:p w:rsidR="009118FF" w:rsidRPr="009118FF" w:rsidP="009118FF" w14:paraId="6A3DE2BC" w14:textId="34BDC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Based on information from industry and the Commission, the Reliability Standard and requirements covered by FERC-725M are critical and essential to the Commission’s mission.  The Reliability Standard requires information to be collected quarterly and annually. If the Reliability Standard and related FERC-725M information were not required or collected less frequently, it could jeopardize the reliability of the nation’s Bulk Power System and lead to additional sustained power outages and to public harm. </w:t>
      </w:r>
    </w:p>
    <w:p w:rsidR="009118FF" w:rsidP="009118FF" w14:paraId="1E6F1BF9" w14:textId="77777777">
      <w:pPr>
        <w:spacing w:after="0" w:line="240" w:lineRule="auto"/>
        <w:rPr>
          <w:rFonts w:ascii="Times New Roman" w:hAnsi="Times New Roman" w:cs="Times New Roman"/>
          <w:b/>
          <w:sz w:val="24"/>
          <w:szCs w:val="24"/>
        </w:rPr>
      </w:pPr>
    </w:p>
    <w:p w:rsidR="009118FF" w:rsidP="009118FF" w14:paraId="37658B59" w14:textId="21782A7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FERC-725G</w:t>
      </w:r>
    </w:p>
    <w:p w:rsidR="009118FF" w:rsidP="009118FF" w14:paraId="1A0149AF" w14:textId="77777777">
      <w:pPr>
        <w:spacing w:after="0" w:line="240" w:lineRule="auto"/>
        <w:rPr>
          <w:rFonts w:ascii="Times New Roman" w:hAnsi="Times New Roman" w:cs="Times New Roman"/>
          <w:b/>
          <w:sz w:val="24"/>
          <w:szCs w:val="24"/>
        </w:rPr>
      </w:pPr>
    </w:p>
    <w:p w:rsidR="009118FF" w:rsidRPr="009118FF" w:rsidP="009118FF" w14:paraId="6228687E" w14:textId="3E747220">
      <w:pPr>
        <w:spacing w:after="0" w:line="240" w:lineRule="auto"/>
        <w:rPr>
          <w:rFonts w:ascii="Times New Roman" w:eastAsia="Calibri" w:hAnsi="Times New Roman" w:cs="Times New Roman"/>
          <w:sz w:val="26"/>
          <w:szCs w:val="26"/>
        </w:rPr>
      </w:pPr>
      <w:r w:rsidRPr="009118FF">
        <w:rPr>
          <w:rFonts w:ascii="Times New Roman" w:eastAsia="Calibri" w:hAnsi="Times New Roman" w:cs="Times New Roman"/>
          <w:sz w:val="26"/>
          <w:szCs w:val="26"/>
        </w:rPr>
        <w:t xml:space="preserve">PRC Reliability Standards were established such that the declining frequency is arrested and recovered in accordance with NPCC performance requirements.  The collection </w:t>
      </w:r>
      <w:r w:rsidRPr="009118FF">
        <w:rPr>
          <w:rFonts w:ascii="Times New Roman" w:eastAsia="Calibri" w:hAnsi="Times New Roman" w:cs="Times New Roman"/>
          <w:sz w:val="26"/>
          <w:szCs w:val="26"/>
        </w:rPr>
        <w:t xml:space="preserve">cannot be collected less frequently, as the proper targets need to be set in terms load tripping at the required frequency set points.  Over time the amount of load on will change and if not reviewed it may result in missing targeted values and cause frequency decline that would trip generation leading to widespread uncontrolled outages.  </w:t>
      </w:r>
    </w:p>
    <w:p w:rsidR="009118FF" w:rsidRPr="009118FF" w:rsidP="009118FF" w14:paraId="433D9DC3" w14:textId="77777777">
      <w:pPr>
        <w:spacing w:after="0" w:line="240" w:lineRule="auto"/>
        <w:rPr>
          <w:rFonts w:ascii="Times New Roman" w:eastAsia="Calibri" w:hAnsi="Times New Roman" w:cs="Times New Roman"/>
          <w:sz w:val="26"/>
          <w:szCs w:val="26"/>
        </w:rPr>
      </w:pPr>
    </w:p>
    <w:p w:rsidR="009118FF" w:rsidRPr="009118FF" w:rsidP="009118FF" w14:paraId="2DDA2293" w14:textId="77777777">
      <w:pPr>
        <w:spacing w:after="0" w:line="240" w:lineRule="auto"/>
        <w:rPr>
          <w:rFonts w:ascii="Times New Roman" w:eastAsia="Calibri" w:hAnsi="Times New Roman" w:cs="Times New Roman"/>
          <w:sz w:val="26"/>
          <w:szCs w:val="26"/>
        </w:rPr>
      </w:pPr>
      <w:r w:rsidRPr="009118FF">
        <w:rPr>
          <w:rFonts w:ascii="Times New Roman" w:eastAsia="Calibri" w:hAnsi="Times New Roman" w:cs="Times New Roman"/>
          <w:sz w:val="26"/>
          <w:szCs w:val="26"/>
        </w:rPr>
        <w:t xml:space="preserve">The frequency this information is currently required is once per calendar year by the transmission owner and distribution provider to its planning coordinator and generator owners shall provide information upon request. </w:t>
      </w:r>
    </w:p>
    <w:p w:rsidR="009118FF" w:rsidRPr="009118FF" w:rsidP="009118FF" w14:paraId="246D27FD" w14:textId="77777777">
      <w:pPr>
        <w:spacing w:after="0" w:line="240" w:lineRule="auto"/>
        <w:rPr>
          <w:rFonts w:ascii="Times New Roman" w:eastAsia="Calibri" w:hAnsi="Times New Roman" w:cs="Times New Roman"/>
          <w:sz w:val="26"/>
          <w:szCs w:val="26"/>
        </w:rPr>
      </w:pPr>
    </w:p>
    <w:p w:rsidR="009118FF" w:rsidRPr="009118FF" w:rsidP="009118FF" w14:paraId="0AA3CC70" w14:textId="77777777">
      <w:pPr>
        <w:spacing w:after="0" w:line="240" w:lineRule="auto"/>
        <w:rPr>
          <w:rFonts w:ascii="Times New Roman" w:eastAsia="Calibri" w:hAnsi="Times New Roman" w:cs="Times New Roman"/>
          <w:sz w:val="26"/>
          <w:szCs w:val="26"/>
        </w:rPr>
      </w:pPr>
      <w:r w:rsidRPr="009118FF">
        <w:rPr>
          <w:rFonts w:ascii="Times New Roman" w:eastAsia="Calibri" w:hAnsi="Times New Roman" w:cs="Times New Roman"/>
          <w:sz w:val="26"/>
          <w:szCs w:val="26"/>
        </w:rPr>
        <w:t>Having a yearly “develop and review” without taking any further action is strictly administrative and does nothing for reliability (P-81 type of issue).</w:t>
      </w:r>
    </w:p>
    <w:p w:rsidR="009118FF" w:rsidRPr="009118FF" w:rsidP="009118FF" w14:paraId="48E688A7" w14:textId="77777777">
      <w:pPr>
        <w:spacing w:after="0" w:line="240" w:lineRule="auto"/>
        <w:rPr>
          <w:rFonts w:ascii="Times New Roman" w:eastAsia="Calibri" w:hAnsi="Times New Roman" w:cs="Times New Roman"/>
          <w:sz w:val="26"/>
          <w:szCs w:val="26"/>
        </w:rPr>
      </w:pPr>
    </w:p>
    <w:p w:rsidR="009118FF" w:rsidP="009118FF" w14:paraId="39DF437B" w14:textId="02EF5B72">
      <w:pPr>
        <w:spacing w:after="0" w:line="240" w:lineRule="auto"/>
        <w:rPr>
          <w:rFonts w:ascii="Times New Roman" w:hAnsi="Times New Roman" w:cs="Times New Roman"/>
          <w:b/>
          <w:sz w:val="24"/>
          <w:szCs w:val="24"/>
        </w:rPr>
      </w:pPr>
    </w:p>
    <w:p w:rsidR="009118FF" w:rsidP="009118FF" w14:paraId="3393C54F" w14:textId="77777777">
      <w:pPr>
        <w:spacing w:after="0" w:line="240" w:lineRule="auto"/>
        <w:rPr>
          <w:rFonts w:ascii="Times New Roman" w:hAnsi="Times New Roman" w:cs="Times New Roman"/>
          <w:b/>
          <w:sz w:val="24"/>
          <w:szCs w:val="24"/>
        </w:rPr>
      </w:pPr>
    </w:p>
    <w:p w:rsidR="009118FF" w:rsidP="009118FF" w14:paraId="761F27C2" w14:textId="2CE1CFA9">
      <w:pPr>
        <w:spacing w:after="0" w:line="240" w:lineRule="auto"/>
        <w:rPr>
          <w:rFonts w:ascii="Times New Roman" w:hAnsi="Times New Roman" w:cs="Times New Roman"/>
          <w:b/>
          <w:sz w:val="24"/>
          <w:szCs w:val="24"/>
        </w:rPr>
      </w:pPr>
      <w:r>
        <w:rPr>
          <w:rFonts w:ascii="Times New Roman" w:hAnsi="Times New Roman" w:cs="Times New Roman"/>
          <w:b/>
          <w:sz w:val="24"/>
          <w:szCs w:val="24"/>
        </w:rPr>
        <w:t>FERC-725Z</w:t>
      </w:r>
    </w:p>
    <w:p w:rsidR="009118FF" w:rsidP="009118FF" w14:paraId="6DE846C1" w14:textId="77777777">
      <w:pPr>
        <w:spacing w:after="0" w:line="240" w:lineRule="auto"/>
        <w:rPr>
          <w:rFonts w:ascii="Times New Roman" w:hAnsi="Times New Roman" w:cs="Times New Roman"/>
          <w:b/>
          <w:sz w:val="24"/>
          <w:szCs w:val="24"/>
        </w:rPr>
      </w:pPr>
    </w:p>
    <w:p w:rsidR="009118FF" w:rsidRPr="009118FF" w:rsidP="009118FF" w14:paraId="7B3A33E6"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009118FF">
        <w:rPr>
          <w:rFonts w:ascii="Times New Roman" w:eastAsia="Times New Roman" w:hAnsi="Times New Roman" w:cs="Times New Roman"/>
          <w:sz w:val="26"/>
          <w:szCs w:val="26"/>
        </w:rPr>
        <w:t xml:space="preserve">NERC stated in its Petition that “[a]s the Western Interconnection prepares to transition to an environment in which more than one Reliability Coordinator will be providing services, focused coordination of these Reliability Coordinators will be of critical importance. To promote coordination among these Reliability Coordinators and help ensure reliability in the Western Interconnection, WECC developed the proposed regional Variance reflected in proposed Reliability Standard IRO-002-6.”  </w:t>
      </w:r>
    </w:p>
    <w:p w:rsidR="009118FF" w:rsidRPr="009118FF" w:rsidP="009118FF" w14:paraId="02E5E5BC"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9118FF" w:rsidRPr="009118FF" w:rsidP="009118FF" w14:paraId="48AB156B"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009118FF">
        <w:rPr>
          <w:rFonts w:ascii="Times New Roman" w:eastAsia="Times New Roman" w:hAnsi="Times New Roman" w:cs="Times New Roman"/>
          <w:sz w:val="26"/>
          <w:szCs w:val="26"/>
        </w:rPr>
        <w:t xml:space="preserve">Failure to implement the changes could directly affect the ability to effectively monitor and control and ensure reliability of the Western interconnection in the bulk electric system. </w:t>
      </w:r>
    </w:p>
    <w:p w:rsidR="009118FF" w:rsidRPr="009118FF" w:rsidP="009118FF" w14:paraId="66618595" w14:textId="77777777">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rsidR="009118FF" w:rsidP="009118FF" w14:paraId="6B6A671C" w14:textId="77777777">
      <w:pPr>
        <w:spacing w:after="0" w:line="240" w:lineRule="auto"/>
        <w:rPr>
          <w:rFonts w:ascii="Times New Roman" w:hAnsi="Times New Roman" w:cs="Times New Roman"/>
          <w:b/>
          <w:sz w:val="24"/>
          <w:szCs w:val="24"/>
        </w:rPr>
      </w:pPr>
    </w:p>
    <w:p w:rsidR="009118FF" w:rsidRPr="009118FF" w:rsidP="009118FF" w14:paraId="6F2EC16E" w14:textId="0B8B328E">
      <w:pPr>
        <w:spacing w:after="0" w:line="240" w:lineRule="auto"/>
        <w:rPr>
          <w:rFonts w:ascii="Times New Roman" w:hAnsi="Times New Roman" w:cs="Times New Roman"/>
          <w:b/>
          <w:sz w:val="24"/>
          <w:szCs w:val="24"/>
        </w:rPr>
      </w:pPr>
      <w:r>
        <w:rPr>
          <w:rFonts w:ascii="Times New Roman" w:hAnsi="Times New Roman" w:cs="Times New Roman"/>
          <w:b/>
          <w:sz w:val="24"/>
          <w:szCs w:val="24"/>
        </w:rPr>
        <w:t>FERC-725A</w:t>
      </w:r>
    </w:p>
    <w:p w:rsidR="00EB3E6F" w:rsidRPr="00BD0FD5" w:rsidP="0092596C" w14:paraId="1D8BD47F" w14:textId="77777777">
      <w:pPr>
        <w:spacing w:after="0" w:line="240" w:lineRule="auto"/>
        <w:rPr>
          <w:rFonts w:ascii="Times New Roman" w:hAnsi="Times New Roman" w:cs="Times New Roman"/>
          <w:sz w:val="24"/>
          <w:szCs w:val="24"/>
        </w:rPr>
      </w:pPr>
    </w:p>
    <w:p w:rsidR="00B86284" w:rsidP="00B862DA" w14:paraId="1863DCB0" w14:textId="53DD6032">
      <w:pPr>
        <w:widowControl w:val="0"/>
        <w:autoSpaceDE w:val="0"/>
        <w:autoSpaceDN w:val="0"/>
        <w:adjustRightInd w:val="0"/>
        <w:spacing w:after="0" w:line="240" w:lineRule="auto"/>
        <w:rPr>
          <w:rFonts w:ascii="Times New Roman" w:hAnsi="Times New Roman" w:cs="Times New Roman"/>
          <w:sz w:val="24"/>
          <w:szCs w:val="24"/>
        </w:rPr>
      </w:pPr>
      <w:r w:rsidRPr="00B862DA">
        <w:rPr>
          <w:rFonts w:ascii="Times New Roman" w:eastAsia="Times New Roman" w:hAnsi="Times New Roman" w:cs="Times New Roman"/>
          <w:sz w:val="24"/>
          <w:szCs w:val="24"/>
        </w:rPr>
        <w:t xml:space="preserve">In general, information collection requirements in Reliability Standards and requirements help maintain Bulk-Power System reliability. </w:t>
      </w:r>
      <w:r w:rsidRPr="001F4608" w:rsidR="002E7D81">
        <w:rPr>
          <w:rFonts w:ascii="Times New Roman" w:hAnsi="Times New Roman" w:cs="Times New Roman"/>
          <w:sz w:val="24"/>
          <w:szCs w:val="24"/>
        </w:rPr>
        <w:t>The standard requires entities to report certain disturbance events within 24 hours of meeting an event type threshold or by the end of the next business day if the event occurs on a weekend.  Other paperwork related requirements are one-time or done on a yearly basis.</w:t>
      </w:r>
      <w:r w:rsidRPr="001F4608" w:rsidR="007C31D6">
        <w:rPr>
          <w:rFonts w:ascii="Times New Roman" w:hAnsi="Times New Roman" w:cs="Times New Roman"/>
          <w:sz w:val="24"/>
          <w:szCs w:val="24"/>
        </w:rPr>
        <w:t xml:space="preserve">  If the disturbance events were reported less frequently, it would undermine NERC’s (and others’) ability to mitigate the current event and prepare for a possible next event.</w:t>
      </w:r>
      <w:r w:rsidRPr="001F4608" w:rsidR="002E7D81">
        <w:rPr>
          <w:rFonts w:ascii="Times New Roman" w:hAnsi="Times New Roman" w:cs="Times New Roman"/>
          <w:sz w:val="24"/>
          <w:szCs w:val="24"/>
        </w:rPr>
        <w:t xml:space="preserve">  </w:t>
      </w:r>
    </w:p>
    <w:p w:rsidR="00C96857" w:rsidP="00B862DA" w14:paraId="2228C69D" w14:textId="11583E78">
      <w:pPr>
        <w:widowControl w:val="0"/>
        <w:autoSpaceDE w:val="0"/>
        <w:autoSpaceDN w:val="0"/>
        <w:adjustRightInd w:val="0"/>
        <w:spacing w:after="0" w:line="240" w:lineRule="auto"/>
        <w:rPr>
          <w:rFonts w:ascii="Times New Roman" w:hAnsi="Times New Roman" w:cs="Times New Roman"/>
          <w:sz w:val="24"/>
          <w:szCs w:val="24"/>
        </w:rPr>
      </w:pPr>
    </w:p>
    <w:p w:rsidR="00C96857" w:rsidRPr="00B862DA" w:rsidP="00B862DA" w14:paraId="01613560" w14:textId="5C65BF5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Also, Real-time Assessments (RTAs) are computer cases run every 30 minutes to evaluate the condition of the system and identify potential problems.  The time period of 30 minutes aligns with response time for operators to mitigate potential such as exceeding the operating limit of equipment.</w:t>
      </w:r>
    </w:p>
    <w:p w:rsidR="002E7D81" w:rsidRPr="00BD0FD5" w:rsidP="0092596C" w14:paraId="4A160987" w14:textId="77777777">
      <w:pPr>
        <w:spacing w:after="0" w:line="240" w:lineRule="auto"/>
        <w:rPr>
          <w:rFonts w:ascii="Times New Roman" w:hAnsi="Times New Roman" w:cs="Times New Roman"/>
          <w:sz w:val="24"/>
          <w:szCs w:val="24"/>
        </w:rPr>
      </w:pPr>
    </w:p>
    <w:p w:rsidR="00EB3E6F" w:rsidRPr="00BD0FD5" w:rsidP="0092596C" w14:paraId="4A7865B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rsidR="00EB3E6F" w:rsidP="0092596C" w14:paraId="07E33058" w14:textId="6542FFCC">
      <w:pPr>
        <w:spacing w:after="0" w:line="240" w:lineRule="auto"/>
        <w:rPr>
          <w:rFonts w:ascii="Times New Roman" w:hAnsi="Times New Roman" w:cs="Times New Roman"/>
          <w:sz w:val="24"/>
          <w:szCs w:val="24"/>
        </w:rPr>
      </w:pPr>
    </w:p>
    <w:p w:rsidR="00697B0D" w:rsidRPr="00697B0D" w:rsidP="0092596C" w14:paraId="565C134B" w14:textId="6DE81BE5">
      <w:pPr>
        <w:spacing w:after="0" w:line="240" w:lineRule="auto"/>
        <w:rPr>
          <w:rFonts w:ascii="Times New Roman" w:hAnsi="Times New Roman" w:cs="Times New Roman"/>
          <w:b/>
          <w:bCs/>
          <w:sz w:val="24"/>
          <w:szCs w:val="24"/>
        </w:rPr>
      </w:pPr>
      <w:r w:rsidRPr="00697B0D">
        <w:rPr>
          <w:rFonts w:ascii="Times New Roman" w:hAnsi="Times New Roman" w:cs="Times New Roman"/>
          <w:b/>
          <w:bCs/>
          <w:sz w:val="24"/>
          <w:szCs w:val="24"/>
        </w:rPr>
        <w:t>FERC-725A</w:t>
      </w:r>
    </w:p>
    <w:p w:rsidR="00C60EDC" w:rsidRPr="00BD0FD5" w:rsidP="00C60EDC" w14:paraId="31C2540C" w14:textId="7C831B72">
      <w:pPr>
        <w:spacing w:after="0" w:line="240" w:lineRule="auto"/>
        <w:rPr>
          <w:rFonts w:ascii="Times New Roman" w:hAnsi="Times New Roman"/>
          <w:sz w:val="24"/>
          <w:szCs w:val="24"/>
        </w:rPr>
      </w:pPr>
      <w:r w:rsidRPr="00BD0FD5">
        <w:rPr>
          <w:rFonts w:ascii="Times New Roman" w:hAnsi="Times New Roman"/>
          <w:sz w:val="24"/>
          <w:szCs w:val="24"/>
        </w:rPr>
        <w:t xml:space="preserve">There </w:t>
      </w:r>
      <w:r w:rsidR="00EE4C15">
        <w:rPr>
          <w:rFonts w:ascii="Times New Roman" w:hAnsi="Times New Roman"/>
          <w:sz w:val="24"/>
          <w:szCs w:val="24"/>
        </w:rPr>
        <w:t>are</w:t>
      </w:r>
      <w:r w:rsidRPr="00BD0FD5" w:rsidR="00705F66">
        <w:rPr>
          <w:rFonts w:ascii="Times New Roman" w:hAnsi="Times New Roman"/>
          <w:sz w:val="24"/>
          <w:szCs w:val="24"/>
        </w:rPr>
        <w:t xml:space="preserve"> </w:t>
      </w:r>
      <w:r w:rsidR="00EE4C15">
        <w:rPr>
          <w:rFonts w:ascii="Times New Roman" w:hAnsi="Times New Roman"/>
          <w:sz w:val="24"/>
          <w:szCs w:val="24"/>
        </w:rPr>
        <w:t>two</w:t>
      </w:r>
      <w:r w:rsidRPr="00BD0FD5">
        <w:rPr>
          <w:rFonts w:ascii="Times New Roman" w:hAnsi="Times New Roman"/>
          <w:sz w:val="24"/>
          <w:szCs w:val="24"/>
        </w:rPr>
        <w:t xml:space="preserve"> special circumstances</w:t>
      </w:r>
      <w:r w:rsidR="00697B0D">
        <w:rPr>
          <w:rFonts w:ascii="Times New Roman" w:hAnsi="Times New Roman"/>
          <w:sz w:val="24"/>
          <w:szCs w:val="24"/>
        </w:rPr>
        <w:t xml:space="preserve"> for</w:t>
      </w:r>
      <w:r w:rsidRPr="00BD0FD5">
        <w:rPr>
          <w:rFonts w:ascii="Times New Roman" w:hAnsi="Times New Roman"/>
          <w:sz w:val="24"/>
          <w:szCs w:val="24"/>
        </w:rPr>
        <w:t xml:space="preserve"> as described in 5 CFR 1320.5(d)(2) related to this information collection.</w:t>
      </w:r>
    </w:p>
    <w:p w:rsidR="00C60EDC" w:rsidRPr="00BD0FD5" w:rsidP="00C60EDC" w14:paraId="071F0D0E" w14:textId="77777777">
      <w:pPr>
        <w:spacing w:after="0" w:line="240" w:lineRule="auto"/>
        <w:rPr>
          <w:rFonts w:ascii="Times New Roman" w:hAnsi="Times New Roman"/>
          <w:sz w:val="24"/>
          <w:szCs w:val="24"/>
        </w:rPr>
      </w:pPr>
    </w:p>
    <w:p w:rsidR="00C60EDC" w:rsidRPr="00BD0FD5" w:rsidP="00C60EDC" w14:paraId="4D448A82" w14:textId="3EAFE293">
      <w:pPr>
        <w:spacing w:after="0" w:line="240" w:lineRule="auto"/>
        <w:rPr>
          <w:rFonts w:ascii="Times New Roman" w:hAnsi="Times New Roman"/>
          <w:sz w:val="24"/>
          <w:szCs w:val="24"/>
        </w:rPr>
      </w:pPr>
      <w:r w:rsidRPr="00BD0FD5">
        <w:rPr>
          <w:rFonts w:ascii="Times New Roman" w:hAnsi="Times New Roman"/>
          <w:sz w:val="24"/>
          <w:szCs w:val="24"/>
        </w:rPr>
        <w:t>The data retention requirement in the Reliability Standard</w:t>
      </w:r>
      <w:r w:rsidR="00841DE0">
        <w:rPr>
          <w:rFonts w:ascii="Times New Roman" w:hAnsi="Times New Roman"/>
          <w:sz w:val="24"/>
          <w:szCs w:val="24"/>
        </w:rPr>
        <w:t>s</w:t>
      </w:r>
      <w:r w:rsidRPr="00BD0FD5">
        <w:rPr>
          <w:rFonts w:ascii="Times New Roman" w:hAnsi="Times New Roman"/>
          <w:sz w:val="24"/>
          <w:szCs w:val="24"/>
        </w:rPr>
        <w:t xml:space="preserve"> </w:t>
      </w:r>
      <w:r w:rsidRPr="00BD0FD5" w:rsidR="0056728B">
        <w:rPr>
          <w:rFonts w:ascii="Times New Roman" w:hAnsi="Times New Roman"/>
          <w:sz w:val="24"/>
          <w:szCs w:val="24"/>
        </w:rPr>
        <w:t xml:space="preserve">indicates that entities maintain data or evidence to show compliance with the requirements since the last audit.  Reliability audits are generally every three years, but </w:t>
      </w:r>
      <w:r w:rsidRPr="00BD0FD5" w:rsidR="00577CC7">
        <w:rPr>
          <w:rFonts w:ascii="Times New Roman" w:hAnsi="Times New Roman"/>
          <w:sz w:val="24"/>
          <w:szCs w:val="24"/>
        </w:rPr>
        <w:t>timing is such that they could</w:t>
      </w:r>
      <w:r w:rsidRPr="00BD0FD5" w:rsidR="0056728B">
        <w:rPr>
          <w:rFonts w:ascii="Times New Roman" w:hAnsi="Times New Roman"/>
          <w:sz w:val="24"/>
          <w:szCs w:val="24"/>
        </w:rPr>
        <w:t xml:space="preserve"> be more than three years</w:t>
      </w:r>
      <w:r w:rsidRPr="00BD0FD5" w:rsidR="00577CC7">
        <w:rPr>
          <w:rFonts w:ascii="Times New Roman" w:hAnsi="Times New Roman"/>
          <w:sz w:val="24"/>
          <w:szCs w:val="24"/>
        </w:rPr>
        <w:t xml:space="preserve"> apart</w:t>
      </w:r>
      <w:r w:rsidRPr="00BD0FD5" w:rsidR="0056728B">
        <w:rPr>
          <w:rFonts w:ascii="Times New Roman" w:hAnsi="Times New Roman"/>
          <w:sz w:val="24"/>
          <w:szCs w:val="24"/>
        </w:rPr>
        <w:t>.</w:t>
      </w:r>
    </w:p>
    <w:p w:rsidR="00C60EDC" w:rsidRPr="00BD0FD5" w:rsidP="00C60EDC" w14:paraId="59826E73" w14:textId="77777777">
      <w:pPr>
        <w:spacing w:after="0" w:line="240" w:lineRule="auto"/>
        <w:rPr>
          <w:rFonts w:ascii="Times New Roman" w:hAnsi="Times New Roman"/>
          <w:sz w:val="24"/>
          <w:szCs w:val="24"/>
        </w:rPr>
      </w:pPr>
    </w:p>
    <w:p w:rsidR="000A441A" w:rsidP="00C60EDC" w14:paraId="7BD407B7"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This is the language adopted by the standards </w:t>
      </w:r>
      <w:r w:rsidRPr="00BD0FD5" w:rsidR="00DD0209">
        <w:rPr>
          <w:rFonts w:ascii="Times New Roman" w:hAnsi="Times New Roman"/>
          <w:sz w:val="24"/>
          <w:szCs w:val="24"/>
        </w:rPr>
        <w:t>draft</w:t>
      </w:r>
      <w:r w:rsidR="00DD0209">
        <w:rPr>
          <w:rFonts w:ascii="Times New Roman" w:hAnsi="Times New Roman"/>
          <w:sz w:val="24"/>
          <w:szCs w:val="24"/>
        </w:rPr>
        <w:t>ing</w:t>
      </w:r>
      <w:r w:rsidRPr="00BD0FD5" w:rsidR="00DD0209">
        <w:rPr>
          <w:rFonts w:ascii="Times New Roman" w:hAnsi="Times New Roman"/>
          <w:sz w:val="24"/>
          <w:szCs w:val="24"/>
        </w:rPr>
        <w:t xml:space="preserve"> </w:t>
      </w:r>
      <w:r w:rsidRPr="00BD0FD5">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rsidR="00EE4C15" w:rsidP="00C60EDC" w14:paraId="103904CC" w14:textId="77777777">
      <w:pPr>
        <w:spacing w:after="0" w:line="240" w:lineRule="auto"/>
        <w:rPr>
          <w:rFonts w:ascii="Times New Roman" w:hAnsi="Times New Roman"/>
          <w:sz w:val="24"/>
          <w:szCs w:val="24"/>
        </w:rPr>
      </w:pPr>
    </w:p>
    <w:p w:rsidR="00EE4C15" w:rsidP="00C60EDC" w14:paraId="7679CFC3" w14:textId="3288F876">
      <w:pPr>
        <w:spacing w:after="0" w:line="240" w:lineRule="auto"/>
        <w:rPr>
          <w:rFonts w:ascii="Times New Roman" w:hAnsi="Times New Roman"/>
          <w:sz w:val="24"/>
          <w:szCs w:val="24"/>
        </w:rPr>
      </w:pPr>
      <w:r>
        <w:rPr>
          <w:rFonts w:ascii="Times New Roman" w:hAnsi="Times New Roman"/>
          <w:sz w:val="24"/>
          <w:szCs w:val="24"/>
        </w:rPr>
        <w:t>The reporting requirement</w:t>
      </w:r>
      <w:r w:rsidR="007F0136">
        <w:rPr>
          <w:rFonts w:ascii="Times New Roman" w:hAnsi="Times New Roman"/>
          <w:sz w:val="24"/>
          <w:szCs w:val="24"/>
        </w:rPr>
        <w:t>s are</w:t>
      </w:r>
      <w:r>
        <w:rPr>
          <w:rFonts w:ascii="Times New Roman" w:hAnsi="Times New Roman"/>
          <w:sz w:val="24"/>
          <w:szCs w:val="24"/>
        </w:rPr>
        <w:t xml:space="preserve"> event driven, and as such, an entity may be required to report more often than quarterly.</w:t>
      </w:r>
      <w:r w:rsidR="00A03A01">
        <w:rPr>
          <w:rFonts w:ascii="Times New Roman" w:hAnsi="Times New Roman"/>
          <w:sz w:val="24"/>
          <w:szCs w:val="24"/>
        </w:rPr>
        <w:t xml:space="preserve">  NERC is responsible for ensuring the reliability of the bulk electric system.  </w:t>
      </w:r>
      <w:r w:rsidR="007F0136">
        <w:rPr>
          <w:rFonts w:ascii="Times New Roman" w:hAnsi="Times New Roman"/>
          <w:sz w:val="24"/>
          <w:szCs w:val="24"/>
        </w:rPr>
        <w:t>General statement</w:t>
      </w:r>
      <w:r w:rsidR="00A03A01">
        <w:rPr>
          <w:rFonts w:ascii="Times New Roman" w:hAnsi="Times New Roman"/>
          <w:sz w:val="24"/>
          <w:szCs w:val="24"/>
        </w:rPr>
        <w:t xml:space="preserve">.  </w:t>
      </w:r>
    </w:p>
    <w:p w:rsidR="00E71CB8" w:rsidP="00C60EDC" w14:paraId="47239E7F" w14:textId="77777777">
      <w:pPr>
        <w:spacing w:after="0" w:line="240" w:lineRule="auto"/>
        <w:rPr>
          <w:rFonts w:ascii="Times New Roman" w:hAnsi="Times New Roman" w:cs="Times New Roman"/>
          <w:sz w:val="26"/>
          <w:szCs w:val="26"/>
        </w:rPr>
      </w:pPr>
    </w:p>
    <w:p w:rsidR="00E71CB8" w:rsidRPr="002D57E3" w:rsidP="00C60EDC" w14:paraId="3CB851BD" w14:textId="77777777">
      <w:pPr>
        <w:spacing w:after="0" w:line="240" w:lineRule="auto"/>
        <w:rPr>
          <w:rFonts w:ascii="Times New Roman" w:hAnsi="Times New Roman" w:cs="Times New Roman"/>
          <w:sz w:val="24"/>
          <w:szCs w:val="24"/>
        </w:rPr>
      </w:pPr>
      <w:r w:rsidRPr="002D57E3">
        <w:rPr>
          <w:rFonts w:ascii="Times New Roman" w:hAnsi="Times New Roman" w:cs="Times New Roman"/>
          <w:sz w:val="24"/>
          <w:szCs w:val="24"/>
        </w:rPr>
        <w:t xml:space="preserve">There may be instances where an entity needs to retain information for periods longer than typical cycle when an instance of non-compliance occurs.  Typically, an entity will need to retain records associated with the non-compliance incident until it is resolved.  Under those circumstance it can results in retention of information beyond the typical three tear audit cycle. </w:t>
      </w:r>
    </w:p>
    <w:p w:rsidR="00A03A01" w:rsidP="00C60EDC" w14:paraId="3A245AE2" w14:textId="6F83ED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E71CB8" w:rsidP="00C60EDC" w14:paraId="33327CEF" w14:textId="569D3560">
      <w:pPr>
        <w:spacing w:after="0" w:line="240" w:lineRule="auto"/>
        <w:rPr>
          <w:rFonts w:ascii="Times New Roman" w:hAnsi="Times New Roman" w:cs="Times New Roman"/>
          <w:sz w:val="26"/>
          <w:szCs w:val="26"/>
        </w:rPr>
      </w:pPr>
      <w:r w:rsidRPr="00E71CB8">
        <w:rPr>
          <w:rFonts w:ascii="Times New Roman" w:hAnsi="Times New Roman" w:cs="Times New Roman"/>
          <w:sz w:val="26"/>
          <w:szCs w:val="26"/>
        </w:rPr>
        <w:t>Real-time Assessments (RTA) are to be done every 30</w:t>
      </w:r>
      <w:r>
        <w:rPr>
          <w:rFonts w:ascii="Times New Roman" w:hAnsi="Times New Roman" w:cs="Times New Roman"/>
          <w:sz w:val="26"/>
          <w:szCs w:val="26"/>
        </w:rPr>
        <w:t xml:space="preserve"> minutes</w:t>
      </w:r>
      <w:r w:rsidRPr="00E71CB8">
        <w:rPr>
          <w:rFonts w:ascii="Times New Roman" w:hAnsi="Times New Roman" w:cs="Times New Roman"/>
          <w:sz w:val="26"/>
          <w:szCs w:val="26"/>
        </w:rPr>
        <w:t>.  This is to reflect actual working condition and status of electrical devices.  The RTA runs are saved onto computer storage and referenced if there is a problem.  Within the Bulk Electric System (BES) the timeframe to correct operating problems is targeted to be done within 30</w:t>
      </w:r>
      <w:r>
        <w:rPr>
          <w:rFonts w:ascii="Times New Roman" w:hAnsi="Times New Roman" w:cs="Times New Roman"/>
          <w:sz w:val="26"/>
          <w:szCs w:val="26"/>
        </w:rPr>
        <w:t xml:space="preserve"> </w:t>
      </w:r>
      <w:r w:rsidRPr="00E71CB8">
        <w:rPr>
          <w:rFonts w:ascii="Times New Roman" w:hAnsi="Times New Roman" w:cs="Times New Roman"/>
          <w:sz w:val="26"/>
          <w:szCs w:val="26"/>
        </w:rPr>
        <w:t>m</w:t>
      </w:r>
      <w:r>
        <w:rPr>
          <w:rFonts w:ascii="Times New Roman" w:hAnsi="Times New Roman" w:cs="Times New Roman"/>
          <w:sz w:val="26"/>
          <w:szCs w:val="26"/>
        </w:rPr>
        <w:t>inutes</w:t>
      </w:r>
      <w:r w:rsidRPr="00E71CB8">
        <w:rPr>
          <w:rFonts w:ascii="Times New Roman" w:hAnsi="Times New Roman" w:cs="Times New Roman"/>
          <w:sz w:val="26"/>
          <w:szCs w:val="26"/>
        </w:rPr>
        <w:t xml:space="preserve">.  This aligns the RTAs with operating </w:t>
      </w:r>
      <w:r>
        <w:rPr>
          <w:rFonts w:ascii="Times New Roman" w:hAnsi="Times New Roman" w:cs="Times New Roman"/>
          <w:sz w:val="26"/>
          <w:szCs w:val="26"/>
        </w:rPr>
        <w:t xml:space="preserve">practices </w:t>
      </w:r>
      <w:r w:rsidRPr="00E71CB8">
        <w:rPr>
          <w:rFonts w:ascii="Times New Roman" w:hAnsi="Times New Roman" w:cs="Times New Roman"/>
          <w:sz w:val="26"/>
          <w:szCs w:val="26"/>
        </w:rPr>
        <w:t>for reliability practices.</w:t>
      </w:r>
    </w:p>
    <w:p w:rsidR="00E71CB8" w:rsidP="00C60EDC" w14:paraId="2E488B93" w14:textId="77777777">
      <w:pPr>
        <w:spacing w:after="0" w:line="240" w:lineRule="auto"/>
        <w:rPr>
          <w:rFonts w:ascii="Times New Roman" w:hAnsi="Times New Roman"/>
          <w:sz w:val="24"/>
          <w:szCs w:val="24"/>
        </w:rPr>
      </w:pPr>
    </w:p>
    <w:p w:rsidR="00A03A01" w:rsidRPr="00697B0D" w:rsidP="0092596C" w14:paraId="67A60529" w14:textId="4CC0DCF9">
      <w:pPr>
        <w:spacing w:after="0" w:line="240" w:lineRule="auto"/>
        <w:rPr>
          <w:rFonts w:ascii="Times New Roman" w:hAnsi="Times New Roman"/>
          <w:sz w:val="24"/>
          <w:szCs w:val="24"/>
        </w:rPr>
      </w:pPr>
      <w:r w:rsidRPr="00A03A01">
        <w:rPr>
          <w:rFonts w:ascii="Times New Roman" w:hAnsi="Times New Roman"/>
          <w:sz w:val="24"/>
          <w:szCs w:val="24"/>
        </w:rPr>
        <w:t>Emergency electric incidents and disturbances leading to interruptions of power, such as rotating blackouts, could lead to disruptions of critical infrastructures</w:t>
      </w:r>
      <w:r>
        <w:rPr>
          <w:rFonts w:ascii="Times New Roman" w:hAnsi="Times New Roman"/>
          <w:sz w:val="24"/>
          <w:szCs w:val="24"/>
        </w:rPr>
        <w:t>.</w:t>
      </w:r>
      <w:r w:rsidRPr="00A03A01">
        <w:rPr>
          <w:rFonts w:ascii="Times New Roman" w:hAnsi="Times New Roman"/>
          <w:sz w:val="24"/>
          <w:szCs w:val="24"/>
        </w:rPr>
        <w:t xml:space="preserve"> </w:t>
      </w:r>
      <w:r>
        <w:rPr>
          <w:rFonts w:ascii="Times New Roman" w:hAnsi="Times New Roman"/>
          <w:sz w:val="24"/>
          <w:szCs w:val="24"/>
        </w:rPr>
        <w:t xml:space="preserve"> </w:t>
      </w:r>
      <w:r w:rsidRPr="00A03A01">
        <w:rPr>
          <w:rFonts w:ascii="Times New Roman" w:hAnsi="Times New Roman"/>
          <w:sz w:val="24"/>
          <w:szCs w:val="24"/>
        </w:rPr>
        <w:t>The national security, economic prosperity, and social wellbeing of the nation depends on the continuing reliability of our increasingly complex and interdependent infrastructures, the key one of which is electric power.</w:t>
      </w:r>
      <w:r w:rsidR="00E71CB8">
        <w:rPr>
          <w:rFonts w:ascii="Times New Roman" w:hAnsi="Times New Roman"/>
          <w:sz w:val="24"/>
          <w:szCs w:val="24"/>
        </w:rPr>
        <w:t xml:space="preserve">  </w:t>
      </w:r>
    </w:p>
    <w:p w:rsidR="00A03A01" w:rsidP="0092596C" w14:paraId="74ADE459" w14:textId="77C10641">
      <w:pPr>
        <w:spacing w:after="0" w:line="240" w:lineRule="auto"/>
        <w:rPr>
          <w:rFonts w:ascii="Times New Roman" w:hAnsi="Times New Roman" w:cs="Times New Roman"/>
          <w:sz w:val="26"/>
          <w:szCs w:val="26"/>
        </w:rPr>
      </w:pPr>
      <w:r>
        <w:rPr>
          <w:rFonts w:ascii="Times New Roman" w:hAnsi="Times New Roman" w:cs="Times New Roman"/>
          <w:sz w:val="26"/>
          <w:szCs w:val="26"/>
        </w:rPr>
        <w:t>For these reasons we consider the reporting requirement</w:t>
      </w:r>
      <w:r w:rsidR="007F0136">
        <w:rPr>
          <w:rFonts w:ascii="Times New Roman" w:hAnsi="Times New Roman" w:cs="Times New Roman"/>
          <w:sz w:val="26"/>
          <w:szCs w:val="26"/>
        </w:rPr>
        <w:t>s</w:t>
      </w:r>
      <w:r>
        <w:rPr>
          <w:rFonts w:ascii="Times New Roman" w:hAnsi="Times New Roman" w:cs="Times New Roman"/>
          <w:sz w:val="26"/>
          <w:szCs w:val="26"/>
        </w:rPr>
        <w:t xml:space="preserve"> necessary.</w:t>
      </w:r>
    </w:p>
    <w:p w:rsidR="00697B0D" w:rsidP="0092596C" w14:paraId="4319D257" w14:textId="50A72EA5">
      <w:pPr>
        <w:spacing w:after="0" w:line="240" w:lineRule="auto"/>
        <w:rPr>
          <w:rFonts w:ascii="Times New Roman" w:hAnsi="Times New Roman" w:cs="Times New Roman"/>
          <w:sz w:val="26"/>
          <w:szCs w:val="26"/>
        </w:rPr>
      </w:pPr>
    </w:p>
    <w:p w:rsidR="00697B0D" w:rsidP="0092596C" w14:paraId="38B53E04" w14:textId="7049CFFA">
      <w:pPr>
        <w:spacing w:after="0" w:line="240" w:lineRule="auto"/>
        <w:rPr>
          <w:rFonts w:ascii="Times New Roman" w:hAnsi="Times New Roman" w:cs="Times New Roman"/>
          <w:b/>
          <w:bCs/>
          <w:sz w:val="26"/>
          <w:szCs w:val="26"/>
        </w:rPr>
      </w:pPr>
      <w:r w:rsidRPr="00697B0D">
        <w:rPr>
          <w:rFonts w:ascii="Times New Roman" w:hAnsi="Times New Roman" w:cs="Times New Roman"/>
          <w:b/>
          <w:bCs/>
          <w:sz w:val="26"/>
          <w:szCs w:val="26"/>
        </w:rPr>
        <w:t>FERC-725M</w:t>
      </w:r>
    </w:p>
    <w:p w:rsidR="00697B0D" w:rsidP="0092596C" w14:paraId="5ABC9651" w14:textId="0FDF7BDE">
      <w:pPr>
        <w:spacing w:after="0" w:line="240" w:lineRule="auto"/>
        <w:rPr>
          <w:rFonts w:ascii="Times New Roman" w:hAnsi="Times New Roman" w:cs="Times New Roman"/>
          <w:b/>
          <w:bCs/>
          <w:sz w:val="26"/>
          <w:szCs w:val="26"/>
        </w:rPr>
      </w:pPr>
    </w:p>
    <w:p w:rsidR="00697B0D" w:rsidP="00697B0D" w14:paraId="5326B871" w14:textId="30FC0601">
      <w:pPr>
        <w:spacing w:after="0" w:line="240" w:lineRule="auto"/>
        <w:rPr>
          <w:rFonts w:ascii="Times New Roman" w:hAnsi="Times New Roman" w:cs="Times New Roman"/>
          <w:sz w:val="26"/>
          <w:szCs w:val="26"/>
        </w:rPr>
      </w:pPr>
      <w:r>
        <w:rPr>
          <w:rFonts w:ascii="Times New Roman" w:hAnsi="Times New Roman" w:cs="Times New Roman"/>
          <w:sz w:val="26"/>
          <w:szCs w:val="26"/>
        </w:rPr>
        <w:t>There are some special circumstances as described in 5 CFR 1320.5(d)(2) related to this information collection.</w:t>
      </w:r>
    </w:p>
    <w:p w:rsidR="00697B0D" w:rsidP="00697B0D" w14:paraId="0F7EB293" w14:textId="1AA33B8C">
      <w:pPr>
        <w:spacing w:after="0" w:line="240" w:lineRule="auto"/>
        <w:rPr>
          <w:rFonts w:ascii="Times New Roman" w:hAnsi="Times New Roman" w:cs="Times New Roman"/>
          <w:sz w:val="26"/>
          <w:szCs w:val="26"/>
        </w:rPr>
      </w:pPr>
      <w:r>
        <w:rPr>
          <w:rFonts w:ascii="Times New Roman" w:hAnsi="Times New Roman" w:cs="Times New Roman"/>
          <w:sz w:val="26"/>
          <w:szCs w:val="26"/>
        </w:rPr>
        <w:t>Requirements R1 and R2 r</w:t>
      </w:r>
      <w:r w:rsidRPr="00B04618">
        <w:rPr>
          <w:rFonts w:ascii="Times New Roman" w:hAnsi="Times New Roman" w:cs="Times New Roman"/>
          <w:sz w:val="26"/>
          <w:szCs w:val="26"/>
        </w:rPr>
        <w:t>equir</w:t>
      </w:r>
      <w:r>
        <w:rPr>
          <w:rFonts w:ascii="Times New Roman" w:hAnsi="Times New Roman" w:cs="Times New Roman"/>
          <w:sz w:val="26"/>
          <w:szCs w:val="26"/>
        </w:rPr>
        <w:t>e</w:t>
      </w:r>
      <w:r w:rsidRPr="00B04618">
        <w:rPr>
          <w:rFonts w:ascii="Times New Roman" w:hAnsi="Times New Roman" w:cs="Times New Roman"/>
          <w:sz w:val="26"/>
          <w:szCs w:val="26"/>
        </w:rPr>
        <w:t xml:space="preserve"> that vegetation be managed </w:t>
      </w:r>
      <w:r>
        <w:rPr>
          <w:rFonts w:ascii="Times New Roman" w:hAnsi="Times New Roman" w:cs="Times New Roman"/>
          <w:sz w:val="26"/>
          <w:szCs w:val="26"/>
        </w:rPr>
        <w:t xml:space="preserve">on a real-time basis </w:t>
      </w:r>
      <w:r w:rsidRPr="00B04618">
        <w:rPr>
          <w:rFonts w:ascii="Times New Roman" w:hAnsi="Times New Roman" w:cs="Times New Roman"/>
          <w:sz w:val="26"/>
          <w:szCs w:val="26"/>
        </w:rPr>
        <w:t>to prevent vegetation encroachment inside</w:t>
      </w:r>
      <w:r>
        <w:rPr>
          <w:rFonts w:ascii="Times New Roman" w:hAnsi="Times New Roman" w:cs="Times New Roman"/>
          <w:sz w:val="26"/>
          <w:szCs w:val="26"/>
        </w:rPr>
        <w:t xml:space="preserve"> </w:t>
      </w:r>
      <w:r w:rsidRPr="00B04618">
        <w:rPr>
          <w:rFonts w:ascii="Times New Roman" w:hAnsi="Times New Roman" w:cs="Times New Roman"/>
          <w:sz w:val="26"/>
          <w:szCs w:val="26"/>
        </w:rPr>
        <w:t>the flash-over clearance</w:t>
      </w:r>
      <w:r>
        <w:rPr>
          <w:rFonts w:ascii="Times New Roman" w:hAnsi="Times New Roman" w:cs="Times New Roman"/>
          <w:sz w:val="26"/>
          <w:szCs w:val="26"/>
        </w:rPr>
        <w:t xml:space="preserve"> of applicable transmission lines.  These requirements may require entities to review or produce documentation more often than quarterly, for example, real-time operator </w:t>
      </w:r>
      <w:r w:rsidR="000C7F68">
        <w:rPr>
          <w:rFonts w:ascii="Times New Roman" w:hAnsi="Times New Roman" w:cs="Times New Roman"/>
          <w:sz w:val="26"/>
          <w:szCs w:val="26"/>
        </w:rPr>
        <w:t>logs,</w:t>
      </w:r>
      <w:r>
        <w:rPr>
          <w:rFonts w:ascii="Times New Roman" w:hAnsi="Times New Roman" w:cs="Times New Roman"/>
          <w:sz w:val="26"/>
          <w:szCs w:val="26"/>
        </w:rPr>
        <w:t xml:space="preserve"> and voice </w:t>
      </w:r>
      <w:r>
        <w:rPr>
          <w:rFonts w:ascii="Times New Roman" w:hAnsi="Times New Roman" w:cs="Times New Roman"/>
          <w:sz w:val="26"/>
          <w:szCs w:val="26"/>
        </w:rPr>
        <w:t xml:space="preserve">recordings may be necessary to review to mitigate the cause of a vegetation outage.  Some entities may have to retain information for longer than three years if </w:t>
      </w:r>
      <w:r w:rsidRPr="00052445">
        <w:rPr>
          <w:rFonts w:ascii="Times New Roman" w:hAnsi="Times New Roman" w:cs="Times New Roman"/>
          <w:sz w:val="26"/>
          <w:szCs w:val="26"/>
        </w:rPr>
        <w:t>directed by its Compliance Enforcement Authority to</w:t>
      </w:r>
      <w:r>
        <w:rPr>
          <w:rFonts w:ascii="Times New Roman" w:hAnsi="Times New Roman" w:cs="Times New Roman"/>
          <w:sz w:val="26"/>
          <w:szCs w:val="26"/>
        </w:rPr>
        <w:t xml:space="preserve"> </w:t>
      </w:r>
      <w:r w:rsidRPr="00052445">
        <w:rPr>
          <w:rFonts w:ascii="Times New Roman" w:hAnsi="Times New Roman" w:cs="Times New Roman"/>
          <w:sz w:val="26"/>
          <w:szCs w:val="26"/>
        </w:rPr>
        <w:t>retain specific evidence for a longer period of time as part of an investigation.</w:t>
      </w:r>
      <w:r>
        <w:rPr>
          <w:rFonts w:ascii="Times New Roman" w:hAnsi="Times New Roman" w:cs="Times New Roman"/>
          <w:sz w:val="26"/>
          <w:szCs w:val="26"/>
        </w:rPr>
        <w:t xml:space="preserve">  </w:t>
      </w:r>
    </w:p>
    <w:p w:rsidR="00697B0D" w:rsidP="00697B0D" w14:paraId="0A957DFC" w14:textId="77777777">
      <w:pPr>
        <w:spacing w:after="0" w:line="240" w:lineRule="auto"/>
        <w:rPr>
          <w:rFonts w:ascii="Times New Roman" w:hAnsi="Times New Roman" w:cs="Times New Roman"/>
          <w:sz w:val="26"/>
          <w:szCs w:val="26"/>
        </w:rPr>
      </w:pPr>
    </w:p>
    <w:p w:rsidR="00697B0D" w:rsidP="00697B0D" w14:paraId="0B9FB058" w14:textId="5B6D25F6">
      <w:pPr>
        <w:spacing w:after="0" w:line="240" w:lineRule="auto"/>
        <w:rPr>
          <w:rFonts w:ascii="Times New Roman" w:hAnsi="Times New Roman" w:cs="Times New Roman"/>
          <w:sz w:val="26"/>
          <w:szCs w:val="26"/>
        </w:rPr>
      </w:pPr>
      <w:r>
        <w:rPr>
          <w:rFonts w:ascii="Times New Roman" w:hAnsi="Times New Roman" w:cs="Times New Roman"/>
          <w:sz w:val="26"/>
          <w:szCs w:val="26"/>
        </w:rPr>
        <w:t>These special circumstances are necessary to ensure reliability on the bulk power system.</w:t>
      </w:r>
    </w:p>
    <w:p w:rsidR="00697B0D" w:rsidP="00697B0D" w14:paraId="05562C1B" w14:textId="55E6C433">
      <w:pPr>
        <w:spacing w:after="0" w:line="240" w:lineRule="auto"/>
        <w:rPr>
          <w:rFonts w:ascii="Times New Roman" w:hAnsi="Times New Roman" w:cs="Times New Roman"/>
          <w:sz w:val="26"/>
          <w:szCs w:val="26"/>
        </w:rPr>
      </w:pPr>
    </w:p>
    <w:p w:rsidR="00697B0D" w:rsidP="00697B0D" w14:paraId="1101C1CE" w14:textId="4B437F2E">
      <w:pPr>
        <w:spacing w:after="0" w:line="240" w:lineRule="auto"/>
        <w:rPr>
          <w:rFonts w:ascii="Times New Roman" w:hAnsi="Times New Roman" w:cs="Times New Roman"/>
          <w:sz w:val="26"/>
          <w:szCs w:val="26"/>
        </w:rPr>
      </w:pPr>
      <w:r>
        <w:rPr>
          <w:rFonts w:ascii="Times New Roman" w:hAnsi="Times New Roman" w:cs="Times New Roman"/>
          <w:sz w:val="26"/>
          <w:szCs w:val="26"/>
        </w:rPr>
        <w:t>FERC-725G, FERC-725D, and FERC-725Z have no special circumstances associated with the information collection.</w:t>
      </w:r>
    </w:p>
    <w:p w:rsidR="00697B0D" w:rsidRPr="00697B0D" w:rsidP="00697B0D" w14:paraId="7772E225" w14:textId="77777777">
      <w:pPr>
        <w:spacing w:after="0" w:line="240" w:lineRule="auto"/>
        <w:rPr>
          <w:rFonts w:ascii="Times New Roman" w:hAnsi="Times New Roman" w:cs="Times New Roman"/>
          <w:b/>
          <w:bCs/>
          <w:sz w:val="26"/>
          <w:szCs w:val="26"/>
        </w:rPr>
      </w:pPr>
    </w:p>
    <w:p w:rsidR="00EB3E6F" w:rsidRPr="00BD0FD5" w:rsidP="0092596C" w14:paraId="4E1E27C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rsidR="00EB3E6F" w:rsidRPr="00BD0FD5" w:rsidP="0092596C" w14:paraId="75E84060" w14:textId="77777777">
      <w:pPr>
        <w:spacing w:after="0" w:line="240" w:lineRule="auto"/>
        <w:rPr>
          <w:rFonts w:ascii="Times New Roman" w:hAnsi="Times New Roman" w:cs="Times New Roman"/>
          <w:sz w:val="24"/>
          <w:szCs w:val="24"/>
        </w:rPr>
      </w:pPr>
    </w:p>
    <w:p w:rsidR="0000315F" w:rsidRPr="0000315F" w:rsidP="0000315F" w14:paraId="2A1EE4DA" w14:textId="78D9CA6C">
      <w:pPr>
        <w:autoSpaceDE w:val="0"/>
        <w:autoSpaceDN w:val="0"/>
        <w:adjustRightInd w:val="0"/>
        <w:spacing w:after="0" w:line="240" w:lineRule="auto"/>
        <w:rPr>
          <w:rFonts w:ascii="Times New Roman" w:eastAsia="Times New Roman" w:hAnsi="Times New Roman" w:cs="Times New Roman"/>
          <w:sz w:val="26"/>
          <w:szCs w:val="26"/>
        </w:rPr>
      </w:pPr>
      <w:r w:rsidRPr="0000315F">
        <w:rPr>
          <w:rFonts w:ascii="Times New Roman" w:eastAsia="Times New Roman" w:hAnsi="Times New Roman" w:cs="Times New Roman"/>
          <w:sz w:val="26"/>
          <w:szCs w:val="26"/>
        </w:rPr>
        <w:t>The Commission published a 60-day notice</w:t>
      </w:r>
      <w:r>
        <w:rPr>
          <w:rFonts w:ascii="Times New Roman" w:eastAsia="Times New Roman" w:hAnsi="Times New Roman" w:cs="Times New Roman"/>
          <w:sz w:val="20"/>
          <w:szCs w:val="24"/>
          <w:vertAlign w:val="superscript"/>
        </w:rPr>
        <w:footnoteReference w:id="10"/>
      </w:r>
      <w:r w:rsidRPr="0000315F">
        <w:rPr>
          <w:rFonts w:ascii="Times New Roman" w:eastAsia="Times New Roman" w:hAnsi="Times New Roman" w:cs="Times New Roman"/>
          <w:sz w:val="26"/>
          <w:szCs w:val="26"/>
          <w:vertAlign w:val="superscript"/>
        </w:rPr>
        <w:t xml:space="preserve"> </w:t>
      </w:r>
      <w:r w:rsidRPr="0000315F">
        <w:rPr>
          <w:rFonts w:ascii="Times New Roman" w:eastAsia="Times New Roman" w:hAnsi="Times New Roman" w:cs="Times New Roman"/>
          <w:sz w:val="26"/>
          <w:szCs w:val="26"/>
        </w:rPr>
        <w:t xml:space="preserve">in Docket No. </w:t>
      </w:r>
      <w:r w:rsidR="00D929AC">
        <w:rPr>
          <w:rFonts w:ascii="Times New Roman" w:eastAsia="Times New Roman" w:hAnsi="Times New Roman" w:cs="Times New Roman"/>
          <w:sz w:val="26"/>
          <w:szCs w:val="26"/>
        </w:rPr>
        <w:t>RD22-2</w:t>
      </w:r>
      <w:r w:rsidRPr="0000315F">
        <w:rPr>
          <w:rFonts w:ascii="Times New Roman" w:eastAsia="Times New Roman" w:hAnsi="Times New Roman" w:cs="Times New Roman"/>
          <w:sz w:val="26"/>
          <w:szCs w:val="26"/>
        </w:rPr>
        <w:t xml:space="preserve"> in the Federal Register requesting comments. No comments were received in response to the 60-day Notice.  </w:t>
      </w:r>
    </w:p>
    <w:p w:rsidR="0000315F" w:rsidRPr="0000315F" w:rsidP="0000315F" w14:paraId="7E3E4074" w14:textId="77777777">
      <w:pPr>
        <w:autoSpaceDE w:val="0"/>
        <w:autoSpaceDN w:val="0"/>
        <w:adjustRightInd w:val="0"/>
        <w:spacing w:after="0" w:line="240" w:lineRule="auto"/>
        <w:rPr>
          <w:rFonts w:ascii="Times New Roman" w:eastAsia="Times New Roman" w:hAnsi="Times New Roman" w:cs="Times New Roman"/>
          <w:sz w:val="26"/>
          <w:szCs w:val="26"/>
        </w:rPr>
      </w:pPr>
    </w:p>
    <w:p w:rsidR="0030268B" w:rsidRPr="00D457D9" w:rsidP="00D457D9" w14:paraId="4D0EED59" w14:textId="14A9E226">
      <w:pPr>
        <w:autoSpaceDE w:val="0"/>
        <w:autoSpaceDN w:val="0"/>
        <w:adjustRightInd w:val="0"/>
        <w:spacing w:after="0" w:line="240" w:lineRule="auto"/>
        <w:rPr>
          <w:rFonts w:ascii="Times New Roman" w:eastAsia="Times New Roman" w:hAnsi="Times New Roman" w:cs="Times New Roman"/>
          <w:sz w:val="26"/>
          <w:szCs w:val="26"/>
        </w:rPr>
      </w:pPr>
      <w:r w:rsidRPr="0000315F">
        <w:rPr>
          <w:rFonts w:ascii="Times New Roman" w:eastAsia="Times New Roman" w:hAnsi="Times New Roman" w:cs="Times New Roman"/>
          <w:sz w:val="26"/>
          <w:szCs w:val="26"/>
        </w:rPr>
        <w:t xml:space="preserve">In addition, the Commission is publishing a </w:t>
      </w:r>
      <w:r w:rsidRPr="00CE5F91">
        <w:rPr>
          <w:rFonts w:ascii="Times New Roman" w:eastAsia="Times New Roman" w:hAnsi="Times New Roman" w:cs="Times New Roman"/>
          <w:sz w:val="26"/>
          <w:szCs w:val="26"/>
        </w:rPr>
        <w:t>30-day Notice</w:t>
      </w:r>
      <w:r w:rsidRPr="0000315F">
        <w:rPr>
          <w:rFonts w:ascii="Times New Roman" w:eastAsia="Times New Roman" w:hAnsi="Times New Roman" w:cs="Times New Roman"/>
          <w:sz w:val="26"/>
          <w:szCs w:val="26"/>
        </w:rPr>
        <w:t xml:space="preserve"> in the Federal Register</w:t>
      </w:r>
      <w:r>
        <w:rPr>
          <w:rFonts w:ascii="Times New Roman" w:eastAsia="Times New Roman" w:hAnsi="Times New Roman" w:cs="Times New Roman"/>
          <w:b/>
          <w:sz w:val="26"/>
          <w:szCs w:val="26"/>
          <w:vertAlign w:val="superscript"/>
        </w:rPr>
        <w:footnoteReference w:id="11"/>
      </w:r>
      <w:r w:rsidRPr="0000315F">
        <w:rPr>
          <w:rFonts w:ascii="Times New Roman" w:eastAsia="Times New Roman" w:hAnsi="Times New Roman" w:cs="Times New Roman"/>
          <w:sz w:val="26"/>
          <w:szCs w:val="26"/>
        </w:rPr>
        <w:t>.</w:t>
      </w:r>
    </w:p>
    <w:p w:rsidR="00EB3E6F" w:rsidRPr="00BD0FD5" w:rsidP="0092596C" w14:paraId="50B43B4F" w14:textId="77777777">
      <w:pPr>
        <w:spacing w:after="0" w:line="240" w:lineRule="auto"/>
        <w:rPr>
          <w:rFonts w:ascii="Times New Roman" w:hAnsi="Times New Roman" w:cs="Times New Roman"/>
          <w:sz w:val="24"/>
          <w:szCs w:val="24"/>
        </w:rPr>
      </w:pPr>
    </w:p>
    <w:p w:rsidR="00EB3E6F" w:rsidRPr="00BD0FD5" w:rsidP="0092596C" w14:paraId="2D54320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rsidR="00D80FBD" w:rsidRPr="00BD0FD5" w:rsidP="0092596C" w14:paraId="1210C2DD" w14:textId="77777777">
      <w:pPr>
        <w:spacing w:after="0" w:line="240" w:lineRule="auto"/>
        <w:rPr>
          <w:rFonts w:ascii="Times New Roman" w:hAnsi="Times New Roman" w:cs="Times New Roman"/>
          <w:sz w:val="24"/>
          <w:szCs w:val="24"/>
        </w:rPr>
      </w:pPr>
    </w:p>
    <w:p w:rsidR="0072126E" w:rsidRPr="00BD0FD5" w:rsidP="0092596C" w14:paraId="28105D39" w14:textId="77777777">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rsidR="00D80FBD" w:rsidRPr="00BD0FD5" w:rsidP="0092596C" w14:paraId="16D50B62" w14:textId="77777777">
      <w:pPr>
        <w:spacing w:after="0" w:line="240" w:lineRule="auto"/>
        <w:rPr>
          <w:rFonts w:ascii="Times New Roman" w:hAnsi="Times New Roman" w:cs="Times New Roman"/>
          <w:sz w:val="24"/>
          <w:szCs w:val="24"/>
        </w:rPr>
      </w:pPr>
    </w:p>
    <w:p w:rsidR="00D80FBD" w:rsidRPr="00BD0FD5" w:rsidP="0092596C" w14:paraId="06226082"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rsidR="00182858" w:rsidRPr="00BD0FD5" w:rsidP="0092596C" w14:paraId="6FDD0DA7" w14:textId="77777777">
      <w:pPr>
        <w:spacing w:after="0" w:line="240" w:lineRule="auto"/>
        <w:rPr>
          <w:rFonts w:ascii="Times New Roman" w:hAnsi="Times New Roman" w:cs="Times New Roman"/>
          <w:sz w:val="24"/>
          <w:szCs w:val="24"/>
        </w:rPr>
      </w:pPr>
    </w:p>
    <w:p w:rsidR="00D80FBD" w:rsidRPr="00BD0FD5" w:rsidP="0092596C" w14:paraId="0E61A2E0"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rsidR="00D80FBD" w:rsidRPr="00BD0FD5" w:rsidP="0092596C" w14:paraId="52B231BB" w14:textId="77777777">
      <w:pPr>
        <w:spacing w:after="0" w:line="240" w:lineRule="auto"/>
        <w:rPr>
          <w:rFonts w:ascii="Times New Roman" w:hAnsi="Times New Roman" w:cs="Times New Roman"/>
          <w:sz w:val="24"/>
          <w:szCs w:val="24"/>
        </w:rPr>
      </w:pPr>
    </w:p>
    <w:p w:rsidR="00D80FBD" w:rsidRPr="00BD0FD5" w:rsidP="0092596C" w14:paraId="192AC24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PROVIDE ADDITIONAL JUSTIFICATION FOR ANY QUESTIONS OF A SENSITIVE NATURE</w:t>
      </w:r>
    </w:p>
    <w:p w:rsidR="00D80FBD" w:rsidRPr="00BD0FD5" w:rsidP="0092596C" w14:paraId="186BF47D" w14:textId="77777777">
      <w:pPr>
        <w:spacing w:after="0" w:line="240" w:lineRule="auto"/>
        <w:rPr>
          <w:rFonts w:ascii="Times New Roman" w:hAnsi="Times New Roman" w:cs="Times New Roman"/>
          <w:sz w:val="24"/>
          <w:szCs w:val="24"/>
        </w:rPr>
      </w:pPr>
    </w:p>
    <w:p w:rsidR="00A4336A" w:rsidRPr="00BD0FD5" w:rsidP="0092596C" w14:paraId="008F18F6" w14:textId="77777777">
      <w:pPr>
        <w:spacing w:after="0" w:line="240" w:lineRule="auto"/>
        <w:rPr>
          <w:rFonts w:ascii="Times New Roman" w:hAnsi="Times New Roman"/>
          <w:sz w:val="24"/>
          <w:szCs w:val="24"/>
        </w:rPr>
      </w:pPr>
      <w:r w:rsidRPr="00BD0FD5">
        <w:rPr>
          <w:rFonts w:ascii="Times New Roman" w:hAnsi="Times New Roman"/>
          <w:sz w:val="24"/>
          <w:szCs w:val="24"/>
        </w:rPr>
        <w:t>This collection does not include any questions of a sensitive nature.</w:t>
      </w:r>
    </w:p>
    <w:p w:rsidR="00D80FBD" w:rsidRPr="00BD0FD5" w:rsidP="0092596C" w14:paraId="0CBD35AA" w14:textId="77777777">
      <w:pPr>
        <w:spacing w:after="0" w:line="240" w:lineRule="auto"/>
        <w:rPr>
          <w:rFonts w:ascii="Times New Roman" w:hAnsi="Times New Roman" w:cs="Times New Roman"/>
          <w:sz w:val="24"/>
          <w:szCs w:val="24"/>
        </w:rPr>
      </w:pPr>
    </w:p>
    <w:p w:rsidR="00D80FBD" w:rsidP="0092596C" w14:paraId="51C07940" w14:textId="5498CB0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rsidR="00824795" w:rsidP="00824795" w14:paraId="04B26CD8" w14:textId="20E4481F">
      <w:pPr>
        <w:spacing w:after="0" w:line="240" w:lineRule="auto"/>
        <w:rPr>
          <w:rFonts w:ascii="Times New Roman" w:hAnsi="Times New Roman" w:cs="Times New Roman"/>
          <w:b/>
          <w:sz w:val="24"/>
          <w:szCs w:val="24"/>
        </w:rPr>
      </w:pPr>
    </w:p>
    <w:p w:rsidR="00C96C2C" w:rsidRPr="00C96C2C" w:rsidP="00D457D9" w14:paraId="37FB04E1" w14:textId="77777777">
      <w:pPr>
        <w:spacing w:after="0" w:line="240" w:lineRule="auto"/>
        <w:rPr>
          <w:rFonts w:ascii="Times New Roman" w:eastAsia="Times New Roman" w:hAnsi="Times New Roman" w:cs="Times New Roman"/>
          <w:sz w:val="26"/>
          <w:szCs w:val="24"/>
        </w:rPr>
      </w:pPr>
      <w:r w:rsidRPr="00C96C2C">
        <w:rPr>
          <w:rFonts w:ascii="Times New Roman" w:eastAsia="Times New Roman" w:hAnsi="Times New Roman" w:cs="Times New Roman"/>
          <w:sz w:val="26"/>
          <w:szCs w:val="24"/>
        </w:rPr>
        <w:t xml:space="preserve">The Commission estimates that the NERC proposal, which would retire FAC-010-3, moves impacted and revised Reliability Standards without adding new obligations on registered entities resulting in a change in burden for industry of 128 hours.  </w:t>
      </w:r>
      <w:r w:rsidRPr="00C96C2C">
        <w:rPr>
          <w:rFonts w:ascii="Times New Roman" w:eastAsia="Times New Roman" w:hAnsi="Times New Roman" w:cs="Times New Roman"/>
          <w:bCs/>
          <w:sz w:val="26"/>
          <w:szCs w:val="24"/>
        </w:rPr>
        <w:t xml:space="preserve">The proposed retirement of FAC-010-3 is mainly due to its redundancy with currently </w:t>
      </w:r>
      <w:r w:rsidRPr="00C96C2C">
        <w:rPr>
          <w:rFonts w:ascii="Times New Roman" w:eastAsia="Times New Roman" w:hAnsi="Times New Roman" w:cs="Times New Roman"/>
          <w:bCs/>
          <w:sz w:val="26"/>
          <w:szCs w:val="24"/>
        </w:rPr>
        <w:t xml:space="preserve">effective TPL-001-4 Standard and new requirements in proposed FAC-014-3.  </w:t>
      </w:r>
      <w:r w:rsidRPr="00C96C2C">
        <w:rPr>
          <w:rFonts w:ascii="Times New Roman" w:eastAsia="Times New Roman" w:hAnsi="Times New Roman" w:cs="Times New Roman"/>
          <w:sz w:val="26"/>
          <w:szCs w:val="24"/>
        </w:rPr>
        <w:t>The Commission based the change in burden estimates on staff experience, knowledge, and expertise.</w:t>
      </w:r>
    </w:p>
    <w:tbl>
      <w:tblPr>
        <w:tblStyle w:val="TableGrid1"/>
        <w:tblW w:w="10278" w:type="dxa"/>
        <w:tblLayout w:type="fixed"/>
        <w:tblLook w:val="04A0"/>
      </w:tblPr>
      <w:tblGrid>
        <w:gridCol w:w="2109"/>
        <w:gridCol w:w="1480"/>
        <w:gridCol w:w="1360"/>
        <w:gridCol w:w="1406"/>
        <w:gridCol w:w="2010"/>
        <w:gridCol w:w="1913"/>
      </w:tblGrid>
      <w:tr w14:paraId="23BB11AD" w14:textId="77777777" w:rsidTr="00C96C2C">
        <w:tblPrEx>
          <w:tblW w:w="10278" w:type="dxa"/>
          <w:tblLayout w:type="fixed"/>
          <w:tblLook w:val="04A0"/>
        </w:tblPrEx>
        <w:tc>
          <w:tcPr>
            <w:tcW w:w="10278" w:type="dxa"/>
            <w:gridSpan w:val="6"/>
            <w:shd w:val="clear" w:color="auto" w:fill="D9D9D9"/>
          </w:tcPr>
          <w:p w:rsidR="00C96C2C" w:rsidRPr="00C96C2C" w:rsidP="00C96C2C" w14:paraId="33F6F252" w14:textId="77777777">
            <w:pPr>
              <w:rPr>
                <w:b/>
              </w:rPr>
            </w:pPr>
            <w:r w:rsidRPr="00C96C2C">
              <w:rPr>
                <w:b/>
              </w:rPr>
              <w:t xml:space="preserve">Proposed Changes Due to the approval of NERC’s proposed Reliability Standards and the retirement of FAC-010-3 in Docket No. RD22-2  </w:t>
            </w:r>
          </w:p>
        </w:tc>
      </w:tr>
      <w:tr w14:paraId="08839A0F" w14:textId="77777777" w:rsidTr="00C96C2C">
        <w:tblPrEx>
          <w:tblW w:w="10278" w:type="dxa"/>
          <w:tblLayout w:type="fixed"/>
          <w:tblLook w:val="04A0"/>
        </w:tblPrEx>
        <w:trPr>
          <w:trHeight w:val="2348"/>
        </w:trPr>
        <w:tc>
          <w:tcPr>
            <w:tcW w:w="2109" w:type="dxa"/>
            <w:shd w:val="clear" w:color="auto" w:fill="FFFFFF"/>
            <w:vAlign w:val="bottom"/>
          </w:tcPr>
          <w:p w:rsidR="00C96C2C" w:rsidRPr="00C96C2C" w:rsidP="00C96C2C" w14:paraId="5AA1E42D" w14:textId="77777777">
            <w:pPr>
              <w:rPr>
                <w:b/>
              </w:rPr>
            </w:pPr>
            <w:r w:rsidRPr="00C96C2C">
              <w:rPr>
                <w:b/>
              </w:rPr>
              <w:t>Reliability Standard</w:t>
            </w:r>
          </w:p>
        </w:tc>
        <w:tc>
          <w:tcPr>
            <w:tcW w:w="1480" w:type="dxa"/>
            <w:shd w:val="clear" w:color="auto" w:fill="FFFFFF"/>
            <w:vAlign w:val="bottom"/>
          </w:tcPr>
          <w:p w:rsidR="00C96C2C" w:rsidRPr="00C96C2C" w:rsidP="00C96C2C" w14:paraId="0FBB7362" w14:textId="77777777">
            <w:pPr>
              <w:rPr>
                <w:b/>
              </w:rPr>
            </w:pPr>
            <w:r w:rsidRPr="00C96C2C">
              <w:rPr>
                <w:b/>
              </w:rPr>
              <w:t>Type</w:t>
            </w:r>
            <w:r>
              <w:rPr>
                <w:b/>
                <w:vertAlign w:val="superscript"/>
              </w:rPr>
              <w:footnoteReference w:id="12"/>
            </w:r>
            <w:r w:rsidRPr="00C96C2C">
              <w:rPr>
                <w:b/>
              </w:rPr>
              <w:t xml:space="preserve"> and Number of Entity</w:t>
            </w:r>
          </w:p>
          <w:p w:rsidR="00C96C2C" w:rsidRPr="00C96C2C" w:rsidP="00C96C2C" w14:paraId="254632B2" w14:textId="77777777">
            <w:pPr>
              <w:rPr>
                <w:b/>
              </w:rPr>
            </w:pPr>
            <w:r w:rsidRPr="00C96C2C">
              <w:t>(1)</w:t>
            </w:r>
          </w:p>
        </w:tc>
        <w:tc>
          <w:tcPr>
            <w:tcW w:w="1360" w:type="dxa"/>
            <w:shd w:val="clear" w:color="auto" w:fill="FFFFFF"/>
            <w:vAlign w:val="bottom"/>
          </w:tcPr>
          <w:p w:rsidR="00C96C2C" w:rsidRPr="00C96C2C" w:rsidP="00C96C2C" w14:paraId="1113A411" w14:textId="77777777">
            <w:pPr>
              <w:rPr>
                <w:b/>
              </w:rPr>
            </w:pPr>
            <w:r w:rsidRPr="00C96C2C">
              <w:rPr>
                <w:b/>
              </w:rPr>
              <w:t>Number of Annual Responses Per Entity</w:t>
            </w:r>
          </w:p>
          <w:p w:rsidR="00C96C2C" w:rsidRPr="00C96C2C" w:rsidP="00C96C2C" w14:paraId="3989EC01" w14:textId="77777777">
            <w:pPr>
              <w:rPr>
                <w:b/>
              </w:rPr>
            </w:pPr>
            <w:r w:rsidRPr="00C96C2C">
              <w:rPr>
                <w:b/>
              </w:rPr>
              <w:t>(</w:t>
            </w:r>
            <w:r w:rsidRPr="00C96C2C">
              <w:t>2)</w:t>
            </w:r>
          </w:p>
        </w:tc>
        <w:tc>
          <w:tcPr>
            <w:tcW w:w="1406" w:type="dxa"/>
            <w:shd w:val="clear" w:color="auto" w:fill="FFFFFF"/>
            <w:vAlign w:val="bottom"/>
          </w:tcPr>
          <w:p w:rsidR="00C96C2C" w:rsidRPr="00C96C2C" w:rsidP="00C96C2C" w14:paraId="7B2FB54E" w14:textId="77777777">
            <w:pPr>
              <w:rPr>
                <w:b/>
              </w:rPr>
            </w:pPr>
            <w:r w:rsidRPr="00C96C2C">
              <w:rPr>
                <w:b/>
              </w:rPr>
              <w:t>Total Number of Responses</w:t>
            </w:r>
          </w:p>
          <w:p w:rsidR="00C96C2C" w:rsidRPr="00C96C2C" w:rsidP="00C96C2C" w14:paraId="704B7475" w14:textId="77777777">
            <w:pPr>
              <w:rPr>
                <w:b/>
              </w:rPr>
            </w:pPr>
            <w:r w:rsidRPr="00C96C2C">
              <w:rPr>
                <w:b/>
              </w:rPr>
              <w:t>(1) *(2) = (3)</w:t>
            </w:r>
          </w:p>
        </w:tc>
        <w:tc>
          <w:tcPr>
            <w:tcW w:w="2010" w:type="dxa"/>
            <w:shd w:val="clear" w:color="auto" w:fill="FFFFFF"/>
            <w:vAlign w:val="bottom"/>
          </w:tcPr>
          <w:p w:rsidR="00C96C2C" w:rsidRPr="00C96C2C" w:rsidP="00C96C2C" w14:paraId="19BFA7EA" w14:textId="77777777">
            <w:pPr>
              <w:rPr>
                <w:b/>
              </w:rPr>
            </w:pPr>
            <w:r w:rsidRPr="00C96C2C">
              <w:rPr>
                <w:b/>
              </w:rPr>
              <w:t>Average Number of Burden Hours per Response</w:t>
            </w:r>
          </w:p>
          <w:p w:rsidR="00C96C2C" w:rsidRPr="00C96C2C" w:rsidP="00C96C2C" w14:paraId="689975C6" w14:textId="77777777">
            <w:pPr>
              <w:rPr>
                <w:b/>
              </w:rPr>
            </w:pPr>
            <w:r w:rsidRPr="00C96C2C">
              <w:rPr>
                <w:b/>
              </w:rPr>
              <w:t>(4)</w:t>
            </w:r>
          </w:p>
        </w:tc>
        <w:tc>
          <w:tcPr>
            <w:tcW w:w="1913" w:type="dxa"/>
            <w:shd w:val="clear" w:color="auto" w:fill="FFFFFF"/>
            <w:vAlign w:val="bottom"/>
          </w:tcPr>
          <w:p w:rsidR="00C96C2C" w:rsidRPr="00C96C2C" w:rsidP="00C96C2C" w14:paraId="62482EDB" w14:textId="77777777">
            <w:pPr>
              <w:rPr>
                <w:b/>
              </w:rPr>
            </w:pPr>
            <w:r w:rsidRPr="00C96C2C">
              <w:rPr>
                <w:b/>
              </w:rPr>
              <w:t>Total Burden Hours</w:t>
            </w:r>
          </w:p>
          <w:p w:rsidR="00C96C2C" w:rsidRPr="00C96C2C" w:rsidP="00C96C2C" w14:paraId="063A600E" w14:textId="77777777">
            <w:pPr>
              <w:rPr>
                <w:b/>
              </w:rPr>
            </w:pPr>
            <w:r w:rsidRPr="00C96C2C">
              <w:rPr>
                <w:b/>
              </w:rPr>
              <w:t>(3) *(4) = (5)</w:t>
            </w:r>
          </w:p>
        </w:tc>
      </w:tr>
      <w:tr w14:paraId="651D2EF1" w14:textId="77777777" w:rsidTr="00C96C2C">
        <w:tblPrEx>
          <w:tblW w:w="10278" w:type="dxa"/>
          <w:tblLayout w:type="fixed"/>
          <w:tblLook w:val="04A0"/>
        </w:tblPrEx>
        <w:tc>
          <w:tcPr>
            <w:tcW w:w="10278" w:type="dxa"/>
            <w:gridSpan w:val="6"/>
            <w:shd w:val="clear" w:color="auto" w:fill="D9D9D9"/>
          </w:tcPr>
          <w:p w:rsidR="00C96C2C" w:rsidRPr="00C96C2C" w:rsidP="00C96C2C" w14:paraId="3BB9E1EE" w14:textId="77777777">
            <w:pPr>
              <w:jc w:val="center"/>
              <w:rPr>
                <w:b/>
              </w:rPr>
            </w:pPr>
            <w:r w:rsidRPr="00C96C2C">
              <w:rPr>
                <w:b/>
              </w:rPr>
              <w:t>FERC-725D</w:t>
            </w:r>
          </w:p>
        </w:tc>
      </w:tr>
      <w:tr w14:paraId="01645C9A" w14:textId="77777777" w:rsidTr="003E31AC">
        <w:tblPrEx>
          <w:tblW w:w="10278" w:type="dxa"/>
          <w:tblLayout w:type="fixed"/>
          <w:tblLook w:val="04A0"/>
        </w:tblPrEx>
        <w:tc>
          <w:tcPr>
            <w:tcW w:w="2109" w:type="dxa"/>
          </w:tcPr>
          <w:p w:rsidR="00C96C2C" w:rsidRPr="00C96C2C" w:rsidP="00C96C2C" w14:paraId="2B9EB855" w14:textId="77777777">
            <w:pPr>
              <w:rPr>
                <w:b/>
                <w:bCs/>
              </w:rPr>
            </w:pPr>
            <w:r w:rsidRPr="00C96C2C">
              <w:rPr>
                <w:b/>
                <w:bCs/>
              </w:rPr>
              <w:t>FAC-010-3</w:t>
            </w:r>
            <w:r>
              <w:rPr>
                <w:bCs/>
                <w:szCs w:val="26"/>
                <w:vertAlign w:val="superscript"/>
              </w:rPr>
              <w:footnoteReference w:id="13"/>
            </w:r>
            <w:r w:rsidRPr="00C96C2C">
              <w:rPr>
                <w:b/>
                <w:bCs/>
              </w:rPr>
              <w:t xml:space="preserve"> Retire </w:t>
            </w:r>
          </w:p>
        </w:tc>
        <w:tc>
          <w:tcPr>
            <w:tcW w:w="1480" w:type="dxa"/>
          </w:tcPr>
          <w:p w:rsidR="00C96C2C" w:rsidRPr="00C96C2C" w:rsidP="00C96C2C" w14:paraId="0312541F" w14:textId="77777777">
            <w:r w:rsidRPr="00C96C2C">
              <w:t>PA/PC (63)</w:t>
            </w:r>
          </w:p>
        </w:tc>
        <w:tc>
          <w:tcPr>
            <w:tcW w:w="1360" w:type="dxa"/>
          </w:tcPr>
          <w:p w:rsidR="00C96C2C" w:rsidRPr="00C96C2C" w:rsidP="00C96C2C" w14:paraId="7131E86C" w14:textId="77777777">
            <w:pPr>
              <w:jc w:val="center"/>
            </w:pPr>
            <w:r w:rsidRPr="00C96C2C">
              <w:t>1</w:t>
            </w:r>
          </w:p>
        </w:tc>
        <w:tc>
          <w:tcPr>
            <w:tcW w:w="1406" w:type="dxa"/>
          </w:tcPr>
          <w:p w:rsidR="00C96C2C" w:rsidRPr="00C96C2C" w:rsidP="00C96C2C" w14:paraId="22AE7C29" w14:textId="77777777">
            <w:pPr>
              <w:jc w:val="center"/>
              <w:rPr>
                <w:b/>
                <w:bCs/>
              </w:rPr>
            </w:pPr>
            <w:r w:rsidRPr="00C96C2C">
              <w:rPr>
                <w:b/>
                <w:bCs/>
              </w:rPr>
              <w:t>(63)</w:t>
            </w:r>
          </w:p>
        </w:tc>
        <w:tc>
          <w:tcPr>
            <w:tcW w:w="2010" w:type="dxa"/>
          </w:tcPr>
          <w:p w:rsidR="00C96C2C" w:rsidRPr="00C96C2C" w:rsidP="00C96C2C" w14:paraId="1ADE044B" w14:textId="77777777">
            <w:pPr>
              <w:jc w:val="center"/>
              <w:rPr>
                <w:b/>
                <w:bCs/>
              </w:rPr>
            </w:pPr>
            <w:r w:rsidRPr="00C96C2C">
              <w:rPr>
                <w:b/>
                <w:bCs/>
              </w:rPr>
              <w:t>(220.6 hrs.)</w:t>
            </w:r>
          </w:p>
          <w:p w:rsidR="00C96C2C" w:rsidRPr="00C96C2C" w:rsidP="00C96C2C" w14:paraId="52576B17" w14:textId="77777777">
            <w:pPr>
              <w:jc w:val="center"/>
              <w:rPr>
                <w:b/>
                <w:bCs/>
              </w:rPr>
            </w:pPr>
            <w:r w:rsidRPr="00C96C2C">
              <w:rPr>
                <w:b/>
                <w:bCs/>
              </w:rPr>
              <w:t>($19,192)</w:t>
            </w:r>
          </w:p>
        </w:tc>
        <w:tc>
          <w:tcPr>
            <w:tcW w:w="1913" w:type="dxa"/>
          </w:tcPr>
          <w:p w:rsidR="00C96C2C" w:rsidRPr="00C96C2C" w:rsidP="00C96C2C" w14:paraId="7EB433E2" w14:textId="77777777">
            <w:pPr>
              <w:jc w:val="center"/>
              <w:rPr>
                <w:b/>
                <w:bCs/>
              </w:rPr>
            </w:pPr>
            <w:r w:rsidRPr="00C96C2C">
              <w:rPr>
                <w:b/>
                <w:bCs/>
              </w:rPr>
              <w:t>(13,898 hrs.)</w:t>
            </w:r>
          </w:p>
          <w:p w:rsidR="00C96C2C" w:rsidRPr="00C96C2C" w:rsidP="00C96C2C" w14:paraId="62375FD5" w14:textId="77777777">
            <w:pPr>
              <w:jc w:val="center"/>
              <w:rPr>
                <w:b/>
                <w:bCs/>
              </w:rPr>
            </w:pPr>
            <w:r w:rsidRPr="00C96C2C">
              <w:rPr>
                <w:b/>
                <w:bCs/>
              </w:rPr>
              <w:t>($1,209,109)</w:t>
            </w:r>
          </w:p>
        </w:tc>
      </w:tr>
      <w:tr w14:paraId="33E6A914" w14:textId="77777777" w:rsidTr="003E31AC">
        <w:tblPrEx>
          <w:tblW w:w="10278" w:type="dxa"/>
          <w:tblLayout w:type="fixed"/>
          <w:tblLook w:val="04A0"/>
        </w:tblPrEx>
        <w:tc>
          <w:tcPr>
            <w:tcW w:w="2109" w:type="dxa"/>
          </w:tcPr>
          <w:p w:rsidR="00C96C2C" w:rsidRPr="00C96C2C" w:rsidP="00C96C2C" w14:paraId="02413AD8" w14:textId="77777777">
            <w:pPr>
              <w:rPr>
                <w:b/>
                <w:bCs/>
              </w:rPr>
            </w:pPr>
            <w:r w:rsidRPr="00C96C2C">
              <w:rPr>
                <w:b/>
                <w:bCs/>
              </w:rPr>
              <w:t>FAC-010-2.1, R5</w:t>
            </w:r>
            <w:r>
              <w:rPr>
                <w:bCs/>
                <w:szCs w:val="26"/>
                <w:vertAlign w:val="superscript"/>
              </w:rPr>
              <w:footnoteReference w:id="14"/>
            </w:r>
            <w:r w:rsidRPr="00C96C2C">
              <w:rPr>
                <w:b/>
                <w:bCs/>
              </w:rPr>
              <w:br/>
              <w:t>(FERC-725D)</w:t>
            </w:r>
          </w:p>
        </w:tc>
        <w:tc>
          <w:tcPr>
            <w:tcW w:w="1480" w:type="dxa"/>
          </w:tcPr>
          <w:p w:rsidR="00C96C2C" w:rsidRPr="00C96C2C" w:rsidP="00C96C2C" w14:paraId="1B7B1B1B" w14:textId="77777777">
            <w:r w:rsidRPr="00C96C2C">
              <w:t>PA</w:t>
            </w:r>
          </w:p>
        </w:tc>
        <w:tc>
          <w:tcPr>
            <w:tcW w:w="1360" w:type="dxa"/>
          </w:tcPr>
          <w:p w:rsidR="00C96C2C" w:rsidRPr="00C96C2C" w:rsidP="00C96C2C" w14:paraId="5CCBA758" w14:textId="77777777">
            <w:pPr>
              <w:jc w:val="center"/>
            </w:pPr>
            <w:r w:rsidRPr="00C96C2C">
              <w:t>1</w:t>
            </w:r>
          </w:p>
        </w:tc>
        <w:tc>
          <w:tcPr>
            <w:tcW w:w="1406" w:type="dxa"/>
          </w:tcPr>
          <w:p w:rsidR="00C96C2C" w:rsidRPr="00C96C2C" w:rsidP="00C96C2C" w14:paraId="0BDFC5EF" w14:textId="77777777">
            <w:pPr>
              <w:jc w:val="center"/>
              <w:rPr>
                <w:b/>
                <w:bCs/>
              </w:rPr>
            </w:pPr>
            <w:r w:rsidRPr="00C96C2C">
              <w:rPr>
                <w:b/>
                <w:bCs/>
              </w:rPr>
              <w:t>(63)</w:t>
            </w:r>
          </w:p>
        </w:tc>
        <w:tc>
          <w:tcPr>
            <w:tcW w:w="2010" w:type="dxa"/>
          </w:tcPr>
          <w:p w:rsidR="00C96C2C" w:rsidRPr="00C96C2C" w:rsidP="00C96C2C" w14:paraId="22B90D49" w14:textId="77777777">
            <w:pPr>
              <w:jc w:val="center"/>
              <w:rPr>
                <w:b/>
                <w:bCs/>
              </w:rPr>
            </w:pPr>
            <w:r w:rsidRPr="00C96C2C">
              <w:rPr>
                <w:b/>
                <w:bCs/>
              </w:rPr>
              <w:t>(25.4 hrs.)</w:t>
            </w:r>
          </w:p>
          <w:p w:rsidR="00C96C2C" w:rsidRPr="00C96C2C" w:rsidP="00C96C2C" w14:paraId="303F6A7C" w14:textId="77777777">
            <w:pPr>
              <w:jc w:val="center"/>
              <w:rPr>
                <w:b/>
                <w:bCs/>
              </w:rPr>
            </w:pPr>
            <w:r w:rsidRPr="00C96C2C">
              <w:rPr>
                <w:b/>
                <w:bCs/>
              </w:rPr>
              <w:t>($2,209.8)</w:t>
            </w:r>
          </w:p>
        </w:tc>
        <w:tc>
          <w:tcPr>
            <w:tcW w:w="1913" w:type="dxa"/>
          </w:tcPr>
          <w:p w:rsidR="00C96C2C" w:rsidRPr="00C96C2C" w:rsidP="00C96C2C" w14:paraId="0BE4DD09" w14:textId="77777777">
            <w:pPr>
              <w:jc w:val="center"/>
              <w:rPr>
                <w:b/>
                <w:bCs/>
              </w:rPr>
            </w:pPr>
            <w:r w:rsidRPr="00C96C2C">
              <w:rPr>
                <w:b/>
                <w:bCs/>
              </w:rPr>
              <w:t>(1,600 hrs.)</w:t>
            </w:r>
          </w:p>
          <w:p w:rsidR="00C96C2C" w:rsidRPr="00C96C2C" w:rsidP="00C96C2C" w14:paraId="66004868" w14:textId="77777777">
            <w:pPr>
              <w:jc w:val="center"/>
              <w:rPr>
                <w:b/>
                <w:bCs/>
              </w:rPr>
            </w:pPr>
            <w:r w:rsidRPr="00C96C2C">
              <w:rPr>
                <w:b/>
                <w:bCs/>
              </w:rPr>
              <w:t>($139,217)</w:t>
            </w:r>
          </w:p>
        </w:tc>
      </w:tr>
      <w:tr w14:paraId="07324A91" w14:textId="77777777" w:rsidTr="00C96C2C">
        <w:tblPrEx>
          <w:tblW w:w="10278" w:type="dxa"/>
          <w:tblLayout w:type="fixed"/>
          <w:tblLook w:val="04A0"/>
        </w:tblPrEx>
        <w:tc>
          <w:tcPr>
            <w:tcW w:w="2109" w:type="dxa"/>
          </w:tcPr>
          <w:p w:rsidR="00C96C2C" w:rsidRPr="00C96C2C" w:rsidP="00C96C2C" w14:paraId="32F1424D" w14:textId="77777777">
            <w:pPr>
              <w:rPr>
                <w:b/>
                <w:bCs/>
              </w:rPr>
            </w:pPr>
            <w:r w:rsidRPr="00C96C2C">
              <w:rPr>
                <w:b/>
                <w:bCs/>
              </w:rPr>
              <w:t>Total Retirement for FAC-010-3</w:t>
            </w:r>
            <w:r>
              <w:rPr>
                <w:bCs/>
                <w:szCs w:val="26"/>
                <w:vertAlign w:val="superscript"/>
              </w:rPr>
              <w:footnoteReference w:id="15"/>
            </w:r>
          </w:p>
        </w:tc>
        <w:tc>
          <w:tcPr>
            <w:tcW w:w="1480" w:type="dxa"/>
          </w:tcPr>
          <w:p w:rsidR="00C96C2C" w:rsidRPr="00C96C2C" w:rsidP="00C96C2C" w14:paraId="6C895C3C" w14:textId="77777777">
            <w:r w:rsidRPr="00C96C2C">
              <w:t>PA</w:t>
            </w:r>
          </w:p>
        </w:tc>
        <w:tc>
          <w:tcPr>
            <w:tcW w:w="1360" w:type="dxa"/>
            <w:shd w:val="clear" w:color="auto" w:fill="D9D9D9"/>
          </w:tcPr>
          <w:p w:rsidR="00C96C2C" w:rsidRPr="00C96C2C" w:rsidP="00C96C2C" w14:paraId="6CA468F3" w14:textId="77777777">
            <w:pPr>
              <w:jc w:val="center"/>
            </w:pPr>
            <w:r w:rsidRPr="00C96C2C">
              <w:t>1</w:t>
            </w:r>
          </w:p>
        </w:tc>
        <w:tc>
          <w:tcPr>
            <w:tcW w:w="1406" w:type="dxa"/>
          </w:tcPr>
          <w:p w:rsidR="00C96C2C" w:rsidRPr="00C96C2C" w:rsidP="00C96C2C" w14:paraId="7A5B158E" w14:textId="77777777">
            <w:pPr>
              <w:jc w:val="center"/>
              <w:rPr>
                <w:b/>
                <w:bCs/>
              </w:rPr>
            </w:pPr>
            <w:r w:rsidRPr="00C96C2C">
              <w:rPr>
                <w:b/>
                <w:bCs/>
              </w:rPr>
              <w:t>(63)</w:t>
            </w:r>
          </w:p>
        </w:tc>
        <w:tc>
          <w:tcPr>
            <w:tcW w:w="2010" w:type="dxa"/>
          </w:tcPr>
          <w:p w:rsidR="00C96C2C" w:rsidRPr="00C96C2C" w:rsidP="00C96C2C" w14:paraId="1356DC5A" w14:textId="77777777">
            <w:pPr>
              <w:jc w:val="center"/>
              <w:rPr>
                <w:b/>
                <w:bCs/>
              </w:rPr>
            </w:pPr>
            <w:r w:rsidRPr="00C96C2C">
              <w:rPr>
                <w:b/>
                <w:bCs/>
              </w:rPr>
              <w:t>(246)</w:t>
            </w:r>
          </w:p>
          <w:p w:rsidR="00C96C2C" w:rsidRPr="00C96C2C" w:rsidP="00C96C2C" w14:paraId="0650349A" w14:textId="77777777">
            <w:pPr>
              <w:jc w:val="center"/>
              <w:rPr>
                <w:b/>
                <w:bCs/>
              </w:rPr>
            </w:pPr>
          </w:p>
        </w:tc>
        <w:tc>
          <w:tcPr>
            <w:tcW w:w="1913" w:type="dxa"/>
            <w:shd w:val="clear" w:color="auto" w:fill="D9D9D9"/>
          </w:tcPr>
          <w:p w:rsidR="00C96C2C" w:rsidRPr="00C96C2C" w:rsidP="00C96C2C" w14:paraId="4DFEAB7F" w14:textId="77777777">
            <w:pPr>
              <w:jc w:val="center"/>
              <w:rPr>
                <w:b/>
                <w:bCs/>
              </w:rPr>
            </w:pPr>
            <w:r w:rsidRPr="00C96C2C">
              <w:rPr>
                <w:b/>
                <w:bCs/>
              </w:rPr>
              <w:t>(15,498 hrs.)</w:t>
            </w:r>
          </w:p>
          <w:p w:rsidR="00C96C2C" w:rsidRPr="00C96C2C" w:rsidP="00C96C2C" w14:paraId="3E05FFC7" w14:textId="77777777">
            <w:pPr>
              <w:jc w:val="center"/>
              <w:rPr>
                <w:b/>
                <w:bCs/>
              </w:rPr>
            </w:pPr>
            <w:r w:rsidRPr="00C96C2C">
              <w:rPr>
                <w:b/>
                <w:bCs/>
              </w:rPr>
              <w:t>($1,348,326)</w:t>
            </w:r>
          </w:p>
        </w:tc>
      </w:tr>
      <w:tr w14:paraId="0E578D3E" w14:textId="77777777" w:rsidTr="00C96C2C">
        <w:tblPrEx>
          <w:tblW w:w="10278" w:type="dxa"/>
          <w:tblLayout w:type="fixed"/>
          <w:tblLook w:val="04A0"/>
        </w:tblPrEx>
        <w:tc>
          <w:tcPr>
            <w:tcW w:w="10278" w:type="dxa"/>
            <w:gridSpan w:val="6"/>
            <w:shd w:val="clear" w:color="auto" w:fill="D9D9D9"/>
          </w:tcPr>
          <w:p w:rsidR="00C96C2C" w:rsidRPr="00C96C2C" w:rsidP="00C96C2C" w14:paraId="2F6344EA" w14:textId="77777777">
            <w:pPr>
              <w:rPr>
                <w:b/>
                <w:bCs/>
              </w:rPr>
            </w:pPr>
            <w:r w:rsidRPr="00C96C2C">
              <w:rPr>
                <w:b/>
                <w:bCs/>
              </w:rPr>
              <w:t>One Time Estimate Years 1 and 2</w:t>
            </w:r>
          </w:p>
        </w:tc>
      </w:tr>
      <w:tr w14:paraId="118608EA" w14:textId="77777777" w:rsidTr="003E31AC">
        <w:tblPrEx>
          <w:tblW w:w="10278" w:type="dxa"/>
          <w:tblLayout w:type="fixed"/>
          <w:tblLook w:val="04A0"/>
        </w:tblPrEx>
        <w:tc>
          <w:tcPr>
            <w:tcW w:w="2109" w:type="dxa"/>
          </w:tcPr>
          <w:p w:rsidR="00C96C2C" w:rsidRPr="00C96C2C" w:rsidP="00C96C2C" w14:paraId="4FD23AE5" w14:textId="77777777">
            <w:r w:rsidRPr="00C96C2C">
              <w:t>FAC-011-4</w:t>
            </w:r>
          </w:p>
        </w:tc>
        <w:tc>
          <w:tcPr>
            <w:tcW w:w="1480" w:type="dxa"/>
          </w:tcPr>
          <w:p w:rsidR="00C96C2C" w:rsidRPr="00C96C2C" w:rsidP="00C96C2C" w14:paraId="4F2A45F2" w14:textId="77777777">
            <w:r w:rsidRPr="00C96C2C">
              <w:t>RC (12)</w:t>
            </w:r>
          </w:p>
        </w:tc>
        <w:tc>
          <w:tcPr>
            <w:tcW w:w="1360" w:type="dxa"/>
          </w:tcPr>
          <w:p w:rsidR="00C96C2C" w:rsidRPr="00C96C2C" w:rsidP="00C96C2C" w14:paraId="23CA3E31" w14:textId="77777777">
            <w:pPr>
              <w:jc w:val="center"/>
            </w:pPr>
            <w:r w:rsidRPr="00C96C2C">
              <w:t>1</w:t>
            </w:r>
          </w:p>
        </w:tc>
        <w:tc>
          <w:tcPr>
            <w:tcW w:w="1406" w:type="dxa"/>
          </w:tcPr>
          <w:p w:rsidR="00C96C2C" w:rsidRPr="00C96C2C" w:rsidP="00C96C2C" w14:paraId="20C09925" w14:textId="77777777">
            <w:pPr>
              <w:jc w:val="center"/>
            </w:pPr>
            <w:r w:rsidRPr="00C96C2C">
              <w:t>12</w:t>
            </w:r>
          </w:p>
        </w:tc>
        <w:tc>
          <w:tcPr>
            <w:tcW w:w="2010" w:type="dxa"/>
          </w:tcPr>
          <w:p w:rsidR="00C96C2C" w:rsidRPr="00C96C2C" w:rsidP="00C96C2C" w14:paraId="17BFF4E3" w14:textId="77777777">
            <w:pPr>
              <w:jc w:val="center"/>
            </w:pPr>
            <w:r w:rsidRPr="00C96C2C">
              <w:t>176 hrs.</w:t>
            </w:r>
          </w:p>
          <w:p w:rsidR="00C96C2C" w:rsidRPr="00C96C2C" w:rsidP="00C96C2C" w14:paraId="3A227724" w14:textId="77777777">
            <w:pPr>
              <w:jc w:val="center"/>
            </w:pPr>
            <w:r w:rsidRPr="00C96C2C">
              <w:t>$15,312</w:t>
            </w:r>
          </w:p>
        </w:tc>
        <w:tc>
          <w:tcPr>
            <w:tcW w:w="1913" w:type="dxa"/>
          </w:tcPr>
          <w:p w:rsidR="00C96C2C" w:rsidRPr="00C96C2C" w:rsidP="00C96C2C" w14:paraId="57416F47" w14:textId="77777777">
            <w:pPr>
              <w:jc w:val="center"/>
            </w:pPr>
            <w:r w:rsidRPr="00C96C2C">
              <w:t>2,112 hrs.</w:t>
            </w:r>
          </w:p>
          <w:p w:rsidR="00C96C2C" w:rsidRPr="00C96C2C" w:rsidP="00C96C2C" w14:paraId="0456D069" w14:textId="77777777">
            <w:pPr>
              <w:jc w:val="center"/>
            </w:pPr>
            <w:r w:rsidRPr="00C96C2C">
              <w:t>$183,744</w:t>
            </w:r>
          </w:p>
        </w:tc>
      </w:tr>
      <w:tr w14:paraId="44DE9843" w14:textId="77777777" w:rsidTr="003E31AC">
        <w:tblPrEx>
          <w:tblW w:w="10278" w:type="dxa"/>
          <w:tblLayout w:type="fixed"/>
          <w:tblLook w:val="04A0"/>
        </w:tblPrEx>
        <w:tc>
          <w:tcPr>
            <w:tcW w:w="2109" w:type="dxa"/>
          </w:tcPr>
          <w:p w:rsidR="00C96C2C" w:rsidRPr="00C96C2C" w:rsidP="00C96C2C" w14:paraId="5E10B865" w14:textId="77777777">
            <w:r w:rsidRPr="00C96C2C">
              <w:t>FAC-014-3</w:t>
            </w:r>
          </w:p>
        </w:tc>
        <w:tc>
          <w:tcPr>
            <w:tcW w:w="1480" w:type="dxa"/>
          </w:tcPr>
          <w:p w:rsidR="00C96C2C" w:rsidRPr="00C96C2C" w:rsidP="00C96C2C" w14:paraId="427EEE28" w14:textId="77777777">
            <w:r w:rsidRPr="00C96C2C">
              <w:t>RC (12)</w:t>
            </w:r>
          </w:p>
        </w:tc>
        <w:tc>
          <w:tcPr>
            <w:tcW w:w="1360" w:type="dxa"/>
          </w:tcPr>
          <w:p w:rsidR="00C96C2C" w:rsidRPr="00C96C2C" w:rsidP="00C96C2C" w14:paraId="1A834ADA" w14:textId="77777777">
            <w:pPr>
              <w:jc w:val="center"/>
            </w:pPr>
            <w:r w:rsidRPr="00C96C2C">
              <w:t>1</w:t>
            </w:r>
          </w:p>
        </w:tc>
        <w:tc>
          <w:tcPr>
            <w:tcW w:w="1406" w:type="dxa"/>
          </w:tcPr>
          <w:p w:rsidR="00C96C2C" w:rsidRPr="00C96C2C" w:rsidP="00C96C2C" w14:paraId="39DB4A43" w14:textId="77777777">
            <w:pPr>
              <w:jc w:val="center"/>
            </w:pPr>
            <w:r w:rsidRPr="00C96C2C">
              <w:t>12</w:t>
            </w:r>
          </w:p>
        </w:tc>
        <w:tc>
          <w:tcPr>
            <w:tcW w:w="2010" w:type="dxa"/>
          </w:tcPr>
          <w:p w:rsidR="00C96C2C" w:rsidRPr="00C96C2C" w:rsidP="00C96C2C" w14:paraId="2CBCC79B" w14:textId="77777777">
            <w:pPr>
              <w:jc w:val="center"/>
            </w:pPr>
            <w:r w:rsidRPr="00C96C2C">
              <w:t>64 hrs.</w:t>
            </w:r>
          </w:p>
          <w:p w:rsidR="00C96C2C" w:rsidRPr="00C96C2C" w:rsidP="00C96C2C" w14:paraId="614241ED" w14:textId="77777777">
            <w:pPr>
              <w:jc w:val="center"/>
            </w:pPr>
            <w:r w:rsidRPr="00C96C2C">
              <w:t>$5,568</w:t>
            </w:r>
          </w:p>
        </w:tc>
        <w:tc>
          <w:tcPr>
            <w:tcW w:w="1913" w:type="dxa"/>
          </w:tcPr>
          <w:p w:rsidR="00C96C2C" w:rsidRPr="00C96C2C" w:rsidP="00C96C2C" w14:paraId="45E7F8EA" w14:textId="77777777">
            <w:pPr>
              <w:jc w:val="center"/>
            </w:pPr>
            <w:r w:rsidRPr="00C96C2C">
              <w:t>768 hrs.</w:t>
            </w:r>
          </w:p>
          <w:p w:rsidR="00C96C2C" w:rsidRPr="00C96C2C" w:rsidP="00C96C2C" w14:paraId="6F44FE59" w14:textId="77777777">
            <w:pPr>
              <w:jc w:val="center"/>
            </w:pPr>
            <w:r w:rsidRPr="00C96C2C">
              <w:t>$66,816</w:t>
            </w:r>
          </w:p>
        </w:tc>
      </w:tr>
      <w:tr w14:paraId="52313FF0" w14:textId="77777777" w:rsidTr="003E31AC">
        <w:tblPrEx>
          <w:tblW w:w="10278" w:type="dxa"/>
          <w:tblLayout w:type="fixed"/>
          <w:tblLook w:val="04A0"/>
        </w:tblPrEx>
        <w:tc>
          <w:tcPr>
            <w:tcW w:w="2109" w:type="dxa"/>
          </w:tcPr>
          <w:p w:rsidR="00C96C2C" w:rsidRPr="00C96C2C" w:rsidP="00C96C2C" w14:paraId="2A842CF7" w14:textId="77777777">
            <w:r w:rsidRPr="00C96C2C">
              <w:t>FAC-014-3</w:t>
            </w:r>
          </w:p>
        </w:tc>
        <w:tc>
          <w:tcPr>
            <w:tcW w:w="1480" w:type="dxa"/>
          </w:tcPr>
          <w:p w:rsidR="00C96C2C" w:rsidRPr="00C96C2C" w:rsidP="00C96C2C" w14:paraId="2BBDC56A" w14:textId="77777777">
            <w:r w:rsidRPr="00C96C2C">
              <w:t>PA/PC (63)</w:t>
            </w:r>
          </w:p>
        </w:tc>
        <w:tc>
          <w:tcPr>
            <w:tcW w:w="1360" w:type="dxa"/>
          </w:tcPr>
          <w:p w:rsidR="00C96C2C" w:rsidRPr="00C96C2C" w:rsidP="00C96C2C" w14:paraId="2A4B4A80" w14:textId="77777777">
            <w:pPr>
              <w:jc w:val="center"/>
            </w:pPr>
            <w:r w:rsidRPr="00C96C2C">
              <w:t>1</w:t>
            </w:r>
          </w:p>
        </w:tc>
        <w:tc>
          <w:tcPr>
            <w:tcW w:w="1406" w:type="dxa"/>
          </w:tcPr>
          <w:p w:rsidR="00C96C2C" w:rsidRPr="00C96C2C" w:rsidP="00C96C2C" w14:paraId="2575E5EC" w14:textId="77777777">
            <w:pPr>
              <w:jc w:val="center"/>
            </w:pPr>
            <w:r w:rsidRPr="00C96C2C">
              <w:t>63</w:t>
            </w:r>
          </w:p>
        </w:tc>
        <w:tc>
          <w:tcPr>
            <w:tcW w:w="2010" w:type="dxa"/>
          </w:tcPr>
          <w:p w:rsidR="00C96C2C" w:rsidRPr="00C96C2C" w:rsidP="00C96C2C" w14:paraId="370244E9" w14:textId="77777777">
            <w:pPr>
              <w:jc w:val="center"/>
            </w:pPr>
            <w:r w:rsidRPr="00C96C2C">
              <w:t>96 hrs.</w:t>
            </w:r>
          </w:p>
          <w:p w:rsidR="00C96C2C" w:rsidRPr="00C96C2C" w:rsidP="00C96C2C" w14:paraId="6D1A5EA2" w14:textId="77777777">
            <w:pPr>
              <w:jc w:val="center"/>
            </w:pPr>
            <w:r w:rsidRPr="00C96C2C">
              <w:t>$8,352</w:t>
            </w:r>
          </w:p>
        </w:tc>
        <w:tc>
          <w:tcPr>
            <w:tcW w:w="1913" w:type="dxa"/>
          </w:tcPr>
          <w:p w:rsidR="00C96C2C" w:rsidRPr="00C96C2C" w:rsidP="00C96C2C" w14:paraId="27AD4B57" w14:textId="77777777">
            <w:pPr>
              <w:jc w:val="center"/>
            </w:pPr>
            <w:r w:rsidRPr="00C96C2C">
              <w:t>6,048 hrs.</w:t>
            </w:r>
          </w:p>
          <w:p w:rsidR="00C96C2C" w:rsidRPr="00C96C2C" w:rsidP="00C96C2C" w14:paraId="3E2FFE08" w14:textId="77777777">
            <w:pPr>
              <w:jc w:val="center"/>
            </w:pPr>
            <w:r w:rsidRPr="00C96C2C">
              <w:t>$526,176</w:t>
            </w:r>
          </w:p>
        </w:tc>
      </w:tr>
      <w:tr w14:paraId="71D57C63" w14:textId="77777777" w:rsidTr="003E31AC">
        <w:tblPrEx>
          <w:tblW w:w="10278" w:type="dxa"/>
          <w:tblLayout w:type="fixed"/>
          <w:tblLook w:val="04A0"/>
        </w:tblPrEx>
        <w:tc>
          <w:tcPr>
            <w:tcW w:w="2109" w:type="dxa"/>
          </w:tcPr>
          <w:p w:rsidR="00C96C2C" w:rsidRPr="00C96C2C" w:rsidP="00C96C2C" w14:paraId="466EBB85" w14:textId="77777777">
            <w:r w:rsidRPr="00C96C2C">
              <w:t>FAC-014-3</w:t>
            </w:r>
          </w:p>
        </w:tc>
        <w:tc>
          <w:tcPr>
            <w:tcW w:w="1480" w:type="dxa"/>
          </w:tcPr>
          <w:p w:rsidR="00C96C2C" w:rsidRPr="00C96C2C" w:rsidP="00C96C2C" w14:paraId="211CB549" w14:textId="77777777">
            <w:r w:rsidRPr="00C96C2C">
              <w:t>TP (204)</w:t>
            </w:r>
          </w:p>
        </w:tc>
        <w:tc>
          <w:tcPr>
            <w:tcW w:w="1360" w:type="dxa"/>
          </w:tcPr>
          <w:p w:rsidR="00C96C2C" w:rsidRPr="00C96C2C" w:rsidP="00C96C2C" w14:paraId="65636E6F" w14:textId="77777777">
            <w:pPr>
              <w:jc w:val="center"/>
            </w:pPr>
            <w:r w:rsidRPr="00C96C2C">
              <w:t>1</w:t>
            </w:r>
          </w:p>
        </w:tc>
        <w:tc>
          <w:tcPr>
            <w:tcW w:w="1406" w:type="dxa"/>
          </w:tcPr>
          <w:p w:rsidR="00C96C2C" w:rsidRPr="00C96C2C" w:rsidP="00C96C2C" w14:paraId="32908C04" w14:textId="77777777">
            <w:pPr>
              <w:jc w:val="center"/>
            </w:pPr>
            <w:r w:rsidRPr="00C96C2C">
              <w:t>204</w:t>
            </w:r>
          </w:p>
        </w:tc>
        <w:tc>
          <w:tcPr>
            <w:tcW w:w="2010" w:type="dxa"/>
          </w:tcPr>
          <w:p w:rsidR="00C96C2C" w:rsidRPr="00C96C2C" w:rsidP="00C96C2C" w14:paraId="6E583A4F" w14:textId="77777777">
            <w:pPr>
              <w:jc w:val="center"/>
            </w:pPr>
            <w:r w:rsidRPr="00C96C2C">
              <w:t>96 hrs.</w:t>
            </w:r>
          </w:p>
          <w:p w:rsidR="00C96C2C" w:rsidRPr="00C96C2C" w:rsidP="00C96C2C" w14:paraId="49C1E621" w14:textId="77777777">
            <w:pPr>
              <w:jc w:val="center"/>
            </w:pPr>
            <w:r w:rsidRPr="00C96C2C">
              <w:t xml:space="preserve"> $8,352</w:t>
            </w:r>
          </w:p>
        </w:tc>
        <w:tc>
          <w:tcPr>
            <w:tcW w:w="1913" w:type="dxa"/>
          </w:tcPr>
          <w:p w:rsidR="00C96C2C" w:rsidRPr="00C96C2C" w:rsidP="00C96C2C" w14:paraId="2EA65C87" w14:textId="77777777">
            <w:pPr>
              <w:jc w:val="center"/>
            </w:pPr>
            <w:r w:rsidRPr="00C96C2C">
              <w:t>19,584 hrs.</w:t>
            </w:r>
          </w:p>
          <w:p w:rsidR="00C96C2C" w:rsidRPr="00C96C2C" w:rsidP="00C96C2C" w14:paraId="3F386708" w14:textId="77777777">
            <w:pPr>
              <w:jc w:val="center"/>
            </w:pPr>
            <w:r w:rsidRPr="00C96C2C">
              <w:t>$1,703,808</w:t>
            </w:r>
          </w:p>
        </w:tc>
      </w:tr>
      <w:tr w14:paraId="1B6D042D" w14:textId="77777777" w:rsidTr="003E31AC">
        <w:tblPrEx>
          <w:tblW w:w="10278" w:type="dxa"/>
          <w:tblLayout w:type="fixed"/>
          <w:tblLook w:val="04A0"/>
        </w:tblPrEx>
        <w:tc>
          <w:tcPr>
            <w:tcW w:w="2109" w:type="dxa"/>
          </w:tcPr>
          <w:p w:rsidR="00C96C2C" w:rsidRPr="00C96C2C" w:rsidP="00C96C2C" w14:paraId="2611E40B" w14:textId="77777777">
            <w:r w:rsidRPr="00C96C2C">
              <w:t>FAC-014-3</w:t>
            </w:r>
          </w:p>
        </w:tc>
        <w:tc>
          <w:tcPr>
            <w:tcW w:w="1480" w:type="dxa"/>
          </w:tcPr>
          <w:p w:rsidR="00C96C2C" w:rsidRPr="00C96C2C" w:rsidP="00C96C2C" w14:paraId="17663A10" w14:textId="77777777">
            <w:r w:rsidRPr="00C96C2C">
              <w:t>TOP (168)</w:t>
            </w:r>
          </w:p>
        </w:tc>
        <w:tc>
          <w:tcPr>
            <w:tcW w:w="1360" w:type="dxa"/>
          </w:tcPr>
          <w:p w:rsidR="00C96C2C" w:rsidRPr="00C96C2C" w:rsidP="00C96C2C" w14:paraId="47CE36E7" w14:textId="77777777">
            <w:pPr>
              <w:jc w:val="center"/>
            </w:pPr>
            <w:r w:rsidRPr="00C96C2C">
              <w:t>1</w:t>
            </w:r>
          </w:p>
        </w:tc>
        <w:tc>
          <w:tcPr>
            <w:tcW w:w="1406" w:type="dxa"/>
          </w:tcPr>
          <w:p w:rsidR="00C96C2C" w:rsidRPr="00C96C2C" w:rsidP="00C96C2C" w14:paraId="4D1D1382" w14:textId="77777777">
            <w:pPr>
              <w:jc w:val="center"/>
            </w:pPr>
            <w:r w:rsidRPr="00C96C2C">
              <w:t>168</w:t>
            </w:r>
          </w:p>
        </w:tc>
        <w:tc>
          <w:tcPr>
            <w:tcW w:w="2010" w:type="dxa"/>
          </w:tcPr>
          <w:p w:rsidR="00C96C2C" w:rsidRPr="00C96C2C" w:rsidP="00C96C2C" w14:paraId="6F824907" w14:textId="77777777">
            <w:pPr>
              <w:jc w:val="center"/>
            </w:pPr>
            <w:r w:rsidRPr="00C96C2C">
              <w:t>32 hrs.</w:t>
            </w:r>
          </w:p>
          <w:p w:rsidR="00C96C2C" w:rsidRPr="00C96C2C" w:rsidP="00C96C2C" w14:paraId="74387379" w14:textId="77777777">
            <w:pPr>
              <w:jc w:val="center"/>
            </w:pPr>
            <w:r w:rsidRPr="00C96C2C">
              <w:t>$2,784</w:t>
            </w:r>
          </w:p>
        </w:tc>
        <w:tc>
          <w:tcPr>
            <w:tcW w:w="1913" w:type="dxa"/>
          </w:tcPr>
          <w:p w:rsidR="00C96C2C" w:rsidRPr="00C96C2C" w:rsidP="00C96C2C" w14:paraId="34B2D262" w14:textId="77777777">
            <w:pPr>
              <w:jc w:val="center"/>
            </w:pPr>
            <w:r w:rsidRPr="00C96C2C">
              <w:t>5,376 hrs.</w:t>
            </w:r>
          </w:p>
          <w:p w:rsidR="00C96C2C" w:rsidRPr="00C96C2C" w:rsidP="00C96C2C" w14:paraId="4B3DC2F5" w14:textId="77777777">
            <w:pPr>
              <w:jc w:val="center"/>
            </w:pPr>
            <w:r w:rsidRPr="00C96C2C">
              <w:t>$467,712</w:t>
            </w:r>
          </w:p>
        </w:tc>
      </w:tr>
      <w:tr w14:paraId="5820B833" w14:textId="77777777" w:rsidTr="00C96C2C">
        <w:tblPrEx>
          <w:tblW w:w="10278" w:type="dxa"/>
          <w:tblLayout w:type="fixed"/>
          <w:tblLook w:val="04A0"/>
        </w:tblPrEx>
        <w:tc>
          <w:tcPr>
            <w:tcW w:w="10278" w:type="dxa"/>
            <w:gridSpan w:val="6"/>
            <w:shd w:val="clear" w:color="auto" w:fill="D9D9D9"/>
          </w:tcPr>
          <w:p w:rsidR="00C96C2C" w:rsidRPr="00C96C2C" w:rsidP="00C96C2C" w14:paraId="4045FDA7" w14:textId="77777777">
            <w:pPr>
              <w:rPr>
                <w:b/>
              </w:rPr>
            </w:pPr>
            <w:r w:rsidRPr="00C96C2C">
              <w:rPr>
                <w:b/>
              </w:rPr>
              <w:t>Ongoing Estimate Year 3 ongoing</w:t>
            </w:r>
          </w:p>
        </w:tc>
      </w:tr>
      <w:tr w14:paraId="04AFE7A5" w14:textId="77777777" w:rsidTr="003E31AC">
        <w:tblPrEx>
          <w:tblW w:w="10278" w:type="dxa"/>
          <w:tblLayout w:type="fixed"/>
          <w:tblLook w:val="04A0"/>
        </w:tblPrEx>
        <w:tc>
          <w:tcPr>
            <w:tcW w:w="2109" w:type="dxa"/>
          </w:tcPr>
          <w:p w:rsidR="00C96C2C" w:rsidRPr="00C96C2C" w:rsidP="00C96C2C" w14:paraId="7A474FC5" w14:textId="77777777">
            <w:r w:rsidRPr="00C96C2C">
              <w:t>FAC-011-4</w:t>
            </w:r>
          </w:p>
        </w:tc>
        <w:tc>
          <w:tcPr>
            <w:tcW w:w="1480" w:type="dxa"/>
          </w:tcPr>
          <w:p w:rsidR="00C96C2C" w:rsidRPr="00C96C2C" w:rsidP="00C96C2C" w14:paraId="1CCC3134" w14:textId="77777777">
            <w:r w:rsidRPr="00C96C2C">
              <w:t>RC (12)</w:t>
            </w:r>
          </w:p>
        </w:tc>
        <w:tc>
          <w:tcPr>
            <w:tcW w:w="1360" w:type="dxa"/>
          </w:tcPr>
          <w:p w:rsidR="00C96C2C" w:rsidRPr="00C96C2C" w:rsidP="00C96C2C" w14:paraId="60885C73" w14:textId="77777777">
            <w:pPr>
              <w:jc w:val="center"/>
            </w:pPr>
            <w:r w:rsidRPr="00C96C2C">
              <w:t>1</w:t>
            </w:r>
          </w:p>
        </w:tc>
        <w:tc>
          <w:tcPr>
            <w:tcW w:w="1406" w:type="dxa"/>
          </w:tcPr>
          <w:p w:rsidR="00C96C2C" w:rsidRPr="00C96C2C" w:rsidP="00C96C2C" w14:paraId="6A4F8955" w14:textId="77777777">
            <w:pPr>
              <w:jc w:val="center"/>
            </w:pPr>
            <w:r w:rsidRPr="00C96C2C">
              <w:t>12</w:t>
            </w:r>
          </w:p>
        </w:tc>
        <w:tc>
          <w:tcPr>
            <w:tcW w:w="2010" w:type="dxa"/>
          </w:tcPr>
          <w:p w:rsidR="00C96C2C" w:rsidRPr="00C96C2C" w:rsidP="00C96C2C" w14:paraId="08546EC1" w14:textId="77777777">
            <w:pPr>
              <w:jc w:val="center"/>
            </w:pPr>
            <w:r w:rsidRPr="00C96C2C">
              <w:t>16 hrs.</w:t>
            </w:r>
          </w:p>
          <w:p w:rsidR="00C96C2C" w:rsidRPr="00C96C2C" w:rsidP="00C96C2C" w14:paraId="2A2992AB" w14:textId="77777777">
            <w:pPr>
              <w:jc w:val="center"/>
            </w:pPr>
            <w:r w:rsidRPr="00C96C2C">
              <w:t>$1,392</w:t>
            </w:r>
          </w:p>
        </w:tc>
        <w:tc>
          <w:tcPr>
            <w:tcW w:w="1913" w:type="dxa"/>
          </w:tcPr>
          <w:p w:rsidR="00C96C2C" w:rsidRPr="00C96C2C" w:rsidP="00C96C2C" w14:paraId="17EC7893" w14:textId="77777777">
            <w:pPr>
              <w:jc w:val="center"/>
            </w:pPr>
            <w:r w:rsidRPr="00C96C2C">
              <w:t>192 hrs.</w:t>
            </w:r>
          </w:p>
          <w:p w:rsidR="00C96C2C" w:rsidRPr="00C96C2C" w:rsidP="00C96C2C" w14:paraId="65DA59B2" w14:textId="77777777">
            <w:pPr>
              <w:jc w:val="center"/>
            </w:pPr>
            <w:r w:rsidRPr="00C96C2C">
              <w:t>$16,704</w:t>
            </w:r>
          </w:p>
        </w:tc>
      </w:tr>
      <w:tr w14:paraId="1F2E82D2" w14:textId="77777777" w:rsidTr="003E31AC">
        <w:tblPrEx>
          <w:tblW w:w="10278" w:type="dxa"/>
          <w:tblLayout w:type="fixed"/>
          <w:tblLook w:val="04A0"/>
        </w:tblPrEx>
        <w:tc>
          <w:tcPr>
            <w:tcW w:w="2109" w:type="dxa"/>
          </w:tcPr>
          <w:p w:rsidR="00C96C2C" w:rsidRPr="00C96C2C" w:rsidP="00C96C2C" w14:paraId="6B566095" w14:textId="77777777">
            <w:r w:rsidRPr="00C96C2C">
              <w:t>FAC-014-3</w:t>
            </w:r>
          </w:p>
        </w:tc>
        <w:tc>
          <w:tcPr>
            <w:tcW w:w="1480" w:type="dxa"/>
          </w:tcPr>
          <w:p w:rsidR="00C96C2C" w:rsidRPr="00C96C2C" w:rsidP="00C96C2C" w14:paraId="6BC42472" w14:textId="77777777">
            <w:r w:rsidRPr="00C96C2C">
              <w:t>RC (12)</w:t>
            </w:r>
          </w:p>
        </w:tc>
        <w:tc>
          <w:tcPr>
            <w:tcW w:w="1360" w:type="dxa"/>
          </w:tcPr>
          <w:p w:rsidR="00C96C2C" w:rsidRPr="00C96C2C" w:rsidP="00C96C2C" w14:paraId="5EB70E0B" w14:textId="77777777">
            <w:pPr>
              <w:jc w:val="center"/>
            </w:pPr>
            <w:r w:rsidRPr="00C96C2C">
              <w:t>1</w:t>
            </w:r>
          </w:p>
        </w:tc>
        <w:tc>
          <w:tcPr>
            <w:tcW w:w="1406" w:type="dxa"/>
          </w:tcPr>
          <w:p w:rsidR="00C96C2C" w:rsidRPr="00C96C2C" w:rsidP="00C96C2C" w14:paraId="2FA293BD" w14:textId="77777777">
            <w:pPr>
              <w:jc w:val="center"/>
            </w:pPr>
            <w:r w:rsidRPr="00C96C2C">
              <w:t>12</w:t>
            </w:r>
          </w:p>
        </w:tc>
        <w:tc>
          <w:tcPr>
            <w:tcW w:w="2010" w:type="dxa"/>
          </w:tcPr>
          <w:p w:rsidR="00C96C2C" w:rsidRPr="00C96C2C" w:rsidP="00C96C2C" w14:paraId="0B0A880A" w14:textId="77777777">
            <w:pPr>
              <w:jc w:val="center"/>
            </w:pPr>
            <w:r w:rsidRPr="00C96C2C">
              <w:t>16 hrs.</w:t>
            </w:r>
          </w:p>
          <w:p w:rsidR="00C96C2C" w:rsidRPr="00C96C2C" w:rsidP="00C96C2C" w14:paraId="2E119AF6" w14:textId="77777777">
            <w:pPr>
              <w:jc w:val="center"/>
            </w:pPr>
            <w:r w:rsidRPr="00C96C2C">
              <w:t>$1,392</w:t>
            </w:r>
          </w:p>
        </w:tc>
        <w:tc>
          <w:tcPr>
            <w:tcW w:w="1913" w:type="dxa"/>
          </w:tcPr>
          <w:p w:rsidR="00C96C2C" w:rsidRPr="00C96C2C" w:rsidP="00C96C2C" w14:paraId="74729319" w14:textId="77777777">
            <w:pPr>
              <w:jc w:val="center"/>
            </w:pPr>
            <w:r w:rsidRPr="00C96C2C">
              <w:t>192 hrs.</w:t>
            </w:r>
          </w:p>
          <w:p w:rsidR="00C96C2C" w:rsidRPr="00C96C2C" w:rsidP="00C96C2C" w14:paraId="6A822E13" w14:textId="77777777">
            <w:pPr>
              <w:jc w:val="center"/>
            </w:pPr>
            <w:r w:rsidRPr="00C96C2C">
              <w:t>$16,704</w:t>
            </w:r>
          </w:p>
        </w:tc>
      </w:tr>
      <w:tr w14:paraId="180D1644" w14:textId="77777777" w:rsidTr="003E31AC">
        <w:tblPrEx>
          <w:tblW w:w="10278" w:type="dxa"/>
          <w:tblLayout w:type="fixed"/>
          <w:tblLook w:val="04A0"/>
        </w:tblPrEx>
        <w:tc>
          <w:tcPr>
            <w:tcW w:w="2109" w:type="dxa"/>
          </w:tcPr>
          <w:p w:rsidR="00C96C2C" w:rsidRPr="00C96C2C" w:rsidP="00C96C2C" w14:paraId="565D65B0" w14:textId="77777777">
            <w:r w:rsidRPr="00C96C2C">
              <w:t>FAC-014-3</w:t>
            </w:r>
          </w:p>
        </w:tc>
        <w:tc>
          <w:tcPr>
            <w:tcW w:w="1480" w:type="dxa"/>
          </w:tcPr>
          <w:p w:rsidR="00C96C2C" w:rsidRPr="00C96C2C" w:rsidP="00C96C2C" w14:paraId="58130201" w14:textId="77777777">
            <w:r w:rsidRPr="00C96C2C">
              <w:t>PA/PC (63)</w:t>
            </w:r>
          </w:p>
        </w:tc>
        <w:tc>
          <w:tcPr>
            <w:tcW w:w="1360" w:type="dxa"/>
          </w:tcPr>
          <w:p w:rsidR="00C96C2C" w:rsidRPr="00C96C2C" w:rsidP="00C96C2C" w14:paraId="6C40BDDF" w14:textId="77777777">
            <w:pPr>
              <w:jc w:val="center"/>
            </w:pPr>
            <w:r w:rsidRPr="00C96C2C">
              <w:t>1</w:t>
            </w:r>
          </w:p>
        </w:tc>
        <w:tc>
          <w:tcPr>
            <w:tcW w:w="1406" w:type="dxa"/>
          </w:tcPr>
          <w:p w:rsidR="00C96C2C" w:rsidRPr="00C96C2C" w:rsidP="00C96C2C" w14:paraId="0AC1083B" w14:textId="77777777">
            <w:pPr>
              <w:jc w:val="center"/>
            </w:pPr>
            <w:r w:rsidRPr="00C96C2C">
              <w:t>63</w:t>
            </w:r>
          </w:p>
        </w:tc>
        <w:tc>
          <w:tcPr>
            <w:tcW w:w="2010" w:type="dxa"/>
          </w:tcPr>
          <w:p w:rsidR="00C96C2C" w:rsidRPr="00C96C2C" w:rsidP="00C96C2C" w14:paraId="2A65686C" w14:textId="77777777">
            <w:pPr>
              <w:jc w:val="center"/>
            </w:pPr>
            <w:r w:rsidRPr="00C96C2C">
              <w:t>16 hrs.</w:t>
            </w:r>
          </w:p>
          <w:p w:rsidR="00C96C2C" w:rsidRPr="00C96C2C" w:rsidP="00C96C2C" w14:paraId="0F63B86D" w14:textId="77777777">
            <w:pPr>
              <w:jc w:val="center"/>
            </w:pPr>
            <w:r w:rsidRPr="00C96C2C">
              <w:t>$1,392</w:t>
            </w:r>
          </w:p>
        </w:tc>
        <w:tc>
          <w:tcPr>
            <w:tcW w:w="1913" w:type="dxa"/>
          </w:tcPr>
          <w:p w:rsidR="00C96C2C" w:rsidRPr="00C96C2C" w:rsidP="00C96C2C" w14:paraId="7FA6E21E" w14:textId="77777777">
            <w:pPr>
              <w:jc w:val="center"/>
            </w:pPr>
            <w:r w:rsidRPr="00C96C2C">
              <w:t>1,008 hrs.</w:t>
            </w:r>
          </w:p>
          <w:p w:rsidR="00C96C2C" w:rsidRPr="00C96C2C" w:rsidP="00C96C2C" w14:paraId="403DA5C4" w14:textId="77777777">
            <w:pPr>
              <w:jc w:val="center"/>
            </w:pPr>
            <w:r w:rsidRPr="00C96C2C">
              <w:t>$87,696</w:t>
            </w:r>
          </w:p>
        </w:tc>
      </w:tr>
      <w:tr w14:paraId="0E4852C1" w14:textId="77777777" w:rsidTr="003E31AC">
        <w:tblPrEx>
          <w:tblW w:w="10278" w:type="dxa"/>
          <w:tblLayout w:type="fixed"/>
          <w:tblLook w:val="04A0"/>
        </w:tblPrEx>
        <w:tc>
          <w:tcPr>
            <w:tcW w:w="2109" w:type="dxa"/>
          </w:tcPr>
          <w:p w:rsidR="00C96C2C" w:rsidRPr="00C96C2C" w:rsidP="00C96C2C" w14:paraId="491BDBCF" w14:textId="77777777">
            <w:r w:rsidRPr="00C96C2C">
              <w:t>FAC-014-3</w:t>
            </w:r>
          </w:p>
        </w:tc>
        <w:tc>
          <w:tcPr>
            <w:tcW w:w="1480" w:type="dxa"/>
          </w:tcPr>
          <w:p w:rsidR="00C96C2C" w:rsidRPr="00C96C2C" w:rsidP="00C96C2C" w14:paraId="4CCC7B60" w14:textId="77777777">
            <w:r w:rsidRPr="00C96C2C">
              <w:t>TP (204)</w:t>
            </w:r>
          </w:p>
        </w:tc>
        <w:tc>
          <w:tcPr>
            <w:tcW w:w="1360" w:type="dxa"/>
          </w:tcPr>
          <w:p w:rsidR="00C96C2C" w:rsidRPr="00C96C2C" w:rsidP="00C96C2C" w14:paraId="5BA5F049" w14:textId="77777777">
            <w:pPr>
              <w:jc w:val="center"/>
            </w:pPr>
            <w:r w:rsidRPr="00C96C2C">
              <w:t>1</w:t>
            </w:r>
          </w:p>
        </w:tc>
        <w:tc>
          <w:tcPr>
            <w:tcW w:w="1406" w:type="dxa"/>
          </w:tcPr>
          <w:p w:rsidR="00C96C2C" w:rsidRPr="00C96C2C" w:rsidP="00C96C2C" w14:paraId="07FFF544" w14:textId="77777777">
            <w:pPr>
              <w:jc w:val="center"/>
            </w:pPr>
            <w:r w:rsidRPr="00C96C2C">
              <w:t>204</w:t>
            </w:r>
          </w:p>
        </w:tc>
        <w:tc>
          <w:tcPr>
            <w:tcW w:w="2010" w:type="dxa"/>
          </w:tcPr>
          <w:p w:rsidR="00C96C2C" w:rsidRPr="00C96C2C" w:rsidP="00C96C2C" w14:paraId="0170F5E4" w14:textId="77777777">
            <w:pPr>
              <w:jc w:val="center"/>
            </w:pPr>
            <w:r w:rsidRPr="00C96C2C">
              <w:t>16 hrs.</w:t>
            </w:r>
          </w:p>
          <w:p w:rsidR="00C96C2C" w:rsidRPr="00C96C2C" w:rsidP="00C96C2C" w14:paraId="6595EA8B" w14:textId="77777777">
            <w:pPr>
              <w:jc w:val="center"/>
            </w:pPr>
            <w:r w:rsidRPr="00C96C2C">
              <w:t>$1,392</w:t>
            </w:r>
          </w:p>
        </w:tc>
        <w:tc>
          <w:tcPr>
            <w:tcW w:w="1913" w:type="dxa"/>
          </w:tcPr>
          <w:p w:rsidR="00C96C2C" w:rsidRPr="00C96C2C" w:rsidP="00C96C2C" w14:paraId="4353B19C" w14:textId="77777777">
            <w:pPr>
              <w:jc w:val="center"/>
            </w:pPr>
            <w:r w:rsidRPr="00C96C2C">
              <w:t>3,264 hrs.</w:t>
            </w:r>
          </w:p>
          <w:p w:rsidR="00C96C2C" w:rsidRPr="00C96C2C" w:rsidP="00C96C2C" w14:paraId="7CD18E2D" w14:textId="77777777">
            <w:pPr>
              <w:jc w:val="center"/>
            </w:pPr>
            <w:r w:rsidRPr="00C96C2C">
              <w:t>$334,080</w:t>
            </w:r>
          </w:p>
        </w:tc>
      </w:tr>
      <w:tr w14:paraId="0E9A52D2" w14:textId="77777777" w:rsidTr="003E31AC">
        <w:tblPrEx>
          <w:tblW w:w="10278" w:type="dxa"/>
          <w:tblLayout w:type="fixed"/>
          <w:tblLook w:val="04A0"/>
        </w:tblPrEx>
        <w:tc>
          <w:tcPr>
            <w:tcW w:w="2109" w:type="dxa"/>
          </w:tcPr>
          <w:p w:rsidR="00C96C2C" w:rsidRPr="00C96C2C" w:rsidP="00C96C2C" w14:paraId="079B7A14" w14:textId="77777777">
            <w:r w:rsidRPr="00C96C2C">
              <w:t>FAC-014-3</w:t>
            </w:r>
          </w:p>
        </w:tc>
        <w:tc>
          <w:tcPr>
            <w:tcW w:w="1480" w:type="dxa"/>
          </w:tcPr>
          <w:p w:rsidR="00C96C2C" w:rsidRPr="00C96C2C" w:rsidP="00C96C2C" w14:paraId="72A6FB13" w14:textId="77777777">
            <w:r w:rsidRPr="00C96C2C">
              <w:t>TOP (168)</w:t>
            </w:r>
          </w:p>
        </w:tc>
        <w:tc>
          <w:tcPr>
            <w:tcW w:w="1360" w:type="dxa"/>
          </w:tcPr>
          <w:p w:rsidR="00C96C2C" w:rsidRPr="00C96C2C" w:rsidP="00C96C2C" w14:paraId="0AFAEF62" w14:textId="77777777">
            <w:pPr>
              <w:jc w:val="center"/>
            </w:pPr>
            <w:r w:rsidRPr="00C96C2C">
              <w:t>1</w:t>
            </w:r>
          </w:p>
        </w:tc>
        <w:tc>
          <w:tcPr>
            <w:tcW w:w="1406" w:type="dxa"/>
          </w:tcPr>
          <w:p w:rsidR="00C96C2C" w:rsidRPr="00C96C2C" w:rsidP="00C96C2C" w14:paraId="57BE303B" w14:textId="77777777">
            <w:pPr>
              <w:jc w:val="center"/>
            </w:pPr>
            <w:r w:rsidRPr="00C96C2C">
              <w:t>168</w:t>
            </w:r>
          </w:p>
        </w:tc>
        <w:tc>
          <w:tcPr>
            <w:tcW w:w="2010" w:type="dxa"/>
          </w:tcPr>
          <w:p w:rsidR="00C96C2C" w:rsidRPr="00C96C2C" w:rsidP="00C96C2C" w14:paraId="364D3907" w14:textId="77777777">
            <w:pPr>
              <w:jc w:val="center"/>
            </w:pPr>
            <w:r w:rsidRPr="00C96C2C">
              <w:t>16 hrs.</w:t>
            </w:r>
          </w:p>
          <w:p w:rsidR="00C96C2C" w:rsidRPr="00C96C2C" w:rsidP="00C96C2C" w14:paraId="4B91831B" w14:textId="77777777">
            <w:pPr>
              <w:jc w:val="center"/>
            </w:pPr>
            <w:r w:rsidRPr="00C96C2C">
              <w:t>$1,392</w:t>
            </w:r>
          </w:p>
        </w:tc>
        <w:tc>
          <w:tcPr>
            <w:tcW w:w="1913" w:type="dxa"/>
          </w:tcPr>
          <w:p w:rsidR="00C96C2C" w:rsidRPr="00C96C2C" w:rsidP="00C96C2C" w14:paraId="285F7A2D" w14:textId="77777777">
            <w:pPr>
              <w:jc w:val="center"/>
            </w:pPr>
            <w:r w:rsidRPr="00C96C2C">
              <w:t>2,688 hrs.</w:t>
            </w:r>
          </w:p>
          <w:p w:rsidR="00C96C2C" w:rsidRPr="00C96C2C" w:rsidP="00C96C2C" w14:paraId="71DEE23E" w14:textId="77777777">
            <w:pPr>
              <w:jc w:val="center"/>
            </w:pPr>
            <w:r w:rsidRPr="00C96C2C">
              <w:t>$233,856</w:t>
            </w:r>
          </w:p>
        </w:tc>
      </w:tr>
      <w:tr w14:paraId="2E1083B9" w14:textId="77777777" w:rsidTr="003E31AC">
        <w:tblPrEx>
          <w:tblW w:w="10278" w:type="dxa"/>
          <w:tblLayout w:type="fixed"/>
          <w:tblLook w:val="04A0"/>
        </w:tblPrEx>
        <w:tc>
          <w:tcPr>
            <w:tcW w:w="2109" w:type="dxa"/>
          </w:tcPr>
          <w:p w:rsidR="00C96C2C" w:rsidRPr="00C96C2C" w:rsidP="00C96C2C" w14:paraId="51680426" w14:textId="77777777">
            <w:pPr>
              <w:rPr>
                <w:b/>
              </w:rPr>
            </w:pPr>
            <w:r w:rsidRPr="00C96C2C">
              <w:rPr>
                <w:b/>
              </w:rPr>
              <w:t>Sub-Total for FERC-725D</w:t>
            </w:r>
          </w:p>
        </w:tc>
        <w:tc>
          <w:tcPr>
            <w:tcW w:w="1480" w:type="dxa"/>
          </w:tcPr>
          <w:p w:rsidR="00C96C2C" w:rsidRPr="00C96C2C" w:rsidP="00C96C2C" w14:paraId="1E74190C" w14:textId="77777777">
            <w:pPr>
              <w:rPr>
                <w:b/>
              </w:rPr>
            </w:pPr>
          </w:p>
        </w:tc>
        <w:tc>
          <w:tcPr>
            <w:tcW w:w="1360" w:type="dxa"/>
          </w:tcPr>
          <w:p w:rsidR="00C96C2C" w:rsidRPr="00C96C2C" w:rsidP="00C96C2C" w14:paraId="66F1A2C5" w14:textId="77777777">
            <w:pPr>
              <w:jc w:val="center"/>
            </w:pPr>
          </w:p>
        </w:tc>
        <w:tc>
          <w:tcPr>
            <w:tcW w:w="1406" w:type="dxa"/>
          </w:tcPr>
          <w:p w:rsidR="00C96C2C" w:rsidRPr="00C96C2C" w:rsidP="00C96C2C" w14:paraId="5EFE4F5C" w14:textId="77777777">
            <w:pPr>
              <w:jc w:val="center"/>
              <w:rPr>
                <w:b/>
              </w:rPr>
            </w:pPr>
            <w:r w:rsidRPr="00C96C2C">
              <w:rPr>
                <w:b/>
              </w:rPr>
              <w:t>918</w:t>
            </w:r>
          </w:p>
        </w:tc>
        <w:tc>
          <w:tcPr>
            <w:tcW w:w="2010" w:type="dxa"/>
          </w:tcPr>
          <w:p w:rsidR="00C96C2C" w:rsidRPr="00C96C2C" w:rsidP="00C96C2C" w14:paraId="5D37568F" w14:textId="77777777">
            <w:pPr>
              <w:jc w:val="center"/>
            </w:pPr>
          </w:p>
        </w:tc>
        <w:tc>
          <w:tcPr>
            <w:tcW w:w="1913" w:type="dxa"/>
          </w:tcPr>
          <w:p w:rsidR="00C96C2C" w:rsidRPr="00C96C2C" w:rsidP="00C96C2C" w14:paraId="2F00997F" w14:textId="77777777">
            <w:pPr>
              <w:jc w:val="center"/>
              <w:rPr>
                <w:b/>
              </w:rPr>
            </w:pPr>
            <w:r w:rsidRPr="00C96C2C">
              <w:rPr>
                <w:b/>
              </w:rPr>
              <w:t>41,232hrs</w:t>
            </w:r>
          </w:p>
          <w:p w:rsidR="00C96C2C" w:rsidRPr="00C96C2C" w:rsidP="00C96C2C" w14:paraId="450D660B" w14:textId="77777777">
            <w:pPr>
              <w:jc w:val="center"/>
              <w:rPr>
                <w:b/>
              </w:rPr>
            </w:pPr>
            <w:r w:rsidRPr="00C96C2C">
              <w:rPr>
                <w:b/>
              </w:rPr>
              <w:t>$3,637,296</w:t>
            </w:r>
          </w:p>
        </w:tc>
      </w:tr>
      <w:tr w14:paraId="131310A9" w14:textId="77777777" w:rsidTr="00C96C2C">
        <w:tblPrEx>
          <w:tblW w:w="10278" w:type="dxa"/>
          <w:tblLayout w:type="fixed"/>
          <w:tblLook w:val="04A0"/>
        </w:tblPrEx>
        <w:tc>
          <w:tcPr>
            <w:tcW w:w="10278" w:type="dxa"/>
            <w:gridSpan w:val="6"/>
            <w:shd w:val="clear" w:color="auto" w:fill="D9D9D9"/>
          </w:tcPr>
          <w:p w:rsidR="00C96C2C" w:rsidRPr="00C96C2C" w:rsidP="00C96C2C" w14:paraId="4A9A0DDF" w14:textId="77777777">
            <w:pPr>
              <w:jc w:val="center"/>
              <w:rPr>
                <w:b/>
              </w:rPr>
            </w:pPr>
            <w:r w:rsidRPr="00C96C2C">
              <w:rPr>
                <w:b/>
              </w:rPr>
              <w:t>FERC-725M</w:t>
            </w:r>
            <w:r>
              <w:rPr>
                <w:b/>
                <w:szCs w:val="26"/>
                <w:vertAlign w:val="superscript"/>
              </w:rPr>
              <w:footnoteReference w:id="16"/>
            </w:r>
          </w:p>
        </w:tc>
      </w:tr>
      <w:tr w14:paraId="1BD7A199" w14:textId="77777777" w:rsidTr="00C96C2C">
        <w:tblPrEx>
          <w:tblW w:w="10278" w:type="dxa"/>
          <w:tblLayout w:type="fixed"/>
          <w:tblLook w:val="04A0"/>
        </w:tblPrEx>
        <w:tc>
          <w:tcPr>
            <w:tcW w:w="10278" w:type="dxa"/>
            <w:gridSpan w:val="6"/>
            <w:shd w:val="clear" w:color="auto" w:fill="D9D9D9"/>
          </w:tcPr>
          <w:p w:rsidR="00C96C2C" w:rsidRPr="00C96C2C" w:rsidP="00C96C2C" w14:paraId="5D72E568" w14:textId="77777777">
            <w:pPr>
              <w:rPr>
                <w:b/>
              </w:rPr>
            </w:pPr>
            <w:r w:rsidRPr="00C96C2C">
              <w:rPr>
                <w:b/>
              </w:rPr>
              <w:t>One Time Estimate Years 1 and 2</w:t>
            </w:r>
          </w:p>
        </w:tc>
      </w:tr>
      <w:tr w14:paraId="2D708F24" w14:textId="77777777" w:rsidTr="003E31AC">
        <w:tblPrEx>
          <w:tblW w:w="10278" w:type="dxa"/>
          <w:tblLayout w:type="fixed"/>
          <w:tblLook w:val="04A0"/>
        </w:tblPrEx>
        <w:trPr>
          <w:trHeight w:val="350"/>
        </w:trPr>
        <w:tc>
          <w:tcPr>
            <w:tcW w:w="2109" w:type="dxa"/>
            <w:shd w:val="clear" w:color="auto" w:fill="auto"/>
          </w:tcPr>
          <w:p w:rsidR="00C96C2C" w:rsidRPr="00C96C2C" w:rsidP="00C96C2C" w14:paraId="3A5F23C1" w14:textId="77777777">
            <w:r w:rsidRPr="00C96C2C">
              <w:t>FAC-003-5</w:t>
            </w:r>
          </w:p>
        </w:tc>
        <w:tc>
          <w:tcPr>
            <w:tcW w:w="1480" w:type="dxa"/>
            <w:shd w:val="clear" w:color="auto" w:fill="auto"/>
          </w:tcPr>
          <w:p w:rsidR="00C96C2C" w:rsidRPr="00C96C2C" w:rsidP="00C96C2C" w14:paraId="6EEB6D4A" w14:textId="77777777">
            <w:r w:rsidRPr="00C96C2C">
              <w:t>TO (325)</w:t>
            </w:r>
          </w:p>
        </w:tc>
        <w:tc>
          <w:tcPr>
            <w:tcW w:w="1360" w:type="dxa"/>
            <w:shd w:val="clear" w:color="auto" w:fill="auto"/>
          </w:tcPr>
          <w:p w:rsidR="00C96C2C" w:rsidRPr="00C96C2C" w:rsidP="00C96C2C" w14:paraId="58CCA957" w14:textId="77777777">
            <w:pPr>
              <w:jc w:val="center"/>
              <w:rPr>
                <w:bCs/>
              </w:rPr>
            </w:pPr>
            <w:r w:rsidRPr="00C96C2C">
              <w:rPr>
                <w:bCs/>
              </w:rPr>
              <w:t>4</w:t>
            </w:r>
          </w:p>
        </w:tc>
        <w:tc>
          <w:tcPr>
            <w:tcW w:w="1406" w:type="dxa"/>
            <w:shd w:val="clear" w:color="auto" w:fill="auto"/>
          </w:tcPr>
          <w:p w:rsidR="00C96C2C" w:rsidRPr="00C96C2C" w:rsidP="00C96C2C" w14:paraId="3E895961" w14:textId="77777777">
            <w:pPr>
              <w:jc w:val="center"/>
              <w:rPr>
                <w:bCs/>
              </w:rPr>
            </w:pPr>
            <w:r w:rsidRPr="00C96C2C">
              <w:rPr>
                <w:bCs/>
              </w:rPr>
              <w:t>1,300</w:t>
            </w:r>
          </w:p>
        </w:tc>
        <w:tc>
          <w:tcPr>
            <w:tcW w:w="2010" w:type="dxa"/>
            <w:shd w:val="clear" w:color="auto" w:fill="auto"/>
          </w:tcPr>
          <w:p w:rsidR="00C96C2C" w:rsidRPr="00C96C2C" w:rsidP="00C96C2C" w14:paraId="3636B1DC" w14:textId="77777777">
            <w:pPr>
              <w:jc w:val="center"/>
              <w:rPr>
                <w:bCs/>
              </w:rPr>
            </w:pPr>
            <w:r w:rsidRPr="00C96C2C">
              <w:rPr>
                <w:bCs/>
              </w:rPr>
              <w:t>8 hrs.</w:t>
            </w:r>
          </w:p>
          <w:p w:rsidR="00C96C2C" w:rsidRPr="00C96C2C" w:rsidP="00C96C2C" w14:paraId="6B5213AB" w14:textId="77777777">
            <w:pPr>
              <w:jc w:val="center"/>
              <w:rPr>
                <w:bCs/>
              </w:rPr>
            </w:pPr>
            <w:r w:rsidRPr="00C96C2C">
              <w:rPr>
                <w:bCs/>
              </w:rPr>
              <w:t>$696</w:t>
            </w:r>
          </w:p>
        </w:tc>
        <w:tc>
          <w:tcPr>
            <w:tcW w:w="1913" w:type="dxa"/>
            <w:shd w:val="clear" w:color="auto" w:fill="auto"/>
          </w:tcPr>
          <w:p w:rsidR="00C96C2C" w:rsidRPr="00C96C2C" w:rsidP="00C96C2C" w14:paraId="46C983A7" w14:textId="77777777">
            <w:pPr>
              <w:jc w:val="center"/>
              <w:rPr>
                <w:bCs/>
              </w:rPr>
            </w:pPr>
            <w:r w:rsidRPr="00C96C2C">
              <w:rPr>
                <w:bCs/>
              </w:rPr>
              <w:t>10,400 hrs.</w:t>
            </w:r>
          </w:p>
          <w:p w:rsidR="00C96C2C" w:rsidRPr="00C96C2C" w:rsidP="00C96C2C" w14:paraId="3BCC7350" w14:textId="77777777">
            <w:pPr>
              <w:jc w:val="center"/>
              <w:rPr>
                <w:bCs/>
              </w:rPr>
            </w:pPr>
            <w:r w:rsidRPr="00C96C2C">
              <w:rPr>
                <w:bCs/>
              </w:rPr>
              <w:t>$904,800</w:t>
            </w:r>
          </w:p>
        </w:tc>
      </w:tr>
      <w:tr w14:paraId="48E553CE" w14:textId="77777777" w:rsidTr="003E31AC">
        <w:tblPrEx>
          <w:tblW w:w="10278" w:type="dxa"/>
          <w:tblLayout w:type="fixed"/>
          <w:tblLook w:val="04A0"/>
        </w:tblPrEx>
        <w:tc>
          <w:tcPr>
            <w:tcW w:w="2109" w:type="dxa"/>
            <w:shd w:val="clear" w:color="auto" w:fill="auto"/>
          </w:tcPr>
          <w:p w:rsidR="00C96C2C" w:rsidRPr="00C96C2C" w:rsidP="00C96C2C" w14:paraId="52303211" w14:textId="77777777">
            <w:r w:rsidRPr="00C96C2C">
              <w:t>FAC-003-5</w:t>
            </w:r>
          </w:p>
        </w:tc>
        <w:tc>
          <w:tcPr>
            <w:tcW w:w="1480" w:type="dxa"/>
            <w:shd w:val="clear" w:color="auto" w:fill="auto"/>
          </w:tcPr>
          <w:p w:rsidR="00C96C2C" w:rsidRPr="00C96C2C" w:rsidP="00C96C2C" w14:paraId="1DFD95C9" w14:textId="77777777">
            <w:r w:rsidRPr="00C96C2C">
              <w:t>GO (1068)</w:t>
            </w:r>
          </w:p>
        </w:tc>
        <w:tc>
          <w:tcPr>
            <w:tcW w:w="1360" w:type="dxa"/>
            <w:shd w:val="clear" w:color="auto" w:fill="auto"/>
          </w:tcPr>
          <w:p w:rsidR="00C96C2C" w:rsidRPr="00C96C2C" w:rsidP="00C96C2C" w14:paraId="2468112B" w14:textId="77777777">
            <w:pPr>
              <w:jc w:val="center"/>
              <w:rPr>
                <w:bCs/>
              </w:rPr>
            </w:pPr>
            <w:r w:rsidRPr="00C96C2C">
              <w:rPr>
                <w:bCs/>
              </w:rPr>
              <w:t>4</w:t>
            </w:r>
          </w:p>
        </w:tc>
        <w:tc>
          <w:tcPr>
            <w:tcW w:w="1406" w:type="dxa"/>
            <w:shd w:val="clear" w:color="auto" w:fill="auto"/>
          </w:tcPr>
          <w:p w:rsidR="00C96C2C" w:rsidRPr="00C96C2C" w:rsidP="00C96C2C" w14:paraId="47676D98" w14:textId="77777777">
            <w:pPr>
              <w:jc w:val="center"/>
              <w:rPr>
                <w:bCs/>
              </w:rPr>
            </w:pPr>
            <w:r w:rsidRPr="00C96C2C">
              <w:rPr>
                <w:bCs/>
              </w:rPr>
              <w:t>4,272</w:t>
            </w:r>
          </w:p>
        </w:tc>
        <w:tc>
          <w:tcPr>
            <w:tcW w:w="2010" w:type="dxa"/>
            <w:shd w:val="clear" w:color="auto" w:fill="auto"/>
          </w:tcPr>
          <w:p w:rsidR="00C96C2C" w:rsidRPr="00C96C2C" w:rsidP="00C96C2C" w14:paraId="65E44B4A" w14:textId="77777777">
            <w:pPr>
              <w:jc w:val="center"/>
              <w:rPr>
                <w:bCs/>
              </w:rPr>
            </w:pPr>
            <w:r w:rsidRPr="00C96C2C">
              <w:rPr>
                <w:bCs/>
              </w:rPr>
              <w:t>8 hrs.</w:t>
            </w:r>
          </w:p>
          <w:p w:rsidR="00C96C2C" w:rsidRPr="00C96C2C" w:rsidP="00C96C2C" w14:paraId="02294561" w14:textId="77777777">
            <w:pPr>
              <w:jc w:val="center"/>
              <w:rPr>
                <w:bCs/>
              </w:rPr>
            </w:pPr>
            <w:r w:rsidRPr="00C96C2C">
              <w:rPr>
                <w:bCs/>
              </w:rPr>
              <w:t>$696</w:t>
            </w:r>
          </w:p>
        </w:tc>
        <w:tc>
          <w:tcPr>
            <w:tcW w:w="1913" w:type="dxa"/>
            <w:shd w:val="clear" w:color="auto" w:fill="auto"/>
          </w:tcPr>
          <w:p w:rsidR="00C96C2C" w:rsidRPr="00C96C2C" w:rsidP="00C96C2C" w14:paraId="04575882" w14:textId="77777777">
            <w:pPr>
              <w:jc w:val="center"/>
              <w:rPr>
                <w:bCs/>
              </w:rPr>
            </w:pPr>
            <w:r w:rsidRPr="00C96C2C">
              <w:rPr>
                <w:bCs/>
              </w:rPr>
              <w:t>34,176 hrs.</w:t>
            </w:r>
          </w:p>
          <w:p w:rsidR="00C96C2C" w:rsidRPr="00C96C2C" w:rsidP="00C96C2C" w14:paraId="25EB2489" w14:textId="77777777">
            <w:pPr>
              <w:jc w:val="center"/>
              <w:rPr>
                <w:bCs/>
              </w:rPr>
            </w:pPr>
            <w:r w:rsidRPr="00C96C2C">
              <w:rPr>
                <w:bCs/>
              </w:rPr>
              <w:t>$2,973,312</w:t>
            </w:r>
          </w:p>
        </w:tc>
      </w:tr>
      <w:tr w14:paraId="5C9554E5" w14:textId="77777777" w:rsidTr="003E31AC">
        <w:tblPrEx>
          <w:tblW w:w="10278" w:type="dxa"/>
          <w:tblLayout w:type="fixed"/>
          <w:tblLook w:val="04A0"/>
        </w:tblPrEx>
        <w:tc>
          <w:tcPr>
            <w:tcW w:w="2109" w:type="dxa"/>
            <w:shd w:val="clear" w:color="auto" w:fill="auto"/>
          </w:tcPr>
          <w:p w:rsidR="00C96C2C" w:rsidRPr="00C96C2C" w:rsidP="00C96C2C" w14:paraId="20CCF1B3" w14:textId="77777777">
            <w:pPr>
              <w:rPr>
                <w:b/>
              </w:rPr>
            </w:pPr>
            <w:r w:rsidRPr="00C96C2C">
              <w:rPr>
                <w:b/>
              </w:rPr>
              <w:t>Sub-Total for FERC-725M</w:t>
            </w:r>
          </w:p>
        </w:tc>
        <w:tc>
          <w:tcPr>
            <w:tcW w:w="1480" w:type="dxa"/>
            <w:shd w:val="clear" w:color="auto" w:fill="auto"/>
          </w:tcPr>
          <w:p w:rsidR="00C96C2C" w:rsidRPr="00C96C2C" w:rsidP="00C96C2C" w14:paraId="71611260" w14:textId="77777777">
            <w:pPr>
              <w:rPr>
                <w:b/>
              </w:rPr>
            </w:pPr>
          </w:p>
        </w:tc>
        <w:tc>
          <w:tcPr>
            <w:tcW w:w="1360" w:type="dxa"/>
            <w:shd w:val="clear" w:color="auto" w:fill="auto"/>
          </w:tcPr>
          <w:p w:rsidR="00C96C2C" w:rsidRPr="00C96C2C" w:rsidP="00C96C2C" w14:paraId="340AEF7A" w14:textId="77777777">
            <w:pPr>
              <w:jc w:val="center"/>
              <w:rPr>
                <w:bCs/>
              </w:rPr>
            </w:pPr>
          </w:p>
        </w:tc>
        <w:tc>
          <w:tcPr>
            <w:tcW w:w="1406" w:type="dxa"/>
            <w:shd w:val="clear" w:color="auto" w:fill="auto"/>
          </w:tcPr>
          <w:p w:rsidR="00C96C2C" w:rsidRPr="00C96C2C" w:rsidP="00C96C2C" w14:paraId="2291E5E0" w14:textId="77777777">
            <w:pPr>
              <w:jc w:val="center"/>
              <w:rPr>
                <w:b/>
              </w:rPr>
            </w:pPr>
            <w:r w:rsidRPr="00C96C2C">
              <w:rPr>
                <w:b/>
              </w:rPr>
              <w:t>5,572</w:t>
            </w:r>
          </w:p>
        </w:tc>
        <w:tc>
          <w:tcPr>
            <w:tcW w:w="2010" w:type="dxa"/>
            <w:shd w:val="clear" w:color="auto" w:fill="auto"/>
          </w:tcPr>
          <w:p w:rsidR="00C96C2C" w:rsidRPr="00C96C2C" w:rsidP="00C96C2C" w14:paraId="522C91F3" w14:textId="77777777">
            <w:pPr>
              <w:jc w:val="center"/>
              <w:rPr>
                <w:bCs/>
              </w:rPr>
            </w:pPr>
          </w:p>
        </w:tc>
        <w:tc>
          <w:tcPr>
            <w:tcW w:w="1913" w:type="dxa"/>
            <w:shd w:val="clear" w:color="auto" w:fill="auto"/>
          </w:tcPr>
          <w:p w:rsidR="00C96C2C" w:rsidRPr="00C96C2C" w:rsidP="00C96C2C" w14:paraId="12E7ED5F" w14:textId="77777777">
            <w:pPr>
              <w:jc w:val="center"/>
              <w:rPr>
                <w:b/>
              </w:rPr>
            </w:pPr>
            <w:r w:rsidRPr="00C96C2C">
              <w:rPr>
                <w:b/>
              </w:rPr>
              <w:t>44,576hrs</w:t>
            </w:r>
          </w:p>
          <w:p w:rsidR="00C96C2C" w:rsidRPr="00C96C2C" w:rsidP="00C96C2C" w14:paraId="668A2409" w14:textId="77777777">
            <w:pPr>
              <w:jc w:val="center"/>
              <w:rPr>
                <w:b/>
              </w:rPr>
            </w:pPr>
            <w:r w:rsidRPr="00C96C2C">
              <w:rPr>
                <w:b/>
              </w:rPr>
              <w:t>$3,878,112</w:t>
            </w:r>
          </w:p>
        </w:tc>
      </w:tr>
      <w:tr w14:paraId="190929BE" w14:textId="77777777" w:rsidTr="00C96C2C">
        <w:tblPrEx>
          <w:tblW w:w="10278" w:type="dxa"/>
          <w:tblLayout w:type="fixed"/>
          <w:tblLook w:val="04A0"/>
        </w:tblPrEx>
        <w:trPr>
          <w:trHeight w:val="359"/>
        </w:trPr>
        <w:tc>
          <w:tcPr>
            <w:tcW w:w="10278" w:type="dxa"/>
            <w:gridSpan w:val="6"/>
            <w:shd w:val="clear" w:color="auto" w:fill="D9D9D9"/>
          </w:tcPr>
          <w:p w:rsidR="00C96C2C" w:rsidRPr="00C96C2C" w:rsidP="00C96C2C" w14:paraId="67E6B70C" w14:textId="77777777">
            <w:pPr>
              <w:jc w:val="center"/>
              <w:rPr>
                <w:b/>
              </w:rPr>
            </w:pPr>
            <w:r w:rsidRPr="00C96C2C">
              <w:rPr>
                <w:b/>
              </w:rPr>
              <w:t>FERC-725G</w:t>
            </w:r>
          </w:p>
        </w:tc>
      </w:tr>
      <w:tr w14:paraId="1AEA6C74" w14:textId="77777777" w:rsidTr="00C96C2C">
        <w:tblPrEx>
          <w:tblW w:w="10278" w:type="dxa"/>
          <w:tblLayout w:type="fixed"/>
          <w:tblLook w:val="04A0"/>
        </w:tblPrEx>
        <w:tc>
          <w:tcPr>
            <w:tcW w:w="10278" w:type="dxa"/>
            <w:gridSpan w:val="6"/>
            <w:shd w:val="clear" w:color="auto" w:fill="D9D9D9"/>
          </w:tcPr>
          <w:p w:rsidR="00C96C2C" w:rsidRPr="00C96C2C" w:rsidP="00C96C2C" w14:paraId="0F932476" w14:textId="77777777">
            <w:pPr>
              <w:rPr>
                <w:b/>
              </w:rPr>
            </w:pPr>
            <w:r w:rsidRPr="00C96C2C">
              <w:rPr>
                <w:b/>
                <w:bCs/>
              </w:rPr>
              <w:t xml:space="preserve">One Time Estimate </w:t>
            </w:r>
            <w:r w:rsidRPr="00C96C2C">
              <w:rPr>
                <w:b/>
              </w:rPr>
              <w:t>Years 1 and 2</w:t>
            </w:r>
          </w:p>
        </w:tc>
      </w:tr>
      <w:tr w14:paraId="748D15E5" w14:textId="77777777" w:rsidTr="003E31AC">
        <w:tblPrEx>
          <w:tblW w:w="10278" w:type="dxa"/>
          <w:tblLayout w:type="fixed"/>
          <w:tblLook w:val="04A0"/>
        </w:tblPrEx>
        <w:tc>
          <w:tcPr>
            <w:tcW w:w="2109" w:type="dxa"/>
          </w:tcPr>
          <w:p w:rsidR="00C96C2C" w:rsidRPr="00C96C2C" w:rsidP="00C96C2C" w14:paraId="2E4F70B7" w14:textId="22DD260C">
            <w:r w:rsidRPr="00C96C2C">
              <w:t>PRC-002-</w:t>
            </w:r>
            <w:r w:rsidR="004A42D8">
              <w:t>3</w:t>
            </w:r>
            <w:r>
              <w:rPr>
                <w:b/>
                <w:szCs w:val="26"/>
                <w:vertAlign w:val="superscript"/>
              </w:rPr>
              <w:footnoteReference w:id="17"/>
            </w:r>
          </w:p>
        </w:tc>
        <w:tc>
          <w:tcPr>
            <w:tcW w:w="1480" w:type="dxa"/>
          </w:tcPr>
          <w:p w:rsidR="00C96C2C" w:rsidRPr="00C96C2C" w:rsidP="00C96C2C" w14:paraId="38A3D667" w14:textId="77777777">
            <w:r w:rsidRPr="00C96C2C">
              <w:t>RC (12)</w:t>
            </w:r>
          </w:p>
        </w:tc>
        <w:tc>
          <w:tcPr>
            <w:tcW w:w="1360" w:type="dxa"/>
          </w:tcPr>
          <w:p w:rsidR="00C96C2C" w:rsidRPr="00C96C2C" w:rsidP="00C96C2C" w14:paraId="0064F08F" w14:textId="77777777">
            <w:pPr>
              <w:jc w:val="center"/>
            </w:pPr>
            <w:r w:rsidRPr="00C96C2C">
              <w:t>1</w:t>
            </w:r>
          </w:p>
        </w:tc>
        <w:tc>
          <w:tcPr>
            <w:tcW w:w="1406" w:type="dxa"/>
          </w:tcPr>
          <w:p w:rsidR="00C96C2C" w:rsidRPr="00C96C2C" w:rsidP="00C96C2C" w14:paraId="3B6D47D6" w14:textId="77777777">
            <w:pPr>
              <w:jc w:val="center"/>
            </w:pPr>
            <w:r w:rsidRPr="00C96C2C">
              <w:t>12</w:t>
            </w:r>
          </w:p>
        </w:tc>
        <w:tc>
          <w:tcPr>
            <w:tcW w:w="2010" w:type="dxa"/>
          </w:tcPr>
          <w:p w:rsidR="00C96C2C" w:rsidRPr="00C96C2C" w:rsidP="00C96C2C" w14:paraId="6A69A4D3" w14:textId="77777777">
            <w:pPr>
              <w:jc w:val="center"/>
            </w:pPr>
            <w:r w:rsidRPr="00C96C2C">
              <w:t>32 hrs.</w:t>
            </w:r>
          </w:p>
          <w:p w:rsidR="00C96C2C" w:rsidRPr="00C96C2C" w:rsidP="00C96C2C" w14:paraId="71E510D6" w14:textId="77777777">
            <w:pPr>
              <w:jc w:val="center"/>
            </w:pPr>
            <w:r w:rsidRPr="00C96C2C">
              <w:t>$2,784</w:t>
            </w:r>
          </w:p>
        </w:tc>
        <w:tc>
          <w:tcPr>
            <w:tcW w:w="1913" w:type="dxa"/>
          </w:tcPr>
          <w:p w:rsidR="00C96C2C" w:rsidRPr="00C96C2C" w:rsidP="00C96C2C" w14:paraId="7BC3C7F1" w14:textId="77777777">
            <w:pPr>
              <w:jc w:val="center"/>
            </w:pPr>
            <w:r w:rsidRPr="00C96C2C">
              <w:t>384 hrs.</w:t>
            </w:r>
          </w:p>
          <w:p w:rsidR="00C96C2C" w:rsidRPr="00C96C2C" w:rsidP="00C96C2C" w14:paraId="20DA5F77" w14:textId="77777777">
            <w:pPr>
              <w:jc w:val="center"/>
            </w:pPr>
            <w:r w:rsidRPr="00C96C2C">
              <w:t>$33,408</w:t>
            </w:r>
          </w:p>
        </w:tc>
      </w:tr>
      <w:tr w14:paraId="6712FB81" w14:textId="77777777" w:rsidTr="003E31AC">
        <w:tblPrEx>
          <w:tblW w:w="10278" w:type="dxa"/>
          <w:tblLayout w:type="fixed"/>
          <w:tblLook w:val="04A0"/>
        </w:tblPrEx>
        <w:tc>
          <w:tcPr>
            <w:tcW w:w="2109" w:type="dxa"/>
          </w:tcPr>
          <w:p w:rsidR="00C96C2C" w:rsidRPr="00C96C2C" w:rsidP="00C96C2C" w14:paraId="638DDED6" w14:textId="0AB673E5">
            <w:r w:rsidRPr="00C96C2C">
              <w:t>PRC-002-</w:t>
            </w:r>
            <w:r w:rsidR="009952CF">
              <w:t>3</w:t>
            </w:r>
            <w:r>
              <w:rPr>
                <w:b/>
                <w:szCs w:val="26"/>
                <w:vertAlign w:val="superscript"/>
              </w:rPr>
              <w:footnoteReference w:id="18"/>
            </w:r>
          </w:p>
          <w:p w:rsidR="00C96C2C" w:rsidRPr="00C96C2C" w:rsidP="00C96C2C" w14:paraId="54AAA044" w14:textId="2D9FF79B">
            <w:pPr>
              <w:rPr>
                <w:b/>
                <w:bCs/>
              </w:rPr>
            </w:pPr>
            <w:r w:rsidRPr="00C96C2C">
              <w:rPr>
                <w:b/>
                <w:bCs/>
              </w:rPr>
              <w:t>Retir</w:t>
            </w:r>
            <w:r w:rsidRPr="00D457D9" w:rsidR="00D457D9">
              <w:rPr>
                <w:b/>
                <w:bCs/>
              </w:rPr>
              <w:t>e</w:t>
            </w:r>
          </w:p>
        </w:tc>
        <w:tc>
          <w:tcPr>
            <w:tcW w:w="1480" w:type="dxa"/>
          </w:tcPr>
          <w:p w:rsidR="00C96C2C" w:rsidRPr="00C96C2C" w:rsidP="00C96C2C" w14:paraId="30D33974" w14:textId="77777777">
            <w:r w:rsidRPr="00C96C2C">
              <w:t>PA/PC (35)</w:t>
            </w:r>
          </w:p>
        </w:tc>
        <w:tc>
          <w:tcPr>
            <w:tcW w:w="1360" w:type="dxa"/>
          </w:tcPr>
          <w:p w:rsidR="00C96C2C" w:rsidRPr="00C96C2C" w:rsidP="00C96C2C" w14:paraId="324FEE6F" w14:textId="77777777">
            <w:pPr>
              <w:jc w:val="center"/>
            </w:pPr>
            <w:r w:rsidRPr="00C96C2C">
              <w:t>1</w:t>
            </w:r>
          </w:p>
        </w:tc>
        <w:tc>
          <w:tcPr>
            <w:tcW w:w="1406" w:type="dxa"/>
          </w:tcPr>
          <w:p w:rsidR="00C96C2C" w:rsidRPr="00C96C2C" w:rsidP="00C96C2C" w14:paraId="3F7AE341" w14:textId="7414D4E3">
            <w:pPr>
              <w:jc w:val="center"/>
            </w:pPr>
            <w:r>
              <w:t>(</w:t>
            </w:r>
            <w:r w:rsidR="00A42006">
              <w:t>35</w:t>
            </w:r>
            <w:r>
              <w:t>)</w:t>
            </w:r>
          </w:p>
        </w:tc>
        <w:tc>
          <w:tcPr>
            <w:tcW w:w="2010" w:type="dxa"/>
          </w:tcPr>
          <w:p w:rsidR="00C96C2C" w:rsidRPr="00C96C2C" w:rsidP="00C96C2C" w14:paraId="686D00AA" w14:textId="77777777">
            <w:pPr>
              <w:jc w:val="center"/>
            </w:pPr>
            <w:r w:rsidRPr="00C96C2C">
              <w:t>(32 hrs.)</w:t>
            </w:r>
          </w:p>
          <w:p w:rsidR="00C96C2C" w:rsidRPr="00C96C2C" w:rsidP="00C96C2C" w14:paraId="38BF619C" w14:textId="77777777">
            <w:pPr>
              <w:jc w:val="center"/>
            </w:pPr>
            <w:r w:rsidRPr="00C96C2C">
              <w:t>($2,784)</w:t>
            </w:r>
          </w:p>
        </w:tc>
        <w:tc>
          <w:tcPr>
            <w:tcW w:w="1913" w:type="dxa"/>
          </w:tcPr>
          <w:p w:rsidR="00C96C2C" w:rsidRPr="00C96C2C" w:rsidP="00C96C2C" w14:paraId="21106E12" w14:textId="77777777">
            <w:pPr>
              <w:jc w:val="center"/>
            </w:pPr>
            <w:r w:rsidRPr="00C96C2C">
              <w:t>(2,016 hrs.)</w:t>
            </w:r>
          </w:p>
          <w:p w:rsidR="00C96C2C" w:rsidRPr="00C96C2C" w:rsidP="00C96C2C" w14:paraId="0E5B7E8F" w14:textId="77777777">
            <w:pPr>
              <w:jc w:val="center"/>
            </w:pPr>
            <w:r w:rsidRPr="00C96C2C">
              <w:t>($175,392)</w:t>
            </w:r>
          </w:p>
        </w:tc>
      </w:tr>
      <w:tr w14:paraId="4188BE80" w14:textId="77777777" w:rsidTr="003E31AC">
        <w:tblPrEx>
          <w:tblW w:w="10278" w:type="dxa"/>
          <w:tblLayout w:type="fixed"/>
          <w:tblLook w:val="04A0"/>
        </w:tblPrEx>
        <w:trPr>
          <w:trHeight w:val="503"/>
        </w:trPr>
        <w:tc>
          <w:tcPr>
            <w:tcW w:w="2109" w:type="dxa"/>
          </w:tcPr>
          <w:p w:rsidR="00C96C2C" w:rsidRPr="00C96C2C" w:rsidP="00C96C2C" w14:paraId="5E476F9C" w14:textId="77777777">
            <w:r w:rsidRPr="00C96C2C">
              <w:t>PRC-023-5</w:t>
            </w:r>
            <w:r>
              <w:rPr>
                <w:b/>
                <w:szCs w:val="26"/>
                <w:vertAlign w:val="superscript"/>
              </w:rPr>
              <w:footnoteReference w:id="19"/>
            </w:r>
          </w:p>
          <w:p w:rsidR="00C96C2C" w:rsidRPr="00C96C2C" w:rsidP="00C96C2C" w14:paraId="75919527" w14:textId="77777777"/>
        </w:tc>
        <w:tc>
          <w:tcPr>
            <w:tcW w:w="1480" w:type="dxa"/>
          </w:tcPr>
          <w:p w:rsidR="00C96C2C" w:rsidRPr="00C96C2C" w:rsidP="00C96C2C" w14:paraId="6D13DF11" w14:textId="77777777">
            <w:r w:rsidRPr="00C96C2C">
              <w:t>PA/PC (63)</w:t>
            </w:r>
          </w:p>
        </w:tc>
        <w:tc>
          <w:tcPr>
            <w:tcW w:w="1360" w:type="dxa"/>
          </w:tcPr>
          <w:p w:rsidR="00C96C2C" w:rsidRPr="00C96C2C" w:rsidP="00C96C2C" w14:paraId="2E619094" w14:textId="77777777">
            <w:pPr>
              <w:jc w:val="center"/>
            </w:pPr>
            <w:r w:rsidRPr="00C96C2C">
              <w:t>1</w:t>
            </w:r>
          </w:p>
        </w:tc>
        <w:tc>
          <w:tcPr>
            <w:tcW w:w="1406" w:type="dxa"/>
          </w:tcPr>
          <w:p w:rsidR="00C96C2C" w:rsidRPr="00C96C2C" w:rsidP="00C96C2C" w14:paraId="6FF44BEA" w14:textId="77777777">
            <w:pPr>
              <w:jc w:val="center"/>
            </w:pPr>
            <w:r w:rsidRPr="00C96C2C">
              <w:t>63</w:t>
            </w:r>
          </w:p>
        </w:tc>
        <w:tc>
          <w:tcPr>
            <w:tcW w:w="2010" w:type="dxa"/>
          </w:tcPr>
          <w:p w:rsidR="00C96C2C" w:rsidRPr="00C96C2C" w:rsidP="00C96C2C" w14:paraId="0A113B29" w14:textId="77777777">
            <w:pPr>
              <w:jc w:val="center"/>
            </w:pPr>
            <w:r w:rsidRPr="00C96C2C">
              <w:t>32 hrs.</w:t>
            </w:r>
          </w:p>
          <w:p w:rsidR="00C96C2C" w:rsidRPr="00C96C2C" w:rsidP="00C96C2C" w14:paraId="52173DC7" w14:textId="77777777">
            <w:pPr>
              <w:jc w:val="center"/>
            </w:pPr>
            <w:r w:rsidRPr="00C96C2C">
              <w:t>$2,784</w:t>
            </w:r>
          </w:p>
        </w:tc>
        <w:tc>
          <w:tcPr>
            <w:tcW w:w="1913" w:type="dxa"/>
          </w:tcPr>
          <w:p w:rsidR="00C96C2C" w:rsidRPr="00C96C2C" w:rsidP="00C96C2C" w14:paraId="60A9E9BC" w14:textId="77777777">
            <w:pPr>
              <w:jc w:val="center"/>
            </w:pPr>
            <w:r w:rsidRPr="00C96C2C">
              <w:t>2,016 hrs.</w:t>
            </w:r>
          </w:p>
          <w:p w:rsidR="00C96C2C" w:rsidRPr="00C96C2C" w:rsidP="00C96C2C" w14:paraId="7178C775" w14:textId="77777777">
            <w:pPr>
              <w:jc w:val="center"/>
            </w:pPr>
            <w:r w:rsidRPr="00C96C2C">
              <w:t>$175,392</w:t>
            </w:r>
          </w:p>
        </w:tc>
      </w:tr>
      <w:tr w14:paraId="752D2183" w14:textId="77777777" w:rsidTr="003E31AC">
        <w:tblPrEx>
          <w:tblW w:w="10278" w:type="dxa"/>
          <w:tblLayout w:type="fixed"/>
          <w:tblLook w:val="04A0"/>
        </w:tblPrEx>
        <w:trPr>
          <w:trHeight w:val="530"/>
        </w:trPr>
        <w:tc>
          <w:tcPr>
            <w:tcW w:w="2109" w:type="dxa"/>
          </w:tcPr>
          <w:p w:rsidR="00C96C2C" w:rsidRPr="00C96C2C" w:rsidP="00C96C2C" w14:paraId="36011D07" w14:textId="77777777">
            <w:pPr>
              <w:rPr>
                <w:bCs/>
              </w:rPr>
            </w:pPr>
            <w:r w:rsidRPr="00C96C2C">
              <w:rPr>
                <w:bCs/>
              </w:rPr>
              <w:t>PRC-026-2</w:t>
            </w:r>
            <w:r>
              <w:rPr>
                <w:b/>
                <w:bCs/>
                <w:szCs w:val="26"/>
                <w:vertAlign w:val="superscript"/>
              </w:rPr>
              <w:footnoteReference w:id="20"/>
            </w:r>
          </w:p>
        </w:tc>
        <w:tc>
          <w:tcPr>
            <w:tcW w:w="1480" w:type="dxa"/>
          </w:tcPr>
          <w:p w:rsidR="00C96C2C" w:rsidRPr="00C96C2C" w:rsidP="00C96C2C" w14:paraId="63C357ED" w14:textId="77777777">
            <w:pPr>
              <w:rPr>
                <w:bCs/>
              </w:rPr>
            </w:pPr>
            <w:r w:rsidRPr="00C96C2C">
              <w:rPr>
                <w:bCs/>
              </w:rPr>
              <w:t>PA/PC (63)</w:t>
            </w:r>
          </w:p>
        </w:tc>
        <w:tc>
          <w:tcPr>
            <w:tcW w:w="1360" w:type="dxa"/>
          </w:tcPr>
          <w:p w:rsidR="00C96C2C" w:rsidRPr="00C96C2C" w:rsidP="00C96C2C" w14:paraId="58111CC0" w14:textId="77777777">
            <w:pPr>
              <w:jc w:val="center"/>
            </w:pPr>
            <w:r w:rsidRPr="00C96C2C">
              <w:t>1</w:t>
            </w:r>
          </w:p>
        </w:tc>
        <w:tc>
          <w:tcPr>
            <w:tcW w:w="1406" w:type="dxa"/>
          </w:tcPr>
          <w:p w:rsidR="00C96C2C" w:rsidRPr="00C96C2C" w:rsidP="00C96C2C" w14:paraId="2388E30B" w14:textId="77777777">
            <w:pPr>
              <w:jc w:val="center"/>
            </w:pPr>
            <w:r w:rsidRPr="00C96C2C">
              <w:t>63</w:t>
            </w:r>
          </w:p>
        </w:tc>
        <w:tc>
          <w:tcPr>
            <w:tcW w:w="2010" w:type="dxa"/>
          </w:tcPr>
          <w:p w:rsidR="00C96C2C" w:rsidRPr="00C96C2C" w:rsidP="00C96C2C" w14:paraId="557AE90C" w14:textId="77777777">
            <w:pPr>
              <w:jc w:val="center"/>
            </w:pPr>
            <w:r w:rsidRPr="00C96C2C">
              <w:t>32 hrs.</w:t>
            </w:r>
          </w:p>
          <w:p w:rsidR="00C96C2C" w:rsidRPr="00C96C2C" w:rsidP="00C96C2C" w14:paraId="674B5935" w14:textId="77777777">
            <w:pPr>
              <w:jc w:val="center"/>
            </w:pPr>
            <w:r w:rsidRPr="00C96C2C">
              <w:t>$2,784</w:t>
            </w:r>
          </w:p>
        </w:tc>
        <w:tc>
          <w:tcPr>
            <w:tcW w:w="1913" w:type="dxa"/>
          </w:tcPr>
          <w:p w:rsidR="00C96C2C" w:rsidRPr="00C96C2C" w:rsidP="00C96C2C" w14:paraId="50AA3D04" w14:textId="77777777">
            <w:pPr>
              <w:jc w:val="center"/>
            </w:pPr>
            <w:r w:rsidRPr="00C96C2C">
              <w:t>2,016 hrs.</w:t>
            </w:r>
          </w:p>
          <w:p w:rsidR="00C96C2C" w:rsidRPr="00C96C2C" w:rsidP="00C96C2C" w14:paraId="2DF39879" w14:textId="77777777">
            <w:pPr>
              <w:jc w:val="center"/>
            </w:pPr>
            <w:r w:rsidRPr="00C96C2C">
              <w:t>$175,392</w:t>
            </w:r>
          </w:p>
        </w:tc>
      </w:tr>
      <w:tr w14:paraId="3BA6E6E0" w14:textId="77777777" w:rsidTr="00C96C2C">
        <w:tblPrEx>
          <w:tblW w:w="10278" w:type="dxa"/>
          <w:tblLayout w:type="fixed"/>
          <w:tblLook w:val="04A0"/>
        </w:tblPrEx>
        <w:tc>
          <w:tcPr>
            <w:tcW w:w="10278" w:type="dxa"/>
            <w:gridSpan w:val="6"/>
            <w:shd w:val="clear" w:color="auto" w:fill="D9D9D9"/>
          </w:tcPr>
          <w:p w:rsidR="00C96C2C" w:rsidRPr="00C96C2C" w:rsidP="00C96C2C" w14:paraId="5F6B8A56" w14:textId="77777777">
            <w:pPr>
              <w:rPr>
                <w:b/>
              </w:rPr>
            </w:pPr>
            <w:r w:rsidRPr="00C96C2C">
              <w:rPr>
                <w:b/>
                <w:bCs/>
              </w:rPr>
              <w:t xml:space="preserve">Ongoing Estimate </w:t>
            </w:r>
            <w:r w:rsidRPr="00C96C2C">
              <w:rPr>
                <w:b/>
              </w:rPr>
              <w:t>Year 3 ongoing</w:t>
            </w:r>
          </w:p>
        </w:tc>
      </w:tr>
      <w:tr w14:paraId="08B79797" w14:textId="77777777" w:rsidTr="003E31AC">
        <w:tblPrEx>
          <w:tblW w:w="10278" w:type="dxa"/>
          <w:tblLayout w:type="fixed"/>
          <w:tblLook w:val="04A0"/>
        </w:tblPrEx>
        <w:tc>
          <w:tcPr>
            <w:tcW w:w="2109" w:type="dxa"/>
          </w:tcPr>
          <w:p w:rsidR="00C96C2C" w:rsidRPr="00C96C2C" w:rsidP="00C96C2C" w14:paraId="0CF3ECDB" w14:textId="77777777">
            <w:r w:rsidRPr="00C96C2C">
              <w:t>PRC-002-3</w:t>
            </w:r>
          </w:p>
        </w:tc>
        <w:tc>
          <w:tcPr>
            <w:tcW w:w="1480" w:type="dxa"/>
          </w:tcPr>
          <w:p w:rsidR="00C96C2C" w:rsidRPr="00C96C2C" w:rsidP="00C96C2C" w14:paraId="04D239FF" w14:textId="77777777">
            <w:r w:rsidRPr="00C96C2C">
              <w:t>RC (12)</w:t>
            </w:r>
          </w:p>
        </w:tc>
        <w:tc>
          <w:tcPr>
            <w:tcW w:w="1360" w:type="dxa"/>
          </w:tcPr>
          <w:p w:rsidR="00C96C2C" w:rsidRPr="00C96C2C" w:rsidP="00C96C2C" w14:paraId="1007941A" w14:textId="77777777">
            <w:pPr>
              <w:jc w:val="center"/>
            </w:pPr>
            <w:r w:rsidRPr="00C96C2C">
              <w:t>1</w:t>
            </w:r>
          </w:p>
        </w:tc>
        <w:tc>
          <w:tcPr>
            <w:tcW w:w="1406" w:type="dxa"/>
          </w:tcPr>
          <w:p w:rsidR="00C96C2C" w:rsidRPr="00C96C2C" w:rsidP="00C96C2C" w14:paraId="0DC96039" w14:textId="77777777">
            <w:pPr>
              <w:jc w:val="center"/>
            </w:pPr>
            <w:r w:rsidRPr="00C96C2C">
              <w:t>12</w:t>
            </w:r>
          </w:p>
        </w:tc>
        <w:tc>
          <w:tcPr>
            <w:tcW w:w="2010" w:type="dxa"/>
          </w:tcPr>
          <w:p w:rsidR="00C96C2C" w:rsidRPr="00C96C2C" w:rsidP="00C96C2C" w14:paraId="017D15B8" w14:textId="77777777">
            <w:pPr>
              <w:jc w:val="center"/>
            </w:pPr>
            <w:r w:rsidRPr="00C96C2C">
              <w:t>16 hrs.</w:t>
            </w:r>
          </w:p>
          <w:p w:rsidR="00C96C2C" w:rsidRPr="00C96C2C" w:rsidP="00C96C2C" w14:paraId="36B6F15C" w14:textId="77777777">
            <w:pPr>
              <w:jc w:val="center"/>
            </w:pPr>
            <w:r w:rsidRPr="00C96C2C">
              <w:t>$1,392</w:t>
            </w:r>
          </w:p>
        </w:tc>
        <w:tc>
          <w:tcPr>
            <w:tcW w:w="1913" w:type="dxa"/>
          </w:tcPr>
          <w:p w:rsidR="00C96C2C" w:rsidRPr="00C96C2C" w:rsidP="00C96C2C" w14:paraId="23563522" w14:textId="77777777">
            <w:pPr>
              <w:jc w:val="center"/>
            </w:pPr>
            <w:r w:rsidRPr="00C96C2C">
              <w:t>192 hrs.</w:t>
            </w:r>
          </w:p>
          <w:p w:rsidR="00C96C2C" w:rsidRPr="00C96C2C" w:rsidP="00C96C2C" w14:paraId="3D412F12" w14:textId="77777777">
            <w:pPr>
              <w:jc w:val="center"/>
            </w:pPr>
            <w:r w:rsidRPr="00C96C2C">
              <w:t>$16,704</w:t>
            </w:r>
          </w:p>
        </w:tc>
      </w:tr>
      <w:tr w14:paraId="19FB7D75" w14:textId="77777777" w:rsidTr="003E31AC">
        <w:tblPrEx>
          <w:tblW w:w="10278" w:type="dxa"/>
          <w:tblLayout w:type="fixed"/>
          <w:tblLook w:val="04A0"/>
        </w:tblPrEx>
        <w:tc>
          <w:tcPr>
            <w:tcW w:w="2109" w:type="dxa"/>
          </w:tcPr>
          <w:p w:rsidR="00C96C2C" w:rsidRPr="00C96C2C" w:rsidP="00C96C2C" w14:paraId="063F2B5D" w14:textId="77777777">
            <w:pPr>
              <w:rPr>
                <w:b/>
              </w:rPr>
            </w:pPr>
            <w:r w:rsidRPr="00C96C2C">
              <w:rPr>
                <w:b/>
              </w:rPr>
              <w:t>Sub-Total for FERC-725G</w:t>
            </w:r>
          </w:p>
        </w:tc>
        <w:tc>
          <w:tcPr>
            <w:tcW w:w="1480" w:type="dxa"/>
          </w:tcPr>
          <w:p w:rsidR="00C96C2C" w:rsidRPr="00C96C2C" w:rsidP="00C96C2C" w14:paraId="406F4868" w14:textId="77777777">
            <w:pPr>
              <w:rPr>
                <w:b/>
              </w:rPr>
            </w:pPr>
          </w:p>
        </w:tc>
        <w:tc>
          <w:tcPr>
            <w:tcW w:w="1360" w:type="dxa"/>
          </w:tcPr>
          <w:p w:rsidR="00C96C2C" w:rsidRPr="00C96C2C" w:rsidP="00C96C2C" w14:paraId="08398B69" w14:textId="77777777">
            <w:pPr>
              <w:rPr>
                <w:bCs/>
              </w:rPr>
            </w:pPr>
          </w:p>
        </w:tc>
        <w:tc>
          <w:tcPr>
            <w:tcW w:w="1406" w:type="dxa"/>
          </w:tcPr>
          <w:p w:rsidR="00C96C2C" w:rsidRPr="00C96C2C" w:rsidP="00C96C2C" w14:paraId="22A5F584" w14:textId="77777777">
            <w:pPr>
              <w:jc w:val="center"/>
              <w:rPr>
                <w:b/>
              </w:rPr>
            </w:pPr>
            <w:r w:rsidRPr="00C96C2C">
              <w:rPr>
                <w:b/>
              </w:rPr>
              <w:t>150</w:t>
            </w:r>
          </w:p>
        </w:tc>
        <w:tc>
          <w:tcPr>
            <w:tcW w:w="2010" w:type="dxa"/>
          </w:tcPr>
          <w:p w:rsidR="00C96C2C" w:rsidRPr="00C96C2C" w:rsidP="00C96C2C" w14:paraId="53C88F89" w14:textId="77777777">
            <w:pPr>
              <w:jc w:val="center"/>
              <w:rPr>
                <w:b/>
              </w:rPr>
            </w:pPr>
          </w:p>
        </w:tc>
        <w:tc>
          <w:tcPr>
            <w:tcW w:w="1913" w:type="dxa"/>
          </w:tcPr>
          <w:p w:rsidR="00C96C2C" w:rsidRPr="00C96C2C" w:rsidP="00C96C2C" w14:paraId="503758A7" w14:textId="77777777">
            <w:pPr>
              <w:jc w:val="center"/>
              <w:rPr>
                <w:b/>
              </w:rPr>
            </w:pPr>
            <w:r w:rsidRPr="00C96C2C">
              <w:rPr>
                <w:b/>
              </w:rPr>
              <w:t>4,608hrs</w:t>
            </w:r>
          </w:p>
          <w:p w:rsidR="00C96C2C" w:rsidRPr="00C96C2C" w:rsidP="00C96C2C" w14:paraId="7650EF5B" w14:textId="77777777">
            <w:pPr>
              <w:jc w:val="center"/>
              <w:rPr>
                <w:b/>
              </w:rPr>
            </w:pPr>
            <w:r w:rsidRPr="00C96C2C">
              <w:rPr>
                <w:b/>
              </w:rPr>
              <w:t>$400,896</w:t>
            </w:r>
          </w:p>
        </w:tc>
      </w:tr>
      <w:tr w14:paraId="47FB73DA" w14:textId="77777777" w:rsidTr="00C96C2C">
        <w:tblPrEx>
          <w:tblW w:w="10278" w:type="dxa"/>
          <w:tblLayout w:type="fixed"/>
          <w:tblLook w:val="04A0"/>
        </w:tblPrEx>
        <w:tc>
          <w:tcPr>
            <w:tcW w:w="10278" w:type="dxa"/>
            <w:gridSpan w:val="6"/>
            <w:shd w:val="clear" w:color="auto" w:fill="D9D9D9"/>
          </w:tcPr>
          <w:p w:rsidR="00C96C2C" w:rsidRPr="00C96C2C" w:rsidP="00C96C2C" w14:paraId="6008ADAB" w14:textId="77777777">
            <w:pPr>
              <w:jc w:val="center"/>
              <w:rPr>
                <w:b/>
              </w:rPr>
            </w:pPr>
            <w:r w:rsidRPr="00C96C2C">
              <w:rPr>
                <w:b/>
              </w:rPr>
              <w:t>FERC-725Z</w:t>
            </w:r>
          </w:p>
        </w:tc>
      </w:tr>
      <w:tr w14:paraId="34B1E406" w14:textId="77777777" w:rsidTr="00C96C2C">
        <w:tblPrEx>
          <w:tblW w:w="10278" w:type="dxa"/>
          <w:tblLayout w:type="fixed"/>
          <w:tblLook w:val="04A0"/>
        </w:tblPrEx>
        <w:tc>
          <w:tcPr>
            <w:tcW w:w="10278" w:type="dxa"/>
            <w:gridSpan w:val="6"/>
            <w:shd w:val="clear" w:color="auto" w:fill="D9D9D9"/>
          </w:tcPr>
          <w:p w:rsidR="00C96C2C" w:rsidRPr="00C96C2C" w:rsidP="00C96C2C" w14:paraId="14986045" w14:textId="77777777">
            <w:pPr>
              <w:rPr>
                <w:b/>
              </w:rPr>
            </w:pPr>
            <w:r w:rsidRPr="00C96C2C">
              <w:rPr>
                <w:b/>
              </w:rPr>
              <w:t>One Time Estimate Years 1 and 2</w:t>
            </w:r>
          </w:p>
        </w:tc>
      </w:tr>
      <w:tr w14:paraId="4BC6E530" w14:textId="77777777" w:rsidTr="003E31AC">
        <w:tblPrEx>
          <w:tblW w:w="10278" w:type="dxa"/>
          <w:tblLayout w:type="fixed"/>
          <w:tblLook w:val="04A0"/>
        </w:tblPrEx>
        <w:tc>
          <w:tcPr>
            <w:tcW w:w="2109" w:type="dxa"/>
          </w:tcPr>
          <w:p w:rsidR="00C96C2C" w:rsidRPr="00C96C2C" w:rsidP="00C96C2C" w14:paraId="2785936C" w14:textId="77777777">
            <w:r w:rsidRPr="00C96C2C">
              <w:t>IRO-008-3</w:t>
            </w:r>
          </w:p>
        </w:tc>
        <w:tc>
          <w:tcPr>
            <w:tcW w:w="1480" w:type="dxa"/>
          </w:tcPr>
          <w:p w:rsidR="00C96C2C" w:rsidRPr="00C96C2C" w:rsidP="00C96C2C" w14:paraId="4A755686" w14:textId="77777777">
            <w:r w:rsidRPr="00C96C2C">
              <w:t>RC (12)</w:t>
            </w:r>
          </w:p>
        </w:tc>
        <w:tc>
          <w:tcPr>
            <w:tcW w:w="1360" w:type="dxa"/>
          </w:tcPr>
          <w:p w:rsidR="00C96C2C" w:rsidRPr="00C96C2C" w:rsidP="00C96C2C" w14:paraId="128526AD" w14:textId="77777777">
            <w:pPr>
              <w:jc w:val="center"/>
            </w:pPr>
            <w:r w:rsidRPr="00C96C2C">
              <w:t>1</w:t>
            </w:r>
          </w:p>
        </w:tc>
        <w:tc>
          <w:tcPr>
            <w:tcW w:w="1406" w:type="dxa"/>
          </w:tcPr>
          <w:p w:rsidR="00C96C2C" w:rsidRPr="00C96C2C" w:rsidP="00C96C2C" w14:paraId="19298614" w14:textId="77777777">
            <w:pPr>
              <w:jc w:val="center"/>
            </w:pPr>
            <w:r w:rsidRPr="00C96C2C">
              <w:t>12</w:t>
            </w:r>
          </w:p>
        </w:tc>
        <w:tc>
          <w:tcPr>
            <w:tcW w:w="2010" w:type="dxa"/>
          </w:tcPr>
          <w:p w:rsidR="00C96C2C" w:rsidRPr="00C96C2C" w:rsidP="00C96C2C" w14:paraId="69096ED3" w14:textId="77777777">
            <w:pPr>
              <w:jc w:val="center"/>
            </w:pPr>
            <w:r w:rsidRPr="00C96C2C">
              <w:t>32 hrs.</w:t>
            </w:r>
          </w:p>
          <w:p w:rsidR="00C96C2C" w:rsidRPr="00C96C2C" w:rsidP="00C96C2C" w14:paraId="29ED9262" w14:textId="77777777">
            <w:pPr>
              <w:jc w:val="center"/>
            </w:pPr>
            <w:r w:rsidRPr="00C96C2C">
              <w:t>$2784</w:t>
            </w:r>
          </w:p>
        </w:tc>
        <w:tc>
          <w:tcPr>
            <w:tcW w:w="1913" w:type="dxa"/>
          </w:tcPr>
          <w:p w:rsidR="00C96C2C" w:rsidRPr="00C96C2C" w:rsidP="00C96C2C" w14:paraId="1A158B80" w14:textId="77777777">
            <w:pPr>
              <w:jc w:val="center"/>
            </w:pPr>
            <w:r w:rsidRPr="00C96C2C">
              <w:t>384 hrs.</w:t>
            </w:r>
          </w:p>
          <w:p w:rsidR="00C96C2C" w:rsidRPr="00C96C2C" w:rsidP="00C96C2C" w14:paraId="4795756E" w14:textId="77777777">
            <w:pPr>
              <w:jc w:val="center"/>
            </w:pPr>
            <w:r w:rsidRPr="00C96C2C">
              <w:t>$33,408</w:t>
            </w:r>
          </w:p>
        </w:tc>
      </w:tr>
      <w:tr w14:paraId="1A4AF7D7" w14:textId="77777777" w:rsidTr="00C96C2C">
        <w:tblPrEx>
          <w:tblW w:w="10278" w:type="dxa"/>
          <w:tblLayout w:type="fixed"/>
          <w:tblLook w:val="04A0"/>
        </w:tblPrEx>
        <w:tc>
          <w:tcPr>
            <w:tcW w:w="10278" w:type="dxa"/>
            <w:gridSpan w:val="6"/>
            <w:shd w:val="clear" w:color="auto" w:fill="D9D9D9"/>
          </w:tcPr>
          <w:p w:rsidR="00C96C2C" w:rsidRPr="00C96C2C" w:rsidP="00C96C2C" w14:paraId="28532F51" w14:textId="77777777">
            <w:pPr>
              <w:rPr>
                <w:b/>
              </w:rPr>
            </w:pPr>
            <w:r w:rsidRPr="00C96C2C">
              <w:rPr>
                <w:b/>
              </w:rPr>
              <w:t>Ongoing Estimate Year 3 ongoing</w:t>
            </w:r>
          </w:p>
        </w:tc>
      </w:tr>
      <w:tr w14:paraId="75891277" w14:textId="77777777" w:rsidTr="003E31AC">
        <w:tblPrEx>
          <w:tblW w:w="10278" w:type="dxa"/>
          <w:tblLayout w:type="fixed"/>
          <w:tblLook w:val="04A0"/>
        </w:tblPrEx>
        <w:tc>
          <w:tcPr>
            <w:tcW w:w="2109" w:type="dxa"/>
          </w:tcPr>
          <w:p w:rsidR="00C96C2C" w:rsidRPr="00C96C2C" w:rsidP="00C96C2C" w14:paraId="4912BC89" w14:textId="77777777">
            <w:r w:rsidRPr="00C96C2C">
              <w:t>IRO-008-3</w:t>
            </w:r>
          </w:p>
        </w:tc>
        <w:tc>
          <w:tcPr>
            <w:tcW w:w="1480" w:type="dxa"/>
          </w:tcPr>
          <w:p w:rsidR="00C96C2C" w:rsidRPr="00C96C2C" w:rsidP="00C96C2C" w14:paraId="6ED7ADE8" w14:textId="77777777">
            <w:r w:rsidRPr="00C96C2C">
              <w:t>RC (12)</w:t>
            </w:r>
          </w:p>
        </w:tc>
        <w:tc>
          <w:tcPr>
            <w:tcW w:w="1360" w:type="dxa"/>
          </w:tcPr>
          <w:p w:rsidR="00C96C2C" w:rsidRPr="00C96C2C" w:rsidP="00C96C2C" w14:paraId="63378AD3" w14:textId="77777777">
            <w:pPr>
              <w:jc w:val="center"/>
            </w:pPr>
            <w:r w:rsidRPr="00C96C2C">
              <w:t>1</w:t>
            </w:r>
          </w:p>
        </w:tc>
        <w:tc>
          <w:tcPr>
            <w:tcW w:w="1406" w:type="dxa"/>
          </w:tcPr>
          <w:p w:rsidR="00C96C2C" w:rsidRPr="00C96C2C" w:rsidP="00C96C2C" w14:paraId="64D5B012" w14:textId="77777777">
            <w:pPr>
              <w:jc w:val="center"/>
            </w:pPr>
            <w:r w:rsidRPr="00C96C2C">
              <w:t>12</w:t>
            </w:r>
          </w:p>
        </w:tc>
        <w:tc>
          <w:tcPr>
            <w:tcW w:w="2010" w:type="dxa"/>
          </w:tcPr>
          <w:p w:rsidR="00C96C2C" w:rsidRPr="00C96C2C" w:rsidP="00C96C2C" w14:paraId="74D08032" w14:textId="77777777">
            <w:pPr>
              <w:jc w:val="center"/>
            </w:pPr>
            <w:r w:rsidRPr="00C96C2C">
              <w:t>16 hrs.</w:t>
            </w:r>
          </w:p>
          <w:p w:rsidR="00C96C2C" w:rsidRPr="00C96C2C" w:rsidP="00C96C2C" w14:paraId="7DD30050" w14:textId="77777777">
            <w:pPr>
              <w:jc w:val="center"/>
            </w:pPr>
            <w:r w:rsidRPr="00C96C2C">
              <w:t>$1,392</w:t>
            </w:r>
          </w:p>
        </w:tc>
        <w:tc>
          <w:tcPr>
            <w:tcW w:w="1913" w:type="dxa"/>
          </w:tcPr>
          <w:p w:rsidR="00C96C2C" w:rsidRPr="00C96C2C" w:rsidP="00C96C2C" w14:paraId="22BFEA89" w14:textId="77777777">
            <w:pPr>
              <w:jc w:val="center"/>
            </w:pPr>
            <w:r w:rsidRPr="00C96C2C">
              <w:t>144 hrs.</w:t>
            </w:r>
          </w:p>
          <w:p w:rsidR="00C96C2C" w:rsidRPr="00C96C2C" w:rsidP="00C96C2C" w14:paraId="37954BC8" w14:textId="77777777">
            <w:pPr>
              <w:jc w:val="center"/>
            </w:pPr>
            <w:r w:rsidRPr="00C96C2C">
              <w:t>$16,704</w:t>
            </w:r>
          </w:p>
        </w:tc>
      </w:tr>
      <w:tr w14:paraId="3B37078F" w14:textId="77777777" w:rsidTr="003E31AC">
        <w:tblPrEx>
          <w:tblW w:w="10278" w:type="dxa"/>
          <w:tblLayout w:type="fixed"/>
          <w:tblLook w:val="04A0"/>
        </w:tblPrEx>
        <w:tc>
          <w:tcPr>
            <w:tcW w:w="2109" w:type="dxa"/>
          </w:tcPr>
          <w:p w:rsidR="00C96C2C" w:rsidRPr="00C96C2C" w:rsidP="00C96C2C" w14:paraId="26966521" w14:textId="77777777">
            <w:pPr>
              <w:rPr>
                <w:b/>
              </w:rPr>
            </w:pPr>
            <w:r w:rsidRPr="00C96C2C">
              <w:rPr>
                <w:b/>
              </w:rPr>
              <w:t>Sub-Total for FERC-725Z</w:t>
            </w:r>
          </w:p>
        </w:tc>
        <w:tc>
          <w:tcPr>
            <w:tcW w:w="1480" w:type="dxa"/>
          </w:tcPr>
          <w:p w:rsidR="00C96C2C" w:rsidRPr="00C96C2C" w:rsidP="00C96C2C" w14:paraId="72B26D3D" w14:textId="77777777">
            <w:pPr>
              <w:rPr>
                <w:b/>
              </w:rPr>
            </w:pPr>
          </w:p>
        </w:tc>
        <w:tc>
          <w:tcPr>
            <w:tcW w:w="1360" w:type="dxa"/>
          </w:tcPr>
          <w:p w:rsidR="00C96C2C" w:rsidRPr="00C96C2C" w:rsidP="00C96C2C" w14:paraId="4215BD96" w14:textId="77777777"/>
        </w:tc>
        <w:tc>
          <w:tcPr>
            <w:tcW w:w="1406" w:type="dxa"/>
          </w:tcPr>
          <w:p w:rsidR="00C96C2C" w:rsidRPr="00C96C2C" w:rsidP="00C96C2C" w14:paraId="57170A38" w14:textId="77777777">
            <w:pPr>
              <w:jc w:val="center"/>
              <w:rPr>
                <w:b/>
                <w:bCs/>
              </w:rPr>
            </w:pPr>
            <w:r w:rsidRPr="00C96C2C">
              <w:rPr>
                <w:b/>
                <w:bCs/>
              </w:rPr>
              <w:t>24</w:t>
            </w:r>
          </w:p>
        </w:tc>
        <w:tc>
          <w:tcPr>
            <w:tcW w:w="2010" w:type="dxa"/>
          </w:tcPr>
          <w:p w:rsidR="00C96C2C" w:rsidRPr="00C96C2C" w:rsidP="00C96C2C" w14:paraId="29EFE14F" w14:textId="77777777">
            <w:pPr>
              <w:jc w:val="center"/>
            </w:pPr>
          </w:p>
        </w:tc>
        <w:tc>
          <w:tcPr>
            <w:tcW w:w="1913" w:type="dxa"/>
          </w:tcPr>
          <w:p w:rsidR="00C96C2C" w:rsidRPr="00C96C2C" w:rsidP="00C96C2C" w14:paraId="72A35ACE" w14:textId="77777777">
            <w:pPr>
              <w:jc w:val="center"/>
              <w:rPr>
                <w:b/>
                <w:bCs/>
              </w:rPr>
            </w:pPr>
            <w:r w:rsidRPr="00C96C2C">
              <w:rPr>
                <w:b/>
                <w:bCs/>
              </w:rPr>
              <w:t>528 hrs.</w:t>
            </w:r>
          </w:p>
          <w:p w:rsidR="00C96C2C" w:rsidRPr="00C96C2C" w:rsidP="00C96C2C" w14:paraId="7FDF7922" w14:textId="77777777">
            <w:pPr>
              <w:jc w:val="center"/>
              <w:rPr>
                <w:b/>
                <w:bCs/>
              </w:rPr>
            </w:pPr>
            <w:r w:rsidRPr="00C96C2C">
              <w:rPr>
                <w:b/>
                <w:bCs/>
              </w:rPr>
              <w:t>$50,112</w:t>
            </w:r>
          </w:p>
        </w:tc>
      </w:tr>
      <w:tr w14:paraId="6603CFFB" w14:textId="77777777" w:rsidTr="00C96C2C">
        <w:tblPrEx>
          <w:tblW w:w="10278" w:type="dxa"/>
          <w:tblLayout w:type="fixed"/>
          <w:tblLook w:val="04A0"/>
        </w:tblPrEx>
        <w:tc>
          <w:tcPr>
            <w:tcW w:w="10278" w:type="dxa"/>
            <w:gridSpan w:val="6"/>
            <w:shd w:val="clear" w:color="auto" w:fill="D9D9D9"/>
          </w:tcPr>
          <w:p w:rsidR="00C96C2C" w:rsidRPr="00C96C2C" w:rsidP="00C96C2C" w14:paraId="4929DCAE" w14:textId="77777777">
            <w:pPr>
              <w:jc w:val="center"/>
              <w:rPr>
                <w:b/>
              </w:rPr>
            </w:pPr>
            <w:r w:rsidRPr="00C96C2C">
              <w:rPr>
                <w:b/>
              </w:rPr>
              <w:t>FERC-725A</w:t>
            </w:r>
          </w:p>
        </w:tc>
      </w:tr>
      <w:tr w14:paraId="5883844F" w14:textId="77777777" w:rsidTr="00C96C2C">
        <w:tblPrEx>
          <w:tblW w:w="10278" w:type="dxa"/>
          <w:tblLayout w:type="fixed"/>
          <w:tblLook w:val="04A0"/>
        </w:tblPrEx>
        <w:tc>
          <w:tcPr>
            <w:tcW w:w="10278" w:type="dxa"/>
            <w:gridSpan w:val="6"/>
            <w:shd w:val="clear" w:color="auto" w:fill="D9D9D9"/>
          </w:tcPr>
          <w:p w:rsidR="00C96C2C" w:rsidRPr="00C96C2C" w:rsidP="00C96C2C" w14:paraId="3B4EC90B" w14:textId="77777777">
            <w:pPr>
              <w:rPr>
                <w:b/>
              </w:rPr>
            </w:pPr>
            <w:r w:rsidRPr="00C96C2C">
              <w:rPr>
                <w:b/>
              </w:rPr>
              <w:t>One Time Estimate Years 1 and 2</w:t>
            </w:r>
          </w:p>
        </w:tc>
      </w:tr>
      <w:tr w14:paraId="7DE4A9D6" w14:textId="77777777" w:rsidTr="003E31AC">
        <w:tblPrEx>
          <w:tblW w:w="10278" w:type="dxa"/>
          <w:tblLayout w:type="fixed"/>
          <w:tblLook w:val="04A0"/>
        </w:tblPrEx>
        <w:trPr>
          <w:trHeight w:val="332"/>
        </w:trPr>
        <w:tc>
          <w:tcPr>
            <w:tcW w:w="2109" w:type="dxa"/>
          </w:tcPr>
          <w:p w:rsidR="00C96C2C" w:rsidRPr="00C96C2C" w:rsidP="00C96C2C" w14:paraId="4877B852" w14:textId="77777777">
            <w:r w:rsidRPr="00C96C2C">
              <w:t>TOP-001-6</w:t>
            </w:r>
            <w:r>
              <w:rPr>
                <w:b/>
                <w:szCs w:val="26"/>
                <w:vertAlign w:val="superscript"/>
              </w:rPr>
              <w:footnoteReference w:id="21"/>
            </w:r>
          </w:p>
        </w:tc>
        <w:tc>
          <w:tcPr>
            <w:tcW w:w="1480" w:type="dxa"/>
          </w:tcPr>
          <w:p w:rsidR="00C96C2C" w:rsidRPr="00C96C2C" w:rsidP="00C96C2C" w14:paraId="33E6F1AA" w14:textId="77777777">
            <w:r w:rsidRPr="00C96C2C">
              <w:t>TOP (168)</w:t>
            </w:r>
          </w:p>
        </w:tc>
        <w:tc>
          <w:tcPr>
            <w:tcW w:w="1360" w:type="dxa"/>
          </w:tcPr>
          <w:p w:rsidR="00C96C2C" w:rsidRPr="00C96C2C" w:rsidP="00C96C2C" w14:paraId="3DD1D25C" w14:textId="77777777">
            <w:pPr>
              <w:jc w:val="center"/>
            </w:pPr>
            <w:r w:rsidRPr="00C96C2C">
              <w:t>1</w:t>
            </w:r>
          </w:p>
        </w:tc>
        <w:tc>
          <w:tcPr>
            <w:tcW w:w="1406" w:type="dxa"/>
          </w:tcPr>
          <w:p w:rsidR="00C96C2C" w:rsidRPr="00C96C2C" w:rsidP="00C96C2C" w14:paraId="357FF7D4" w14:textId="77777777">
            <w:pPr>
              <w:jc w:val="center"/>
            </w:pPr>
            <w:r w:rsidRPr="00C96C2C">
              <w:t>168</w:t>
            </w:r>
          </w:p>
        </w:tc>
        <w:tc>
          <w:tcPr>
            <w:tcW w:w="2010" w:type="dxa"/>
          </w:tcPr>
          <w:p w:rsidR="00C96C2C" w:rsidRPr="00C96C2C" w:rsidP="00C96C2C" w14:paraId="095342C8" w14:textId="77777777">
            <w:pPr>
              <w:jc w:val="center"/>
            </w:pPr>
            <w:r w:rsidRPr="00C96C2C">
              <w:t>32 hrs.</w:t>
            </w:r>
          </w:p>
          <w:p w:rsidR="00C96C2C" w:rsidRPr="00C96C2C" w:rsidP="00C96C2C" w14:paraId="5A35A010" w14:textId="77777777">
            <w:pPr>
              <w:jc w:val="center"/>
            </w:pPr>
            <w:r w:rsidRPr="00C96C2C">
              <w:t>$2,784</w:t>
            </w:r>
          </w:p>
        </w:tc>
        <w:tc>
          <w:tcPr>
            <w:tcW w:w="1913" w:type="dxa"/>
          </w:tcPr>
          <w:p w:rsidR="00C96C2C" w:rsidRPr="00C96C2C" w:rsidP="00C96C2C" w14:paraId="564A627F" w14:textId="77777777">
            <w:pPr>
              <w:jc w:val="center"/>
            </w:pPr>
            <w:r w:rsidRPr="00C96C2C">
              <w:t>5,376 hrs.</w:t>
            </w:r>
          </w:p>
          <w:p w:rsidR="00C96C2C" w:rsidRPr="00C96C2C" w:rsidP="00C96C2C" w14:paraId="7EB1966C" w14:textId="77777777">
            <w:pPr>
              <w:jc w:val="center"/>
            </w:pPr>
            <w:r w:rsidRPr="00C96C2C">
              <w:t>$467,712</w:t>
            </w:r>
          </w:p>
        </w:tc>
      </w:tr>
      <w:tr w14:paraId="6BCB6F01" w14:textId="77777777" w:rsidTr="00C96C2C">
        <w:tblPrEx>
          <w:tblW w:w="10278" w:type="dxa"/>
          <w:tblLayout w:type="fixed"/>
          <w:tblLook w:val="04A0"/>
        </w:tblPrEx>
        <w:trPr>
          <w:trHeight w:val="332"/>
        </w:trPr>
        <w:tc>
          <w:tcPr>
            <w:tcW w:w="10278" w:type="dxa"/>
            <w:gridSpan w:val="6"/>
            <w:shd w:val="clear" w:color="auto" w:fill="D9D9D9"/>
          </w:tcPr>
          <w:p w:rsidR="00C96C2C" w:rsidRPr="00C96C2C" w:rsidP="00C96C2C" w14:paraId="485479A4" w14:textId="77777777">
            <w:pPr>
              <w:rPr>
                <w:b/>
                <w:bCs/>
              </w:rPr>
            </w:pPr>
            <w:r w:rsidRPr="00C96C2C">
              <w:rPr>
                <w:b/>
                <w:bCs/>
              </w:rPr>
              <w:t xml:space="preserve">Ongoing Estimate </w:t>
            </w:r>
            <w:r w:rsidRPr="00C96C2C">
              <w:rPr>
                <w:b/>
              </w:rPr>
              <w:t>Year 3 ongoing</w:t>
            </w:r>
          </w:p>
        </w:tc>
      </w:tr>
      <w:tr w14:paraId="7D0A7B12" w14:textId="77777777" w:rsidTr="003E31AC">
        <w:tblPrEx>
          <w:tblW w:w="10278" w:type="dxa"/>
          <w:tblLayout w:type="fixed"/>
          <w:tblLook w:val="04A0"/>
        </w:tblPrEx>
        <w:trPr>
          <w:trHeight w:val="332"/>
        </w:trPr>
        <w:tc>
          <w:tcPr>
            <w:tcW w:w="2109" w:type="dxa"/>
          </w:tcPr>
          <w:p w:rsidR="00C96C2C" w:rsidRPr="00C96C2C" w:rsidP="00C96C2C" w14:paraId="766E5ED0" w14:textId="77777777">
            <w:r w:rsidRPr="00C96C2C">
              <w:t>TOP-001-6</w:t>
            </w:r>
          </w:p>
        </w:tc>
        <w:tc>
          <w:tcPr>
            <w:tcW w:w="1480" w:type="dxa"/>
          </w:tcPr>
          <w:p w:rsidR="00C96C2C" w:rsidRPr="00C96C2C" w:rsidP="00C96C2C" w14:paraId="03384FAC" w14:textId="77777777">
            <w:r w:rsidRPr="00C96C2C">
              <w:t>TOP (168)</w:t>
            </w:r>
          </w:p>
        </w:tc>
        <w:tc>
          <w:tcPr>
            <w:tcW w:w="1360" w:type="dxa"/>
          </w:tcPr>
          <w:p w:rsidR="00C96C2C" w:rsidRPr="00C96C2C" w:rsidP="00C96C2C" w14:paraId="22552193" w14:textId="77777777">
            <w:pPr>
              <w:jc w:val="center"/>
            </w:pPr>
            <w:r w:rsidRPr="00C96C2C">
              <w:t>1</w:t>
            </w:r>
          </w:p>
        </w:tc>
        <w:tc>
          <w:tcPr>
            <w:tcW w:w="1406" w:type="dxa"/>
          </w:tcPr>
          <w:p w:rsidR="00C96C2C" w:rsidRPr="00C96C2C" w:rsidP="00C96C2C" w14:paraId="36F5BEB3" w14:textId="77777777">
            <w:pPr>
              <w:jc w:val="center"/>
            </w:pPr>
            <w:r w:rsidRPr="00C96C2C">
              <w:t>168</w:t>
            </w:r>
          </w:p>
        </w:tc>
        <w:tc>
          <w:tcPr>
            <w:tcW w:w="2010" w:type="dxa"/>
          </w:tcPr>
          <w:p w:rsidR="00C96C2C" w:rsidRPr="00C96C2C" w:rsidP="00C96C2C" w14:paraId="0CA1AFA6" w14:textId="77777777">
            <w:pPr>
              <w:jc w:val="center"/>
            </w:pPr>
            <w:r w:rsidRPr="00C96C2C">
              <w:t>16 hrs.</w:t>
            </w:r>
          </w:p>
          <w:p w:rsidR="00C96C2C" w:rsidRPr="00C96C2C" w:rsidP="00C96C2C" w14:paraId="31DC25E2" w14:textId="77777777">
            <w:pPr>
              <w:jc w:val="center"/>
            </w:pPr>
            <w:r w:rsidRPr="00C96C2C">
              <w:t>$1,392</w:t>
            </w:r>
          </w:p>
        </w:tc>
        <w:tc>
          <w:tcPr>
            <w:tcW w:w="1913" w:type="dxa"/>
          </w:tcPr>
          <w:p w:rsidR="00C96C2C" w:rsidRPr="00C96C2C" w:rsidP="00C96C2C" w14:paraId="65A619E1" w14:textId="77777777">
            <w:pPr>
              <w:jc w:val="center"/>
            </w:pPr>
            <w:r w:rsidRPr="00C96C2C">
              <w:t>2,688hrs</w:t>
            </w:r>
          </w:p>
          <w:p w:rsidR="00C96C2C" w:rsidRPr="00C96C2C" w:rsidP="00C96C2C" w14:paraId="303BB138" w14:textId="77777777">
            <w:pPr>
              <w:jc w:val="center"/>
            </w:pPr>
            <w:r w:rsidRPr="00C96C2C">
              <w:t>$233,856</w:t>
            </w:r>
          </w:p>
        </w:tc>
      </w:tr>
      <w:tr w14:paraId="1DC46558" w14:textId="77777777" w:rsidTr="00C96C2C">
        <w:tblPrEx>
          <w:tblW w:w="10278" w:type="dxa"/>
          <w:tblLayout w:type="fixed"/>
          <w:tblLook w:val="04A0"/>
        </w:tblPrEx>
        <w:tc>
          <w:tcPr>
            <w:tcW w:w="2109" w:type="dxa"/>
          </w:tcPr>
          <w:p w:rsidR="00C96C2C" w:rsidRPr="00C96C2C" w:rsidP="00C96C2C" w14:paraId="1620578E" w14:textId="77777777">
            <w:pPr>
              <w:rPr>
                <w:b/>
              </w:rPr>
            </w:pPr>
            <w:r w:rsidRPr="00C96C2C">
              <w:rPr>
                <w:b/>
              </w:rPr>
              <w:t xml:space="preserve">Sub-Total for </w:t>
            </w:r>
            <w:bookmarkStart w:id="2" w:name="_Hlk94014315"/>
            <w:r w:rsidRPr="00C96C2C">
              <w:rPr>
                <w:b/>
              </w:rPr>
              <w:t>FERC-725A</w:t>
            </w:r>
            <w:bookmarkEnd w:id="2"/>
          </w:p>
        </w:tc>
        <w:tc>
          <w:tcPr>
            <w:tcW w:w="1480" w:type="dxa"/>
            <w:shd w:val="clear" w:color="auto" w:fill="D9D9D9"/>
          </w:tcPr>
          <w:p w:rsidR="00C96C2C" w:rsidRPr="00C96C2C" w:rsidP="00C96C2C" w14:paraId="71CB995B" w14:textId="77777777">
            <w:pPr>
              <w:rPr>
                <w:b/>
              </w:rPr>
            </w:pPr>
          </w:p>
        </w:tc>
        <w:tc>
          <w:tcPr>
            <w:tcW w:w="1360" w:type="dxa"/>
            <w:shd w:val="clear" w:color="auto" w:fill="D9D9D9"/>
          </w:tcPr>
          <w:p w:rsidR="00C96C2C" w:rsidRPr="00C96C2C" w:rsidP="00C96C2C" w14:paraId="2AC72FCC" w14:textId="77777777">
            <w:pPr>
              <w:jc w:val="center"/>
            </w:pPr>
          </w:p>
        </w:tc>
        <w:tc>
          <w:tcPr>
            <w:tcW w:w="1406" w:type="dxa"/>
          </w:tcPr>
          <w:p w:rsidR="00C96C2C" w:rsidRPr="00C96C2C" w:rsidP="00C96C2C" w14:paraId="368162C7" w14:textId="77777777">
            <w:pPr>
              <w:jc w:val="center"/>
              <w:rPr>
                <w:b/>
              </w:rPr>
            </w:pPr>
            <w:r w:rsidRPr="00C96C2C">
              <w:rPr>
                <w:b/>
              </w:rPr>
              <w:t>336</w:t>
            </w:r>
          </w:p>
        </w:tc>
        <w:tc>
          <w:tcPr>
            <w:tcW w:w="2010" w:type="dxa"/>
            <w:shd w:val="clear" w:color="auto" w:fill="D9D9D9"/>
          </w:tcPr>
          <w:p w:rsidR="00C96C2C" w:rsidRPr="00C96C2C" w:rsidP="00C96C2C" w14:paraId="1CB73294" w14:textId="77777777">
            <w:pPr>
              <w:jc w:val="center"/>
            </w:pPr>
          </w:p>
        </w:tc>
        <w:tc>
          <w:tcPr>
            <w:tcW w:w="1913" w:type="dxa"/>
          </w:tcPr>
          <w:p w:rsidR="00C96C2C" w:rsidRPr="00C96C2C" w:rsidP="00C96C2C" w14:paraId="3B1C19C7" w14:textId="77777777">
            <w:pPr>
              <w:jc w:val="center"/>
              <w:rPr>
                <w:b/>
              </w:rPr>
            </w:pPr>
            <w:r w:rsidRPr="00C96C2C">
              <w:rPr>
                <w:b/>
              </w:rPr>
              <w:t>8,064 hrs.</w:t>
            </w:r>
          </w:p>
          <w:p w:rsidR="00C96C2C" w:rsidRPr="00C96C2C" w:rsidP="00C96C2C" w14:paraId="4015C21B" w14:textId="77777777">
            <w:pPr>
              <w:jc w:val="center"/>
              <w:rPr>
                <w:b/>
              </w:rPr>
            </w:pPr>
            <w:r w:rsidRPr="00C96C2C">
              <w:rPr>
                <w:b/>
              </w:rPr>
              <w:t>$701,568</w:t>
            </w:r>
          </w:p>
        </w:tc>
      </w:tr>
      <w:tr w14:paraId="70D584A8" w14:textId="77777777" w:rsidTr="00C96C2C">
        <w:tblPrEx>
          <w:tblW w:w="10278" w:type="dxa"/>
          <w:tblLayout w:type="fixed"/>
          <w:tblLook w:val="04A0"/>
        </w:tblPrEx>
        <w:tc>
          <w:tcPr>
            <w:tcW w:w="2109" w:type="dxa"/>
          </w:tcPr>
          <w:p w:rsidR="00C96C2C" w:rsidRPr="00C96C2C" w:rsidP="00C96C2C" w14:paraId="1270AB27" w14:textId="77777777">
            <w:pPr>
              <w:rPr>
                <w:b/>
              </w:rPr>
            </w:pPr>
            <w:r w:rsidRPr="00C96C2C">
              <w:rPr>
                <w:b/>
              </w:rPr>
              <w:t xml:space="preserve">Total Reductions Due to Docket No. </w:t>
            </w:r>
            <w:r w:rsidRPr="00C96C2C">
              <w:rPr>
                <w:b/>
                <w:bCs/>
              </w:rPr>
              <w:t>RD22-2-000</w:t>
            </w:r>
          </w:p>
        </w:tc>
        <w:tc>
          <w:tcPr>
            <w:tcW w:w="1480" w:type="dxa"/>
            <w:shd w:val="clear" w:color="auto" w:fill="D9D9D9"/>
          </w:tcPr>
          <w:p w:rsidR="00C96C2C" w:rsidRPr="00C96C2C" w:rsidP="00C96C2C" w14:paraId="0762A3E7" w14:textId="77777777"/>
        </w:tc>
        <w:tc>
          <w:tcPr>
            <w:tcW w:w="1360" w:type="dxa"/>
            <w:shd w:val="clear" w:color="auto" w:fill="D9D9D9"/>
          </w:tcPr>
          <w:p w:rsidR="00C96C2C" w:rsidRPr="00C96C2C" w:rsidP="00C96C2C" w14:paraId="6E369940" w14:textId="77777777">
            <w:pPr>
              <w:jc w:val="center"/>
            </w:pPr>
          </w:p>
        </w:tc>
        <w:tc>
          <w:tcPr>
            <w:tcW w:w="1406" w:type="dxa"/>
          </w:tcPr>
          <w:p w:rsidR="00C96C2C" w:rsidRPr="00C96C2C" w:rsidP="00C96C2C" w14:paraId="3FA21F44" w14:textId="77777777">
            <w:pPr>
              <w:rPr>
                <w:b/>
              </w:rPr>
            </w:pPr>
          </w:p>
        </w:tc>
        <w:tc>
          <w:tcPr>
            <w:tcW w:w="2010" w:type="dxa"/>
            <w:shd w:val="clear" w:color="auto" w:fill="D9D9D9"/>
          </w:tcPr>
          <w:p w:rsidR="00C96C2C" w:rsidRPr="00C96C2C" w:rsidP="00C96C2C" w14:paraId="499646A6" w14:textId="77777777">
            <w:pPr>
              <w:jc w:val="center"/>
            </w:pPr>
          </w:p>
        </w:tc>
        <w:tc>
          <w:tcPr>
            <w:tcW w:w="1913" w:type="dxa"/>
          </w:tcPr>
          <w:p w:rsidR="00C96C2C" w:rsidRPr="00C96C2C" w:rsidP="00C96C2C" w14:paraId="25212B11" w14:textId="77777777">
            <w:pPr>
              <w:jc w:val="center"/>
              <w:rPr>
                <w:b/>
              </w:rPr>
            </w:pPr>
            <w:r w:rsidRPr="00C96C2C">
              <w:rPr>
                <w:b/>
              </w:rPr>
              <w:t>99,008 hrs.</w:t>
            </w:r>
          </w:p>
          <w:p w:rsidR="00C96C2C" w:rsidRPr="00C96C2C" w:rsidP="00C96C2C" w14:paraId="047E0013" w14:textId="77777777">
            <w:pPr>
              <w:jc w:val="center"/>
              <w:rPr>
                <w:b/>
              </w:rPr>
            </w:pPr>
            <w:r w:rsidRPr="00C96C2C">
              <w:rPr>
                <w:b/>
              </w:rPr>
              <w:t>$8,667,984</w:t>
            </w:r>
          </w:p>
        </w:tc>
      </w:tr>
    </w:tbl>
    <w:p w:rsidR="00C96C2C" w:rsidRPr="00C96C2C" w:rsidP="00C96C2C" w14:paraId="4A4F243B" w14:textId="77777777">
      <w:pPr>
        <w:spacing w:after="0" w:line="240" w:lineRule="auto"/>
        <w:rPr>
          <w:rFonts w:ascii="Times New Roman" w:eastAsia="Times New Roman" w:hAnsi="Times New Roman" w:cs="Times New Roman"/>
          <w:sz w:val="26"/>
          <w:szCs w:val="24"/>
          <w:u w:val="single"/>
        </w:rPr>
      </w:pPr>
    </w:p>
    <w:p w:rsidR="00C96C2C" w:rsidRPr="00C96C2C" w:rsidP="00C96C2C" w14:paraId="592DC75F" w14:textId="77777777">
      <w:pPr>
        <w:spacing w:after="0" w:line="240" w:lineRule="auto"/>
        <w:rPr>
          <w:rFonts w:ascii="Times New Roman" w:eastAsia="Times New Roman" w:hAnsi="Times New Roman" w:cs="Times New Roman"/>
          <w:sz w:val="26"/>
          <w:szCs w:val="24"/>
        </w:rPr>
      </w:pPr>
    </w:p>
    <w:p w:rsidR="00C96C2C" w:rsidRPr="00824795" w:rsidP="00824795" w14:paraId="70AF7FB0" w14:textId="77777777">
      <w:pPr>
        <w:spacing w:after="0" w:line="240" w:lineRule="auto"/>
        <w:rPr>
          <w:rFonts w:ascii="Times New Roman" w:hAnsi="Times New Roman" w:cs="Times New Roman"/>
          <w:b/>
          <w:sz w:val="24"/>
          <w:szCs w:val="24"/>
        </w:rPr>
      </w:pPr>
    </w:p>
    <w:p w:rsidR="009234F6" w:rsidRPr="009234F6" w:rsidP="009234F6" w14:paraId="20DC6BC7" w14:textId="77777777">
      <w:pPr>
        <w:spacing w:after="0" w:line="240" w:lineRule="auto"/>
        <w:rPr>
          <w:rFonts w:ascii="Times New Roman" w:hAnsi="Times New Roman" w:cs="Times New Roman"/>
          <w:b/>
          <w:bCs/>
          <w:sz w:val="24"/>
          <w:szCs w:val="24"/>
        </w:rPr>
      </w:pPr>
    </w:p>
    <w:p w:rsidR="00D80FBD" w:rsidRPr="00BD0FD5" w:rsidP="0092596C" w14:paraId="6E56DD0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 OF THE TOTAL ANNUAL COST BURDEN TO RESPONDENTS</w:t>
      </w:r>
    </w:p>
    <w:p w:rsidR="00E636D7" w:rsidRPr="00BD0FD5" w:rsidP="0092596C" w14:paraId="156AFB31" w14:textId="77777777">
      <w:pPr>
        <w:spacing w:after="0" w:line="240" w:lineRule="auto"/>
        <w:rPr>
          <w:rFonts w:ascii="Times New Roman" w:hAnsi="Times New Roman" w:cs="Times New Roman"/>
          <w:sz w:val="24"/>
          <w:szCs w:val="24"/>
        </w:rPr>
      </w:pPr>
    </w:p>
    <w:p w:rsidR="004552E9" w:rsidRPr="00BD0FD5" w:rsidP="0092596C" w14:paraId="44333495"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is no start-up or other non-labor hour cost associated with </w:t>
      </w:r>
      <w:r w:rsidRPr="00BD0FD5" w:rsidR="006A5231">
        <w:rPr>
          <w:rFonts w:ascii="Times New Roman" w:hAnsi="Times New Roman"/>
          <w:sz w:val="24"/>
          <w:szCs w:val="24"/>
        </w:rPr>
        <w:t>this collection</w:t>
      </w:r>
      <w:r w:rsidRPr="00BD0FD5">
        <w:rPr>
          <w:rFonts w:ascii="Times New Roman" w:hAnsi="Times New Roman"/>
          <w:sz w:val="24"/>
          <w:szCs w:val="24"/>
        </w:rPr>
        <w:t xml:space="preserve">.  </w:t>
      </w:r>
    </w:p>
    <w:p w:rsidR="00E636D7" w:rsidRPr="00BD0FD5" w:rsidP="0092596C" w14:paraId="7B75114A" w14:textId="77777777">
      <w:pPr>
        <w:spacing w:after="0" w:line="240" w:lineRule="auto"/>
        <w:rPr>
          <w:rFonts w:ascii="Times New Roman" w:hAnsi="Times New Roman" w:cs="Times New Roman"/>
          <w:sz w:val="24"/>
          <w:szCs w:val="24"/>
        </w:rPr>
      </w:pPr>
    </w:p>
    <w:p w:rsidR="00E636D7" w:rsidRPr="00BD0FD5" w:rsidP="0092596C" w14:paraId="552549E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rsidR="00A276F5" w:rsidRPr="00BD0FD5" w:rsidP="0092596C" w14:paraId="129207A8" w14:textId="77777777">
      <w:pPr>
        <w:spacing w:after="0" w:line="240" w:lineRule="auto"/>
        <w:rPr>
          <w:rFonts w:ascii="Times New Roman" w:hAnsi="Times New Roman" w:cs="Times New Roman"/>
          <w:sz w:val="24"/>
          <w:szCs w:val="24"/>
        </w:rPr>
      </w:pPr>
    </w:p>
    <w:p w:rsidR="001B66CF" w:rsidRPr="001B66CF" w:rsidP="001B66CF" w14:paraId="20A89DBE" w14:textId="77777777">
      <w:pPr>
        <w:spacing w:after="0" w:line="240" w:lineRule="auto"/>
        <w:rPr>
          <w:rFonts w:ascii="Times New Roman" w:eastAsia="Calibri" w:hAnsi="Times New Roman" w:cs="Times New Roman"/>
          <w:sz w:val="26"/>
          <w:szCs w:val="26"/>
        </w:rPr>
      </w:pPr>
      <w:r w:rsidRPr="001B66CF">
        <w:rPr>
          <w:rFonts w:ascii="Times New Roman" w:eastAsia="Calibri" w:hAnsi="Times New Roman" w:cs="Times New Roman"/>
          <w:sz w:val="26"/>
          <w:szCs w:val="26"/>
        </w:rPr>
        <w:t>The estimate of the cost for ‘analysis and processing of filings’</w:t>
      </w:r>
      <w:r>
        <w:rPr>
          <w:rFonts w:ascii="Times New Roman" w:eastAsia="Calibri" w:hAnsi="Times New Roman" w:cs="Times New Roman"/>
          <w:sz w:val="26"/>
          <w:szCs w:val="26"/>
          <w:vertAlign w:val="superscript"/>
        </w:rPr>
        <w:footnoteReference w:id="22"/>
      </w:r>
      <w:r w:rsidRPr="001B66CF">
        <w:rPr>
          <w:rFonts w:ascii="Times New Roman" w:eastAsia="Calibri" w:hAnsi="Times New Roman" w:cs="Times New Roman"/>
          <w:sz w:val="26"/>
          <w:szCs w:val="26"/>
          <w:vertAlign w:val="superscript"/>
        </w:rPr>
        <w:t xml:space="preserve"> </w:t>
      </w:r>
      <w:r w:rsidRPr="001B66CF">
        <w:rPr>
          <w:rFonts w:ascii="Times New Roman" w:eastAsia="Calibri"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1B66CF" w:rsidP="001B66CF" w14:paraId="7FB8557D" w14:textId="77777777">
      <w:pPr>
        <w:spacing w:after="0" w:line="240" w:lineRule="auto"/>
        <w:rPr>
          <w:rFonts w:ascii="Times New Roman" w:eastAsia="Calibri" w:hAnsi="Times New Roman" w:cs="Times New Roman"/>
          <w:sz w:val="26"/>
          <w:szCs w:val="26"/>
        </w:rPr>
      </w:pPr>
    </w:p>
    <w:p w:rsidR="001B66CF" w:rsidRPr="001B66CF" w:rsidP="001B66CF" w14:paraId="5DB4A9F3" w14:textId="77777777">
      <w:pPr>
        <w:spacing w:after="0" w:line="240" w:lineRule="auto"/>
        <w:rPr>
          <w:rFonts w:ascii="Times New Roman" w:eastAsia="Calibri" w:hAnsi="Times New Roman" w:cs="Times New Roman"/>
          <w:sz w:val="26"/>
          <w:szCs w:val="26"/>
        </w:rPr>
      </w:pPr>
      <w:r w:rsidRPr="001B66CF">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1B66CF" w:rsidP="001B66CF"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354626" w:rsidP="00D517AE" w14:paraId="575EED8D" w14:textId="36685081">
            <w:pPr>
              <w:autoSpaceDE w:val="0"/>
              <w:autoSpaceDN w:val="0"/>
              <w:adjustRightInd w:val="0"/>
              <w:spacing w:after="0" w:line="240" w:lineRule="auto"/>
              <w:jc w:val="center"/>
              <w:rPr>
                <w:rFonts w:ascii="Times New Roman" w:eastAsia="Times New Roman" w:hAnsi="Times New Roman" w:cs="Times New Roman"/>
                <w:b/>
                <w:bCs/>
                <w:sz w:val="26"/>
                <w:szCs w:val="26"/>
              </w:rPr>
            </w:pPr>
            <w:r w:rsidRPr="00354626">
              <w:rPr>
                <w:rFonts w:ascii="Times New Roman" w:eastAsia="Times New Roman" w:hAnsi="Times New Roman" w:cs="Times New Roman"/>
                <w:b/>
                <w:bCs/>
                <w:sz w:val="26"/>
                <w:szCs w:val="26"/>
              </w:rPr>
              <w:t>FERC-725A, FERC-725D, FERC-725G, FERC-725M and FERC-725Z</w:t>
            </w:r>
            <w:r w:rsidR="007D2B60">
              <w:rPr>
                <w:rFonts w:ascii="Times New Roman" w:eastAsia="Times New Roman" w:hAnsi="Times New Roman" w:cs="Times New Roman"/>
                <w:b/>
                <w:bCs/>
                <w:sz w:val="26"/>
                <w:szCs w:val="26"/>
              </w:rPr>
              <w:t xml:space="preserve"> (each)</w:t>
            </w:r>
          </w:p>
        </w:tc>
        <w:tc>
          <w:tcPr>
            <w:tcW w:w="3201" w:type="dxa"/>
            <w:shd w:val="clear" w:color="auto" w:fill="CCCCCC"/>
          </w:tcPr>
          <w:p w:rsidR="001B66CF" w:rsidRPr="001B66CF" w:rsidP="001B66CF" w14:paraId="6FCC20A6"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Number of Employees (FTEs)</w:t>
            </w:r>
          </w:p>
        </w:tc>
        <w:tc>
          <w:tcPr>
            <w:tcW w:w="3985" w:type="dxa"/>
            <w:shd w:val="clear" w:color="auto" w:fill="CCCCCC"/>
          </w:tcPr>
          <w:p w:rsidR="001B66CF" w:rsidRPr="001B66CF" w:rsidP="001B66CF" w14:paraId="050D65C3"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Estimated Annual Federal Cost</w:t>
            </w:r>
          </w:p>
        </w:tc>
      </w:tr>
      <w:tr w14:paraId="42CA9A47" w14:textId="77777777" w:rsidTr="007C5EB4">
        <w:tblPrEx>
          <w:tblW w:w="10368" w:type="dxa"/>
          <w:tblLook w:val="01E0"/>
        </w:tblPrEx>
        <w:tc>
          <w:tcPr>
            <w:tcW w:w="3182" w:type="dxa"/>
            <w:shd w:val="clear" w:color="auto" w:fill="auto"/>
          </w:tcPr>
          <w:p w:rsidR="001B66CF" w:rsidRPr="001B66CF" w:rsidP="001B66CF" w14:paraId="682081B7" w14:textId="77777777">
            <w:pPr>
              <w:autoSpaceDE w:val="0"/>
              <w:autoSpaceDN w:val="0"/>
              <w:adjustRightInd w:val="0"/>
              <w:spacing w:after="0" w:line="240" w:lineRule="auto"/>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Analysis and Processing of filings</w:t>
            </w:r>
          </w:p>
        </w:tc>
        <w:tc>
          <w:tcPr>
            <w:tcW w:w="3201" w:type="dxa"/>
            <w:shd w:val="clear" w:color="auto" w:fill="auto"/>
            <w:vAlign w:val="center"/>
          </w:tcPr>
          <w:p w:rsidR="001B66CF" w:rsidRPr="001B66CF" w:rsidP="001B66CF" w14:paraId="421D49AF" w14:textId="6CDE7F74">
            <w:pPr>
              <w:autoSpaceDE w:val="0"/>
              <w:autoSpaceDN w:val="0"/>
              <w:adjustRightInd w:val="0"/>
              <w:spacing w:after="0" w:line="240" w:lineRule="auto"/>
              <w:jc w:val="right"/>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0</w:t>
            </w:r>
          </w:p>
        </w:tc>
        <w:tc>
          <w:tcPr>
            <w:tcW w:w="3985" w:type="dxa"/>
            <w:shd w:val="clear" w:color="auto" w:fill="auto"/>
            <w:vAlign w:val="center"/>
          </w:tcPr>
          <w:p w:rsidR="001B66CF" w:rsidRPr="001B66CF" w:rsidP="001B66CF" w14:paraId="78A0903E" w14:textId="172DFA8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1B66CF">
              <w:rPr>
                <w:rFonts w:ascii="Times New Roman" w:eastAsia="Times New Roman" w:hAnsi="Times New Roman" w:cs="Times New Roman"/>
                <w:sz w:val="26"/>
                <w:szCs w:val="26"/>
              </w:rPr>
              <w:t>$0</w:t>
            </w:r>
          </w:p>
        </w:tc>
      </w:tr>
      <w:tr w14:paraId="2BC4BA8A" w14:textId="77777777" w:rsidTr="007C5EB4">
        <w:tblPrEx>
          <w:tblW w:w="10368" w:type="dxa"/>
          <w:tblLook w:val="01E0"/>
        </w:tblPrEx>
        <w:tc>
          <w:tcPr>
            <w:tcW w:w="3182" w:type="dxa"/>
            <w:shd w:val="clear" w:color="auto" w:fill="auto"/>
          </w:tcPr>
          <w:p w:rsidR="001B66CF" w:rsidRPr="001B66CF" w:rsidP="001B66CF" w14:paraId="718D6417" w14:textId="77777777">
            <w:pPr>
              <w:autoSpaceDE w:val="0"/>
              <w:autoSpaceDN w:val="0"/>
              <w:adjustRightInd w:val="0"/>
              <w:spacing w:after="0" w:line="240" w:lineRule="auto"/>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PRA Administrative Cost</w:t>
            </w:r>
          </w:p>
        </w:tc>
        <w:tc>
          <w:tcPr>
            <w:tcW w:w="3201" w:type="dxa"/>
            <w:shd w:val="clear" w:color="auto" w:fill="auto"/>
            <w:vAlign w:val="center"/>
          </w:tcPr>
          <w:p w:rsidR="001B66CF" w:rsidRPr="001B66CF" w:rsidP="001B66CF" w14:paraId="5845BF70" w14:textId="6C3C97A4">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1B66CF" w:rsidP="001B66CF" w14:paraId="06CE19E9" w14:textId="2E8421B3">
            <w:pPr>
              <w:autoSpaceDE w:val="0"/>
              <w:autoSpaceDN w:val="0"/>
              <w:adjustRightInd w:val="0"/>
              <w:spacing w:after="0" w:line="240" w:lineRule="auto"/>
              <w:jc w:val="right"/>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w:t>
            </w:r>
            <w:r w:rsidR="00D517AE">
              <w:rPr>
                <w:rFonts w:ascii="Times New Roman" w:eastAsia="Times New Roman" w:hAnsi="Times New Roman" w:cs="Times New Roman"/>
                <w:sz w:val="26"/>
                <w:szCs w:val="26"/>
              </w:rPr>
              <w:t>8,279</w:t>
            </w:r>
          </w:p>
        </w:tc>
      </w:tr>
      <w:tr w14:paraId="6B8F4D89" w14:textId="77777777" w:rsidTr="007C5EB4">
        <w:tblPrEx>
          <w:tblW w:w="10368" w:type="dxa"/>
          <w:tblLook w:val="01E0"/>
        </w:tblPrEx>
        <w:tc>
          <w:tcPr>
            <w:tcW w:w="3182" w:type="dxa"/>
            <w:shd w:val="clear" w:color="auto" w:fill="auto"/>
          </w:tcPr>
          <w:p w:rsidR="001B66CF" w:rsidRPr="001B66CF" w:rsidP="001B66CF" w14:paraId="35351122"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FERC Total</w:t>
            </w:r>
          </w:p>
        </w:tc>
        <w:tc>
          <w:tcPr>
            <w:tcW w:w="3201" w:type="dxa"/>
            <w:shd w:val="clear" w:color="auto" w:fill="auto"/>
            <w:vAlign w:val="center"/>
          </w:tcPr>
          <w:p w:rsidR="001B66CF" w:rsidRPr="001B66CF" w:rsidP="001B66CF" w14:paraId="4FDF066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1B66CF" w:rsidP="001B66CF" w14:paraId="3A04F748" w14:textId="2887E862">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1B66CF">
              <w:rPr>
                <w:rFonts w:ascii="Times New Roman" w:eastAsia="Times New Roman" w:hAnsi="Times New Roman" w:cs="Times New Roman"/>
                <w:sz w:val="26"/>
                <w:szCs w:val="26"/>
              </w:rPr>
              <w:t>$</w:t>
            </w:r>
            <w:r w:rsidR="00D517AE">
              <w:rPr>
                <w:rFonts w:ascii="Times New Roman" w:eastAsia="Times New Roman" w:hAnsi="Times New Roman" w:cs="Times New Roman"/>
                <w:sz w:val="26"/>
                <w:szCs w:val="26"/>
              </w:rPr>
              <w:t>8,279</w:t>
            </w:r>
          </w:p>
        </w:tc>
      </w:tr>
    </w:tbl>
    <w:p w:rsidR="001B66CF" w:rsidRPr="001B66CF" w:rsidP="001B66CF" w14:paraId="739E6C70" w14:textId="77777777">
      <w:pPr>
        <w:autoSpaceDE w:val="0"/>
        <w:autoSpaceDN w:val="0"/>
        <w:adjustRightInd w:val="0"/>
        <w:spacing w:after="0" w:line="240" w:lineRule="auto"/>
        <w:rPr>
          <w:rFonts w:ascii="Times New Roman" w:eastAsia="Times New Roman" w:hAnsi="Times New Roman" w:cs="Times New Roman"/>
          <w:sz w:val="26"/>
          <w:szCs w:val="26"/>
        </w:rPr>
      </w:pPr>
    </w:p>
    <w:p w:rsidR="00A276F5" w:rsidP="0092596C" w14:paraId="73EF5D58" w14:textId="7410C7FB">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w:t>
      </w:r>
      <w:r w:rsidR="007D2B60">
        <w:rPr>
          <w:rFonts w:ascii="Times New Roman" w:hAnsi="Times New Roman" w:cs="Times New Roman"/>
          <w:b/>
          <w:sz w:val="24"/>
          <w:szCs w:val="24"/>
        </w:rPr>
        <w:t>E</w:t>
      </w:r>
    </w:p>
    <w:p w:rsidR="007D2B60" w:rsidP="007D2B60" w14:paraId="42D4DEB8" w14:textId="77777777">
      <w:pPr>
        <w:pStyle w:val="ListParagraph"/>
        <w:spacing w:after="0" w:line="240" w:lineRule="auto"/>
        <w:ind w:left="360"/>
        <w:rPr>
          <w:rFonts w:ascii="Times New Roman" w:hAnsi="Times New Roman" w:cs="Times New Roman"/>
          <w:b/>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1461"/>
        <w:gridCol w:w="1620"/>
        <w:gridCol w:w="1430"/>
        <w:gridCol w:w="2171"/>
      </w:tblGrid>
      <w:tr w14:paraId="75BCB3CA" w14:textId="77777777" w:rsidTr="002D1C88">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0896ABBC" w14:textId="77777777">
            <w:pPr>
              <w:spacing w:after="0" w:line="240" w:lineRule="auto"/>
              <w:jc w:val="center"/>
              <w:rPr>
                <w:rFonts w:ascii="Times New Roman" w:eastAsia="Calibri" w:hAnsi="Times New Roman" w:cs="Times New Roman"/>
                <w:b/>
                <w:sz w:val="24"/>
                <w:szCs w:val="24"/>
              </w:rPr>
            </w:pPr>
            <w:r w:rsidRPr="007D2B60">
              <w:rPr>
                <w:rFonts w:ascii="Times New Roman" w:eastAsia="Calibri" w:hAnsi="Times New Roman" w:cs="Times New Roman"/>
                <w:b/>
                <w:sz w:val="24"/>
                <w:szCs w:val="24"/>
              </w:rPr>
              <w:t>FERC-725D</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174708D1" w14:textId="77777777">
            <w:pPr>
              <w:spacing w:after="0" w:line="240" w:lineRule="auto"/>
              <w:rPr>
                <w:rFonts w:ascii="Times New Roman" w:eastAsia="Calibri" w:hAnsi="Times New Roman" w:cs="Times New Roman"/>
                <w:b/>
                <w:sz w:val="24"/>
                <w:szCs w:val="24"/>
              </w:rPr>
            </w:pPr>
            <w:r w:rsidRPr="007D2B60">
              <w:rPr>
                <w:rFonts w:ascii="Times New Roman" w:eastAsia="Calibri" w:hAnsi="Times New Roman" w:cs="Times New Roman"/>
                <w:b/>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1B29F246" w14:textId="77777777">
            <w:pPr>
              <w:spacing w:after="0" w:line="240" w:lineRule="auto"/>
              <w:rPr>
                <w:rFonts w:ascii="Times New Roman" w:eastAsia="Calibri" w:hAnsi="Times New Roman" w:cs="Times New Roman"/>
                <w:b/>
                <w:sz w:val="24"/>
                <w:szCs w:val="24"/>
              </w:rPr>
            </w:pPr>
            <w:r w:rsidRPr="007D2B60">
              <w:rPr>
                <w:rFonts w:ascii="Times New Roman" w:eastAsia="Calibri" w:hAnsi="Times New Roman" w:cs="Times New Roman"/>
                <w:b/>
                <w:sz w:val="24"/>
                <w:szCs w:val="24"/>
              </w:rPr>
              <w:t>Previously Approved</w:t>
            </w:r>
          </w:p>
        </w:tc>
        <w:tc>
          <w:tcPr>
            <w:tcW w:w="14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334031AF" w14:textId="77777777">
            <w:pPr>
              <w:spacing w:after="0" w:line="240" w:lineRule="auto"/>
              <w:rPr>
                <w:rFonts w:ascii="Times New Roman" w:eastAsia="Calibri" w:hAnsi="Times New Roman" w:cs="Times New Roman"/>
                <w:b/>
                <w:sz w:val="24"/>
                <w:szCs w:val="24"/>
              </w:rPr>
            </w:pPr>
            <w:r w:rsidRPr="007D2B60">
              <w:rPr>
                <w:rFonts w:ascii="Times New Roman" w:eastAsia="Calibri" w:hAnsi="Times New Roman" w:cs="Times New Roman"/>
                <w:b/>
                <w:sz w:val="24"/>
                <w:szCs w:val="24"/>
              </w:rPr>
              <w:t>Change due to Adjustment in Estimate</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40BEE0A3" w14:textId="77777777">
            <w:pPr>
              <w:spacing w:after="0" w:line="240" w:lineRule="auto"/>
              <w:rPr>
                <w:rFonts w:ascii="Times New Roman" w:eastAsia="Calibri" w:hAnsi="Times New Roman" w:cs="Times New Roman"/>
                <w:b/>
                <w:sz w:val="24"/>
                <w:szCs w:val="24"/>
              </w:rPr>
            </w:pPr>
            <w:r w:rsidRPr="007D2B60">
              <w:rPr>
                <w:rFonts w:ascii="Times New Roman" w:eastAsia="Calibri" w:hAnsi="Times New Roman" w:cs="Times New Roman"/>
                <w:b/>
                <w:sz w:val="24"/>
                <w:szCs w:val="24"/>
              </w:rPr>
              <w:t>Change Due to Agency Discretion</w:t>
            </w:r>
          </w:p>
        </w:tc>
      </w:tr>
      <w:tr w14:paraId="210852DF" w14:textId="77777777" w:rsidTr="002D1C88">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634A3FC5" w14:textId="77777777">
            <w:pPr>
              <w:spacing w:after="0" w:line="240" w:lineRule="auto"/>
              <w:rPr>
                <w:rFonts w:ascii="Times New Roman" w:eastAsia="Calibri" w:hAnsi="Times New Roman" w:cs="Times New Roman"/>
                <w:sz w:val="24"/>
                <w:szCs w:val="24"/>
              </w:rPr>
            </w:pPr>
            <w:r w:rsidRPr="007D2B60">
              <w:rPr>
                <w:rFonts w:ascii="Times New Roman" w:eastAsia="Calibri" w:hAnsi="Times New Roman" w:cs="Times New Roman"/>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327D5E48" w14:textId="0754357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2,381</w:t>
            </w:r>
          </w:p>
        </w:tc>
        <w:tc>
          <w:tcPr>
            <w:tcW w:w="1620"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0E96B159" w14:textId="39A96534">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1,957</w:t>
            </w:r>
          </w:p>
        </w:tc>
        <w:tc>
          <w:tcPr>
            <w:tcW w:w="1429"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461E57DB" w14:textId="7B82EDC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819</w:t>
            </w:r>
          </w:p>
        </w:tc>
        <w:tc>
          <w:tcPr>
            <w:tcW w:w="2171"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151D5310" w14:textId="5442545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-395</w:t>
            </w:r>
          </w:p>
        </w:tc>
      </w:tr>
      <w:tr w14:paraId="346995EE" w14:textId="77777777" w:rsidTr="002D1C88">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760087B" w14:textId="77777777">
            <w:pPr>
              <w:spacing w:after="0" w:line="240" w:lineRule="auto"/>
              <w:rPr>
                <w:rFonts w:ascii="Times New Roman" w:eastAsia="Calibri" w:hAnsi="Times New Roman" w:cs="Times New Roman"/>
                <w:sz w:val="24"/>
                <w:szCs w:val="24"/>
              </w:rPr>
            </w:pPr>
            <w:r w:rsidRPr="007D2B60">
              <w:rPr>
                <w:rFonts w:ascii="Times New Roman" w:eastAsia="Calibri" w:hAnsi="Times New Roman" w:cs="Times New Roman"/>
                <w:sz w:val="24"/>
                <w:szCs w:val="24"/>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1A323DDD" w14:textId="4219FA0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71,306</w:t>
            </w:r>
          </w:p>
        </w:tc>
        <w:tc>
          <w:tcPr>
            <w:tcW w:w="1620"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147BFF56" w14:textId="77A88F80">
            <w:pPr>
              <w:spacing w:after="0" w:line="240" w:lineRule="auto"/>
              <w:jc w:val="right"/>
              <w:rPr>
                <w:rFonts w:ascii="Times New Roman" w:eastAsia="Calibri" w:hAnsi="Times New Roman" w:cs="Times New Roman"/>
                <w:sz w:val="24"/>
                <w:szCs w:val="24"/>
              </w:rPr>
            </w:pPr>
            <w:r w:rsidRPr="007D2B60">
              <w:rPr>
                <w:rFonts w:ascii="Times New Roman" w:eastAsia="Calibri" w:hAnsi="Times New Roman" w:cs="Times New Roman"/>
                <w:sz w:val="24"/>
                <w:szCs w:val="24"/>
              </w:rPr>
              <w:t>1</w:t>
            </w:r>
            <w:r w:rsidR="002D1C88">
              <w:rPr>
                <w:rFonts w:ascii="Times New Roman" w:eastAsia="Calibri" w:hAnsi="Times New Roman" w:cs="Times New Roman"/>
                <w:sz w:val="24"/>
                <w:szCs w:val="24"/>
              </w:rPr>
              <w:t>68,655</w:t>
            </w:r>
          </w:p>
        </w:tc>
        <w:tc>
          <w:tcPr>
            <w:tcW w:w="1429"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73FF349F" w14:textId="630439E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23,430</w:t>
            </w:r>
          </w:p>
        </w:tc>
        <w:tc>
          <w:tcPr>
            <w:tcW w:w="2171" w:type="dxa"/>
            <w:tcBorders>
              <w:top w:val="single" w:sz="4" w:space="0" w:color="auto"/>
              <w:left w:val="single" w:sz="4" w:space="0" w:color="auto"/>
              <w:bottom w:val="single" w:sz="4" w:space="0" w:color="auto"/>
              <w:right w:val="single" w:sz="4" w:space="0" w:color="auto"/>
            </w:tcBorders>
            <w:vAlign w:val="bottom"/>
          </w:tcPr>
          <w:p w:rsidR="007D2B60" w:rsidRPr="007D2B60" w:rsidP="007D2B60" w14:paraId="2092A250" w14:textId="6AAEF03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-120,779</w:t>
            </w:r>
          </w:p>
        </w:tc>
      </w:tr>
      <w:tr w14:paraId="10B8A713" w14:textId="77777777" w:rsidTr="002D1C88">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1A98E25" w14:textId="77777777">
            <w:pPr>
              <w:spacing w:after="0" w:line="240" w:lineRule="auto"/>
              <w:rPr>
                <w:rFonts w:ascii="Times New Roman" w:eastAsia="Calibri" w:hAnsi="Times New Roman" w:cs="Times New Roman"/>
                <w:sz w:val="24"/>
                <w:szCs w:val="24"/>
              </w:rPr>
            </w:pPr>
            <w:r w:rsidRPr="007D2B60">
              <w:rPr>
                <w:rFonts w:ascii="Times New Roman" w:eastAsia="Calibri" w:hAnsi="Times New Roman" w:cs="Times New Roman"/>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70BF149B" w14:textId="77777777">
            <w:pPr>
              <w:spacing w:after="0" w:line="240" w:lineRule="auto"/>
              <w:jc w:val="right"/>
              <w:rPr>
                <w:rFonts w:ascii="Times New Roman" w:eastAsia="Calibri" w:hAnsi="Times New Roman" w:cs="Times New Roman"/>
                <w:sz w:val="24"/>
                <w:szCs w:val="24"/>
              </w:rPr>
            </w:pPr>
            <w:r w:rsidRPr="007D2B60">
              <w:rPr>
                <w:rFonts w:ascii="Times New Roman" w:eastAsia="Calibri" w:hAnsi="Times New Roman" w:cs="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6D865F1D" w14:textId="77777777">
            <w:pPr>
              <w:spacing w:after="0" w:line="240" w:lineRule="auto"/>
              <w:jc w:val="right"/>
              <w:rPr>
                <w:rFonts w:ascii="Times New Roman" w:eastAsia="Calibri" w:hAnsi="Times New Roman" w:cs="Times New Roman"/>
                <w:sz w:val="24"/>
                <w:szCs w:val="24"/>
              </w:rPr>
            </w:pPr>
            <w:r w:rsidRPr="007D2B60">
              <w:rPr>
                <w:rFonts w:ascii="Times New Roman" w:eastAsia="Calibri" w:hAnsi="Times New Roman" w:cs="Times New Roman"/>
                <w:sz w:val="24"/>
                <w:szCs w:val="24"/>
              </w:rPr>
              <w:t>0</w:t>
            </w:r>
          </w:p>
        </w:tc>
        <w:tc>
          <w:tcPr>
            <w:tcW w:w="1429"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6FBCF73" w14:textId="77777777">
            <w:pPr>
              <w:spacing w:after="0" w:line="240" w:lineRule="auto"/>
              <w:jc w:val="right"/>
              <w:rPr>
                <w:rFonts w:ascii="Times New Roman" w:eastAsia="Calibri" w:hAnsi="Times New Roman" w:cs="Times New Roman"/>
                <w:color w:val="FF0000"/>
                <w:sz w:val="24"/>
                <w:szCs w:val="24"/>
              </w:rPr>
            </w:pPr>
            <w:r w:rsidRPr="007D2B60">
              <w:rPr>
                <w:rFonts w:ascii="Times New Roman" w:eastAsia="Calibri" w:hAnsi="Times New Roman" w:cs="Times New Roman"/>
                <w:sz w:val="24"/>
                <w:szCs w:val="24"/>
              </w:rPr>
              <w:t>0</w:t>
            </w:r>
          </w:p>
        </w:tc>
        <w:tc>
          <w:tcPr>
            <w:tcW w:w="2171" w:type="dxa"/>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1552489F" w14:textId="77777777">
            <w:pPr>
              <w:spacing w:after="0" w:line="240" w:lineRule="auto"/>
              <w:jc w:val="right"/>
              <w:rPr>
                <w:rFonts w:ascii="Times New Roman" w:eastAsia="Calibri" w:hAnsi="Times New Roman" w:cs="Times New Roman"/>
                <w:sz w:val="24"/>
                <w:szCs w:val="24"/>
              </w:rPr>
            </w:pPr>
            <w:r w:rsidRPr="007D2B60">
              <w:rPr>
                <w:rFonts w:ascii="Times New Roman" w:eastAsia="Calibri" w:hAnsi="Times New Roman" w:cs="Times New Roman"/>
                <w:sz w:val="24"/>
                <w:szCs w:val="24"/>
              </w:rPr>
              <w:t>0</w:t>
            </w:r>
          </w:p>
        </w:tc>
      </w:tr>
    </w:tbl>
    <w:p w:rsidR="007D2B60" w:rsidP="007D2B60" w14:paraId="71127930" w14:textId="042F0EB5">
      <w:pPr>
        <w:spacing w:after="0" w:line="240" w:lineRule="auto"/>
        <w:rPr>
          <w:rFonts w:ascii="Times New Roman" w:hAnsi="Times New Roman" w:cs="Times New Roman"/>
          <w:b/>
          <w:sz w:val="24"/>
          <w:szCs w:val="24"/>
        </w:rPr>
      </w:pPr>
    </w:p>
    <w:p w:rsidR="007D2B60" w:rsidP="007D2B60" w14:paraId="1C53EDF4" w14:textId="5ADC65F5">
      <w:pPr>
        <w:spacing w:after="0" w:line="240" w:lineRule="auto"/>
        <w:rPr>
          <w:rFonts w:ascii="Times New Roman" w:hAnsi="Times New Roman" w:cs="Times New Roman"/>
          <w:b/>
          <w:sz w:val="24"/>
          <w:szCs w:val="24"/>
        </w:rPr>
      </w:pPr>
    </w:p>
    <w:p w:rsidR="007D2B60" w:rsidRPr="007D2B60" w:rsidP="007D2B60" w14:paraId="54404A4F" w14:textId="77777777">
      <w:pPr>
        <w:spacing w:after="0" w:line="240" w:lineRule="auto"/>
        <w:rPr>
          <w:rFonts w:ascii="Times New Roman" w:hAnsi="Times New Roman" w:cs="Times New Roman"/>
          <w:b/>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2700"/>
      </w:tblGrid>
      <w:tr w14:paraId="2A115E98" w14:textId="77777777" w:rsidTr="003E31AC">
        <w:tblPrEx>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7D2B60" w:rsidP="003E31AC" w14:paraId="250792C0"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FERC-725M</w:t>
            </w:r>
          </w:p>
        </w:tc>
        <w:tc>
          <w:tcPr>
            <w:tcW w:w="1461" w:type="dxa"/>
            <w:shd w:val="clear" w:color="auto" w:fill="D9D9D9"/>
            <w:vAlign w:val="bottom"/>
          </w:tcPr>
          <w:p w:rsidR="007D2B60" w:rsidP="003E31AC" w14:paraId="2E959A15"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Total Request</w:t>
            </w:r>
          </w:p>
        </w:tc>
        <w:tc>
          <w:tcPr>
            <w:tcW w:w="1620" w:type="dxa"/>
            <w:shd w:val="clear" w:color="auto" w:fill="D9D9D9"/>
            <w:vAlign w:val="bottom"/>
          </w:tcPr>
          <w:p w:rsidR="007D2B60" w:rsidP="003E31AC" w14:paraId="3C44D24C"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Previously Approved</w:t>
            </w:r>
          </w:p>
        </w:tc>
        <w:tc>
          <w:tcPr>
            <w:tcW w:w="1800" w:type="dxa"/>
            <w:shd w:val="clear" w:color="auto" w:fill="D9D9D9"/>
            <w:vAlign w:val="bottom"/>
          </w:tcPr>
          <w:p w:rsidR="007D2B60" w:rsidP="003E31AC" w14:paraId="37449011"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Change due to Adjustment in Estimate </w:t>
            </w:r>
          </w:p>
        </w:tc>
        <w:tc>
          <w:tcPr>
            <w:tcW w:w="2700" w:type="dxa"/>
            <w:shd w:val="clear" w:color="auto" w:fill="D9D9D9"/>
            <w:vAlign w:val="bottom"/>
          </w:tcPr>
          <w:p w:rsidR="007D2B60" w:rsidP="003E31AC" w14:paraId="5C57A993"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14:paraId="7EBBD6E7" w14:textId="77777777" w:rsidTr="003E31AC">
        <w:tblPrEx>
          <w:tblW w:w="10260" w:type="dxa"/>
          <w:tblInd w:w="18" w:type="dxa"/>
          <w:tblLook w:val="01E0"/>
        </w:tblPrEx>
        <w:trPr>
          <w:trHeight w:val="591"/>
        </w:trPr>
        <w:tc>
          <w:tcPr>
            <w:tcW w:w="2679" w:type="dxa"/>
          </w:tcPr>
          <w:p w:rsidR="007D2B60" w:rsidP="003E31AC" w14:paraId="7766C029"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Number of Responses</w:t>
            </w:r>
          </w:p>
        </w:tc>
        <w:tc>
          <w:tcPr>
            <w:tcW w:w="1461" w:type="dxa"/>
            <w:vAlign w:val="center"/>
          </w:tcPr>
          <w:p w:rsidR="007D2B60" w:rsidP="002D1C88" w14:paraId="3BE6E805" w14:textId="6C35173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6,494</w:t>
            </w:r>
          </w:p>
        </w:tc>
        <w:tc>
          <w:tcPr>
            <w:tcW w:w="1620" w:type="dxa"/>
            <w:vAlign w:val="center"/>
          </w:tcPr>
          <w:p w:rsidR="007D2B60" w:rsidP="002D1C88" w14:paraId="245FDCDD" w14:textId="3A2F89F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922</w:t>
            </w:r>
          </w:p>
        </w:tc>
        <w:tc>
          <w:tcPr>
            <w:tcW w:w="1800" w:type="dxa"/>
            <w:vAlign w:val="center"/>
          </w:tcPr>
          <w:p w:rsidR="007D2B60" w:rsidP="002D1C88" w14:paraId="0CA8C3FC" w14:textId="4DA8F6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700" w:type="dxa"/>
            <w:vAlign w:val="center"/>
          </w:tcPr>
          <w:p w:rsidR="007D2B60" w:rsidP="003E31AC" w14:paraId="417348C7" w14:textId="0F16B05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5,572</w:t>
            </w:r>
          </w:p>
        </w:tc>
      </w:tr>
      <w:tr w14:paraId="46D3DC85" w14:textId="77777777" w:rsidTr="003E31AC">
        <w:tblPrEx>
          <w:tblW w:w="10260" w:type="dxa"/>
          <w:tblInd w:w="18" w:type="dxa"/>
          <w:tblLook w:val="01E0"/>
        </w:tblPrEx>
        <w:trPr>
          <w:trHeight w:val="575"/>
        </w:trPr>
        <w:tc>
          <w:tcPr>
            <w:tcW w:w="2679" w:type="dxa"/>
          </w:tcPr>
          <w:p w:rsidR="007D2B60" w:rsidP="003E31AC" w14:paraId="0730493E"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Time Burden (Hr.)</w:t>
            </w:r>
          </w:p>
        </w:tc>
        <w:tc>
          <w:tcPr>
            <w:tcW w:w="1461" w:type="dxa"/>
            <w:vAlign w:val="center"/>
          </w:tcPr>
          <w:p w:rsidR="007D2B60" w:rsidP="003E31AC" w14:paraId="62768399" w14:textId="5A6B398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45,290</w:t>
            </w:r>
          </w:p>
        </w:tc>
        <w:tc>
          <w:tcPr>
            <w:tcW w:w="1620" w:type="dxa"/>
            <w:vAlign w:val="center"/>
          </w:tcPr>
          <w:p w:rsidR="007D2B60" w:rsidP="002D1C88" w14:paraId="77A367A2" w14:textId="3EFF161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714</w:t>
            </w:r>
          </w:p>
        </w:tc>
        <w:tc>
          <w:tcPr>
            <w:tcW w:w="1800" w:type="dxa"/>
            <w:vAlign w:val="center"/>
          </w:tcPr>
          <w:p w:rsidR="007D2B60" w:rsidP="003E31AC" w14:paraId="52CBB700" w14:textId="2C7D660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700" w:type="dxa"/>
            <w:vAlign w:val="center"/>
          </w:tcPr>
          <w:p w:rsidR="007D2B60" w:rsidP="003E31AC" w14:paraId="6C384C4B" w14:textId="4422BA9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44,576</w:t>
            </w:r>
          </w:p>
        </w:tc>
      </w:tr>
      <w:tr w14:paraId="7888E4B2" w14:textId="77777777" w:rsidTr="003E31AC">
        <w:tblPrEx>
          <w:tblW w:w="10260" w:type="dxa"/>
          <w:tblInd w:w="18" w:type="dxa"/>
          <w:tblLook w:val="01E0"/>
        </w:tblPrEx>
        <w:trPr>
          <w:trHeight w:val="295"/>
        </w:trPr>
        <w:tc>
          <w:tcPr>
            <w:tcW w:w="2679" w:type="dxa"/>
          </w:tcPr>
          <w:p w:rsidR="007D2B60" w:rsidP="003E31AC" w14:paraId="48BFBD26"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Annual Cost Burden ($)</w:t>
            </w:r>
          </w:p>
        </w:tc>
        <w:tc>
          <w:tcPr>
            <w:tcW w:w="1461" w:type="dxa"/>
            <w:vAlign w:val="center"/>
          </w:tcPr>
          <w:p w:rsidR="007D2B60" w:rsidP="003E31AC" w14:paraId="7EC824AE" w14:textId="588DCC3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vAlign w:val="center"/>
          </w:tcPr>
          <w:p w:rsidR="007D2B60" w:rsidP="003E31AC" w14:paraId="5F342B28" w14:textId="5BEEBB8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vAlign w:val="center"/>
          </w:tcPr>
          <w:p w:rsidR="007D2B60" w:rsidP="003E31AC" w14:paraId="6F6898C9" w14:textId="5CA0740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700" w:type="dxa"/>
            <w:vAlign w:val="center"/>
          </w:tcPr>
          <w:p w:rsidR="007D2B60" w:rsidP="003E31AC" w14:paraId="1ABA4F82" w14:textId="6CF9A2B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7D2B60" w:rsidRPr="007D2B60" w:rsidP="007D2B60" w14:paraId="52D913FF" w14:textId="77777777">
      <w:pPr>
        <w:spacing w:after="0" w:line="240" w:lineRule="auto"/>
        <w:rPr>
          <w:rFonts w:ascii="Times New Roman" w:hAnsi="Times New Roman" w:cs="Times New Roman"/>
          <w:b/>
          <w:sz w:val="24"/>
          <w:szCs w:val="24"/>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1666"/>
        <w:gridCol w:w="1386"/>
        <w:gridCol w:w="1748"/>
        <w:gridCol w:w="2311"/>
      </w:tblGrid>
      <w:tr w14:paraId="5D63F8AB" w14:textId="77777777" w:rsidTr="007D2B60">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16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7D2BD3EE"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FERC-725G</w:t>
            </w:r>
          </w:p>
        </w:tc>
        <w:tc>
          <w:tcPr>
            <w:tcW w:w="89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156E4FCB"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Total Request</w:t>
            </w:r>
          </w:p>
        </w:tc>
        <w:tc>
          <w:tcPr>
            <w:tcW w:w="7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43F7DBD0"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Previously Approved</w:t>
            </w:r>
          </w:p>
        </w:tc>
        <w:tc>
          <w:tcPr>
            <w:tcW w:w="94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16B895D4" w14:textId="77777777">
            <w:pPr>
              <w:spacing w:after="160" w:line="240" w:lineRule="auto"/>
              <w:rPr>
                <w:rFonts w:ascii="Times New Roman" w:eastAsia="Calibri" w:hAnsi="Times New Roman" w:cs="Times New Roman"/>
                <w:b/>
                <w:sz w:val="26"/>
                <w:szCs w:val="26"/>
                <w:highlight w:val="yellow"/>
              </w:rPr>
            </w:pPr>
            <w:r w:rsidRPr="007D2B60">
              <w:rPr>
                <w:rFonts w:ascii="Times New Roman" w:eastAsia="Calibri" w:hAnsi="Times New Roman" w:cs="Times New Roman"/>
                <w:b/>
                <w:sz w:val="26"/>
                <w:szCs w:val="26"/>
              </w:rPr>
              <w:t>Change due to Adjustment in Estimate</w:t>
            </w:r>
          </w:p>
        </w:tc>
        <w:tc>
          <w:tcPr>
            <w:tcW w:w="12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D2B60" w:rsidRPr="007D2B60" w:rsidP="007D2B60" w14:paraId="4258A2A2"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Change Due to Agency Discretion</w:t>
            </w:r>
          </w:p>
        </w:tc>
      </w:tr>
      <w:tr w14:paraId="550B0F5C" w14:textId="77777777" w:rsidTr="007D2B60">
        <w:tblPrEx>
          <w:tblW w:w="4955" w:type="pct"/>
          <w:tblLook w:val="01E0"/>
        </w:tblPrEx>
        <w:trPr>
          <w:trHeight w:val="591"/>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F478D76"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Number of Responses</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70AE3CC" w14:textId="1840E0C3">
            <w:pPr>
              <w:spacing w:after="16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10,377</w:t>
            </w:r>
          </w:p>
        </w:tc>
        <w:tc>
          <w:tcPr>
            <w:tcW w:w="7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7D1F395" w14:textId="4BC92A3F">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1</w:t>
            </w:r>
            <w:r w:rsidR="002D1C88">
              <w:rPr>
                <w:rFonts w:ascii="Times New Roman" w:eastAsia="Calibri" w:hAnsi="Times New Roman" w:cs="Times New Roman"/>
                <w:sz w:val="26"/>
                <w:szCs w:val="26"/>
              </w:rPr>
              <w:t>0,227</w:t>
            </w:r>
          </w:p>
        </w:tc>
        <w:tc>
          <w:tcPr>
            <w:tcW w:w="94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C7A793E"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7189F864" w14:textId="0DBEAADD">
            <w:pPr>
              <w:spacing w:after="160" w:line="240" w:lineRule="auto"/>
              <w:jc w:val="right"/>
              <w:rPr>
                <w:rFonts w:ascii="Times New Roman" w:eastAsia="Calibri" w:hAnsi="Times New Roman" w:cs="Times New Roman"/>
                <w:sz w:val="26"/>
                <w:szCs w:val="26"/>
                <w:highlight w:val="yellow"/>
              </w:rPr>
            </w:pPr>
            <w:r>
              <w:rPr>
                <w:rFonts w:ascii="Times New Roman" w:eastAsia="Calibri" w:hAnsi="Times New Roman" w:cs="Times New Roman"/>
                <w:sz w:val="26"/>
                <w:szCs w:val="26"/>
              </w:rPr>
              <w:t>150</w:t>
            </w:r>
          </w:p>
        </w:tc>
      </w:tr>
      <w:tr w14:paraId="697344AE" w14:textId="77777777" w:rsidTr="007D2B60">
        <w:tblPrEx>
          <w:tblW w:w="4955" w:type="pct"/>
          <w:tblLook w:val="01E0"/>
        </w:tblPrEx>
        <w:trPr>
          <w:trHeight w:val="674"/>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4592027"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Time Burden (Hr.)</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0A3348F2" w14:textId="2419D8D3">
            <w:pPr>
              <w:spacing w:after="16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714,272</w:t>
            </w:r>
          </w:p>
        </w:tc>
        <w:tc>
          <w:tcPr>
            <w:tcW w:w="748"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6C82180B" w14:textId="3AB363DA">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7</w:t>
            </w:r>
            <w:r w:rsidR="002D1C88">
              <w:rPr>
                <w:rFonts w:ascii="Times New Roman" w:eastAsia="Calibri" w:hAnsi="Times New Roman" w:cs="Times New Roman"/>
                <w:sz w:val="26"/>
                <w:szCs w:val="26"/>
              </w:rPr>
              <w:t>09,664</w:t>
            </w:r>
          </w:p>
        </w:tc>
        <w:tc>
          <w:tcPr>
            <w:tcW w:w="943"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55E15DAC"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41D37D1B" w14:textId="586CDCDD">
            <w:pPr>
              <w:spacing w:after="16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4,608</w:t>
            </w:r>
          </w:p>
        </w:tc>
      </w:tr>
      <w:tr w14:paraId="5A72C1EA" w14:textId="77777777" w:rsidTr="007D2B60">
        <w:tblPrEx>
          <w:tblW w:w="4955" w:type="pct"/>
          <w:tblLook w:val="01E0"/>
        </w:tblPrEx>
        <w:trPr>
          <w:trHeight w:val="295"/>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061EB92E"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Cost Burden ($)</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63B2D7C0"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7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F0BC9DF"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94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624C6A25"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890EA21"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r>
    </w:tbl>
    <w:p w:rsidR="007D2B60" w:rsidRPr="007D2B60" w:rsidP="007D2B60" w14:paraId="7AB8E382" w14:textId="77777777">
      <w:pPr>
        <w:spacing w:after="0" w:line="240" w:lineRule="auto"/>
        <w:rPr>
          <w:rFonts w:ascii="Times New Roman" w:hAnsi="Times New Roman" w:cs="Times New Roman"/>
          <w:b/>
          <w:sz w:val="24"/>
          <w:szCs w:val="24"/>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9"/>
        <w:gridCol w:w="1518"/>
        <w:gridCol w:w="1860"/>
        <w:gridCol w:w="1790"/>
        <w:gridCol w:w="2242"/>
      </w:tblGrid>
      <w:tr w14:paraId="6A0A5F6A" w14:textId="77777777" w:rsidTr="004B35F6">
        <w:tblPrEx>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85"/>
        </w:trPr>
        <w:tc>
          <w:tcPr>
            <w:tcW w:w="18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B35F6" w:rsidRPr="004B35F6" w:rsidP="004B35F6" w14:paraId="44ACE283" w14:textId="338FEF27">
            <w:pPr>
              <w:spacing w:after="0" w:line="240" w:lineRule="auto"/>
              <w:jc w:val="center"/>
              <w:textAlignment w:val="baseline"/>
              <w:rPr>
                <w:rFonts w:ascii="Segoe UI" w:eastAsia="Times New Roman" w:hAnsi="Segoe UI" w:cs="Segoe UI"/>
                <w:b/>
                <w:bCs/>
                <w:sz w:val="18"/>
                <w:szCs w:val="18"/>
              </w:rPr>
            </w:pPr>
            <w:r w:rsidRPr="004B35F6">
              <w:rPr>
                <w:rFonts w:ascii="Times New Roman" w:eastAsia="Times New Roman" w:hAnsi="Times New Roman" w:cs="Times New Roman"/>
                <w:b/>
                <w:bCs/>
                <w:sz w:val="26"/>
                <w:szCs w:val="26"/>
              </w:rPr>
              <w:t>FERC-725Z</w:t>
            </w:r>
            <w:r w:rsidRPr="004B35F6">
              <w:rPr>
                <w:rFonts w:ascii="Times New Roman" w:eastAsia="Times New Roman" w:hAnsi="Times New Roman" w:cs="Times New Roman"/>
                <w:b/>
                <w:bCs/>
                <w:sz w:val="26"/>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B35F6" w:rsidRPr="004B35F6" w:rsidP="004B35F6" w14:paraId="377A9B20" w14:textId="77777777">
            <w:pPr>
              <w:spacing w:after="0" w:line="240" w:lineRule="auto"/>
              <w:jc w:val="center"/>
              <w:textAlignment w:val="baseline"/>
              <w:rPr>
                <w:rFonts w:ascii="Segoe UI" w:eastAsia="Times New Roman" w:hAnsi="Segoe UI" w:cs="Segoe UI"/>
                <w:sz w:val="18"/>
                <w:szCs w:val="18"/>
              </w:rPr>
            </w:pPr>
            <w:r w:rsidRPr="004B35F6">
              <w:rPr>
                <w:rFonts w:ascii="Times New Roman" w:eastAsia="Times New Roman" w:hAnsi="Times New Roman" w:cs="Times New Roman"/>
                <w:b/>
                <w:bCs/>
                <w:sz w:val="26"/>
                <w:szCs w:val="26"/>
              </w:rPr>
              <w:t>Total Request</w:t>
            </w:r>
            <w:r w:rsidRPr="004B35F6">
              <w:rPr>
                <w:rFonts w:ascii="Times New Roman" w:eastAsia="Times New Roman" w:hAnsi="Times New Roman" w:cs="Times New Roman"/>
                <w:sz w:val="26"/>
                <w:szCs w:val="26"/>
              </w:rPr>
              <w:t> </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B35F6" w:rsidRPr="004B35F6" w:rsidP="004B35F6" w14:paraId="759DE4CD" w14:textId="77777777">
            <w:pPr>
              <w:spacing w:after="0" w:line="240" w:lineRule="auto"/>
              <w:jc w:val="center"/>
              <w:textAlignment w:val="baseline"/>
              <w:rPr>
                <w:rFonts w:ascii="Segoe UI" w:eastAsia="Times New Roman" w:hAnsi="Segoe UI" w:cs="Segoe UI"/>
                <w:sz w:val="18"/>
                <w:szCs w:val="18"/>
              </w:rPr>
            </w:pPr>
            <w:r w:rsidRPr="004B35F6">
              <w:rPr>
                <w:rFonts w:ascii="Times New Roman" w:eastAsia="Times New Roman" w:hAnsi="Times New Roman" w:cs="Times New Roman"/>
                <w:b/>
                <w:bCs/>
                <w:sz w:val="26"/>
                <w:szCs w:val="26"/>
              </w:rPr>
              <w:t>Previously Approved</w:t>
            </w:r>
            <w:r w:rsidRPr="004B35F6">
              <w:rPr>
                <w:rFonts w:ascii="Times New Roman" w:eastAsia="Times New Roman" w:hAnsi="Times New Roman" w:cs="Times New Roman"/>
                <w:sz w:val="26"/>
                <w:szCs w:val="26"/>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B35F6" w:rsidRPr="004B35F6" w:rsidP="004B35F6" w14:paraId="455F85EE" w14:textId="77777777">
            <w:pPr>
              <w:spacing w:after="0" w:line="240" w:lineRule="auto"/>
              <w:jc w:val="center"/>
              <w:textAlignment w:val="baseline"/>
              <w:rPr>
                <w:rFonts w:ascii="Segoe UI" w:eastAsia="Times New Roman" w:hAnsi="Segoe UI" w:cs="Segoe UI"/>
                <w:sz w:val="18"/>
                <w:szCs w:val="18"/>
              </w:rPr>
            </w:pPr>
            <w:r w:rsidRPr="004B35F6">
              <w:rPr>
                <w:rFonts w:ascii="Times New Roman" w:eastAsia="Times New Roman" w:hAnsi="Times New Roman" w:cs="Times New Roman"/>
                <w:b/>
                <w:bCs/>
                <w:sz w:val="26"/>
                <w:szCs w:val="26"/>
              </w:rPr>
              <w:t>Change due to Adjustment in Estimate</w:t>
            </w:r>
            <w:r w:rsidRPr="004B35F6">
              <w:rPr>
                <w:rFonts w:ascii="Times New Roman" w:eastAsia="Times New Roman" w:hAnsi="Times New Roman" w:cs="Times New Roman"/>
                <w:sz w:val="26"/>
                <w:szCs w:val="26"/>
              </w:rPr>
              <w:t> </w:t>
            </w:r>
          </w:p>
        </w:tc>
        <w:tc>
          <w:tcPr>
            <w:tcW w:w="226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B35F6" w:rsidRPr="004B35F6" w:rsidP="004B35F6" w14:paraId="7CA1E63B" w14:textId="77777777">
            <w:pPr>
              <w:spacing w:after="0" w:line="240" w:lineRule="auto"/>
              <w:jc w:val="center"/>
              <w:textAlignment w:val="baseline"/>
              <w:rPr>
                <w:rFonts w:ascii="Segoe UI" w:eastAsia="Times New Roman" w:hAnsi="Segoe UI" w:cs="Segoe UI"/>
                <w:sz w:val="18"/>
                <w:szCs w:val="18"/>
              </w:rPr>
            </w:pPr>
            <w:r w:rsidRPr="004B35F6">
              <w:rPr>
                <w:rFonts w:ascii="Times New Roman" w:eastAsia="Times New Roman" w:hAnsi="Times New Roman" w:cs="Times New Roman"/>
                <w:b/>
                <w:bCs/>
                <w:sz w:val="26"/>
                <w:szCs w:val="26"/>
              </w:rPr>
              <w:t>Change Due to Agency Discretion</w:t>
            </w:r>
            <w:r w:rsidRPr="004B35F6">
              <w:rPr>
                <w:rFonts w:ascii="Times New Roman" w:eastAsia="Times New Roman" w:hAnsi="Times New Roman" w:cs="Times New Roman"/>
                <w:sz w:val="26"/>
                <w:szCs w:val="26"/>
              </w:rPr>
              <w:t> </w:t>
            </w:r>
          </w:p>
        </w:tc>
      </w:tr>
      <w:tr w14:paraId="43601858" w14:textId="77777777" w:rsidTr="004B35F6">
        <w:tblPrEx>
          <w:tblW w:w="0" w:type="dxa"/>
          <w:tblInd w:w="105" w:type="dxa"/>
          <w:tblCellMar>
            <w:left w:w="0" w:type="dxa"/>
            <w:right w:w="0" w:type="dxa"/>
          </w:tblCellMar>
          <w:tblLook w:val="04A0"/>
        </w:tblPrEx>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2AFB5A9F" w14:textId="77777777">
            <w:pPr>
              <w:spacing w:after="0" w:line="240" w:lineRule="auto"/>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Annual Number of Responses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07D05BEF"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977 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5F638EF4"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6,686 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09700A26"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-5,733 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2A420FAD"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+12 </w:t>
            </w:r>
          </w:p>
        </w:tc>
      </w:tr>
      <w:tr w14:paraId="3475A5B3" w14:textId="77777777" w:rsidTr="004B35F6">
        <w:tblPrEx>
          <w:tblW w:w="0" w:type="dxa"/>
          <w:tblInd w:w="105" w:type="dxa"/>
          <w:tblCellMar>
            <w:left w:w="0" w:type="dxa"/>
            <w:right w:w="0" w:type="dxa"/>
          </w:tblCellMar>
          <w:tblLook w:val="04A0"/>
        </w:tblPrEx>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5892C028" w14:textId="77777777">
            <w:pPr>
              <w:spacing w:after="0" w:line="240" w:lineRule="auto"/>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Annual Time Burden (Hrs.)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10E2B6B8"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53,142 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648871CE"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50,167 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6182D82E"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-1,393 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73AC4F93"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+2,304 </w:t>
            </w:r>
          </w:p>
        </w:tc>
      </w:tr>
      <w:tr w14:paraId="494C3E96" w14:textId="77777777" w:rsidTr="004B35F6">
        <w:tblPrEx>
          <w:tblW w:w="0" w:type="dxa"/>
          <w:tblInd w:w="105" w:type="dxa"/>
          <w:tblCellMar>
            <w:left w:w="0" w:type="dxa"/>
            <w:right w:w="0" w:type="dxa"/>
          </w:tblCellMar>
          <w:tblLook w:val="04A0"/>
        </w:tblPrEx>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2062A211" w14:textId="77777777">
            <w:pPr>
              <w:spacing w:after="0" w:line="240" w:lineRule="auto"/>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Annual Cost Burden ($)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02F01815"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0 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4FD8900E"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421B4C4B"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0 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B35F6" w:rsidRPr="004B35F6" w:rsidP="004B35F6" w14:paraId="2C4AB69C" w14:textId="77777777">
            <w:pPr>
              <w:spacing w:after="0" w:line="240" w:lineRule="auto"/>
              <w:jc w:val="right"/>
              <w:textAlignment w:val="baseline"/>
              <w:rPr>
                <w:rFonts w:ascii="Segoe UI" w:eastAsia="Times New Roman" w:hAnsi="Segoe UI" w:cs="Segoe UI"/>
                <w:sz w:val="18"/>
                <w:szCs w:val="18"/>
              </w:rPr>
            </w:pPr>
            <w:r w:rsidRPr="004B35F6">
              <w:rPr>
                <w:rFonts w:ascii="Times New Roman" w:eastAsia="Times New Roman" w:hAnsi="Times New Roman" w:cs="Times New Roman"/>
                <w:sz w:val="26"/>
                <w:szCs w:val="26"/>
              </w:rPr>
              <w:t>0 </w:t>
            </w:r>
          </w:p>
        </w:tc>
      </w:tr>
    </w:tbl>
    <w:p w:rsidR="007F1AC1" w:rsidP="007F1AC1" w14:paraId="0F1F5B93" w14:textId="008EE442">
      <w:pPr>
        <w:spacing w:after="0" w:line="240" w:lineRule="auto"/>
        <w:rPr>
          <w:rFonts w:ascii="Times New Roman" w:hAnsi="Times New Roman" w:cs="Times New Roman"/>
          <w:b/>
          <w:sz w:val="24"/>
          <w:szCs w:val="24"/>
        </w:rPr>
      </w:pPr>
    </w:p>
    <w:p w:rsidR="0092596C" w:rsidRPr="007F1AC1" w:rsidP="0092596C" w14:paraId="4AE01BB6" w14:textId="77777777">
      <w:pPr>
        <w:spacing w:after="0" w:line="240" w:lineRule="auto"/>
        <w:rPr>
          <w:rFonts w:ascii="Times New Roman"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1823"/>
        <w:gridCol w:w="1620"/>
        <w:gridCol w:w="1800"/>
        <w:gridCol w:w="1800"/>
      </w:tblGrid>
      <w:tr w14:paraId="674047A8" w14:textId="77777777" w:rsidTr="007D2B60">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317" w:type="dxa"/>
            <w:shd w:val="clear" w:color="auto" w:fill="D9D9D9"/>
            <w:vAlign w:val="bottom"/>
          </w:tcPr>
          <w:p w:rsidR="0092596C" w:rsidRPr="00BD0FD5" w:rsidP="00776623" w14:paraId="1293FBB2" w14:textId="77777777">
            <w:pPr>
              <w:spacing w:after="0" w:line="240" w:lineRule="auto"/>
              <w:jc w:val="center"/>
              <w:rPr>
                <w:rFonts w:ascii="Times New Roman" w:hAnsi="Times New Roman"/>
                <w:b/>
                <w:sz w:val="24"/>
                <w:szCs w:val="24"/>
              </w:rPr>
            </w:pPr>
            <w:r w:rsidRPr="007D1EDB">
              <w:rPr>
                <w:rFonts w:ascii="Times New Roman" w:hAnsi="Times New Roman"/>
                <w:b/>
                <w:sz w:val="24"/>
                <w:szCs w:val="24"/>
              </w:rPr>
              <w:t>FERC-725</w:t>
            </w:r>
            <w:r w:rsidRPr="007D1EDB" w:rsidR="007D1EDB">
              <w:rPr>
                <w:rFonts w:ascii="Times New Roman" w:hAnsi="Times New Roman"/>
                <w:b/>
                <w:sz w:val="24"/>
                <w:szCs w:val="24"/>
              </w:rPr>
              <w:t>A</w:t>
            </w:r>
          </w:p>
        </w:tc>
        <w:tc>
          <w:tcPr>
            <w:tcW w:w="1823" w:type="dxa"/>
            <w:shd w:val="clear" w:color="auto" w:fill="D9D9D9"/>
            <w:vAlign w:val="bottom"/>
          </w:tcPr>
          <w:p w:rsidR="0092596C" w:rsidRPr="00BD0FD5" w:rsidP="0092596C" w14:paraId="522BA8B1"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Total Request</w:t>
            </w:r>
          </w:p>
        </w:tc>
        <w:tc>
          <w:tcPr>
            <w:tcW w:w="1620" w:type="dxa"/>
            <w:shd w:val="clear" w:color="auto" w:fill="D9D9D9"/>
            <w:vAlign w:val="bottom"/>
          </w:tcPr>
          <w:p w:rsidR="0092596C" w:rsidRPr="00BD0FD5" w:rsidP="0092596C" w14:paraId="6FF35DA6"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Previously Approved</w:t>
            </w:r>
          </w:p>
        </w:tc>
        <w:tc>
          <w:tcPr>
            <w:tcW w:w="1800" w:type="dxa"/>
            <w:shd w:val="clear" w:color="auto" w:fill="D9D9D9"/>
            <w:vAlign w:val="bottom"/>
          </w:tcPr>
          <w:p w:rsidR="0092596C" w:rsidRPr="00BD0FD5" w:rsidP="0092596C" w14:paraId="665C90DB"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Adjustment in Estimate</w:t>
            </w:r>
          </w:p>
        </w:tc>
        <w:tc>
          <w:tcPr>
            <w:tcW w:w="1800" w:type="dxa"/>
            <w:shd w:val="clear" w:color="auto" w:fill="D9D9D9"/>
            <w:vAlign w:val="bottom"/>
          </w:tcPr>
          <w:p w:rsidR="0092596C" w:rsidRPr="00BD0FD5" w:rsidP="0092596C" w14:paraId="082DFC9A"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Agency Discretion</w:t>
            </w:r>
          </w:p>
        </w:tc>
      </w:tr>
      <w:tr w14:paraId="7045158B" w14:textId="77777777" w:rsidTr="007D2B60">
        <w:tblPrEx>
          <w:tblW w:w="9360" w:type="dxa"/>
          <w:tblInd w:w="18" w:type="dxa"/>
          <w:tblLook w:val="01E0"/>
        </w:tblPrEx>
        <w:trPr>
          <w:trHeight w:val="591"/>
        </w:trPr>
        <w:tc>
          <w:tcPr>
            <w:tcW w:w="2317" w:type="dxa"/>
          </w:tcPr>
          <w:p w:rsidR="0092596C" w:rsidRPr="00BD0FD5" w:rsidP="0092596C" w14:paraId="2809DC36"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Number of Responses</w:t>
            </w:r>
          </w:p>
        </w:tc>
        <w:tc>
          <w:tcPr>
            <w:tcW w:w="1823" w:type="dxa"/>
            <w:vAlign w:val="center"/>
          </w:tcPr>
          <w:p w:rsidR="0004709E" w:rsidRPr="00BD0FD5" w:rsidP="0092596C" w14:paraId="1D51D7D7" w14:textId="333F5144">
            <w:pPr>
              <w:spacing w:after="0" w:line="240" w:lineRule="auto"/>
              <w:jc w:val="right"/>
              <w:rPr>
                <w:rFonts w:ascii="Times New Roman" w:hAnsi="Times New Roman"/>
                <w:sz w:val="24"/>
                <w:szCs w:val="24"/>
              </w:rPr>
            </w:pPr>
            <w:r>
              <w:rPr>
                <w:rFonts w:ascii="Times New Roman" w:hAnsi="Times New Roman"/>
                <w:sz w:val="24"/>
                <w:szCs w:val="24"/>
              </w:rPr>
              <w:t>4,494</w:t>
            </w:r>
          </w:p>
        </w:tc>
        <w:tc>
          <w:tcPr>
            <w:tcW w:w="1620" w:type="dxa"/>
            <w:vAlign w:val="center"/>
          </w:tcPr>
          <w:p w:rsidR="0092596C" w:rsidRPr="00BD0FD5" w:rsidP="0092596C" w14:paraId="67D20CE0" w14:textId="4D30BF4C">
            <w:pPr>
              <w:spacing w:after="0" w:line="240" w:lineRule="auto"/>
              <w:jc w:val="right"/>
              <w:rPr>
                <w:rFonts w:ascii="Times New Roman" w:hAnsi="Times New Roman"/>
                <w:sz w:val="24"/>
                <w:szCs w:val="24"/>
              </w:rPr>
            </w:pPr>
            <w:r>
              <w:rPr>
                <w:rFonts w:ascii="Times New Roman" w:hAnsi="Times New Roman"/>
                <w:sz w:val="24"/>
                <w:szCs w:val="24"/>
              </w:rPr>
              <w:t>4,158</w:t>
            </w:r>
          </w:p>
        </w:tc>
        <w:tc>
          <w:tcPr>
            <w:tcW w:w="1800" w:type="dxa"/>
            <w:vAlign w:val="center"/>
          </w:tcPr>
          <w:p w:rsidR="0092596C" w:rsidRPr="00BD0FD5" w:rsidP="0092596C" w14:paraId="0044C8F1" w14:textId="31ADFCBA">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center"/>
          </w:tcPr>
          <w:p w:rsidR="0004709E" w:rsidRPr="00BD0FD5" w:rsidP="00107834" w14:paraId="69DD77AD" w14:textId="7AC53526">
            <w:pPr>
              <w:spacing w:after="0" w:line="240" w:lineRule="auto"/>
              <w:jc w:val="right"/>
              <w:rPr>
                <w:rFonts w:ascii="Times New Roman" w:hAnsi="Times New Roman"/>
                <w:sz w:val="24"/>
                <w:szCs w:val="24"/>
              </w:rPr>
            </w:pPr>
            <w:r>
              <w:rPr>
                <w:rFonts w:ascii="Times New Roman" w:hAnsi="Times New Roman"/>
                <w:sz w:val="24"/>
                <w:szCs w:val="24"/>
              </w:rPr>
              <w:t>+336</w:t>
            </w:r>
          </w:p>
        </w:tc>
      </w:tr>
      <w:tr w14:paraId="102D20C6" w14:textId="77777777" w:rsidTr="007D2B60">
        <w:tblPrEx>
          <w:tblW w:w="9360" w:type="dxa"/>
          <w:tblInd w:w="18" w:type="dxa"/>
          <w:tblLook w:val="01E0"/>
        </w:tblPrEx>
        <w:trPr>
          <w:trHeight w:val="575"/>
        </w:trPr>
        <w:tc>
          <w:tcPr>
            <w:tcW w:w="2317" w:type="dxa"/>
          </w:tcPr>
          <w:p w:rsidR="0092596C" w:rsidRPr="00BD0FD5" w:rsidP="0092596C" w14:paraId="25585ABA" w14:textId="065743C6">
            <w:pPr>
              <w:spacing w:after="0" w:line="240" w:lineRule="auto"/>
              <w:jc w:val="center"/>
              <w:rPr>
                <w:rFonts w:ascii="Times New Roman" w:hAnsi="Times New Roman"/>
                <w:sz w:val="24"/>
                <w:szCs w:val="24"/>
              </w:rPr>
            </w:pPr>
            <w:r w:rsidRPr="00BD0FD5">
              <w:rPr>
                <w:rFonts w:ascii="Times New Roman" w:hAnsi="Times New Roman"/>
                <w:sz w:val="24"/>
                <w:szCs w:val="24"/>
              </w:rPr>
              <w:t>Annual Time Burden (</w:t>
            </w:r>
            <w:r w:rsidRPr="00BD0FD5" w:rsidR="00896DEA">
              <w:rPr>
                <w:rFonts w:ascii="Times New Roman" w:hAnsi="Times New Roman"/>
                <w:sz w:val="24"/>
                <w:szCs w:val="24"/>
              </w:rPr>
              <w:t>Hr.</w:t>
            </w:r>
            <w:r w:rsidRPr="00BD0FD5">
              <w:rPr>
                <w:rFonts w:ascii="Times New Roman" w:hAnsi="Times New Roman"/>
                <w:sz w:val="24"/>
                <w:szCs w:val="24"/>
              </w:rPr>
              <w:t>)</w:t>
            </w:r>
          </w:p>
        </w:tc>
        <w:tc>
          <w:tcPr>
            <w:tcW w:w="1823" w:type="dxa"/>
            <w:vAlign w:val="center"/>
          </w:tcPr>
          <w:p w:rsidR="0004709E" w:rsidRPr="00BD0FD5" w:rsidP="00107834" w14:paraId="499D5455" w14:textId="2BCB8406">
            <w:pPr>
              <w:spacing w:after="0" w:line="240" w:lineRule="auto"/>
              <w:jc w:val="right"/>
              <w:rPr>
                <w:rFonts w:ascii="Times New Roman" w:hAnsi="Times New Roman"/>
                <w:sz w:val="24"/>
                <w:szCs w:val="24"/>
              </w:rPr>
            </w:pPr>
            <w:r>
              <w:rPr>
                <w:rFonts w:ascii="Times New Roman" w:hAnsi="Times New Roman"/>
                <w:sz w:val="24"/>
                <w:szCs w:val="24"/>
              </w:rPr>
              <w:t>1,482,462</w:t>
            </w:r>
          </w:p>
        </w:tc>
        <w:tc>
          <w:tcPr>
            <w:tcW w:w="1620" w:type="dxa"/>
            <w:vAlign w:val="center"/>
          </w:tcPr>
          <w:p w:rsidR="0092596C" w:rsidRPr="00BD0FD5" w:rsidP="0092596C" w14:paraId="33B914A6" w14:textId="220EA5A9">
            <w:pPr>
              <w:spacing w:after="0" w:line="240" w:lineRule="auto"/>
              <w:jc w:val="right"/>
              <w:rPr>
                <w:rFonts w:ascii="Times New Roman" w:hAnsi="Times New Roman"/>
                <w:sz w:val="24"/>
                <w:szCs w:val="24"/>
              </w:rPr>
            </w:pPr>
            <w:r>
              <w:rPr>
                <w:rFonts w:ascii="Times New Roman" w:hAnsi="Times New Roman"/>
                <w:sz w:val="24"/>
                <w:szCs w:val="24"/>
              </w:rPr>
              <w:t>1,474,398</w:t>
            </w:r>
          </w:p>
        </w:tc>
        <w:tc>
          <w:tcPr>
            <w:tcW w:w="1800" w:type="dxa"/>
            <w:vAlign w:val="center"/>
          </w:tcPr>
          <w:p w:rsidR="0092596C" w:rsidRPr="00BD0FD5" w:rsidP="0092596C" w14:paraId="5E5A00FD" w14:textId="66D8614D">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center"/>
          </w:tcPr>
          <w:p w:rsidR="0004709E" w:rsidRPr="00BD0FD5" w:rsidP="00107834" w14:paraId="3DE4DE33" w14:textId="7A94DAE0">
            <w:pPr>
              <w:spacing w:after="0" w:line="240" w:lineRule="auto"/>
              <w:jc w:val="right"/>
              <w:rPr>
                <w:rFonts w:ascii="Times New Roman" w:hAnsi="Times New Roman"/>
                <w:sz w:val="24"/>
                <w:szCs w:val="24"/>
              </w:rPr>
            </w:pPr>
            <w:r>
              <w:rPr>
                <w:rFonts w:ascii="Times New Roman" w:hAnsi="Times New Roman"/>
                <w:sz w:val="24"/>
                <w:szCs w:val="24"/>
              </w:rPr>
              <w:t>+8,064</w:t>
            </w:r>
          </w:p>
        </w:tc>
      </w:tr>
      <w:tr w14:paraId="26B9EE03" w14:textId="77777777" w:rsidTr="007D2B60">
        <w:tblPrEx>
          <w:tblW w:w="9360" w:type="dxa"/>
          <w:tblInd w:w="18" w:type="dxa"/>
          <w:tblLook w:val="01E0"/>
        </w:tblPrEx>
        <w:trPr>
          <w:trHeight w:val="295"/>
        </w:trPr>
        <w:tc>
          <w:tcPr>
            <w:tcW w:w="2317" w:type="dxa"/>
          </w:tcPr>
          <w:p w:rsidR="0092596C" w:rsidRPr="00BD0FD5" w:rsidP="0092596C" w14:paraId="2E4F0208"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Cost Burden ($)</w:t>
            </w:r>
          </w:p>
        </w:tc>
        <w:tc>
          <w:tcPr>
            <w:tcW w:w="1823" w:type="dxa"/>
            <w:vAlign w:val="center"/>
          </w:tcPr>
          <w:p w:rsidR="0004709E" w:rsidRPr="00BD0FD5" w:rsidP="00107834" w14:paraId="280DA5EE" w14:textId="6A4131CA">
            <w:pPr>
              <w:spacing w:after="0" w:line="240" w:lineRule="auto"/>
              <w:jc w:val="right"/>
              <w:rPr>
                <w:rFonts w:ascii="Times New Roman" w:hAnsi="Times New Roman"/>
                <w:sz w:val="24"/>
                <w:szCs w:val="24"/>
              </w:rPr>
            </w:pPr>
            <w:r>
              <w:rPr>
                <w:rFonts w:ascii="Times New Roman" w:hAnsi="Times New Roman"/>
                <w:sz w:val="24"/>
                <w:szCs w:val="24"/>
              </w:rPr>
              <w:t>156,953</w:t>
            </w:r>
          </w:p>
        </w:tc>
        <w:tc>
          <w:tcPr>
            <w:tcW w:w="1620" w:type="dxa"/>
            <w:vAlign w:val="center"/>
          </w:tcPr>
          <w:p w:rsidR="0092596C" w:rsidRPr="00BD0FD5" w:rsidP="0092596C" w14:paraId="2EA357B4" w14:textId="1ACD7A8F">
            <w:pPr>
              <w:spacing w:after="0" w:line="240" w:lineRule="auto"/>
              <w:jc w:val="right"/>
              <w:rPr>
                <w:rFonts w:ascii="Times New Roman" w:hAnsi="Times New Roman"/>
                <w:sz w:val="24"/>
                <w:szCs w:val="24"/>
              </w:rPr>
            </w:pPr>
            <w:r>
              <w:rPr>
                <w:rFonts w:ascii="Times New Roman" w:hAnsi="Times New Roman"/>
                <w:sz w:val="24"/>
                <w:szCs w:val="24"/>
              </w:rPr>
              <w:t>156,953</w:t>
            </w:r>
          </w:p>
        </w:tc>
        <w:tc>
          <w:tcPr>
            <w:tcW w:w="1800" w:type="dxa"/>
            <w:vAlign w:val="center"/>
          </w:tcPr>
          <w:p w:rsidR="0092596C" w:rsidRPr="00BD0FD5" w:rsidP="0092596C" w14:paraId="4B686FBA" w14:textId="3194EB7C">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center"/>
          </w:tcPr>
          <w:p w:rsidR="0092596C" w:rsidRPr="00BD0FD5" w:rsidP="0092596C" w14:paraId="00931C86" w14:textId="59B1F5D5">
            <w:pPr>
              <w:spacing w:after="0" w:line="240" w:lineRule="auto"/>
              <w:jc w:val="right"/>
              <w:rPr>
                <w:rFonts w:ascii="Times New Roman" w:hAnsi="Times New Roman"/>
                <w:sz w:val="24"/>
                <w:szCs w:val="24"/>
              </w:rPr>
            </w:pPr>
            <w:r>
              <w:rPr>
                <w:rFonts w:ascii="Times New Roman" w:hAnsi="Times New Roman"/>
                <w:sz w:val="24"/>
                <w:szCs w:val="24"/>
              </w:rPr>
              <w:t>0</w:t>
            </w:r>
          </w:p>
        </w:tc>
      </w:tr>
    </w:tbl>
    <w:p w:rsidR="00970FE4" w:rsidP="0092596C" w14:paraId="45ECBECF" w14:textId="5078AE9F">
      <w:pPr>
        <w:spacing w:after="0" w:line="240" w:lineRule="auto"/>
        <w:rPr>
          <w:rFonts w:ascii="Times New Roman" w:hAnsi="Times New Roman" w:cs="Times New Roman"/>
          <w:sz w:val="24"/>
          <w:szCs w:val="24"/>
        </w:rPr>
      </w:pPr>
    </w:p>
    <w:p w:rsidR="00AB5472" w:rsidP="0092596C" w14:paraId="40CFF50F" w14:textId="20DC43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725D (FAC Reliability Standards), the change </w:t>
      </w:r>
      <w:r w:rsidR="00A65B66">
        <w:rPr>
          <w:rFonts w:ascii="Times New Roman" w:hAnsi="Times New Roman" w:cs="Times New Roman"/>
          <w:sz w:val="24"/>
          <w:szCs w:val="24"/>
        </w:rPr>
        <w:t xml:space="preserve">(decrease in responses and manhours) is </w:t>
      </w:r>
      <w:r w:rsidR="008516B5">
        <w:rPr>
          <w:rFonts w:ascii="Times New Roman" w:hAnsi="Times New Roman" w:cs="Times New Roman"/>
          <w:sz w:val="24"/>
          <w:szCs w:val="24"/>
        </w:rPr>
        <w:t>due to agency discretion as we have update</w:t>
      </w:r>
      <w:r w:rsidR="00A65B66">
        <w:rPr>
          <w:rFonts w:ascii="Times New Roman" w:hAnsi="Times New Roman" w:cs="Times New Roman"/>
          <w:sz w:val="24"/>
          <w:szCs w:val="24"/>
        </w:rPr>
        <w:t>d</w:t>
      </w:r>
      <w:r w:rsidR="008516B5">
        <w:rPr>
          <w:rFonts w:ascii="Times New Roman" w:hAnsi="Times New Roman" w:cs="Times New Roman"/>
          <w:sz w:val="24"/>
          <w:szCs w:val="24"/>
        </w:rPr>
        <w:t xml:space="preserve"> the method to determine affected entities and their responses.  Additionally</w:t>
      </w:r>
      <w:r w:rsidR="00A65B66">
        <w:rPr>
          <w:rFonts w:ascii="Times New Roman" w:hAnsi="Times New Roman" w:cs="Times New Roman"/>
          <w:sz w:val="24"/>
          <w:szCs w:val="24"/>
        </w:rPr>
        <w:t>,</w:t>
      </w:r>
      <w:r w:rsidR="008516B5">
        <w:rPr>
          <w:rFonts w:ascii="Times New Roman" w:hAnsi="Times New Roman" w:cs="Times New Roman"/>
          <w:sz w:val="24"/>
          <w:szCs w:val="24"/>
        </w:rPr>
        <w:t xml:space="preserve"> changes have occurred since last cycle in the number of NERC Registered Entities who have to follow these Reliability Standards.  </w:t>
      </w:r>
      <w:r w:rsidR="00255164">
        <w:rPr>
          <w:rFonts w:ascii="Times New Roman" w:hAnsi="Times New Roman" w:cs="Times New Roman"/>
          <w:sz w:val="24"/>
          <w:szCs w:val="24"/>
        </w:rPr>
        <w:t>The Standards are represented separately to make it easier for future modifications and adjustments.</w:t>
      </w:r>
    </w:p>
    <w:p w:rsidR="00AB5472" w:rsidP="0092596C" w14:paraId="1900D6CC" w14:textId="503CFDBD">
      <w:pPr>
        <w:spacing w:after="0" w:line="240" w:lineRule="auto"/>
        <w:rPr>
          <w:rFonts w:ascii="Times New Roman" w:hAnsi="Times New Roman" w:cs="Times New Roman"/>
          <w:sz w:val="24"/>
          <w:szCs w:val="24"/>
        </w:rPr>
      </w:pPr>
    </w:p>
    <w:p w:rsidR="00AB5472" w:rsidP="0092596C" w14:paraId="4EDF2D40" w14:textId="24793845">
      <w:pPr>
        <w:spacing w:after="0" w:line="240" w:lineRule="auto"/>
        <w:rPr>
          <w:rFonts w:ascii="Times New Roman" w:hAnsi="Times New Roman" w:cs="Times New Roman"/>
          <w:sz w:val="24"/>
          <w:szCs w:val="24"/>
        </w:rPr>
      </w:pPr>
      <w:r>
        <w:rPr>
          <w:rFonts w:ascii="Times New Roman" w:hAnsi="Times New Roman" w:cs="Times New Roman"/>
          <w:sz w:val="24"/>
          <w:szCs w:val="24"/>
        </w:rPr>
        <w:t>For 725M (FAC-003</w:t>
      </w:r>
      <w:r w:rsidR="008516B5">
        <w:rPr>
          <w:rFonts w:ascii="Times New Roman" w:hAnsi="Times New Roman" w:cs="Times New Roman"/>
          <w:sz w:val="24"/>
          <w:szCs w:val="24"/>
        </w:rPr>
        <w:t xml:space="preserve"> Reliability Standard</w:t>
      </w:r>
      <w:r>
        <w:rPr>
          <w:rFonts w:ascii="Times New Roman" w:hAnsi="Times New Roman" w:cs="Times New Roman"/>
          <w:sz w:val="24"/>
          <w:szCs w:val="24"/>
        </w:rPr>
        <w:t xml:space="preserve">), </w:t>
      </w:r>
      <w:r w:rsidR="00A65B66">
        <w:rPr>
          <w:rFonts w:ascii="Times New Roman" w:hAnsi="Times New Roman" w:cs="Times New Roman"/>
          <w:sz w:val="24"/>
          <w:szCs w:val="24"/>
        </w:rPr>
        <w:t xml:space="preserve">the change </w:t>
      </w:r>
      <w:r w:rsidR="00076EFD">
        <w:rPr>
          <w:rFonts w:ascii="Times New Roman" w:hAnsi="Times New Roman" w:cs="Times New Roman"/>
          <w:sz w:val="24"/>
          <w:szCs w:val="24"/>
        </w:rPr>
        <w:t xml:space="preserve">(increase in responses and decrease in manhours) is </w:t>
      </w:r>
      <w:r w:rsidR="00A65B66">
        <w:rPr>
          <w:rFonts w:ascii="Times New Roman" w:hAnsi="Times New Roman" w:cs="Times New Roman"/>
          <w:sz w:val="24"/>
          <w:szCs w:val="24"/>
        </w:rPr>
        <w:t xml:space="preserve">due to agency discretion as we have updated the method to determine affected entities and their responses.  </w:t>
      </w:r>
      <w:r w:rsidR="00076EFD">
        <w:rPr>
          <w:rFonts w:ascii="Times New Roman" w:hAnsi="Times New Roman" w:cs="Times New Roman"/>
          <w:sz w:val="24"/>
          <w:szCs w:val="24"/>
        </w:rPr>
        <w:t xml:space="preserve">The new method of examining entities reflects separating the types of entities where there may have been a previous overlap.  </w:t>
      </w:r>
      <w:r w:rsidR="008516B5">
        <w:rPr>
          <w:rFonts w:ascii="Times New Roman" w:hAnsi="Times New Roman" w:cs="Times New Roman"/>
          <w:sz w:val="24"/>
          <w:szCs w:val="24"/>
        </w:rPr>
        <w:t xml:space="preserve">The estimate workload by entities is expected </w:t>
      </w:r>
      <w:r>
        <w:rPr>
          <w:rFonts w:ascii="Times New Roman" w:hAnsi="Times New Roman" w:cs="Times New Roman"/>
          <w:sz w:val="24"/>
          <w:szCs w:val="24"/>
        </w:rPr>
        <w:t>to decrease overall as entities have familiar with information collection and burden associated with compliance of the standard and tools in place to reduce the overall burden.</w:t>
      </w:r>
    </w:p>
    <w:p w:rsidR="00AB5472" w:rsidP="0092596C" w14:paraId="6434A664" w14:textId="52E03F97">
      <w:pPr>
        <w:spacing w:after="0" w:line="240" w:lineRule="auto"/>
        <w:rPr>
          <w:rFonts w:ascii="Times New Roman" w:hAnsi="Times New Roman" w:cs="Times New Roman"/>
          <w:sz w:val="24"/>
          <w:szCs w:val="24"/>
        </w:rPr>
      </w:pPr>
    </w:p>
    <w:p w:rsidR="00AB5472" w:rsidP="0092596C" w14:paraId="7FF467F5" w14:textId="1F83CF70">
      <w:pPr>
        <w:spacing w:after="0" w:line="240" w:lineRule="auto"/>
        <w:rPr>
          <w:rFonts w:ascii="Times New Roman" w:hAnsi="Times New Roman" w:cs="Times New Roman"/>
          <w:sz w:val="24"/>
          <w:szCs w:val="24"/>
        </w:rPr>
      </w:pPr>
      <w:r>
        <w:rPr>
          <w:rFonts w:ascii="Times New Roman" w:hAnsi="Times New Roman" w:cs="Times New Roman"/>
          <w:sz w:val="24"/>
          <w:szCs w:val="24"/>
        </w:rPr>
        <w:t>For 725</w:t>
      </w:r>
      <w:r w:rsidR="008516B5">
        <w:rPr>
          <w:rFonts w:ascii="Times New Roman" w:hAnsi="Times New Roman" w:cs="Times New Roman"/>
          <w:sz w:val="24"/>
          <w:szCs w:val="24"/>
        </w:rPr>
        <w:t xml:space="preserve">G (PRC Reliability Standards), </w:t>
      </w:r>
      <w:r w:rsidR="00A65B66">
        <w:rPr>
          <w:rFonts w:ascii="Times New Roman" w:hAnsi="Times New Roman" w:cs="Times New Roman"/>
          <w:sz w:val="24"/>
          <w:szCs w:val="24"/>
        </w:rPr>
        <w:t xml:space="preserve">the change </w:t>
      </w:r>
      <w:r w:rsidR="00076EFD">
        <w:rPr>
          <w:rFonts w:ascii="Times New Roman" w:hAnsi="Times New Roman" w:cs="Times New Roman"/>
          <w:sz w:val="24"/>
          <w:szCs w:val="24"/>
        </w:rPr>
        <w:t xml:space="preserve">(decrease in responses and decrease in manhours) is </w:t>
      </w:r>
      <w:r w:rsidR="00A65B66">
        <w:rPr>
          <w:rFonts w:ascii="Times New Roman" w:hAnsi="Times New Roman" w:cs="Times New Roman"/>
          <w:sz w:val="24"/>
          <w:szCs w:val="24"/>
        </w:rPr>
        <w:t xml:space="preserve">due to agency discretion as we have updated the method to determine affected entities and their responses.  Additionally, changes have occurred since last cycle in the number of NERC Registered Entities who may have to follow these Reliability Standards. </w:t>
      </w:r>
    </w:p>
    <w:p w:rsidR="008516B5" w:rsidP="0092596C" w14:paraId="614F06B5" w14:textId="2FC12619">
      <w:pPr>
        <w:spacing w:after="0" w:line="240" w:lineRule="auto"/>
        <w:rPr>
          <w:rFonts w:ascii="Times New Roman" w:hAnsi="Times New Roman" w:cs="Times New Roman"/>
          <w:sz w:val="24"/>
          <w:szCs w:val="24"/>
        </w:rPr>
      </w:pPr>
    </w:p>
    <w:p w:rsidR="008516B5" w:rsidP="0092596C" w14:paraId="1FDF51F2" w14:textId="2C2AB4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725Z (IRO Reliability Standards), </w:t>
      </w:r>
      <w:r w:rsidR="00076EFD">
        <w:rPr>
          <w:rFonts w:ascii="Times New Roman" w:hAnsi="Times New Roman" w:cs="Times New Roman"/>
          <w:sz w:val="24"/>
          <w:szCs w:val="24"/>
        </w:rPr>
        <w:t xml:space="preserve">the change (increase in responses and increase in manhours) is due to agency discretion as we have updated the method to determine affected entities and their responses.  The new method of examining entities reflects separating the types of entities where there may have been a previous overlap.  </w:t>
      </w:r>
    </w:p>
    <w:p w:rsidR="00076EFD" w:rsidP="0092596C" w14:paraId="7D4F2F49" w14:textId="61D5F6E8">
      <w:pPr>
        <w:spacing w:after="0" w:line="240" w:lineRule="auto"/>
        <w:rPr>
          <w:rFonts w:ascii="Times New Roman" w:hAnsi="Times New Roman" w:cs="Times New Roman"/>
          <w:sz w:val="24"/>
          <w:szCs w:val="24"/>
        </w:rPr>
      </w:pPr>
    </w:p>
    <w:p w:rsidR="008516B5" w:rsidP="0092596C" w14:paraId="2EC2014C" w14:textId="4644F466">
      <w:pPr>
        <w:spacing w:after="0" w:line="240" w:lineRule="auto"/>
        <w:rPr>
          <w:rFonts w:ascii="Times New Roman" w:hAnsi="Times New Roman" w:cs="Times New Roman"/>
          <w:sz w:val="24"/>
          <w:szCs w:val="24"/>
        </w:rPr>
      </w:pPr>
      <w:r>
        <w:rPr>
          <w:rFonts w:ascii="Times New Roman" w:hAnsi="Times New Roman" w:cs="Times New Roman"/>
          <w:sz w:val="24"/>
          <w:szCs w:val="24"/>
        </w:rPr>
        <w:t>For 725A (many families of Reliability Standards), the change (increase in responses and decrease in manhours) is due to agency discretion as we have updated the method to determine affected entities and their responses.  The new method of examining entities reflects separating the types of entities where there may have been a previous overlap.  The decrease in manhours reflects entities are familiar with the standards having worked with them for many years.</w:t>
      </w:r>
    </w:p>
    <w:p w:rsidR="008516B5" w:rsidRPr="00BD0FD5" w:rsidP="0092596C" w14:paraId="374FE166" w14:textId="77777777">
      <w:pPr>
        <w:spacing w:after="0" w:line="240" w:lineRule="auto"/>
        <w:rPr>
          <w:rFonts w:ascii="Times New Roman" w:hAnsi="Times New Roman" w:cs="Times New Roman"/>
          <w:sz w:val="24"/>
          <w:szCs w:val="24"/>
        </w:rPr>
      </w:pPr>
    </w:p>
    <w:p w:rsidR="00A276F5" w:rsidRPr="00BD0FD5" w:rsidP="0092596C" w14:paraId="2660E8C0"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rsidR="00826750" w:rsidRPr="00BD0FD5" w:rsidP="0092596C" w14:paraId="6ECDCBF0" w14:textId="77777777">
      <w:pPr>
        <w:spacing w:after="0" w:line="240" w:lineRule="auto"/>
        <w:rPr>
          <w:rFonts w:ascii="Times New Roman" w:hAnsi="Times New Roman" w:cs="Times New Roman"/>
          <w:sz w:val="24"/>
          <w:szCs w:val="24"/>
        </w:rPr>
      </w:pPr>
    </w:p>
    <w:p w:rsidR="00414F32" w:rsidRPr="00BD0FD5" w:rsidP="0092596C" w14:paraId="6815AD3F"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p>
    <w:p w:rsidR="00414F32" w:rsidRPr="00BD0FD5" w:rsidP="0092596C" w14:paraId="22A43BDB" w14:textId="77777777">
      <w:pPr>
        <w:spacing w:after="0" w:line="240" w:lineRule="auto"/>
        <w:rPr>
          <w:rFonts w:ascii="Times New Roman" w:hAnsi="Times New Roman" w:cs="Times New Roman"/>
          <w:sz w:val="24"/>
          <w:szCs w:val="24"/>
        </w:rPr>
      </w:pPr>
    </w:p>
    <w:p w:rsidR="00414F32" w:rsidRPr="00BD0FD5" w:rsidP="0092596C" w14:paraId="1198FE9A"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DISPLAY OF EXPIRATION DATE</w:t>
      </w:r>
    </w:p>
    <w:p w:rsidR="00414F32" w:rsidRPr="00BD0FD5" w:rsidP="0092596C" w14:paraId="356C1CB5" w14:textId="77777777">
      <w:pPr>
        <w:spacing w:after="0" w:line="240" w:lineRule="auto"/>
        <w:rPr>
          <w:rFonts w:ascii="Times New Roman" w:hAnsi="Times New Roman" w:cs="Times New Roman"/>
          <w:sz w:val="24"/>
          <w:szCs w:val="24"/>
        </w:rPr>
      </w:pPr>
    </w:p>
    <w:p w:rsidR="00B16372" w:rsidRPr="00BD0FD5" w:rsidP="0092596C" w14:paraId="0F961F87"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It is not appropriate to display the expiration date because the information is not collected on a preformatted form</w:t>
      </w:r>
      <w:r w:rsidR="003F119D">
        <w:rPr>
          <w:rFonts w:ascii="Times New Roman" w:hAnsi="Times New Roman" w:cs="Times New Roman"/>
          <w:sz w:val="24"/>
          <w:szCs w:val="24"/>
        </w:rPr>
        <w:t xml:space="preserve"> or is part of a Reliability Standard, which do not display OMB expiration dates.</w:t>
      </w:r>
    </w:p>
    <w:p w:rsidR="00414F32" w:rsidRPr="00BD0FD5" w:rsidP="0092596C" w14:paraId="0D44345F" w14:textId="77777777">
      <w:pPr>
        <w:spacing w:after="0" w:line="240" w:lineRule="auto"/>
        <w:rPr>
          <w:rFonts w:ascii="Times New Roman" w:hAnsi="Times New Roman" w:cs="Times New Roman"/>
          <w:sz w:val="24"/>
          <w:szCs w:val="24"/>
        </w:rPr>
      </w:pPr>
    </w:p>
    <w:p w:rsidR="00414F32" w:rsidRPr="00BD0FD5" w:rsidP="0092596C" w14:paraId="0C99C81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rsidR="0057700F" w:rsidRPr="00BD0FD5" w:rsidP="0092596C" w14:paraId="029D5726" w14:textId="77777777">
      <w:pPr>
        <w:spacing w:after="0" w:line="240" w:lineRule="auto"/>
        <w:rPr>
          <w:rFonts w:ascii="Times New Roman" w:hAnsi="Times New Roman" w:cs="Times New Roman"/>
          <w:b/>
          <w:sz w:val="24"/>
          <w:szCs w:val="24"/>
        </w:rPr>
      </w:pPr>
    </w:p>
    <w:p w:rsidR="00B16372" w:rsidRPr="00BD0FD5" w:rsidP="0092596C" w14:paraId="692502E7" w14:textId="77777777">
      <w:pPr>
        <w:spacing w:after="0" w:line="240" w:lineRule="auto"/>
        <w:rPr>
          <w:rFonts w:ascii="Times New Roman" w:hAnsi="Times New Roman" w:cs="Times New Roman"/>
          <w:b/>
          <w:sz w:val="24"/>
          <w:szCs w:val="24"/>
        </w:rPr>
      </w:pPr>
      <w:r w:rsidRPr="00BD0FD5">
        <w:rPr>
          <w:rFonts w:ascii="Times New Roman" w:eastAsia="Calibri" w:hAnsi="Times New Roman" w:cs="Times New Roman"/>
          <w:sz w:val="24"/>
          <w:szCs w:val="24"/>
        </w:rPr>
        <w:t>The Commission does not use statistical methods for this collection.  Therefore</w:t>
      </w:r>
      <w:r w:rsidRPr="00BD0FD5" w:rsidR="003D69FC">
        <w:rPr>
          <w:rFonts w:ascii="Times New Roman" w:eastAsia="Calibri" w:hAnsi="Times New Roman" w:cs="Times New Roman"/>
          <w:sz w:val="24"/>
          <w:szCs w:val="24"/>
        </w:rPr>
        <w:t>,</w:t>
      </w:r>
      <w:r w:rsidRPr="00BD0FD5">
        <w:rPr>
          <w:rFonts w:ascii="Times New Roman" w:eastAsia="Calibri" w:hAnsi="Times New Roman" w:cs="Times New Roman"/>
          <w:sz w:val="24"/>
          <w:szCs w:val="24"/>
        </w:rPr>
        <w:t xml:space="preserve"> the Commission does not certify that the collection uses statistical methods.</w:t>
      </w:r>
    </w:p>
    <w:p w:rsidR="00970FE4" w:rsidRPr="00BD0FD5" w:rsidP="0092596C" w14:paraId="4BED374E" w14:textId="77777777">
      <w:pPr>
        <w:spacing w:after="0" w:line="240" w:lineRule="auto"/>
        <w:rPr>
          <w:rFonts w:ascii="Times New Roman" w:hAnsi="Times New Roman" w:cs="Times New Roman"/>
          <w:sz w:val="24"/>
          <w:szCs w:val="24"/>
        </w:rPr>
      </w:pPr>
    </w:p>
    <w:p w:rsidR="00414F32" w:rsidRPr="00BD0FD5" w:rsidP="0092596C" w14:paraId="666F7E94" w14:textId="77777777">
      <w:pPr>
        <w:spacing w:after="0" w:line="240" w:lineRule="auto"/>
        <w:rPr>
          <w:rFonts w:ascii="Times New Roman" w:hAnsi="Times New Roman" w:cs="Times New Roman"/>
          <w:sz w:val="24"/>
          <w:szCs w:val="24"/>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E7794" w:rsidP="00FD66F1" w14:paraId="186CCF86" w14:textId="77777777">
      <w:pPr>
        <w:spacing w:after="0" w:line="240" w:lineRule="auto"/>
      </w:pPr>
      <w:r>
        <w:separator/>
      </w:r>
    </w:p>
  </w:footnote>
  <w:footnote w:type="continuationSeparator" w:id="1">
    <w:p w:rsidR="00EE7794" w:rsidP="00FD66F1" w14:paraId="48880CB6" w14:textId="77777777">
      <w:pPr>
        <w:spacing w:after="0" w:line="240" w:lineRule="auto"/>
      </w:pPr>
      <w:r>
        <w:continuationSeparator/>
      </w:r>
    </w:p>
  </w:footnote>
  <w:footnote w:id="2">
    <w:p w:rsidR="00792606" w:rsidRPr="004875D5" w:rsidP="00792606" w14:paraId="1265F98A" w14:textId="77777777">
      <w:pPr>
        <w:pStyle w:val="FootnoteText"/>
        <w:rPr>
          <w:sz w:val="24"/>
          <w:szCs w:val="24"/>
        </w:rPr>
      </w:pPr>
      <w:r w:rsidRPr="004875D5">
        <w:rPr>
          <w:rStyle w:val="FootnoteReference"/>
          <w:sz w:val="24"/>
          <w:szCs w:val="24"/>
        </w:rPr>
        <w:footnoteRef/>
      </w:r>
      <w:r w:rsidRPr="004875D5">
        <w:rPr>
          <w:sz w:val="24"/>
          <w:szCs w:val="24"/>
          <w:vertAlign w:val="superscript"/>
        </w:rPr>
        <w:t xml:space="preserve"> </w:t>
      </w:r>
      <w:r w:rsidRPr="004875D5">
        <w:rPr>
          <w:sz w:val="24"/>
          <w:szCs w:val="24"/>
        </w:rPr>
        <w:t>The Energy Policy Act of 2005, Pub. L. No 109-58, Title XII, Subtitle A, 119 Stat. 594, 941 (2005), codified at 16 U.S.C. 824o (2006).</w:t>
      </w:r>
    </w:p>
  </w:footnote>
  <w:footnote w:id="3">
    <w:p w:rsidR="00792606" w:rsidRPr="004875D5" w:rsidP="00792606" w14:paraId="6D22EFA2" w14:textId="77777777">
      <w:pPr>
        <w:pStyle w:val="FootnoteText"/>
        <w:rPr>
          <w:sz w:val="24"/>
          <w:szCs w:val="24"/>
        </w:rPr>
      </w:pPr>
      <w:r w:rsidRPr="004875D5">
        <w:rPr>
          <w:rStyle w:val="FootnoteReference"/>
          <w:sz w:val="24"/>
          <w:szCs w:val="24"/>
        </w:rPr>
        <w:footnoteRef/>
      </w:r>
      <w:r w:rsidRPr="004875D5">
        <w:rPr>
          <w:sz w:val="24"/>
          <w:szCs w:val="24"/>
        </w:rPr>
        <w:t xml:space="preserve"> </w:t>
      </w:r>
      <w:r w:rsidRPr="004875D5">
        <w:rPr>
          <w:i/>
          <w:iCs/>
          <w:sz w:val="24"/>
          <w:szCs w:val="24"/>
        </w:rPr>
        <w:t xml:space="preserve">Id. </w:t>
      </w:r>
      <w:r w:rsidRPr="004875D5">
        <w:rPr>
          <w:sz w:val="24"/>
          <w:szCs w:val="24"/>
        </w:rPr>
        <w:t>824o(c), (d).</w:t>
      </w:r>
    </w:p>
  </w:footnote>
  <w:footnote w:id="4">
    <w:p w:rsidR="00792606" w:rsidRPr="004875D5" w:rsidP="00792606" w14:paraId="70500525" w14:textId="77777777">
      <w:pPr>
        <w:pStyle w:val="FootnoteText"/>
        <w:rPr>
          <w:sz w:val="24"/>
          <w:szCs w:val="24"/>
        </w:rPr>
      </w:pPr>
      <w:r w:rsidRPr="004875D5">
        <w:rPr>
          <w:rStyle w:val="FootnoteReference"/>
          <w:sz w:val="24"/>
          <w:szCs w:val="24"/>
        </w:rPr>
        <w:footnoteRef/>
      </w:r>
      <w:r w:rsidRPr="004875D5">
        <w:rPr>
          <w:sz w:val="24"/>
          <w:szCs w:val="24"/>
        </w:rPr>
        <w:t xml:space="preserve"> </w:t>
      </w:r>
      <w:r w:rsidRPr="004875D5">
        <w:rPr>
          <w:i/>
          <w:iCs/>
          <w:sz w:val="24"/>
          <w:szCs w:val="24"/>
        </w:rPr>
        <w:t xml:space="preserve">Id. </w:t>
      </w:r>
      <w:r w:rsidRPr="004875D5">
        <w:rPr>
          <w:sz w:val="24"/>
          <w:szCs w:val="24"/>
        </w:rPr>
        <w:t>824o(e).</w:t>
      </w:r>
    </w:p>
  </w:footnote>
  <w:footnote w:id="5">
    <w:p w:rsidR="00792606" w:rsidRPr="00632F48" w:rsidP="00792606" w14:paraId="48E260D7" w14:textId="77777777">
      <w:pPr>
        <w:pStyle w:val="FootnoteText"/>
        <w:rPr>
          <w:sz w:val="24"/>
          <w:szCs w:val="24"/>
        </w:rPr>
      </w:pPr>
      <w:r w:rsidRPr="004875D5">
        <w:rPr>
          <w:rStyle w:val="FootnoteReference"/>
          <w:sz w:val="24"/>
          <w:szCs w:val="24"/>
        </w:rPr>
        <w:footnoteRef/>
      </w:r>
      <w:r w:rsidRPr="004875D5">
        <w:rPr>
          <w:sz w:val="24"/>
          <w:szCs w:val="24"/>
        </w:rPr>
        <w:t xml:space="preserve"> “Electric Reliability Organization” or “ERO” means the organization certified by the </w:t>
      </w:r>
      <w:r w:rsidRPr="00632F48">
        <w:rPr>
          <w:sz w:val="24"/>
          <w:szCs w:val="24"/>
        </w:rPr>
        <w:t>Commission the purpose of which is to establish and enforce Reliability Standards for the Bulk-Power System, subject to Commission review.</w:t>
      </w:r>
    </w:p>
  </w:footnote>
  <w:footnote w:id="6">
    <w:p w:rsidR="00792606" w:rsidRPr="00632F48" w:rsidP="00792606" w14:paraId="2FA9F072" w14:textId="77777777">
      <w:pPr>
        <w:pStyle w:val="FootnoteText"/>
        <w:rPr>
          <w:sz w:val="24"/>
          <w:szCs w:val="24"/>
        </w:rPr>
      </w:pPr>
      <w:r w:rsidRPr="00632F48">
        <w:rPr>
          <w:rStyle w:val="FootnoteReference"/>
          <w:sz w:val="24"/>
          <w:szCs w:val="24"/>
        </w:rPr>
        <w:footnoteRef/>
      </w:r>
      <w:r w:rsidRPr="00632F48">
        <w:rPr>
          <w:sz w:val="24"/>
          <w:szCs w:val="24"/>
        </w:rPr>
        <w:t xml:space="preserve"> </w:t>
      </w:r>
      <w:r w:rsidRPr="00632F48">
        <w:rPr>
          <w:i/>
          <w:sz w:val="24"/>
          <w:szCs w:val="24"/>
        </w:rPr>
        <w:t>North American Electric Reliability Corp.</w:t>
      </w:r>
      <w:r w:rsidRPr="00632F48">
        <w:rPr>
          <w:sz w:val="24"/>
          <w:szCs w:val="24"/>
        </w:rPr>
        <w:t xml:space="preserve">, 116 FERC ¶ 61,062, </w:t>
      </w:r>
      <w:r w:rsidRPr="00632F48">
        <w:rPr>
          <w:i/>
          <w:sz w:val="24"/>
          <w:szCs w:val="24"/>
        </w:rPr>
        <w:t>order on reh’g and compliance</w:t>
      </w:r>
      <w:r w:rsidRPr="00632F48">
        <w:rPr>
          <w:sz w:val="24"/>
          <w:szCs w:val="24"/>
        </w:rPr>
        <w:t xml:space="preserve">, 117 FERC ¶ 61,126 (2006), </w:t>
      </w:r>
      <w:r w:rsidRPr="00632F48">
        <w:rPr>
          <w:i/>
          <w:sz w:val="24"/>
          <w:szCs w:val="24"/>
        </w:rPr>
        <w:t>order on compliance</w:t>
      </w:r>
      <w:r w:rsidRPr="00632F48">
        <w:rPr>
          <w:sz w:val="24"/>
          <w:szCs w:val="24"/>
        </w:rPr>
        <w:t xml:space="preserve">, 118 FERC ¶ 61,190, </w:t>
      </w:r>
      <w:r w:rsidRPr="00632F48">
        <w:rPr>
          <w:i/>
          <w:sz w:val="24"/>
          <w:szCs w:val="24"/>
        </w:rPr>
        <w:t>order on reh’g</w:t>
      </w:r>
      <w:r w:rsidRPr="00632F48">
        <w:rPr>
          <w:sz w:val="24"/>
          <w:szCs w:val="24"/>
        </w:rPr>
        <w:t xml:space="preserve">, 119 FERC ¶ 61,046 (2007), </w:t>
      </w:r>
      <w:r w:rsidRPr="00632F48">
        <w:rPr>
          <w:i/>
          <w:sz w:val="24"/>
          <w:szCs w:val="24"/>
        </w:rPr>
        <w:t>aff’d sub nom. Alcoa Inc. v. FERC</w:t>
      </w:r>
      <w:r w:rsidRPr="00632F48">
        <w:rPr>
          <w:sz w:val="24"/>
          <w:szCs w:val="24"/>
        </w:rPr>
        <w:t>, 564 F.3d 1342 (D.C. Cir. 2009).</w:t>
      </w:r>
    </w:p>
  </w:footnote>
  <w:footnote w:id="7">
    <w:p w:rsidR="00792606" w:rsidRPr="005F6D6C" w:rsidP="00792606" w14:paraId="2F258E2A" w14:textId="77777777">
      <w:pPr>
        <w:pStyle w:val="FootnoteText"/>
        <w:rPr>
          <w:sz w:val="26"/>
        </w:rPr>
      </w:pPr>
      <w:r w:rsidRPr="00072CEE">
        <w:rPr>
          <w:rStyle w:val="FootnoteReference"/>
        </w:rPr>
        <w:footnoteRef/>
      </w:r>
      <w:r w:rsidRPr="005F6D6C">
        <w:rPr>
          <w:sz w:val="26"/>
        </w:rPr>
        <w:t xml:space="preserve"> 16 U.S.C. 824o</w:t>
      </w:r>
    </w:p>
  </w:footnote>
  <w:footnote w:id="8">
    <w:p w:rsidR="00792606" w:rsidRPr="005F6D6C" w:rsidP="00792606" w14:paraId="4ECBBC25" w14:textId="77777777">
      <w:pPr>
        <w:pStyle w:val="FootnoteText"/>
        <w:rPr>
          <w:sz w:val="26"/>
          <w:lang w:val="pt-BR"/>
        </w:rPr>
      </w:pPr>
      <w:r w:rsidRPr="0086791A">
        <w:rPr>
          <w:rStyle w:val="FootnoteReference"/>
        </w:rPr>
        <w:footnoteRef/>
      </w:r>
      <w:r w:rsidRPr="005F6D6C">
        <w:rPr>
          <w:sz w:val="26"/>
          <w:lang w:val="pt-BR"/>
        </w:rPr>
        <w:t xml:space="preserve"> 16 U.S.C. </w:t>
      </w:r>
      <w:r w:rsidRPr="005F6D6C">
        <w:rPr>
          <w:sz w:val="26"/>
          <w:lang w:val="es-ES"/>
        </w:rPr>
        <w:t xml:space="preserve">§ </w:t>
      </w:r>
      <w:r w:rsidRPr="005F6D6C">
        <w:rPr>
          <w:sz w:val="26"/>
          <w:lang w:val="pt-BR"/>
        </w:rPr>
        <w:t xml:space="preserve">824o(e)(4).  </w:t>
      </w:r>
      <w:r w:rsidRPr="005F6D6C">
        <w:rPr>
          <w:sz w:val="26"/>
        </w:rPr>
        <w:t xml:space="preserve">A Regional Entity is an entity that has been approved by the Commission to enforce Reliability Standards under delegated authority from the ERO.  </w:t>
      </w:r>
      <w:r w:rsidRPr="005F6D6C">
        <w:rPr>
          <w:i/>
          <w:sz w:val="26"/>
          <w:lang w:val="pt-BR"/>
        </w:rPr>
        <w:t>See</w:t>
      </w:r>
      <w:r w:rsidRPr="005F6D6C">
        <w:rPr>
          <w:sz w:val="26"/>
          <w:lang w:val="pt-BR"/>
        </w:rPr>
        <w:t xml:space="preserve"> 16 U.S.C. </w:t>
      </w:r>
      <w:r w:rsidRPr="005F6D6C">
        <w:rPr>
          <w:sz w:val="26"/>
          <w:lang w:val="es-ES"/>
        </w:rPr>
        <w:t xml:space="preserve">§ </w:t>
      </w:r>
      <w:r w:rsidRPr="005F6D6C">
        <w:rPr>
          <w:sz w:val="26"/>
          <w:lang w:val="pt-BR"/>
        </w:rPr>
        <w:t>824o(a)(7) and (e)(4).</w:t>
      </w:r>
    </w:p>
  </w:footnote>
  <w:footnote w:id="9">
    <w:p w:rsidR="00EE7794" w:rsidRPr="008A757A" w:rsidP="007F0136" w14:paraId="78A9B43F" w14:textId="03A77D7A">
      <w:pPr>
        <w:pStyle w:val="FootnoteText"/>
        <w:rPr>
          <w:sz w:val="26"/>
          <w:szCs w:val="26"/>
        </w:rPr>
      </w:pPr>
      <w:r w:rsidRPr="00375A46">
        <w:rPr>
          <w:rStyle w:val="FootnoteReference"/>
          <w:sz w:val="26"/>
          <w:szCs w:val="26"/>
          <w:vertAlign w:val="superscript"/>
        </w:rPr>
        <w:footnoteRef/>
      </w:r>
      <w:r w:rsidRPr="00AE205C">
        <w:rPr>
          <w:sz w:val="26"/>
          <w:szCs w:val="26"/>
          <w:vertAlign w:val="superscript"/>
        </w:rPr>
        <w:t xml:space="preserve"> </w:t>
      </w:r>
      <w:r w:rsidRPr="008A757A">
        <w:rPr>
          <w:sz w:val="26"/>
          <w:szCs w:val="26"/>
        </w:rPr>
        <w:t>Details of the current ERO Reliability Standard processes are available on the NERC website</w:t>
      </w:r>
      <w:r>
        <w:rPr>
          <w:sz w:val="26"/>
          <w:szCs w:val="26"/>
        </w:rPr>
        <w:t xml:space="preserve"> at</w:t>
      </w:r>
      <w:r w:rsidR="00CE5F91">
        <w:rPr>
          <w:sz w:val="26"/>
          <w:szCs w:val="26"/>
        </w:rPr>
        <w:t xml:space="preserve"> </w:t>
      </w:r>
      <w:hyperlink r:id="rId1" w:anchor="search=Appendix%203A" w:history="1">
        <w:r w:rsidRPr="00541B5E" w:rsidR="00CE5F91">
          <w:rPr>
            <w:rStyle w:val="Hyperlink"/>
            <w:sz w:val="26"/>
            <w:szCs w:val="26"/>
          </w:rPr>
          <w:t>https://www.nerc.com/AboutNERC/RulesOfProcedure/Appendix_3A_SPM_Clean_Mar2019.pdf#search=Appendix%203A</w:t>
        </w:r>
      </w:hyperlink>
      <w:r w:rsidR="00CE5F91">
        <w:rPr>
          <w:sz w:val="26"/>
          <w:szCs w:val="26"/>
        </w:rPr>
        <w:t xml:space="preserve"> </w:t>
      </w:r>
      <w:r w:rsidRPr="00CE5F91">
        <w:rPr>
          <w:sz w:val="26"/>
          <w:szCs w:val="26"/>
        </w:rPr>
        <w:t>.</w:t>
      </w:r>
    </w:p>
  </w:footnote>
  <w:footnote w:id="10">
    <w:p w:rsidR="00EE7794" w:rsidRPr="00D929AC" w:rsidP="0000315F" w14:paraId="4D036DF4" w14:textId="3CAEA710">
      <w:pPr>
        <w:pStyle w:val="FootnoteText"/>
        <w:rPr>
          <w:sz w:val="24"/>
          <w:szCs w:val="24"/>
        </w:rPr>
      </w:pPr>
      <w:r w:rsidRPr="00D929AC">
        <w:rPr>
          <w:b/>
          <w:bCs/>
          <w:vertAlign w:val="superscript"/>
        </w:rPr>
        <w:footnoteRef/>
      </w:r>
      <w:r w:rsidRPr="00D929AC">
        <w:rPr>
          <w:b/>
          <w:bCs/>
          <w:vertAlign w:val="superscript"/>
        </w:rPr>
        <w:t xml:space="preserve"> </w:t>
      </w:r>
      <w:r w:rsidRPr="00D929AC" w:rsidR="00D929AC">
        <w:rPr>
          <w:sz w:val="24"/>
          <w:szCs w:val="24"/>
        </w:rPr>
        <w:t>87 FR 22202</w:t>
      </w:r>
      <w:r w:rsidR="00224FF7">
        <w:rPr>
          <w:sz w:val="24"/>
          <w:szCs w:val="24"/>
        </w:rPr>
        <w:t>,</w:t>
      </w:r>
      <w:r w:rsidRPr="00D929AC" w:rsidR="00D929AC">
        <w:rPr>
          <w:sz w:val="24"/>
          <w:szCs w:val="24"/>
        </w:rPr>
        <w:t xml:space="preserve"> April 14, 2022</w:t>
      </w:r>
    </w:p>
  </w:footnote>
  <w:footnote w:id="11">
    <w:p w:rsidR="00EE7794" w:rsidRPr="00A317FB" w:rsidP="0000315F" w14:paraId="179DFE03" w14:textId="120DF64D">
      <w:pPr>
        <w:pStyle w:val="FootnoteText"/>
      </w:pPr>
      <w:r w:rsidRPr="00D929AC">
        <w:rPr>
          <w:rStyle w:val="FootnoteReference"/>
          <w:vertAlign w:val="superscript"/>
        </w:rPr>
        <w:footnoteRef/>
      </w:r>
      <w:r w:rsidRPr="00A317FB">
        <w:t xml:space="preserve"> </w:t>
      </w:r>
      <w:r w:rsidRPr="00D929AC">
        <w:rPr>
          <w:sz w:val="24"/>
          <w:szCs w:val="24"/>
        </w:rPr>
        <w:t>8</w:t>
      </w:r>
      <w:r w:rsidR="00D929AC">
        <w:rPr>
          <w:sz w:val="24"/>
          <w:szCs w:val="24"/>
        </w:rPr>
        <w:t>7</w:t>
      </w:r>
      <w:r w:rsidRPr="00D929AC">
        <w:rPr>
          <w:sz w:val="24"/>
          <w:szCs w:val="24"/>
        </w:rPr>
        <w:t xml:space="preserve"> FR</w:t>
      </w:r>
      <w:r w:rsidR="00D929AC">
        <w:rPr>
          <w:sz w:val="24"/>
          <w:szCs w:val="24"/>
        </w:rPr>
        <w:t xml:space="preserve"> </w:t>
      </w:r>
      <w:r w:rsidR="00224FF7">
        <w:rPr>
          <w:sz w:val="24"/>
          <w:szCs w:val="24"/>
        </w:rPr>
        <w:t>55422</w:t>
      </w:r>
      <w:r w:rsidRPr="00D929AC">
        <w:rPr>
          <w:sz w:val="24"/>
          <w:szCs w:val="24"/>
        </w:rPr>
        <w:t xml:space="preserve">, </w:t>
      </w:r>
      <w:r w:rsidR="00B3559A">
        <w:rPr>
          <w:sz w:val="24"/>
          <w:szCs w:val="24"/>
        </w:rPr>
        <w:t xml:space="preserve">September </w:t>
      </w:r>
      <w:r w:rsidR="00CE5F91">
        <w:rPr>
          <w:sz w:val="24"/>
          <w:szCs w:val="24"/>
        </w:rPr>
        <w:t>9</w:t>
      </w:r>
      <w:r w:rsidR="00B3559A">
        <w:rPr>
          <w:sz w:val="24"/>
          <w:szCs w:val="24"/>
        </w:rPr>
        <w:t>, 2022</w:t>
      </w:r>
    </w:p>
  </w:footnote>
  <w:footnote w:id="12">
    <w:p w:rsidR="00C96C2C" w:rsidRPr="005F6D6C" w:rsidP="00C96C2C" w14:paraId="4C465C7B" w14:textId="77777777">
      <w:pPr>
        <w:pStyle w:val="FootnoteText"/>
        <w:rPr>
          <w:sz w:val="26"/>
        </w:rPr>
      </w:pPr>
      <w:r w:rsidRPr="001E6EC7">
        <w:rPr>
          <w:rStyle w:val="FootnoteReference"/>
        </w:rPr>
        <w:footnoteRef/>
      </w:r>
      <w:r w:rsidRPr="005F6D6C">
        <w:rPr>
          <w:sz w:val="26"/>
        </w:rPr>
        <w:t xml:space="preserve"> RC=Reliability Coordinator; BA=Balancing Authority; TP=Transmission Planner; TOP=Transmission Operator; TO=Transmission Owner; GO=Generator Owner; DP=Distribution Provider; PA/PC=Planning Coordinator; and RC=Reliability Coordinator</w:t>
      </w:r>
    </w:p>
  </w:footnote>
  <w:footnote w:id="13">
    <w:p w:rsidR="00C96C2C" w:rsidRPr="005F6D6C" w:rsidP="00C96C2C" w14:paraId="4256B3C6" w14:textId="310C77D9">
      <w:pPr>
        <w:pStyle w:val="FootnoteText"/>
        <w:rPr>
          <w:sz w:val="26"/>
        </w:rPr>
      </w:pPr>
      <w:r w:rsidRPr="001E6EC7">
        <w:rPr>
          <w:rStyle w:val="FootnoteReference"/>
        </w:rPr>
        <w:footnoteRef/>
      </w:r>
      <w:r w:rsidRPr="005F6D6C">
        <w:rPr>
          <w:sz w:val="26"/>
        </w:rPr>
        <w:t xml:space="preserve"> FERC staff estimates that industry costs for salary plus benefits are similar to Commission costs.  The FERC 2021 average salary plus benefits for one FERC full-time equivalent (FTE) is $180,703/year (or $87.00/hour) posted by the Bureau of Labor Statistics for the Utilities sector (available at </w:t>
      </w:r>
      <w:hyperlink r:id="rId2" w:history="1">
        <w:r w:rsidRPr="005F6D6C">
          <w:rPr>
            <w:rStyle w:val="Hyperlink"/>
            <w:sz w:val="26"/>
          </w:rPr>
          <w:t>https://www.bls.gov/oes/current/naics3_221000.htm</w:t>
        </w:r>
      </w:hyperlink>
      <w:r w:rsidRPr="005F6D6C">
        <w:rPr>
          <w:sz w:val="26"/>
        </w:rPr>
        <w:t>)</w:t>
      </w:r>
    </w:p>
    <w:p w:rsidR="00C96C2C" w:rsidRPr="00D45F44" w:rsidP="00C96C2C" w14:paraId="133B8BA6" w14:textId="77777777">
      <w:pPr>
        <w:pStyle w:val="FootnoteText"/>
      </w:pPr>
    </w:p>
  </w:footnote>
  <w:footnote w:id="14">
    <w:p w:rsidR="00C96C2C" w:rsidRPr="005F6D6C" w:rsidP="00C96C2C" w14:paraId="6E69152D" w14:textId="77777777">
      <w:pPr>
        <w:pStyle w:val="FootnoteText"/>
        <w:ind w:left="90" w:hanging="90"/>
        <w:rPr>
          <w:sz w:val="26"/>
        </w:rPr>
      </w:pPr>
      <w:r w:rsidRPr="001E6EC7">
        <w:rPr>
          <w:rStyle w:val="FootnoteReference"/>
        </w:rPr>
        <w:footnoteRef/>
      </w:r>
      <w:r w:rsidRPr="005F6D6C">
        <w:rPr>
          <w:sz w:val="26"/>
        </w:rPr>
        <w:t xml:space="preserve"> In Docket No. RM13-8-000 FERC 725D OMB Control: From 1902-0247 for the FAC-010-2.1 Requirement R5 burden of 1,600hrs should be retired with full retirement of FAC-010-3. </w:t>
      </w:r>
    </w:p>
  </w:footnote>
  <w:footnote w:id="15">
    <w:p w:rsidR="00C96C2C" w:rsidRPr="005F6D6C" w:rsidP="00C96C2C" w14:paraId="505E5030" w14:textId="77777777">
      <w:pPr>
        <w:pStyle w:val="FootnoteText"/>
        <w:rPr>
          <w:sz w:val="26"/>
          <w:highlight w:val="yellow"/>
        </w:rPr>
      </w:pPr>
      <w:r w:rsidRPr="001E6EC7">
        <w:rPr>
          <w:rStyle w:val="FootnoteReference"/>
        </w:rPr>
        <w:footnoteRef/>
      </w:r>
      <w:r w:rsidRPr="005F6D6C">
        <w:rPr>
          <w:sz w:val="26"/>
        </w:rPr>
        <w:t xml:space="preserve"> The total of manhours associated FAC-010-3 equals the sum of 13,898 hrs. + 1,600 hrs. = 15,498 hrs.   </w:t>
      </w:r>
    </w:p>
  </w:footnote>
  <w:footnote w:id="16">
    <w:p w:rsidR="00C96C2C" w:rsidP="00C96C2C" w14:paraId="4D37308E" w14:textId="77777777">
      <w:pPr>
        <w:pStyle w:val="FootnoteText"/>
      </w:pPr>
      <w:r w:rsidRPr="001E6EC7">
        <w:rPr>
          <w:rStyle w:val="FootnoteReference"/>
        </w:rPr>
        <w:footnoteRef/>
      </w:r>
      <w:r w:rsidRPr="005F6D6C">
        <w:rPr>
          <w:sz w:val="26"/>
        </w:rPr>
        <w:t xml:space="preserve"> Proposed revision is a one-time change to align updated terminology in the NERC Standards.</w:t>
      </w:r>
      <w:r>
        <w:t xml:space="preserve"> </w:t>
      </w:r>
    </w:p>
  </w:footnote>
  <w:footnote w:id="17">
    <w:p w:rsidR="00C96C2C" w:rsidRPr="005F6D6C" w:rsidP="00C96C2C" w14:paraId="594E9FBC" w14:textId="77777777">
      <w:pPr>
        <w:pStyle w:val="FootnoteText"/>
        <w:rPr>
          <w:sz w:val="26"/>
        </w:rPr>
      </w:pPr>
      <w:r w:rsidRPr="001E6EC7">
        <w:rPr>
          <w:rStyle w:val="FootnoteReference"/>
        </w:rPr>
        <w:footnoteRef/>
      </w:r>
      <w:r w:rsidRPr="005F6D6C">
        <w:rPr>
          <w:sz w:val="26"/>
        </w:rPr>
        <w:t xml:space="preserve"> Proposed revision adds burden to the RC only. </w:t>
      </w:r>
    </w:p>
  </w:footnote>
  <w:footnote w:id="18">
    <w:p w:rsidR="00C96C2C" w:rsidRPr="005F6D6C" w:rsidP="00C96C2C" w14:paraId="3852DB92" w14:textId="3CC9EEE2">
      <w:pPr>
        <w:pStyle w:val="FootnoteText"/>
        <w:rPr>
          <w:sz w:val="26"/>
        </w:rPr>
      </w:pPr>
      <w:r w:rsidRPr="001E6EC7">
        <w:rPr>
          <w:rStyle w:val="FootnoteReference"/>
        </w:rPr>
        <w:footnoteRef/>
      </w:r>
      <w:r w:rsidRPr="005F6D6C">
        <w:rPr>
          <w:sz w:val="26"/>
        </w:rPr>
        <w:t xml:space="preserve"> </w:t>
      </w:r>
      <w:bookmarkStart w:id="1" w:name="_Hlk97283309"/>
      <w:r w:rsidRPr="005F6D6C">
        <w:rPr>
          <w:sz w:val="26"/>
        </w:rPr>
        <w:t xml:space="preserve">The removal of the </w:t>
      </w:r>
      <w:r w:rsidR="004A42D8">
        <w:rPr>
          <w:sz w:val="26"/>
        </w:rPr>
        <w:t>PA/</w:t>
      </w:r>
      <w:r w:rsidRPr="005F6D6C">
        <w:rPr>
          <w:sz w:val="26"/>
        </w:rPr>
        <w:t>PC from PRC-002-3 is a one-time reduction in burden. Eastern and ERCOT interconnection impacte</w:t>
      </w:r>
      <w:bookmarkEnd w:id="1"/>
      <w:r w:rsidRPr="005F6D6C">
        <w:rPr>
          <w:sz w:val="26"/>
        </w:rPr>
        <w:t>d</w:t>
      </w:r>
    </w:p>
  </w:footnote>
  <w:footnote w:id="19">
    <w:p w:rsidR="00C96C2C" w:rsidRPr="005F6D6C" w:rsidP="00C96C2C" w14:paraId="5DBE3592" w14:textId="77777777">
      <w:pPr>
        <w:pStyle w:val="FootnoteText"/>
        <w:rPr>
          <w:sz w:val="26"/>
        </w:rPr>
      </w:pPr>
      <w:r w:rsidRPr="001E6EC7">
        <w:rPr>
          <w:rStyle w:val="FootnoteReference"/>
        </w:rPr>
        <w:footnoteRef/>
      </w:r>
      <w:r w:rsidRPr="005F6D6C">
        <w:rPr>
          <w:sz w:val="26"/>
        </w:rPr>
        <w:t xml:space="preserve"> Proposed revision adds burden to the PA/PC only and is a one-time change to align updated terminology in the NERC Standards.</w:t>
      </w:r>
    </w:p>
  </w:footnote>
  <w:footnote w:id="20">
    <w:p w:rsidR="00C96C2C" w:rsidRPr="005F6D6C" w:rsidP="00C96C2C" w14:paraId="651A1175" w14:textId="77777777">
      <w:pPr>
        <w:pStyle w:val="FootnoteText"/>
        <w:rPr>
          <w:sz w:val="26"/>
        </w:rPr>
      </w:pPr>
      <w:r w:rsidRPr="001E6EC7">
        <w:rPr>
          <w:rStyle w:val="FootnoteReference"/>
        </w:rPr>
        <w:footnoteRef/>
      </w:r>
      <w:r w:rsidRPr="005F6D6C">
        <w:rPr>
          <w:sz w:val="26"/>
        </w:rPr>
        <w:t xml:space="preserve"> Proposed revision adds burden to the PA/PC only and is a one-time change to align updated terminology in the NERC Standards.</w:t>
      </w:r>
    </w:p>
  </w:footnote>
  <w:footnote w:id="21">
    <w:p w:rsidR="00C96C2C" w:rsidP="00C96C2C" w14:paraId="341C932A" w14:textId="77777777">
      <w:pPr>
        <w:pStyle w:val="FootnoteText"/>
      </w:pPr>
      <w:r w:rsidRPr="001E6EC7">
        <w:rPr>
          <w:rStyle w:val="FootnoteReference"/>
        </w:rPr>
        <w:footnoteRef/>
      </w:r>
      <w:r w:rsidRPr="005F6D6C">
        <w:rPr>
          <w:sz w:val="26"/>
        </w:rPr>
        <w:t xml:space="preserve"> Proposed revision adds burden to the TOP only.</w:t>
      </w:r>
    </w:p>
  </w:footnote>
  <w:footnote w:id="22">
    <w:p w:rsidR="00EE7794" w:rsidRPr="00B15921" w:rsidP="001B66CF" w14:paraId="1FB305A4" w14:textId="248E2B26">
      <w:pPr>
        <w:pStyle w:val="FootnoteText"/>
      </w:pPr>
      <w:r w:rsidRPr="00B15921">
        <w:footnoteRef/>
      </w:r>
      <w:r w:rsidRPr="00B15921">
        <w:rPr>
          <w:vertAlign w:val="superscript"/>
        </w:rPr>
        <w:t xml:space="preserve"> </w:t>
      </w:r>
      <w:r w:rsidRPr="00B15921">
        <w:t>The estimate uses the FERC’s FY 20</w:t>
      </w:r>
      <w:r>
        <w:t>2</w:t>
      </w:r>
      <w:r w:rsidR="007D2B60">
        <w:t>1</w:t>
      </w:r>
      <w:r w:rsidRPr="00B15921">
        <w:t xml:space="preserve"> average annual salary plus benefits of one FERC FTE (full-time equivalent [$1</w:t>
      </w:r>
      <w:r w:rsidR="00C96C2C">
        <w:t>80,703</w:t>
      </w:r>
      <w:r w:rsidRPr="00B15921">
        <w:t xml:space="preserve"> per year or $</w:t>
      </w:r>
      <w:r>
        <w:t>8</w:t>
      </w:r>
      <w:r w:rsidR="00C96C2C">
        <w:t>7</w:t>
      </w:r>
      <w:r w:rsidRPr="00B15921">
        <w:t xml:space="preserve">.00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794" w:rsidP="00B3407F" w14:paraId="3DCCD62C" w14:textId="6CD67FC5">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f70f475ebf99fd655febb68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EE7794" w:rsidRPr="00841DE0" w:rsidP="00841DE0" w14:textId="12791A74">
                          <w:pPr>
                            <w:spacing w:after="0"/>
                            <w:jc w:val="center"/>
                            <w:rPr>
                              <w:rFonts w:ascii="Times New Roman" w:hAnsi="Times New Roman" w:cs="Times New Roman"/>
                              <w:color w:val="FF0000"/>
                              <w:sz w:val="26"/>
                            </w:rPr>
                          </w:pPr>
                          <w:r w:rsidRPr="00841DE0">
                            <w:rPr>
                              <w:rFonts w:ascii="Times New Roman" w:hAnsi="Times New Roman" w:cs="Times New Roman"/>
                              <w:color w:val="FF0000"/>
                              <w:sz w:val="26"/>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70f475ebf99fd655febb68a"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EE7794" w:rsidRPr="00841DE0" w:rsidP="00841DE0" w14:paraId="3E6F59EF" w14:textId="12791A74">
                    <w:pPr>
                      <w:spacing w:after="0"/>
                      <w:jc w:val="center"/>
                      <w:rPr>
                        <w:rFonts w:ascii="Times New Roman" w:hAnsi="Times New Roman" w:cs="Times New Roman"/>
                        <w:color w:val="FF0000"/>
                        <w:sz w:val="26"/>
                      </w:rPr>
                    </w:pPr>
                    <w:r w:rsidRPr="00841DE0">
                      <w:rPr>
                        <w:rFonts w:ascii="Times New Roman" w:hAnsi="Times New Roman" w:cs="Times New Roman"/>
                        <w:color w:val="FF0000"/>
                        <w:sz w:val="26"/>
                      </w:rPr>
                      <w:t>CUI</w:t>
                    </w:r>
                  </w:p>
                </w:txbxContent>
              </v:textbox>
            </v:shape>
          </w:pict>
        </mc:Fallback>
      </mc:AlternateContent>
    </w:r>
    <w:r w:rsidRPr="00F15519" w:rsidR="00F15519">
      <w:rPr>
        <w:rFonts w:ascii="Times New Roman" w:eastAsia="Times New Roman" w:hAnsi="Times New Roman" w:cs="Times New Roman"/>
        <w:sz w:val="26"/>
        <w:szCs w:val="26"/>
      </w:rPr>
      <w:t>1902-0244 (FERC-725A), 1902-0247 (FERC-725D), 1902-0252 (FERC-725G), 1902-0263 (FERC-725M) and 1902-0276 (FERC-725Z)</w:t>
    </w:r>
  </w:p>
  <w:p w:rsidR="00EE7794" w:rsidP="00B3407F" w14:paraId="76411885" w14:textId="13D7500A">
    <w:pPr>
      <w:pStyle w:val="Header"/>
      <w:rPr>
        <w:rFonts w:ascii="Times New Roman" w:hAnsi="Times New Roman"/>
        <w:sz w:val="24"/>
        <w:szCs w:val="24"/>
      </w:rPr>
    </w:pPr>
    <w:r>
      <w:rPr>
        <w:rFonts w:ascii="Times New Roman" w:hAnsi="Times New Roman"/>
        <w:sz w:val="24"/>
        <w:szCs w:val="24"/>
      </w:rPr>
      <w:t>Order in Docket No. RD2</w:t>
    </w:r>
    <w:r w:rsidR="004F5391">
      <w:rPr>
        <w:rFonts w:ascii="Times New Roman" w:hAnsi="Times New Roman"/>
        <w:sz w:val="24"/>
        <w:szCs w:val="24"/>
      </w:rPr>
      <w:t>2</w:t>
    </w:r>
    <w:r>
      <w:rPr>
        <w:rFonts w:ascii="Times New Roman" w:hAnsi="Times New Roman"/>
        <w:sz w:val="24"/>
        <w:szCs w:val="24"/>
      </w:rPr>
      <w:t>-</w:t>
    </w:r>
    <w:r w:rsidR="004F5391">
      <w:rPr>
        <w:rFonts w:ascii="Times New Roman" w:hAnsi="Times New Roman"/>
        <w:sz w:val="24"/>
        <w:szCs w:val="24"/>
      </w:rPr>
      <w:t>2</w:t>
    </w:r>
    <w:r>
      <w:rPr>
        <w:rFonts w:ascii="Times New Roman" w:hAnsi="Times New Roman"/>
        <w:sz w:val="24"/>
        <w:szCs w:val="24"/>
      </w:rPr>
      <w:t xml:space="preserve">-000, </w:t>
    </w:r>
  </w:p>
  <w:p w:rsidR="00EE7794" w:rsidP="00B3407F" w14:paraId="3A568B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3">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316C53"/>
    <w:multiLevelType w:val="hybridMultilevel"/>
    <w:tmpl w:val="FEF80C20"/>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3">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9"/>
  </w:num>
  <w:num w:numId="3">
    <w:abstractNumId w:val="27"/>
  </w:num>
  <w:num w:numId="4">
    <w:abstractNumId w:val="29"/>
  </w:num>
  <w:num w:numId="5">
    <w:abstractNumId w:val="36"/>
  </w:num>
  <w:num w:numId="6">
    <w:abstractNumId w:val="32"/>
  </w:num>
  <w:num w:numId="7">
    <w:abstractNumId w:val="1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8"/>
  </w:num>
  <w:num w:numId="21">
    <w:abstractNumId w:val="10"/>
  </w:num>
  <w:num w:numId="22">
    <w:abstractNumId w:val="34"/>
  </w:num>
  <w:num w:numId="23">
    <w:abstractNumId w:val="20"/>
  </w:num>
  <w:num w:numId="24">
    <w:abstractNumId w:val="21"/>
  </w:num>
  <w:num w:numId="25">
    <w:abstractNumId w:val="33"/>
  </w:num>
  <w:num w:numId="26">
    <w:abstractNumId w:val="14"/>
  </w:num>
  <w:num w:numId="27">
    <w:abstractNumId w:val="31"/>
  </w:num>
  <w:num w:numId="28">
    <w:abstractNumId w:val="11"/>
  </w:num>
  <w:num w:numId="29">
    <w:abstractNumId w:val="15"/>
  </w:num>
  <w:num w:numId="30">
    <w:abstractNumId w:val="25"/>
  </w:num>
  <w:num w:numId="31">
    <w:abstractNumId w:val="26"/>
  </w:num>
  <w:num w:numId="32">
    <w:abstractNumId w:val="17"/>
  </w:num>
  <w:num w:numId="33">
    <w:abstractNumId w:val="24"/>
  </w:num>
  <w:num w:numId="34">
    <w:abstractNumId w:val="22"/>
  </w:num>
  <w:num w:numId="35">
    <w:abstractNumId w:val="16"/>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1EC7"/>
    <w:rsid w:val="0000315F"/>
    <w:rsid w:val="000042C0"/>
    <w:rsid w:val="00004303"/>
    <w:rsid w:val="00004D85"/>
    <w:rsid w:val="00011946"/>
    <w:rsid w:val="0002242D"/>
    <w:rsid w:val="00032AB7"/>
    <w:rsid w:val="00033749"/>
    <w:rsid w:val="00035845"/>
    <w:rsid w:val="0004709E"/>
    <w:rsid w:val="00052445"/>
    <w:rsid w:val="000541C7"/>
    <w:rsid w:val="00057A9A"/>
    <w:rsid w:val="00071443"/>
    <w:rsid w:val="00071E8E"/>
    <w:rsid w:val="00076EFD"/>
    <w:rsid w:val="000943D4"/>
    <w:rsid w:val="000A441A"/>
    <w:rsid w:val="000B0C37"/>
    <w:rsid w:val="000B4923"/>
    <w:rsid w:val="000C7F68"/>
    <w:rsid w:val="000D1962"/>
    <w:rsid w:val="000E4604"/>
    <w:rsid w:val="000F532B"/>
    <w:rsid w:val="00107834"/>
    <w:rsid w:val="00132DA0"/>
    <w:rsid w:val="001372FF"/>
    <w:rsid w:val="00143103"/>
    <w:rsid w:val="001513C0"/>
    <w:rsid w:val="0015589F"/>
    <w:rsid w:val="0017787C"/>
    <w:rsid w:val="00181727"/>
    <w:rsid w:val="00182858"/>
    <w:rsid w:val="00185730"/>
    <w:rsid w:val="00190012"/>
    <w:rsid w:val="001B66CF"/>
    <w:rsid w:val="001C300E"/>
    <w:rsid w:val="001D0D91"/>
    <w:rsid w:val="001F1AD2"/>
    <w:rsid w:val="001F4608"/>
    <w:rsid w:val="002051EB"/>
    <w:rsid w:val="00210748"/>
    <w:rsid w:val="00210902"/>
    <w:rsid w:val="00212FCA"/>
    <w:rsid w:val="002249B4"/>
    <w:rsid w:val="00224FF7"/>
    <w:rsid w:val="00231EBD"/>
    <w:rsid w:val="00255164"/>
    <w:rsid w:val="0026674D"/>
    <w:rsid w:val="00270229"/>
    <w:rsid w:val="00275E54"/>
    <w:rsid w:val="002800F3"/>
    <w:rsid w:val="00293DD1"/>
    <w:rsid w:val="002B13E2"/>
    <w:rsid w:val="002B502D"/>
    <w:rsid w:val="002C7345"/>
    <w:rsid w:val="002D1C88"/>
    <w:rsid w:val="002D57E3"/>
    <w:rsid w:val="002E48FF"/>
    <w:rsid w:val="002E6793"/>
    <w:rsid w:val="002E73DC"/>
    <w:rsid w:val="002E7D81"/>
    <w:rsid w:val="0030268B"/>
    <w:rsid w:val="00312AD1"/>
    <w:rsid w:val="00324D7D"/>
    <w:rsid w:val="00330A2A"/>
    <w:rsid w:val="00333EE2"/>
    <w:rsid w:val="00354626"/>
    <w:rsid w:val="00375A46"/>
    <w:rsid w:val="003A2655"/>
    <w:rsid w:val="003B25DD"/>
    <w:rsid w:val="003C0A4F"/>
    <w:rsid w:val="003D69FC"/>
    <w:rsid w:val="003E31AC"/>
    <w:rsid w:val="003F119D"/>
    <w:rsid w:val="00406E7C"/>
    <w:rsid w:val="00414F32"/>
    <w:rsid w:val="00415C53"/>
    <w:rsid w:val="004552E9"/>
    <w:rsid w:val="00464140"/>
    <w:rsid w:val="00471EC4"/>
    <w:rsid w:val="004779B9"/>
    <w:rsid w:val="004875D5"/>
    <w:rsid w:val="004951E2"/>
    <w:rsid w:val="004A42D8"/>
    <w:rsid w:val="004B01EE"/>
    <w:rsid w:val="004B35F6"/>
    <w:rsid w:val="004B502E"/>
    <w:rsid w:val="004B7A8E"/>
    <w:rsid w:val="004C4C89"/>
    <w:rsid w:val="004F5391"/>
    <w:rsid w:val="004F6977"/>
    <w:rsid w:val="004F7A4D"/>
    <w:rsid w:val="00504E92"/>
    <w:rsid w:val="00522F69"/>
    <w:rsid w:val="00530462"/>
    <w:rsid w:val="0053287C"/>
    <w:rsid w:val="005335A7"/>
    <w:rsid w:val="00541B5E"/>
    <w:rsid w:val="0056728B"/>
    <w:rsid w:val="00571C5E"/>
    <w:rsid w:val="00572435"/>
    <w:rsid w:val="0057700F"/>
    <w:rsid w:val="00577CC7"/>
    <w:rsid w:val="00580974"/>
    <w:rsid w:val="00583863"/>
    <w:rsid w:val="00591E8B"/>
    <w:rsid w:val="005A2792"/>
    <w:rsid w:val="005B4642"/>
    <w:rsid w:val="005B74EF"/>
    <w:rsid w:val="005B77CE"/>
    <w:rsid w:val="005E7290"/>
    <w:rsid w:val="005F1C3C"/>
    <w:rsid w:val="005F2922"/>
    <w:rsid w:val="005F6D6C"/>
    <w:rsid w:val="0060709A"/>
    <w:rsid w:val="00615C10"/>
    <w:rsid w:val="006166FA"/>
    <w:rsid w:val="00632F48"/>
    <w:rsid w:val="00653BD5"/>
    <w:rsid w:val="00656F55"/>
    <w:rsid w:val="00664BC0"/>
    <w:rsid w:val="006825A5"/>
    <w:rsid w:val="006835EB"/>
    <w:rsid w:val="00690136"/>
    <w:rsid w:val="00697B0D"/>
    <w:rsid w:val="006A5231"/>
    <w:rsid w:val="006D67DF"/>
    <w:rsid w:val="006D74D9"/>
    <w:rsid w:val="006D7EBE"/>
    <w:rsid w:val="006E33D4"/>
    <w:rsid w:val="006E6BF1"/>
    <w:rsid w:val="00705F66"/>
    <w:rsid w:val="007165A2"/>
    <w:rsid w:val="0072126E"/>
    <w:rsid w:val="0072324F"/>
    <w:rsid w:val="00730307"/>
    <w:rsid w:val="0073424E"/>
    <w:rsid w:val="00734692"/>
    <w:rsid w:val="00734D39"/>
    <w:rsid w:val="00736846"/>
    <w:rsid w:val="00763EAE"/>
    <w:rsid w:val="00764D4D"/>
    <w:rsid w:val="007666A8"/>
    <w:rsid w:val="00773039"/>
    <w:rsid w:val="00773AEB"/>
    <w:rsid w:val="00776623"/>
    <w:rsid w:val="00781137"/>
    <w:rsid w:val="00787670"/>
    <w:rsid w:val="00787FED"/>
    <w:rsid w:val="00792606"/>
    <w:rsid w:val="007A2F92"/>
    <w:rsid w:val="007A7A19"/>
    <w:rsid w:val="007B3E16"/>
    <w:rsid w:val="007C31D6"/>
    <w:rsid w:val="007C5EB4"/>
    <w:rsid w:val="007D1EDB"/>
    <w:rsid w:val="007D2B60"/>
    <w:rsid w:val="007D4C3D"/>
    <w:rsid w:val="007E08EF"/>
    <w:rsid w:val="007E12BA"/>
    <w:rsid w:val="007E7C0F"/>
    <w:rsid w:val="007F0136"/>
    <w:rsid w:val="007F1AC1"/>
    <w:rsid w:val="007F2CD9"/>
    <w:rsid w:val="007F38CB"/>
    <w:rsid w:val="007F58DE"/>
    <w:rsid w:val="007F7801"/>
    <w:rsid w:val="00804051"/>
    <w:rsid w:val="0081469B"/>
    <w:rsid w:val="00824795"/>
    <w:rsid w:val="00824B30"/>
    <w:rsid w:val="00826750"/>
    <w:rsid w:val="00836ACB"/>
    <w:rsid w:val="00841DE0"/>
    <w:rsid w:val="00845C73"/>
    <w:rsid w:val="00847190"/>
    <w:rsid w:val="00847B85"/>
    <w:rsid w:val="008516B5"/>
    <w:rsid w:val="00854CF3"/>
    <w:rsid w:val="008619E1"/>
    <w:rsid w:val="00876F75"/>
    <w:rsid w:val="008838BF"/>
    <w:rsid w:val="00883F19"/>
    <w:rsid w:val="00896DEA"/>
    <w:rsid w:val="008A0CCC"/>
    <w:rsid w:val="008A21A4"/>
    <w:rsid w:val="008A757A"/>
    <w:rsid w:val="008B0A37"/>
    <w:rsid w:val="008B703B"/>
    <w:rsid w:val="008C1F0A"/>
    <w:rsid w:val="008C288D"/>
    <w:rsid w:val="008C4831"/>
    <w:rsid w:val="008E70CD"/>
    <w:rsid w:val="008F16EE"/>
    <w:rsid w:val="008F3AD3"/>
    <w:rsid w:val="009118FF"/>
    <w:rsid w:val="00913A8B"/>
    <w:rsid w:val="009234F6"/>
    <w:rsid w:val="00924C11"/>
    <w:rsid w:val="0092596C"/>
    <w:rsid w:val="00954E34"/>
    <w:rsid w:val="00970FE4"/>
    <w:rsid w:val="00973D7D"/>
    <w:rsid w:val="0098144A"/>
    <w:rsid w:val="009952CF"/>
    <w:rsid w:val="009A2394"/>
    <w:rsid w:val="009A6041"/>
    <w:rsid w:val="009A6326"/>
    <w:rsid w:val="009C7ADC"/>
    <w:rsid w:val="009D4D24"/>
    <w:rsid w:val="009E1190"/>
    <w:rsid w:val="009E68B7"/>
    <w:rsid w:val="009F358B"/>
    <w:rsid w:val="009F534F"/>
    <w:rsid w:val="00A03A01"/>
    <w:rsid w:val="00A124D2"/>
    <w:rsid w:val="00A25080"/>
    <w:rsid w:val="00A276F5"/>
    <w:rsid w:val="00A317FB"/>
    <w:rsid w:val="00A32B85"/>
    <w:rsid w:val="00A42006"/>
    <w:rsid w:val="00A4336A"/>
    <w:rsid w:val="00A548BE"/>
    <w:rsid w:val="00A5774D"/>
    <w:rsid w:val="00A65B66"/>
    <w:rsid w:val="00A72E7B"/>
    <w:rsid w:val="00A9662B"/>
    <w:rsid w:val="00A968FB"/>
    <w:rsid w:val="00A96B65"/>
    <w:rsid w:val="00AA04F3"/>
    <w:rsid w:val="00AB5472"/>
    <w:rsid w:val="00AC488E"/>
    <w:rsid w:val="00AC5B54"/>
    <w:rsid w:val="00AD3A82"/>
    <w:rsid w:val="00AD3DE5"/>
    <w:rsid w:val="00AD4CC5"/>
    <w:rsid w:val="00AD5F1C"/>
    <w:rsid w:val="00AD7868"/>
    <w:rsid w:val="00AE205C"/>
    <w:rsid w:val="00AF32F2"/>
    <w:rsid w:val="00B04618"/>
    <w:rsid w:val="00B06088"/>
    <w:rsid w:val="00B1381C"/>
    <w:rsid w:val="00B15921"/>
    <w:rsid w:val="00B16372"/>
    <w:rsid w:val="00B3407F"/>
    <w:rsid w:val="00B3559A"/>
    <w:rsid w:val="00B44058"/>
    <w:rsid w:val="00B5301A"/>
    <w:rsid w:val="00B62DC2"/>
    <w:rsid w:val="00B82D54"/>
    <w:rsid w:val="00B86284"/>
    <w:rsid w:val="00B862DA"/>
    <w:rsid w:val="00BA1C7D"/>
    <w:rsid w:val="00BA5743"/>
    <w:rsid w:val="00BA57C6"/>
    <w:rsid w:val="00BA7C56"/>
    <w:rsid w:val="00BC2D1E"/>
    <w:rsid w:val="00BC302C"/>
    <w:rsid w:val="00BD0FD5"/>
    <w:rsid w:val="00C00D70"/>
    <w:rsid w:val="00C01698"/>
    <w:rsid w:val="00C3435C"/>
    <w:rsid w:val="00C510DD"/>
    <w:rsid w:val="00C57485"/>
    <w:rsid w:val="00C60EDC"/>
    <w:rsid w:val="00C754A4"/>
    <w:rsid w:val="00C867EB"/>
    <w:rsid w:val="00C96857"/>
    <w:rsid w:val="00C96C2C"/>
    <w:rsid w:val="00CA495F"/>
    <w:rsid w:val="00CA4F8C"/>
    <w:rsid w:val="00CA59C3"/>
    <w:rsid w:val="00CA6D5C"/>
    <w:rsid w:val="00CB5C60"/>
    <w:rsid w:val="00CC086F"/>
    <w:rsid w:val="00CD061C"/>
    <w:rsid w:val="00CD7DBB"/>
    <w:rsid w:val="00CE34E4"/>
    <w:rsid w:val="00CE5F91"/>
    <w:rsid w:val="00CF734E"/>
    <w:rsid w:val="00D037AB"/>
    <w:rsid w:val="00D05648"/>
    <w:rsid w:val="00D05A7F"/>
    <w:rsid w:val="00D119C3"/>
    <w:rsid w:val="00D20588"/>
    <w:rsid w:val="00D31FF3"/>
    <w:rsid w:val="00D457D9"/>
    <w:rsid w:val="00D459FA"/>
    <w:rsid w:val="00D45F44"/>
    <w:rsid w:val="00D517AE"/>
    <w:rsid w:val="00D53C96"/>
    <w:rsid w:val="00D60B08"/>
    <w:rsid w:val="00D734E6"/>
    <w:rsid w:val="00D80FBD"/>
    <w:rsid w:val="00D900B6"/>
    <w:rsid w:val="00D929AC"/>
    <w:rsid w:val="00DB14A2"/>
    <w:rsid w:val="00DB7D74"/>
    <w:rsid w:val="00DC3363"/>
    <w:rsid w:val="00DC4E36"/>
    <w:rsid w:val="00DD0209"/>
    <w:rsid w:val="00DD1F76"/>
    <w:rsid w:val="00DD2B39"/>
    <w:rsid w:val="00DF401D"/>
    <w:rsid w:val="00DF56DA"/>
    <w:rsid w:val="00DF739D"/>
    <w:rsid w:val="00E05FA3"/>
    <w:rsid w:val="00E11CA6"/>
    <w:rsid w:val="00E14565"/>
    <w:rsid w:val="00E14E37"/>
    <w:rsid w:val="00E20612"/>
    <w:rsid w:val="00E32FBE"/>
    <w:rsid w:val="00E57AAC"/>
    <w:rsid w:val="00E636D7"/>
    <w:rsid w:val="00E71CB8"/>
    <w:rsid w:val="00E77D58"/>
    <w:rsid w:val="00E87A4F"/>
    <w:rsid w:val="00E920BC"/>
    <w:rsid w:val="00EA5DC5"/>
    <w:rsid w:val="00EB1FF5"/>
    <w:rsid w:val="00EB3E6F"/>
    <w:rsid w:val="00EC0232"/>
    <w:rsid w:val="00ED5560"/>
    <w:rsid w:val="00EE4C15"/>
    <w:rsid w:val="00EE7794"/>
    <w:rsid w:val="00EF0B6E"/>
    <w:rsid w:val="00F12DC2"/>
    <w:rsid w:val="00F152DF"/>
    <w:rsid w:val="00F15519"/>
    <w:rsid w:val="00F21C1A"/>
    <w:rsid w:val="00F35839"/>
    <w:rsid w:val="00F55597"/>
    <w:rsid w:val="00F61AF6"/>
    <w:rsid w:val="00F63BAB"/>
    <w:rsid w:val="00F8199A"/>
    <w:rsid w:val="00FA0AF5"/>
    <w:rsid w:val="00FB0397"/>
    <w:rsid w:val="00FB16E6"/>
    <w:rsid w:val="00FB482A"/>
    <w:rsid w:val="00FC1142"/>
    <w:rsid w:val="00FD66F1"/>
    <w:rsid w:val="00FF0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numbering" w:customStyle="1" w:styleId="NoList1">
    <w:name w:val="No List1"/>
    <w:next w:val="NoList"/>
    <w:uiPriority w:val="99"/>
    <w:semiHidden/>
    <w:unhideWhenUsed/>
    <w:rsid w:val="00FB482A"/>
  </w:style>
  <w:style w:type="table" w:styleId="TableGrid">
    <w:name w:val="Table Grid"/>
    <w:basedOn w:val="TableNormal"/>
    <w:uiPriority w:val="39"/>
    <w:rsid w:val="0092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6C2C"/>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AboutNERC/RulesOfProcedure/Appendix_3A_SPM_Clean_Mar2019.pdf" TargetMode="External" /><Relationship Id="rId2" Type="http://schemas.openxmlformats.org/officeDocument/2006/relationships/hyperlink" Target="https://www.bls.gov/oes/current/naics3_221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2022-09-21T10:56:00Z</dcterms:created>
  <dcterms:modified xsi:type="dcterms:W3CDTF">2022-10-08T00:59:00Z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20c11f-7d21-4fdf-9d04-b34a9c1c3979_ActionId">
    <vt:lpwstr>8255b3b4-f71b-42ca-9dd6-6a5316d8c8bd</vt:lpwstr>
  </property>
  <property fmtid="{D5CDD505-2E9C-101B-9397-08002B2CF9AE}" pid="3" name="MSIP_Label_e120c11f-7d21-4fdf-9d04-b34a9c1c3979_ContentBits">
    <vt:lpwstr>1</vt:lpwstr>
  </property>
  <property fmtid="{D5CDD505-2E9C-101B-9397-08002B2CF9AE}" pid="4" name="MSIP_Label_e120c11f-7d21-4fdf-9d04-b34a9c1c3979_Enabled">
    <vt:lpwstr>true</vt:lpwstr>
  </property>
  <property fmtid="{D5CDD505-2E9C-101B-9397-08002B2CF9AE}" pid="5" name="MSIP_Label_e120c11f-7d21-4fdf-9d04-b34a9c1c3979_Method">
    <vt:lpwstr>Privileged</vt:lpwstr>
  </property>
  <property fmtid="{D5CDD505-2E9C-101B-9397-08002B2CF9AE}" pid="6" name="MSIP_Label_e120c11f-7d21-4fdf-9d04-b34a9c1c3979_Name">
    <vt:lpwstr>e120c11f-7d21-4fdf-9d04-b34a9c1c3979</vt:lpwstr>
  </property>
  <property fmtid="{D5CDD505-2E9C-101B-9397-08002B2CF9AE}" pid="7" name="MSIP_Label_e120c11f-7d21-4fdf-9d04-b34a9c1c3979_SetDate">
    <vt:lpwstr>2022-09-20T18:52:15Z</vt:lpwstr>
  </property>
  <property fmtid="{D5CDD505-2E9C-101B-9397-08002B2CF9AE}" pid="8" name="MSIP_Label_e120c11f-7d21-4fdf-9d04-b34a9c1c3979_SiteId">
    <vt:lpwstr>19caa9e9-04ff-43fa-885f-d77fac387903</vt:lpwstr>
  </property>
  <property fmtid="{D5CDD505-2E9C-101B-9397-08002B2CF9AE}" pid="9" name="_NewReviewCycle">
    <vt:lpwstr/>
  </property>
</Properties>
</file>