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noProof/>
        </w:rPr>
        <w:id w:val="37707067"/>
        <w:docPartObj>
          <w:docPartGallery w:val="Cover Pages"/>
        </w:docPartObj>
      </w:sdtPr>
      <w:sdtEndPr>
        <w:rPr>
          <w:noProof w:val="0"/>
        </w:rPr>
      </w:sdtEndPr>
      <w:sdtContent>
        <w:p w:rsidR="00D001E4" w:rsidP="00345B7E" w14:paraId="238E0B83" w14:textId="77777777">
          <w:pPr>
            <w:rPr>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5168" fillcolor="#0c95d3" stroked="f" strokecolor="#f2f2f2" strokeweight="3pt">
                    <v:shadow color="#50191f" opacity="0.5" offset="1pt"/>
                    <w10:wrap type="through"/>
                  </v:rect>
                </w:pict>
              </mc:Fallback>
            </mc:AlternateContent>
          </w:r>
          <w:r w:rsidR="00C00590">
            <w:rPr>
              <w:noProof/>
            </w:rPr>
            <w:drawing>
              <wp:anchor distT="0" distB="0" distL="114300" distR="114300" simplePos="0" relativeHeight="251659264" behindDoc="0" locked="0" layoutInCell="1" allowOverlap="1">
                <wp:simplePos x="0" y="0"/>
                <wp:positionH relativeFrom="column">
                  <wp:posOffset>6350</wp:posOffset>
                </wp:positionH>
                <wp:positionV relativeFrom="paragraph">
                  <wp:posOffset>50800</wp:posOffset>
                </wp:positionV>
                <wp:extent cx="3175000" cy="609600"/>
                <wp:effectExtent l="19050" t="0" r="6350" b="0"/>
                <wp:wrapThrough wrapText="bothSides">
                  <wp:wrapPolygon>
                    <wp:start x="-130" y="0"/>
                    <wp:lineTo x="-130" y="20925"/>
                    <wp:lineTo x="21643" y="20925"/>
                    <wp:lineTo x="21643" y="0"/>
                    <wp:lineTo x="-130" y="0"/>
                  </wp:wrapPolygon>
                </wp:wrapThrough>
                <wp:docPr id="5" name="Picture 4" descr="eia_logo_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a_logo_tagline.png"/>
                        <pic:cNvPicPr/>
                      </pic:nvPicPr>
                      <pic:blipFill>
                        <a:blip xmlns:r="http://schemas.openxmlformats.org/officeDocument/2006/relationships" r:embed="rId9" cstate="print"/>
                        <a:stretch>
                          <a:fillRect/>
                        </a:stretch>
                      </pic:blipFill>
                      <pic:spPr>
                        <a:xfrm>
                          <a:off x="0" y="0"/>
                          <a:ext cx="3175000" cy="609600"/>
                        </a:xfrm>
                        <a:prstGeom prst="rect">
                          <a:avLst/>
                        </a:prstGeom>
                      </pic:spPr>
                    </pic:pic>
                  </a:graphicData>
                </a:graphic>
              </wp:anchor>
            </w:drawing>
          </w:r>
          <w:r>
            <w:rPr>
              <w:noProof/>
            </w:rPr>
            <mc:AlternateContent>
              <mc:Choice Requires="wps">
                <w:drawing>
                  <wp:anchor distT="0" distB="0" distL="114300" distR="114300" simplePos="0" relativeHeight="251662336"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3360" strokecolor="#7e8e9a">
                    <w10:wrap type="square"/>
                  </v:shape>
                </w:pict>
              </mc:Fallback>
            </mc:AlternateContent>
          </w:r>
        </w:p>
        <w:p w:rsidR="00041909" w:rsidP="00345B7E" w14:paraId="1B5C574A" w14:textId="77777777">
          <w:pPr>
            <w:ind w:left="1080"/>
          </w:pPr>
          <w:r>
            <w:rPr>
              <w:noProof/>
            </w:rPr>
            <w:softHyphen/>
          </w:r>
          <w:r>
            <w:rPr>
              <w:noProof/>
            </w:rPr>
            <w:softHyphen/>
          </w:r>
          <w:r>
            <w:rPr>
              <w:noProof/>
            </w:rPr>
            <w:softHyphen/>
          </w:r>
        </w:p>
      </w:sdtContent>
    </w:sdt>
    <w:p w:rsidR="00D928FD" w:rsidP="00345B7E" w14:paraId="408D7C49"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345B7E" w14:paraId="0EE5E486" w14:textId="4FF13018">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Petroleum Supply Reporting System</w:t>
          </w:r>
        </w:p>
      </w:sdtContent>
    </w:sdt>
    <w:p w:rsidR="0059212D" w:rsidRPr="007E53C4" w:rsidP="00345B7E" w14:paraId="247CA0A7" w14:textId="77777777">
      <w:pPr>
        <w:pStyle w:val="Heading1"/>
      </w:pPr>
      <w:bookmarkStart w:id="0" w:name="_Toc466046933"/>
      <w:r w:rsidRPr="007E53C4">
        <w:t>Part B</w:t>
      </w:r>
      <w:r w:rsidRPr="007E53C4" w:rsidR="00EE2CAF">
        <w:t xml:space="preserve">: </w:t>
      </w:r>
      <w:r w:rsidRPr="007E53C4">
        <w:t>Collections of Information Employing Statistical Methods</w:t>
      </w:r>
      <w:bookmarkEnd w:id="0"/>
    </w:p>
    <w:p w:rsidR="00711414" w:rsidRPr="00711414" w:rsidP="00345B7E" w14:paraId="5C2BF471" w14:textId="24E80483">
      <w:pPr>
        <w:rPr>
          <w:b/>
          <w:sz w:val="36"/>
          <w:szCs w:val="36"/>
        </w:rPr>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margin">
                  <wp:posOffset>3124034</wp:posOffset>
                </wp:positionV>
                <wp:extent cx="6057900" cy="3921760"/>
                <wp:effectExtent l="0" t="0" r="0" b="2540"/>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3921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4D5C" w:rsidRPr="00421713" w:rsidP="00836036" w14:textId="1B3FD9F1">
                            <w:pPr>
                              <w:spacing w:before="120" w:after="0" w:line="240" w:lineRule="auto"/>
                              <w:rPr>
                                <w:sz w:val="24"/>
                                <w:szCs w:val="24"/>
                              </w:rPr>
                            </w:pPr>
                            <w:r>
                              <w:rPr>
                                <w:sz w:val="24"/>
                                <w:szCs w:val="24"/>
                              </w:rPr>
                              <w:t xml:space="preserve">Form EIA-800 </w:t>
                            </w:r>
                            <w:r w:rsidRPr="00607EE9">
                              <w:rPr>
                                <w:i/>
                                <w:sz w:val="24"/>
                                <w:szCs w:val="24"/>
                              </w:rPr>
                              <w:t>Weekly Refinery Report</w:t>
                            </w:r>
                          </w:p>
                          <w:p w:rsidR="00CF4D5C" w:rsidRPr="00421713" w:rsidP="00836036" w14:textId="79169E88">
                            <w:pPr>
                              <w:spacing w:before="60" w:after="0" w:line="240" w:lineRule="auto"/>
                              <w:rPr>
                                <w:sz w:val="24"/>
                                <w:szCs w:val="24"/>
                              </w:rPr>
                            </w:pPr>
                            <w:r>
                              <w:rPr>
                                <w:sz w:val="24"/>
                                <w:szCs w:val="24"/>
                              </w:rPr>
                              <w:t xml:space="preserve">Form EIA-802 </w:t>
                            </w:r>
                            <w:r w:rsidRPr="00BD6296">
                              <w:rPr>
                                <w:i/>
                                <w:sz w:val="24"/>
                                <w:szCs w:val="24"/>
                              </w:rPr>
                              <w:t>Weekly Product Pipeline Report</w:t>
                            </w:r>
                          </w:p>
                          <w:p w:rsidR="00CF4D5C" w:rsidRPr="00421713" w:rsidP="00836036" w14:textId="5A67F3E3">
                            <w:pPr>
                              <w:spacing w:before="60" w:after="0" w:line="240" w:lineRule="auto"/>
                              <w:rPr>
                                <w:sz w:val="24"/>
                                <w:szCs w:val="24"/>
                              </w:rPr>
                            </w:pPr>
                            <w:r>
                              <w:rPr>
                                <w:sz w:val="24"/>
                                <w:szCs w:val="24"/>
                              </w:rPr>
                              <w:t xml:space="preserve">Form EIA-803 </w:t>
                            </w:r>
                            <w:r w:rsidRPr="00BD6296">
                              <w:rPr>
                                <w:i/>
                                <w:sz w:val="24"/>
                                <w:szCs w:val="24"/>
                              </w:rPr>
                              <w:t>Weekly Crude Oil Stocks Report</w:t>
                            </w:r>
                          </w:p>
                          <w:p w:rsidR="00CF4D5C" w:rsidRPr="00421713" w:rsidP="00836036" w14:textId="1C4EF9AB">
                            <w:pPr>
                              <w:spacing w:before="60" w:after="0" w:line="240" w:lineRule="auto"/>
                              <w:rPr>
                                <w:sz w:val="24"/>
                                <w:szCs w:val="24"/>
                              </w:rPr>
                            </w:pPr>
                            <w:r>
                              <w:rPr>
                                <w:sz w:val="24"/>
                                <w:szCs w:val="24"/>
                              </w:rPr>
                              <w:t xml:space="preserve">Form EIA-804 </w:t>
                            </w:r>
                            <w:r w:rsidRPr="00BD6296">
                              <w:rPr>
                                <w:i/>
                                <w:sz w:val="24"/>
                                <w:szCs w:val="24"/>
                              </w:rPr>
                              <w:t>Weekly Imports Report</w:t>
                            </w:r>
                          </w:p>
                          <w:p w:rsidR="00CF4D5C" w:rsidP="00836036" w14:textId="2D45939C">
                            <w:pPr>
                              <w:spacing w:before="60" w:after="0" w:line="240" w:lineRule="auto"/>
                              <w:rPr>
                                <w:i/>
                                <w:sz w:val="24"/>
                                <w:szCs w:val="24"/>
                              </w:rPr>
                            </w:pPr>
                            <w:r>
                              <w:rPr>
                                <w:sz w:val="24"/>
                                <w:szCs w:val="24"/>
                              </w:rPr>
                              <w:t xml:space="preserve">Form EIA-805 </w:t>
                            </w:r>
                            <w:r w:rsidRPr="00BD6296">
                              <w:rPr>
                                <w:i/>
                                <w:sz w:val="24"/>
                                <w:szCs w:val="24"/>
                              </w:rPr>
                              <w:t>Weekly Bulk Terminal Report</w:t>
                            </w:r>
                          </w:p>
                          <w:p w:rsidR="00A85C31" w:rsidRPr="00A85C31" w:rsidP="00836036" w14:textId="2982539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CF4D5C" w:rsidRPr="00421713" w:rsidP="00836036" w14:textId="65D88ABE">
                            <w:pPr>
                              <w:spacing w:before="60" w:after="0" w:line="240" w:lineRule="auto"/>
                              <w:rPr>
                                <w:sz w:val="24"/>
                                <w:szCs w:val="24"/>
                              </w:rPr>
                            </w:pPr>
                            <w:r>
                              <w:rPr>
                                <w:sz w:val="24"/>
                                <w:szCs w:val="24"/>
                              </w:rPr>
                              <w:t xml:space="preserve">Form EIA-809 </w:t>
                            </w:r>
                            <w:r w:rsidRPr="00BD6296">
                              <w:rPr>
                                <w:i/>
                                <w:sz w:val="24"/>
                                <w:szCs w:val="24"/>
                              </w:rPr>
                              <w:t>Weekly Oxygenate Report</w:t>
                            </w:r>
                          </w:p>
                          <w:p w:rsidR="00CF4D5C" w:rsidRPr="00421713" w:rsidP="00836036" w14:textId="30FBF0D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CF4D5C" w:rsidRPr="00421713" w:rsidP="00836036" w14:textId="6B004376">
                            <w:pPr>
                              <w:spacing w:before="60" w:after="0" w:line="240" w:lineRule="auto"/>
                              <w:rPr>
                                <w:sz w:val="24"/>
                                <w:szCs w:val="24"/>
                              </w:rPr>
                            </w:pPr>
                            <w:r>
                              <w:rPr>
                                <w:sz w:val="24"/>
                                <w:szCs w:val="24"/>
                              </w:rPr>
                              <w:t xml:space="preserve">Form EIA-812 </w:t>
                            </w:r>
                            <w:r w:rsidRPr="00BD6296">
                              <w:rPr>
                                <w:i/>
                                <w:sz w:val="24"/>
                                <w:szCs w:val="24"/>
                              </w:rPr>
                              <w:t>Monthly Product Pipeline Report</w:t>
                            </w:r>
                          </w:p>
                          <w:p w:rsidR="00CF4D5C" w:rsidRPr="00421713" w:rsidP="00836036" w14:textId="19B3791C">
                            <w:pPr>
                              <w:spacing w:before="60" w:after="0" w:line="240" w:lineRule="auto"/>
                              <w:rPr>
                                <w:sz w:val="24"/>
                                <w:szCs w:val="24"/>
                              </w:rPr>
                            </w:pPr>
                            <w:r>
                              <w:rPr>
                                <w:sz w:val="24"/>
                                <w:szCs w:val="24"/>
                              </w:rPr>
                              <w:t xml:space="preserve">Form EIA-813 </w:t>
                            </w:r>
                            <w:r w:rsidRPr="00AD5524">
                              <w:rPr>
                                <w:i/>
                                <w:sz w:val="24"/>
                                <w:szCs w:val="24"/>
                              </w:rPr>
                              <w:t>Monthly Crude Oil Report</w:t>
                            </w:r>
                          </w:p>
                          <w:p w:rsidR="00CF4D5C" w:rsidRPr="00421713" w:rsidP="00836036" w14:textId="2F307C38">
                            <w:pPr>
                              <w:spacing w:before="60" w:after="0" w:line="240" w:lineRule="auto"/>
                              <w:rPr>
                                <w:sz w:val="24"/>
                                <w:szCs w:val="24"/>
                              </w:rPr>
                            </w:pPr>
                            <w:r>
                              <w:rPr>
                                <w:sz w:val="24"/>
                                <w:szCs w:val="24"/>
                              </w:rPr>
                              <w:t xml:space="preserve">Form EIA-814 </w:t>
                            </w:r>
                            <w:r w:rsidRPr="00AD5524">
                              <w:rPr>
                                <w:i/>
                                <w:sz w:val="24"/>
                                <w:szCs w:val="24"/>
                              </w:rPr>
                              <w:t>Monthly Imports Report</w:t>
                            </w:r>
                          </w:p>
                          <w:p w:rsidR="00CF4D5C" w:rsidRPr="00421713" w:rsidP="00836036" w14:textId="613CA388">
                            <w:pPr>
                              <w:spacing w:before="60" w:after="0" w:line="240" w:lineRule="auto"/>
                              <w:rPr>
                                <w:sz w:val="24"/>
                                <w:szCs w:val="24"/>
                              </w:rPr>
                            </w:pPr>
                            <w:r>
                              <w:rPr>
                                <w:sz w:val="24"/>
                                <w:szCs w:val="24"/>
                              </w:rPr>
                              <w:t xml:space="preserve">Form EIA-815 </w:t>
                            </w:r>
                            <w:r w:rsidRPr="00AD5524">
                              <w:rPr>
                                <w:i/>
                                <w:sz w:val="24"/>
                                <w:szCs w:val="24"/>
                              </w:rPr>
                              <w:t>Monthly Bulk Terminal Report</w:t>
                            </w:r>
                          </w:p>
                          <w:p w:rsidR="00CF4D5C" w:rsidRPr="00421713" w:rsidP="00836036" w14:textId="07CD7FAE">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CF4D5C" w:rsidRPr="00421713" w:rsidP="00836036" w14:textId="02C53DE9">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CF4D5C" w:rsidRPr="00421713" w:rsidP="00836036" w14:textId="71A7F60C">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6F7915" w:rsidR="006229CE">
                              <w:rPr>
                                <w:rFonts w:cstheme="minorHAnsi"/>
                                <w:bCs/>
                                <w:i/>
                                <w:color w:val="333333"/>
                                <w:sz w:val="24"/>
                                <w:szCs w:val="24"/>
                                <w:shd w:val="clear" w:color="auto" w:fill="FFFFFF"/>
                              </w:rPr>
                              <w:t xml:space="preserve">Report of </w:t>
                            </w:r>
                            <w:r w:rsidRPr="00541839">
                              <w:rPr>
                                <w:i/>
                                <w:color w:val="333333"/>
                                <w:sz w:val="24"/>
                                <w:shd w:val="clear" w:color="auto" w:fill="FFFFFF"/>
                              </w:rPr>
                              <w:t xml:space="preserve">Biofuels, </w:t>
                            </w:r>
                            <w:r w:rsidRPr="006F7915" w:rsidR="006229CE">
                              <w:rPr>
                                <w:rFonts w:cstheme="minorHAnsi"/>
                                <w:bCs/>
                                <w:i/>
                                <w:color w:val="333333"/>
                                <w:sz w:val="24"/>
                                <w:szCs w:val="24"/>
                                <w:shd w:val="clear" w:color="auto" w:fill="FFFFFF"/>
                              </w:rPr>
                              <w:t xml:space="preserve">Fuels from Non-Biogenic Wastes, </w:t>
                            </w:r>
                            <w:r w:rsidRPr="00541839">
                              <w:rPr>
                                <w:i/>
                                <w:color w:val="333333"/>
                                <w:sz w:val="24"/>
                                <w:shd w:val="clear" w:color="auto" w:fill="FFFFFF"/>
                              </w:rPr>
                              <w:t xml:space="preserve">Fuel Oxygenates, Isooctane, and </w:t>
                            </w:r>
                            <w:r w:rsidRPr="00541839">
                              <w:rPr>
                                <w:i/>
                                <w:color w:val="333333"/>
                                <w:sz w:val="24"/>
                                <w:shd w:val="clear" w:color="auto" w:fill="FFFFFF"/>
                              </w:rPr>
                              <w:t>Isooctene</w:t>
                            </w:r>
                          </w:p>
                          <w:p w:rsidR="00CF4D5C" w:rsidRPr="00421713" w:rsidP="00836036" w14:textId="2DB6F175">
                            <w:pPr>
                              <w:spacing w:before="60" w:after="0" w:line="240" w:lineRule="auto"/>
                              <w:rPr>
                                <w:sz w:val="24"/>
                                <w:szCs w:val="24"/>
                              </w:rPr>
                            </w:pPr>
                            <w:r>
                              <w:rPr>
                                <w:sz w:val="24"/>
                                <w:szCs w:val="24"/>
                              </w:rPr>
                              <w:t xml:space="preserve">Form EIA-820 </w:t>
                            </w:r>
                            <w:r w:rsidRPr="00AD5524">
                              <w:rPr>
                                <w:i/>
                                <w:sz w:val="24"/>
                                <w:szCs w:val="24"/>
                              </w:rPr>
                              <w:t>Annual Refinery Report</w:t>
                            </w:r>
                          </w:p>
                          <w:p w:rsidR="00CF4D5C" w:rsidRPr="0059212D" w:rsidP="00836036"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width:477pt;height:308.8pt;margin-top:245.99pt;margin-left:0;mso-height-percent:0;mso-height-relative:margin;mso-position-horizontal:left;mso-position-horizontal-relative:margin;mso-position-vertical-relative:margin;mso-width-percent:0;mso-width-relative:margin;mso-wrap-distance-bottom:0;mso-wrap-distance-left:9pt;mso-wrap-distance-right:9pt;mso-wrap-distance-top:0;position:absolute;v-text-anchor:top;z-index:251674624" filled="f" fillcolor="this" stroked="f">
                <v:textbox inset="0">
                  <w:txbxContent>
                    <w:p w:rsidR="00CF4D5C" w:rsidRPr="00421713" w:rsidP="00836036" w14:paraId="5889E04D" w14:textId="1B3FD9F1">
                      <w:pPr>
                        <w:spacing w:before="120" w:after="0" w:line="240" w:lineRule="auto"/>
                        <w:rPr>
                          <w:sz w:val="24"/>
                          <w:szCs w:val="24"/>
                        </w:rPr>
                      </w:pPr>
                      <w:r>
                        <w:rPr>
                          <w:sz w:val="24"/>
                          <w:szCs w:val="24"/>
                        </w:rPr>
                        <w:t xml:space="preserve">Form EIA-800 </w:t>
                      </w:r>
                      <w:r w:rsidRPr="00607EE9">
                        <w:rPr>
                          <w:i/>
                          <w:sz w:val="24"/>
                          <w:szCs w:val="24"/>
                        </w:rPr>
                        <w:t>Weekly Refinery Report</w:t>
                      </w:r>
                    </w:p>
                    <w:p w:rsidR="00CF4D5C" w:rsidRPr="00421713" w:rsidP="00836036" w14:paraId="3C6ED81E" w14:textId="79169E88">
                      <w:pPr>
                        <w:spacing w:before="60" w:after="0" w:line="240" w:lineRule="auto"/>
                        <w:rPr>
                          <w:sz w:val="24"/>
                          <w:szCs w:val="24"/>
                        </w:rPr>
                      </w:pPr>
                      <w:r>
                        <w:rPr>
                          <w:sz w:val="24"/>
                          <w:szCs w:val="24"/>
                        </w:rPr>
                        <w:t xml:space="preserve">Form EIA-802 </w:t>
                      </w:r>
                      <w:r w:rsidRPr="00BD6296">
                        <w:rPr>
                          <w:i/>
                          <w:sz w:val="24"/>
                          <w:szCs w:val="24"/>
                        </w:rPr>
                        <w:t>Weekly Product Pipeline Report</w:t>
                      </w:r>
                    </w:p>
                    <w:p w:rsidR="00CF4D5C" w:rsidRPr="00421713" w:rsidP="00836036" w14:paraId="0365D131" w14:textId="5A67F3E3">
                      <w:pPr>
                        <w:spacing w:before="60" w:after="0" w:line="240" w:lineRule="auto"/>
                        <w:rPr>
                          <w:sz w:val="24"/>
                          <w:szCs w:val="24"/>
                        </w:rPr>
                      </w:pPr>
                      <w:r>
                        <w:rPr>
                          <w:sz w:val="24"/>
                          <w:szCs w:val="24"/>
                        </w:rPr>
                        <w:t xml:space="preserve">Form EIA-803 </w:t>
                      </w:r>
                      <w:r w:rsidRPr="00BD6296">
                        <w:rPr>
                          <w:i/>
                          <w:sz w:val="24"/>
                          <w:szCs w:val="24"/>
                        </w:rPr>
                        <w:t>Weekly Crude Oil Stocks Report</w:t>
                      </w:r>
                    </w:p>
                    <w:p w:rsidR="00CF4D5C" w:rsidRPr="00421713" w:rsidP="00836036" w14:paraId="7416F38E" w14:textId="1C4EF9AB">
                      <w:pPr>
                        <w:spacing w:before="60" w:after="0" w:line="240" w:lineRule="auto"/>
                        <w:rPr>
                          <w:sz w:val="24"/>
                          <w:szCs w:val="24"/>
                        </w:rPr>
                      </w:pPr>
                      <w:r>
                        <w:rPr>
                          <w:sz w:val="24"/>
                          <w:szCs w:val="24"/>
                        </w:rPr>
                        <w:t xml:space="preserve">Form EIA-804 </w:t>
                      </w:r>
                      <w:r w:rsidRPr="00BD6296">
                        <w:rPr>
                          <w:i/>
                          <w:sz w:val="24"/>
                          <w:szCs w:val="24"/>
                        </w:rPr>
                        <w:t>Weekly Imports Report</w:t>
                      </w:r>
                    </w:p>
                    <w:p w:rsidR="00CF4D5C" w:rsidP="00836036" w14:paraId="2F8A759D" w14:textId="2D45939C">
                      <w:pPr>
                        <w:spacing w:before="60" w:after="0" w:line="240" w:lineRule="auto"/>
                        <w:rPr>
                          <w:i/>
                          <w:sz w:val="24"/>
                          <w:szCs w:val="24"/>
                        </w:rPr>
                      </w:pPr>
                      <w:r>
                        <w:rPr>
                          <w:sz w:val="24"/>
                          <w:szCs w:val="24"/>
                        </w:rPr>
                        <w:t xml:space="preserve">Form EIA-805 </w:t>
                      </w:r>
                      <w:r w:rsidRPr="00BD6296">
                        <w:rPr>
                          <w:i/>
                          <w:sz w:val="24"/>
                          <w:szCs w:val="24"/>
                        </w:rPr>
                        <w:t>Weekly Bulk Terminal Report</w:t>
                      </w:r>
                    </w:p>
                    <w:p w:rsidR="00A85C31" w:rsidRPr="00A85C31" w:rsidP="00836036" w14:paraId="0F922765" w14:textId="29825397">
                      <w:pPr>
                        <w:spacing w:before="60" w:after="0" w:line="240" w:lineRule="auto"/>
                        <w:rPr>
                          <w:sz w:val="24"/>
                          <w:szCs w:val="24"/>
                        </w:rPr>
                      </w:pPr>
                      <w:r>
                        <w:rPr>
                          <w:sz w:val="24"/>
                          <w:szCs w:val="24"/>
                        </w:rPr>
                        <w:t xml:space="preserve">Form EIA-806 </w:t>
                      </w:r>
                      <w:r w:rsidRPr="00A85C31">
                        <w:rPr>
                          <w:i/>
                          <w:sz w:val="24"/>
                          <w:szCs w:val="24"/>
                        </w:rPr>
                        <w:t>Weekly Natural Gas Liquids Report</w:t>
                      </w:r>
                    </w:p>
                    <w:p w:rsidR="00CF4D5C" w:rsidRPr="00421713" w:rsidP="00836036" w14:paraId="6DCED895" w14:textId="65D88ABE">
                      <w:pPr>
                        <w:spacing w:before="60" w:after="0" w:line="240" w:lineRule="auto"/>
                        <w:rPr>
                          <w:sz w:val="24"/>
                          <w:szCs w:val="24"/>
                        </w:rPr>
                      </w:pPr>
                      <w:r>
                        <w:rPr>
                          <w:sz w:val="24"/>
                          <w:szCs w:val="24"/>
                        </w:rPr>
                        <w:t xml:space="preserve">Form EIA-809 </w:t>
                      </w:r>
                      <w:r w:rsidRPr="00BD6296">
                        <w:rPr>
                          <w:i/>
                          <w:sz w:val="24"/>
                          <w:szCs w:val="24"/>
                        </w:rPr>
                        <w:t>Weekly Oxygenate Report</w:t>
                      </w:r>
                    </w:p>
                    <w:p w:rsidR="00CF4D5C" w:rsidRPr="00421713" w:rsidP="00836036" w14:paraId="3357B016" w14:textId="30FBF0D7">
                      <w:pPr>
                        <w:spacing w:before="60" w:after="0" w:line="240" w:lineRule="auto"/>
                        <w:rPr>
                          <w:sz w:val="24"/>
                          <w:szCs w:val="24"/>
                        </w:rPr>
                      </w:pPr>
                      <w:r w:rsidRPr="00421713">
                        <w:rPr>
                          <w:sz w:val="24"/>
                          <w:szCs w:val="24"/>
                        </w:rPr>
                        <w:t xml:space="preserve">Form </w:t>
                      </w:r>
                      <w:r>
                        <w:rPr>
                          <w:sz w:val="24"/>
                          <w:szCs w:val="24"/>
                        </w:rPr>
                        <w:t xml:space="preserve">EIA-810 </w:t>
                      </w:r>
                      <w:r w:rsidRPr="00BD6296">
                        <w:rPr>
                          <w:i/>
                          <w:sz w:val="24"/>
                          <w:szCs w:val="24"/>
                        </w:rPr>
                        <w:t>Monthly Refinery Report</w:t>
                      </w:r>
                    </w:p>
                    <w:p w:rsidR="00CF4D5C" w:rsidRPr="00421713" w:rsidP="00836036" w14:paraId="460AFB75" w14:textId="6B004376">
                      <w:pPr>
                        <w:spacing w:before="60" w:after="0" w:line="240" w:lineRule="auto"/>
                        <w:rPr>
                          <w:sz w:val="24"/>
                          <w:szCs w:val="24"/>
                        </w:rPr>
                      </w:pPr>
                      <w:r>
                        <w:rPr>
                          <w:sz w:val="24"/>
                          <w:szCs w:val="24"/>
                        </w:rPr>
                        <w:t xml:space="preserve">Form EIA-812 </w:t>
                      </w:r>
                      <w:r w:rsidRPr="00BD6296">
                        <w:rPr>
                          <w:i/>
                          <w:sz w:val="24"/>
                          <w:szCs w:val="24"/>
                        </w:rPr>
                        <w:t>Monthly Product Pipeline Report</w:t>
                      </w:r>
                    </w:p>
                    <w:p w:rsidR="00CF4D5C" w:rsidRPr="00421713" w:rsidP="00836036" w14:paraId="2E5D8B93" w14:textId="19B3791C">
                      <w:pPr>
                        <w:spacing w:before="60" w:after="0" w:line="240" w:lineRule="auto"/>
                        <w:rPr>
                          <w:sz w:val="24"/>
                          <w:szCs w:val="24"/>
                        </w:rPr>
                      </w:pPr>
                      <w:r>
                        <w:rPr>
                          <w:sz w:val="24"/>
                          <w:szCs w:val="24"/>
                        </w:rPr>
                        <w:t xml:space="preserve">Form EIA-813 </w:t>
                      </w:r>
                      <w:r w:rsidRPr="00AD5524">
                        <w:rPr>
                          <w:i/>
                          <w:sz w:val="24"/>
                          <w:szCs w:val="24"/>
                        </w:rPr>
                        <w:t>Monthly Crude Oil Report</w:t>
                      </w:r>
                    </w:p>
                    <w:p w:rsidR="00CF4D5C" w:rsidRPr="00421713" w:rsidP="00836036" w14:paraId="55C05899" w14:textId="2F307C38">
                      <w:pPr>
                        <w:spacing w:before="60" w:after="0" w:line="240" w:lineRule="auto"/>
                        <w:rPr>
                          <w:sz w:val="24"/>
                          <w:szCs w:val="24"/>
                        </w:rPr>
                      </w:pPr>
                      <w:r>
                        <w:rPr>
                          <w:sz w:val="24"/>
                          <w:szCs w:val="24"/>
                        </w:rPr>
                        <w:t xml:space="preserve">Form EIA-814 </w:t>
                      </w:r>
                      <w:r w:rsidRPr="00AD5524">
                        <w:rPr>
                          <w:i/>
                          <w:sz w:val="24"/>
                          <w:szCs w:val="24"/>
                        </w:rPr>
                        <w:t>Monthly Imports Report</w:t>
                      </w:r>
                    </w:p>
                    <w:p w:rsidR="00CF4D5C" w:rsidRPr="00421713" w:rsidP="00836036" w14:paraId="4F13C963" w14:textId="613CA388">
                      <w:pPr>
                        <w:spacing w:before="60" w:after="0" w:line="240" w:lineRule="auto"/>
                        <w:rPr>
                          <w:sz w:val="24"/>
                          <w:szCs w:val="24"/>
                        </w:rPr>
                      </w:pPr>
                      <w:r>
                        <w:rPr>
                          <w:sz w:val="24"/>
                          <w:szCs w:val="24"/>
                        </w:rPr>
                        <w:t xml:space="preserve">Form EIA-815 </w:t>
                      </w:r>
                      <w:r w:rsidRPr="00AD5524">
                        <w:rPr>
                          <w:i/>
                          <w:sz w:val="24"/>
                          <w:szCs w:val="24"/>
                        </w:rPr>
                        <w:t>Monthly Bulk Terminal Report</w:t>
                      </w:r>
                    </w:p>
                    <w:p w:rsidR="00CF4D5C" w:rsidRPr="00421713" w:rsidP="00836036" w14:paraId="4521B2B5" w14:textId="07CD7FAE">
                      <w:pPr>
                        <w:spacing w:before="60" w:after="0" w:line="240" w:lineRule="auto"/>
                        <w:rPr>
                          <w:sz w:val="24"/>
                          <w:szCs w:val="24"/>
                        </w:rPr>
                      </w:pPr>
                      <w:r>
                        <w:rPr>
                          <w:sz w:val="24"/>
                          <w:szCs w:val="24"/>
                        </w:rPr>
                        <w:t xml:space="preserve">Form EIA-816 </w:t>
                      </w:r>
                      <w:r w:rsidRPr="00AD5524">
                        <w:rPr>
                          <w:i/>
                          <w:sz w:val="24"/>
                          <w:szCs w:val="24"/>
                        </w:rPr>
                        <w:t>Monthly Natural Gas Liquids Report</w:t>
                      </w:r>
                    </w:p>
                    <w:p w:rsidR="00CF4D5C" w:rsidRPr="00421713" w:rsidP="00836036" w14:paraId="38D19821" w14:textId="02C53DE9">
                      <w:pPr>
                        <w:spacing w:before="60" w:after="0" w:line="240" w:lineRule="auto"/>
                        <w:rPr>
                          <w:sz w:val="24"/>
                          <w:szCs w:val="24"/>
                        </w:rPr>
                      </w:pPr>
                      <w:r>
                        <w:rPr>
                          <w:sz w:val="24"/>
                          <w:szCs w:val="24"/>
                        </w:rPr>
                        <w:t xml:space="preserve">Form EIA-817 </w:t>
                      </w:r>
                      <w:r w:rsidRPr="00AD5524">
                        <w:rPr>
                          <w:i/>
                          <w:sz w:val="24"/>
                          <w:szCs w:val="24"/>
                        </w:rPr>
                        <w:t>Monthly Tanker and Barge Movement Report</w:t>
                      </w:r>
                    </w:p>
                    <w:p w:rsidR="00CF4D5C" w:rsidRPr="00421713" w:rsidP="00836036" w14:paraId="5BC603AD" w14:textId="71A7F60C">
                      <w:pPr>
                        <w:spacing w:before="60" w:after="0" w:line="240" w:lineRule="auto"/>
                        <w:rPr>
                          <w:sz w:val="24"/>
                          <w:szCs w:val="24"/>
                        </w:rPr>
                      </w:pPr>
                      <w:r>
                        <w:rPr>
                          <w:sz w:val="24"/>
                          <w:szCs w:val="24"/>
                        </w:rPr>
                        <w:t xml:space="preserve">Form EIA-819 </w:t>
                      </w:r>
                      <w:r w:rsidRPr="00541839">
                        <w:rPr>
                          <w:i/>
                          <w:color w:val="333333"/>
                          <w:sz w:val="24"/>
                          <w:shd w:val="clear" w:color="auto" w:fill="FFFFFF"/>
                        </w:rPr>
                        <w:t xml:space="preserve">Monthly </w:t>
                      </w:r>
                      <w:r w:rsidRPr="006F7915" w:rsidR="006229CE">
                        <w:rPr>
                          <w:rFonts w:cstheme="minorHAnsi"/>
                          <w:bCs/>
                          <w:i/>
                          <w:color w:val="333333"/>
                          <w:sz w:val="24"/>
                          <w:szCs w:val="24"/>
                          <w:shd w:val="clear" w:color="auto" w:fill="FFFFFF"/>
                        </w:rPr>
                        <w:t xml:space="preserve">Report of </w:t>
                      </w:r>
                      <w:r w:rsidRPr="00541839">
                        <w:rPr>
                          <w:i/>
                          <w:color w:val="333333"/>
                          <w:sz w:val="24"/>
                          <w:shd w:val="clear" w:color="auto" w:fill="FFFFFF"/>
                        </w:rPr>
                        <w:t xml:space="preserve">Biofuels, </w:t>
                      </w:r>
                      <w:r w:rsidRPr="006F7915" w:rsidR="006229CE">
                        <w:rPr>
                          <w:rFonts w:cstheme="minorHAnsi"/>
                          <w:bCs/>
                          <w:i/>
                          <w:color w:val="333333"/>
                          <w:sz w:val="24"/>
                          <w:szCs w:val="24"/>
                          <w:shd w:val="clear" w:color="auto" w:fill="FFFFFF"/>
                        </w:rPr>
                        <w:t xml:space="preserve">Fuels from Non-Biogenic Wastes, </w:t>
                      </w:r>
                      <w:r w:rsidRPr="00541839">
                        <w:rPr>
                          <w:i/>
                          <w:color w:val="333333"/>
                          <w:sz w:val="24"/>
                          <w:shd w:val="clear" w:color="auto" w:fill="FFFFFF"/>
                        </w:rPr>
                        <w:t xml:space="preserve">Fuel Oxygenates, Isooctane, and </w:t>
                      </w:r>
                      <w:r w:rsidRPr="00541839">
                        <w:rPr>
                          <w:i/>
                          <w:color w:val="333333"/>
                          <w:sz w:val="24"/>
                          <w:shd w:val="clear" w:color="auto" w:fill="FFFFFF"/>
                        </w:rPr>
                        <w:t>Isooctene</w:t>
                      </w:r>
                    </w:p>
                    <w:p w:rsidR="00CF4D5C" w:rsidRPr="00421713" w:rsidP="00836036" w14:paraId="5687EDF2" w14:textId="2DB6F175">
                      <w:pPr>
                        <w:spacing w:before="60" w:after="0" w:line="240" w:lineRule="auto"/>
                        <w:rPr>
                          <w:sz w:val="24"/>
                          <w:szCs w:val="24"/>
                        </w:rPr>
                      </w:pPr>
                      <w:r>
                        <w:rPr>
                          <w:sz w:val="24"/>
                          <w:szCs w:val="24"/>
                        </w:rPr>
                        <w:t xml:space="preserve">Form EIA-820 </w:t>
                      </w:r>
                      <w:r w:rsidRPr="00AD5524">
                        <w:rPr>
                          <w:i/>
                          <w:sz w:val="24"/>
                          <w:szCs w:val="24"/>
                        </w:rPr>
                        <w:t>Annual Refinery Report</w:t>
                      </w:r>
                    </w:p>
                    <w:p w:rsidR="00CF4D5C" w:rsidRPr="0059212D" w:rsidP="00836036" w14:paraId="37C03E8C" w14:textId="77777777">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1905-0</w:t>
      </w:r>
      <w:r w:rsidR="000466C0">
        <w:rPr>
          <w:rFonts w:ascii="Times New Roman" w:hAnsi="Times New Roman" w:cs="Times New Roman"/>
          <w:b/>
          <w:sz w:val="36"/>
          <w:szCs w:val="36"/>
        </w:rPr>
        <w:t>1</w:t>
      </w:r>
      <w:r>
        <w:rPr>
          <w:rFonts w:ascii="Times New Roman" w:hAnsi="Times New Roman" w:cs="Times New Roman"/>
          <w:b/>
          <w:sz w:val="36"/>
          <w:szCs w:val="36"/>
        </w:rPr>
        <w:t>65</w:t>
      </w:r>
    </w:p>
    <w:p w:rsidR="001F3A8F" w:rsidRPr="00711414" w:rsidP="00345B7E" w14:paraId="1D4D81B9" w14:textId="7401ED07">
      <w:pPr>
        <w:rPr>
          <w:i/>
          <w:sz w:val="28"/>
          <w:szCs w:val="28"/>
        </w:rPr>
      </w:pPr>
      <w:r>
        <w:rPr>
          <w:noProof/>
        </w:rPr>
        <mc:AlternateContent>
          <mc:Choice Requires="wps">
            <w:drawing>
              <wp:anchor distT="0" distB="0" distL="114300" distR="114300" simplePos="0" relativeHeight="251666432" behindDoc="0" locked="0" layoutInCell="1" allowOverlap="1">
                <wp:simplePos x="0" y="0"/>
                <wp:positionH relativeFrom="margin">
                  <wp:posOffset>9525</wp:posOffset>
                </wp:positionH>
                <wp:positionV relativeFrom="margin">
                  <wp:posOffset>6953250</wp:posOffset>
                </wp:positionV>
                <wp:extent cx="2463165" cy="42735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3165" cy="427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4D5C" w14:textId="145FF1EF">
                            <w:pPr>
                              <w:rPr>
                                <w:color w:val="A6A6A6" w:themeColor="background1" w:themeShade="A6"/>
                                <w:sz w:val="36"/>
                              </w:rPr>
                            </w:pPr>
                            <w:r>
                              <w:rPr>
                                <w:color w:val="A6A6A6" w:themeColor="background1" w:themeShade="A6"/>
                                <w:sz w:val="36"/>
                              </w:rPr>
                              <w:t>October</w:t>
                            </w:r>
                            <w:r w:rsidR="00273D62">
                              <w:rPr>
                                <w:color w:val="A6A6A6" w:themeColor="background1" w:themeShade="A6"/>
                                <w:sz w:val="36"/>
                              </w:rPr>
                              <w:t>, 202</w:t>
                            </w:r>
                            <w:r w:rsidR="00EA735B">
                              <w:rPr>
                                <w:color w:val="A6A6A6" w:themeColor="background1" w:themeShade="A6"/>
                                <w:sz w:val="36"/>
                              </w:rPr>
                              <w:t>2</w:t>
                            </w:r>
                          </w:p>
                          <w:p w:rsidR="00CF4D5C" w:rsidRPr="009818F9" w14:textId="77777777">
                            <w:pPr>
                              <w:rPr>
                                <w:color w:val="A6A6A6" w:themeColor="background1" w:themeShade="A6"/>
                                <w:sz w:val="36"/>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0" o:spid="_x0000_s1028" type="#_x0000_t202" style="width:193.95pt;height:33.65pt;margin-top:547.5pt;margin-left:0.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CF4D5C" w14:paraId="5C68003D" w14:textId="145FF1EF">
                      <w:pPr>
                        <w:rPr>
                          <w:color w:val="A6A6A6" w:themeColor="background1" w:themeShade="A6"/>
                          <w:sz w:val="36"/>
                        </w:rPr>
                      </w:pPr>
                      <w:r>
                        <w:rPr>
                          <w:color w:val="A6A6A6" w:themeColor="background1" w:themeShade="A6"/>
                          <w:sz w:val="36"/>
                        </w:rPr>
                        <w:t>October</w:t>
                      </w:r>
                      <w:r w:rsidR="00273D62">
                        <w:rPr>
                          <w:color w:val="A6A6A6" w:themeColor="background1" w:themeShade="A6"/>
                          <w:sz w:val="36"/>
                        </w:rPr>
                        <w:t>, 202</w:t>
                      </w:r>
                      <w:r w:rsidR="00EA735B">
                        <w:rPr>
                          <w:color w:val="A6A6A6" w:themeColor="background1" w:themeShade="A6"/>
                          <w:sz w:val="36"/>
                        </w:rPr>
                        <w:t>2</w:t>
                      </w:r>
                    </w:p>
                    <w:p w:rsidR="00CF4D5C" w:rsidRPr="009818F9" w14:paraId="1CDE1707" w14:textId="77777777">
                      <w:pPr>
                        <w:rPr>
                          <w:color w:val="A6A6A6" w:themeColor="background1" w:themeShade="A6"/>
                          <w:sz w:val="36"/>
                        </w:rPr>
                      </w:pPr>
                    </w:p>
                  </w:txbxContent>
                </v:textbox>
                <w10:wrap type="square"/>
              </v:shape>
            </w:pict>
          </mc:Fallback>
        </mc:AlternateContent>
      </w:r>
      <w:r w:rsidR="00D32B94">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7959725</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0" cstate="print"/>
                    <a:stretch>
                      <a:fillRect/>
                    </a:stretch>
                  </pic:blipFill>
                  <pic:spPr>
                    <a:xfrm>
                      <a:off x="0" y="0"/>
                      <a:ext cx="6343650" cy="647700"/>
                    </a:xfrm>
                    <a:prstGeom prst="rect">
                      <a:avLst/>
                    </a:prstGeom>
                  </pic:spPr>
                </pic:pic>
              </a:graphicData>
            </a:graphic>
          </wp:anchor>
        </w:drawing>
      </w:r>
      <w:r w:rsidR="007E53C4">
        <w:rPr>
          <w:noProof/>
        </w:rPr>
        <mc:AlternateContent>
          <mc:Choice Requires="wps">
            <w:drawing>
              <wp:anchor distT="0" distB="0" distL="114300" distR="114300" simplePos="0" relativeHeight="251668480" behindDoc="1" locked="0" layoutInCell="1" allowOverlap="1">
                <wp:simplePos x="0" y="0"/>
                <wp:positionH relativeFrom="column">
                  <wp:posOffset>-450850</wp:posOffset>
                </wp:positionH>
                <wp:positionV relativeFrom="paragraph">
                  <wp:posOffset>4558030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9" style="width:540pt;height:4.95pt;margin-top:358.9pt;margin-left:-35.5pt;mso-height-percent:0;mso-height-relative:page;mso-width-percent:0;mso-width-relative:page;mso-wrap-distance-bottom:0;mso-wrap-distance-left:9pt;mso-wrap-distance-right:9pt;mso-wrap-distance-top:0;mso-wrap-style:square;position:absolute;visibility:visible;v-text-anchor:top;z-index:-251646976"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4384"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4D5C"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5408" filled="f" stroked="f">
                <v:textbox inset="0">
                  <w:txbxContent>
                    <w:p w:rsidR="00CF4D5C" w:rsidRPr="00AA3D91" w:rsidP="00D001E4" w14:paraId="4685225B"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70528"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4D5C"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CF4D5C"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0">
                  <w:txbxContent>
                    <w:p w:rsidR="00CF4D5C" w:rsidRPr="008F4CBD" w:rsidP="00D300F4" w14:paraId="689BA9F1"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CF4D5C" w:rsidRPr="008F4CBD" w:rsidP="002556F3" w14:paraId="36D365D5"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72576"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F4D5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CF4D5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3600" filled="f" stroked="f">
                <v:textbox inset="0">
                  <w:txbxContent>
                    <w:p w:rsidR="00CF4D5C" w:rsidRPr="008F4CBD" w:rsidP="002556F3" w14:paraId="1642099E"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CF4D5C" w:rsidRPr="008F4CBD" w:rsidP="002556F3" w14:paraId="7E77A31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E0419A">
        <w:rPr>
          <w:noProof/>
        </w:rPr>
        <w:t xml:space="preserve"> </w:t>
      </w:r>
      <w:r w:rsidR="001F3A8F">
        <w:br w:type="page"/>
      </w:r>
    </w:p>
    <w:p w:rsidR="00755C3D" w:rsidP="00345B7E" w14:paraId="4176548C" w14:textId="77777777">
      <w:p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345B7E" w14:paraId="73965D7E" w14:textId="77777777">
          <w:pPr>
            <w:pStyle w:val="TOCHeading"/>
          </w:pPr>
          <w:r>
            <w:t>Table of Contents</w:t>
          </w:r>
        </w:p>
        <w:p w:rsidR="007E53C4" w:rsidP="00345B7E" w14:paraId="6A8D946C" w14:textId="77777777">
          <w:pPr>
            <w:pStyle w:val="TOC1"/>
            <w:rPr>
              <w:rFonts w:eastAsiaTheme="minorEastAsia"/>
              <w:noProof/>
              <w:color w:val="auto"/>
            </w:rPr>
          </w:pPr>
          <w:r>
            <w:fldChar w:fldCharType="begin"/>
          </w:r>
          <w:r>
            <w:instrText xml:space="preserve"> TOC \o "1-3" \h \z \u </w:instrText>
          </w:r>
          <w:r>
            <w:fldChar w:fldCharType="separate"/>
          </w:r>
          <w:hyperlink w:anchor="_Toc466046933" w:history="1">
            <w:r w:rsidRPr="008650D1">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_Toc466046933 \h </w:instrText>
            </w:r>
            <w:r>
              <w:rPr>
                <w:noProof/>
                <w:webHidden/>
              </w:rPr>
              <w:fldChar w:fldCharType="separate"/>
            </w:r>
            <w:r w:rsidR="002757E8">
              <w:rPr>
                <w:noProof/>
                <w:webHidden/>
              </w:rPr>
              <w:t>i</w:t>
            </w:r>
            <w:r>
              <w:rPr>
                <w:noProof/>
                <w:webHidden/>
              </w:rPr>
              <w:fldChar w:fldCharType="end"/>
            </w:r>
          </w:hyperlink>
        </w:p>
        <w:p w:rsidR="007E53C4" w:rsidP="00345B7E" w14:paraId="5483D191" w14:textId="77777777">
          <w:pPr>
            <w:pStyle w:val="TOC2"/>
            <w:rPr>
              <w:rFonts w:eastAsiaTheme="minorEastAsia"/>
              <w:noProof/>
              <w:color w:val="auto"/>
            </w:rPr>
          </w:pPr>
          <w:hyperlink w:anchor="_Toc466046934" w:history="1">
            <w:r w:rsidRPr="008650D1">
              <w:rPr>
                <w:rStyle w:val="Hyperlink"/>
                <w:noProof/>
              </w:rPr>
              <w:t>B.1. Respondent Universe</w:t>
            </w:r>
            <w:r>
              <w:rPr>
                <w:noProof/>
                <w:webHidden/>
              </w:rPr>
              <w:tab/>
            </w:r>
            <w:r>
              <w:rPr>
                <w:noProof/>
                <w:webHidden/>
              </w:rPr>
              <w:fldChar w:fldCharType="begin"/>
            </w:r>
            <w:r>
              <w:rPr>
                <w:noProof/>
                <w:webHidden/>
              </w:rPr>
              <w:instrText xml:space="preserve"> PAGEREF _Toc466046934 \h </w:instrText>
            </w:r>
            <w:r>
              <w:rPr>
                <w:noProof/>
                <w:webHidden/>
              </w:rPr>
              <w:fldChar w:fldCharType="separate"/>
            </w:r>
            <w:r w:rsidR="002757E8">
              <w:rPr>
                <w:noProof/>
                <w:webHidden/>
              </w:rPr>
              <w:t>1</w:t>
            </w:r>
            <w:r>
              <w:rPr>
                <w:noProof/>
                <w:webHidden/>
              </w:rPr>
              <w:fldChar w:fldCharType="end"/>
            </w:r>
          </w:hyperlink>
        </w:p>
        <w:p w:rsidR="007E53C4" w:rsidP="00345B7E" w14:paraId="600B9BD0" w14:textId="0587A4BF">
          <w:pPr>
            <w:pStyle w:val="TOC2"/>
            <w:rPr>
              <w:rFonts w:eastAsiaTheme="minorEastAsia"/>
              <w:noProof/>
              <w:color w:val="auto"/>
            </w:rPr>
          </w:pPr>
          <w:hyperlink w:anchor="_Toc466046935" w:history="1">
            <w:r w:rsidRPr="008650D1">
              <w:rPr>
                <w:rStyle w:val="Hyperlink"/>
                <w:noProof/>
              </w:rPr>
              <w:t>B.2. Statistical Methods</w:t>
            </w:r>
            <w:r>
              <w:rPr>
                <w:noProof/>
                <w:webHidden/>
              </w:rPr>
              <w:tab/>
            </w:r>
            <w:r>
              <w:rPr>
                <w:noProof/>
                <w:webHidden/>
              </w:rPr>
              <w:fldChar w:fldCharType="begin"/>
            </w:r>
            <w:r>
              <w:rPr>
                <w:noProof/>
                <w:webHidden/>
              </w:rPr>
              <w:instrText xml:space="preserve"> PAGEREF _Toc466046935 \h </w:instrText>
            </w:r>
            <w:r>
              <w:rPr>
                <w:noProof/>
                <w:webHidden/>
              </w:rPr>
              <w:fldChar w:fldCharType="separate"/>
            </w:r>
            <w:r w:rsidR="002757E8">
              <w:rPr>
                <w:noProof/>
                <w:webHidden/>
              </w:rPr>
              <w:t>4</w:t>
            </w:r>
            <w:r>
              <w:rPr>
                <w:noProof/>
                <w:webHidden/>
              </w:rPr>
              <w:fldChar w:fldCharType="end"/>
            </w:r>
          </w:hyperlink>
        </w:p>
        <w:p w:rsidR="007E53C4" w:rsidP="00345B7E" w14:paraId="3865693B" w14:textId="3FC7F925">
          <w:pPr>
            <w:pStyle w:val="TOC2"/>
            <w:rPr>
              <w:rFonts w:eastAsiaTheme="minorEastAsia"/>
              <w:noProof/>
              <w:color w:val="auto"/>
            </w:rPr>
          </w:pPr>
          <w:hyperlink w:anchor="_Toc466046936" w:history="1">
            <w:r w:rsidRPr="008650D1">
              <w:rPr>
                <w:rStyle w:val="Hyperlink"/>
                <w:noProof/>
              </w:rPr>
              <w:t>B.3. Maximizing Response Rates</w:t>
            </w:r>
            <w:r>
              <w:rPr>
                <w:noProof/>
                <w:webHidden/>
              </w:rPr>
              <w:tab/>
            </w:r>
            <w:r>
              <w:rPr>
                <w:noProof/>
                <w:webHidden/>
              </w:rPr>
              <w:fldChar w:fldCharType="begin"/>
            </w:r>
            <w:r>
              <w:rPr>
                <w:noProof/>
                <w:webHidden/>
              </w:rPr>
              <w:instrText xml:space="preserve"> PAGEREF _Toc466046936 \h </w:instrText>
            </w:r>
            <w:r>
              <w:rPr>
                <w:noProof/>
                <w:webHidden/>
              </w:rPr>
              <w:fldChar w:fldCharType="separate"/>
            </w:r>
            <w:r w:rsidR="002757E8">
              <w:rPr>
                <w:noProof/>
                <w:webHidden/>
              </w:rPr>
              <w:t>16</w:t>
            </w:r>
            <w:r>
              <w:rPr>
                <w:noProof/>
                <w:webHidden/>
              </w:rPr>
              <w:fldChar w:fldCharType="end"/>
            </w:r>
          </w:hyperlink>
        </w:p>
        <w:p w:rsidR="007E53C4" w:rsidP="00345B7E" w14:paraId="2582E124" w14:textId="10227A01">
          <w:pPr>
            <w:pStyle w:val="TOC2"/>
            <w:rPr>
              <w:rFonts w:eastAsiaTheme="minorEastAsia"/>
              <w:noProof/>
              <w:color w:val="auto"/>
            </w:rPr>
          </w:pPr>
          <w:hyperlink w:anchor="_Toc466046937" w:history="1">
            <w:r w:rsidRPr="008650D1">
              <w:rPr>
                <w:rStyle w:val="Hyperlink"/>
                <w:noProof/>
              </w:rPr>
              <w:t>B.4. Test Procedures and Form Consultations</w:t>
            </w:r>
            <w:r>
              <w:rPr>
                <w:noProof/>
                <w:webHidden/>
              </w:rPr>
              <w:tab/>
            </w:r>
            <w:r>
              <w:rPr>
                <w:noProof/>
                <w:webHidden/>
              </w:rPr>
              <w:fldChar w:fldCharType="begin"/>
            </w:r>
            <w:r>
              <w:rPr>
                <w:noProof/>
                <w:webHidden/>
              </w:rPr>
              <w:instrText xml:space="preserve"> PAGEREF _Toc466046937 \h </w:instrText>
            </w:r>
            <w:r>
              <w:rPr>
                <w:noProof/>
                <w:webHidden/>
              </w:rPr>
              <w:fldChar w:fldCharType="separate"/>
            </w:r>
            <w:r w:rsidR="002757E8">
              <w:rPr>
                <w:noProof/>
                <w:webHidden/>
              </w:rPr>
              <w:t>16</w:t>
            </w:r>
            <w:r>
              <w:rPr>
                <w:noProof/>
                <w:webHidden/>
              </w:rPr>
              <w:fldChar w:fldCharType="end"/>
            </w:r>
          </w:hyperlink>
        </w:p>
        <w:p w:rsidR="007E53C4" w:rsidP="00345B7E" w14:paraId="2903DA5A" w14:textId="77777777">
          <w:pPr>
            <w:pStyle w:val="TOC2"/>
            <w:rPr>
              <w:rFonts w:eastAsiaTheme="minorEastAsia"/>
              <w:noProof/>
              <w:color w:val="auto"/>
            </w:rPr>
          </w:pPr>
          <w:hyperlink w:anchor="_Toc466046938" w:history="1">
            <w:r w:rsidRPr="008650D1">
              <w:rPr>
                <w:rStyle w:val="Hyperlink"/>
                <w:noProof/>
              </w:rPr>
              <w:t>B.5. Statistical Consultations</w:t>
            </w:r>
            <w:r>
              <w:rPr>
                <w:noProof/>
                <w:webHidden/>
              </w:rPr>
              <w:tab/>
            </w:r>
            <w:r>
              <w:rPr>
                <w:noProof/>
                <w:webHidden/>
              </w:rPr>
              <w:fldChar w:fldCharType="begin"/>
            </w:r>
            <w:r>
              <w:rPr>
                <w:noProof/>
                <w:webHidden/>
              </w:rPr>
              <w:instrText xml:space="preserve"> PAGEREF _Toc466046938 \h </w:instrText>
            </w:r>
            <w:r>
              <w:rPr>
                <w:noProof/>
                <w:webHidden/>
              </w:rPr>
              <w:fldChar w:fldCharType="separate"/>
            </w:r>
            <w:r w:rsidR="002757E8">
              <w:rPr>
                <w:noProof/>
                <w:webHidden/>
              </w:rPr>
              <w:t>17</w:t>
            </w:r>
            <w:r>
              <w:rPr>
                <w:noProof/>
                <w:webHidden/>
              </w:rPr>
              <w:fldChar w:fldCharType="end"/>
            </w:r>
          </w:hyperlink>
        </w:p>
        <w:p w:rsidR="0059212D" w:rsidP="00345B7E" w14:paraId="13DC71FC" w14:textId="77777777">
          <w:r>
            <w:rPr>
              <w:b/>
              <w:bCs/>
              <w:noProof/>
            </w:rPr>
            <w:fldChar w:fldCharType="end"/>
          </w:r>
        </w:p>
      </w:sdtContent>
    </w:sdt>
    <w:p w:rsidR="001F3A8F" w:rsidP="00345B7E" w14:paraId="0B0D885F" w14:textId="77777777"/>
    <w:p w:rsidR="00D928FD" w:rsidP="00345B7E" w14:paraId="2135645A" w14:textId="77777777">
      <w:p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345B7E" w14:paraId="1857A13F" w14:textId="77777777">
      <w:pPr>
        <w:spacing w:line="240" w:lineRule="auto"/>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p>
    <w:p w:rsidR="007E53C4" w:rsidRPr="00D9668E" w:rsidP="00345B7E" w14:paraId="74D1AB7A" w14:textId="77777777">
      <w:pPr>
        <w:pStyle w:val="Heading2"/>
      </w:pPr>
      <w:bookmarkStart w:id="1" w:name="_Toc466046934"/>
      <w:r w:rsidRPr="00D9668E">
        <w:t>B.</w:t>
      </w:r>
      <w:r w:rsidRPr="00D9668E" w:rsidR="00A41763">
        <w:t xml:space="preserve">1. </w:t>
      </w:r>
      <w:r w:rsidRPr="00D9668E">
        <w:t>Respondent Universe</w:t>
      </w:r>
      <w:bookmarkEnd w:id="1"/>
    </w:p>
    <w:p w:rsidR="00836036" w:rsidRPr="00D9668E" w:rsidP="00345B7E" w14:paraId="1CFD3588" w14:textId="59876B2B">
      <w:pPr>
        <w:spacing w:before="240" w:after="0"/>
        <w:rPr>
          <w:b/>
          <w:color w:val="00B0F0"/>
        </w:rPr>
      </w:pPr>
      <w:bookmarkStart w:id="2" w:name="_Toc466046935"/>
      <w:r>
        <w:rPr>
          <w:b/>
          <w:color w:val="00B0F0"/>
        </w:rPr>
        <w:t xml:space="preserve">B.1.1 </w:t>
      </w:r>
      <w:r w:rsidRPr="00D9668E">
        <w:rPr>
          <w:b/>
          <w:color w:val="00B0F0"/>
        </w:rPr>
        <w:t xml:space="preserve">Monthly and Annual </w:t>
      </w:r>
      <w:r w:rsidRPr="00D9668E">
        <w:rPr>
          <w:b/>
          <w:color w:val="00B0F0"/>
        </w:rPr>
        <w:t>PSRS</w:t>
      </w:r>
      <w:r w:rsidRPr="00D9668E">
        <w:rPr>
          <w:b/>
          <w:color w:val="00B0F0"/>
        </w:rPr>
        <w:t xml:space="preserve"> Survey Frames</w:t>
      </w:r>
    </w:p>
    <w:p w:rsidR="00836036" w:rsidRPr="00C84725" w:rsidP="00345B7E" w14:paraId="38FB6312" w14:textId="1F2EADAC">
      <w:pPr>
        <w:spacing w:before="120"/>
      </w:pPr>
      <w:r>
        <w:t>Monthly and annual Petroleum Supply Reporting System (</w:t>
      </w:r>
      <w:r>
        <w:t>PSRS</w:t>
      </w:r>
      <w:r>
        <w:t>) surveys are used to collect data on the primary petroleum supply system in the United States including U.S. territories and possessions, where applicable.</w:t>
      </w:r>
      <w:r w:rsidR="00255082">
        <w:t xml:space="preserve"> </w:t>
      </w:r>
      <w:r>
        <w:t xml:space="preserve">Primary petroleum supply system activities covered by </w:t>
      </w:r>
      <w:r>
        <w:t>PSRS</w:t>
      </w:r>
      <w:r>
        <w:t xml:space="preserve"> surveys include refiner</w:t>
      </w:r>
      <w:r w:rsidR="00904693">
        <w:t>y operations</w:t>
      </w:r>
      <w:r>
        <w:t>, imports, pipeline</w:t>
      </w:r>
      <w:r w:rsidR="00904693">
        <w:t xml:space="preserve"> movement</w:t>
      </w:r>
      <w:r>
        <w:t>s,</w:t>
      </w:r>
      <w:r w:rsidR="00904693">
        <w:t xml:space="preserve"> blending and</w:t>
      </w:r>
      <w:r>
        <w:t xml:space="preserve"> large storage facilities</w:t>
      </w:r>
      <w:r w:rsidR="00904693">
        <w:t>,</w:t>
      </w:r>
      <w:r>
        <w:t xml:space="preserve"> and those connected to bulk transportation modes (i.e. pipelines and waterborne transport of crude oil, petroleum products, and biofuels), natural gas processing, oxygenate production, biodiesel production and bulk transportation (i.e. transport by pipeline, tanker, and barge) between Petroleum Administration for Defense Districts (</w:t>
      </w:r>
      <w:r>
        <w:t>PADDs</w:t>
      </w:r>
      <w:r>
        <w:t>).</w:t>
      </w:r>
      <w:r w:rsidR="00255082">
        <w:t xml:space="preserve"> </w:t>
      </w:r>
      <w:r>
        <w:t>Data on other primary petroleum supply activities, including field production of crude oil and exports, are obtained from other sources including state and federal agencies.</w:t>
      </w:r>
    </w:p>
    <w:p w:rsidR="00836036" w:rsidRPr="00C84725" w:rsidP="00345B7E" w14:paraId="1F147A04" w14:textId="02E8268A">
      <w:r w:rsidRPr="00C84725">
        <w:t xml:space="preserve">Each monthly and annual </w:t>
      </w:r>
      <w:r w:rsidRPr="00C84725">
        <w:t>PSRS</w:t>
      </w:r>
      <w:r w:rsidRPr="00C84725">
        <w:t xml:space="preserve"> survey is a complete census of the subject activity.</w:t>
      </w:r>
      <w:r w:rsidR="00255082">
        <w:t xml:space="preserve"> </w:t>
      </w:r>
      <w:r w:rsidRPr="00C84725">
        <w:t xml:space="preserve">Therefore, there is no sampling error in monthly and annual </w:t>
      </w:r>
      <w:r w:rsidRPr="00C84725">
        <w:t>PSRS</w:t>
      </w:r>
      <w:r w:rsidRPr="00C84725">
        <w:t xml:space="preserve"> surveys.</w:t>
      </w:r>
      <w:r w:rsidR="00255082">
        <w:t xml:space="preserve"> </w:t>
      </w:r>
      <w:r w:rsidRPr="00C84725">
        <w:t>However, in order to be considered as in-scope for monthly survey reporting, each reporting unit must have reportable quantities (us</w:t>
      </w:r>
      <w:r w:rsidR="00D9668E">
        <w:t>ually this means at least one</w:t>
      </w:r>
      <w:r w:rsidRPr="00C84725" w:rsidR="00D9668E">
        <w:t xml:space="preserve"> </w:t>
      </w:r>
      <w:r w:rsidRPr="00C84725">
        <w:t>barrel of a reportable product) or satisfy other criteria such as minimum storage capacity requirements for petroleum products terminals.</w:t>
      </w:r>
      <w:r w:rsidR="00255082">
        <w:t xml:space="preserve"> </w:t>
      </w:r>
      <w:r w:rsidRPr="00C84725">
        <w:t>Facilities that fall below minimum reporting requirements are considered to be outside of the primary petroleum supply system and</w:t>
      </w:r>
      <w:r w:rsidR="009F417F">
        <w:t xml:space="preserve"> are considered</w:t>
      </w:r>
      <w:r w:rsidRPr="00C84725">
        <w:t xml:space="preserve"> out of scope for monthly and annual </w:t>
      </w:r>
      <w:r w:rsidRPr="00C84725">
        <w:t>PSRS</w:t>
      </w:r>
      <w:r w:rsidRPr="00C84725">
        <w:t xml:space="preserve"> reporting.</w:t>
      </w:r>
    </w:p>
    <w:p w:rsidR="00836036" w:rsidRPr="00C84725" w:rsidP="00345B7E" w14:paraId="6F99A213" w14:textId="77777777">
      <w:pPr>
        <w:spacing w:after="0"/>
      </w:pPr>
      <w:r w:rsidRPr="00C84725">
        <w:t>The following are descriptions of the survey frame for each survey:</w:t>
      </w:r>
    </w:p>
    <w:p w:rsidR="00836036" w:rsidRPr="00D83EB3" w:rsidP="00345B7E" w14:paraId="30E76B26" w14:textId="47F68B7C">
      <w:pPr>
        <w:pStyle w:val="Default"/>
        <w:spacing w:before="120"/>
        <w:ind w:left="360"/>
        <w:rPr>
          <w:rFonts w:asciiTheme="minorHAnsi" w:hAnsiTheme="minorHAnsi"/>
          <w:sz w:val="22"/>
          <w:szCs w:val="22"/>
        </w:rPr>
      </w:pPr>
      <w:r w:rsidRPr="00D83EB3">
        <w:rPr>
          <w:rFonts w:asciiTheme="minorHAnsi" w:hAnsiTheme="minorHAnsi"/>
          <w:b/>
          <w:snapToGrid w:val="0"/>
          <w:color w:val="auto"/>
          <w:sz w:val="22"/>
          <w:szCs w:val="22"/>
        </w:rPr>
        <w:t>Form EIA-810</w:t>
      </w:r>
      <w:r w:rsidR="007343E5">
        <w:rPr>
          <w:rFonts w:asciiTheme="minorHAnsi" w:hAnsiTheme="minorHAnsi"/>
          <w:b/>
          <w:snapToGrid w:val="0"/>
          <w:color w:val="auto"/>
          <w:sz w:val="22"/>
          <w:szCs w:val="22"/>
        </w:rPr>
        <w:t xml:space="preserve"> </w:t>
      </w:r>
      <w:r w:rsidR="00D23F0E">
        <w:rPr>
          <w:rFonts w:asciiTheme="minorHAnsi" w:hAnsiTheme="minorHAnsi"/>
          <w:b/>
          <w:i/>
          <w:snapToGrid w:val="0"/>
          <w:color w:val="auto"/>
          <w:sz w:val="22"/>
          <w:szCs w:val="22"/>
        </w:rPr>
        <w:t>Monthly Refinery</w:t>
      </w:r>
      <w:r w:rsidR="00C32D4A">
        <w:rPr>
          <w:rFonts w:asciiTheme="minorHAnsi" w:hAnsiTheme="minorHAnsi"/>
          <w:b/>
          <w:i/>
          <w:snapToGrid w:val="0"/>
          <w:color w:val="auto"/>
          <w:sz w:val="22"/>
          <w:szCs w:val="22"/>
        </w:rPr>
        <w:t xml:space="preserve"> </w:t>
      </w:r>
      <w:r w:rsidRPr="00DF514C">
        <w:rPr>
          <w:rFonts w:asciiTheme="minorHAnsi" w:hAnsiTheme="minorHAnsi"/>
          <w:b/>
          <w:i/>
          <w:snapToGrid w:val="0"/>
          <w:color w:val="auto"/>
          <w:sz w:val="22"/>
          <w:szCs w:val="22"/>
        </w:rPr>
        <w:t>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EIA-810 must be completed by operators of all operating and idle petroleum refineries located in the 50 States, District of Columbia, Puerto Rico, the Virgin Islands, Guam, and other U.S. possessions.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refinery site.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Refineries are installations that manufacture finished petroleum products from crude oil, unfinished oils, natural gas liquids, other hydrocarbons, biofuels, and 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Refiners report distillation capacity, crude oil quality, inventory, receipts, input, production, shipments, and fuel use and loss.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Refiners report</w:t>
      </w:r>
      <w:r w:rsidR="00D83EB3">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p>
    <w:p w:rsidR="00836036" w:rsidRPr="00D83EB3" w14:paraId="39066ED7" w14:textId="0504DD9E">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Form EIA-812</w:t>
      </w:r>
      <w:r w:rsidR="007343E5">
        <w:rPr>
          <w:rFonts w:asciiTheme="minorHAnsi" w:hAnsiTheme="minorHAnsi"/>
          <w:b/>
          <w:snapToGrid w:val="0"/>
          <w:color w:val="auto"/>
          <w:sz w:val="22"/>
          <w:szCs w:val="22"/>
        </w:rPr>
        <w:t xml:space="preserve"> </w:t>
      </w:r>
      <w:r w:rsidRPr="00DF514C">
        <w:rPr>
          <w:rFonts w:asciiTheme="minorHAnsi" w:hAnsiTheme="minorHAnsi"/>
          <w:b/>
          <w:i/>
          <w:snapToGrid w:val="0"/>
          <w:color w:val="auto"/>
          <w:sz w:val="22"/>
          <w:szCs w:val="22"/>
        </w:rPr>
        <w:t>Monthly Product Pipeline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EIA-812 must be completed by every product pipeline operator in the 50 states and District of Columbia.</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Data are reported by company and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Product pipelines are</w:t>
      </w:r>
      <w:bookmarkStart w:id="3" w:name="pipeline_petro"/>
      <w:bookmarkEnd w:id="3"/>
      <w:r w:rsidRPr="00D83EB3">
        <w:rPr>
          <w:rFonts w:asciiTheme="minorHAnsi" w:hAnsiTheme="minorHAnsi"/>
          <w:snapToGrid w:val="0"/>
          <w:color w:val="auto"/>
          <w:sz w:val="22"/>
          <w:szCs w:val="22"/>
        </w:rPr>
        <w:t xml:space="preserve"> used for transportation of petroleum products as well as selected biofuels and 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Product pipeline operators report stocks held in pipelines and associated tanks and inter-</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movements.</w:t>
      </w:r>
      <w:r w:rsidR="00255082">
        <w:rPr>
          <w:rFonts w:asciiTheme="minorHAnsi" w:hAnsiTheme="minorHAnsi"/>
          <w:snapToGrid w:val="0"/>
          <w:color w:val="auto"/>
          <w:sz w:val="22"/>
          <w:szCs w:val="22"/>
        </w:rPr>
        <w:t xml:space="preserve"> </w:t>
      </w:r>
    </w:p>
    <w:p w:rsidR="00836036" w:rsidRPr="00D83EB3" w14:paraId="445C8B02" w14:textId="17F5A5E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EIA-813 </w:t>
      </w:r>
      <w:r w:rsidRPr="00DF514C">
        <w:rPr>
          <w:rFonts w:asciiTheme="minorHAnsi" w:hAnsiTheme="minorHAnsi"/>
          <w:b/>
          <w:i/>
          <w:snapToGrid w:val="0"/>
          <w:color w:val="auto"/>
          <w:sz w:val="22"/>
          <w:szCs w:val="22"/>
        </w:rPr>
        <w:t>Monthly Crude Oil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EIA-813 must be completed by operators of facilities, located in the 50 states and District of </w:t>
      </w:r>
      <w:r w:rsidRPr="00D83EB3" w:rsidR="007343E5">
        <w:rPr>
          <w:rFonts w:asciiTheme="minorHAnsi" w:hAnsiTheme="minorHAnsi"/>
          <w:snapToGrid w:val="0"/>
          <w:color w:val="auto"/>
          <w:sz w:val="22"/>
          <w:szCs w:val="22"/>
        </w:rPr>
        <w:t>Columbia</w:t>
      </w:r>
      <w:r w:rsidR="007343E5">
        <w:rPr>
          <w:rFonts w:asciiTheme="minorHAnsi" w:hAnsiTheme="minorHAnsi"/>
          <w:snapToGrid w:val="0"/>
          <w:color w:val="auto"/>
          <w:sz w:val="22"/>
          <w:szCs w:val="22"/>
        </w:rPr>
        <w:t xml:space="preserve"> that</w:t>
      </w:r>
      <w:r w:rsidRPr="00D83EB3">
        <w:rPr>
          <w:rFonts w:asciiTheme="minorHAnsi" w:hAnsiTheme="minorHAnsi"/>
          <w:snapToGrid w:val="0"/>
          <w:color w:val="auto"/>
          <w:sz w:val="22"/>
          <w:szCs w:val="22"/>
        </w:rPr>
        <w:t xml:space="preserve"> carry (transport) or store crude oil.</w:t>
      </w:r>
      <w:r w:rsidR="00255082">
        <w:rPr>
          <w:rFonts w:asciiTheme="minorHAnsi" w:hAnsiTheme="minorHAnsi"/>
          <w:snapToGrid w:val="0"/>
          <w:color w:val="auto"/>
          <w:sz w:val="22"/>
          <w:szCs w:val="22"/>
        </w:rPr>
        <w:t xml:space="preserve"> </w:t>
      </w:r>
      <w:r w:rsidR="00B24E82">
        <w:rPr>
          <w:rFonts w:asciiTheme="minorHAnsi" w:hAnsiTheme="minorHAnsi"/>
          <w:snapToGrid w:val="0"/>
          <w:color w:val="auto"/>
          <w:sz w:val="22"/>
          <w:szCs w:val="22"/>
        </w:rPr>
        <w:t xml:space="preserve">Facilities include pipeline companies, terminal operators, companies transporting Alaskan crude oil by water, and </w:t>
      </w:r>
      <w:r w:rsidR="007F190E">
        <w:rPr>
          <w:rFonts w:asciiTheme="minorHAnsi" w:hAnsiTheme="minorHAnsi"/>
          <w:snapToGrid w:val="0"/>
          <w:color w:val="auto"/>
          <w:sz w:val="22"/>
          <w:szCs w:val="22"/>
        </w:rPr>
        <w:t xml:space="preserve">other facilities that </w:t>
      </w:r>
      <w:r w:rsidR="00B24E82">
        <w:rPr>
          <w:rFonts w:asciiTheme="minorHAnsi" w:hAnsiTheme="minorHAnsi"/>
          <w:snapToGrid w:val="0"/>
          <w:color w:val="auto"/>
          <w:sz w:val="22"/>
          <w:szCs w:val="22"/>
        </w:rPr>
        <w:t>store crude oil (except refineries).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w:t>
      </w:r>
      <w:r w:rsidR="00B24E82">
        <w:rPr>
          <w:rFonts w:asciiTheme="minorHAnsi" w:hAnsiTheme="minorHAnsi"/>
          <w:snapToGrid w:val="0"/>
          <w:color w:val="auto"/>
          <w:sz w:val="22"/>
          <w:szCs w:val="22"/>
        </w:rPr>
        <w:t xml:space="preserve"> reported by company and </w:t>
      </w:r>
      <w:r w:rsidR="00B24E82">
        <w:rPr>
          <w:rFonts w:asciiTheme="minorHAnsi" w:hAnsiTheme="minorHAnsi"/>
          <w:snapToGrid w:val="0"/>
          <w:color w:val="auto"/>
          <w:sz w:val="22"/>
          <w:szCs w:val="22"/>
        </w:rPr>
        <w:t>PADD</w:t>
      </w:r>
      <w:r w:rsidR="00B24E82">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Reporting on For</w:t>
      </w:r>
      <w:r w:rsidR="00B24E82">
        <w:rPr>
          <w:rFonts w:asciiTheme="minorHAnsi" w:hAnsiTheme="minorHAnsi"/>
          <w:snapToGrid w:val="0"/>
          <w:color w:val="auto"/>
          <w:sz w:val="22"/>
          <w:szCs w:val="22"/>
        </w:rPr>
        <w:t>m EIA-813 includes stocks held in tank farms, pipelines</w:t>
      </w:r>
      <w:r w:rsidRPr="00D83EB3">
        <w:rPr>
          <w:rFonts w:asciiTheme="minorHAnsi" w:hAnsiTheme="minorHAnsi"/>
          <w:snapToGrid w:val="0"/>
          <w:color w:val="auto"/>
          <w:sz w:val="22"/>
          <w:szCs w:val="22"/>
        </w:rPr>
        <w:t>, and underground caverns</w:t>
      </w:r>
      <w:r w:rsidR="00B24E82">
        <w:rPr>
          <w:rFonts w:asciiTheme="minorHAnsi" w:hAnsiTheme="minorHAnsi"/>
          <w:snapToGrid w:val="0"/>
          <w:color w:val="auto"/>
          <w:sz w:val="22"/>
          <w:szCs w:val="22"/>
        </w:rPr>
        <w:t>, stocks in transit by water and rail, crude oil received by and shipped out of the Strategic Petroleum Reserve, stocks located in Cushing, OK that are deliverable under NYMEX contract and not deliverable under NYMEX contract</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Pipeline operators report inter-</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movements.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Operators of storage terminals and tank farms report</w:t>
      </w:r>
      <w:r w:rsidR="00FB75B2">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p>
    <w:p w:rsidR="00836036" w:rsidRPr="00D83EB3" w14:paraId="2D4DABA3" w14:textId="472B8E0C">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EIA-814 </w:t>
      </w:r>
      <w:r w:rsidRPr="00DF514C">
        <w:rPr>
          <w:rFonts w:asciiTheme="minorHAnsi" w:hAnsiTheme="minorHAnsi"/>
          <w:b/>
          <w:i/>
          <w:snapToGrid w:val="0"/>
          <w:color w:val="auto"/>
          <w:sz w:val="22"/>
          <w:szCs w:val="22"/>
        </w:rPr>
        <w:t>Monthly Imports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EIA-814 must be completed by every importer of record (or the ultimate consignee in some situations involving imports from Canada) of crude oil, petroleum products, and biofuels.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Importers and ultimate consignees are identified on the following documents filed with U.S. Customs and Border Protection (</w:t>
      </w:r>
      <w:r w:rsidRPr="00D83EB3">
        <w:rPr>
          <w:rFonts w:asciiTheme="minorHAnsi" w:hAnsiTheme="minorHAnsi"/>
          <w:snapToGrid w:val="0"/>
          <w:color w:val="auto"/>
          <w:sz w:val="22"/>
          <w:szCs w:val="22"/>
        </w:rPr>
        <w:t>CBP</w:t>
      </w:r>
      <w:r w:rsidRPr="00D83EB3">
        <w:rPr>
          <w:rFonts w:asciiTheme="minorHAnsi" w:hAnsiTheme="minorHAnsi"/>
          <w:snapToGrid w:val="0"/>
          <w:color w:val="auto"/>
          <w:sz w:val="22"/>
          <w:szCs w:val="22"/>
        </w:rPr>
        <w:t>) and the U.S. Department of Commerce:</w:t>
      </w:r>
    </w:p>
    <w:p w:rsidR="00836036" w:rsidRPr="00D83EB3" w14:paraId="17BE52E0" w14:textId="253C4255">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CBP</w:t>
      </w:r>
      <w:r w:rsidRPr="00D83EB3">
        <w:rPr>
          <w:rFonts w:asciiTheme="minorHAnsi" w:hAnsiTheme="minorHAnsi"/>
          <w:snapToGrid w:val="0"/>
          <w:color w:val="auto"/>
          <w:sz w:val="22"/>
          <w:szCs w:val="22"/>
        </w:rPr>
        <w:t xml:space="preserve"> Form 7501</w:t>
      </w:r>
      <w:r w:rsidR="00F91171">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Entry Summary</w:t>
      </w:r>
    </w:p>
    <w:p w:rsidR="00836036" w:rsidRPr="00D83EB3" w14:paraId="7B7E19DD" w14:textId="36A7D5AE">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CBP</w:t>
      </w:r>
      <w:r w:rsidRPr="00D83EB3">
        <w:rPr>
          <w:rFonts w:asciiTheme="minorHAnsi" w:hAnsiTheme="minorHAnsi"/>
          <w:snapToGrid w:val="0"/>
          <w:color w:val="auto"/>
          <w:sz w:val="22"/>
          <w:szCs w:val="22"/>
        </w:rPr>
        <w:t xml:space="preserve"> Form 214A</w:t>
      </w:r>
      <w:r w:rsidR="00736D6C">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Application for Foreign Trade Zone Admission and/or Status Designation</w:t>
      </w:r>
    </w:p>
    <w:p w:rsidR="00836036" w:rsidRPr="00D83EB3" w14:paraId="2FB31FDC" w14:textId="7C25FD5E">
      <w:pPr>
        <w:pStyle w:val="Default"/>
        <w:numPr>
          <w:ilvl w:val="0"/>
          <w:numId w:val="21"/>
        </w:numPr>
        <w:spacing w:before="60"/>
        <w:ind w:left="1080"/>
        <w:rPr>
          <w:rFonts w:asciiTheme="minorHAnsi" w:hAnsiTheme="minorHAnsi"/>
          <w:snapToGrid w:val="0"/>
          <w:color w:val="auto"/>
          <w:sz w:val="22"/>
          <w:szCs w:val="22"/>
        </w:rPr>
      </w:pPr>
      <w:r w:rsidRPr="00D83EB3">
        <w:rPr>
          <w:rFonts w:asciiTheme="minorHAnsi" w:hAnsiTheme="minorHAnsi"/>
          <w:snapToGrid w:val="0"/>
          <w:color w:val="auto"/>
          <w:sz w:val="22"/>
          <w:szCs w:val="22"/>
        </w:rPr>
        <w:t>Department of Commerce Form 7525-V</w:t>
      </w:r>
      <w:r w:rsidR="00736D6C">
        <w:rPr>
          <w:rFonts w:asciiTheme="minorHAnsi" w:hAnsiTheme="minorHAnsi"/>
          <w:snapToGrid w:val="0"/>
          <w:color w:val="auto"/>
          <w:sz w:val="22"/>
          <w:szCs w:val="22"/>
        </w:rPr>
        <w:t xml:space="preserve"> </w:t>
      </w:r>
      <w:r w:rsidRPr="00DF514C">
        <w:rPr>
          <w:rFonts w:asciiTheme="minorHAnsi" w:hAnsiTheme="minorHAnsi"/>
          <w:i/>
          <w:snapToGrid w:val="0"/>
          <w:color w:val="auto"/>
          <w:sz w:val="22"/>
          <w:szCs w:val="22"/>
        </w:rPr>
        <w:t>Shippers Export Declaration</w:t>
      </w:r>
    </w:p>
    <w:p w:rsidR="00836036" w:rsidRPr="00D83EB3" w14:paraId="05D9F60B" w14:textId="43846466">
      <w:pPr>
        <w:pStyle w:val="Default"/>
        <w:spacing w:before="120"/>
        <w:ind w:left="360"/>
        <w:rPr>
          <w:rFonts w:asciiTheme="minorHAnsi" w:hAnsiTheme="minorHAnsi"/>
          <w:snapToGrid w:val="0"/>
          <w:color w:val="auto"/>
          <w:sz w:val="22"/>
          <w:szCs w:val="22"/>
        </w:rPr>
      </w:pPr>
      <w:r w:rsidRPr="00D83EB3">
        <w:rPr>
          <w:rFonts w:asciiTheme="minorHAnsi" w:hAnsiTheme="minorHAnsi"/>
          <w:snapToGrid w:val="0"/>
          <w:color w:val="auto"/>
          <w:sz w:val="22"/>
          <w:szCs w:val="22"/>
        </w:rPr>
        <w:t>Reported imports include barrels of foreign origin that enter the 50 states and District of Columbia as well as U.S. territories and possessions, including Foreign Trade Zones.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In addition, imports from U.S. territories and possessions to the 50 states and District of Columbia are reported on Form EIA-814.</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Reporting on Form EIA-814 includes the country of origin, port of entry, type of commodity, quantity imported, sulfur and API gravity for crude oil and selected products, and processing facility for crude oil and selected unfinished products.</w:t>
      </w:r>
    </w:p>
    <w:p w:rsidR="00836036" w:rsidRPr="00D83EB3" w14:paraId="15C0C38A" w14:textId="45EA16DC">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EIA-815 </w:t>
      </w:r>
      <w:r w:rsidRPr="00DF514C">
        <w:rPr>
          <w:rFonts w:asciiTheme="minorHAnsi" w:hAnsiTheme="minorHAnsi"/>
          <w:b/>
          <w:i/>
          <w:snapToGrid w:val="0"/>
          <w:color w:val="auto"/>
          <w:sz w:val="22"/>
          <w:szCs w:val="22"/>
        </w:rPr>
        <w:t>Monthly Bulk Terminal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EIA-815 must be completed by every operator of a bulk terminal </w:t>
      </w:r>
      <w:r w:rsidR="00093A53">
        <w:rPr>
          <w:rFonts w:asciiTheme="minorHAnsi" w:hAnsiTheme="minorHAnsi"/>
          <w:snapToGrid w:val="0"/>
          <w:color w:val="auto"/>
          <w:sz w:val="22"/>
          <w:szCs w:val="22"/>
        </w:rPr>
        <w:t xml:space="preserve">and certain facilities storing natural gas liquids operated by end users </w:t>
      </w:r>
      <w:r w:rsidRPr="00D83EB3">
        <w:rPr>
          <w:rFonts w:asciiTheme="minorHAnsi" w:hAnsiTheme="minorHAnsi"/>
          <w:snapToGrid w:val="0"/>
          <w:color w:val="auto"/>
          <w:sz w:val="22"/>
          <w:szCs w:val="22"/>
        </w:rPr>
        <w:t>located in the 50 states, District of Columbia, and U.S. territories and possessions.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Data are reported by bulk terminal </w:t>
      </w:r>
      <w:r w:rsidR="00093A53">
        <w:rPr>
          <w:rFonts w:asciiTheme="minorHAnsi" w:hAnsiTheme="minorHAnsi"/>
          <w:snapToGrid w:val="0"/>
          <w:color w:val="auto"/>
          <w:sz w:val="22"/>
          <w:szCs w:val="22"/>
        </w:rPr>
        <w:t xml:space="preserve">or storage facility </w:t>
      </w:r>
      <w:r w:rsidRPr="00D83EB3">
        <w:rPr>
          <w:rFonts w:asciiTheme="minorHAnsi" w:hAnsiTheme="minorHAnsi"/>
          <w:snapToGrid w:val="0"/>
          <w:color w:val="auto"/>
          <w:sz w:val="22"/>
          <w:szCs w:val="22"/>
        </w:rPr>
        <w:t>site.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terminals are storage facilities where petroleum products and biofuels are stored in tanks and/or underground caverns.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Some bulk terminals are used for product blending, where unfinished and finished petroleum products and biofuels are blended in lines or in tanks to produce new or reclassified products (e.g. blending fuel ethanol with unfinished gasoline to produce finished gasoline).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terminals reported on Form EIA-815 include facilities that have storage capacity of at least 50 thousand barrels and facilities with storage capacity less than 50 thousand barrels that receive or ship product by pipeline, tanker, or barge.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Petroleum products storage facilities that have less than 50 thousand barrels of storage capacity and receive and ship product only by rail and truck do not report on Form EIA-815.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These smaller petroleum products and biofuels storage facilities are sometimes called “bulk stations” to distinguish them from bulk terminals.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stations are considered to be outside of primary petroleum supply channels and so they are excluded from reporting on Form EIA-815.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Bulk terminal operators report inventory, receipts, input, production, shipments, and fuel use and loss.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They report</w:t>
      </w:r>
      <w:r w:rsidR="00BB67D9">
        <w:rPr>
          <w:rFonts w:asciiTheme="minorHAnsi" w:hAnsiTheme="minorHAnsi"/>
          <w:snapToGrid w:val="0"/>
          <w:color w:val="auto"/>
          <w:sz w:val="22"/>
          <w:szCs w:val="22"/>
        </w:rPr>
        <w:t xml:space="preserve"> storage capacity for the month</w:t>
      </w:r>
      <w:r w:rsidRPr="00D83EB3">
        <w:rPr>
          <w:rFonts w:asciiTheme="minorHAnsi" w:hAnsiTheme="minorHAnsi"/>
          <w:snapToGrid w:val="0"/>
          <w:color w:val="auto"/>
          <w:sz w:val="22"/>
          <w:szCs w:val="22"/>
        </w:rPr>
        <w:t xml:space="preserve"> of March.</w:t>
      </w:r>
      <w:r w:rsidR="00093A53">
        <w:rPr>
          <w:rFonts w:asciiTheme="minorHAnsi" w:hAnsiTheme="minorHAnsi"/>
          <w:snapToGrid w:val="0"/>
          <w:color w:val="auto"/>
          <w:sz w:val="22"/>
          <w:szCs w:val="22"/>
        </w:rPr>
        <w:t xml:space="preserve"> Operators of end-user storage facilities (including storage at petrochemical plants) report stocks (on site and in transit) of natural gas liquids for facilit</w:t>
      </w:r>
      <w:r w:rsidR="007F190E">
        <w:rPr>
          <w:rFonts w:asciiTheme="minorHAnsi" w:hAnsiTheme="minorHAnsi"/>
          <w:snapToGrid w:val="0"/>
          <w:color w:val="auto"/>
          <w:sz w:val="22"/>
          <w:szCs w:val="22"/>
        </w:rPr>
        <w:t>i</w:t>
      </w:r>
      <w:r w:rsidR="00093A53">
        <w:rPr>
          <w:rFonts w:asciiTheme="minorHAnsi" w:hAnsiTheme="minorHAnsi"/>
          <w:snapToGrid w:val="0"/>
          <w:color w:val="auto"/>
          <w:sz w:val="22"/>
          <w:szCs w:val="22"/>
        </w:rPr>
        <w:t>es with at least 50 thousand barrels of storage capacity and capability to ship products by tanker, barge, or pipeline.</w:t>
      </w:r>
    </w:p>
    <w:p w:rsidR="00836036" w:rsidRPr="00D83EB3" w14:paraId="1F1A39CF" w14:textId="1660E113">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EIA-816 </w:t>
      </w:r>
      <w:r w:rsidRPr="00DF514C">
        <w:rPr>
          <w:rFonts w:asciiTheme="minorHAnsi" w:hAnsiTheme="minorHAnsi"/>
          <w:b/>
          <w:i/>
          <w:snapToGrid w:val="0"/>
          <w:color w:val="auto"/>
          <w:sz w:val="22"/>
          <w:szCs w:val="22"/>
        </w:rPr>
        <w:t>Monthly Natural Gas Liquids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EIA-816 must be completed by every operator of </w:t>
      </w:r>
      <w:r w:rsidR="00904693">
        <w:rPr>
          <w:rFonts w:asciiTheme="minorHAnsi" w:hAnsiTheme="minorHAnsi"/>
          <w:snapToGrid w:val="0"/>
          <w:color w:val="auto"/>
          <w:sz w:val="22"/>
          <w:szCs w:val="22"/>
        </w:rPr>
        <w:t xml:space="preserve">a </w:t>
      </w:r>
      <w:r w:rsidRPr="00D83EB3">
        <w:rPr>
          <w:rFonts w:asciiTheme="minorHAnsi" w:hAnsiTheme="minorHAnsi"/>
          <w:snapToGrid w:val="0"/>
          <w:color w:val="auto"/>
          <w:sz w:val="22"/>
          <w:szCs w:val="22"/>
        </w:rPr>
        <w:t>natural gas processing plant, natural gas plant liquids fractionator, and butane isomerization plant in the 50 States and the District of Columbia.</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plant</w:t>
      </w:r>
      <w:r w:rsidR="00904693">
        <w:rPr>
          <w:rFonts w:asciiTheme="minorHAnsi" w:hAnsiTheme="minorHAnsi"/>
          <w:snapToGrid w:val="0"/>
          <w:color w:val="auto"/>
          <w:sz w:val="22"/>
          <w:szCs w:val="22"/>
        </w:rPr>
        <w:t xml:space="preserve"> facility</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Natural gas processing plants extract natural gas liquids from a stream of natural gas.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Natural gas liquids fractionators separate natural gas liquids into individual components (i.e. ethane, propane, normal butane, </w:t>
      </w:r>
      <w:r w:rsidRPr="00D83EB3">
        <w:rPr>
          <w:rFonts w:asciiTheme="minorHAnsi" w:hAnsiTheme="minorHAnsi"/>
          <w:snapToGrid w:val="0"/>
          <w:color w:val="auto"/>
          <w:sz w:val="22"/>
          <w:szCs w:val="22"/>
        </w:rPr>
        <w:t>isobutane</w:t>
      </w:r>
      <w:r w:rsidRPr="00D83EB3">
        <w:rPr>
          <w:rFonts w:asciiTheme="minorHAnsi" w:hAnsiTheme="minorHAnsi"/>
          <w:snapToGrid w:val="0"/>
          <w:color w:val="auto"/>
          <w:sz w:val="22"/>
          <w:szCs w:val="22"/>
        </w:rPr>
        <w:t>, and pentanes plus).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Butane isomerization plants convert normal butane to </w:t>
      </w:r>
      <w:r w:rsidRPr="00D83EB3">
        <w:rPr>
          <w:rFonts w:asciiTheme="minorHAnsi" w:hAnsiTheme="minorHAnsi"/>
          <w:snapToGrid w:val="0"/>
          <w:color w:val="auto"/>
          <w:sz w:val="22"/>
          <w:szCs w:val="22"/>
        </w:rPr>
        <w:t>isobutane</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Form EIA-816 must be completed by operators of all natural gas processing plants.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Operators of natural gas plant liquids fractionators only report stocks and are only required to file Form EIA-816 if their plant or plants hold stocks (most fractionators do not hold stocks).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Form EIA-816 must be completed by all operators of butane isomerization plants that convert normal butane to </w:t>
      </w:r>
      <w:r w:rsidRPr="00D83EB3">
        <w:rPr>
          <w:rFonts w:asciiTheme="minorHAnsi" w:hAnsiTheme="minorHAnsi"/>
          <w:snapToGrid w:val="0"/>
          <w:color w:val="auto"/>
          <w:sz w:val="22"/>
          <w:szCs w:val="22"/>
        </w:rPr>
        <w:t>isobutane</w:t>
      </w:r>
      <w:r w:rsidRPr="00D83EB3">
        <w:rPr>
          <w:rFonts w:asciiTheme="minorHAnsi" w:hAnsiTheme="minorHAnsi"/>
          <w:snapToGrid w:val="0"/>
          <w:color w:val="auto"/>
          <w:sz w:val="22"/>
          <w:szCs w:val="22"/>
        </w:rPr>
        <w:t>, except in cases where a butane isomerization plant is part of a refinery and butane isomerization activity is reported on Form EIA-810.</w:t>
      </w:r>
    </w:p>
    <w:p w:rsidR="00836036" w:rsidRPr="00D83EB3" w14:paraId="4A00C99C" w14:textId="1D0E0EE0">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EIA-817 </w:t>
      </w:r>
      <w:r w:rsidRPr="00DF514C">
        <w:rPr>
          <w:rFonts w:asciiTheme="minorHAnsi" w:hAnsiTheme="minorHAnsi"/>
          <w:b/>
          <w:i/>
          <w:snapToGrid w:val="0"/>
          <w:color w:val="auto"/>
          <w:sz w:val="22"/>
          <w:szCs w:val="22"/>
        </w:rPr>
        <w:t>Monthly Tanker and Barge Movements Report</w:t>
      </w:r>
      <w:r w:rsidRPr="00D83EB3">
        <w:rPr>
          <w:rFonts w:asciiTheme="minorHAnsi" w:hAnsiTheme="minorHAnsi"/>
          <w:b/>
          <w:snapToGrid w:val="0"/>
          <w:color w:val="auto"/>
          <w:sz w:val="22"/>
          <w:szCs w:val="22"/>
        </w:rPr>
        <w:t>:</w:t>
      </w:r>
      <w:r w:rsidRPr="00D83EB3">
        <w:rPr>
          <w:rFonts w:asciiTheme="minorHAnsi" w:hAnsiTheme="minorHAnsi"/>
          <w:snapToGrid w:val="0"/>
          <w:color w:val="auto"/>
          <w:sz w:val="22"/>
          <w:szCs w:val="22"/>
        </w:rPr>
        <w:t xml:space="preserve"> Form EIA-817 must be completed by companies that move crude oil, petroleum products and biofuels by tankers and barges between Petroleum Administration for Defense Districts (</w:t>
      </w:r>
      <w:r w:rsidRPr="00D83EB3">
        <w:rPr>
          <w:rFonts w:asciiTheme="minorHAnsi" w:hAnsiTheme="minorHAnsi"/>
          <w:snapToGrid w:val="0"/>
          <w:color w:val="auto"/>
          <w:sz w:val="22"/>
          <w:szCs w:val="22"/>
        </w:rPr>
        <w:t>PADDs</w:t>
      </w:r>
      <w:r w:rsidRPr="00D83EB3">
        <w:rPr>
          <w:rFonts w:asciiTheme="minorHAnsi" w:hAnsiTheme="minorHAnsi"/>
          <w:snapToGrid w:val="0"/>
          <w:color w:val="auto"/>
          <w:sz w:val="22"/>
          <w:szCs w:val="22"/>
        </w:rPr>
        <w:t xml:space="preserve">) that include the 50 states and District of Columbia (i.e. </w:t>
      </w:r>
      <w:r w:rsidRPr="00D83EB3">
        <w:rPr>
          <w:rFonts w:asciiTheme="minorHAnsi" w:hAnsiTheme="minorHAnsi"/>
          <w:snapToGrid w:val="0"/>
          <w:color w:val="auto"/>
          <w:sz w:val="22"/>
          <w:szCs w:val="22"/>
        </w:rPr>
        <w:t>PADDs</w:t>
      </w:r>
      <w:r w:rsidRPr="00D83EB3">
        <w:rPr>
          <w:rFonts w:asciiTheme="minorHAnsi" w:hAnsiTheme="minorHAnsi"/>
          <w:snapToGrid w:val="0"/>
          <w:color w:val="auto"/>
          <w:sz w:val="22"/>
          <w:szCs w:val="22"/>
        </w:rPr>
        <w:t xml:space="preserve"> 1-5).</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Movements that are entirely within one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are not reported.</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Reporting is by commodity, origin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and destination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for each reporting company without regard to specific refinery, terminal, or port locations.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Movements from the U.S. Gulf Coast region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3) to the U.S. East Coast Region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1) are further subdivided in terms of destination as New England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1A), Middle Atlantic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1B), and South Atlantic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1C).</w:t>
      </w:r>
    </w:p>
    <w:p w:rsidR="00836036" w:rsidRPr="00D83EB3" w14:paraId="1B4339E5" w14:textId="161DD30B">
      <w:pPr>
        <w:pStyle w:val="Default"/>
        <w:spacing w:before="120"/>
        <w:ind w:left="360"/>
        <w:rPr>
          <w:rFonts w:asciiTheme="minorHAnsi" w:hAnsiTheme="minorHAnsi"/>
          <w:snapToGrid w:val="0"/>
          <w:color w:val="auto"/>
          <w:sz w:val="22"/>
          <w:szCs w:val="22"/>
        </w:rPr>
      </w:pPr>
      <w:r w:rsidRPr="00D83EB3">
        <w:rPr>
          <w:rFonts w:asciiTheme="minorHAnsi" w:hAnsiTheme="minorHAnsi"/>
          <w:snapToGrid w:val="0"/>
          <w:color w:val="auto"/>
          <w:sz w:val="22"/>
          <w:szCs w:val="22"/>
        </w:rPr>
        <w:t xml:space="preserve">Form EIA-817 must be completed by companies that have custody of crude oil, petroleum products, and biofuels transported by tanker and barge between </w:t>
      </w:r>
      <w:r w:rsidRPr="00D83EB3">
        <w:rPr>
          <w:rFonts w:asciiTheme="minorHAnsi" w:hAnsiTheme="minorHAnsi"/>
          <w:snapToGrid w:val="0"/>
          <w:color w:val="auto"/>
          <w:sz w:val="22"/>
          <w:szCs w:val="22"/>
        </w:rPr>
        <w:t>PADDs</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Reportable movements include those that originate in one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 xml:space="preserve"> and are then transported to the Panama Canal and, then, proceed from the Panama Canal to another </w:t>
      </w:r>
      <w:r w:rsidRPr="00D83EB3">
        <w:rPr>
          <w:rFonts w:asciiTheme="minorHAnsi" w:hAnsiTheme="minorHAnsi"/>
          <w:snapToGrid w:val="0"/>
          <w:color w:val="auto"/>
          <w:sz w:val="22"/>
          <w:szCs w:val="22"/>
        </w:rPr>
        <w:t>PADD</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Custody is defined as physical possession of crude oil, petroleum products, or biofuels on a company-owned tanker or barge.</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Companies that lease vessels or contract for movement of crude oil, petroleum products, or biofuels by water between </w:t>
      </w:r>
      <w:r w:rsidRPr="00D83EB3">
        <w:rPr>
          <w:rFonts w:asciiTheme="minorHAnsi" w:hAnsiTheme="minorHAnsi"/>
          <w:snapToGrid w:val="0"/>
          <w:color w:val="auto"/>
          <w:sz w:val="22"/>
          <w:szCs w:val="22"/>
        </w:rPr>
        <w:t>PADDs</w:t>
      </w:r>
      <w:r w:rsidRPr="00D83EB3">
        <w:rPr>
          <w:rFonts w:asciiTheme="minorHAnsi" w:hAnsiTheme="minorHAnsi"/>
          <w:snapToGrid w:val="0"/>
          <w:color w:val="auto"/>
          <w:sz w:val="22"/>
          <w:szCs w:val="22"/>
        </w:rPr>
        <w:t xml:space="preserve"> are also considered to have custody.</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Companies reporting on Form EIA-817 are typically refiners and/or marketers of crude oil, petroleum products, and biofuels.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Form EIA-817 reporting companies are waterborne shippers rather than carriers (i.e. operators of tankers, barges, and tug boats), except in cases where refiners and marketers are also vessel operators.</w:t>
      </w:r>
    </w:p>
    <w:p w:rsidR="00836036" w:rsidRPr="007D6F79" w14:paraId="6DB95219" w14:textId="4AEC6CD6">
      <w:pPr>
        <w:pStyle w:val="Default"/>
        <w:spacing w:before="120"/>
        <w:ind w:left="360"/>
        <w:rPr>
          <w:rFonts w:asciiTheme="minorHAnsi" w:hAnsiTheme="minorHAnsi"/>
          <w:snapToGrid w:val="0"/>
          <w:color w:val="auto"/>
          <w:sz w:val="22"/>
          <w:szCs w:val="22"/>
        </w:rPr>
      </w:pPr>
      <w:r w:rsidRPr="00D83EB3">
        <w:rPr>
          <w:rFonts w:asciiTheme="minorHAnsi" w:hAnsiTheme="minorHAnsi"/>
          <w:b/>
          <w:snapToGrid w:val="0"/>
          <w:color w:val="auto"/>
          <w:sz w:val="22"/>
          <w:szCs w:val="22"/>
        </w:rPr>
        <w:t xml:space="preserve">Form EIA-819 </w:t>
      </w:r>
      <w:r w:rsidRPr="00541839">
        <w:rPr>
          <w:rFonts w:ascii="Calibri" w:hAnsi="Calibri"/>
          <w:i/>
          <w:sz w:val="22"/>
        </w:rPr>
        <w:t xml:space="preserve">Monthly </w:t>
      </w:r>
      <w:r w:rsidRPr="00562918" w:rsidR="00562918">
        <w:rPr>
          <w:rFonts w:ascii="Calibri" w:hAnsi="Calibri" w:cs="Calibri"/>
          <w:i/>
          <w:sz w:val="22"/>
          <w:szCs w:val="22"/>
        </w:rPr>
        <w:t xml:space="preserve">Report of </w:t>
      </w:r>
      <w:r w:rsidRPr="00541839" w:rsidR="00CF2895">
        <w:rPr>
          <w:rFonts w:ascii="Calibri" w:hAnsi="Calibri"/>
          <w:i/>
          <w:sz w:val="22"/>
        </w:rPr>
        <w:t>Biofuel</w:t>
      </w:r>
      <w:r w:rsidRPr="00541839" w:rsidR="001F476C">
        <w:rPr>
          <w:rFonts w:ascii="Calibri" w:hAnsi="Calibri"/>
          <w:i/>
          <w:sz w:val="22"/>
        </w:rPr>
        <w:t xml:space="preserve">s, </w:t>
      </w:r>
      <w:r w:rsidRPr="00562918" w:rsidR="00562918">
        <w:rPr>
          <w:rFonts w:ascii="Calibri" w:hAnsi="Calibri" w:cs="Calibri"/>
          <w:i/>
          <w:sz w:val="22"/>
          <w:szCs w:val="22"/>
        </w:rPr>
        <w:t xml:space="preserve">Fuels from </w:t>
      </w:r>
      <w:r w:rsidR="00562918">
        <w:rPr>
          <w:rFonts w:ascii="Calibri" w:hAnsi="Calibri" w:cs="Calibri"/>
          <w:i/>
          <w:sz w:val="22"/>
          <w:szCs w:val="22"/>
        </w:rPr>
        <w:t>Non</w:t>
      </w:r>
      <w:r w:rsidRPr="00562918" w:rsidR="00562918">
        <w:rPr>
          <w:rFonts w:ascii="Calibri" w:hAnsi="Calibri" w:cs="Calibri"/>
          <w:i/>
          <w:sz w:val="22"/>
          <w:szCs w:val="22"/>
        </w:rPr>
        <w:t>-</w:t>
      </w:r>
      <w:r w:rsidR="00562918">
        <w:rPr>
          <w:rFonts w:ascii="Calibri" w:hAnsi="Calibri" w:cs="Calibri"/>
          <w:i/>
          <w:sz w:val="22"/>
          <w:szCs w:val="22"/>
        </w:rPr>
        <w:t>B</w:t>
      </w:r>
      <w:r w:rsidRPr="00562918" w:rsidR="00562918">
        <w:rPr>
          <w:rFonts w:ascii="Calibri" w:hAnsi="Calibri" w:cs="Calibri"/>
          <w:i/>
          <w:sz w:val="22"/>
          <w:szCs w:val="22"/>
        </w:rPr>
        <w:t>iogenic Wastes</w:t>
      </w:r>
      <w:r w:rsidRPr="006F7915" w:rsidR="00D021D7">
        <w:rPr>
          <w:rFonts w:ascii="Calibri" w:hAnsi="Calibri" w:cs="Calibri"/>
          <w:i/>
          <w:sz w:val="22"/>
          <w:szCs w:val="22"/>
        </w:rPr>
        <w:t xml:space="preserve">, </w:t>
      </w:r>
      <w:r w:rsidRPr="00541839" w:rsidR="001F476C">
        <w:rPr>
          <w:rFonts w:ascii="Calibri" w:hAnsi="Calibri"/>
          <w:i/>
          <w:sz w:val="22"/>
        </w:rPr>
        <w:t xml:space="preserve">Fuel Oxygenates, Isooctane, and </w:t>
      </w:r>
      <w:r w:rsidRPr="006F7915" w:rsidR="00D021D7">
        <w:rPr>
          <w:rFonts w:ascii="Calibri" w:hAnsi="Calibri" w:cs="Calibri"/>
          <w:i/>
          <w:sz w:val="22"/>
          <w:szCs w:val="22"/>
        </w:rPr>
        <w:t>I</w:t>
      </w:r>
      <w:r w:rsidR="00562918">
        <w:rPr>
          <w:rFonts w:ascii="Calibri" w:hAnsi="Calibri" w:cs="Calibri"/>
          <w:i/>
          <w:sz w:val="22"/>
          <w:szCs w:val="22"/>
        </w:rPr>
        <w:t>sooctene</w:t>
      </w:r>
      <w:r w:rsidR="00D021D7">
        <w:t>.</w:t>
      </w:r>
      <w:r w:rsidRPr="00541839">
        <w:t xml:space="preserve"> </w:t>
      </w:r>
      <w:r w:rsidRPr="00D83EB3">
        <w:rPr>
          <w:rFonts w:asciiTheme="minorHAnsi" w:hAnsiTheme="minorHAnsi"/>
          <w:snapToGrid w:val="0"/>
          <w:color w:val="auto"/>
          <w:sz w:val="22"/>
          <w:szCs w:val="22"/>
        </w:rPr>
        <w:t xml:space="preserve">Form EIA-819 must be completed by operators of facilities in the 50 states, District of Columbia, and U.S. territories and possessions that produce </w:t>
      </w:r>
      <w:r w:rsidR="001F476C">
        <w:rPr>
          <w:rFonts w:asciiTheme="minorHAnsi" w:hAnsiTheme="minorHAnsi"/>
          <w:snapToGrid w:val="0"/>
          <w:color w:val="auto"/>
          <w:sz w:val="22"/>
          <w:szCs w:val="22"/>
        </w:rPr>
        <w:t>one or more of the following products: fuel alcohol; biodiesel that meets ASTM D 6751-07B specification and is used for commercial purposes; renewabl</w:t>
      </w:r>
      <w:r w:rsidR="007F190E">
        <w:rPr>
          <w:rFonts w:asciiTheme="minorHAnsi" w:hAnsiTheme="minorHAnsi"/>
          <w:snapToGrid w:val="0"/>
          <w:color w:val="auto"/>
          <w:sz w:val="22"/>
          <w:szCs w:val="22"/>
        </w:rPr>
        <w:t>e</w:t>
      </w:r>
      <w:r w:rsidR="001F476C">
        <w:rPr>
          <w:rFonts w:asciiTheme="minorHAnsi" w:hAnsiTheme="minorHAnsi"/>
          <w:snapToGrid w:val="0"/>
          <w:color w:val="auto"/>
          <w:sz w:val="22"/>
          <w:szCs w:val="22"/>
        </w:rPr>
        <w:t xml:space="preserve"> diesel fuel, heating oil, jet fuel, naphtha, gasoline, and other renewable fuels and intermediate products; fuel oxygenates other than fuel alcohol; and isooctane or </w:t>
      </w:r>
      <w:r w:rsidR="001F476C">
        <w:rPr>
          <w:rFonts w:asciiTheme="minorHAnsi" w:hAnsiTheme="minorHAnsi"/>
          <w:snapToGrid w:val="0"/>
          <w:color w:val="auto"/>
          <w:sz w:val="22"/>
          <w:szCs w:val="22"/>
        </w:rPr>
        <w:t>isooctene</w:t>
      </w:r>
      <w:r w:rsidR="001F476C">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Data are reported by plant</w:t>
      </w:r>
      <w:r w:rsidR="00904693">
        <w:rPr>
          <w:rFonts w:asciiTheme="minorHAnsi" w:hAnsiTheme="minorHAnsi"/>
          <w:snapToGrid w:val="0"/>
          <w:color w:val="auto"/>
          <w:sz w:val="22"/>
          <w:szCs w:val="22"/>
        </w:rPr>
        <w:t xml:space="preserve"> facility</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001F476C">
        <w:rPr>
          <w:rFonts w:asciiTheme="minorHAnsi" w:hAnsiTheme="minorHAnsi"/>
          <w:snapToGrid w:val="0"/>
          <w:color w:val="auto"/>
          <w:sz w:val="22"/>
          <w:szCs w:val="22"/>
        </w:rPr>
        <w:t>Fuel o</w:t>
      </w:r>
      <w:r w:rsidRPr="00D83EB3">
        <w:rPr>
          <w:rFonts w:asciiTheme="minorHAnsi" w:hAnsiTheme="minorHAnsi"/>
          <w:snapToGrid w:val="0"/>
          <w:color w:val="auto"/>
          <w:sz w:val="22"/>
          <w:szCs w:val="22"/>
        </w:rPr>
        <w:t>xygenates reported include ethanol, Methyl Tertiary Butyl Ether (MTBE), Ethyl Tertiary Butyl Ether (</w:t>
      </w:r>
      <w:r w:rsidRPr="00D83EB3">
        <w:rPr>
          <w:rFonts w:asciiTheme="minorHAnsi" w:hAnsiTheme="minorHAnsi"/>
          <w:snapToGrid w:val="0"/>
          <w:color w:val="auto"/>
          <w:sz w:val="22"/>
          <w:szCs w:val="22"/>
        </w:rPr>
        <w:t>ETBE</w:t>
      </w:r>
      <w:r w:rsidRPr="00D83EB3">
        <w:rPr>
          <w:rFonts w:asciiTheme="minorHAnsi" w:hAnsiTheme="minorHAnsi"/>
          <w:snapToGrid w:val="0"/>
          <w:color w:val="auto"/>
          <w:sz w:val="22"/>
          <w:szCs w:val="22"/>
        </w:rPr>
        <w:t xml:space="preserve">), and “other” </w:t>
      </w:r>
      <w:r w:rsidR="00BA210E">
        <w:rPr>
          <w:rFonts w:asciiTheme="minorHAnsi" w:hAnsiTheme="minorHAnsi"/>
          <w:snapToGrid w:val="0"/>
          <w:color w:val="auto"/>
          <w:sz w:val="22"/>
          <w:szCs w:val="22"/>
        </w:rPr>
        <w:t xml:space="preserve">fuel </w:t>
      </w:r>
      <w:r w:rsidRPr="00D83EB3">
        <w:rPr>
          <w:rFonts w:asciiTheme="minorHAnsi" w:hAnsiTheme="minorHAnsi"/>
          <w:snapToGrid w:val="0"/>
          <w:color w:val="auto"/>
          <w:sz w:val="22"/>
          <w:szCs w:val="22"/>
        </w:rPr>
        <w:t>oxygenates.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Oxygenates</w:t>
      </w:r>
      <w:r w:rsidR="00137350">
        <w:rPr>
          <w:rFonts w:asciiTheme="minorHAnsi" w:hAnsiTheme="minorHAnsi"/>
          <w:snapToGrid w:val="0"/>
          <w:color w:val="auto"/>
          <w:sz w:val="22"/>
          <w:szCs w:val="22"/>
        </w:rPr>
        <w:t xml:space="preserve"> </w:t>
      </w:r>
      <w:r w:rsidR="00137350">
        <w:rPr>
          <w:rFonts w:asciiTheme="minorHAnsi" w:hAnsiTheme="minorHAnsi"/>
          <w:snapToGrid w:val="0"/>
          <w:color w:val="auto"/>
          <w:sz w:val="22"/>
          <w:szCs w:val="22"/>
        </w:rPr>
        <w:t>m</w:t>
      </w:r>
      <w:r w:rsidRPr="00D83EB3" w:rsidR="00860534">
        <w:rPr>
          <w:rFonts w:asciiTheme="minorHAnsi" w:hAnsiTheme="minorHAnsi"/>
          <w:snapToGrid w:val="0"/>
          <w:color w:val="auto"/>
          <w:sz w:val="22"/>
          <w:szCs w:val="22"/>
        </w:rPr>
        <w:t>ay</w:t>
      </w:r>
      <w:r w:rsidRPr="00D83EB3" w:rsidR="00860534">
        <w:rPr>
          <w:rFonts w:asciiTheme="minorHAnsi" w:hAnsiTheme="minorHAnsi"/>
          <w:snapToGrid w:val="0"/>
          <w:color w:val="auto"/>
          <w:sz w:val="22"/>
          <w:szCs w:val="22"/>
        </w:rPr>
        <w:t xml:space="preserve"> also</w:t>
      </w:r>
      <w:r w:rsidRPr="00D83EB3">
        <w:rPr>
          <w:rFonts w:asciiTheme="minorHAnsi" w:hAnsiTheme="minorHAnsi"/>
          <w:snapToGrid w:val="0"/>
          <w:color w:val="auto"/>
          <w:sz w:val="22"/>
          <w:szCs w:val="22"/>
        </w:rPr>
        <w:t xml:space="preserve"> be biofuels (e.g. fuel ethanol and bio-</w:t>
      </w:r>
      <w:r w:rsidRPr="00D83EB3">
        <w:rPr>
          <w:rFonts w:asciiTheme="minorHAnsi" w:hAnsiTheme="minorHAnsi"/>
          <w:snapToGrid w:val="0"/>
          <w:color w:val="auto"/>
          <w:sz w:val="22"/>
          <w:szCs w:val="22"/>
        </w:rPr>
        <w:t>ETBE</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Reported facilities include merchant plants as well as plants associated with refineries and petrochemical facilities.</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Monthly reports include </w:t>
      </w:r>
      <w:r w:rsidR="00701B0E">
        <w:rPr>
          <w:rFonts w:asciiTheme="minorHAnsi" w:hAnsiTheme="minorHAnsi"/>
          <w:snapToGrid w:val="0"/>
          <w:color w:val="auto"/>
          <w:sz w:val="22"/>
          <w:szCs w:val="22"/>
        </w:rPr>
        <w:t>beginning and ending stocks, stocks in-transit to the plant, production, inputs, receipts, shipments, and plant use and losses</w:t>
      </w:r>
      <w:r w:rsidRPr="00D83EB3">
        <w:rPr>
          <w:rFonts w:asciiTheme="minorHAnsi" w:hAnsiTheme="minorHAnsi"/>
          <w:snapToGrid w:val="0"/>
          <w:color w:val="auto"/>
          <w:sz w:val="22"/>
          <w:szCs w:val="22"/>
        </w:rPr>
        <w:t>.</w:t>
      </w:r>
      <w:r w:rsidR="00255082">
        <w:rPr>
          <w:rFonts w:asciiTheme="minorHAnsi" w:hAnsiTheme="minorHAnsi"/>
          <w:snapToGrid w:val="0"/>
          <w:color w:val="auto"/>
          <w:sz w:val="22"/>
          <w:szCs w:val="22"/>
        </w:rPr>
        <w:t xml:space="preserve"> </w:t>
      </w:r>
      <w:r w:rsidRPr="00D83EB3">
        <w:rPr>
          <w:rFonts w:asciiTheme="minorHAnsi" w:hAnsiTheme="minorHAnsi"/>
          <w:snapToGrid w:val="0"/>
          <w:color w:val="auto"/>
          <w:sz w:val="22"/>
          <w:szCs w:val="22"/>
        </w:rPr>
        <w:t xml:space="preserve">In addition, </w:t>
      </w:r>
      <w:r w:rsidR="00701B0E">
        <w:rPr>
          <w:rFonts w:asciiTheme="minorHAnsi" w:hAnsiTheme="minorHAnsi"/>
          <w:snapToGrid w:val="0"/>
          <w:color w:val="auto"/>
          <w:sz w:val="22"/>
          <w:szCs w:val="22"/>
        </w:rPr>
        <w:t xml:space="preserve">production capacity on the first day of the report month and consumption of </w:t>
      </w:r>
      <w:r w:rsidR="0070181D">
        <w:rPr>
          <w:rFonts w:asciiTheme="minorHAnsi" w:hAnsiTheme="minorHAnsi"/>
          <w:snapToGrid w:val="0"/>
          <w:color w:val="auto"/>
          <w:sz w:val="22"/>
          <w:szCs w:val="22"/>
        </w:rPr>
        <w:t xml:space="preserve">fuels and </w:t>
      </w:r>
      <w:r w:rsidR="00701B0E">
        <w:rPr>
          <w:rFonts w:asciiTheme="minorHAnsi" w:hAnsiTheme="minorHAnsi"/>
          <w:snapToGrid w:val="0"/>
          <w:color w:val="auto"/>
          <w:sz w:val="22"/>
          <w:szCs w:val="22"/>
        </w:rPr>
        <w:t xml:space="preserve">feedstocks </w:t>
      </w:r>
      <w:r w:rsidR="00C4279B">
        <w:rPr>
          <w:rFonts w:asciiTheme="minorHAnsi" w:hAnsiTheme="minorHAnsi"/>
          <w:snapToGrid w:val="0"/>
          <w:color w:val="auto"/>
          <w:sz w:val="22"/>
          <w:szCs w:val="22"/>
        </w:rPr>
        <w:t>are reported.</w:t>
      </w:r>
      <w:r w:rsidR="00255082">
        <w:rPr>
          <w:rFonts w:asciiTheme="minorHAnsi" w:hAnsiTheme="minorHAnsi"/>
          <w:snapToGrid w:val="0"/>
          <w:color w:val="auto"/>
          <w:sz w:val="22"/>
          <w:szCs w:val="22"/>
        </w:rPr>
        <w:t xml:space="preserve"> </w:t>
      </w:r>
    </w:p>
    <w:p w:rsidR="00836036" w:rsidRPr="00D83EB3" w14:paraId="11E32F3C" w14:textId="07FA68C2">
      <w:pPr>
        <w:pStyle w:val="NormalWeb"/>
        <w:spacing w:before="120" w:after="0"/>
        <w:ind w:left="360"/>
        <w:rPr>
          <w:rFonts w:asciiTheme="minorHAnsi" w:hAnsiTheme="minorHAnsi"/>
          <w:sz w:val="22"/>
          <w:szCs w:val="22"/>
        </w:rPr>
      </w:pPr>
      <w:bookmarkStart w:id="4" w:name="refinery"/>
      <w:bookmarkStart w:id="5" w:name="bulk_term"/>
      <w:bookmarkEnd w:id="4"/>
      <w:bookmarkEnd w:id="5"/>
      <w:r w:rsidRPr="00D83EB3">
        <w:rPr>
          <w:rFonts w:asciiTheme="minorHAnsi" w:hAnsiTheme="minorHAnsi"/>
          <w:b/>
          <w:sz w:val="22"/>
          <w:szCs w:val="22"/>
        </w:rPr>
        <w:t xml:space="preserve">Form EIA-820 </w:t>
      </w:r>
      <w:r w:rsidRPr="00DF514C">
        <w:rPr>
          <w:rFonts w:asciiTheme="minorHAnsi" w:hAnsiTheme="minorHAnsi"/>
          <w:b/>
          <w:i/>
          <w:sz w:val="22"/>
          <w:szCs w:val="22"/>
        </w:rPr>
        <w:t>Annual Refinery Report</w:t>
      </w:r>
      <w:r w:rsidRPr="00D83EB3">
        <w:rPr>
          <w:rFonts w:asciiTheme="minorHAnsi" w:hAnsiTheme="minorHAnsi"/>
          <w:b/>
          <w:sz w:val="22"/>
          <w:szCs w:val="22"/>
        </w:rPr>
        <w:t>:</w:t>
      </w:r>
      <w:r w:rsidRPr="00D83EB3">
        <w:rPr>
          <w:rFonts w:asciiTheme="minorHAnsi" w:hAnsiTheme="minorHAnsi"/>
          <w:sz w:val="22"/>
          <w:szCs w:val="22"/>
        </w:rPr>
        <w:t xml:space="preserve"> </w:t>
      </w:r>
      <w:r w:rsidRPr="00D83EB3">
        <w:rPr>
          <w:rFonts w:asciiTheme="minorHAnsi" w:hAnsiTheme="minorHAnsi"/>
          <w:snapToGrid w:val="0"/>
          <w:sz w:val="22"/>
          <w:szCs w:val="22"/>
        </w:rPr>
        <w:t>Form EIA-820 must be completed by operators of all operating and idle petroleum refineries located in the 50 States, District of Columbia, Puerto Rico, the Virgin Islands, Guam, and other U.S. possessions.</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The Form EIA-820 survey frame is normally identical to the survey frame of Form EIA-810, though there are cases where differences arise, such as during periods when a refinery is in transition from operable to shut down.</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Data are reported on Form EIA-820 by refinery site.</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Refineries are installations that manufacture finished petroleum products from crude oil, unfinished oils, natural gas liquids, other hydrocarbons, biofuels, and oxygenates.</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Reports are filed each year in February.</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Refinery operators report fuel, electricity, and steam purchased and consumed, and crude oil received by method of transportation at the refinery during the prior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Operating, idle, and total operable (sum of operating plus idle capacities) capacities of atmospheric crude oil distillation units are reported for January 1 of the current year and operable distillation capacity is projected for January 1 of the following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 xml:space="preserve">Downstream charge (input) capacities are reported for selected process units as of January 1 of the current year </w:t>
      </w:r>
      <w:r w:rsidRPr="00D83EB3">
        <w:rPr>
          <w:rFonts w:asciiTheme="minorHAnsi" w:hAnsiTheme="minorHAnsi"/>
          <w:snapToGrid w:val="0"/>
          <w:sz w:val="22"/>
          <w:szCs w:val="22"/>
        </w:rPr>
        <w:t>and projected for January 1 of the following year.</w:t>
      </w:r>
      <w:r w:rsidR="00255082">
        <w:rPr>
          <w:rFonts w:asciiTheme="minorHAnsi" w:hAnsiTheme="minorHAnsi"/>
          <w:snapToGrid w:val="0"/>
          <w:sz w:val="22"/>
          <w:szCs w:val="22"/>
        </w:rPr>
        <w:t xml:space="preserve"> </w:t>
      </w:r>
      <w:r w:rsidRPr="00D83EB3">
        <w:rPr>
          <w:rFonts w:asciiTheme="minorHAnsi" w:hAnsiTheme="minorHAnsi"/>
          <w:snapToGrid w:val="0"/>
          <w:sz w:val="22"/>
          <w:szCs w:val="22"/>
        </w:rPr>
        <w:t>Production capacities of selected refinery units are reported for January 1 of the current year and projected for January 1 of the following year.</w:t>
      </w:r>
    </w:p>
    <w:p w:rsidR="00D6151D" w:rsidP="00DF514C" w14:paraId="34A5FE37" w14:textId="77777777">
      <w:pPr>
        <w:pStyle w:val="NoSpacing"/>
        <w:jc w:val="left"/>
      </w:pPr>
    </w:p>
    <w:p w:rsidR="00D6151D" w:rsidP="00DF514C" w14:paraId="14ED6F68" w14:textId="39B007C9">
      <w:pPr>
        <w:pStyle w:val="NoSpacing"/>
        <w:jc w:val="left"/>
        <w:rPr>
          <w:b/>
          <w:color w:val="00B0F0"/>
        </w:rPr>
      </w:pPr>
      <w:r>
        <w:rPr>
          <w:b/>
          <w:color w:val="00B0F0"/>
        </w:rPr>
        <w:t>B.1.2 Weekly</w:t>
      </w:r>
      <w:r w:rsidRPr="00D6151D">
        <w:rPr>
          <w:b/>
          <w:color w:val="00B0F0"/>
        </w:rPr>
        <w:t xml:space="preserve"> </w:t>
      </w:r>
      <w:r w:rsidRPr="00D6151D">
        <w:rPr>
          <w:b/>
          <w:color w:val="00B0F0"/>
        </w:rPr>
        <w:t>PSRS</w:t>
      </w:r>
      <w:r w:rsidRPr="00D6151D">
        <w:rPr>
          <w:b/>
          <w:color w:val="00B0F0"/>
        </w:rPr>
        <w:t xml:space="preserve"> Survey</w:t>
      </w:r>
      <w:r>
        <w:rPr>
          <w:b/>
          <w:color w:val="00B0F0"/>
        </w:rPr>
        <w:t>s</w:t>
      </w:r>
      <w:r w:rsidRPr="00D6151D">
        <w:rPr>
          <w:b/>
          <w:color w:val="00B0F0"/>
        </w:rPr>
        <w:t xml:space="preserve"> </w:t>
      </w:r>
    </w:p>
    <w:p w:rsidR="00D6151D" w:rsidRPr="00D6151D" w:rsidP="00DF514C" w14:paraId="758AB072" w14:textId="77777777">
      <w:pPr>
        <w:pStyle w:val="NoSpacing"/>
        <w:jc w:val="left"/>
        <w:rPr>
          <w:b/>
          <w:color w:val="00B0F0"/>
        </w:rPr>
      </w:pPr>
    </w:p>
    <w:p w:rsidR="00D6151D" w:rsidRPr="00D6151D" w:rsidP="00DF514C" w14:paraId="655AD83E" w14:textId="08E115CE">
      <w:pPr>
        <w:pStyle w:val="NoSpacing"/>
        <w:jc w:val="left"/>
      </w:pPr>
      <w:r>
        <w:t>T</w:t>
      </w:r>
      <w:r w:rsidRPr="00C84725">
        <w:t xml:space="preserve">he </w:t>
      </w:r>
      <w:r w:rsidR="00BA4B85">
        <w:t>Energy Information Administration (</w:t>
      </w:r>
      <w:r w:rsidRPr="00C84725">
        <w:t>EIA</w:t>
      </w:r>
      <w:r w:rsidR="00BA4B85">
        <w:t>)</w:t>
      </w:r>
      <w:r w:rsidRPr="00C84725">
        <w:t xml:space="preserve"> weekly reporting system, as part of the </w:t>
      </w:r>
      <w:r w:rsidRPr="00C84725">
        <w:t>PSRS</w:t>
      </w:r>
      <w:r w:rsidRPr="00C84725">
        <w:t>, was designed to collect data similar to those collected monthly.</w:t>
      </w:r>
      <w:r w:rsidR="00255082">
        <w:t xml:space="preserve"> </w:t>
      </w:r>
      <w:r w:rsidRPr="00C84725">
        <w:t>The samples of companies that report weekly in the Weekly Petroleum Supply Reporting System (</w:t>
      </w:r>
      <w:r w:rsidRPr="00C84725">
        <w:t>WPSRS</w:t>
      </w:r>
      <w:r w:rsidRPr="00C84725">
        <w:t>) are selected from the universe of companies that report on the corresponding monthly forms.</w:t>
      </w:r>
      <w:r w:rsidR="00255082">
        <w:t xml:space="preserve"> </w:t>
      </w:r>
      <w:r w:rsidRPr="00C84725">
        <w:t xml:space="preserve">The following describes the relationships between the samples for the weekly </w:t>
      </w:r>
      <w:r w:rsidRPr="00C84725">
        <w:t>PSRS</w:t>
      </w:r>
      <w:r w:rsidRPr="00C84725">
        <w:t xml:space="preserve"> surveys and the corresponding monthly survey that provide the universes of companies for sampling:</w:t>
      </w:r>
    </w:p>
    <w:p w:rsidR="00D6151D" w:rsidRPr="00C84725" w14:paraId="69269FE2" w14:textId="186B7409">
      <w:pPr>
        <w:spacing w:before="120" w:after="0"/>
        <w:ind w:left="360"/>
      </w:pPr>
      <w:r w:rsidRPr="00C84725">
        <w:rPr>
          <w:b/>
        </w:rPr>
        <w:t xml:space="preserve">Form EIA-800 </w:t>
      </w:r>
      <w:r w:rsidRPr="00DF514C">
        <w:rPr>
          <w:b/>
          <w:i/>
        </w:rPr>
        <w:t>Weekly Refinery</w:t>
      </w:r>
      <w:r w:rsidR="00C32D4A">
        <w:rPr>
          <w:b/>
          <w:i/>
        </w:rPr>
        <w:t xml:space="preserve"> </w:t>
      </w:r>
      <w:r w:rsidRPr="00DF514C">
        <w:rPr>
          <w:b/>
          <w:i/>
        </w:rPr>
        <w:t>Report</w:t>
      </w:r>
      <w:r w:rsidRPr="00C84725">
        <w:rPr>
          <w:b/>
        </w:rPr>
        <w:t>:</w:t>
      </w:r>
      <w:r w:rsidRPr="00C84725">
        <w:t xml:space="preserve"> The universe of possible reporting units is provided by Form EIA-810 for refineries</w:t>
      </w:r>
      <w:r>
        <w:t xml:space="preserve">. </w:t>
      </w:r>
    </w:p>
    <w:p w:rsidR="00D6151D" w:rsidRPr="00C84725" w14:paraId="1FE66BC2" w14:textId="2BA4257A">
      <w:pPr>
        <w:spacing w:before="120" w:after="0"/>
        <w:ind w:left="360"/>
      </w:pPr>
      <w:r w:rsidRPr="00C84725">
        <w:rPr>
          <w:b/>
        </w:rPr>
        <w:t xml:space="preserve">Form EIA-802 </w:t>
      </w:r>
      <w:r w:rsidRPr="00DF514C">
        <w:rPr>
          <w:b/>
          <w:i/>
        </w:rPr>
        <w:t>Weekly Product Pipeline Report</w:t>
      </w:r>
      <w:r w:rsidRPr="00C84725">
        <w:rPr>
          <w:b/>
        </w:rPr>
        <w:t>:</w:t>
      </w:r>
      <w:r w:rsidRPr="00C84725">
        <w:t xml:space="preserve"> The universe of possible reporting units on Form EIA-802 is provided by Form EIA-812.</w:t>
      </w:r>
    </w:p>
    <w:p w:rsidR="00D6151D" w:rsidRPr="00C84725" w14:paraId="65C0AAF2" w14:textId="22DCBADA">
      <w:pPr>
        <w:spacing w:before="120" w:after="0"/>
        <w:ind w:left="360"/>
      </w:pPr>
      <w:r w:rsidRPr="00C84725">
        <w:rPr>
          <w:b/>
        </w:rPr>
        <w:t xml:space="preserve">Form EIA-803 </w:t>
      </w:r>
      <w:r w:rsidRPr="00DF514C">
        <w:rPr>
          <w:b/>
          <w:i/>
        </w:rPr>
        <w:t>Weekly Crude Oil Report</w:t>
      </w:r>
      <w:r w:rsidRPr="00C84725">
        <w:rPr>
          <w:b/>
        </w:rPr>
        <w:t>:</w:t>
      </w:r>
      <w:r w:rsidRPr="00C84725">
        <w:t xml:space="preserve"> The universe of possible reporting units on Form EIA-803 is provided by Form EIA-813.</w:t>
      </w:r>
    </w:p>
    <w:p w:rsidR="00D6151D" w:rsidRPr="00C84725" w14:paraId="2B6AEBF8" w14:textId="556BB7A8">
      <w:pPr>
        <w:spacing w:before="120" w:after="0"/>
        <w:ind w:left="360"/>
      </w:pPr>
      <w:r w:rsidRPr="00C84725">
        <w:rPr>
          <w:b/>
        </w:rPr>
        <w:t xml:space="preserve">Form EIA-804 </w:t>
      </w:r>
      <w:r w:rsidRPr="00DF514C">
        <w:rPr>
          <w:b/>
          <w:i/>
        </w:rPr>
        <w:t>Weekly Imports Report</w:t>
      </w:r>
      <w:r w:rsidRPr="00C84725">
        <w:rPr>
          <w:b/>
        </w:rPr>
        <w:t>:</w:t>
      </w:r>
      <w:r w:rsidRPr="00C84725">
        <w:t xml:space="preserve"> The universe of possible reporting units on Form EIA-804 is provided by Form EIA-814.</w:t>
      </w:r>
    </w:p>
    <w:p w:rsidR="00A85C31" w14:paraId="5A8E973B" w14:textId="77777777">
      <w:pPr>
        <w:spacing w:before="120" w:after="0"/>
        <w:ind w:left="360"/>
      </w:pPr>
      <w:r w:rsidRPr="00C84725">
        <w:rPr>
          <w:b/>
        </w:rPr>
        <w:t xml:space="preserve">Form EIA-805 </w:t>
      </w:r>
      <w:r w:rsidRPr="00DF514C">
        <w:rPr>
          <w:b/>
          <w:i/>
        </w:rPr>
        <w:t>Weekly Bulk Terminal Report</w:t>
      </w:r>
      <w:r w:rsidRPr="00C84725">
        <w:rPr>
          <w:b/>
        </w:rPr>
        <w:t>:</w:t>
      </w:r>
      <w:r w:rsidRPr="00C84725">
        <w:t xml:space="preserve"> The universe of possible reporting units on Form EIA-805 is provided by Form EIA-815.</w:t>
      </w:r>
    </w:p>
    <w:p w:rsidR="00D6151D" w:rsidRPr="00C84725" w14:paraId="3FEB4BB5" w14:textId="4B166E56">
      <w:pPr>
        <w:spacing w:before="120" w:after="0"/>
        <w:ind w:left="360"/>
      </w:pPr>
      <w:r>
        <w:t xml:space="preserve"> </w:t>
      </w:r>
      <w:r w:rsidRPr="00C84725" w:rsidR="00A85C31">
        <w:rPr>
          <w:b/>
        </w:rPr>
        <w:t>Form EIA-80</w:t>
      </w:r>
      <w:r w:rsidR="00A85C31">
        <w:rPr>
          <w:b/>
        </w:rPr>
        <w:t>6</w:t>
      </w:r>
      <w:r w:rsidRPr="00C84725" w:rsidR="00A85C31">
        <w:rPr>
          <w:b/>
        </w:rPr>
        <w:t xml:space="preserve"> </w:t>
      </w:r>
      <w:r w:rsidRPr="00DF514C" w:rsidR="00A85C31">
        <w:rPr>
          <w:b/>
          <w:i/>
        </w:rPr>
        <w:t xml:space="preserve">Weekly </w:t>
      </w:r>
      <w:r w:rsidR="00A85C31">
        <w:rPr>
          <w:b/>
          <w:i/>
        </w:rPr>
        <w:t>Natural Gas Liquids</w:t>
      </w:r>
      <w:r w:rsidRPr="00DF514C" w:rsidR="00A85C31">
        <w:rPr>
          <w:b/>
          <w:i/>
        </w:rPr>
        <w:t xml:space="preserve"> Report</w:t>
      </w:r>
      <w:r w:rsidRPr="00C84725" w:rsidR="00A85C31">
        <w:rPr>
          <w:b/>
        </w:rPr>
        <w:t>:</w:t>
      </w:r>
      <w:r w:rsidRPr="00C84725" w:rsidR="00A85C31">
        <w:t xml:space="preserve"> The universe of possible reporting units on Form EIA-80</w:t>
      </w:r>
      <w:r w:rsidR="00A85C31">
        <w:t>6</w:t>
      </w:r>
      <w:r w:rsidRPr="00C84725" w:rsidR="00A85C31">
        <w:t xml:space="preserve"> is provided by Form EIA-81</w:t>
      </w:r>
      <w:r w:rsidR="00A85C31">
        <w:t>6</w:t>
      </w:r>
      <w:r w:rsidRPr="00C84725" w:rsidR="00A85C31">
        <w:t>.</w:t>
      </w:r>
    </w:p>
    <w:p w:rsidR="00836036" w:rsidP="00DF514C" w14:paraId="060F229A" w14:textId="55A6C550">
      <w:pPr>
        <w:spacing w:before="120" w:after="0"/>
        <w:ind w:left="360"/>
      </w:pPr>
      <w:r w:rsidRPr="00C84725">
        <w:rPr>
          <w:b/>
        </w:rPr>
        <w:t xml:space="preserve">Form EIA-809 </w:t>
      </w:r>
      <w:r w:rsidRPr="00DF514C">
        <w:rPr>
          <w:b/>
          <w:i/>
        </w:rPr>
        <w:t>Weekly Oxygenate Report</w:t>
      </w:r>
      <w:r w:rsidRPr="00C84725">
        <w:rPr>
          <w:b/>
        </w:rPr>
        <w:t>:</w:t>
      </w:r>
      <w:r w:rsidRPr="00C84725">
        <w:t xml:space="preserve"> The universe of possible reporting units on Form EIA-809 is provided by Form EIA-819.</w:t>
      </w:r>
    </w:p>
    <w:p w:rsidR="007E53C4" w14:paraId="36090C9B" w14:textId="34479871">
      <w:pPr>
        <w:pStyle w:val="Heading2"/>
      </w:pPr>
      <w:r>
        <w:t>B.</w:t>
      </w:r>
      <w:r w:rsidRPr="00A41763" w:rsidR="00A41763">
        <w:t xml:space="preserve">2. </w:t>
      </w:r>
      <w:r>
        <w:t>Statistical Methods</w:t>
      </w:r>
      <w:bookmarkEnd w:id="2"/>
    </w:p>
    <w:p w:rsidR="009A0420" w14:paraId="7C072974" w14:textId="38BFAD13">
      <w:pPr>
        <w:spacing w:before="240" w:after="0"/>
        <w:rPr>
          <w:b/>
          <w:color w:val="00B0F0"/>
        </w:rPr>
      </w:pPr>
      <w:r>
        <w:rPr>
          <w:b/>
          <w:color w:val="00B0F0"/>
        </w:rPr>
        <w:t xml:space="preserve">B.2.1 </w:t>
      </w:r>
      <w:r w:rsidRPr="00D9668E">
        <w:rPr>
          <w:b/>
          <w:color w:val="00B0F0"/>
        </w:rPr>
        <w:t xml:space="preserve">Monthly and Annual </w:t>
      </w:r>
      <w:r>
        <w:rPr>
          <w:b/>
          <w:color w:val="00B0F0"/>
        </w:rPr>
        <w:t>Statistical Methods</w:t>
      </w:r>
    </w:p>
    <w:p w:rsidR="00F26F5A" w:rsidP="00DF514C" w14:paraId="3F706D87" w14:textId="36D85AE4">
      <w:pPr>
        <w:pStyle w:val="NoSpacing"/>
        <w:jc w:val="left"/>
        <w:rPr>
          <w:color w:val="000000"/>
        </w:rPr>
      </w:pPr>
      <w:r>
        <w:t xml:space="preserve">The </w:t>
      </w:r>
      <w:r w:rsidR="00246BC7">
        <w:t xml:space="preserve">eight </w:t>
      </w:r>
      <w:r>
        <w:t>monthly supply surveys and one annual survey</w:t>
      </w:r>
      <w:r>
        <w:t>, Forms EIA-810 through EIA-820, are census surveys.</w:t>
      </w:r>
      <w:r w:rsidR="00255082">
        <w:t xml:space="preserve"> </w:t>
      </w:r>
      <w:r>
        <w:t xml:space="preserve">As such, the estimates </w:t>
      </w:r>
      <w:r w:rsidR="008C58D8">
        <w:t xml:space="preserve">generated from </w:t>
      </w:r>
      <w:r>
        <w:t xml:space="preserve">these data are the sum of the </w:t>
      </w:r>
      <w:r w:rsidR="008C58D8">
        <w:t xml:space="preserve">reported and </w:t>
      </w:r>
      <w:r>
        <w:t>edited data.</w:t>
      </w:r>
      <w:r w:rsidR="00255082">
        <w:t xml:space="preserve"> </w:t>
      </w:r>
      <w:r>
        <w:t>Imputation is performed for companies that fail to file.</w:t>
      </w:r>
      <w:r w:rsidR="00255082">
        <w:t xml:space="preserve"> </w:t>
      </w:r>
      <w:r w:rsidRPr="00C84725">
        <w:rPr>
          <w:color w:val="000000"/>
        </w:rPr>
        <w:t>Response rates for Forms EIA-810</w:t>
      </w:r>
      <w:r w:rsidR="00246BC7">
        <w:rPr>
          <w:color w:val="000000"/>
        </w:rPr>
        <w:t>, 812, 813, 815</w:t>
      </w:r>
      <w:r w:rsidR="00246BC7">
        <w:rPr>
          <w:color w:val="000000"/>
        </w:rPr>
        <w:t xml:space="preserve">, </w:t>
      </w:r>
      <w:r w:rsidRPr="00C84725">
        <w:rPr>
          <w:color w:val="000000"/>
        </w:rPr>
        <w:t xml:space="preserve"> 816</w:t>
      </w:r>
      <w:r w:rsidRPr="00C84725">
        <w:rPr>
          <w:color w:val="000000"/>
        </w:rPr>
        <w:t>, and 819 are generally 9</w:t>
      </w:r>
      <w:r w:rsidR="00246BC7">
        <w:rPr>
          <w:color w:val="000000"/>
        </w:rPr>
        <w:t>9</w:t>
      </w:r>
      <w:r w:rsidRPr="00C84725">
        <w:rPr>
          <w:color w:val="000000"/>
        </w:rPr>
        <w:t xml:space="preserve"> to 100 percent, necessitating less frequent data imputation.</w:t>
      </w:r>
      <w:r w:rsidR="00255082">
        <w:rPr>
          <w:color w:val="000000"/>
        </w:rPr>
        <w:t xml:space="preserve"> </w:t>
      </w:r>
      <w:r w:rsidRPr="00C84725">
        <w:rPr>
          <w:color w:val="000000"/>
        </w:rPr>
        <w:t>For these data collections, the data reported in the previous month can be used as imputed values for missing data, unless there is reason to believe that another value would provide a more reasonable estimate (e.g. based on weekly reporting or other information about a facility that would be likely to influence the data, such as down time at a refinery).</w:t>
      </w:r>
      <w:r w:rsidR="00255082">
        <w:rPr>
          <w:color w:val="000000"/>
        </w:rPr>
        <w:t xml:space="preserve"> </w:t>
      </w:r>
      <w:r w:rsidRPr="00C84725">
        <w:rPr>
          <w:color w:val="000000"/>
        </w:rPr>
        <w:t xml:space="preserve">Data are rarely </w:t>
      </w:r>
      <w:r>
        <w:rPr>
          <w:color w:val="000000"/>
        </w:rPr>
        <w:t xml:space="preserve">imputed for </w:t>
      </w:r>
      <w:r w:rsidRPr="00C84725">
        <w:rPr>
          <w:color w:val="000000"/>
        </w:rPr>
        <w:t>Form</w:t>
      </w:r>
      <w:r>
        <w:rPr>
          <w:color w:val="000000"/>
        </w:rPr>
        <w:t>s EIA-814 and</w:t>
      </w:r>
      <w:r w:rsidRPr="00C84725">
        <w:rPr>
          <w:color w:val="000000"/>
        </w:rPr>
        <w:t xml:space="preserve"> </w:t>
      </w:r>
      <w:r>
        <w:rPr>
          <w:color w:val="000000"/>
        </w:rPr>
        <w:t>EIA-817 because</w:t>
      </w:r>
      <w:r w:rsidRPr="00C84725">
        <w:rPr>
          <w:color w:val="000000"/>
        </w:rPr>
        <w:t xml:space="preserve"> </w:t>
      </w:r>
      <w:r w:rsidR="00246BC7">
        <w:rPr>
          <w:color w:val="000000"/>
        </w:rPr>
        <w:t xml:space="preserve">response rates normally range from 99 to 100%.   In cases of nonresponse, EIA usually does not impute because </w:t>
      </w:r>
      <w:r w:rsidRPr="00C84725">
        <w:rPr>
          <w:color w:val="000000"/>
        </w:rPr>
        <w:t xml:space="preserve">the data at the respondent level are highly variable across </w:t>
      </w:r>
      <w:r w:rsidR="00246BC7">
        <w:rPr>
          <w:color w:val="000000"/>
        </w:rPr>
        <w:t>months</w:t>
      </w:r>
      <w:r w:rsidRPr="00C84725">
        <w:rPr>
          <w:color w:val="000000"/>
        </w:rPr>
        <w:t>.</w:t>
      </w:r>
      <w:r w:rsidR="00255082">
        <w:rPr>
          <w:color w:val="000000"/>
        </w:rPr>
        <w:t xml:space="preserve"> </w:t>
      </w:r>
      <w:r w:rsidRPr="00C84725">
        <w:rPr>
          <w:color w:val="000000"/>
        </w:rPr>
        <w:t xml:space="preserve">The reason for this high variability is that </w:t>
      </w:r>
      <w:r>
        <w:rPr>
          <w:color w:val="000000"/>
        </w:rPr>
        <w:t>import activity and tanker/</w:t>
      </w:r>
      <w:r w:rsidRPr="00C84725">
        <w:rPr>
          <w:color w:val="000000"/>
        </w:rPr>
        <w:t xml:space="preserve">barge movements tend to be somewhat opportunistic and highly dependent on market conditions. </w:t>
      </w:r>
      <w:r w:rsidR="00781C26">
        <w:rPr>
          <w:color w:val="000000"/>
        </w:rPr>
        <w:t>As a result</w:t>
      </w:r>
      <w:r w:rsidRPr="00C84725">
        <w:rPr>
          <w:color w:val="000000"/>
        </w:rPr>
        <w:t xml:space="preserve">, there is a relatively high incidence of </w:t>
      </w:r>
      <w:r w:rsidR="00781C26">
        <w:rPr>
          <w:color w:val="000000"/>
        </w:rPr>
        <w:t xml:space="preserve">respondents legitimately </w:t>
      </w:r>
      <w:r w:rsidRPr="00C84725">
        <w:rPr>
          <w:color w:val="000000"/>
        </w:rPr>
        <w:t xml:space="preserve">reporting </w:t>
      </w:r>
      <w:r w:rsidR="00781C26">
        <w:rPr>
          <w:color w:val="000000"/>
        </w:rPr>
        <w:t xml:space="preserve">values as </w:t>
      </w:r>
      <w:r w:rsidRPr="00C84725">
        <w:rPr>
          <w:color w:val="000000"/>
        </w:rPr>
        <w:t>zero</w:t>
      </w:r>
      <w:r w:rsidR="00781C26">
        <w:rPr>
          <w:color w:val="000000"/>
        </w:rPr>
        <w:t>s</w:t>
      </w:r>
      <w:r w:rsidRPr="00C84725">
        <w:rPr>
          <w:color w:val="000000"/>
        </w:rPr>
        <w:t xml:space="preserve"> or </w:t>
      </w:r>
      <w:r w:rsidR="00781C26">
        <w:rPr>
          <w:color w:val="000000"/>
        </w:rPr>
        <w:t xml:space="preserve">questions left </w:t>
      </w:r>
      <w:r w:rsidRPr="00C84725">
        <w:rPr>
          <w:color w:val="000000"/>
        </w:rPr>
        <w:t>blank.</w:t>
      </w:r>
      <w:r w:rsidR="00255082">
        <w:rPr>
          <w:color w:val="000000"/>
        </w:rPr>
        <w:t xml:space="preserve"> </w:t>
      </w:r>
      <w:r w:rsidR="00345B7E">
        <w:rPr>
          <w:color w:val="000000"/>
        </w:rPr>
        <w:t>Avoiding imputation of values</w:t>
      </w:r>
      <w:r w:rsidRPr="00C84725">
        <w:rPr>
          <w:color w:val="000000"/>
        </w:rPr>
        <w:t xml:space="preserve"> (i.e. leaving </w:t>
      </w:r>
      <w:r w:rsidRPr="00C84725">
        <w:rPr>
          <w:color w:val="000000"/>
        </w:rPr>
        <w:t xml:space="preserve">data cells empty for non-responses) is the best </w:t>
      </w:r>
      <w:r w:rsidR="008C58D8">
        <w:rPr>
          <w:color w:val="000000"/>
        </w:rPr>
        <w:t xml:space="preserve">approach to </w:t>
      </w:r>
      <w:r w:rsidRPr="00C84725">
        <w:rPr>
          <w:color w:val="000000"/>
        </w:rPr>
        <w:t>address non-response on Form</w:t>
      </w:r>
      <w:r>
        <w:rPr>
          <w:color w:val="000000"/>
        </w:rPr>
        <w:t>s EIA-814 and</w:t>
      </w:r>
      <w:r w:rsidRPr="00C84725">
        <w:rPr>
          <w:color w:val="000000"/>
        </w:rPr>
        <w:t xml:space="preserve"> EIA-817.</w:t>
      </w:r>
    </w:p>
    <w:p w:rsidR="00F26F5A" w:rsidRPr="00C84725" w:rsidP="00DF514C" w14:paraId="08D4D68F" w14:textId="77777777">
      <w:pPr>
        <w:pStyle w:val="NoSpacing"/>
        <w:jc w:val="left"/>
        <w:rPr>
          <w:color w:val="000000"/>
        </w:rPr>
      </w:pPr>
    </w:p>
    <w:p w:rsidR="00F26F5A" w:rsidP="00DF514C" w14:paraId="0AE68DC7" w14:textId="77777777">
      <w:pPr>
        <w:pStyle w:val="NoSpacing"/>
        <w:jc w:val="left"/>
        <w:rPr>
          <w:color w:val="000000"/>
        </w:rPr>
      </w:pPr>
    </w:p>
    <w:p w:rsidR="00F26F5A" w:rsidP="00DF514C" w14:paraId="6C334E60" w14:textId="2523A13D">
      <w:pPr>
        <w:pStyle w:val="NoSpacing"/>
        <w:jc w:val="left"/>
      </w:pPr>
      <w:r>
        <w:t xml:space="preserve">EIA uses automated edits to “flag” possible cases of misreporting.  </w:t>
      </w:r>
      <w:r w:rsidRPr="00C84725">
        <w:t>After the flagged respondent data have been resolved, preliminary tables of aggregated response data are produced and used to identify anomalies.</w:t>
      </w:r>
      <w:r w:rsidR="00255082">
        <w:t xml:space="preserve"> </w:t>
      </w:r>
      <w:r w:rsidRPr="00C84725">
        <w:t xml:space="preserve">These tables are created as pivot tables in Excel and allow EIA analysts to develop various views of the data in the context of other data (e.g. examining stock changes and imports) as well as historical estimates for the U.S. and by </w:t>
      </w:r>
      <w:r w:rsidRPr="00C84725">
        <w:t>PADD</w:t>
      </w:r>
      <w:r w:rsidRPr="00C84725">
        <w:t>.</w:t>
      </w:r>
      <w:r w:rsidR="00255082">
        <w:t xml:space="preserve"> </w:t>
      </w:r>
      <w:r w:rsidRPr="00C84725">
        <w:t>Anomalies identified through this process result in further review of respondent item level data which, in turn, may result in identification of additional data for review</w:t>
      </w:r>
      <w:r>
        <w:t xml:space="preserve">, follow-up with respondents, </w:t>
      </w:r>
      <w:r w:rsidRPr="00C84725">
        <w:t>and possible imputation.</w:t>
      </w:r>
    </w:p>
    <w:p w:rsidR="00F26F5A" w:rsidRPr="00887E62" w:rsidP="00DF514C" w14:paraId="49D9B002" w14:textId="77777777">
      <w:pPr>
        <w:pStyle w:val="NoSpacing"/>
        <w:jc w:val="left"/>
        <w:rPr>
          <w:u w:val="single"/>
        </w:rPr>
      </w:pPr>
    </w:p>
    <w:p w:rsidR="00F26F5A" w:rsidRPr="00C84725" w:rsidP="00DF514C" w14:paraId="0752B496" w14:textId="660C8964">
      <w:pPr>
        <w:pStyle w:val="NoSpacing"/>
        <w:jc w:val="left"/>
        <w:rPr>
          <w:szCs w:val="24"/>
        </w:rPr>
      </w:pPr>
      <w:r w:rsidRPr="00C84725">
        <w:t xml:space="preserve">In addition to the above procedure, other </w:t>
      </w:r>
      <w:r w:rsidRPr="00C84725">
        <w:rPr>
          <w:szCs w:val="24"/>
        </w:rPr>
        <w:t>adjustments</w:t>
      </w:r>
      <w:r w:rsidR="00C11DE6">
        <w:rPr>
          <w:szCs w:val="24"/>
        </w:rPr>
        <w:t xml:space="preserve"> </w:t>
      </w:r>
      <w:r w:rsidRPr="00C84725">
        <w:rPr>
          <w:szCs w:val="24"/>
        </w:rPr>
        <w:t>may be made to</w:t>
      </w:r>
      <w:r w:rsidR="00C11DE6">
        <w:rPr>
          <w:szCs w:val="24"/>
        </w:rPr>
        <w:t xml:space="preserve"> the</w:t>
      </w:r>
      <w:r w:rsidRPr="00C84725">
        <w:rPr>
          <w:szCs w:val="24"/>
        </w:rPr>
        <w:t xml:space="preserve"> aggregated data.</w:t>
      </w:r>
      <w:r w:rsidR="00255082">
        <w:rPr>
          <w:szCs w:val="24"/>
        </w:rPr>
        <w:t xml:space="preserve"> </w:t>
      </w:r>
      <w:r w:rsidRPr="00C84725">
        <w:rPr>
          <w:szCs w:val="24"/>
        </w:rPr>
        <w:t>For example, unusual industry conditions, including seasonal fuel transitions, business practice shifts, or hurricane dislocations may generate reporting anomalies and require manual adjustments.</w:t>
      </w:r>
      <w:r w:rsidR="00255082">
        <w:rPr>
          <w:szCs w:val="24"/>
        </w:rPr>
        <w:t xml:space="preserve"> </w:t>
      </w:r>
      <w:r w:rsidRPr="00C84725">
        <w:rPr>
          <w:szCs w:val="24"/>
        </w:rPr>
        <w:t>Measurement error and frame deficiencies may occasionally result in inconsistencies that require adjustment when individual respondent data are aggregated to publication levels.</w:t>
      </w:r>
      <w:r w:rsidR="00255082">
        <w:rPr>
          <w:szCs w:val="24"/>
        </w:rPr>
        <w:t xml:space="preserve"> </w:t>
      </w:r>
      <w:r w:rsidRPr="00C84725">
        <w:rPr>
          <w:szCs w:val="24"/>
        </w:rPr>
        <w:t>Monthly supply data are reviewed throughout the year and certain estimates may be replaced with newly available or resubmitted respondent data when the Petroleum Supply Annual (PSA) is published.</w:t>
      </w:r>
    </w:p>
    <w:p w:rsidR="00F26F5A" w:rsidP="00DF514C" w14:paraId="42B9C7D0" w14:textId="77777777">
      <w:pPr>
        <w:pStyle w:val="NoSpacing"/>
        <w:jc w:val="left"/>
        <w:rPr>
          <w:color w:val="000000"/>
        </w:rPr>
      </w:pPr>
    </w:p>
    <w:p w:rsidR="009A0420" w:rsidP="00DF514C" w14:paraId="68080F20" w14:textId="6B0B8704">
      <w:pPr>
        <w:pStyle w:val="NoSpacing"/>
        <w:jc w:val="left"/>
        <w:rPr>
          <w:b/>
          <w:color w:val="00B0F0"/>
        </w:rPr>
      </w:pPr>
      <w:r>
        <w:t xml:space="preserve"> </w:t>
      </w:r>
      <w:r>
        <w:rPr>
          <w:b/>
          <w:color w:val="00B0F0"/>
        </w:rPr>
        <w:t xml:space="preserve">B.2.2 </w:t>
      </w:r>
      <w:r w:rsidRPr="00D6151D">
        <w:rPr>
          <w:b/>
          <w:color w:val="00B0F0"/>
        </w:rPr>
        <w:t xml:space="preserve">Weekly </w:t>
      </w:r>
      <w:r w:rsidRPr="00D6151D">
        <w:rPr>
          <w:b/>
          <w:color w:val="00B0F0"/>
        </w:rPr>
        <w:t>PSRS</w:t>
      </w:r>
      <w:r w:rsidRPr="00D6151D">
        <w:rPr>
          <w:b/>
          <w:color w:val="00B0F0"/>
        </w:rPr>
        <w:t xml:space="preserve"> Survey</w:t>
      </w:r>
      <w:r>
        <w:rPr>
          <w:b/>
          <w:color w:val="00B0F0"/>
        </w:rPr>
        <w:t>s</w:t>
      </w:r>
      <w:r w:rsidRPr="00D6151D">
        <w:rPr>
          <w:b/>
          <w:color w:val="00B0F0"/>
        </w:rPr>
        <w:t xml:space="preserve"> </w:t>
      </w:r>
      <w:r>
        <w:rPr>
          <w:b/>
          <w:color w:val="00B0F0"/>
        </w:rPr>
        <w:t>Statistical Methods</w:t>
      </w:r>
    </w:p>
    <w:p w:rsidR="00D6151D" w14:paraId="327813E5" w14:textId="750C667D">
      <w:pPr>
        <w:rPr>
          <w:lang w:bidi="en-US"/>
        </w:rPr>
      </w:pPr>
      <w:r>
        <w:rPr>
          <w:lang w:bidi="en-US"/>
        </w:rPr>
        <w:t xml:space="preserve">All of the weekly </w:t>
      </w:r>
      <w:r>
        <w:rPr>
          <w:lang w:bidi="en-US"/>
        </w:rPr>
        <w:t>PSRS</w:t>
      </w:r>
      <w:r>
        <w:rPr>
          <w:lang w:bidi="en-US"/>
        </w:rPr>
        <w:t xml:space="preserve"> surveys, </w:t>
      </w:r>
      <w:r w:rsidR="00F26F5A">
        <w:rPr>
          <w:lang w:bidi="en-US"/>
        </w:rPr>
        <w:t xml:space="preserve">Forms </w:t>
      </w:r>
      <w:r>
        <w:rPr>
          <w:lang w:bidi="en-US"/>
        </w:rPr>
        <w:t>EIA-800 through EIA-809, are sample surveys based on the monthly census surveys.</w:t>
      </w:r>
    </w:p>
    <w:p w:rsidR="009A0420" w:rsidRPr="002F23E9" w14:paraId="73CF35D5" w14:textId="693FAA51">
      <w:pPr>
        <w:rPr>
          <w:b/>
          <w:color w:val="00B0F0"/>
          <w:lang w:bidi="en-US"/>
        </w:rPr>
      </w:pPr>
      <w:r w:rsidRPr="002F23E9">
        <w:rPr>
          <w:b/>
          <w:color w:val="00B0F0"/>
          <w:lang w:bidi="en-US"/>
        </w:rPr>
        <w:t>Sample Design</w:t>
      </w:r>
    </w:p>
    <w:p w:rsidR="002F23E9" w14:paraId="5C859DA0" w14:textId="1C2AA1C6">
      <w:r>
        <w:t>The sampling procedure used for the weekly surveys is the cut- off method. In the cut-off method, companies are ranked from largest to smallest on the basis of quantities reported during some previous period. Companies are chosen for the sample beginning with the largest and adding companies until the total sample covers approximately 90 percent of the total volumes for each item</w:t>
      </w:r>
      <w:r w:rsidR="00A343F1">
        <w:t>, survey,</w:t>
      </w:r>
      <w:r>
        <w:t xml:space="preserve"> and </w:t>
      </w:r>
      <w:r w:rsidR="00A343F1">
        <w:t>g</w:t>
      </w:r>
      <w:r>
        <w:t>eographic region. For example, for distillate fuel oil stocks, the weekly sample includes those respondents whose combined volumes of stocks for distillate fuel oil from refineries, bulk terminals, and pipelines constitute at least 90 percent of the total volume of distillate fuel oil stocks as reported in the corresponding monthly surveys.</w:t>
      </w:r>
    </w:p>
    <w:p w:rsidR="007F190E" w:rsidRPr="00CD76FB" w:rsidP="007F190E" w14:paraId="1563B5DC" w14:textId="7A6322C4">
      <w:r w:rsidRPr="00CD76FB">
        <w:t>The 90% cutoff threshold was established in April 1982. The cutoff sampling method is appropriate when the frequency distribution of the item measured by the survey is highly skewed.   This situation occurs in the petroleum industry in which a relatively small number of companies contribute a large share to the total volume being estimated.  A cutoff sample is drawn by ranking the potential respondents (using values from the monthly frame file) from largest to smallest by the volume of the item of interest, cumulating down the list, and stopping when the pre-specified 90% coverage has been achieved.  Estimates of weekly totals are obtained by multiplying the historical monthly total (available with a two-month lag) by the ratio of the weekly volume to the monthly volume for units in the cutoff sample. This type of sampling and estimation yields acceptable results as long as the relative contribution to the total for the small and large units remain relatively constant, and the sample coverage remains over 90 percent of the aggregate being estimated.</w:t>
      </w:r>
    </w:p>
    <w:p w:rsidR="00230C83" w:rsidRPr="00CD76FB" w:rsidP="007F190E" w14:paraId="3C67B9CA" w14:textId="2D44801B">
      <w:r w:rsidRPr="00CD76FB">
        <w:t>Sample control procedures were developed in April 1982 for two reasons: 1) to maintain comparability of weekly and monthly data systems and 2) to ensure that the 90 percent coverage requirement is met.  The comparability goal requires that changes in the monthly frame (births, deaths, mergers, splits, and changes of ownership) be reflected in the corresponding weekly sample.  Comparability is required both for estimation and quality control</w:t>
      </w:r>
      <w:r w:rsidRPr="00CD76FB">
        <w:t xml:space="preserve">. </w:t>
      </w:r>
    </w:p>
    <w:p w:rsidR="003710CE" w14:paraId="69DB97A1" w14:textId="5D0E407E">
      <w:r>
        <w:t xml:space="preserve">To assure 90-percent coverage of the </w:t>
      </w:r>
      <w:r w:rsidR="008C58D8">
        <w:t xml:space="preserve">national and </w:t>
      </w:r>
      <w:r w:rsidR="008C58D8">
        <w:t>PADD</w:t>
      </w:r>
      <w:r w:rsidR="008C58D8">
        <w:t xml:space="preserve"> </w:t>
      </w:r>
      <w:r>
        <w:t>total</w:t>
      </w:r>
      <w:r w:rsidR="008C58D8">
        <w:t>s</w:t>
      </w:r>
      <w:r>
        <w:t xml:space="preserve"> for each </w:t>
      </w:r>
      <w:r w:rsidR="008C58D8">
        <w:t xml:space="preserve">product </w:t>
      </w:r>
      <w:r>
        <w:t xml:space="preserve">item collected </w:t>
      </w:r>
      <w:r w:rsidR="008C58D8">
        <w:t>in</w:t>
      </w:r>
      <w:r>
        <w:t xml:space="preserve"> each geographic region for each weekly survey, </w:t>
      </w:r>
      <w:r w:rsidR="008C58D8">
        <w:t>each weekly survey</w:t>
      </w:r>
      <w:r>
        <w:t xml:space="preserve"> sample is reviewed each month. This review focuses on changes in the current monthly data as it relates to the weekly surveys, changes in the weekly surveys that impact the monthly surveys, and changes in respondent reporting patterns. Companies are added or removed from the surveys based on the changes.</w:t>
      </w:r>
      <w:r w:rsidR="00255082">
        <w:t xml:space="preserve"> </w:t>
      </w:r>
      <w:r w:rsidR="00DE59B7">
        <w:t xml:space="preserve">See </w:t>
      </w:r>
      <w:r w:rsidR="00860534">
        <w:t>Supporting</w:t>
      </w:r>
      <w:r w:rsidR="00DE59B7">
        <w:t xml:space="preserve"> Statement A.12 for the estimated number of companies selected for the weekly survey sample. </w:t>
      </w:r>
    </w:p>
    <w:p w:rsidR="003710CE" w14:paraId="1BE57E4E" w14:textId="06CD1611">
      <w:pPr>
        <w:rPr>
          <w:b/>
          <w:color w:val="00B0F0"/>
          <w:lang w:bidi="en-US"/>
        </w:rPr>
      </w:pPr>
      <w:r>
        <w:t xml:space="preserve"> </w:t>
      </w:r>
      <w:r w:rsidRPr="009A0420" w:rsidR="009A0420">
        <w:rPr>
          <w:b/>
          <w:color w:val="00B0F0"/>
          <w:lang w:bidi="en-US"/>
        </w:rPr>
        <w:t>Imputation and Estimation Procedures</w:t>
      </w:r>
    </w:p>
    <w:p w:rsidR="009A0420" w:rsidRPr="003710CE" w14:paraId="71FCCC61" w14:textId="3820D2E4">
      <w:pPr>
        <w:rPr>
          <w:b/>
          <w:color w:val="00B0F0"/>
          <w:lang w:bidi="en-US"/>
        </w:rPr>
      </w:pPr>
      <w:r w:rsidRPr="00C84725">
        <w:rPr>
          <w:color w:val="000000"/>
        </w:rPr>
        <w:t>In any survey, non-response can be a major concern because the effects can cause serious bias in survey results.</w:t>
      </w:r>
      <w:r w:rsidR="00255082">
        <w:rPr>
          <w:color w:val="000000"/>
        </w:rPr>
        <w:t xml:space="preserve"> </w:t>
      </w:r>
      <w:r w:rsidRPr="00C84725">
        <w:rPr>
          <w:color w:val="000000"/>
        </w:rPr>
        <w:t xml:space="preserve">Non-response occurs whenever requested information is not obtained from all </w:t>
      </w:r>
      <w:r w:rsidR="008C58D8">
        <w:rPr>
          <w:color w:val="000000"/>
        </w:rPr>
        <w:t xml:space="preserve">active reporting </w:t>
      </w:r>
      <w:r w:rsidRPr="00C84725">
        <w:rPr>
          <w:color w:val="000000"/>
        </w:rPr>
        <w:t>units in a survey frame.</w:t>
      </w:r>
      <w:r w:rsidR="00255082">
        <w:rPr>
          <w:color w:val="000000"/>
        </w:rPr>
        <w:t xml:space="preserve"> </w:t>
      </w:r>
      <w:r w:rsidRPr="00C84725">
        <w:rPr>
          <w:color w:val="000000"/>
        </w:rPr>
        <w:t xml:space="preserve">Whenever </w:t>
      </w:r>
      <w:r w:rsidRPr="00C84725">
        <w:rPr>
          <w:color w:val="000000"/>
        </w:rPr>
        <w:t>PSRS</w:t>
      </w:r>
      <w:r w:rsidRPr="00C84725">
        <w:rPr>
          <w:color w:val="000000"/>
        </w:rPr>
        <w:t xml:space="preserve"> survey responses are not received in time to be included in published statistics, the data are imputed.</w:t>
      </w:r>
      <w:r w:rsidR="00255082">
        <w:rPr>
          <w:color w:val="000000"/>
        </w:rPr>
        <w:t xml:space="preserve"> </w:t>
      </w:r>
      <w:r w:rsidRPr="00C84725">
        <w:rPr>
          <w:color w:val="000000"/>
        </w:rPr>
        <w:t xml:space="preserve">Although imputing for missing data may not eliminate the error associated with non-response, it </w:t>
      </w:r>
      <w:r w:rsidR="001459AA">
        <w:rPr>
          <w:color w:val="000000"/>
        </w:rPr>
        <w:t xml:space="preserve">usually </w:t>
      </w:r>
      <w:r w:rsidR="009D3BDF">
        <w:rPr>
          <w:color w:val="000000"/>
        </w:rPr>
        <w:t xml:space="preserve">reduces </w:t>
      </w:r>
      <w:r w:rsidR="00046865">
        <w:rPr>
          <w:color w:val="000000"/>
        </w:rPr>
        <w:t xml:space="preserve">bias and </w:t>
      </w:r>
      <w:r w:rsidR="009D3BDF">
        <w:rPr>
          <w:color w:val="000000"/>
        </w:rPr>
        <w:t>variance and may</w:t>
      </w:r>
      <w:r w:rsidRPr="00C84725">
        <w:rPr>
          <w:color w:val="000000"/>
        </w:rPr>
        <w:t xml:space="preserve"> </w:t>
      </w:r>
      <w:r w:rsidR="00046865">
        <w:rPr>
          <w:color w:val="000000"/>
        </w:rPr>
        <w:t>also</w:t>
      </w:r>
      <w:r w:rsidRPr="00C84725">
        <w:rPr>
          <w:color w:val="000000"/>
        </w:rPr>
        <w:t xml:space="preserve"> </w:t>
      </w:r>
      <w:r w:rsidR="008C58D8">
        <w:rPr>
          <w:color w:val="000000"/>
        </w:rPr>
        <w:t>improve the accuracy of the estimates</w:t>
      </w:r>
      <w:r w:rsidRPr="00C84725">
        <w:rPr>
          <w:color w:val="000000"/>
        </w:rPr>
        <w:t>.</w:t>
      </w:r>
    </w:p>
    <w:p w:rsidR="009A0420" w:rsidRPr="00C84725" w14:paraId="0A3997F5" w14:textId="7DB741B9">
      <w:pPr>
        <w:rPr>
          <w:color w:val="000000"/>
        </w:rPr>
      </w:pPr>
      <w:r w:rsidRPr="00C84725">
        <w:rPr>
          <w:color w:val="000000"/>
        </w:rPr>
        <w:t xml:space="preserve">After responding entities’ survey responses have been validated and entered into the weekly database for Forms EIA-800 through EIA-809, </w:t>
      </w:r>
      <w:r w:rsidR="007C3C67">
        <w:rPr>
          <w:color w:val="000000"/>
        </w:rPr>
        <w:t>item non-</w:t>
      </w:r>
      <w:r w:rsidRPr="00C84725">
        <w:rPr>
          <w:color w:val="000000"/>
        </w:rPr>
        <w:t xml:space="preserve">response </w:t>
      </w:r>
      <w:r w:rsidR="007C3C67">
        <w:rPr>
          <w:color w:val="000000"/>
        </w:rPr>
        <w:t>v</w:t>
      </w:r>
      <w:r w:rsidRPr="00C84725">
        <w:rPr>
          <w:color w:val="000000"/>
        </w:rPr>
        <w:t>alues are imputed for companies that</w:t>
      </w:r>
      <w:r w:rsidR="007C3C67">
        <w:rPr>
          <w:color w:val="000000"/>
        </w:rPr>
        <w:t xml:space="preserve"> either</w:t>
      </w:r>
      <w:r w:rsidRPr="00C84725">
        <w:rPr>
          <w:color w:val="000000"/>
        </w:rPr>
        <w:t xml:space="preserve"> have not responded, reported incomplete data, or reported data that failed editing and could not be confirmed.</w:t>
      </w:r>
      <w:r w:rsidR="00255082">
        <w:rPr>
          <w:color w:val="000000"/>
        </w:rPr>
        <w:t xml:space="preserve"> </w:t>
      </w:r>
      <w:r w:rsidRPr="00C84725">
        <w:rPr>
          <w:color w:val="000000"/>
        </w:rPr>
        <w:t>The imputed values are calculated using the exponentially smoothed mean values of recent weekly reported values for a specific responding entity.</w:t>
      </w:r>
    </w:p>
    <w:p w:rsidR="009A0420" w:rsidRPr="00C84725" w14:paraId="5E874913" w14:textId="77777777">
      <w:pPr>
        <w:spacing w:line="240" w:lineRule="exact"/>
      </w:pPr>
      <w:r w:rsidRPr="00C84725">
        <w:t>The equation for the exponential smoothing is:</w:t>
      </w:r>
    </w:p>
    <w:p w:rsidR="002263DC" w:rsidP="002263DC" w14:paraId="5E4756E8" w14:textId="77777777">
      <m:oMathPara>
        <m:oMath>
          <m:sSub>
            <m:sSubPr>
              <m:ctrlPr>
                <w:rPr>
                  <w:rFonts w:ascii="Cambria Math" w:hAnsi="Cambria Math" w:cs="Calibri"/>
                  <w:i/>
                  <w:iCs/>
                </w:rPr>
              </m:ctrlPr>
            </m:sSubPr>
            <m:e>
              <m:r>
                <w:rPr>
                  <w:rFonts w:ascii="Cambria Math" w:hAnsi="Cambria Math"/>
                </w:rPr>
                <m:t>Y</m:t>
              </m:r>
            </m:e>
            <m:sub>
              <m:r>
                <w:rPr>
                  <w:rFonts w:ascii="Cambria Math" w:hAnsi="Cambria Math"/>
                </w:rPr>
                <m:t>i,t</m:t>
              </m:r>
            </m:sub>
          </m:sSub>
          <m:r>
            <w:rPr>
              <w:rFonts w:ascii="Cambria Math" w:hAnsi="Cambria Math"/>
            </w:rPr>
            <m:t>=α</m:t>
          </m:r>
          <m:sSub>
            <m:sSubPr>
              <m:ctrlPr>
                <w:rPr>
                  <w:rFonts w:ascii="Cambria Math" w:hAnsi="Cambria Math" w:cs="Calibri"/>
                  <w:i/>
                  <w:iCs/>
                </w:rPr>
              </m:ctrlPr>
            </m:sSubPr>
            <m:e>
              <m:r>
                <w:rPr>
                  <w:rFonts w:ascii="Cambria Math" w:hAnsi="Cambria Math"/>
                </w:rPr>
                <m:t>y</m:t>
              </m:r>
            </m:e>
            <m:sub>
              <m:r>
                <w:rPr>
                  <w:rFonts w:ascii="Cambria Math" w:hAnsi="Cambria Math"/>
                </w:rPr>
                <m:t>i,t-1</m:t>
              </m:r>
            </m:sub>
          </m:sSub>
          <m:r>
            <w:rPr>
              <w:rFonts w:ascii="Cambria Math" w:hAnsi="Cambria Math"/>
            </w:rPr>
            <m:t>+</m:t>
          </m:r>
          <m:d>
            <m:dPr>
              <m:ctrlPr>
                <w:rPr>
                  <w:rFonts w:ascii="Cambria Math" w:hAnsi="Cambria Math" w:cs="Calibri"/>
                  <w:i/>
                  <w:iCs/>
                </w:rPr>
              </m:ctrlPr>
            </m:dPr>
            <m:e>
              <m:r>
                <w:rPr>
                  <w:rFonts w:ascii="Cambria Math" w:hAnsi="Cambria Math"/>
                </w:rPr>
                <m:t>1-α</m:t>
              </m:r>
            </m:e>
          </m:d>
          <m:sSub>
            <m:sSubPr>
              <m:ctrlPr>
                <w:rPr>
                  <w:rFonts w:ascii="Cambria Math" w:hAnsi="Cambria Math" w:cs="Calibri"/>
                  <w:i/>
                  <w:iCs/>
                </w:rPr>
              </m:ctrlPr>
            </m:sSubPr>
            <m:e>
              <m:r>
                <w:rPr>
                  <w:rFonts w:ascii="Cambria Math" w:hAnsi="Cambria Math"/>
                </w:rPr>
                <m:t>Y</m:t>
              </m:r>
            </m:e>
            <m:sub>
              <m:r>
                <w:rPr>
                  <w:rFonts w:ascii="Cambria Math" w:hAnsi="Cambria Math"/>
                </w:rPr>
                <m:t>i,t-2</m:t>
              </m:r>
            </m:sub>
          </m:sSub>
          <m:r>
            <w:rPr>
              <w:rFonts w:ascii="Cambria Math" w:hAnsi="Cambria Math"/>
            </w:rPr>
            <m:t>, t=2,3,4, …</m:t>
          </m:r>
        </m:oMath>
      </m:oMathPara>
    </w:p>
    <w:p w:rsidR="002263DC" w:rsidP="002263DC" w14:paraId="71DDF990" w14:textId="77777777">
      <w:pPr>
        <w:rPr>
          <w:color w:val="1F497D"/>
        </w:rPr>
      </w:pPr>
    </w:p>
    <w:p w:rsidR="00E019ED" w:rsidP="00E019ED" w14:paraId="2CB454BB" w14:textId="3EC043FE">
      <w:pPr>
        <w:pStyle w:val="paragraph"/>
        <w:spacing w:before="0" w:beforeAutospacing="0" w:after="0" w:afterAutospacing="0"/>
        <w:ind w:left="1800" w:hanging="720"/>
        <w:textAlignment w:val="baseline"/>
        <w:rPr>
          <w:rStyle w:val="normaltextrun"/>
          <w:sz w:val="22"/>
          <w:szCs w:val="22"/>
        </w:rPr>
      </w:pPr>
      <w:r>
        <w:t>where</w:t>
      </w:r>
      <w:r>
        <w:t xml:space="preserve"> </w:t>
      </w:r>
      <m:oMath>
        <m:sSub>
          <m:sSubPr>
            <m:ctrlPr>
              <w:rPr>
                <w:rFonts w:ascii="Cambria Math" w:hAnsi="Cambria Math" w:cs="Calibri"/>
                <w:i/>
                <w:iCs/>
              </w:rPr>
            </m:ctrlPr>
          </m:sSubPr>
          <m:e>
            <m:r>
              <w:rPr>
                <w:rFonts w:ascii="Cambria Math" w:hAnsi="Cambria Math"/>
              </w:rPr>
              <m:t>Y</m:t>
            </m:r>
          </m:e>
          <m:sub>
            <m:r>
              <w:rPr>
                <w:rFonts w:ascii="Cambria Math" w:hAnsi="Cambria Math"/>
              </w:rPr>
              <m:t>i,t</m:t>
            </m:r>
          </m:sub>
        </m:sSub>
      </m:oMath>
      <w:r>
        <w:t xml:space="preserve"> </w:t>
      </w:r>
      <w:r w:rsidRPr="00C84725" w:rsidR="009A0420">
        <w:t xml:space="preserve">is the </w:t>
      </w:r>
      <w:r>
        <w:t xml:space="preserve">imputed value </w:t>
      </w:r>
      <w:r w:rsidRPr="00C84725" w:rsidR="009A0420">
        <w:t xml:space="preserve">for </w:t>
      </w:r>
      <w:r>
        <w:t>period</w:t>
      </w:r>
      <w:r w:rsidRPr="00C84725" w:rsidR="009A0420">
        <w:t xml:space="preserve"> t</w:t>
      </w:r>
      <w:r>
        <w:t xml:space="preserve">, </w:t>
      </w:r>
      <m:oMath>
        <m:sSub>
          <m:sSubPr>
            <m:ctrlPr>
              <w:rPr>
                <w:rFonts w:ascii="Cambria Math" w:hAnsi="Cambria Math" w:cs="Calibri"/>
                <w:i/>
                <w:iCs/>
              </w:rPr>
            </m:ctrlPr>
          </m:sSubPr>
          <m:e>
            <m:r>
              <w:rPr>
                <w:rFonts w:ascii="Cambria Math" w:hAnsi="Cambria Math"/>
              </w:rPr>
              <m:t>y</m:t>
            </m:r>
          </m:e>
          <m:sub>
            <m:r>
              <w:rPr>
                <w:rFonts w:ascii="Cambria Math" w:hAnsi="Cambria Math"/>
              </w:rPr>
              <m:t>i,t-1</m:t>
            </m:r>
          </m:sub>
        </m:sSub>
      </m:oMath>
      <w:r>
        <w:t xml:space="preserve"> </w:t>
      </w:r>
      <w:r w:rsidRPr="00C84725" w:rsidR="009A0420">
        <w:t xml:space="preserve">is the </w:t>
      </w:r>
      <w:r>
        <w:t>observed</w:t>
      </w:r>
      <w:r w:rsidRPr="00C84725" w:rsidR="009A0420">
        <w:t xml:space="preserve"> value </w:t>
      </w:r>
      <w:r>
        <w:t xml:space="preserve">for period </w:t>
      </w:r>
      <w:r>
        <w:rPr>
          <w:i/>
          <w:iCs/>
        </w:rPr>
        <w:t xml:space="preserve">t-1 </w:t>
      </w:r>
      <w:r w:rsidRPr="00C84725" w:rsidR="009A0420">
        <w:t>(or</w:t>
      </w:r>
      <w:r>
        <w:t xml:space="preserve"> the</w:t>
      </w:r>
      <w:r w:rsidRPr="00C84725" w:rsidR="009A0420">
        <w:t xml:space="preserve"> imputed value, if the response was imputed for </w:t>
      </w:r>
      <w:r>
        <w:t>period</w:t>
      </w:r>
      <w:r w:rsidRPr="00C84725" w:rsidR="009A0420">
        <w:t xml:space="preserve"> t</w:t>
      </w:r>
      <w:r>
        <w:t>-1),</w:t>
      </w:r>
      <w:r w:rsidRPr="00C84725" w:rsidR="009A0420">
        <w:t xml:space="preserve"> and</w:t>
      </w:r>
      <w:r>
        <w:t xml:space="preserve"> </w:t>
      </w:r>
      <m:oMath>
        <m:sSub>
          <m:sSubPr>
            <m:ctrlPr>
              <w:rPr>
                <w:rFonts w:ascii="Cambria Math" w:hAnsi="Cambria Math" w:cs="Calibri"/>
                <w:i/>
                <w:iCs/>
              </w:rPr>
            </m:ctrlPr>
          </m:sSubPr>
          <m:e>
            <m:r>
              <w:rPr>
                <w:rFonts w:ascii="Cambria Math" w:hAnsi="Cambria Math"/>
              </w:rPr>
              <m:t>Y</m:t>
            </m:r>
          </m:e>
          <m:sub>
            <m:r>
              <w:rPr>
                <w:rFonts w:ascii="Cambria Math" w:hAnsi="Cambria Math"/>
              </w:rPr>
              <m:t>i,t-2</m:t>
            </m:r>
          </m:sub>
        </m:sSub>
      </m:oMath>
      <w:r>
        <w:t xml:space="preserve"> </w:t>
      </w:r>
      <w:r w:rsidRPr="00C84725" w:rsidR="009A0420">
        <w:t xml:space="preserve">is a </w:t>
      </w:r>
      <w:r>
        <w:t xml:space="preserve">smooth predictor for period </w:t>
      </w:r>
      <w:r>
        <w:rPr>
          <w:i/>
          <w:iCs/>
        </w:rPr>
        <w:t>t-2</w:t>
      </w:r>
      <w:r>
        <w:t xml:space="preserve"> for unit </w:t>
      </w:r>
      <w:r>
        <w:rPr>
          <w:i/>
          <w:iCs/>
        </w:rPr>
        <w:t>i</w:t>
      </w:r>
      <w:r>
        <w:rPr>
          <w:i/>
          <w:iCs/>
        </w:rPr>
        <w:t xml:space="preserve">, </w:t>
      </w:r>
      <w:r>
        <w:rPr>
          <w:rStyle w:val="normaltextrun"/>
          <w:sz w:val="22"/>
          <w:szCs w:val="22"/>
        </w:rPr>
        <w:t>and α is a number between 0 and 1, chosen specifically by survey/product/type.</w:t>
      </w:r>
    </w:p>
    <w:p w:rsidR="009A0420" w:rsidRPr="00C84725" w:rsidP="00541839" w14:paraId="3F642763" w14:textId="70FD5018"/>
    <w:p w:rsidR="00385731" w14:paraId="390DDCCC" w14:textId="77777777"/>
    <w:p w:rsidR="009A0420" w:rsidRPr="00C84725" w14:paraId="0047C8D3" w14:textId="016CB195">
      <w:pPr>
        <w:rPr>
          <w:color w:val="000000"/>
        </w:rPr>
      </w:pPr>
      <w:r w:rsidRPr="00C84725">
        <w:t>In the equation for exponential smoothing, the size of α controls the importance of the previous reporting week’s reported value relative to the aggregate of all prior weeks’ reported values as represented by the prediction for the previous week.</w:t>
      </w:r>
      <w:r w:rsidR="00255082">
        <w:t xml:space="preserve"> </w:t>
      </w:r>
      <w:r w:rsidRPr="00C84725">
        <w:t xml:space="preserve">For example, if α = 0.8, then the previous week’s value is much more important in predicting this week’s value than all the previous week’s values, </w:t>
      </w:r>
      <w:r w:rsidRPr="00C84725">
        <w:t>because the weight of last week is 0.8, which is greater than the weights of the previous weeks (powers of 0.2.).</w:t>
      </w:r>
      <w:r w:rsidR="00255082">
        <w:t xml:space="preserve"> </w:t>
      </w:r>
      <w:r w:rsidRPr="00C84725">
        <w:t>In general, the α values are low for imports measured by the Form EIA-804 (where the previously reported week’s value is much less important than history) and much higher for the other surveys which measure production, inputs and stocks.</w:t>
      </w:r>
    </w:p>
    <w:p w:rsidR="009A0420" w:rsidRPr="00C84725" w14:paraId="5CF0018B" w14:textId="5264CFED">
      <w:pPr>
        <w:rPr>
          <w:color w:val="000000"/>
        </w:rPr>
      </w:pPr>
      <w:r w:rsidRPr="00C84725">
        <w:rPr>
          <w:color w:val="000000"/>
        </w:rPr>
        <w:t xml:space="preserve">Next, the </w:t>
      </w:r>
      <w:r w:rsidR="00D021D7">
        <w:rPr>
          <w:color w:val="000000"/>
        </w:rPr>
        <w:t xml:space="preserve">estimation procedure treats </w:t>
      </w:r>
      <w:r w:rsidRPr="00C84725">
        <w:rPr>
          <w:color w:val="000000"/>
        </w:rPr>
        <w:t xml:space="preserve">the imputed values like reported values </w:t>
      </w:r>
      <w:r w:rsidR="00D021D7">
        <w:rPr>
          <w:color w:val="000000"/>
        </w:rPr>
        <w:t>to estimate</w:t>
      </w:r>
      <w:r w:rsidRPr="00C84725">
        <w:rPr>
          <w:color w:val="000000"/>
        </w:rPr>
        <w:t xml:space="preserve"> published aggregated data.</w:t>
      </w:r>
      <w:r w:rsidR="00255082">
        <w:rPr>
          <w:color w:val="000000"/>
        </w:rPr>
        <w:t xml:space="preserve"> </w:t>
      </w:r>
      <w:r w:rsidRPr="00C84725">
        <w:rPr>
          <w:color w:val="000000"/>
        </w:rPr>
        <w:t>The estimation procedure uses ratio estimates of the weekly totals to produce published totals, as is described below.</w:t>
      </w:r>
    </w:p>
    <w:p w:rsidR="009A0420" w:rsidRPr="00C84725" w14:paraId="7E7828DB" w14:textId="00899177">
      <w:pPr>
        <w:rPr>
          <w:color w:val="000000"/>
        </w:rPr>
      </w:pPr>
      <w:r w:rsidRPr="00C84725">
        <w:rPr>
          <w:color w:val="000000"/>
        </w:rPr>
        <w:t xml:space="preserve">First, the current reporting week’s data for a given product reported (or imputed) for </w:t>
      </w:r>
      <w:r w:rsidRPr="00C84725" w:rsidR="00860534">
        <w:rPr>
          <w:color w:val="000000"/>
        </w:rPr>
        <w:t>each entity</w:t>
      </w:r>
      <w:r w:rsidRPr="00C84725">
        <w:rPr>
          <w:color w:val="000000"/>
        </w:rPr>
        <w:t xml:space="preserve"> in a geographic region are summed (weekly sum, </w:t>
      </w:r>
      <w:r w:rsidRPr="00C84725">
        <w:rPr>
          <w:color w:val="000000"/>
        </w:rPr>
        <w:t>W</w:t>
      </w:r>
      <w:r w:rsidRPr="00C84725">
        <w:rPr>
          <w:color w:val="000000"/>
          <w:vertAlign w:val="subscript"/>
        </w:rPr>
        <w:t>s</w:t>
      </w:r>
      <w:r w:rsidRPr="00C84725">
        <w:rPr>
          <w:color w:val="000000"/>
        </w:rPr>
        <w:t>).</w:t>
      </w:r>
      <w:r w:rsidR="00255082">
        <w:rPr>
          <w:color w:val="000000"/>
        </w:rPr>
        <w:t xml:space="preserve"> </w:t>
      </w:r>
      <w:r w:rsidRPr="00C84725">
        <w:rPr>
          <w:color w:val="000000"/>
        </w:rPr>
        <w:t xml:space="preserve">Next, the most recent complete reporting month’s data for the product reported (or imputed) for those same respondents are summed (monthly sum, </w:t>
      </w:r>
      <w:r w:rsidRPr="00C84725">
        <w:rPr>
          <w:color w:val="000000"/>
        </w:rPr>
        <w:t>M</w:t>
      </w:r>
      <w:r w:rsidRPr="00C84725">
        <w:rPr>
          <w:color w:val="000000"/>
          <w:vertAlign w:val="subscript"/>
        </w:rPr>
        <w:t>s</w:t>
      </w:r>
      <w:r w:rsidRPr="00C84725">
        <w:rPr>
          <w:color w:val="000000"/>
        </w:rPr>
        <w:t>).</w:t>
      </w:r>
      <w:r w:rsidR="00255082">
        <w:rPr>
          <w:color w:val="000000"/>
        </w:rPr>
        <w:t xml:space="preserve"> </w:t>
      </w:r>
      <w:r w:rsidRPr="00C84725">
        <w:rPr>
          <w:color w:val="000000"/>
        </w:rPr>
        <w:t>Finally, the most recent complete reporting month’s data for the product as reported by all respondents, including adjustments made in the monthly process, are summed (M</w:t>
      </w:r>
      <w:r w:rsidRPr="00C84725">
        <w:rPr>
          <w:color w:val="000000"/>
          <w:vertAlign w:val="subscript"/>
        </w:rPr>
        <w:t>t</w:t>
      </w:r>
      <w:r w:rsidRPr="00C84725">
        <w:rPr>
          <w:color w:val="000000"/>
        </w:rPr>
        <w:t>).</w:t>
      </w:r>
      <w:r w:rsidR="00255082">
        <w:rPr>
          <w:color w:val="000000"/>
        </w:rPr>
        <w:t xml:space="preserve"> </w:t>
      </w:r>
      <w:r w:rsidRPr="00C84725">
        <w:rPr>
          <w:color w:val="000000"/>
        </w:rPr>
        <w:t xml:space="preserve">The current week’s ratio estimate for that product, </w:t>
      </w:r>
      <w:r w:rsidRPr="00C84725">
        <w:rPr>
          <w:color w:val="000000"/>
        </w:rPr>
        <w:t>W</w:t>
      </w:r>
      <w:r w:rsidRPr="00C84725">
        <w:rPr>
          <w:color w:val="000000"/>
          <w:vertAlign w:val="subscript"/>
        </w:rPr>
        <w:t>t</w:t>
      </w:r>
      <w:r w:rsidRPr="00C84725">
        <w:rPr>
          <w:color w:val="000000"/>
        </w:rPr>
        <w:t>, is given by:</w:t>
      </w:r>
    </w:p>
    <w:p w:rsidR="009A0420" w:rsidRPr="00C84725" w:rsidP="00DF514C" w14:paraId="62C44F58" w14:textId="77777777">
      <w:pPr>
        <w:rPr>
          <w:color w:val="000000"/>
        </w:rPr>
      </w:pPr>
      <w:r w:rsidRPr="00DF514C">
        <w:rPr>
          <w:color w:val="000000"/>
          <w:sz w:val="24"/>
        </w:rPr>
        <w:t>W</w:t>
      </w:r>
      <w:r w:rsidRPr="00DF514C">
        <w:rPr>
          <w:color w:val="000000"/>
          <w:sz w:val="24"/>
          <w:vertAlign w:val="subscript"/>
        </w:rPr>
        <w:t>t</w:t>
      </w:r>
      <w:r w:rsidRPr="00DF514C">
        <w:rPr>
          <w:color w:val="000000"/>
          <w:sz w:val="24"/>
        </w:rPr>
        <w:t>= (M</w:t>
      </w:r>
      <w:r w:rsidRPr="00DF514C">
        <w:rPr>
          <w:color w:val="000000"/>
          <w:sz w:val="24"/>
          <w:vertAlign w:val="subscript"/>
        </w:rPr>
        <w:t>t</w:t>
      </w:r>
      <w:r w:rsidRPr="00DF514C">
        <w:rPr>
          <w:color w:val="000000"/>
          <w:sz w:val="24"/>
        </w:rPr>
        <w:t xml:space="preserve"> / </w:t>
      </w:r>
      <w:r w:rsidRPr="00DF514C">
        <w:rPr>
          <w:color w:val="000000"/>
          <w:sz w:val="24"/>
        </w:rPr>
        <w:t>M</w:t>
      </w:r>
      <w:r w:rsidRPr="00DF514C">
        <w:rPr>
          <w:color w:val="000000"/>
          <w:sz w:val="24"/>
          <w:vertAlign w:val="subscript"/>
        </w:rPr>
        <w:t>s</w:t>
      </w:r>
      <w:r w:rsidRPr="00DF514C">
        <w:rPr>
          <w:color w:val="000000"/>
          <w:sz w:val="24"/>
        </w:rPr>
        <w:t xml:space="preserve">) * </w:t>
      </w:r>
      <w:r w:rsidRPr="00DF514C">
        <w:rPr>
          <w:color w:val="000000"/>
          <w:sz w:val="24"/>
        </w:rPr>
        <w:t>W</w:t>
      </w:r>
      <w:r w:rsidRPr="00DF514C">
        <w:rPr>
          <w:color w:val="000000"/>
          <w:sz w:val="24"/>
          <w:vertAlign w:val="subscript"/>
        </w:rPr>
        <w:t>s</w:t>
      </w:r>
    </w:p>
    <w:p w:rsidR="009A0420" w:rsidRPr="00C84725" w14:paraId="3F857F2D" w14:textId="00B1E9BE">
      <w:pPr>
        <w:rPr>
          <w:color w:val="000000"/>
        </w:rPr>
      </w:pPr>
      <w:r w:rsidRPr="00C84725">
        <w:rPr>
          <w:color w:val="000000"/>
        </w:rPr>
        <w:t xml:space="preserve">The </w:t>
      </w:r>
      <w:r w:rsidRPr="00C84725">
        <w:rPr>
          <w:color w:val="000000"/>
        </w:rPr>
        <w:t>W</w:t>
      </w:r>
      <w:r w:rsidRPr="00C84725">
        <w:rPr>
          <w:color w:val="000000"/>
          <w:vertAlign w:val="subscript"/>
        </w:rPr>
        <w:t>t</w:t>
      </w:r>
      <w:r w:rsidRPr="00C84725">
        <w:rPr>
          <w:color w:val="000000"/>
        </w:rPr>
        <w:t>’s</w:t>
      </w:r>
      <w:r w:rsidRPr="00C84725">
        <w:rPr>
          <w:color w:val="000000"/>
        </w:rPr>
        <w:t xml:space="preserve"> are used directly to estimate total weekly inputs to refineries and production.</w:t>
      </w:r>
      <w:r w:rsidR="00255082">
        <w:rPr>
          <w:color w:val="000000"/>
        </w:rPr>
        <w:t xml:space="preserve"> </w:t>
      </w:r>
      <w:r w:rsidRPr="00C84725">
        <w:rPr>
          <w:color w:val="000000"/>
        </w:rPr>
        <w:t xml:space="preserve">To estimate stocks of finished products, the </w:t>
      </w:r>
      <w:r w:rsidRPr="00C84725">
        <w:rPr>
          <w:color w:val="000000"/>
        </w:rPr>
        <w:t>W</w:t>
      </w:r>
      <w:r w:rsidRPr="00C84725">
        <w:rPr>
          <w:color w:val="000000"/>
          <w:vertAlign w:val="subscript"/>
        </w:rPr>
        <w:t>t</w:t>
      </w:r>
      <w:r w:rsidRPr="00C84725">
        <w:rPr>
          <w:color w:val="000000"/>
        </w:rPr>
        <w:t>’s</w:t>
      </w:r>
      <w:r w:rsidRPr="00C84725">
        <w:rPr>
          <w:color w:val="000000"/>
        </w:rPr>
        <w:t xml:space="preserve"> </w:t>
      </w:r>
      <w:r w:rsidRPr="00C84725">
        <w:rPr>
          <w:color w:val="000000"/>
        </w:rPr>
        <w:t>are independently calculated for the establishments of refineries, bulk terminals, and pipelines.</w:t>
      </w:r>
      <w:r w:rsidR="00255082">
        <w:rPr>
          <w:color w:val="000000"/>
        </w:rPr>
        <w:t xml:space="preserve"> </w:t>
      </w:r>
      <w:r w:rsidRPr="00C84725">
        <w:rPr>
          <w:color w:val="000000"/>
        </w:rPr>
        <w:t>Estimates of totals are calculated by summing over the establishment types.</w:t>
      </w:r>
    </w:p>
    <w:p w:rsidR="009A0420" w:rsidRPr="00C84725" w14:paraId="7F6CC838" w14:textId="0C9645EA">
      <w:pPr>
        <w:rPr>
          <w:color w:val="000000"/>
        </w:rPr>
      </w:pPr>
      <w:r w:rsidRPr="00C84725">
        <w:rPr>
          <w:color w:val="000000"/>
        </w:rPr>
        <w:t>Weekly imports data are highly variable on a company-by-company basis or a week-to-week basis.</w:t>
      </w:r>
      <w:r w:rsidR="00255082">
        <w:rPr>
          <w:color w:val="000000"/>
        </w:rPr>
        <w:t xml:space="preserve"> </w:t>
      </w:r>
      <w:r w:rsidRPr="00C84725">
        <w:rPr>
          <w:color w:val="000000"/>
        </w:rPr>
        <w:t>Therefore, an exponentially smoothed ratio is used for estimating weekly imports.</w:t>
      </w:r>
      <w:r w:rsidR="00255082">
        <w:rPr>
          <w:color w:val="000000"/>
        </w:rPr>
        <w:t xml:space="preserve"> </w:t>
      </w:r>
      <w:r w:rsidRPr="00C84725">
        <w:rPr>
          <w:color w:val="000000"/>
        </w:rPr>
        <w:t>The estimate of total weekly imports is the product of the smoothed ratio and the sum of the weekly reported values and imputed values.</w:t>
      </w:r>
    </w:p>
    <w:p w:rsidR="009A0420" w:rsidRPr="00C84725" w14:paraId="0B4A1B9C" w14:textId="389E37F4">
      <w:r w:rsidRPr="00C84725">
        <w:t xml:space="preserve">For imports, the </w:t>
      </w:r>
      <w:r w:rsidR="002263DC">
        <w:t>smooth ratio estimator,</w:t>
      </w:r>
      <m:oMath>
        <m:sSub>
          <m:sSubPr>
            <m:ctrlPr>
              <w:rPr>
                <w:rFonts w:ascii="Cambria Math" w:hAnsi="Cambria Math" w:cs="Calibri"/>
                <w:i/>
                <w:iCs/>
              </w:rPr>
            </m:ctrlPr>
          </m:sSubPr>
          <m:e>
            <m:r>
              <w:rPr>
                <w:rFonts w:ascii="Cambria Math" w:hAnsi="Cambria Math"/>
              </w:rPr>
              <m:t>R</m:t>
            </m:r>
          </m:e>
          <m:sub>
            <m:r>
              <w:rPr>
                <w:rFonts w:ascii="Cambria Math" w:hAnsi="Cambria Math"/>
              </w:rPr>
              <m:t>t</m:t>
            </m:r>
          </m:sub>
        </m:sSub>
      </m:oMath>
      <w:r w:rsidR="002263DC">
        <w:t>,</w:t>
      </w:r>
      <w:r w:rsidR="002263DC">
        <w:t xml:space="preserve"> for period t is </w:t>
      </w:r>
    </w:p>
    <w:p w:rsidR="002263DC" w:rsidP="002263DC" w14:paraId="513E3D1B" w14:textId="1EFECD2C">
      <m:oMathPara>
        <m:oMath>
          <m:sSub>
            <m:sSubPr>
              <m:ctrlPr>
                <w:rPr>
                  <w:rFonts w:ascii="Cambria Math" w:hAnsi="Cambria Math" w:cs="Calibri"/>
                  <w:i/>
                  <w:iCs/>
                </w:rPr>
              </m:ctrlPr>
            </m:sSubPr>
            <m:e>
              <m:r>
                <w:rPr>
                  <w:rFonts w:ascii="Cambria Math" w:hAnsi="Cambria Math"/>
                </w:rPr>
                <m:t>R</m:t>
              </m:r>
            </m:e>
            <m:sub>
              <m:r>
                <w:rPr>
                  <w:rFonts w:ascii="Cambria Math" w:hAnsi="Cambria Math"/>
                </w:rPr>
                <m:t>t</m:t>
              </m:r>
            </m:sub>
          </m:sSub>
          <m:r>
            <w:rPr>
              <w:rFonts w:ascii="Cambria Math" w:hAnsi="Cambria Math"/>
            </w:rPr>
            <m:t>=</m:t>
          </m:r>
          <m:sSub>
            <m:sSubPr>
              <m:ctrlPr>
                <w:rPr>
                  <w:rFonts w:ascii="Cambria Math" w:hAnsi="Cambria Math" w:cs="Calibri"/>
                  <w:i/>
                  <w:iCs/>
                </w:rPr>
              </m:ctrlPr>
            </m:sSubPr>
            <m:e>
              <m:r>
                <w:rPr>
                  <w:rFonts w:ascii="Cambria Math" w:hAnsi="Cambria Math"/>
                </w:rPr>
                <m:t>γr</m:t>
              </m:r>
            </m:e>
            <m:sub>
              <m:r>
                <w:rPr>
                  <w:rFonts w:ascii="Cambria Math" w:hAnsi="Cambria Math"/>
                </w:rPr>
                <m:t>t</m:t>
              </m:r>
            </m:sub>
          </m:sSub>
          <m:r>
            <w:rPr>
              <w:rFonts w:ascii="Cambria Math" w:hAnsi="Cambria Math"/>
            </w:rPr>
            <m:t>+</m:t>
          </m:r>
          <m:d>
            <m:dPr>
              <m:ctrlPr>
                <w:rPr>
                  <w:rFonts w:ascii="Cambria Math" w:hAnsi="Cambria Math" w:cs="Calibri"/>
                  <w:i/>
                  <w:iCs/>
                </w:rPr>
              </m:ctrlPr>
            </m:dPr>
            <m:e>
              <m:r>
                <w:rPr>
                  <w:rFonts w:ascii="Cambria Math" w:hAnsi="Cambria Math"/>
                </w:rPr>
                <m:t>1-γ</m:t>
              </m:r>
            </m:e>
          </m:d>
          <m:sSub>
            <m:sSubPr>
              <m:ctrlPr>
                <w:rPr>
                  <w:rFonts w:ascii="Cambria Math" w:hAnsi="Cambria Math" w:cs="Calibri"/>
                  <w:i/>
                  <w:iCs/>
                </w:rPr>
              </m:ctrlPr>
            </m:sSubPr>
            <m:e>
              <m:r>
                <w:rPr>
                  <w:rFonts w:ascii="Cambria Math" w:hAnsi="Cambria Math"/>
                </w:rPr>
                <m:t>R</m:t>
              </m:r>
            </m:e>
            <m:sub>
              <m:r>
                <w:rPr>
                  <w:rFonts w:ascii="Cambria Math" w:hAnsi="Cambria Math"/>
                </w:rPr>
                <m:t>t-1</m:t>
              </m:r>
            </m:sub>
          </m:sSub>
          <m:r>
            <w:rPr>
              <w:rFonts w:ascii="Cambria Math" w:hAnsi="Cambria Math"/>
            </w:rPr>
            <m:t>, t=1, 2, 3, …</m:t>
          </m:r>
        </m:oMath>
      </m:oMathPara>
    </w:p>
    <w:p w:rsidR="00E019ED" w:rsidP="00541839" w14:paraId="5515DA41" w14:textId="6DB843FC">
      <w:pPr>
        <w:pStyle w:val="paragraph"/>
        <w:spacing w:before="0" w:beforeAutospacing="0" w:after="0" w:afterAutospacing="0"/>
        <w:ind w:left="1800" w:hanging="720"/>
        <w:textAlignment w:val="baseline"/>
        <w:rPr>
          <w:rStyle w:val="normaltextrun"/>
        </w:rPr>
      </w:pPr>
      <w:r>
        <w:t>where</w:t>
      </w:r>
      <w:r>
        <w:t xml:space="preserve"> </w:t>
      </w:r>
      <m:oMath>
        <m:sSub>
          <m:sSubPr>
            <m:ctrlPr>
              <w:rPr>
                <w:rFonts w:ascii="Cambria Math" w:hAnsi="Cambria Math"/>
                <w:i/>
                <w:iCs/>
              </w:rPr>
            </m:ctrlPr>
          </m:sSubPr>
          <m:e>
            <m:r>
              <w:rPr>
                <w:rFonts w:ascii="Cambria Math" w:hAnsi="Cambria Math"/>
              </w:rPr>
              <m:t>r</m:t>
            </m:r>
          </m:e>
          <m:sub>
            <m:r>
              <w:rPr>
                <w:rFonts w:ascii="Cambria Math" w:hAnsi="Cambria Math"/>
              </w:rPr>
              <m:t>t</m:t>
            </m:r>
          </m:sub>
        </m:sSub>
      </m:oMath>
      <w:r>
        <w:t xml:space="preserve"> </w:t>
      </w:r>
      <w:r w:rsidRPr="00C84725" w:rsidR="009A0420">
        <w:t xml:space="preserve">is the ratio </w:t>
      </w:r>
      <w:r>
        <w:t xml:space="preserve">estimator </w:t>
      </w:r>
      <w:r w:rsidRPr="00C84725" w:rsidR="009A0420">
        <w:t xml:space="preserve">for </w:t>
      </w:r>
      <w:r>
        <w:t>period</w:t>
      </w:r>
      <w:r w:rsidRPr="00C84725" w:rsidR="009A0420">
        <w:t xml:space="preserve"> t</w:t>
      </w:r>
      <w:r>
        <w:t xml:space="preserve">, and </w:t>
      </w:r>
      <w:r>
        <w:rPr>
          <w:rStyle w:val="normaltextrun"/>
          <w:sz w:val="22"/>
          <w:szCs w:val="22"/>
        </w:rPr>
        <w:t>γ</w:t>
      </w:r>
      <w:r>
        <w:rPr>
          <w:rStyle w:val="tabchar"/>
          <w:rFonts w:ascii="Calibri" w:hAnsi="Calibri" w:cs="Calibri"/>
          <w:sz w:val="22"/>
          <w:szCs w:val="22"/>
        </w:rPr>
        <w:t xml:space="preserve"> </w:t>
      </w:r>
      <w:r>
        <w:rPr>
          <w:rStyle w:val="normaltextrun"/>
          <w:sz w:val="22"/>
          <w:szCs w:val="22"/>
        </w:rPr>
        <w:t xml:space="preserve">is a number between 0 and 1, chosen by product, and is the same for </w:t>
      </w:r>
      <w:r>
        <w:rPr>
          <w:rStyle w:val="normaltextrun"/>
        </w:rPr>
        <w:t xml:space="preserve">all </w:t>
      </w:r>
      <w:r>
        <w:rPr>
          <w:rStyle w:val="normaltextrun"/>
        </w:rPr>
        <w:t>PADDs</w:t>
      </w:r>
      <w:r>
        <w:rPr>
          <w:rStyle w:val="normaltextrun"/>
        </w:rPr>
        <w:t xml:space="preserve"> and Respondent IDs for that product</w:t>
      </w:r>
    </w:p>
    <w:p w:rsidR="009A0420" w:rsidRPr="00E04319" w:rsidP="00541839" w14:paraId="1D92EAD0" w14:textId="51150A6A">
      <w:pPr>
        <w:pStyle w:val="paragraph"/>
        <w:spacing w:before="0" w:beforeAutospacing="0" w:after="0" w:afterAutospacing="0"/>
        <w:ind w:left="1800" w:hanging="720"/>
        <w:textAlignment w:val="baseline"/>
      </w:pPr>
    </w:p>
    <w:p w:rsidR="009A0420" w14:paraId="090D0BE7" w14:textId="42312E6F">
      <w:r w:rsidRPr="00C84725">
        <w:t xml:space="preserve">When </w:t>
      </w:r>
      <w:r w:rsidRPr="00C84725">
        <w:t>M</w:t>
      </w:r>
      <w:r w:rsidRPr="00C84725">
        <w:rPr>
          <w:vertAlign w:val="subscript"/>
        </w:rPr>
        <w:t>s</w:t>
      </w:r>
      <w:r w:rsidRPr="00C84725">
        <w:t xml:space="preserve"> = 0, then </w:t>
      </w:r>
      <w:r w:rsidRPr="00C84725">
        <w:t>r</w:t>
      </w:r>
      <w:r w:rsidRPr="00C84725">
        <w:rPr>
          <w:vertAlign w:val="subscript"/>
        </w:rPr>
        <w:t>t</w:t>
      </w:r>
      <w:r w:rsidRPr="00C84725">
        <w:t xml:space="preserve"> is not defined for the reporting week, and the smoothed ratio is not updated (i.e., the previous smoothed ratio is used as the multiplier</w:t>
      </w:r>
      <w:r>
        <w:t>).</w:t>
      </w:r>
    </w:p>
    <w:p w:rsidR="007E53C4" w14:paraId="0C422D44" w14:textId="1ED1A09E">
      <w:pPr>
        <w:pStyle w:val="Heading2"/>
      </w:pPr>
      <w:bookmarkStart w:id="6" w:name="_Toc466046936"/>
      <w:r>
        <w:t>B.</w:t>
      </w:r>
      <w:r w:rsidRPr="00A41763" w:rsidR="00A41763">
        <w:t xml:space="preserve">3. </w:t>
      </w:r>
      <w:r>
        <w:t>Maximizing Response Rates</w:t>
      </w:r>
      <w:bookmarkEnd w:id="6"/>
    </w:p>
    <w:p w:rsidR="00D6151D" w:rsidRPr="00C84725" w14:paraId="2F0781FF" w14:textId="66A74F35">
      <w:bookmarkStart w:id="7" w:name="_Toc466046937"/>
      <w:r w:rsidRPr="00C84725">
        <w:t>To maximize response rates, data collection forms are designed to be easily completed, and instructions are written to be clear, concise, and easily understood.</w:t>
      </w:r>
      <w:r w:rsidR="00255082">
        <w:t xml:space="preserve"> </w:t>
      </w:r>
      <w:r w:rsidRPr="00C84725">
        <w:t>Forms and instructions are m</w:t>
      </w:r>
      <w:r>
        <w:t xml:space="preserve">ade available on the EIA website. </w:t>
      </w:r>
    </w:p>
    <w:p w:rsidR="00D6151D" w:rsidRPr="00C84725" w14:paraId="4E12F185" w14:textId="5B081B2D">
      <w:r w:rsidRPr="00C84725">
        <w:t xml:space="preserve">Respondents who do not report any data for a given survey form in a given collection period are considered “non-respondents” for the </w:t>
      </w:r>
      <w:r w:rsidRPr="00C84725">
        <w:t>PSRS</w:t>
      </w:r>
      <w:r w:rsidRPr="00C84725">
        <w:t>.</w:t>
      </w:r>
      <w:r w:rsidR="00255082">
        <w:t xml:space="preserve"> </w:t>
      </w:r>
      <w:r w:rsidRPr="00C84725">
        <w:t xml:space="preserve">Automated email messages are sent out to any respondent </w:t>
      </w:r>
      <w:r w:rsidRPr="00C84725">
        <w:t>who has not reported by the relevant submission deadline.</w:t>
      </w:r>
      <w:r w:rsidR="00255082">
        <w:t xml:space="preserve"> </w:t>
      </w:r>
      <w:r w:rsidRPr="00C84725">
        <w:t>EIA staff also contact survey non-respondents by telephone to discuss the requirement to file and any problems or questions that are delaying filing.</w:t>
      </w:r>
      <w:r w:rsidR="00255082">
        <w:t xml:space="preserve"> </w:t>
      </w:r>
      <w:r w:rsidRPr="00C84725">
        <w:t>Follow-up letters regarding the failure to file may be sent by email message to respondents who show persistent problems with non-response.</w:t>
      </w:r>
    </w:p>
    <w:p w:rsidR="00D6151D" w14:paraId="47C86C02" w14:textId="16FEE693">
      <w:pPr>
        <w:rPr>
          <w:rFonts w:ascii="Calibri" w:hAnsi="Calibri"/>
          <w:szCs w:val="24"/>
        </w:rPr>
      </w:pPr>
      <w:r w:rsidRPr="00887E62">
        <w:rPr>
          <w:rFonts w:ascii="Calibri" w:hAnsi="Calibri"/>
          <w:szCs w:val="24"/>
        </w:rPr>
        <w:t xml:space="preserve">Specific schedules are followed for telephone calls and letters to non-respondents for the various </w:t>
      </w:r>
      <w:r w:rsidRPr="00887E62">
        <w:rPr>
          <w:rFonts w:ascii="Calibri" w:hAnsi="Calibri"/>
          <w:szCs w:val="24"/>
        </w:rPr>
        <w:t>PSRS</w:t>
      </w:r>
      <w:r w:rsidRPr="00887E62">
        <w:rPr>
          <w:rFonts w:ascii="Calibri" w:hAnsi="Calibri"/>
          <w:szCs w:val="24"/>
        </w:rPr>
        <w:t xml:space="preserve"> surveys.</w:t>
      </w:r>
      <w:r w:rsidR="00255082">
        <w:rPr>
          <w:rFonts w:ascii="Calibri" w:hAnsi="Calibri"/>
          <w:szCs w:val="24"/>
        </w:rPr>
        <w:t xml:space="preserve"> </w:t>
      </w:r>
      <w:r w:rsidRPr="00887E62">
        <w:rPr>
          <w:rFonts w:ascii="Calibri" w:hAnsi="Calibri"/>
          <w:szCs w:val="24"/>
        </w:rPr>
        <w:t>Every effort is made to assist respondents in completing the survey and submitting the data in a timely manner.</w:t>
      </w:r>
      <w:r w:rsidR="00255082">
        <w:rPr>
          <w:rFonts w:ascii="Calibri" w:hAnsi="Calibri"/>
          <w:szCs w:val="24"/>
        </w:rPr>
        <w:t xml:space="preserve"> </w:t>
      </w:r>
      <w:r w:rsidRPr="00887E62">
        <w:rPr>
          <w:rFonts w:ascii="Calibri" w:hAnsi="Calibri"/>
          <w:szCs w:val="24"/>
        </w:rPr>
        <w:t xml:space="preserve">The </w:t>
      </w:r>
      <w:r w:rsidR="007C3C67">
        <w:rPr>
          <w:rFonts w:ascii="Calibri" w:hAnsi="Calibri"/>
          <w:szCs w:val="24"/>
        </w:rPr>
        <w:t>20</w:t>
      </w:r>
      <w:r w:rsidR="00A85C31">
        <w:rPr>
          <w:rFonts w:ascii="Calibri" w:hAnsi="Calibri"/>
          <w:szCs w:val="24"/>
        </w:rPr>
        <w:t>21</w:t>
      </w:r>
      <w:r w:rsidR="007C3C67">
        <w:rPr>
          <w:rFonts w:ascii="Calibri" w:hAnsi="Calibri"/>
          <w:szCs w:val="24"/>
        </w:rPr>
        <w:t xml:space="preserve"> </w:t>
      </w:r>
      <w:r w:rsidRPr="00887E62">
        <w:rPr>
          <w:rFonts w:ascii="Calibri" w:hAnsi="Calibri"/>
          <w:szCs w:val="24"/>
        </w:rPr>
        <w:t>response rate for weekl</w:t>
      </w:r>
      <w:r w:rsidR="00FB0E34">
        <w:rPr>
          <w:rFonts w:ascii="Calibri" w:hAnsi="Calibri"/>
          <w:szCs w:val="24"/>
        </w:rPr>
        <w:t>y</w:t>
      </w:r>
      <w:r w:rsidR="005337AF">
        <w:rPr>
          <w:rFonts w:ascii="Calibri" w:hAnsi="Calibri"/>
          <w:szCs w:val="24"/>
        </w:rPr>
        <w:t xml:space="preserve"> and monthly</w:t>
      </w:r>
      <w:r w:rsidR="00FB0E34">
        <w:rPr>
          <w:rFonts w:ascii="Calibri" w:hAnsi="Calibri"/>
          <w:szCs w:val="24"/>
        </w:rPr>
        <w:t xml:space="preserve"> </w:t>
      </w:r>
      <w:r w:rsidR="00FB0E34">
        <w:rPr>
          <w:rFonts w:ascii="Calibri" w:hAnsi="Calibri"/>
          <w:szCs w:val="24"/>
        </w:rPr>
        <w:t>PSRS</w:t>
      </w:r>
      <w:r w:rsidR="00FB0E34">
        <w:rPr>
          <w:rFonts w:ascii="Calibri" w:hAnsi="Calibri"/>
          <w:szCs w:val="24"/>
        </w:rPr>
        <w:t xml:space="preserve"> surveys average</w:t>
      </w:r>
      <w:r w:rsidR="007C3C67">
        <w:rPr>
          <w:rFonts w:ascii="Calibri" w:hAnsi="Calibri"/>
          <w:szCs w:val="24"/>
        </w:rPr>
        <w:t>d</w:t>
      </w:r>
      <w:r w:rsidR="00FB0E34">
        <w:rPr>
          <w:rFonts w:ascii="Calibri" w:hAnsi="Calibri"/>
          <w:szCs w:val="24"/>
        </w:rPr>
        <w:t xml:space="preserve"> 9</w:t>
      </w:r>
      <w:r w:rsidR="00A85C31">
        <w:rPr>
          <w:rFonts w:ascii="Calibri" w:hAnsi="Calibri"/>
          <w:szCs w:val="24"/>
        </w:rPr>
        <w:t>9</w:t>
      </w:r>
      <w:r w:rsidRPr="00887E62">
        <w:rPr>
          <w:rFonts w:ascii="Calibri" w:hAnsi="Calibri"/>
          <w:szCs w:val="24"/>
        </w:rPr>
        <w:t xml:space="preserve"> </w:t>
      </w:r>
      <w:r w:rsidR="005337AF">
        <w:rPr>
          <w:rFonts w:ascii="Calibri" w:hAnsi="Calibri"/>
          <w:szCs w:val="24"/>
        </w:rPr>
        <w:t xml:space="preserve">-100 </w:t>
      </w:r>
      <w:r w:rsidRPr="00887E62">
        <w:rPr>
          <w:rFonts w:ascii="Calibri" w:hAnsi="Calibri"/>
          <w:szCs w:val="24"/>
        </w:rPr>
        <w:t>percent.</w:t>
      </w:r>
      <w:r w:rsidR="00255082">
        <w:rPr>
          <w:rFonts w:ascii="Calibri" w:hAnsi="Calibri"/>
          <w:szCs w:val="24"/>
        </w:rPr>
        <w:t xml:space="preserve"> </w:t>
      </w:r>
    </w:p>
    <w:p w:rsidR="0070353C" w14:paraId="78392FFB" w14:textId="77777777">
      <w:pPr>
        <w:rPr>
          <w:rFonts w:ascii="Calibri" w:hAnsi="Calibri"/>
          <w:szCs w:val="24"/>
        </w:rPr>
      </w:pPr>
    </w:p>
    <w:p w:rsidR="0070353C" w:rsidRPr="00A1720B" w14:paraId="44F2B329" w14:textId="2DCFF2DA">
      <w:pPr>
        <w:rPr>
          <w:rFonts w:ascii="Calibri" w:hAnsi="Calibri"/>
          <w:color w:val="00B0F0"/>
          <w:szCs w:val="24"/>
        </w:rPr>
      </w:pPr>
      <w:r w:rsidRPr="00A1720B">
        <w:rPr>
          <w:rFonts w:ascii="Calibri" w:hAnsi="Calibri"/>
          <w:color w:val="00B0F0"/>
          <w:szCs w:val="24"/>
        </w:rPr>
        <w:t xml:space="preserve">Average Annual Response Rates for </w:t>
      </w:r>
      <w:r w:rsidRPr="00A1720B">
        <w:rPr>
          <w:rFonts w:ascii="Calibri" w:hAnsi="Calibri"/>
          <w:color w:val="00B0F0"/>
          <w:szCs w:val="24"/>
        </w:rPr>
        <w:t>PSRS</w:t>
      </w:r>
      <w:r w:rsidRPr="00A1720B">
        <w:rPr>
          <w:rFonts w:ascii="Calibri" w:hAnsi="Calibri"/>
          <w:color w:val="00B0F0"/>
          <w:szCs w:val="24"/>
        </w:rPr>
        <w:t xml:space="preserve"> </w:t>
      </w:r>
    </w:p>
    <w:tbl>
      <w:tblPr>
        <w:tblW w:w="7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945"/>
        <w:gridCol w:w="945"/>
        <w:gridCol w:w="945"/>
        <w:gridCol w:w="945"/>
        <w:gridCol w:w="945"/>
        <w:gridCol w:w="945"/>
      </w:tblGrid>
      <w:tr w14:paraId="2A008FEE" w14:textId="564DC7CB" w:rsidTr="00DF514C">
        <w:tblPrEx>
          <w:tblW w:w="7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12" w:type="dxa"/>
            <w:shd w:val="clear" w:color="auto" w:fill="D9D9D9" w:themeFill="background1" w:themeFillShade="D9"/>
            <w:vAlign w:val="center"/>
          </w:tcPr>
          <w:p w:rsidR="00EF32B6" w:rsidRPr="00DF514C" w14:paraId="5DB58475" w14:textId="45328B97">
            <w:pPr>
              <w:widowControl w:val="0"/>
              <w:autoSpaceDE w:val="0"/>
              <w:autoSpaceDN w:val="0"/>
              <w:adjustRightInd w:val="0"/>
              <w:spacing w:after="0" w:line="240" w:lineRule="auto"/>
              <w:rPr>
                <w:sz w:val="20"/>
                <w:szCs w:val="18"/>
              </w:rPr>
            </w:pPr>
            <w:r>
              <w:rPr>
                <w:sz w:val="20"/>
                <w:szCs w:val="18"/>
              </w:rPr>
              <w:t xml:space="preserve">Weekly </w:t>
            </w:r>
            <w:r w:rsidRPr="00DF514C">
              <w:rPr>
                <w:sz w:val="20"/>
                <w:szCs w:val="18"/>
              </w:rPr>
              <w:t>Survey</w:t>
            </w:r>
          </w:p>
        </w:tc>
        <w:tc>
          <w:tcPr>
            <w:tcW w:w="945" w:type="dxa"/>
            <w:shd w:val="clear" w:color="auto" w:fill="D9D9D9" w:themeFill="background1" w:themeFillShade="D9"/>
            <w:vAlign w:val="center"/>
          </w:tcPr>
          <w:p w:rsidR="00EF32B6" w:rsidRPr="00DF514C" w:rsidP="00DF514C" w14:paraId="17A762B5" w14:textId="32BCAA09">
            <w:pPr>
              <w:widowControl w:val="0"/>
              <w:autoSpaceDE w:val="0"/>
              <w:autoSpaceDN w:val="0"/>
              <w:adjustRightInd w:val="0"/>
              <w:spacing w:after="0" w:line="240" w:lineRule="auto"/>
              <w:jc w:val="center"/>
              <w:rPr>
                <w:sz w:val="20"/>
                <w:szCs w:val="18"/>
              </w:rPr>
            </w:pPr>
            <w:r w:rsidRPr="00DF514C">
              <w:rPr>
                <w:sz w:val="20"/>
                <w:szCs w:val="18"/>
              </w:rPr>
              <w:t>EIA-800</w:t>
            </w:r>
          </w:p>
        </w:tc>
        <w:tc>
          <w:tcPr>
            <w:tcW w:w="945" w:type="dxa"/>
            <w:shd w:val="clear" w:color="auto" w:fill="D9D9D9" w:themeFill="background1" w:themeFillShade="D9"/>
            <w:vAlign w:val="center"/>
          </w:tcPr>
          <w:p w:rsidR="00EF32B6" w:rsidRPr="00DF514C" w:rsidP="00DF514C" w14:paraId="0B828A4E" w14:textId="5E933557">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EIA-802</w:t>
            </w:r>
          </w:p>
        </w:tc>
        <w:tc>
          <w:tcPr>
            <w:tcW w:w="945" w:type="dxa"/>
            <w:shd w:val="clear" w:color="auto" w:fill="D9D9D9" w:themeFill="background1" w:themeFillShade="D9"/>
            <w:vAlign w:val="center"/>
          </w:tcPr>
          <w:p w:rsidR="00EF32B6" w:rsidRPr="00DF514C" w:rsidP="00DF514C" w14:paraId="5E91924E" w14:textId="4959B3A4">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EIA-803</w:t>
            </w:r>
          </w:p>
        </w:tc>
        <w:tc>
          <w:tcPr>
            <w:tcW w:w="945" w:type="dxa"/>
            <w:shd w:val="clear" w:color="auto" w:fill="D9D9D9" w:themeFill="background1" w:themeFillShade="D9"/>
            <w:vAlign w:val="center"/>
          </w:tcPr>
          <w:p w:rsidR="00EF32B6" w:rsidRPr="00DF514C" w:rsidP="00DF514C" w14:paraId="215242B3" w14:textId="64C28FAB">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EIA-804</w:t>
            </w:r>
          </w:p>
        </w:tc>
        <w:tc>
          <w:tcPr>
            <w:tcW w:w="945" w:type="dxa"/>
            <w:shd w:val="clear" w:color="auto" w:fill="D9D9D9" w:themeFill="background1" w:themeFillShade="D9"/>
            <w:vAlign w:val="center"/>
          </w:tcPr>
          <w:p w:rsidR="00EF32B6" w:rsidRPr="00DF514C" w:rsidP="00DF514C" w14:paraId="7874CD34" w14:textId="231D2103">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EIA-805</w:t>
            </w:r>
          </w:p>
        </w:tc>
        <w:tc>
          <w:tcPr>
            <w:tcW w:w="945" w:type="dxa"/>
            <w:shd w:val="clear" w:color="auto" w:fill="D9D9D9" w:themeFill="background1" w:themeFillShade="D9"/>
            <w:vAlign w:val="center"/>
          </w:tcPr>
          <w:p w:rsidR="00EF32B6" w:rsidRPr="00DF514C" w:rsidP="00DF514C" w14:paraId="124D7C00" w14:textId="09E97E79">
            <w:pPr>
              <w:widowControl w:val="0"/>
              <w:autoSpaceDE w:val="0"/>
              <w:autoSpaceDN w:val="0"/>
              <w:adjustRightInd w:val="0"/>
              <w:spacing w:after="58" w:line="240" w:lineRule="auto"/>
              <w:jc w:val="center"/>
              <w:rPr>
                <w:sz w:val="20"/>
                <w:szCs w:val="18"/>
              </w:rPr>
            </w:pPr>
            <w:r w:rsidRPr="00DF514C">
              <w:rPr>
                <w:sz w:val="20"/>
                <w:szCs w:val="18"/>
              </w:rPr>
              <w:t>EIA-809</w:t>
            </w:r>
          </w:p>
        </w:tc>
      </w:tr>
      <w:tr w14:paraId="4169D053" w14:textId="10D2FC9D" w:rsidTr="00DF514C">
        <w:tblPrEx>
          <w:tblW w:w="7182" w:type="dxa"/>
          <w:tblInd w:w="-5" w:type="dxa"/>
          <w:tblLayout w:type="fixed"/>
          <w:tblLook w:val="0000"/>
        </w:tblPrEx>
        <w:tc>
          <w:tcPr>
            <w:tcW w:w="1512" w:type="dxa"/>
            <w:shd w:val="clear" w:color="auto" w:fill="D9D9D9" w:themeFill="background1" w:themeFillShade="D9"/>
            <w:vAlign w:val="center"/>
          </w:tcPr>
          <w:p w:rsidR="00EF32B6" w:rsidRPr="00DF514C" w14:paraId="729E5CC6" w14:textId="36CAD078">
            <w:pPr>
              <w:widowControl w:val="0"/>
              <w:autoSpaceDE w:val="0"/>
              <w:autoSpaceDN w:val="0"/>
              <w:adjustRightInd w:val="0"/>
              <w:spacing w:after="0" w:line="240" w:lineRule="auto"/>
              <w:rPr>
                <w:sz w:val="20"/>
                <w:szCs w:val="18"/>
              </w:rPr>
            </w:pPr>
            <w:r w:rsidRPr="00DF514C">
              <w:rPr>
                <w:sz w:val="20"/>
                <w:szCs w:val="18"/>
              </w:rPr>
              <w:t>Response Rate</w:t>
            </w:r>
          </w:p>
        </w:tc>
        <w:tc>
          <w:tcPr>
            <w:tcW w:w="945" w:type="dxa"/>
            <w:vAlign w:val="center"/>
          </w:tcPr>
          <w:p w:rsidR="00EF32B6" w:rsidRPr="00DF514C" w:rsidP="0074576D" w14:paraId="405A046D" w14:textId="44EBE589">
            <w:pPr>
              <w:widowControl w:val="0"/>
              <w:autoSpaceDE w:val="0"/>
              <w:autoSpaceDN w:val="0"/>
              <w:adjustRightInd w:val="0"/>
              <w:spacing w:after="0" w:line="240" w:lineRule="auto"/>
              <w:jc w:val="center"/>
              <w:rPr>
                <w:sz w:val="20"/>
                <w:szCs w:val="18"/>
              </w:rPr>
            </w:pPr>
            <w:r w:rsidRPr="00DF514C">
              <w:rPr>
                <w:sz w:val="20"/>
                <w:szCs w:val="18"/>
              </w:rPr>
              <w:t>9</w:t>
            </w:r>
            <w:r w:rsidR="0074576D">
              <w:rPr>
                <w:sz w:val="20"/>
                <w:szCs w:val="18"/>
              </w:rPr>
              <w:t>9</w:t>
            </w:r>
            <w:r w:rsidRPr="00DF514C">
              <w:rPr>
                <w:sz w:val="20"/>
                <w:szCs w:val="18"/>
              </w:rPr>
              <w:t>%</w:t>
            </w:r>
          </w:p>
        </w:tc>
        <w:tc>
          <w:tcPr>
            <w:tcW w:w="945" w:type="dxa"/>
            <w:vAlign w:val="center"/>
          </w:tcPr>
          <w:p w:rsidR="00EF32B6" w:rsidRPr="00DF514C" w:rsidP="00DF514C" w14:paraId="5868A409" w14:textId="3560088F">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rsidR="00EF32B6" w:rsidRPr="00DF514C" w:rsidP="00DF514C" w14:paraId="40A31C18" w14:textId="6A40E6D7">
            <w:pPr>
              <w:widowControl w:val="0"/>
              <w:autoSpaceDE w:val="0"/>
              <w:autoSpaceDN w:val="0"/>
              <w:adjustRightInd w:val="0"/>
              <w:spacing w:after="58" w:line="240" w:lineRule="auto"/>
              <w:jc w:val="center"/>
              <w:rPr>
                <w:rFonts w:eastAsia="Times New Roman" w:cs="Times New Roman"/>
                <w:color w:val="000000"/>
                <w:sz w:val="20"/>
                <w:szCs w:val="18"/>
              </w:rPr>
            </w:pPr>
            <w:r>
              <w:rPr>
                <w:rFonts w:eastAsia="Times New Roman" w:cs="Times New Roman"/>
                <w:color w:val="000000"/>
                <w:sz w:val="20"/>
                <w:szCs w:val="18"/>
              </w:rPr>
              <w:t>99</w:t>
            </w:r>
            <w:r w:rsidRPr="00DF514C" w:rsidR="005337AF">
              <w:rPr>
                <w:rFonts w:eastAsia="Times New Roman" w:cs="Times New Roman"/>
                <w:color w:val="000000"/>
                <w:sz w:val="20"/>
                <w:szCs w:val="18"/>
              </w:rPr>
              <w:t>%</w:t>
            </w:r>
          </w:p>
        </w:tc>
        <w:tc>
          <w:tcPr>
            <w:tcW w:w="945" w:type="dxa"/>
            <w:vAlign w:val="center"/>
          </w:tcPr>
          <w:p w:rsidR="00EF32B6" w:rsidRPr="00DF514C" w:rsidP="0074576D" w14:paraId="7AFA0C26" w14:textId="1D098AE1">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w:t>
            </w:r>
            <w:r w:rsidR="0074576D">
              <w:rPr>
                <w:rFonts w:eastAsia="Times New Roman" w:cs="Times New Roman"/>
                <w:color w:val="000000"/>
                <w:sz w:val="20"/>
                <w:szCs w:val="18"/>
              </w:rPr>
              <w:t>9</w:t>
            </w:r>
            <w:r w:rsidRPr="00DF514C">
              <w:rPr>
                <w:rFonts w:eastAsia="Times New Roman" w:cs="Times New Roman"/>
                <w:color w:val="000000"/>
                <w:sz w:val="20"/>
                <w:szCs w:val="18"/>
              </w:rPr>
              <w:t>%</w:t>
            </w:r>
          </w:p>
        </w:tc>
        <w:tc>
          <w:tcPr>
            <w:tcW w:w="945" w:type="dxa"/>
            <w:vAlign w:val="center"/>
          </w:tcPr>
          <w:p w:rsidR="00EF32B6" w:rsidRPr="00DF514C" w:rsidP="00DF514C" w14:paraId="4A2FDA11" w14:textId="44F545EE">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99%</w:t>
            </w:r>
          </w:p>
        </w:tc>
        <w:tc>
          <w:tcPr>
            <w:tcW w:w="945" w:type="dxa"/>
            <w:vAlign w:val="center"/>
          </w:tcPr>
          <w:p w:rsidR="00EF32B6" w:rsidRPr="00DF514C" w:rsidP="00DF514C" w14:paraId="6A992701" w14:textId="574D7420">
            <w:pPr>
              <w:widowControl w:val="0"/>
              <w:autoSpaceDE w:val="0"/>
              <w:autoSpaceDN w:val="0"/>
              <w:adjustRightInd w:val="0"/>
              <w:spacing w:after="58" w:line="240" w:lineRule="auto"/>
              <w:jc w:val="center"/>
              <w:rPr>
                <w:rFonts w:eastAsia="Times New Roman" w:cs="Times New Roman"/>
                <w:color w:val="000000"/>
                <w:sz w:val="20"/>
                <w:szCs w:val="18"/>
              </w:rPr>
            </w:pPr>
            <w:r>
              <w:rPr>
                <w:rFonts w:eastAsia="Times New Roman" w:cs="Times New Roman"/>
                <w:color w:val="000000"/>
                <w:sz w:val="20"/>
                <w:szCs w:val="18"/>
              </w:rPr>
              <w:t>99</w:t>
            </w:r>
            <w:r w:rsidRPr="00DF514C" w:rsidR="005337AF">
              <w:rPr>
                <w:rFonts w:eastAsia="Times New Roman" w:cs="Times New Roman"/>
                <w:color w:val="000000"/>
                <w:sz w:val="20"/>
                <w:szCs w:val="18"/>
              </w:rPr>
              <w:t>%</w:t>
            </w:r>
          </w:p>
        </w:tc>
      </w:tr>
    </w:tbl>
    <w:p w:rsidR="00A85C31" w14:paraId="4C76DAA9" w14:textId="22D4C0BA">
      <w:pPr>
        <w:rPr>
          <w:rFonts w:ascii="Calibri" w:hAnsi="Calibri"/>
          <w:szCs w:val="24"/>
        </w:rPr>
      </w:pPr>
      <w:r>
        <w:rPr>
          <w:rFonts w:ascii="Calibri" w:hAnsi="Calibri"/>
          <w:szCs w:val="24"/>
        </w:rPr>
        <w:t>Response rates are unavailable for proposed Form EIA-806.</w:t>
      </w:r>
    </w:p>
    <w:p w:rsidR="00171574" w14:paraId="386F59CC" w14:textId="77777777">
      <w:pPr>
        <w:rPr>
          <w:rFonts w:ascii="Calibri" w:hAnsi="Calibri"/>
          <w:szCs w:val="24"/>
        </w:rPr>
      </w:pPr>
    </w:p>
    <w:tbl>
      <w:tblPr>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2"/>
        <w:gridCol w:w="945"/>
        <w:gridCol w:w="865"/>
        <w:gridCol w:w="945"/>
        <w:gridCol w:w="865"/>
        <w:gridCol w:w="865"/>
        <w:gridCol w:w="865"/>
        <w:gridCol w:w="865"/>
        <w:gridCol w:w="865"/>
        <w:gridCol w:w="945"/>
      </w:tblGrid>
      <w:tr w14:paraId="7660D9B8" w14:textId="75BE95E5" w:rsidTr="00DF514C">
        <w:tblPrEx>
          <w:tblW w:w="95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12" w:type="dxa"/>
            <w:shd w:val="clear" w:color="auto" w:fill="D9D9D9" w:themeFill="background1" w:themeFillShade="D9"/>
            <w:vAlign w:val="center"/>
          </w:tcPr>
          <w:p w:rsidR="00EF32B6" w:rsidRPr="00DF514C" w14:paraId="13DD5C05" w14:textId="55F6FAF7">
            <w:pPr>
              <w:widowControl w:val="0"/>
              <w:autoSpaceDE w:val="0"/>
              <w:autoSpaceDN w:val="0"/>
              <w:adjustRightInd w:val="0"/>
              <w:spacing w:after="0" w:line="240" w:lineRule="auto"/>
              <w:rPr>
                <w:sz w:val="20"/>
                <w:szCs w:val="18"/>
              </w:rPr>
            </w:pPr>
            <w:r w:rsidRPr="00DF514C">
              <w:rPr>
                <w:sz w:val="20"/>
                <w:szCs w:val="18"/>
              </w:rPr>
              <w:t>Survey</w:t>
            </w:r>
          </w:p>
        </w:tc>
        <w:tc>
          <w:tcPr>
            <w:tcW w:w="945" w:type="dxa"/>
            <w:shd w:val="clear" w:color="auto" w:fill="D9D9D9" w:themeFill="background1" w:themeFillShade="D9"/>
            <w:vAlign w:val="center"/>
          </w:tcPr>
          <w:p w:rsidR="00EF32B6" w:rsidRPr="00DF514C" w:rsidP="00DF514C" w14:paraId="2E1FE896" w14:textId="25565EA0">
            <w:pPr>
              <w:widowControl w:val="0"/>
              <w:autoSpaceDE w:val="0"/>
              <w:autoSpaceDN w:val="0"/>
              <w:adjustRightInd w:val="0"/>
              <w:spacing w:after="0" w:line="240" w:lineRule="auto"/>
              <w:jc w:val="center"/>
              <w:rPr>
                <w:sz w:val="20"/>
                <w:szCs w:val="18"/>
              </w:rPr>
            </w:pPr>
            <w:r w:rsidRPr="00DF514C">
              <w:rPr>
                <w:sz w:val="20"/>
                <w:szCs w:val="18"/>
              </w:rPr>
              <w:t>EIA-810</w:t>
            </w:r>
          </w:p>
        </w:tc>
        <w:tc>
          <w:tcPr>
            <w:tcW w:w="865" w:type="dxa"/>
            <w:shd w:val="clear" w:color="auto" w:fill="D9D9D9" w:themeFill="background1" w:themeFillShade="D9"/>
            <w:vAlign w:val="center"/>
          </w:tcPr>
          <w:p w:rsidR="00EF32B6" w:rsidRPr="00DF514C" w:rsidP="00DF514C" w14:paraId="192A81E2" w14:textId="20F879FF">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EIA-812</w:t>
            </w:r>
          </w:p>
        </w:tc>
        <w:tc>
          <w:tcPr>
            <w:tcW w:w="945" w:type="dxa"/>
            <w:shd w:val="clear" w:color="auto" w:fill="D9D9D9" w:themeFill="background1" w:themeFillShade="D9"/>
            <w:vAlign w:val="center"/>
          </w:tcPr>
          <w:p w:rsidR="00EF32B6" w:rsidRPr="00DF514C" w:rsidP="00DF514C" w14:paraId="0EC58835" w14:textId="29BA8A8D">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EIA-813</w:t>
            </w:r>
          </w:p>
        </w:tc>
        <w:tc>
          <w:tcPr>
            <w:tcW w:w="865" w:type="dxa"/>
            <w:shd w:val="clear" w:color="auto" w:fill="D9D9D9" w:themeFill="background1" w:themeFillShade="D9"/>
            <w:vAlign w:val="center"/>
          </w:tcPr>
          <w:p w:rsidR="00EF32B6" w:rsidRPr="00DF514C" w:rsidP="00DF514C" w14:paraId="4B070935" w14:textId="6E6CF53F">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EIA-814</w:t>
            </w:r>
          </w:p>
        </w:tc>
        <w:tc>
          <w:tcPr>
            <w:tcW w:w="865" w:type="dxa"/>
            <w:shd w:val="clear" w:color="auto" w:fill="D9D9D9" w:themeFill="background1" w:themeFillShade="D9"/>
            <w:vAlign w:val="center"/>
          </w:tcPr>
          <w:p w:rsidR="00EF32B6" w:rsidRPr="00DF514C" w:rsidP="00DF514C" w14:paraId="67F919AE" w14:textId="35623A00">
            <w:pPr>
              <w:widowControl w:val="0"/>
              <w:autoSpaceDE w:val="0"/>
              <w:autoSpaceDN w:val="0"/>
              <w:adjustRightInd w:val="0"/>
              <w:spacing w:after="58" w:line="240" w:lineRule="auto"/>
              <w:jc w:val="center"/>
              <w:rPr>
                <w:rFonts w:eastAsia="Times New Roman" w:cs="Times New Roman"/>
                <w:b/>
                <w:color w:val="000000"/>
                <w:sz w:val="20"/>
                <w:szCs w:val="18"/>
              </w:rPr>
            </w:pPr>
            <w:r w:rsidRPr="00DF514C">
              <w:rPr>
                <w:sz w:val="20"/>
                <w:szCs w:val="18"/>
              </w:rPr>
              <w:t>EIA-815</w:t>
            </w:r>
          </w:p>
        </w:tc>
        <w:tc>
          <w:tcPr>
            <w:tcW w:w="865" w:type="dxa"/>
            <w:shd w:val="clear" w:color="auto" w:fill="D9D9D9" w:themeFill="background1" w:themeFillShade="D9"/>
            <w:vAlign w:val="center"/>
          </w:tcPr>
          <w:p w:rsidR="00EF32B6" w:rsidRPr="00DF514C" w:rsidP="00DF514C" w14:paraId="4D49BFA7" w14:textId="7C1D1A98">
            <w:pPr>
              <w:widowControl w:val="0"/>
              <w:autoSpaceDE w:val="0"/>
              <w:autoSpaceDN w:val="0"/>
              <w:adjustRightInd w:val="0"/>
              <w:spacing w:after="58" w:line="240" w:lineRule="auto"/>
              <w:jc w:val="center"/>
              <w:rPr>
                <w:sz w:val="20"/>
                <w:szCs w:val="18"/>
              </w:rPr>
            </w:pPr>
            <w:r w:rsidRPr="00DF514C">
              <w:rPr>
                <w:sz w:val="20"/>
                <w:szCs w:val="18"/>
              </w:rPr>
              <w:t>EIA-816</w:t>
            </w:r>
          </w:p>
        </w:tc>
        <w:tc>
          <w:tcPr>
            <w:tcW w:w="865" w:type="dxa"/>
            <w:shd w:val="clear" w:color="auto" w:fill="D9D9D9" w:themeFill="background1" w:themeFillShade="D9"/>
            <w:vAlign w:val="center"/>
          </w:tcPr>
          <w:p w:rsidR="00EF32B6" w:rsidRPr="00DF514C" w:rsidP="00DF514C" w14:paraId="5A5B29D6" w14:textId="2363F8BA">
            <w:pPr>
              <w:widowControl w:val="0"/>
              <w:autoSpaceDE w:val="0"/>
              <w:autoSpaceDN w:val="0"/>
              <w:adjustRightInd w:val="0"/>
              <w:spacing w:after="58" w:line="240" w:lineRule="auto"/>
              <w:jc w:val="center"/>
              <w:rPr>
                <w:sz w:val="20"/>
                <w:szCs w:val="18"/>
              </w:rPr>
            </w:pPr>
            <w:r w:rsidRPr="00DF514C">
              <w:rPr>
                <w:sz w:val="20"/>
                <w:szCs w:val="18"/>
              </w:rPr>
              <w:t>EIA-817</w:t>
            </w:r>
          </w:p>
        </w:tc>
        <w:tc>
          <w:tcPr>
            <w:tcW w:w="865" w:type="dxa"/>
            <w:shd w:val="clear" w:color="auto" w:fill="D9D9D9" w:themeFill="background1" w:themeFillShade="D9"/>
            <w:vAlign w:val="center"/>
          </w:tcPr>
          <w:p w:rsidR="00EF32B6" w:rsidRPr="00DF514C" w:rsidP="00DF514C" w14:paraId="2A861867" w14:textId="7A3BA0F2">
            <w:pPr>
              <w:widowControl w:val="0"/>
              <w:autoSpaceDE w:val="0"/>
              <w:autoSpaceDN w:val="0"/>
              <w:adjustRightInd w:val="0"/>
              <w:spacing w:after="58" w:line="240" w:lineRule="auto"/>
              <w:jc w:val="center"/>
              <w:rPr>
                <w:sz w:val="20"/>
                <w:szCs w:val="18"/>
              </w:rPr>
            </w:pPr>
            <w:r w:rsidRPr="00DF514C">
              <w:rPr>
                <w:sz w:val="20"/>
                <w:szCs w:val="18"/>
              </w:rPr>
              <w:t>EIA-819</w:t>
            </w:r>
          </w:p>
        </w:tc>
        <w:tc>
          <w:tcPr>
            <w:tcW w:w="945" w:type="dxa"/>
            <w:shd w:val="clear" w:color="auto" w:fill="D9D9D9" w:themeFill="background1" w:themeFillShade="D9"/>
            <w:vAlign w:val="center"/>
          </w:tcPr>
          <w:p w:rsidR="00EF32B6" w:rsidRPr="00DF514C" w:rsidP="00DF514C" w14:paraId="2B896F40" w14:textId="5C9A50DC">
            <w:pPr>
              <w:widowControl w:val="0"/>
              <w:autoSpaceDE w:val="0"/>
              <w:autoSpaceDN w:val="0"/>
              <w:adjustRightInd w:val="0"/>
              <w:spacing w:after="58" w:line="240" w:lineRule="auto"/>
              <w:jc w:val="center"/>
              <w:rPr>
                <w:sz w:val="20"/>
                <w:szCs w:val="18"/>
              </w:rPr>
            </w:pPr>
            <w:r w:rsidRPr="00DF514C">
              <w:rPr>
                <w:sz w:val="20"/>
                <w:szCs w:val="18"/>
              </w:rPr>
              <w:t>EIA-820</w:t>
            </w:r>
          </w:p>
        </w:tc>
      </w:tr>
      <w:tr w14:paraId="04647060" w14:textId="527DA3DE" w:rsidTr="00DF514C">
        <w:tblPrEx>
          <w:tblW w:w="9537" w:type="dxa"/>
          <w:tblInd w:w="-5" w:type="dxa"/>
          <w:tblLayout w:type="fixed"/>
          <w:tblLook w:val="0000"/>
        </w:tblPrEx>
        <w:tc>
          <w:tcPr>
            <w:tcW w:w="1512" w:type="dxa"/>
            <w:shd w:val="clear" w:color="auto" w:fill="D9D9D9" w:themeFill="background1" w:themeFillShade="D9"/>
            <w:vAlign w:val="center"/>
          </w:tcPr>
          <w:p w:rsidR="00EF32B6" w:rsidRPr="00DF514C" w14:paraId="7C8D6605" w14:textId="77777777">
            <w:pPr>
              <w:widowControl w:val="0"/>
              <w:autoSpaceDE w:val="0"/>
              <w:autoSpaceDN w:val="0"/>
              <w:adjustRightInd w:val="0"/>
              <w:spacing w:after="0" w:line="240" w:lineRule="auto"/>
              <w:rPr>
                <w:sz w:val="20"/>
                <w:szCs w:val="18"/>
              </w:rPr>
            </w:pPr>
            <w:r w:rsidRPr="00DF514C">
              <w:rPr>
                <w:sz w:val="20"/>
                <w:szCs w:val="18"/>
              </w:rPr>
              <w:t>Response Rate</w:t>
            </w:r>
          </w:p>
        </w:tc>
        <w:tc>
          <w:tcPr>
            <w:tcW w:w="945" w:type="dxa"/>
            <w:vAlign w:val="center"/>
          </w:tcPr>
          <w:p w:rsidR="00EF32B6" w:rsidRPr="00DF514C" w:rsidP="00DF514C" w14:paraId="578FC986" w14:textId="69A3E4F7">
            <w:pPr>
              <w:widowControl w:val="0"/>
              <w:autoSpaceDE w:val="0"/>
              <w:autoSpaceDN w:val="0"/>
              <w:adjustRightInd w:val="0"/>
              <w:spacing w:after="0" w:line="240" w:lineRule="auto"/>
              <w:jc w:val="center"/>
              <w:rPr>
                <w:sz w:val="20"/>
                <w:szCs w:val="18"/>
              </w:rPr>
            </w:pPr>
            <w:r>
              <w:rPr>
                <w:sz w:val="20"/>
                <w:szCs w:val="18"/>
              </w:rPr>
              <w:t>99</w:t>
            </w:r>
            <w:r w:rsidRPr="00DF514C" w:rsidR="005337AF">
              <w:rPr>
                <w:sz w:val="20"/>
                <w:szCs w:val="18"/>
              </w:rPr>
              <w:t>%</w:t>
            </w:r>
          </w:p>
        </w:tc>
        <w:tc>
          <w:tcPr>
            <w:tcW w:w="865" w:type="dxa"/>
            <w:vAlign w:val="center"/>
          </w:tcPr>
          <w:p w:rsidR="00EF32B6" w:rsidRPr="00DF514C" w:rsidP="00DF514C" w14:paraId="4232EF53" w14:textId="67F0EC8C">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945" w:type="dxa"/>
            <w:vAlign w:val="center"/>
          </w:tcPr>
          <w:p w:rsidR="00EF32B6" w:rsidRPr="00DF514C" w:rsidP="00DF514C" w14:paraId="37140E3B" w14:textId="5C45B91D">
            <w:pPr>
              <w:widowControl w:val="0"/>
              <w:autoSpaceDE w:val="0"/>
              <w:autoSpaceDN w:val="0"/>
              <w:adjustRightInd w:val="0"/>
              <w:spacing w:after="58" w:line="240" w:lineRule="auto"/>
              <w:jc w:val="center"/>
              <w:rPr>
                <w:rFonts w:eastAsia="Times New Roman" w:cs="Times New Roman"/>
                <w:color w:val="000000"/>
                <w:sz w:val="20"/>
                <w:szCs w:val="18"/>
              </w:rPr>
            </w:pPr>
            <w:r>
              <w:rPr>
                <w:rFonts w:eastAsia="Times New Roman" w:cs="Times New Roman"/>
                <w:color w:val="000000"/>
                <w:sz w:val="20"/>
                <w:szCs w:val="18"/>
              </w:rPr>
              <w:t>99</w:t>
            </w:r>
            <w:r w:rsidRPr="00DF514C" w:rsidR="005337AF">
              <w:rPr>
                <w:rFonts w:eastAsia="Times New Roman" w:cs="Times New Roman"/>
                <w:color w:val="000000"/>
                <w:sz w:val="20"/>
                <w:szCs w:val="18"/>
              </w:rPr>
              <w:t>%</w:t>
            </w:r>
          </w:p>
        </w:tc>
        <w:tc>
          <w:tcPr>
            <w:tcW w:w="865" w:type="dxa"/>
            <w:vAlign w:val="center"/>
          </w:tcPr>
          <w:p w:rsidR="00EF32B6" w:rsidRPr="00DF514C" w:rsidP="008F1A24" w14:paraId="1772C76D" w14:textId="712DBEA4">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w:t>
            </w:r>
            <w:r w:rsidR="008F1A24">
              <w:rPr>
                <w:rFonts w:eastAsia="Times New Roman" w:cs="Times New Roman"/>
                <w:color w:val="000000"/>
                <w:sz w:val="20"/>
                <w:szCs w:val="18"/>
              </w:rPr>
              <w:t>9</w:t>
            </w:r>
            <w:r w:rsidRPr="00DF514C">
              <w:rPr>
                <w:rFonts w:eastAsia="Times New Roman" w:cs="Times New Roman"/>
                <w:color w:val="000000"/>
                <w:sz w:val="20"/>
                <w:szCs w:val="18"/>
              </w:rPr>
              <w:t>%</w:t>
            </w:r>
          </w:p>
        </w:tc>
        <w:tc>
          <w:tcPr>
            <w:tcW w:w="865" w:type="dxa"/>
            <w:vAlign w:val="center"/>
          </w:tcPr>
          <w:p w:rsidR="00EF32B6" w:rsidRPr="00DF514C" w:rsidP="00DF514C" w14:paraId="295959D8" w14:textId="1BBA816C">
            <w:pPr>
              <w:widowControl w:val="0"/>
              <w:autoSpaceDE w:val="0"/>
              <w:autoSpaceDN w:val="0"/>
              <w:adjustRightInd w:val="0"/>
              <w:spacing w:after="58" w:line="240" w:lineRule="auto"/>
              <w:jc w:val="center"/>
              <w:rPr>
                <w:rFonts w:eastAsia="Times New Roman" w:cs="Times New Roman"/>
                <w:color w:val="000000"/>
                <w:sz w:val="20"/>
                <w:szCs w:val="18"/>
              </w:rPr>
            </w:pPr>
            <w:r>
              <w:rPr>
                <w:rFonts w:eastAsia="Times New Roman" w:cs="Times New Roman"/>
                <w:color w:val="000000"/>
                <w:sz w:val="20"/>
                <w:szCs w:val="18"/>
              </w:rPr>
              <w:t>100</w:t>
            </w:r>
            <w:r w:rsidRPr="00DF514C" w:rsidR="005337AF">
              <w:rPr>
                <w:rFonts w:eastAsia="Times New Roman" w:cs="Times New Roman"/>
                <w:color w:val="000000"/>
                <w:sz w:val="20"/>
                <w:szCs w:val="18"/>
              </w:rPr>
              <w:t>%</w:t>
            </w:r>
          </w:p>
        </w:tc>
        <w:tc>
          <w:tcPr>
            <w:tcW w:w="865" w:type="dxa"/>
            <w:vAlign w:val="center"/>
          </w:tcPr>
          <w:p w:rsidR="00EF32B6" w:rsidRPr="00DF514C" w:rsidP="00DF514C" w14:paraId="378B753B" w14:textId="75B031A3">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99%</w:t>
            </w:r>
          </w:p>
        </w:tc>
        <w:tc>
          <w:tcPr>
            <w:tcW w:w="865" w:type="dxa"/>
            <w:vAlign w:val="center"/>
          </w:tcPr>
          <w:p w:rsidR="00EF32B6" w:rsidRPr="00DF514C" w:rsidP="00DF514C" w14:paraId="63D8849D" w14:textId="036D3507">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c>
          <w:tcPr>
            <w:tcW w:w="865" w:type="dxa"/>
            <w:vAlign w:val="center"/>
          </w:tcPr>
          <w:p w:rsidR="00EF32B6" w:rsidRPr="00DF514C" w:rsidP="00DF514C" w14:paraId="6EA7BB83" w14:textId="27028358">
            <w:pPr>
              <w:widowControl w:val="0"/>
              <w:autoSpaceDE w:val="0"/>
              <w:autoSpaceDN w:val="0"/>
              <w:adjustRightInd w:val="0"/>
              <w:spacing w:after="58" w:line="240" w:lineRule="auto"/>
              <w:jc w:val="center"/>
              <w:rPr>
                <w:rFonts w:eastAsia="Times New Roman" w:cs="Times New Roman"/>
                <w:color w:val="000000"/>
                <w:sz w:val="20"/>
                <w:szCs w:val="18"/>
              </w:rPr>
            </w:pPr>
            <w:r>
              <w:rPr>
                <w:rFonts w:eastAsia="Times New Roman" w:cs="Times New Roman"/>
                <w:color w:val="000000"/>
                <w:sz w:val="20"/>
                <w:szCs w:val="18"/>
              </w:rPr>
              <w:t>99</w:t>
            </w:r>
            <w:r w:rsidRPr="00DF514C" w:rsidR="005337AF">
              <w:rPr>
                <w:rFonts w:eastAsia="Times New Roman" w:cs="Times New Roman"/>
                <w:color w:val="000000"/>
                <w:sz w:val="20"/>
                <w:szCs w:val="18"/>
              </w:rPr>
              <w:t>%</w:t>
            </w:r>
          </w:p>
        </w:tc>
        <w:tc>
          <w:tcPr>
            <w:tcW w:w="945" w:type="dxa"/>
            <w:vAlign w:val="center"/>
          </w:tcPr>
          <w:p w:rsidR="00EF32B6" w:rsidRPr="00DF514C" w:rsidP="00DF514C" w14:paraId="39046FA3" w14:textId="53C281A1">
            <w:pPr>
              <w:widowControl w:val="0"/>
              <w:autoSpaceDE w:val="0"/>
              <w:autoSpaceDN w:val="0"/>
              <w:adjustRightInd w:val="0"/>
              <w:spacing w:after="58" w:line="240" w:lineRule="auto"/>
              <w:jc w:val="center"/>
              <w:rPr>
                <w:rFonts w:eastAsia="Times New Roman" w:cs="Times New Roman"/>
                <w:color w:val="000000"/>
                <w:sz w:val="20"/>
                <w:szCs w:val="18"/>
              </w:rPr>
            </w:pPr>
            <w:r w:rsidRPr="00DF514C">
              <w:rPr>
                <w:rFonts w:eastAsia="Times New Roman" w:cs="Times New Roman"/>
                <w:color w:val="000000"/>
                <w:sz w:val="20"/>
                <w:szCs w:val="18"/>
              </w:rPr>
              <w:t>100%</w:t>
            </w:r>
          </w:p>
        </w:tc>
      </w:tr>
    </w:tbl>
    <w:p w:rsidR="00EF32B6" w:rsidRPr="00887E62" w14:paraId="21A6B794" w14:textId="77777777">
      <w:pPr>
        <w:rPr>
          <w:rFonts w:ascii="Calibri" w:hAnsi="Calibri"/>
          <w:szCs w:val="24"/>
        </w:rPr>
      </w:pPr>
    </w:p>
    <w:p w:rsidR="007E53C4" w14:paraId="53CDC6EF" w14:textId="1D3BEBCC">
      <w:pPr>
        <w:pStyle w:val="Heading2"/>
      </w:pPr>
      <w:r>
        <w:t>B.</w:t>
      </w:r>
      <w:r w:rsidRPr="00A41763" w:rsidR="00A41763">
        <w:t xml:space="preserve">4. </w:t>
      </w:r>
      <w:r>
        <w:t>Test Procedures and Form Consultations</w:t>
      </w:r>
      <w:bookmarkEnd w:id="7"/>
    </w:p>
    <w:p w:rsidR="007F21F7" w14:paraId="51699F08" w14:textId="2828224F">
      <w:pPr>
        <w:rPr>
          <w:lang w:bidi="en-US"/>
        </w:rPr>
      </w:pPr>
      <w:r>
        <w:rPr>
          <w:lang w:bidi="en-US"/>
        </w:rPr>
        <w:t xml:space="preserve">In preparation for clearance of the 2019 Petroleum Supply Program by the Office of Management and Budget (OMB), EIA’s Survey Development </w:t>
      </w:r>
      <w:r w:rsidR="006229CE">
        <w:rPr>
          <w:lang w:bidi="en-US"/>
        </w:rPr>
        <w:t xml:space="preserve">and Administrative </w:t>
      </w:r>
      <w:r>
        <w:rPr>
          <w:lang w:bidi="en-US"/>
        </w:rPr>
        <w:t>Team (</w:t>
      </w:r>
      <w:r>
        <w:rPr>
          <w:lang w:bidi="en-US"/>
        </w:rPr>
        <w:t>SD</w:t>
      </w:r>
      <w:r w:rsidR="006229CE">
        <w:rPr>
          <w:lang w:bidi="en-US"/>
        </w:rPr>
        <w:t>A</w:t>
      </w:r>
      <w:r>
        <w:rPr>
          <w:lang w:bidi="en-US"/>
        </w:rPr>
        <w:t>T</w:t>
      </w:r>
      <w:r>
        <w:rPr>
          <w:lang w:bidi="en-US"/>
        </w:rPr>
        <w:t xml:space="preserve">) received approval from OMB to conduct cognitive testing in 2018 on </w:t>
      </w:r>
      <w:r w:rsidR="00A32F79">
        <w:rPr>
          <w:lang w:bidi="en-US"/>
        </w:rPr>
        <w:t>Form EIA-816</w:t>
      </w:r>
      <w:r>
        <w:rPr>
          <w:lang w:bidi="en-US"/>
        </w:rPr>
        <w:t xml:space="preserve"> to assess the impact of potential changes for future iterations of the survey.</w:t>
      </w:r>
      <w:r w:rsidR="00255082">
        <w:rPr>
          <w:lang w:bidi="en-US"/>
        </w:rPr>
        <w:t xml:space="preserve"> </w:t>
      </w:r>
    </w:p>
    <w:p w:rsidR="00616617" w14:paraId="46A17C97" w14:textId="26B8F39D">
      <w:pPr>
        <w:rPr>
          <w:lang w:bidi="en-US"/>
        </w:rPr>
      </w:pPr>
      <w:r>
        <w:rPr>
          <w:lang w:bidi="en-US"/>
        </w:rPr>
        <w:t>SD</w:t>
      </w:r>
      <w:r w:rsidR="006229CE">
        <w:rPr>
          <w:lang w:bidi="en-US"/>
        </w:rPr>
        <w:t>A</w:t>
      </w:r>
      <w:r>
        <w:rPr>
          <w:lang w:bidi="en-US"/>
        </w:rPr>
        <w:t>T</w:t>
      </w:r>
      <w:r>
        <w:rPr>
          <w:lang w:bidi="en-US"/>
        </w:rPr>
        <w:t xml:space="preserve"> designed </w:t>
      </w:r>
      <w:r w:rsidR="00A32F79">
        <w:rPr>
          <w:lang w:bidi="en-US"/>
        </w:rPr>
        <w:t xml:space="preserve">a </w:t>
      </w:r>
      <w:r w:rsidR="003831AF">
        <w:rPr>
          <w:lang w:bidi="en-US"/>
        </w:rPr>
        <w:t>research project to collect informatio</w:t>
      </w:r>
      <w:r>
        <w:rPr>
          <w:lang w:bidi="en-US"/>
        </w:rPr>
        <w:t xml:space="preserve">n from survey respondents on proposed changes to forms in the </w:t>
      </w:r>
      <w:r>
        <w:rPr>
          <w:lang w:bidi="en-US"/>
        </w:rPr>
        <w:t>PSRS</w:t>
      </w:r>
      <w:r>
        <w:rPr>
          <w:lang w:bidi="en-US"/>
        </w:rPr>
        <w:t>.</w:t>
      </w:r>
      <w:r w:rsidR="00255082">
        <w:rPr>
          <w:lang w:bidi="en-US"/>
        </w:rPr>
        <w:t xml:space="preserve"> </w:t>
      </w:r>
      <w:r>
        <w:rPr>
          <w:lang w:bidi="en-US"/>
        </w:rPr>
        <w:t xml:space="preserve">The </w:t>
      </w:r>
      <w:r w:rsidR="0094489E">
        <w:rPr>
          <w:lang w:bidi="en-US"/>
        </w:rPr>
        <w:t xml:space="preserve">research project </w:t>
      </w:r>
      <w:r>
        <w:rPr>
          <w:lang w:bidi="en-US"/>
        </w:rPr>
        <w:t xml:space="preserve">evaluated proposed changes to </w:t>
      </w:r>
      <w:r w:rsidR="003831AF">
        <w:rPr>
          <w:lang w:bidi="en-US"/>
        </w:rPr>
        <w:t xml:space="preserve">EIA-816 </w:t>
      </w:r>
      <w:r w:rsidRPr="00860534" w:rsidR="003831AF">
        <w:rPr>
          <w:i/>
          <w:lang w:bidi="en-US"/>
        </w:rPr>
        <w:t>Monthly Natural Gas Liquids Report</w:t>
      </w:r>
      <w:r w:rsidR="003831AF">
        <w:rPr>
          <w:lang w:bidi="en-US"/>
        </w:rPr>
        <w:t>.</w:t>
      </w:r>
      <w:r w:rsidR="00255082">
        <w:rPr>
          <w:lang w:bidi="en-US"/>
        </w:rPr>
        <w:t xml:space="preserve"> </w:t>
      </w:r>
      <w:r w:rsidR="003831AF">
        <w:rPr>
          <w:lang w:bidi="en-US"/>
        </w:rPr>
        <w:t>The objectives of</w:t>
      </w:r>
      <w:r>
        <w:rPr>
          <w:lang w:bidi="en-US"/>
        </w:rPr>
        <w:t xml:space="preserve"> this </w:t>
      </w:r>
      <w:r w:rsidR="003831AF">
        <w:rPr>
          <w:lang w:bidi="en-US"/>
        </w:rPr>
        <w:t>project were to assess Form EIA-816 respondents ability to report information related to their gas processing and condensate stabilization activities; determine if respondents are able to report fractionation output production data on a weekly basis; and estimate any changes in reporting burden associated with collecting this additional information as well as obtain feedback on the accuracy of</w:t>
      </w:r>
      <w:r>
        <w:rPr>
          <w:lang w:bidi="en-US"/>
        </w:rPr>
        <w:t xml:space="preserve"> the current reporting burden.</w:t>
      </w:r>
      <w:r w:rsidR="00255082">
        <w:rPr>
          <w:lang w:bidi="en-US"/>
        </w:rPr>
        <w:t xml:space="preserve"> </w:t>
      </w:r>
    </w:p>
    <w:p w:rsidR="00616617" w14:paraId="2366BC0B" w14:textId="47A1EE42">
      <w:pPr>
        <w:rPr>
          <w:lang w:bidi="en-US"/>
        </w:rPr>
      </w:pPr>
      <w:r>
        <w:rPr>
          <w:lang w:bidi="en-US"/>
        </w:rPr>
        <w:t xml:space="preserve">The first step of the process was for </w:t>
      </w:r>
      <w:r w:rsidR="006229CE">
        <w:rPr>
          <w:lang w:bidi="en-US"/>
        </w:rPr>
        <w:t>SDAT</w:t>
      </w:r>
      <w:r>
        <w:rPr>
          <w:lang w:bidi="en-US"/>
        </w:rPr>
        <w:t xml:space="preserve"> to meet with </w:t>
      </w:r>
      <w:r w:rsidR="00BA4B85">
        <w:rPr>
          <w:lang w:bidi="en-US"/>
        </w:rPr>
        <w:t>OGPST</w:t>
      </w:r>
      <w:r>
        <w:rPr>
          <w:lang w:bidi="en-US"/>
        </w:rPr>
        <w:t xml:space="preserve"> managers to determine material issues and formulate the research objectives of the testing.</w:t>
      </w:r>
      <w:r w:rsidR="00255082">
        <w:rPr>
          <w:lang w:bidi="en-US"/>
        </w:rPr>
        <w:t xml:space="preserve"> </w:t>
      </w:r>
      <w:r w:rsidR="006229CE">
        <w:rPr>
          <w:lang w:bidi="en-US"/>
        </w:rPr>
        <w:t>SDAT</w:t>
      </w:r>
      <w:r>
        <w:rPr>
          <w:lang w:bidi="en-US"/>
        </w:rPr>
        <w:t xml:space="preserve"> then developed draft cognitive interview protocols for </w:t>
      </w:r>
      <w:r w:rsidRPr="00BA4B85" w:rsidR="00BA4B85">
        <w:rPr>
          <w:lang w:bidi="en-US"/>
        </w:rPr>
        <w:t>Oil &amp; Gas Production &amp; Petroleum Supply Team</w:t>
      </w:r>
      <w:r w:rsidR="00BA4B85">
        <w:rPr>
          <w:lang w:bidi="en-US"/>
        </w:rPr>
        <w:t xml:space="preserve"> (</w:t>
      </w:r>
      <w:r w:rsidR="00BA4B85">
        <w:rPr>
          <w:lang w:bidi="en-US"/>
        </w:rPr>
        <w:t>OGPST</w:t>
      </w:r>
      <w:r w:rsidR="00BA4B85">
        <w:rPr>
          <w:lang w:bidi="en-US"/>
        </w:rPr>
        <w:t>)</w:t>
      </w:r>
      <w:r>
        <w:rPr>
          <w:lang w:bidi="en-US"/>
        </w:rPr>
        <w:t xml:space="preserve"> to assess respondent’s ability to report new information, clarify areas of confusion or misreporting of data elements, possible deletion or collapsing of data categories, and verifying reporting</w:t>
      </w:r>
      <w:r w:rsidR="007E6E85">
        <w:rPr>
          <w:lang w:bidi="en-US"/>
        </w:rPr>
        <w:t xml:space="preserve"> burden.</w:t>
      </w:r>
      <w:r w:rsidR="00255082">
        <w:rPr>
          <w:lang w:bidi="en-US"/>
        </w:rPr>
        <w:t xml:space="preserve"> </w:t>
      </w:r>
      <w:r w:rsidR="007E6E85">
        <w:rPr>
          <w:lang w:bidi="en-US"/>
        </w:rPr>
        <w:t>After the protocols were reviewed and accepted</w:t>
      </w:r>
      <w:r w:rsidR="004101E2">
        <w:rPr>
          <w:lang w:bidi="en-US"/>
        </w:rPr>
        <w:t>,</w:t>
      </w:r>
      <w:r w:rsidR="007E6E85">
        <w:rPr>
          <w:lang w:bidi="en-US"/>
        </w:rPr>
        <w:t xml:space="preserve"> a clearance request</w:t>
      </w:r>
      <w:r w:rsidR="004101E2">
        <w:rPr>
          <w:lang w:bidi="en-US"/>
        </w:rPr>
        <w:t xml:space="preserve"> for research on Forms EIA-816 </w:t>
      </w:r>
      <w:r w:rsidR="007E6E85">
        <w:rPr>
          <w:lang w:bidi="en-US"/>
        </w:rPr>
        <w:t xml:space="preserve">was submitted to OMB and </w:t>
      </w:r>
      <w:r w:rsidR="004101E2">
        <w:rPr>
          <w:lang w:bidi="en-US"/>
        </w:rPr>
        <w:t>subsequently</w:t>
      </w:r>
      <w:r w:rsidR="000B5349">
        <w:rPr>
          <w:lang w:bidi="en-US"/>
        </w:rPr>
        <w:t xml:space="preserve"> approved</w:t>
      </w:r>
      <w:r w:rsidR="007E6E85">
        <w:rPr>
          <w:lang w:bidi="en-US"/>
        </w:rPr>
        <w:t>.</w:t>
      </w:r>
      <w:r w:rsidR="00255082">
        <w:rPr>
          <w:lang w:bidi="en-US"/>
        </w:rPr>
        <w:t xml:space="preserve"> </w:t>
      </w:r>
      <w:r w:rsidR="006229CE">
        <w:rPr>
          <w:lang w:bidi="en-US"/>
        </w:rPr>
        <w:t>SDAT</w:t>
      </w:r>
      <w:r w:rsidR="007E6E85">
        <w:rPr>
          <w:lang w:bidi="en-US"/>
        </w:rPr>
        <w:t xml:space="preserve"> contacted potential respondents based on recommendations from </w:t>
      </w:r>
      <w:r w:rsidR="00BA4B85">
        <w:rPr>
          <w:lang w:bidi="en-US"/>
        </w:rPr>
        <w:t>OGPST</w:t>
      </w:r>
      <w:r w:rsidR="007E6E85">
        <w:rPr>
          <w:lang w:bidi="en-US"/>
        </w:rPr>
        <w:t>.</w:t>
      </w:r>
      <w:r w:rsidR="00255082">
        <w:rPr>
          <w:lang w:bidi="en-US"/>
        </w:rPr>
        <w:t xml:space="preserve"> </w:t>
      </w:r>
      <w:r w:rsidR="007E6E85">
        <w:rPr>
          <w:lang w:bidi="en-US"/>
        </w:rPr>
        <w:t>Since the testing was voluntary, several phone calls were made to identify participants for the study.</w:t>
      </w:r>
      <w:r w:rsidR="002C2864">
        <w:rPr>
          <w:lang w:bidi="en-US"/>
        </w:rPr>
        <w:t xml:space="preserve"> 14 interviews</w:t>
      </w:r>
      <w:r w:rsidR="004B36FE">
        <w:rPr>
          <w:lang w:bidi="en-US"/>
        </w:rPr>
        <w:t xml:space="preserve"> </w:t>
      </w:r>
      <w:r w:rsidR="004B36FE">
        <w:rPr>
          <w:lang w:bidi="en-US"/>
        </w:rPr>
        <w:t>were conducted for EIA-816.</w:t>
      </w:r>
      <w:r w:rsidR="00255082">
        <w:rPr>
          <w:lang w:bidi="en-US"/>
        </w:rPr>
        <w:t xml:space="preserve"> </w:t>
      </w:r>
      <w:r w:rsidR="007E6E85">
        <w:rPr>
          <w:lang w:bidi="en-US"/>
        </w:rPr>
        <w:t>The confidential interviews lasted 45 minutes to 1 hour.</w:t>
      </w:r>
      <w:r w:rsidR="00255082">
        <w:rPr>
          <w:lang w:bidi="en-US"/>
        </w:rPr>
        <w:t xml:space="preserve"> </w:t>
      </w:r>
      <w:r w:rsidR="007E6E85">
        <w:rPr>
          <w:lang w:bidi="en-US"/>
        </w:rPr>
        <w:t>The interviews consisted of an introduction of the interviewers, the purpose of the call, background information on reporting practices, survey-specific questions, and a final opportunity for respondents to comment on any matter they wished to mention.</w:t>
      </w:r>
      <w:r w:rsidR="00255082">
        <w:rPr>
          <w:lang w:bidi="en-US"/>
        </w:rPr>
        <w:t xml:space="preserve"> </w:t>
      </w:r>
      <w:r w:rsidR="007E6E85">
        <w:rPr>
          <w:lang w:bidi="en-US"/>
        </w:rPr>
        <w:t xml:space="preserve">Final reports were drafted for each survey summarizing the objectives, methodology, and specific findings and provided to </w:t>
      </w:r>
      <w:r w:rsidR="00BA4B85">
        <w:rPr>
          <w:lang w:bidi="en-US"/>
        </w:rPr>
        <w:t>OGPST</w:t>
      </w:r>
      <w:r w:rsidR="007E6E85">
        <w:rPr>
          <w:lang w:bidi="en-US"/>
        </w:rPr>
        <w:t xml:space="preserve"> for consideration.</w:t>
      </w:r>
      <w:r w:rsidR="00255082">
        <w:rPr>
          <w:lang w:bidi="en-US"/>
        </w:rPr>
        <w:t xml:space="preserve"> </w:t>
      </w:r>
    </w:p>
    <w:p w:rsidR="004B36FE" w14:paraId="6E74B190" w14:textId="2A3E2714">
      <w:pPr>
        <w:rPr>
          <w:lang w:bidi="en-US"/>
        </w:rPr>
      </w:pPr>
      <w:r>
        <w:rPr>
          <w:lang w:bidi="en-US"/>
        </w:rPr>
        <w:t xml:space="preserve">EIA’s </w:t>
      </w:r>
      <w:r w:rsidR="006229CE">
        <w:rPr>
          <w:lang w:bidi="en-US"/>
        </w:rPr>
        <w:t>SDAT</w:t>
      </w:r>
      <w:r>
        <w:rPr>
          <w:lang w:bidi="en-US"/>
        </w:rPr>
        <w:t xml:space="preserve"> was also used to conduct a data quality study involving respondents of Form EIA-804</w:t>
      </w:r>
      <w:r w:rsidR="006C7334">
        <w:rPr>
          <w:lang w:bidi="en-US"/>
        </w:rPr>
        <w:t xml:space="preserve"> </w:t>
      </w:r>
      <w:r w:rsidR="006C7334">
        <w:rPr>
          <w:i/>
          <w:lang w:bidi="en-US"/>
        </w:rPr>
        <w:t>Weekly Imports Report</w:t>
      </w:r>
      <w:r w:rsidR="006C7334">
        <w:rPr>
          <w:lang w:bidi="en-US"/>
        </w:rPr>
        <w:t xml:space="preserve"> and Form EIA-814 </w:t>
      </w:r>
      <w:r w:rsidR="006C7334">
        <w:rPr>
          <w:i/>
          <w:lang w:bidi="en-US"/>
        </w:rPr>
        <w:t>Monthly Imports Report</w:t>
      </w:r>
      <w:r>
        <w:rPr>
          <w:lang w:bidi="en-US"/>
        </w:rPr>
        <w:t xml:space="preserve">. </w:t>
      </w:r>
      <w:r w:rsidR="006C7334">
        <w:rPr>
          <w:lang w:bidi="en-US"/>
        </w:rPr>
        <w:t xml:space="preserve">The purpose of the study was to determine what sources of information do respondents use when they are reporting for both forms as well as a check on reporting burden. Confidential interviews were conducted with five refiners, three blenders and wholesalers, and seven trading/importing companies. </w:t>
      </w:r>
      <w:r w:rsidR="0055453B">
        <w:rPr>
          <w:lang w:bidi="en-US"/>
        </w:rPr>
        <w:t>The cognitive study found out that 80% of respondents report imports to EIA before their Custom’s and Border Protection</w:t>
      </w:r>
      <w:r w:rsidR="00C7625E">
        <w:rPr>
          <w:lang w:bidi="en-US"/>
        </w:rPr>
        <w:t xml:space="preserve"> (</w:t>
      </w:r>
      <w:r w:rsidR="00C7625E">
        <w:rPr>
          <w:lang w:bidi="en-US"/>
        </w:rPr>
        <w:t>CBP</w:t>
      </w:r>
      <w:r w:rsidR="00C7625E">
        <w:rPr>
          <w:lang w:bidi="en-US"/>
        </w:rPr>
        <w:t>)</w:t>
      </w:r>
      <w:r w:rsidR="0055453B">
        <w:rPr>
          <w:lang w:bidi="en-US"/>
        </w:rPr>
        <w:t xml:space="preserve"> forms are completed and filed. To obtain the data required by EIA-804, 60% of respondents relied directly on transportation documents such as bills of lading, tanker receipts, pipeline delivery tickets, and port operations schedules. </w:t>
      </w:r>
    </w:p>
    <w:p w:rsidR="0055453B" w14:paraId="2A1CD962" w14:textId="0ED67759">
      <w:pPr>
        <w:rPr>
          <w:lang w:bidi="en-US"/>
        </w:rPr>
      </w:pPr>
      <w:r w:rsidRPr="0055453B">
        <w:rPr>
          <w:lang w:bidi="en-US"/>
        </w:rPr>
        <w:t xml:space="preserve">Companies engaged in import activity also have to declare their imports to </w:t>
      </w:r>
      <w:r w:rsidRPr="0055453B">
        <w:rPr>
          <w:lang w:bidi="en-US"/>
        </w:rPr>
        <w:t>CBP</w:t>
      </w:r>
      <w:r w:rsidRPr="0055453B">
        <w:rPr>
          <w:lang w:bidi="en-US"/>
        </w:rPr>
        <w:t xml:space="preserve">. Reporting imports to </w:t>
      </w:r>
      <w:r w:rsidRPr="0055453B">
        <w:rPr>
          <w:lang w:bidi="en-US"/>
        </w:rPr>
        <w:t>CBP</w:t>
      </w:r>
      <w:r w:rsidRPr="0055453B">
        <w:rPr>
          <w:lang w:bidi="en-US"/>
        </w:rPr>
        <w:t xml:space="preserve"> is a two-step process that has longer reporting deadlines than EIA. According to </w:t>
      </w:r>
      <w:r w:rsidRPr="0055453B">
        <w:rPr>
          <w:lang w:bidi="en-US"/>
        </w:rPr>
        <w:t>CBP</w:t>
      </w:r>
      <w:r w:rsidRPr="0055453B">
        <w:rPr>
          <w:lang w:bidi="en-US"/>
        </w:rPr>
        <w:t xml:space="preserve"> regulations, an importer has up to 15 calendar days to file initial entry documentation CF-3461. Once </w:t>
      </w:r>
      <w:r w:rsidRPr="0055453B">
        <w:rPr>
          <w:lang w:bidi="en-US"/>
        </w:rPr>
        <w:t>CBP</w:t>
      </w:r>
      <w:r w:rsidRPr="0055453B">
        <w:rPr>
          <w:lang w:bidi="en-US"/>
        </w:rPr>
        <w:t xml:space="preserve"> examines and releases the import, the importer must file an Entry Summary </w:t>
      </w:r>
      <w:r w:rsidRPr="0055453B">
        <w:rPr>
          <w:lang w:bidi="en-US"/>
        </w:rPr>
        <w:t>CBP</w:t>
      </w:r>
      <w:r w:rsidRPr="0055453B">
        <w:rPr>
          <w:lang w:bidi="en-US"/>
        </w:rPr>
        <w:t xml:space="preserve"> Form CF-7501 within 10 business days (12 calendar days). This means that it may take anywhere from zero to 27 days for a petroleum import to be reported on </w:t>
      </w:r>
      <w:r w:rsidRPr="0055453B">
        <w:rPr>
          <w:lang w:bidi="en-US"/>
        </w:rPr>
        <w:t>CBP</w:t>
      </w:r>
      <w:r w:rsidRPr="0055453B">
        <w:rPr>
          <w:lang w:bidi="en-US"/>
        </w:rPr>
        <w:t xml:space="preserve"> Form CF-7501. In contrast, it takes between four and 11 days from the date a petroleum import physically arrives at the U.S. borders to be reported on Form EIA-804.</w:t>
      </w:r>
    </w:p>
    <w:p w:rsidR="00C7625E" w:rsidP="000F23A1" w14:paraId="54AD5301" w14:textId="77777777">
      <w:pPr>
        <w:jc w:val="center"/>
        <w:rPr>
          <w:lang w:bidi="en-US"/>
        </w:rPr>
      </w:pPr>
    </w:p>
    <w:p w:rsidR="00C7625E" w:rsidP="000F23A1" w14:paraId="76EA3A21" w14:textId="77777777">
      <w:pPr>
        <w:jc w:val="center"/>
        <w:rPr>
          <w:lang w:bidi="en-US"/>
        </w:rPr>
      </w:pPr>
    </w:p>
    <w:p w:rsidR="007F21F7" w:rsidRPr="007F21F7" w:rsidP="000F23A1" w14:paraId="5C06D3DD" w14:textId="207BDA85">
      <w:pPr>
        <w:jc w:val="center"/>
        <w:rPr>
          <w:lang w:bidi="en-US"/>
        </w:rPr>
      </w:pPr>
      <w:r>
        <w:rPr>
          <w:noProof/>
        </w:rPr>
        <w:drawing>
          <wp:inline distT="0" distB="0" distL="0" distR="0">
            <wp:extent cx="5788024" cy="3692350"/>
            <wp:effectExtent l="0" t="0" r="3175" b="0"/>
            <wp:docPr id="1619002209" name="Picture 1619002209" descr="\\eianas01\OES\pmy\Desktop\Work\804 TIE\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02209" name=""/>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5788024" cy="3692350"/>
                    </a:xfrm>
                    <a:prstGeom prst="rect">
                      <a:avLst/>
                    </a:prstGeom>
                  </pic:spPr>
                </pic:pic>
              </a:graphicData>
            </a:graphic>
          </wp:inline>
        </w:drawing>
      </w:r>
    </w:p>
    <w:p w:rsidR="00C7625E" w:rsidP="00180D27" w14:paraId="04BDC20D" w14:textId="640499FF">
      <w:bookmarkStart w:id="8" w:name="_Toc466046938"/>
      <w:r>
        <w:rPr>
          <w:lang w:bidi="en-US"/>
        </w:rPr>
        <w:t xml:space="preserve">The above graph depicts the timeliness of EIA-804 data versus when an importer may begin to file their required </w:t>
      </w:r>
      <w:r>
        <w:rPr>
          <w:lang w:bidi="en-US"/>
        </w:rPr>
        <w:t>CBP</w:t>
      </w:r>
      <w:r>
        <w:rPr>
          <w:lang w:bidi="en-US"/>
        </w:rPr>
        <w:t xml:space="preserve"> forms. </w:t>
      </w:r>
      <w:r w:rsidRPr="00C7625E">
        <w:rPr>
          <w:lang w:bidi="en-US"/>
        </w:rPr>
        <w:t xml:space="preserve">At day 11, there is a 99% chance that an import transaction will be reported to EIA on Form EIA-804. In contrast, there is a 29% chance that the same import transaction will be reported on </w:t>
      </w:r>
      <w:r w:rsidRPr="00C7625E">
        <w:rPr>
          <w:lang w:bidi="en-US"/>
        </w:rPr>
        <w:t>CBP</w:t>
      </w:r>
      <w:r w:rsidRPr="00C7625E">
        <w:rPr>
          <w:lang w:bidi="en-US"/>
        </w:rPr>
        <w:t xml:space="preserve"> Form CF-7501 by day 11. Conversely, there is a 71% chance that the same import transaction will be reported on </w:t>
      </w:r>
      <w:r w:rsidRPr="00C7625E">
        <w:rPr>
          <w:lang w:bidi="en-US"/>
        </w:rPr>
        <w:t>CBP</w:t>
      </w:r>
      <w:r w:rsidRPr="00C7625E">
        <w:rPr>
          <w:lang w:bidi="en-US"/>
        </w:rPr>
        <w:t xml:space="preserve"> Form CF-7501 and complete the </w:t>
      </w:r>
      <w:r w:rsidRPr="00C7625E">
        <w:rPr>
          <w:lang w:bidi="en-US"/>
        </w:rPr>
        <w:t>CBP</w:t>
      </w:r>
      <w:r w:rsidRPr="00C7625E">
        <w:rPr>
          <w:lang w:bidi="en-US"/>
        </w:rPr>
        <w:t xml:space="preserve"> process after the eleventh day. This is outside the EIA-804 reporting time period. EIA and </w:t>
      </w:r>
      <w:r w:rsidRPr="00C7625E">
        <w:rPr>
          <w:lang w:bidi="en-US"/>
        </w:rPr>
        <w:t>CBP</w:t>
      </w:r>
      <w:r w:rsidRPr="00C7625E">
        <w:rPr>
          <w:lang w:bidi="en-US"/>
        </w:rPr>
        <w:t xml:space="preserve"> have different reporting methodologies because they measure different aspects of import activity. Data reported by one agency is not a proxy for data collected by the other. Form EIA-804 collects timely information on imports to accurately measure supply conditions whereas Form CF-7501 collects information on imports to accurately assess import duties owed.</w:t>
      </w:r>
    </w:p>
    <w:p w:rsidR="007E53C4" w14:paraId="0B8E5F46" w14:textId="77777777">
      <w:pPr>
        <w:pStyle w:val="Heading2"/>
      </w:pPr>
      <w:r>
        <w:t>B.</w:t>
      </w:r>
      <w:r w:rsidRPr="00A41763" w:rsidR="00A41763">
        <w:t xml:space="preserve">5. </w:t>
      </w:r>
      <w:r>
        <w:t>Statistical Consultations</w:t>
      </w:r>
      <w:bookmarkEnd w:id="8"/>
    </w:p>
    <w:p w:rsidR="0057089A" w:rsidRPr="00C84725" w:rsidP="0057089A" w14:paraId="412C268A" w14:textId="4E2C86CB">
      <w:pPr>
        <w:spacing w:before="120"/>
      </w:pPr>
      <w:bookmarkStart w:id="9" w:name="OLE_LINK1"/>
      <w:bookmarkStart w:id="10" w:name="OLE_LINK2"/>
      <w:r w:rsidRPr="00C84725">
        <w:t xml:space="preserve">For additional information concerning this data collection, please contact </w:t>
      </w:r>
      <w:bookmarkEnd w:id="9"/>
      <w:bookmarkEnd w:id="10"/>
      <w:r w:rsidR="00E4470B">
        <w:t>Michael Conner</w:t>
      </w:r>
      <w:r w:rsidRPr="00C84725">
        <w:t>, a</w:t>
      </w:r>
      <w:r w:rsidR="00E4470B">
        <w:t>t PetroleumSupplyForms@eia.gov</w:t>
      </w:r>
      <w:r w:rsidRPr="00C84725">
        <w:t>.</w:t>
      </w:r>
    </w:p>
    <w:p w:rsidR="00980B6A" w14:paraId="4E23D03B" w14:textId="77777777">
      <w:bookmarkStart w:id="11" w:name="_GoBack"/>
      <w:bookmarkEnd w:id="11"/>
    </w:p>
    <w:sectPr w:rsidSect="008F4CBD">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RPr="001F3A8F" w:rsidP="00616E46" w14:paraId="5BC6C37A" w14:textId="2B0D0327">
    <w:pPr>
      <w:pStyle w:val="Footer"/>
      <w:tabs>
        <w:tab w:val="left" w:pos="8655"/>
        <w:tab w:val="clear" w:pos="9720"/>
      </w:tabs>
    </w:pPr>
    <w:r w:rsidRPr="00CB180D">
      <w:t>U.S. Energy Information Administration   |</w:t>
    </w:r>
    <w:r>
      <w:t xml:space="preserve">   </w:t>
    </w:r>
    <w:sdt>
      <w:sdtPr>
        <w:alias w:val="Title"/>
        <w:id w:val="94826136"/>
        <w:dataBinding w:prefixMappings="xmlns:ns0='http://purl.org/dc/elements/1.1/' xmlns:ns1='http://schemas.openxmlformats.org/package/2006/metadata/core-properties' " w:xpath="/ns1:coreProperties[1]/ns0:title[1]" w:storeItemID="{6C3C8BC8-F283-45AE-878A-BAB7291924A1}"/>
        <w:text/>
      </w:sdtPr>
      <w:sdtContent>
        <w:r>
          <w:t>Supporting Statement for Petroleum Supply Reporting System</w:t>
        </w:r>
      </w:sdtContent>
    </w:sdt>
    <w:r>
      <w:t xml:space="preserve"> </w:t>
    </w:r>
    <w:r>
      <w:tab/>
      <w:t xml:space="preserve"> </w:t>
    </w:r>
    <w:r>
      <w:fldChar w:fldCharType="begin"/>
    </w:r>
    <w:r>
      <w:instrText xml:space="preserve"> PAGE   \* MERGEFORMAT </w:instrText>
    </w:r>
    <w:r>
      <w:fldChar w:fldCharType="separate"/>
    </w:r>
    <w:r w:rsidR="008E6B2F">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P="00760677" w14:paraId="5FECFAA0" w14:textId="77777777">
    <w:pPr>
      <w:pStyle w:val="Footer"/>
    </w:pPr>
    <w:sdt>
      <w:sdtPr>
        <w:id w:val="37707256"/>
        <w:docPartObj>
          <w:docPartGallery w:val="Page Numbers (Bottom of Page)"/>
          <w:docPartUnique/>
        </w:docPartObj>
      </w:sdtPr>
      <w:sdtContent>
        <w:r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CF4D5C" w14:paraId="2157A2D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P="00760677" w14:paraId="47E8D766" w14:textId="77777777">
    <w:pPr>
      <w:pStyle w:val="Footer"/>
    </w:pPr>
    <w:sdt>
      <w:sdtPr>
        <w:id w:val="1300337987"/>
        <w:docPartObj>
          <w:docPartGallery w:val="Page Numbers (Bottom of Page)"/>
          <w:docPartUnique/>
        </w:docPartObj>
      </w:sdtPr>
      <w:sdtContent>
        <w:r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CF4D5C" w:rsidP="00760677" w14:paraId="4A9C48E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05557895"/>
      <w:docPartObj>
        <w:docPartGallery w:val="Page Numbers (Bottom of Page)"/>
        <w:docPartUnique/>
      </w:docPartObj>
    </w:sdtPr>
    <w:sdtContent>
      <w:p w:rsidR="00CF4D5C" w:rsidP="00760677" w14:paraId="384288B3" w14:textId="5684198D">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P="00760677" w14:paraId="33946F41"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CF4D5C" w:rsidP="00760677" w14:paraId="607CE7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P="00725453" w14:paraId="7783DFF2"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RPr="00373208" w:rsidP="00041909" w14:paraId="3D7D049A"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RPr="00F8298C" w:rsidP="00041909" w14:paraId="5C45A4E5" w14:textId="67AE900D">
    <w:pPr>
      <w:pStyle w:val="Header"/>
    </w:pPr>
    <w:r>
      <w:t>October</w:t>
    </w:r>
    <w:r w:rsidR="00273D62">
      <w:t>, 202</w:t>
    </w:r>
    <w:r w:rsidR="00EA735B">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4D5C" w:rsidP="00041909" w14:paraId="204B48BC"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69F36C6"/>
    <w:multiLevelType w:val="multilevel"/>
    <w:tmpl w:val="E258FFEA"/>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7">
    <w:nsid w:val="21CB28AC"/>
    <w:multiLevelType w:val="hybridMultilevel"/>
    <w:tmpl w:val="00FAD7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92E08AD"/>
    <w:multiLevelType w:val="hybridMultilevel"/>
    <w:tmpl w:val="ABD82CA6"/>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9C514E"/>
    <w:multiLevelType w:val="hybridMultilevel"/>
    <w:tmpl w:val="B3B823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4EC66A5"/>
    <w:multiLevelType w:val="hybridMultilevel"/>
    <w:tmpl w:val="2556D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8D031F"/>
    <w:multiLevelType w:val="hybridMultilevel"/>
    <w:tmpl w:val="B3962F28"/>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F9203D"/>
    <w:multiLevelType w:val="hybridMultilevel"/>
    <w:tmpl w:val="07D4C530"/>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E5D10BB"/>
    <w:multiLevelType w:val="hybridMultilevel"/>
    <w:tmpl w:val="EE26C0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F5251AA"/>
    <w:multiLevelType w:val="hybridMultilevel"/>
    <w:tmpl w:val="A41A2750"/>
    <w:lvl w:ilvl="0">
      <w:start w:val="1"/>
      <w:numFmt w:val="decimal"/>
      <w:lvlText w:val="(%1)"/>
      <w:lvlJc w:val="left"/>
      <w:pPr>
        <w:ind w:left="1800" w:hanging="360"/>
      </w:pPr>
      <w:rPr>
        <w:rFonts w:asciiTheme="minorHAnsi" w:eastAsiaTheme="minorEastAsia" w:hAnsiTheme="minorHAnsi"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57B92D7F"/>
    <w:multiLevelType w:val="hybridMultilevel"/>
    <w:tmpl w:val="055A9420"/>
    <w:lvl w:ilvl="0">
      <w:start w:val="1"/>
      <w:numFmt w:val="decimal"/>
      <w:pStyle w:val="ListParagraph"/>
      <w:lvlText w:val="%1)"/>
      <w:lvlJc w:val="left"/>
      <w:pPr>
        <w:ind w:left="81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677B320F"/>
    <w:multiLevelType w:val="hybridMultilevel"/>
    <w:tmpl w:val="91A887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D8D07D1"/>
    <w:multiLevelType w:val="hybridMultilevel"/>
    <w:tmpl w:val="7576B02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160" w:hanging="720"/>
      </w:pPr>
      <w:rPr>
        <w:rFonts w:ascii="Times New Roman" w:hAnsi="Times New Roman" w:eastAsiaTheme="minorEastAsia"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9">
    <w:nsid w:val="773A428B"/>
    <w:multiLevelType w:val="hybridMultilevel"/>
    <w:tmpl w:val="BF026634"/>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2"/>
  </w:num>
  <w:num w:numId="6">
    <w:abstractNumId w:val="1"/>
  </w:num>
  <w:num w:numId="7">
    <w:abstractNumId w:val="0"/>
  </w:num>
  <w:num w:numId="8">
    <w:abstractNumId w:val="18"/>
  </w:num>
  <w:num w:numId="9">
    <w:abstractNumId w:val="12"/>
  </w:num>
  <w:num w:numId="10">
    <w:abstractNumId w:val="7"/>
  </w:num>
  <w:num w:numId="11">
    <w:abstractNumId w:val="16"/>
  </w:num>
  <w:num w:numId="12">
    <w:abstractNumId w:val="19"/>
  </w:num>
  <w:num w:numId="13">
    <w:abstractNumId w:val="17"/>
  </w:num>
  <w:num w:numId="14">
    <w:abstractNumId w:val="13"/>
  </w:num>
  <w:num w:numId="15">
    <w:abstractNumId w:val="11"/>
  </w:num>
  <w:num w:numId="16">
    <w:abstractNumId w:val="15"/>
  </w:num>
  <w:num w:numId="17">
    <w:abstractNumId w:val="14"/>
  </w:num>
  <w:num w:numId="18">
    <w:abstractNumId w:val="8"/>
  </w:num>
  <w:num w:numId="19">
    <w:abstractNumId w:val="15"/>
    <w:lvlOverride w:ilvl="0">
      <w:startOverride w:val="1"/>
    </w:lvlOverride>
  </w:num>
  <w:num w:numId="20">
    <w:abstractNumId w:val="9"/>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2113"/>
    <w:rsid w:val="00013373"/>
    <w:rsid w:val="000142E5"/>
    <w:rsid w:val="00015DA7"/>
    <w:rsid w:val="00020457"/>
    <w:rsid w:val="000248CE"/>
    <w:rsid w:val="00024E1E"/>
    <w:rsid w:val="00031C24"/>
    <w:rsid w:val="00034A4B"/>
    <w:rsid w:val="000355BD"/>
    <w:rsid w:val="00041909"/>
    <w:rsid w:val="00046593"/>
    <w:rsid w:val="000466C0"/>
    <w:rsid w:val="00046865"/>
    <w:rsid w:val="00047C08"/>
    <w:rsid w:val="0005401F"/>
    <w:rsid w:val="00055769"/>
    <w:rsid w:val="00056EC3"/>
    <w:rsid w:val="00062CFE"/>
    <w:rsid w:val="00063077"/>
    <w:rsid w:val="00065C5B"/>
    <w:rsid w:val="0007129A"/>
    <w:rsid w:val="00076175"/>
    <w:rsid w:val="000831C4"/>
    <w:rsid w:val="000844CA"/>
    <w:rsid w:val="00091FF1"/>
    <w:rsid w:val="00092872"/>
    <w:rsid w:val="00093A53"/>
    <w:rsid w:val="000B3FBE"/>
    <w:rsid w:val="000B5349"/>
    <w:rsid w:val="000C28E1"/>
    <w:rsid w:val="000C5311"/>
    <w:rsid w:val="000E7955"/>
    <w:rsid w:val="000F040A"/>
    <w:rsid w:val="000F2383"/>
    <w:rsid w:val="000F23A1"/>
    <w:rsid w:val="001034E8"/>
    <w:rsid w:val="00103F56"/>
    <w:rsid w:val="00112A69"/>
    <w:rsid w:val="0011541D"/>
    <w:rsid w:val="00132F4A"/>
    <w:rsid w:val="00137342"/>
    <w:rsid w:val="00137350"/>
    <w:rsid w:val="001459AA"/>
    <w:rsid w:val="00154192"/>
    <w:rsid w:val="00160BC8"/>
    <w:rsid w:val="00167425"/>
    <w:rsid w:val="00171574"/>
    <w:rsid w:val="00171BD4"/>
    <w:rsid w:val="00176646"/>
    <w:rsid w:val="001807A3"/>
    <w:rsid w:val="00180D27"/>
    <w:rsid w:val="00192DB4"/>
    <w:rsid w:val="001947D5"/>
    <w:rsid w:val="0019709C"/>
    <w:rsid w:val="00197A05"/>
    <w:rsid w:val="001A6E1E"/>
    <w:rsid w:val="001B0E69"/>
    <w:rsid w:val="001B0EC4"/>
    <w:rsid w:val="001B6585"/>
    <w:rsid w:val="001C51EA"/>
    <w:rsid w:val="001C6197"/>
    <w:rsid w:val="001D03A8"/>
    <w:rsid w:val="001F2862"/>
    <w:rsid w:val="001F3A8F"/>
    <w:rsid w:val="001F476C"/>
    <w:rsid w:val="002008B4"/>
    <w:rsid w:val="00201F24"/>
    <w:rsid w:val="002127CE"/>
    <w:rsid w:val="00215842"/>
    <w:rsid w:val="002207DF"/>
    <w:rsid w:val="00221AC2"/>
    <w:rsid w:val="002263DC"/>
    <w:rsid w:val="00227E4B"/>
    <w:rsid w:val="0023015A"/>
    <w:rsid w:val="002304A7"/>
    <w:rsid w:val="00230C83"/>
    <w:rsid w:val="002327D1"/>
    <w:rsid w:val="0023708A"/>
    <w:rsid w:val="00245380"/>
    <w:rsid w:val="00246BC7"/>
    <w:rsid w:val="00247A0E"/>
    <w:rsid w:val="0025022D"/>
    <w:rsid w:val="00251201"/>
    <w:rsid w:val="002530BB"/>
    <w:rsid w:val="00255082"/>
    <w:rsid w:val="002556F3"/>
    <w:rsid w:val="00260EDF"/>
    <w:rsid w:val="00264148"/>
    <w:rsid w:val="00273D62"/>
    <w:rsid w:val="00274179"/>
    <w:rsid w:val="002757E8"/>
    <w:rsid w:val="0027651B"/>
    <w:rsid w:val="00286604"/>
    <w:rsid w:val="002A08BC"/>
    <w:rsid w:val="002B0FD2"/>
    <w:rsid w:val="002B1DB3"/>
    <w:rsid w:val="002B5DA7"/>
    <w:rsid w:val="002C2864"/>
    <w:rsid w:val="002C378C"/>
    <w:rsid w:val="002C6649"/>
    <w:rsid w:val="002C7743"/>
    <w:rsid w:val="002D4126"/>
    <w:rsid w:val="002D4D6E"/>
    <w:rsid w:val="002D767D"/>
    <w:rsid w:val="002E3FD5"/>
    <w:rsid w:val="002E7A38"/>
    <w:rsid w:val="002F23E9"/>
    <w:rsid w:val="00306516"/>
    <w:rsid w:val="00317F3B"/>
    <w:rsid w:val="00336FBF"/>
    <w:rsid w:val="00345B7E"/>
    <w:rsid w:val="003469CB"/>
    <w:rsid w:val="003501DE"/>
    <w:rsid w:val="00350C8B"/>
    <w:rsid w:val="00351310"/>
    <w:rsid w:val="0035261C"/>
    <w:rsid w:val="00363331"/>
    <w:rsid w:val="003710CE"/>
    <w:rsid w:val="00371E14"/>
    <w:rsid w:val="00373208"/>
    <w:rsid w:val="003831AF"/>
    <w:rsid w:val="00383DB3"/>
    <w:rsid w:val="003854B2"/>
    <w:rsid w:val="00385731"/>
    <w:rsid w:val="00385AE6"/>
    <w:rsid w:val="00387C8D"/>
    <w:rsid w:val="00392DD0"/>
    <w:rsid w:val="00396BCB"/>
    <w:rsid w:val="00397825"/>
    <w:rsid w:val="003A06C9"/>
    <w:rsid w:val="003A1073"/>
    <w:rsid w:val="003A10F3"/>
    <w:rsid w:val="003A3906"/>
    <w:rsid w:val="003B03A4"/>
    <w:rsid w:val="003B466E"/>
    <w:rsid w:val="003C03EA"/>
    <w:rsid w:val="003C2487"/>
    <w:rsid w:val="003C690C"/>
    <w:rsid w:val="003E40FA"/>
    <w:rsid w:val="003F1328"/>
    <w:rsid w:val="003F24ED"/>
    <w:rsid w:val="003F46BF"/>
    <w:rsid w:val="003F46EA"/>
    <w:rsid w:val="003F529E"/>
    <w:rsid w:val="004101E2"/>
    <w:rsid w:val="00421713"/>
    <w:rsid w:val="00426481"/>
    <w:rsid w:val="00431D90"/>
    <w:rsid w:val="00431EAC"/>
    <w:rsid w:val="004325DE"/>
    <w:rsid w:val="00432966"/>
    <w:rsid w:val="00451F69"/>
    <w:rsid w:val="004530E7"/>
    <w:rsid w:val="0045608E"/>
    <w:rsid w:val="0045662F"/>
    <w:rsid w:val="00456C7A"/>
    <w:rsid w:val="00460838"/>
    <w:rsid w:val="00465ABB"/>
    <w:rsid w:val="00466959"/>
    <w:rsid w:val="0047784B"/>
    <w:rsid w:val="004946F0"/>
    <w:rsid w:val="00497C2A"/>
    <w:rsid w:val="004A0B1D"/>
    <w:rsid w:val="004B1075"/>
    <w:rsid w:val="004B19DC"/>
    <w:rsid w:val="004B36FE"/>
    <w:rsid w:val="004B7D9B"/>
    <w:rsid w:val="004C277B"/>
    <w:rsid w:val="004D05FB"/>
    <w:rsid w:val="004D29C7"/>
    <w:rsid w:val="00504119"/>
    <w:rsid w:val="005063EF"/>
    <w:rsid w:val="005065CF"/>
    <w:rsid w:val="00506BB4"/>
    <w:rsid w:val="0050705F"/>
    <w:rsid w:val="00513C3B"/>
    <w:rsid w:val="00515FC4"/>
    <w:rsid w:val="005170D3"/>
    <w:rsid w:val="0052493A"/>
    <w:rsid w:val="00531D95"/>
    <w:rsid w:val="005337AF"/>
    <w:rsid w:val="00535CAF"/>
    <w:rsid w:val="00536054"/>
    <w:rsid w:val="0053654B"/>
    <w:rsid w:val="00536CE1"/>
    <w:rsid w:val="0054180D"/>
    <w:rsid w:val="00541839"/>
    <w:rsid w:val="00547B53"/>
    <w:rsid w:val="005520EA"/>
    <w:rsid w:val="0055453B"/>
    <w:rsid w:val="00562918"/>
    <w:rsid w:val="0057089A"/>
    <w:rsid w:val="00571D8F"/>
    <w:rsid w:val="00571EE2"/>
    <w:rsid w:val="0057367D"/>
    <w:rsid w:val="00573FD7"/>
    <w:rsid w:val="00574A54"/>
    <w:rsid w:val="0058000A"/>
    <w:rsid w:val="00582CB9"/>
    <w:rsid w:val="00585BE3"/>
    <w:rsid w:val="0059212D"/>
    <w:rsid w:val="005B2B58"/>
    <w:rsid w:val="005B4D4E"/>
    <w:rsid w:val="005B79E5"/>
    <w:rsid w:val="005C00FA"/>
    <w:rsid w:val="005C2D89"/>
    <w:rsid w:val="005C485B"/>
    <w:rsid w:val="005D370B"/>
    <w:rsid w:val="005D39D7"/>
    <w:rsid w:val="005D5956"/>
    <w:rsid w:val="005D6F63"/>
    <w:rsid w:val="005F4848"/>
    <w:rsid w:val="006045E6"/>
    <w:rsid w:val="00607EE9"/>
    <w:rsid w:val="00613F39"/>
    <w:rsid w:val="00616617"/>
    <w:rsid w:val="00616E46"/>
    <w:rsid w:val="0061729C"/>
    <w:rsid w:val="0062008C"/>
    <w:rsid w:val="00620797"/>
    <w:rsid w:val="006229CE"/>
    <w:rsid w:val="00626494"/>
    <w:rsid w:val="00640ABB"/>
    <w:rsid w:val="00641DE2"/>
    <w:rsid w:val="00643384"/>
    <w:rsid w:val="00652DB2"/>
    <w:rsid w:val="0065406F"/>
    <w:rsid w:val="00663EC4"/>
    <w:rsid w:val="00677C5F"/>
    <w:rsid w:val="0069318E"/>
    <w:rsid w:val="0069364B"/>
    <w:rsid w:val="006A0BC7"/>
    <w:rsid w:val="006C0062"/>
    <w:rsid w:val="006C06B5"/>
    <w:rsid w:val="006C097E"/>
    <w:rsid w:val="006C2DC3"/>
    <w:rsid w:val="006C7334"/>
    <w:rsid w:val="006D0439"/>
    <w:rsid w:val="006D0B2F"/>
    <w:rsid w:val="006D42EC"/>
    <w:rsid w:val="006F7915"/>
    <w:rsid w:val="0070181D"/>
    <w:rsid w:val="00701B0E"/>
    <w:rsid w:val="0070353C"/>
    <w:rsid w:val="00711414"/>
    <w:rsid w:val="0072318A"/>
    <w:rsid w:val="00725453"/>
    <w:rsid w:val="00730DA0"/>
    <w:rsid w:val="00732B64"/>
    <w:rsid w:val="007343E5"/>
    <w:rsid w:val="00736D6C"/>
    <w:rsid w:val="00737591"/>
    <w:rsid w:val="007438F2"/>
    <w:rsid w:val="0074576D"/>
    <w:rsid w:val="00755C3D"/>
    <w:rsid w:val="007576EF"/>
    <w:rsid w:val="00760677"/>
    <w:rsid w:val="00761C12"/>
    <w:rsid w:val="00762426"/>
    <w:rsid w:val="007658BA"/>
    <w:rsid w:val="00776CF4"/>
    <w:rsid w:val="00781C26"/>
    <w:rsid w:val="00784F89"/>
    <w:rsid w:val="007860AC"/>
    <w:rsid w:val="00786336"/>
    <w:rsid w:val="0079037F"/>
    <w:rsid w:val="007A0639"/>
    <w:rsid w:val="007A0E7F"/>
    <w:rsid w:val="007A4378"/>
    <w:rsid w:val="007C1F59"/>
    <w:rsid w:val="007C24DA"/>
    <w:rsid w:val="007C3C67"/>
    <w:rsid w:val="007C5CE9"/>
    <w:rsid w:val="007D0B25"/>
    <w:rsid w:val="007D39CC"/>
    <w:rsid w:val="007D54BB"/>
    <w:rsid w:val="007D6AAF"/>
    <w:rsid w:val="007D6F79"/>
    <w:rsid w:val="007E53C4"/>
    <w:rsid w:val="007E5A11"/>
    <w:rsid w:val="007E6E85"/>
    <w:rsid w:val="007E7305"/>
    <w:rsid w:val="007E73E6"/>
    <w:rsid w:val="007F190E"/>
    <w:rsid w:val="007F1954"/>
    <w:rsid w:val="007F21D7"/>
    <w:rsid w:val="007F21F7"/>
    <w:rsid w:val="007F2B30"/>
    <w:rsid w:val="008057F8"/>
    <w:rsid w:val="008213F9"/>
    <w:rsid w:val="0083033C"/>
    <w:rsid w:val="008307E1"/>
    <w:rsid w:val="00836036"/>
    <w:rsid w:val="00836D62"/>
    <w:rsid w:val="00844524"/>
    <w:rsid w:val="00860534"/>
    <w:rsid w:val="008650D1"/>
    <w:rsid w:val="00867160"/>
    <w:rsid w:val="0087205B"/>
    <w:rsid w:val="00873EDA"/>
    <w:rsid w:val="00874032"/>
    <w:rsid w:val="00874FB8"/>
    <w:rsid w:val="008877B9"/>
    <w:rsid w:val="00887E62"/>
    <w:rsid w:val="008914A4"/>
    <w:rsid w:val="00895669"/>
    <w:rsid w:val="00897946"/>
    <w:rsid w:val="008A1ACA"/>
    <w:rsid w:val="008A2788"/>
    <w:rsid w:val="008A3276"/>
    <w:rsid w:val="008A3447"/>
    <w:rsid w:val="008B667E"/>
    <w:rsid w:val="008C58D8"/>
    <w:rsid w:val="008C734C"/>
    <w:rsid w:val="008E4BF2"/>
    <w:rsid w:val="008E6B2F"/>
    <w:rsid w:val="008F1A24"/>
    <w:rsid w:val="008F4CBD"/>
    <w:rsid w:val="008F60C8"/>
    <w:rsid w:val="009017AD"/>
    <w:rsid w:val="00901BED"/>
    <w:rsid w:val="00904693"/>
    <w:rsid w:val="00905735"/>
    <w:rsid w:val="009131B9"/>
    <w:rsid w:val="00920B50"/>
    <w:rsid w:val="00925383"/>
    <w:rsid w:val="00935805"/>
    <w:rsid w:val="009368F3"/>
    <w:rsid w:val="00941928"/>
    <w:rsid w:val="0094489E"/>
    <w:rsid w:val="00947C42"/>
    <w:rsid w:val="00950489"/>
    <w:rsid w:val="00957DE9"/>
    <w:rsid w:val="00965A44"/>
    <w:rsid w:val="00966617"/>
    <w:rsid w:val="00967D7C"/>
    <w:rsid w:val="00970331"/>
    <w:rsid w:val="009757AD"/>
    <w:rsid w:val="00980B6A"/>
    <w:rsid w:val="009817CE"/>
    <w:rsid w:val="009818F9"/>
    <w:rsid w:val="0098618F"/>
    <w:rsid w:val="00987C32"/>
    <w:rsid w:val="00991646"/>
    <w:rsid w:val="0099448B"/>
    <w:rsid w:val="00997347"/>
    <w:rsid w:val="009A0420"/>
    <w:rsid w:val="009A6235"/>
    <w:rsid w:val="009B19CE"/>
    <w:rsid w:val="009B4E57"/>
    <w:rsid w:val="009C202F"/>
    <w:rsid w:val="009C50E7"/>
    <w:rsid w:val="009C77F7"/>
    <w:rsid w:val="009D3BDF"/>
    <w:rsid w:val="009D69E6"/>
    <w:rsid w:val="009E5ABC"/>
    <w:rsid w:val="009E5B9C"/>
    <w:rsid w:val="009F417F"/>
    <w:rsid w:val="009F4ED1"/>
    <w:rsid w:val="00A00D71"/>
    <w:rsid w:val="00A00EDF"/>
    <w:rsid w:val="00A01C47"/>
    <w:rsid w:val="00A02319"/>
    <w:rsid w:val="00A1720B"/>
    <w:rsid w:val="00A20831"/>
    <w:rsid w:val="00A26A17"/>
    <w:rsid w:val="00A30169"/>
    <w:rsid w:val="00A312A3"/>
    <w:rsid w:val="00A32F79"/>
    <w:rsid w:val="00A33D9F"/>
    <w:rsid w:val="00A343F1"/>
    <w:rsid w:val="00A37229"/>
    <w:rsid w:val="00A41763"/>
    <w:rsid w:val="00A418C9"/>
    <w:rsid w:val="00A54472"/>
    <w:rsid w:val="00A56637"/>
    <w:rsid w:val="00A65E44"/>
    <w:rsid w:val="00A67AE7"/>
    <w:rsid w:val="00A74C9B"/>
    <w:rsid w:val="00A81330"/>
    <w:rsid w:val="00A85C31"/>
    <w:rsid w:val="00A93478"/>
    <w:rsid w:val="00A97FE7"/>
    <w:rsid w:val="00AA368F"/>
    <w:rsid w:val="00AA3D91"/>
    <w:rsid w:val="00AA46CA"/>
    <w:rsid w:val="00AA7EFA"/>
    <w:rsid w:val="00AB61B3"/>
    <w:rsid w:val="00AC323A"/>
    <w:rsid w:val="00AD5524"/>
    <w:rsid w:val="00AD5747"/>
    <w:rsid w:val="00AD6357"/>
    <w:rsid w:val="00AD7F81"/>
    <w:rsid w:val="00AE4CA9"/>
    <w:rsid w:val="00AF2B5F"/>
    <w:rsid w:val="00AF367D"/>
    <w:rsid w:val="00AF45FD"/>
    <w:rsid w:val="00B00154"/>
    <w:rsid w:val="00B00D22"/>
    <w:rsid w:val="00B24E82"/>
    <w:rsid w:val="00B35E2A"/>
    <w:rsid w:val="00B4263D"/>
    <w:rsid w:val="00B42864"/>
    <w:rsid w:val="00B456A8"/>
    <w:rsid w:val="00B51857"/>
    <w:rsid w:val="00B54E54"/>
    <w:rsid w:val="00B56F49"/>
    <w:rsid w:val="00B61A62"/>
    <w:rsid w:val="00B64241"/>
    <w:rsid w:val="00B7442A"/>
    <w:rsid w:val="00B776B4"/>
    <w:rsid w:val="00B86BC5"/>
    <w:rsid w:val="00B9137D"/>
    <w:rsid w:val="00B97002"/>
    <w:rsid w:val="00BA210E"/>
    <w:rsid w:val="00BA4B85"/>
    <w:rsid w:val="00BA5CCA"/>
    <w:rsid w:val="00BA79C2"/>
    <w:rsid w:val="00BB2F70"/>
    <w:rsid w:val="00BB5A69"/>
    <w:rsid w:val="00BB67D9"/>
    <w:rsid w:val="00BB6CF4"/>
    <w:rsid w:val="00BC14C3"/>
    <w:rsid w:val="00BC1ABE"/>
    <w:rsid w:val="00BC2C34"/>
    <w:rsid w:val="00BD2F20"/>
    <w:rsid w:val="00BD4F62"/>
    <w:rsid w:val="00BD6296"/>
    <w:rsid w:val="00BE3A26"/>
    <w:rsid w:val="00BE4AFD"/>
    <w:rsid w:val="00BF153F"/>
    <w:rsid w:val="00BF2CC5"/>
    <w:rsid w:val="00BF5764"/>
    <w:rsid w:val="00C00590"/>
    <w:rsid w:val="00C04647"/>
    <w:rsid w:val="00C058CF"/>
    <w:rsid w:val="00C11DE6"/>
    <w:rsid w:val="00C12551"/>
    <w:rsid w:val="00C211CD"/>
    <w:rsid w:val="00C25328"/>
    <w:rsid w:val="00C32D4A"/>
    <w:rsid w:val="00C3744D"/>
    <w:rsid w:val="00C4279B"/>
    <w:rsid w:val="00C43A84"/>
    <w:rsid w:val="00C64137"/>
    <w:rsid w:val="00C658E4"/>
    <w:rsid w:val="00C722B2"/>
    <w:rsid w:val="00C7266E"/>
    <w:rsid w:val="00C74606"/>
    <w:rsid w:val="00C7625E"/>
    <w:rsid w:val="00C76C66"/>
    <w:rsid w:val="00C82DF9"/>
    <w:rsid w:val="00C84725"/>
    <w:rsid w:val="00C86514"/>
    <w:rsid w:val="00C87190"/>
    <w:rsid w:val="00CA1564"/>
    <w:rsid w:val="00CA6180"/>
    <w:rsid w:val="00CA7C8A"/>
    <w:rsid w:val="00CB180D"/>
    <w:rsid w:val="00CB44E8"/>
    <w:rsid w:val="00CB7978"/>
    <w:rsid w:val="00CC1D12"/>
    <w:rsid w:val="00CD76FB"/>
    <w:rsid w:val="00CE42E9"/>
    <w:rsid w:val="00CF2895"/>
    <w:rsid w:val="00CF4D5C"/>
    <w:rsid w:val="00D001E4"/>
    <w:rsid w:val="00D00AA8"/>
    <w:rsid w:val="00D021D7"/>
    <w:rsid w:val="00D02778"/>
    <w:rsid w:val="00D1398E"/>
    <w:rsid w:val="00D13E84"/>
    <w:rsid w:val="00D1656B"/>
    <w:rsid w:val="00D23F0E"/>
    <w:rsid w:val="00D300F4"/>
    <w:rsid w:val="00D32B94"/>
    <w:rsid w:val="00D3344B"/>
    <w:rsid w:val="00D40175"/>
    <w:rsid w:val="00D41EA7"/>
    <w:rsid w:val="00D55243"/>
    <w:rsid w:val="00D572FD"/>
    <w:rsid w:val="00D6151D"/>
    <w:rsid w:val="00D62F90"/>
    <w:rsid w:val="00D63E74"/>
    <w:rsid w:val="00D715C4"/>
    <w:rsid w:val="00D766D2"/>
    <w:rsid w:val="00D83EB3"/>
    <w:rsid w:val="00D84F5A"/>
    <w:rsid w:val="00D91A6B"/>
    <w:rsid w:val="00D928FD"/>
    <w:rsid w:val="00D9668E"/>
    <w:rsid w:val="00D96B1A"/>
    <w:rsid w:val="00DA661C"/>
    <w:rsid w:val="00DB2F98"/>
    <w:rsid w:val="00DB49F2"/>
    <w:rsid w:val="00DC79E3"/>
    <w:rsid w:val="00DD51E1"/>
    <w:rsid w:val="00DE2D54"/>
    <w:rsid w:val="00DE59B7"/>
    <w:rsid w:val="00DF2A50"/>
    <w:rsid w:val="00DF514C"/>
    <w:rsid w:val="00E019ED"/>
    <w:rsid w:val="00E02BB0"/>
    <w:rsid w:val="00E03CE6"/>
    <w:rsid w:val="00E0419A"/>
    <w:rsid w:val="00E04319"/>
    <w:rsid w:val="00E054AC"/>
    <w:rsid w:val="00E13716"/>
    <w:rsid w:val="00E1612B"/>
    <w:rsid w:val="00E266FF"/>
    <w:rsid w:val="00E27661"/>
    <w:rsid w:val="00E30E7D"/>
    <w:rsid w:val="00E31705"/>
    <w:rsid w:val="00E4470B"/>
    <w:rsid w:val="00E47DB3"/>
    <w:rsid w:val="00E509A9"/>
    <w:rsid w:val="00E51E43"/>
    <w:rsid w:val="00E51F8B"/>
    <w:rsid w:val="00E5242A"/>
    <w:rsid w:val="00E52726"/>
    <w:rsid w:val="00E53398"/>
    <w:rsid w:val="00E53B9C"/>
    <w:rsid w:val="00E669F7"/>
    <w:rsid w:val="00E66AE2"/>
    <w:rsid w:val="00E74DA4"/>
    <w:rsid w:val="00E81B89"/>
    <w:rsid w:val="00E91432"/>
    <w:rsid w:val="00E91B5A"/>
    <w:rsid w:val="00EA735B"/>
    <w:rsid w:val="00EB5B63"/>
    <w:rsid w:val="00EC5B1B"/>
    <w:rsid w:val="00ED6E45"/>
    <w:rsid w:val="00EE2CAF"/>
    <w:rsid w:val="00EE2CD5"/>
    <w:rsid w:val="00EE43E4"/>
    <w:rsid w:val="00EF32B6"/>
    <w:rsid w:val="00F001EA"/>
    <w:rsid w:val="00F012D6"/>
    <w:rsid w:val="00F056C3"/>
    <w:rsid w:val="00F1695C"/>
    <w:rsid w:val="00F16B90"/>
    <w:rsid w:val="00F26F5A"/>
    <w:rsid w:val="00F34DAF"/>
    <w:rsid w:val="00F34F19"/>
    <w:rsid w:val="00F44A21"/>
    <w:rsid w:val="00F575F0"/>
    <w:rsid w:val="00F57850"/>
    <w:rsid w:val="00F60425"/>
    <w:rsid w:val="00F633E0"/>
    <w:rsid w:val="00F63F75"/>
    <w:rsid w:val="00F6664C"/>
    <w:rsid w:val="00F80AF1"/>
    <w:rsid w:val="00F8298C"/>
    <w:rsid w:val="00F90245"/>
    <w:rsid w:val="00F91171"/>
    <w:rsid w:val="00F920D9"/>
    <w:rsid w:val="00F93737"/>
    <w:rsid w:val="00F94781"/>
    <w:rsid w:val="00FA5388"/>
    <w:rsid w:val="00FB0276"/>
    <w:rsid w:val="00FB08E3"/>
    <w:rsid w:val="00FB0E34"/>
    <w:rsid w:val="00FB6BF3"/>
    <w:rsid w:val="00FB75B2"/>
    <w:rsid w:val="00FD0982"/>
    <w:rsid w:val="00FD397B"/>
    <w:rsid w:val="00FD4B01"/>
    <w:rsid w:val="00FD52F2"/>
    <w:rsid w:val="00FD7CDC"/>
    <w:rsid w:val="00FE58E0"/>
    <w:rsid w:val="00FE74D0"/>
    <w:rsid w:val="00FF5363"/>
    <w:rsid w:val="50DD6B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B5AA0A"/>
  <w15:docId w15:val="{8D0DFF23-B2ED-46E5-ADCF-A98F959E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nhideWhenUsed="1" w:qFormat="1"/>
    <w:lsdException w:name="toc 4" w:locked="0"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iPriority="40" w:unhideWhenUsed="1"/>
    <w:lsdException w:name="Hyperlink" w:locked="0" w:semiHidden="1" w:unhideWhenUsed="1" w:qFormat="1"/>
    <w:lsdException w:name="FollowedHyperlink" w:semiHidden="1" w:unhideWhenUsed="1"/>
    <w:lsdException w:name="Strong"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9"/>
    <w:qFormat/>
    <w:rsid w:val="007E53C4"/>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9"/>
    <w:qFormat/>
    <w:rsid w:val="00D9668E"/>
    <w:pPr>
      <w:keepNext/>
      <w:keepLines/>
      <w:spacing w:before="200" w:after="240"/>
      <w:outlineLvl w:val="1"/>
    </w:pPr>
    <w:rPr>
      <w:rFonts w:eastAsia="Times New Roman" w:cstheme="majorBidi"/>
      <w:b/>
      <w:color w:val="00B0F0"/>
      <w:sz w:val="24"/>
      <w:szCs w:val="26"/>
      <w:lang w:bidi="en-US"/>
    </w:rPr>
  </w:style>
  <w:style w:type="paragraph" w:styleId="Heading3">
    <w:name w:val="heading 3"/>
    <w:basedOn w:val="Heading2"/>
    <w:next w:val="Normal"/>
    <w:link w:val="Heading3Char"/>
    <w:autoRedefine/>
    <w:uiPriority w:val="9"/>
    <w:qFormat/>
    <w:rsid w:val="00FD7CDC"/>
    <w:pPr>
      <w:outlineLvl w:val="2"/>
    </w:pPr>
    <w:rPr>
      <w:rFonts w:asciiTheme="majorHAnsi" w:hAnsiTheme="majorHAnsi"/>
      <w:bCs/>
      <w:i/>
      <w:color w:val="595959" w:themeColor="text1" w:themeTint="A6"/>
    </w:rPr>
  </w:style>
  <w:style w:type="paragraph" w:styleId="Heading4">
    <w:name w:val="heading 4"/>
    <w:basedOn w:val="Heading3"/>
    <w:next w:val="Normal"/>
    <w:link w:val="Heading4Char"/>
    <w:autoRedefine/>
    <w:uiPriority w:val="9"/>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qFormat/>
    <w:locked/>
    <w:rsid w:val="00112A69"/>
    <w:pPr>
      <w:numPr>
        <w:ilvl w:val="4"/>
      </w:numPr>
      <w:outlineLvl w:val="4"/>
    </w:pPr>
    <w:rPr>
      <w:sz w:val="20"/>
    </w:rPr>
  </w:style>
  <w:style w:type="paragraph" w:styleId="Heading6">
    <w:name w:val="heading 6"/>
    <w:basedOn w:val="Heading5"/>
    <w:next w:val="Normal"/>
    <w:link w:val="Heading6Char"/>
    <w:autoRedefine/>
    <w:uiPriority w:val="9"/>
    <w:qFormat/>
    <w:locked/>
    <w:rsid w:val="00112A69"/>
    <w:pPr>
      <w:numPr>
        <w:ilvl w:val="5"/>
      </w:numPr>
      <w:outlineLvl w:val="5"/>
    </w:pPr>
    <w:rPr>
      <w:iCs w:val="0"/>
      <w:color w:val="666666"/>
    </w:rPr>
  </w:style>
  <w:style w:type="paragraph" w:styleId="Heading7">
    <w:name w:val="heading 7"/>
    <w:basedOn w:val="Normal"/>
    <w:next w:val="Normal"/>
    <w:link w:val="Heading7Char"/>
    <w:uiPriority w:val="9"/>
    <w:qFormat/>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qFormat/>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qFormat/>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05Indent">
    <w:name w:val="Left 0.5&quot; Indent"/>
    <w:basedOn w:val="BodyTextFirstIndent"/>
    <w:autoRedefine/>
    <w:semiHidden/>
    <w:qFormat/>
    <w:locked/>
    <w:rsid w:val="0099448B"/>
    <w:pPr>
      <w:ind w:left="360"/>
    </w:pPr>
    <w:rPr>
      <w:rFonts w:cs="Arial"/>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character" w:customStyle="1" w:styleId="Heading1Char">
    <w:name w:val="Heading 1 Char"/>
    <w:basedOn w:val="DefaultParagraphFont"/>
    <w:link w:val="Heading1"/>
    <w:uiPriority w:val="9"/>
    <w:rsid w:val="007E53C4"/>
    <w:rPr>
      <w:rFonts w:asciiTheme="majorHAnsi" w:eastAsiaTheme="majorEastAsia" w:hAnsiTheme="majorHAnsi" w:cstheme="majorBidi"/>
      <w:b/>
      <w:bCs/>
      <w:sz w:val="44"/>
      <w:szCs w:val="44"/>
    </w:rPr>
  </w:style>
  <w:style w:type="character" w:customStyle="1" w:styleId="Heading2Char">
    <w:name w:val="Heading 2 Char"/>
    <w:basedOn w:val="DefaultParagraphFont"/>
    <w:link w:val="Heading2"/>
    <w:uiPriority w:val="9"/>
    <w:rsid w:val="00D9668E"/>
    <w:rPr>
      <w:rFonts w:eastAsia="Times New Roman" w:cstheme="majorBidi"/>
      <w:b/>
      <w:color w:val="00B0F0"/>
      <w:sz w:val="24"/>
      <w:szCs w:val="26"/>
      <w:lang w:bidi="en-US"/>
    </w:rPr>
  </w:style>
  <w:style w:type="character" w:customStyle="1" w:styleId="Heading3Char">
    <w:name w:val="Heading 3 Char"/>
    <w:basedOn w:val="DefaultParagraphFont"/>
    <w:link w:val="Heading3"/>
    <w:uiPriority w:val="9"/>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9"/>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D55243"/>
    <w:rPr>
      <w:rFonts w:asciiTheme="majorHAnsi" w:eastAsiaTheme="majorEastAsia" w:hAnsiTheme="majorHAnsi" w:cstheme="majorBidi"/>
      <w:i/>
      <w:iCs/>
      <w:color w:val="404040" w:themeColor="text1" w:themeTint="BF"/>
    </w:rPr>
  </w:style>
  <w:style w:type="paragraph" w:styleId="NoSpacing">
    <w:name w:val="No Spacing"/>
    <w:link w:val="NoSpacingChar"/>
    <w:uiPriority w:val="1"/>
    <w:qFormat/>
    <w:rsid w:val="00112A69"/>
    <w:pPr>
      <w:spacing w:after="0"/>
      <w:jc w:val="both"/>
    </w:pPr>
  </w:style>
  <w:style w:type="character" w:customStyle="1" w:styleId="NoSpacingChar">
    <w:name w:val="No Spacing Char"/>
    <w:basedOn w:val="DefaultParagraphFont"/>
    <w:link w:val="NoSpacing"/>
    <w:uiPriority w:val="1"/>
    <w:rsid w:val="0079037F"/>
  </w:style>
  <w:style w:type="paragraph" w:styleId="Caption">
    <w:name w:val="caption"/>
    <w:basedOn w:val="Normal"/>
    <w:next w:val="Normal"/>
    <w:autoRedefine/>
    <w:uiPriority w:val="35"/>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qFormat/>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29"/>
    <w:qFormat/>
    <w:rsid w:val="00112A69"/>
    <w:pPr>
      <w:ind w:left="720" w:right="720"/>
    </w:pPr>
    <w:rPr>
      <w:iCs/>
      <w:color w:val="000000" w:themeColor="text1"/>
    </w:rPr>
  </w:style>
  <w:style w:type="character" w:customStyle="1" w:styleId="QuoteChar">
    <w:name w:val="Quote Char"/>
    <w:basedOn w:val="DefaultParagraphFont"/>
    <w:link w:val="Quote"/>
    <w:uiPriority w:val="29"/>
    <w:rsid w:val="00D55243"/>
    <w:rPr>
      <w:iCs/>
      <w:color w:val="000000" w:themeColor="text1"/>
    </w:rPr>
  </w:style>
  <w:style w:type="character" w:styleId="IntenseEmphasis">
    <w:name w:val="Intense Emphasis"/>
    <w:basedOn w:val="DefaultParagraphFont"/>
    <w:uiPriority w:val="21"/>
    <w:qFormat/>
    <w:locked/>
    <w:rsid w:val="00112A69"/>
    <w:rPr>
      <w:rFonts w:asciiTheme="minorHAnsi" w:hAnsiTheme="minorHAnsi"/>
      <w:b/>
      <w:bCs/>
      <w:i/>
      <w:iCs/>
      <w:color w:val="1396D8"/>
      <w:sz w:val="20"/>
    </w:rPr>
  </w:style>
  <w:style w:type="character" w:styleId="Emphasis">
    <w:name w:val="Emphasis"/>
    <w:basedOn w:val="DefaultParagraphFont"/>
    <w:uiPriority w:val="20"/>
    <w:qFormat/>
    <w:rsid w:val="00F80AF1"/>
    <w:rPr>
      <w:rFonts w:asciiTheme="minorHAnsi" w:hAnsiTheme="minorHAnsi"/>
      <w:b/>
      <w:iCs/>
      <w:sz w:val="22"/>
    </w:rPr>
  </w:style>
  <w:style w:type="paragraph" w:styleId="NormalWeb">
    <w:name w:val="Normal (Web)"/>
    <w:basedOn w:val="Normal"/>
    <w:uiPriority w:val="99"/>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C722B2"/>
    <w:pPr>
      <w:numPr>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360" w:lineRule="auto"/>
      <w:ind w:left="734" w:hanging="288"/>
      <w:contextualSpacing/>
    </w:pPr>
    <w:rPr>
      <w:sz w:val="24"/>
      <w:szCs w:val="24"/>
    </w:r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9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qFormat/>
    <w:rsid w:val="00C7266E"/>
    <w:pPr>
      <w:spacing w:after="0" w:line="240" w:lineRule="atLeast"/>
      <w:contextualSpacing/>
    </w:pPr>
    <w:rPr>
      <w:sz w:val="18"/>
    </w:rPr>
  </w:style>
  <w:style w:type="character" w:customStyle="1" w:styleId="FootnoteTextChar">
    <w:name w:val="Footnote Text Char"/>
    <w:basedOn w:val="DefaultParagraphFont"/>
    <w:link w:val="FootnoteText"/>
    <w:rsid w:val="00C7266E"/>
    <w:rPr>
      <w:sz w:val="18"/>
    </w:rPr>
  </w:style>
  <w:style w:type="character" w:styleId="FootnoteReference">
    <w:name w:val="footnote reference"/>
    <w:basedOn w:val="DefaultParagraphFont"/>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36"/>
    <w:locked/>
    <w:rsid w:val="00112A69"/>
    <w:pPr>
      <w:numPr>
        <w:numId w:val="4"/>
      </w:numPr>
      <w:contextualSpacing/>
    </w:pPr>
  </w:style>
  <w:style w:type="paragraph" w:styleId="ListBullet2">
    <w:name w:val="List Bullet 2"/>
    <w:basedOn w:val="Normal"/>
    <w:uiPriority w:val="36"/>
    <w:locked/>
    <w:rsid w:val="00112A69"/>
    <w:pPr>
      <w:numPr>
        <w:numId w:val="5"/>
      </w:numPr>
      <w:contextualSpacing/>
    </w:pPr>
  </w:style>
  <w:style w:type="paragraph" w:styleId="ListBullet3">
    <w:name w:val="List Bullet 3"/>
    <w:basedOn w:val="Normal"/>
    <w:uiPriority w:val="36"/>
    <w:locked/>
    <w:rsid w:val="00112A69"/>
    <w:pPr>
      <w:numPr>
        <w:numId w:val="6"/>
      </w:numPr>
      <w:contextualSpacing/>
    </w:pPr>
  </w:style>
  <w:style w:type="paragraph" w:styleId="ListBullet4">
    <w:name w:val="List Bullet 4"/>
    <w:basedOn w:val="Normal"/>
    <w:uiPriority w:val="36"/>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9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10"/>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10"/>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1"/>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table" w:customStyle="1" w:styleId="TableGrid1">
    <w:name w:val="Table Grid1"/>
    <w:basedOn w:val="TableNormal"/>
    <w:next w:val="TableGrid"/>
    <w:uiPriority w:val="1"/>
    <w:rsid w:val="00C74606"/>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nhideWhenUsed/>
    <w:locked/>
    <w:rsid w:val="0079037F"/>
    <w:pPr>
      <w:spacing w:after="120" w:line="480" w:lineRule="auto"/>
    </w:pPr>
  </w:style>
  <w:style w:type="character" w:customStyle="1" w:styleId="BodyText2Char">
    <w:name w:val="Body Text 2 Char"/>
    <w:basedOn w:val="DefaultParagraphFont"/>
    <w:link w:val="BodyText2"/>
    <w:rsid w:val="0079037F"/>
  </w:style>
  <w:style w:type="paragraph" w:styleId="Subtitle">
    <w:name w:val="Subtitle"/>
    <w:basedOn w:val="Normal"/>
    <w:next w:val="Normal"/>
    <w:link w:val="SubtitleChar"/>
    <w:uiPriority w:val="11"/>
    <w:qFormat/>
    <w:locked/>
    <w:rsid w:val="0079037F"/>
    <w:pPr>
      <w:spacing w:before="200" w:after="1000" w:line="240" w:lineRule="auto"/>
    </w:pPr>
    <w:rPr>
      <w:rFonts w:eastAsiaTheme="minorEastAsia"/>
      <w:caps/>
      <w:color w:val="595959" w:themeColor="text1" w:themeTint="A6"/>
      <w:spacing w:val="10"/>
      <w:sz w:val="24"/>
      <w:szCs w:val="24"/>
      <w:lang w:bidi="en-US"/>
    </w:rPr>
  </w:style>
  <w:style w:type="character" w:customStyle="1" w:styleId="SubtitleChar">
    <w:name w:val="Subtitle Char"/>
    <w:basedOn w:val="DefaultParagraphFont"/>
    <w:link w:val="Subtitle"/>
    <w:uiPriority w:val="11"/>
    <w:rsid w:val="0079037F"/>
    <w:rPr>
      <w:rFonts w:eastAsiaTheme="minorEastAsia"/>
      <w:caps/>
      <w:color w:val="595959" w:themeColor="text1" w:themeTint="A6"/>
      <w:spacing w:val="10"/>
      <w:sz w:val="24"/>
      <w:szCs w:val="24"/>
      <w:lang w:bidi="en-US"/>
    </w:rPr>
  </w:style>
  <w:style w:type="paragraph" w:styleId="BlockText">
    <w:name w:val="Block Text"/>
    <w:aliases w:val="Block Quote"/>
    <w:uiPriority w:val="40"/>
    <w:locked/>
    <w:rsid w:val="0079037F"/>
    <w:pPr>
      <w:pBdr>
        <w:top w:val="single" w:sz="2" w:space="10" w:color="4EC8FF" w:themeColor="accent1" w:themeTint="99"/>
        <w:bottom w:val="single" w:sz="24" w:space="10" w:color="4EC8FF" w:themeColor="accent1" w:themeTint="99"/>
      </w:pBdr>
      <w:spacing w:before="200" w:after="280"/>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uiPriority w:val="33"/>
    <w:qFormat/>
    <w:locked/>
    <w:rsid w:val="0079037F"/>
    <w:rPr>
      <w:b/>
      <w:bCs/>
      <w:i/>
      <w:iCs/>
      <w:spacing w:val="9"/>
    </w:rPr>
  </w:style>
  <w:style w:type="paragraph" w:styleId="IntenseQuote">
    <w:name w:val="Intense Quote"/>
    <w:basedOn w:val="Normal"/>
    <w:next w:val="Normal"/>
    <w:link w:val="IntenseQuoteChar"/>
    <w:uiPriority w:val="30"/>
    <w:qFormat/>
    <w:locked/>
    <w:rsid w:val="0079037F"/>
    <w:pPr>
      <w:pBdr>
        <w:top w:val="single" w:sz="4" w:space="10" w:color="0096D7" w:themeColor="accent1"/>
        <w:left w:val="single" w:sz="4" w:space="10" w:color="0096D7" w:themeColor="accent1"/>
      </w:pBdr>
      <w:spacing w:before="200" w:after="0" w:line="276" w:lineRule="auto"/>
      <w:ind w:left="1296" w:right="1152"/>
      <w:jc w:val="both"/>
    </w:pPr>
    <w:rPr>
      <w:rFonts w:eastAsiaTheme="minorEastAsia"/>
      <w:i/>
      <w:iCs/>
      <w:color w:val="0096D7" w:themeColor="accent1"/>
      <w:sz w:val="20"/>
      <w:szCs w:val="20"/>
      <w:lang w:bidi="en-US"/>
    </w:rPr>
  </w:style>
  <w:style w:type="character" w:customStyle="1" w:styleId="IntenseQuoteChar">
    <w:name w:val="Intense Quote Char"/>
    <w:basedOn w:val="DefaultParagraphFont"/>
    <w:link w:val="IntenseQuote"/>
    <w:uiPriority w:val="30"/>
    <w:rsid w:val="0079037F"/>
    <w:rPr>
      <w:rFonts w:eastAsiaTheme="minorEastAsia"/>
      <w:i/>
      <w:iCs/>
      <w:color w:val="0096D7" w:themeColor="accent1"/>
      <w:sz w:val="20"/>
      <w:szCs w:val="20"/>
      <w:lang w:bidi="en-US"/>
    </w:rPr>
  </w:style>
  <w:style w:type="paragraph" w:styleId="ListBullet5">
    <w:name w:val="List Bullet 5"/>
    <w:basedOn w:val="Normal"/>
    <w:uiPriority w:val="99"/>
    <w:unhideWhenUsed/>
    <w:locked/>
    <w:rsid w:val="0079037F"/>
    <w:pPr>
      <w:spacing w:before="200" w:after="0" w:line="276" w:lineRule="auto"/>
      <w:ind w:left="1800" w:hanging="360"/>
    </w:pPr>
    <w:rPr>
      <w:rFonts w:eastAsiaTheme="minorEastAsia"/>
      <w:sz w:val="20"/>
      <w:szCs w:val="20"/>
      <w:lang w:bidi="en-US"/>
    </w:rPr>
  </w:style>
  <w:style w:type="character" w:styleId="SubtleEmphasis">
    <w:name w:val="Subtle Emphasis"/>
    <w:uiPriority w:val="19"/>
    <w:qFormat/>
    <w:locked/>
    <w:rsid w:val="0079037F"/>
    <w:rPr>
      <w:i/>
      <w:iCs/>
      <w:color w:val="004A6B" w:themeColor="accent1" w:themeShade="7F"/>
    </w:rPr>
  </w:style>
  <w:style w:type="character" w:styleId="SubtleReference">
    <w:name w:val="Subtle Reference"/>
    <w:uiPriority w:val="31"/>
    <w:qFormat/>
    <w:locked/>
    <w:rsid w:val="0079037F"/>
    <w:rPr>
      <w:b/>
      <w:bCs/>
      <w:color w:val="0096D7" w:themeColor="accent1"/>
    </w:rPr>
  </w:style>
  <w:style w:type="character" w:customStyle="1" w:styleId="EndnoteTextChar">
    <w:name w:val="Endnote Text Char"/>
    <w:basedOn w:val="DefaultParagraphFont"/>
    <w:link w:val="EndnoteText"/>
    <w:uiPriority w:val="99"/>
    <w:semiHidden/>
    <w:rsid w:val="0079037F"/>
    <w:rPr>
      <w:rFonts w:eastAsiaTheme="minorEastAsia"/>
      <w:sz w:val="20"/>
      <w:szCs w:val="20"/>
      <w:lang w:bidi="en-US"/>
    </w:rPr>
  </w:style>
  <w:style w:type="paragraph" w:styleId="EndnoteText">
    <w:name w:val="endnote text"/>
    <w:basedOn w:val="Normal"/>
    <w:link w:val="EndnoteTextChar"/>
    <w:uiPriority w:val="99"/>
    <w:semiHidden/>
    <w:unhideWhenUsed/>
    <w:locked/>
    <w:rsid w:val="0079037F"/>
    <w:pPr>
      <w:spacing w:after="0" w:line="240" w:lineRule="auto"/>
    </w:pPr>
    <w:rPr>
      <w:rFonts w:eastAsiaTheme="minorEastAsia"/>
      <w:sz w:val="20"/>
      <w:szCs w:val="20"/>
      <w:lang w:bidi="en-US"/>
    </w:rPr>
  </w:style>
  <w:style w:type="paragraph" w:customStyle="1" w:styleId="TEXT0">
    <w:name w:val="TEXT"/>
    <w:basedOn w:val="Normal"/>
    <w:next w:val="Normal"/>
    <w:link w:val="TEXTChar"/>
    <w:autoRedefine/>
    <w:rsid w:val="00BF5764"/>
    <w:pPr>
      <w:spacing w:after="240" w:line="360" w:lineRule="auto"/>
    </w:pPr>
    <w:rPr>
      <w:rFonts w:eastAsia="Times New Roman" w:cs="Times New Roman"/>
      <w:szCs w:val="24"/>
    </w:rPr>
  </w:style>
  <w:style w:type="character" w:customStyle="1" w:styleId="TEXTChar">
    <w:name w:val="TEXT Char"/>
    <w:basedOn w:val="DefaultParagraphFont"/>
    <w:link w:val="TEXT0"/>
    <w:rsid w:val="00BF5764"/>
    <w:rPr>
      <w:rFonts w:eastAsia="Times New Roman" w:cs="Times New Roman"/>
      <w:szCs w:val="24"/>
    </w:rPr>
  </w:style>
  <w:style w:type="paragraph" w:styleId="CommentText">
    <w:name w:val="annotation text"/>
    <w:basedOn w:val="Normal"/>
    <w:link w:val="CommentTextChar"/>
    <w:uiPriority w:val="99"/>
    <w:unhideWhenUsed/>
    <w:locked/>
    <w:rsid w:val="0079037F"/>
    <w:pPr>
      <w:spacing w:before="200" w:line="240" w:lineRule="auto"/>
    </w:pPr>
    <w:rPr>
      <w:rFonts w:eastAsiaTheme="minorEastAsia"/>
      <w:sz w:val="20"/>
      <w:szCs w:val="20"/>
      <w:lang w:bidi="en-US"/>
    </w:rPr>
  </w:style>
  <w:style w:type="character" w:customStyle="1" w:styleId="CommentTextChar">
    <w:name w:val="Comment Text Char"/>
    <w:basedOn w:val="DefaultParagraphFont"/>
    <w:link w:val="CommentText"/>
    <w:uiPriority w:val="99"/>
    <w:rsid w:val="0079037F"/>
    <w:rPr>
      <w:rFonts w:eastAsiaTheme="minorEastAsia"/>
      <w:sz w:val="20"/>
      <w:szCs w:val="20"/>
      <w:lang w:bidi="en-US"/>
    </w:rPr>
  </w:style>
  <w:style w:type="character" w:customStyle="1" w:styleId="CommentSubjectChar">
    <w:name w:val="Comment Subject Char"/>
    <w:basedOn w:val="CommentTextChar"/>
    <w:link w:val="CommentSubject"/>
    <w:uiPriority w:val="99"/>
    <w:semiHidden/>
    <w:rsid w:val="0079037F"/>
    <w:rPr>
      <w:rFonts w:eastAsiaTheme="minorEastAsia"/>
      <w:b/>
      <w:bCs/>
      <w:sz w:val="20"/>
      <w:szCs w:val="20"/>
      <w:lang w:bidi="en-US"/>
    </w:rPr>
  </w:style>
  <w:style w:type="paragraph" w:styleId="CommentSubject">
    <w:name w:val="annotation subject"/>
    <w:basedOn w:val="CommentText"/>
    <w:next w:val="CommentText"/>
    <w:link w:val="CommentSubjectChar"/>
    <w:uiPriority w:val="99"/>
    <w:semiHidden/>
    <w:unhideWhenUsed/>
    <w:locked/>
    <w:rsid w:val="0079037F"/>
    <w:rPr>
      <w:b/>
      <w:bCs/>
    </w:rPr>
  </w:style>
  <w:style w:type="paragraph" w:customStyle="1" w:styleId="Default">
    <w:name w:val="Default"/>
    <w:rsid w:val="0079037F"/>
    <w:pPr>
      <w:autoSpaceDE w:val="0"/>
      <w:autoSpaceDN w:val="0"/>
      <w:adjustRightInd w:val="0"/>
      <w:spacing w:after="0"/>
    </w:pPr>
    <w:rPr>
      <w:rFonts w:ascii="Times New Roman" w:hAnsi="Times New Roman" w:cs="Times New Roman"/>
      <w:color w:val="000000"/>
      <w:sz w:val="24"/>
      <w:szCs w:val="24"/>
    </w:rPr>
  </w:style>
  <w:style w:type="table" w:customStyle="1" w:styleId="TableGrid2">
    <w:name w:val="Table Grid2"/>
    <w:basedOn w:val="TableNormal"/>
    <w:next w:val="TableGrid"/>
    <w:uiPriority w:val="1"/>
    <w:rsid w:val="00F93737"/>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1"/>
    <w:rsid w:val="004A0B1D"/>
    <w:pPr>
      <w:spacing w:before="200" w:after="0"/>
    </w:pPr>
    <w:rPr>
      <w:rFonts w:eastAsia="Times New Roman" w:cs="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1"/>
    <w:rsid w:val="001B0EC4"/>
    <w:pPr>
      <w:spacing w:before="200" w:after="0"/>
    </w:pPr>
    <w:rPr>
      <w:rFonts w:eastAsiaTheme="minorEastAsia" w:cstheme="min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locked/>
    <w:rsid w:val="007F2B30"/>
    <w:rPr>
      <w:sz w:val="16"/>
      <w:szCs w:val="16"/>
    </w:rPr>
  </w:style>
  <w:style w:type="paragraph" w:styleId="Revision">
    <w:name w:val="Revision"/>
    <w:hidden/>
    <w:uiPriority w:val="99"/>
    <w:semiHidden/>
    <w:rsid w:val="00137342"/>
    <w:pPr>
      <w:spacing w:after="0"/>
    </w:pPr>
  </w:style>
  <w:style w:type="character" w:styleId="FollowedHyperlink">
    <w:name w:val="FollowedHyperlink"/>
    <w:basedOn w:val="DefaultParagraphFont"/>
    <w:uiPriority w:val="99"/>
    <w:semiHidden/>
    <w:unhideWhenUsed/>
    <w:locked/>
    <w:rsid w:val="00D6151D"/>
    <w:rPr>
      <w:color w:val="5D9732" w:themeColor="followedHyperlink"/>
      <w:u w:val="single"/>
    </w:rPr>
  </w:style>
  <w:style w:type="paragraph" w:customStyle="1" w:styleId="paragraph">
    <w:name w:val="paragraph"/>
    <w:basedOn w:val="Normal"/>
    <w:rsid w:val="00E019ED"/>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019ED"/>
  </w:style>
  <w:style w:type="character" w:customStyle="1" w:styleId="tabchar">
    <w:name w:val="tabchar"/>
    <w:basedOn w:val="DefaultParagraphFont"/>
    <w:rsid w:val="00E0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image" Target="media/image3.png"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0" ma:contentTypeDescription="Create a new document." ma:contentTypeScope="" ma:versionID="bd2dbe16cd9bebea57a269f9173dea40">
  <xsd:schema xmlns:xsd="http://www.w3.org/2001/XMLSchema" xmlns:xs="http://www.w3.org/2001/XMLSchema" xmlns:p="http://schemas.microsoft.com/office/2006/metadata/properties" xmlns:ns2="d588c4e7-d2ae-4a4b-9907-42eca676916f" xmlns:ns3="f600328b-9bc1-49f4-ac38-a13ae9074617" targetNamespace="http://schemas.microsoft.com/office/2006/metadata/properties" ma:root="true" ma:fieldsID="c2a90321e3a65ca2f08ac3ddd52b83d3" ns2:_="" ns3:_="">
    <xsd:import namespace="d588c4e7-d2ae-4a4b-9907-42eca676916f"/>
    <xsd:import namespace="f600328b-9bc1-49f4-ac38-a13ae9074617"/>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2EF3B4-D3CC-4009-A89F-35E01C3D2F00}">
  <ds:schemaRefs>
    <ds:schemaRef ds:uri="f600328b-9bc1-49f4-ac38-a13ae9074617"/>
    <ds:schemaRef ds:uri="http://purl.org/dc/dcmitype/"/>
    <ds:schemaRef ds:uri="http://www.w3.org/XML/1998/namespace"/>
    <ds:schemaRef ds:uri="http://purl.org/dc/elements/1.1/"/>
    <ds:schemaRef ds:uri="http://schemas.microsoft.com/office/2006/documentManagement/types"/>
    <ds:schemaRef ds:uri="d588c4e7-d2ae-4a4b-9907-42eca676916f"/>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137380E-875C-4E0D-B696-DBFD4E5DC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007719-626D-4F24-B7C9-0530936F8CEB}">
  <ds:schemaRefs>
    <ds:schemaRef ds:uri="http://schemas.microsoft.com/sharepoint/v3/contenttype/forms"/>
  </ds:schemaRefs>
</ds:datastoreItem>
</file>

<file path=customXml/itemProps5.xml><?xml version="1.0" encoding="utf-8"?>
<ds:datastoreItem xmlns:ds="http://schemas.openxmlformats.org/officeDocument/2006/customXml" ds:itemID="{10234203-2055-4C7F-91D3-0F0D2D4F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4580</Words>
  <Characters>26111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Supporting Statement for Petroleum Supply Reporting System</vt:lpstr>
    </vt:vector>
  </TitlesOfParts>
  <Company/>
  <LinksUpToDate>false</LinksUpToDate>
  <CharactersWithSpaces>30630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Petroleum Supply Reporting System</dc:title>
  <dc:subject>Improving the Quality and Scope of EIA Data</dc:subject>
  <dc:creator>Stroud, Lawrence</dc:creator>
  <cp:lastModifiedBy>Morales, Gerson</cp:lastModifiedBy>
  <cp:revision>3</cp:revision>
  <cp:lastPrinted>2017-06-07T16:07:00Z</cp:lastPrinted>
  <dcterms:created xsi:type="dcterms:W3CDTF">2022-08-17T17:35:00Z</dcterms:created>
  <dcterms:modified xsi:type="dcterms:W3CDTF">2022-10-12T14:04:00Z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144">
    <vt:lpwstr>13</vt:lpwstr>
  </property>
  <property fmtid="{D5CDD505-2E9C-101B-9397-08002B2CF9AE}" pid="3" name="ContentTypeId">
    <vt:lpwstr>0x0101004DC269D66D48DA48A99DFDA691E9EBB5</vt:lpwstr>
  </property>
</Properties>
</file>