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6A6C" w:rsidP="008E3A96" w14:paraId="4124C909" w14:textId="77777777">
      <w:pPr>
        <w:ind w:left="446"/>
        <w:jc w:val="center"/>
        <w:rPr>
          <w:b/>
          <w:bCs/>
          <w:sz w:val="28"/>
          <w:szCs w:val="28"/>
        </w:rPr>
      </w:pPr>
    </w:p>
    <w:p w:rsidR="00146A6C" w:rsidP="008E3A96" w14:paraId="3B412CCC" w14:textId="77777777">
      <w:pPr>
        <w:ind w:left="446"/>
        <w:jc w:val="center"/>
        <w:rPr>
          <w:b/>
          <w:bCs/>
          <w:sz w:val="28"/>
          <w:szCs w:val="28"/>
        </w:rPr>
      </w:pPr>
    </w:p>
    <w:p w:rsidR="00146A6C" w14:paraId="4E604F5F" w14:textId="77777777">
      <w:pPr>
        <w:ind w:left="446"/>
        <w:jc w:val="center"/>
        <w:rPr>
          <w:b/>
          <w:bCs/>
          <w:sz w:val="28"/>
          <w:szCs w:val="28"/>
        </w:rPr>
      </w:pPr>
    </w:p>
    <w:p w:rsidR="00146A6C" w14:paraId="5FD1D15E" w14:textId="77777777">
      <w:pPr>
        <w:ind w:left="446"/>
        <w:jc w:val="center"/>
        <w:rPr>
          <w:b/>
          <w:bCs/>
          <w:sz w:val="28"/>
          <w:szCs w:val="28"/>
        </w:rPr>
      </w:pPr>
    </w:p>
    <w:p w:rsidR="00146A6C" w14:paraId="0F59E588" w14:textId="77777777">
      <w:pPr>
        <w:ind w:left="446"/>
        <w:jc w:val="center"/>
        <w:rPr>
          <w:b/>
          <w:bCs/>
          <w:sz w:val="28"/>
          <w:szCs w:val="28"/>
        </w:rPr>
      </w:pPr>
    </w:p>
    <w:p w:rsidR="00146A6C" w14:paraId="06C758D8" w14:textId="77777777">
      <w:pPr>
        <w:ind w:left="446"/>
        <w:jc w:val="center"/>
        <w:rPr>
          <w:b/>
          <w:bCs/>
          <w:sz w:val="28"/>
          <w:szCs w:val="28"/>
        </w:rPr>
      </w:pPr>
    </w:p>
    <w:p w:rsidR="00146A6C" w14:paraId="28A8000E" w14:textId="77777777">
      <w:pPr>
        <w:ind w:left="446"/>
        <w:jc w:val="center"/>
        <w:rPr>
          <w:b/>
          <w:bCs/>
          <w:sz w:val="28"/>
          <w:szCs w:val="28"/>
        </w:rPr>
      </w:pPr>
    </w:p>
    <w:p w:rsidR="00146A6C" w14:paraId="5016EBA8" w14:textId="77777777">
      <w:pPr>
        <w:ind w:left="446"/>
        <w:jc w:val="center"/>
        <w:rPr>
          <w:b/>
          <w:bCs/>
          <w:sz w:val="28"/>
          <w:szCs w:val="28"/>
        </w:rPr>
      </w:pPr>
    </w:p>
    <w:p w:rsidR="00146A6C" w14:paraId="1A5B6C51" w14:textId="77777777">
      <w:pPr>
        <w:ind w:left="446"/>
        <w:jc w:val="center"/>
        <w:rPr>
          <w:b/>
          <w:bCs/>
          <w:sz w:val="28"/>
          <w:szCs w:val="28"/>
        </w:rPr>
      </w:pPr>
    </w:p>
    <w:p w:rsidR="00146A6C" w14:paraId="40572290" w14:textId="77777777">
      <w:pPr>
        <w:ind w:left="446"/>
        <w:jc w:val="center"/>
        <w:rPr>
          <w:b/>
          <w:bCs/>
          <w:sz w:val="28"/>
          <w:szCs w:val="28"/>
        </w:rPr>
      </w:pPr>
    </w:p>
    <w:p w:rsidR="00146A6C" w14:paraId="69D5BE8F" w14:textId="77777777">
      <w:pPr>
        <w:ind w:left="446"/>
        <w:jc w:val="center"/>
        <w:rPr>
          <w:b/>
          <w:bCs/>
          <w:sz w:val="28"/>
          <w:szCs w:val="28"/>
        </w:rPr>
      </w:pPr>
    </w:p>
    <w:p w:rsidR="00146A6C" w14:paraId="47FC6265" w14:textId="77777777">
      <w:pPr>
        <w:ind w:left="446"/>
        <w:jc w:val="center"/>
        <w:rPr>
          <w:b/>
          <w:bCs/>
          <w:sz w:val="28"/>
          <w:szCs w:val="28"/>
        </w:rPr>
      </w:pPr>
    </w:p>
    <w:p w:rsidR="00146A6C" w:rsidRPr="00FA2EC0" w14:paraId="38578C7E" w14:textId="77777777">
      <w:pPr>
        <w:jc w:val="center"/>
        <w:rPr>
          <w:b/>
          <w:bCs/>
          <w:color w:val="000000"/>
        </w:rPr>
      </w:pPr>
      <w:r>
        <w:rPr>
          <w:b/>
          <w:bCs/>
          <w:sz w:val="28"/>
          <w:szCs w:val="28"/>
        </w:rPr>
        <w:t>﻿</w:t>
      </w:r>
      <w:r w:rsidRPr="00FA2EC0">
        <w:rPr>
          <w:b/>
          <w:bCs/>
          <w:color w:val="000000"/>
        </w:rPr>
        <w:t xml:space="preserve">SUPPORTING STATEMENT FOR </w:t>
      </w:r>
    </w:p>
    <w:p w:rsidR="00146A6C" w:rsidRPr="00FA2EC0" w14:paraId="11B58269" w14:textId="730189C6">
      <w:pPr>
        <w:jc w:val="center"/>
        <w:rPr>
          <w:b/>
          <w:bCs/>
          <w:color w:val="000000"/>
        </w:rPr>
      </w:pPr>
      <w:r w:rsidRPr="00FA2EC0">
        <w:rPr>
          <w:b/>
          <w:bCs/>
          <w:color w:val="000000"/>
        </w:rPr>
        <w:t xml:space="preserve">INFORMATION COLLECTION REQUEST </w:t>
      </w:r>
      <w:r w:rsidRPr="00FA2EC0" w:rsidR="009810B3">
        <w:rPr>
          <w:b/>
          <w:bCs/>
          <w:color w:val="000000"/>
        </w:rPr>
        <w:t>OMB CONTROL NO. 2050-</w:t>
      </w:r>
      <w:r w:rsidRPr="00FA2EC0" w:rsidR="00F76A9B">
        <w:rPr>
          <w:b/>
          <w:bCs/>
          <w:color w:val="000000"/>
        </w:rPr>
        <w:t>0204</w:t>
      </w:r>
    </w:p>
    <w:p w:rsidR="00146A6C" w:rsidRPr="00FA2EC0" w14:paraId="7B58B84E" w14:textId="77777777">
      <w:pPr>
        <w:jc w:val="center"/>
        <w:rPr>
          <w:b/>
          <w:bCs/>
          <w:color w:val="000000"/>
        </w:rPr>
      </w:pPr>
      <w:r w:rsidRPr="00FA2EC0">
        <w:rPr>
          <w:b/>
          <w:bCs/>
          <w:color w:val="000000"/>
        </w:rPr>
        <w:t>“</w:t>
      </w:r>
      <w:bookmarkStart w:id="0" w:name="OLE_LINK3"/>
      <w:r w:rsidRPr="00FA2EC0">
        <w:rPr>
          <w:b/>
          <w:bCs/>
          <w:color w:val="000000"/>
        </w:rPr>
        <w:t>GENERATOR STANDARDS APPLICABLE TO LABORATORIES OWNED BY ELIGIBLE ACADEMIC ENTITIES</w:t>
      </w:r>
      <w:bookmarkEnd w:id="0"/>
      <w:r w:rsidRPr="00FA2EC0">
        <w:rPr>
          <w:b/>
          <w:bCs/>
          <w:color w:val="000000"/>
        </w:rPr>
        <w:t>”</w:t>
      </w:r>
    </w:p>
    <w:p w:rsidR="00E9616C" w:rsidRPr="00FA2EC0" w:rsidP="00E9616C" w14:paraId="15A37117" w14:textId="77777777">
      <w:pPr>
        <w:jc w:val="center"/>
        <w:rPr>
          <w:b/>
          <w:bCs/>
          <w:color w:val="000000"/>
        </w:rPr>
      </w:pPr>
      <w:r w:rsidRPr="00FA2EC0">
        <w:rPr>
          <w:b/>
          <w:bCs/>
          <w:color w:val="000000"/>
        </w:rPr>
        <w:t>(RENEWAL)</w:t>
      </w:r>
    </w:p>
    <w:p w:rsidR="00E9616C" w:rsidRPr="00270DB5" w:rsidP="00E9616C" w14:paraId="3A36306F" w14:textId="77777777">
      <w:pPr>
        <w:jc w:val="center"/>
        <w:rPr>
          <w:b/>
          <w:bCs/>
          <w:color w:val="000000"/>
          <w:sz w:val="28"/>
          <w:szCs w:val="28"/>
        </w:rPr>
      </w:pPr>
    </w:p>
    <w:p w:rsidR="00E9616C" w:rsidRPr="00270DB5" w:rsidP="00E9616C" w14:paraId="4BECEB30" w14:textId="77777777">
      <w:pPr>
        <w:jc w:val="center"/>
        <w:rPr>
          <w:b/>
          <w:bCs/>
          <w:color w:val="000000"/>
          <w:sz w:val="28"/>
          <w:szCs w:val="28"/>
        </w:rPr>
      </w:pPr>
    </w:p>
    <w:p w:rsidR="00146A6C" w:rsidRPr="00270DB5" w14:paraId="48F79B46" w14:textId="77777777">
      <w:pPr>
        <w:rPr>
          <w:color w:val="000000"/>
        </w:rPr>
      </w:pPr>
    </w:p>
    <w:p w:rsidR="00146A6C" w:rsidRPr="00270DB5" w14:paraId="5E0C95C8" w14:textId="77777777">
      <w:pPr>
        <w:jc w:val="center"/>
        <w:rPr>
          <w:color w:val="000000"/>
        </w:rPr>
      </w:pPr>
    </w:p>
    <w:p w:rsidR="00146A6C" w:rsidRPr="00270DB5" w14:paraId="23DB1331" w14:textId="77777777">
      <w:pPr>
        <w:jc w:val="center"/>
        <w:rPr>
          <w:color w:val="000000"/>
        </w:rPr>
      </w:pPr>
    </w:p>
    <w:p w:rsidR="00146A6C" w:rsidRPr="00270DB5" w14:paraId="267C0A1B" w14:textId="77777777">
      <w:pPr>
        <w:jc w:val="center"/>
        <w:rPr>
          <w:color w:val="000000"/>
        </w:rPr>
      </w:pPr>
    </w:p>
    <w:p w:rsidR="00146A6C" w:rsidRPr="00270DB5" w14:paraId="7F9C7656" w14:textId="77777777">
      <w:pPr>
        <w:jc w:val="center"/>
        <w:rPr>
          <w:b/>
          <w:color w:val="000000"/>
        </w:rPr>
      </w:pPr>
    </w:p>
    <w:p w:rsidR="00146A6C" w:rsidRPr="00270DB5" w14:paraId="3074BADA" w14:textId="77777777">
      <w:pPr>
        <w:jc w:val="center"/>
        <w:rPr>
          <w:b/>
          <w:color w:val="000000"/>
        </w:rPr>
      </w:pPr>
    </w:p>
    <w:p w:rsidR="00146A6C" w:rsidRPr="00270DB5" w14:paraId="09310F8C" w14:textId="77777777">
      <w:pPr>
        <w:jc w:val="center"/>
        <w:rPr>
          <w:b/>
          <w:color w:val="000000"/>
        </w:rPr>
      </w:pPr>
    </w:p>
    <w:p w:rsidR="00146A6C" w:rsidRPr="00270DB5" w14:paraId="3A2E12E0" w14:textId="77777777">
      <w:pPr>
        <w:jc w:val="center"/>
        <w:rPr>
          <w:b/>
          <w:color w:val="000000"/>
        </w:rPr>
      </w:pPr>
    </w:p>
    <w:p w:rsidR="00146A6C" w:rsidRPr="00270DB5" w14:paraId="1496EAE0" w14:textId="77777777">
      <w:pPr>
        <w:jc w:val="center"/>
        <w:rPr>
          <w:b/>
          <w:color w:val="000000"/>
        </w:rPr>
      </w:pPr>
    </w:p>
    <w:p w:rsidR="00146A6C" w:rsidRPr="00270DB5" w14:paraId="7CBD627F" w14:textId="77777777">
      <w:pPr>
        <w:jc w:val="center"/>
        <w:rPr>
          <w:b/>
          <w:color w:val="000000"/>
        </w:rPr>
      </w:pPr>
    </w:p>
    <w:p w:rsidR="00146A6C" w:rsidRPr="00270DB5" w14:paraId="08789B26" w14:textId="77777777">
      <w:pPr>
        <w:jc w:val="center"/>
        <w:rPr>
          <w:b/>
          <w:color w:val="000000"/>
        </w:rPr>
      </w:pPr>
    </w:p>
    <w:p w:rsidR="00146A6C" w:rsidRPr="00270DB5" w14:paraId="15E4C1C5" w14:textId="77777777">
      <w:pPr>
        <w:jc w:val="center"/>
        <w:rPr>
          <w:b/>
          <w:color w:val="000000"/>
        </w:rPr>
      </w:pPr>
    </w:p>
    <w:p w:rsidR="00146A6C" w:rsidRPr="00270DB5" w14:paraId="1AABE3E7" w14:textId="77777777">
      <w:pPr>
        <w:tabs>
          <w:tab w:val="center" w:pos="4680"/>
        </w:tabs>
        <w:rPr>
          <w:color w:val="000000"/>
        </w:rPr>
      </w:pPr>
    </w:p>
    <w:p w:rsidR="00146A6C" w:rsidRPr="00270DB5" w14:paraId="4F52C6D2" w14:textId="77777777">
      <w:pPr>
        <w:jc w:val="center"/>
        <w:rPr>
          <w:b/>
          <w:bCs/>
          <w:color w:val="000000"/>
          <w:sz w:val="28"/>
          <w:szCs w:val="28"/>
        </w:rPr>
        <w:sectPr>
          <w:footerReference w:type="default" r:id="rId6"/>
          <w:type w:val="continuous"/>
          <w:pgSz w:w="12240" w:h="15840"/>
          <w:pgMar w:top="1440" w:right="1440" w:bottom="1440" w:left="1440" w:header="1440" w:footer="1440" w:gutter="0"/>
          <w:pgNumType w:start="1"/>
          <w:cols w:space="720"/>
          <w:noEndnote/>
        </w:sectPr>
      </w:pPr>
    </w:p>
    <w:p w:rsidR="00146A6C" w:rsidRPr="00270DB5" w14:paraId="35A23F14" w14:textId="77777777">
      <w:pPr>
        <w:jc w:val="center"/>
        <w:rPr>
          <w:color w:val="000000"/>
        </w:rPr>
      </w:pPr>
      <w:r w:rsidRPr="00270DB5">
        <w:rPr>
          <w:b/>
          <w:bCs/>
          <w:color w:val="000000"/>
          <w:sz w:val="28"/>
          <w:szCs w:val="28"/>
        </w:rPr>
        <w:t>TABLE OF CONTENTS</w:t>
      </w:r>
    </w:p>
    <w:p w:rsidR="00146A6C" w:rsidRPr="00270DB5" w14:paraId="2C5AC579" w14:textId="77777777">
      <w:pPr>
        <w:rPr>
          <w:color w:val="000000"/>
        </w:rPr>
      </w:pPr>
    </w:p>
    <w:p w:rsidR="00E948F9" w14:paraId="498D9FBD" w14:textId="77777777">
      <w:pPr>
        <w:pStyle w:val="TOC1"/>
        <w:rPr>
          <w:rFonts w:asciiTheme="minorHAnsi" w:eastAsiaTheme="minorEastAsia" w:hAnsiTheme="minorHAnsi" w:cstheme="minorBidi"/>
          <w:sz w:val="22"/>
          <w:szCs w:val="22"/>
        </w:rPr>
      </w:pPr>
      <w:r w:rsidRPr="00270DB5">
        <w:rPr>
          <w:color w:val="000000"/>
          <w:sz w:val="24"/>
        </w:rPr>
        <w:fldChar w:fldCharType="begin"/>
      </w:r>
      <w:r w:rsidRPr="00270DB5" w:rsidR="00146A6C">
        <w:rPr>
          <w:color w:val="000000"/>
          <w:sz w:val="24"/>
        </w:rPr>
        <w:instrText xml:space="preserve"> TOC \o "1-3" \h \z </w:instrText>
      </w:r>
      <w:r w:rsidRPr="00270DB5">
        <w:rPr>
          <w:color w:val="000000"/>
          <w:sz w:val="24"/>
        </w:rPr>
        <w:fldChar w:fldCharType="separate"/>
      </w:r>
      <w:hyperlink w:anchor="_Toc434487997" w:history="1">
        <w:r w:rsidRPr="00F360EA">
          <w:rPr>
            <w:rStyle w:val="Hyperlink"/>
          </w:rPr>
          <w:t>1.</w:t>
        </w:r>
        <w:r>
          <w:rPr>
            <w:rFonts w:asciiTheme="minorHAnsi" w:eastAsiaTheme="minorEastAsia" w:hAnsiTheme="minorHAnsi" w:cstheme="minorBidi"/>
            <w:sz w:val="22"/>
            <w:szCs w:val="22"/>
          </w:rPr>
          <w:tab/>
        </w:r>
        <w:r w:rsidRPr="00F360EA">
          <w:rPr>
            <w:rStyle w:val="Hyperlink"/>
          </w:rPr>
          <w:t>IDENTIFICATION OF THE INFORMATION COLLECTION</w:t>
        </w:r>
        <w:r>
          <w:rPr>
            <w:webHidden/>
          </w:rPr>
          <w:tab/>
        </w:r>
        <w:r>
          <w:rPr>
            <w:webHidden/>
          </w:rPr>
          <w:fldChar w:fldCharType="begin"/>
        </w:r>
        <w:r>
          <w:rPr>
            <w:webHidden/>
          </w:rPr>
          <w:instrText xml:space="preserve"> PAGEREF _Toc434487997 \h </w:instrText>
        </w:r>
        <w:r>
          <w:rPr>
            <w:webHidden/>
          </w:rPr>
          <w:fldChar w:fldCharType="separate"/>
        </w:r>
        <w:r w:rsidR="00B14B41">
          <w:rPr>
            <w:webHidden/>
          </w:rPr>
          <w:t>1</w:t>
        </w:r>
        <w:r>
          <w:rPr>
            <w:webHidden/>
          </w:rPr>
          <w:fldChar w:fldCharType="end"/>
        </w:r>
      </w:hyperlink>
    </w:p>
    <w:p w:rsidR="00E948F9" w14:paraId="5935FC16" w14:textId="77777777">
      <w:pPr>
        <w:pStyle w:val="TOC2"/>
        <w:rPr>
          <w:rFonts w:asciiTheme="minorHAnsi" w:eastAsiaTheme="minorEastAsia" w:hAnsiTheme="minorHAnsi" w:cstheme="minorBidi"/>
          <w:sz w:val="22"/>
          <w:szCs w:val="22"/>
        </w:rPr>
      </w:pPr>
      <w:hyperlink w:anchor="_Toc434487998" w:history="1">
        <w:r w:rsidRPr="00F360EA">
          <w:rPr>
            <w:rStyle w:val="Hyperlink"/>
          </w:rPr>
          <w:t>1(a)</w:t>
        </w:r>
        <w:r>
          <w:rPr>
            <w:rFonts w:asciiTheme="minorHAnsi" w:eastAsiaTheme="minorEastAsia" w:hAnsiTheme="minorHAnsi" w:cstheme="minorBidi"/>
            <w:sz w:val="22"/>
            <w:szCs w:val="22"/>
          </w:rPr>
          <w:tab/>
        </w:r>
        <w:r w:rsidRPr="00F360EA">
          <w:rPr>
            <w:rStyle w:val="Hyperlink"/>
          </w:rPr>
          <w:t>Title and Number of the Information Collection</w:t>
        </w:r>
        <w:r>
          <w:rPr>
            <w:webHidden/>
          </w:rPr>
          <w:tab/>
        </w:r>
        <w:r>
          <w:rPr>
            <w:webHidden/>
          </w:rPr>
          <w:fldChar w:fldCharType="begin"/>
        </w:r>
        <w:r>
          <w:rPr>
            <w:webHidden/>
          </w:rPr>
          <w:instrText xml:space="preserve"> PAGEREF _Toc434487998 \h </w:instrText>
        </w:r>
        <w:r>
          <w:rPr>
            <w:webHidden/>
          </w:rPr>
          <w:fldChar w:fldCharType="separate"/>
        </w:r>
        <w:r w:rsidR="00B14B41">
          <w:rPr>
            <w:webHidden/>
          </w:rPr>
          <w:t>1</w:t>
        </w:r>
        <w:r>
          <w:rPr>
            <w:webHidden/>
          </w:rPr>
          <w:fldChar w:fldCharType="end"/>
        </w:r>
      </w:hyperlink>
    </w:p>
    <w:p w:rsidR="00E948F9" w14:paraId="0714BD73" w14:textId="77777777">
      <w:pPr>
        <w:pStyle w:val="TOC2"/>
        <w:rPr>
          <w:rFonts w:asciiTheme="minorHAnsi" w:eastAsiaTheme="minorEastAsia" w:hAnsiTheme="minorHAnsi" w:cstheme="minorBidi"/>
          <w:sz w:val="22"/>
          <w:szCs w:val="22"/>
        </w:rPr>
      </w:pPr>
      <w:hyperlink w:anchor="_Toc434487999" w:history="1">
        <w:r w:rsidRPr="00F360EA">
          <w:rPr>
            <w:rStyle w:val="Hyperlink"/>
          </w:rPr>
          <w:t>1(b)</w:t>
        </w:r>
        <w:r>
          <w:rPr>
            <w:rFonts w:asciiTheme="minorHAnsi" w:eastAsiaTheme="minorEastAsia" w:hAnsiTheme="minorHAnsi" w:cstheme="minorBidi"/>
            <w:sz w:val="22"/>
            <w:szCs w:val="22"/>
          </w:rPr>
          <w:tab/>
        </w:r>
        <w:r w:rsidRPr="00F360EA">
          <w:rPr>
            <w:rStyle w:val="Hyperlink"/>
          </w:rPr>
          <w:t>Short Characterization</w:t>
        </w:r>
        <w:r>
          <w:rPr>
            <w:webHidden/>
          </w:rPr>
          <w:tab/>
        </w:r>
        <w:r>
          <w:rPr>
            <w:webHidden/>
          </w:rPr>
          <w:fldChar w:fldCharType="begin"/>
        </w:r>
        <w:r>
          <w:rPr>
            <w:webHidden/>
          </w:rPr>
          <w:instrText xml:space="preserve"> PAGEREF _Toc434487999 \h </w:instrText>
        </w:r>
        <w:r>
          <w:rPr>
            <w:webHidden/>
          </w:rPr>
          <w:fldChar w:fldCharType="separate"/>
        </w:r>
        <w:r w:rsidR="00B14B41">
          <w:rPr>
            <w:webHidden/>
          </w:rPr>
          <w:t>1</w:t>
        </w:r>
        <w:r>
          <w:rPr>
            <w:webHidden/>
          </w:rPr>
          <w:fldChar w:fldCharType="end"/>
        </w:r>
      </w:hyperlink>
    </w:p>
    <w:p w:rsidR="00E948F9" w14:paraId="41B49601" w14:textId="77777777">
      <w:pPr>
        <w:pStyle w:val="TOC1"/>
        <w:rPr>
          <w:rFonts w:asciiTheme="minorHAnsi" w:eastAsiaTheme="minorEastAsia" w:hAnsiTheme="minorHAnsi" w:cstheme="minorBidi"/>
          <w:sz w:val="22"/>
          <w:szCs w:val="22"/>
        </w:rPr>
      </w:pPr>
      <w:hyperlink w:anchor="_Toc434488000" w:history="1">
        <w:r w:rsidRPr="00F360EA">
          <w:rPr>
            <w:rStyle w:val="Hyperlink"/>
          </w:rPr>
          <w:t>2.</w:t>
        </w:r>
        <w:r>
          <w:rPr>
            <w:rFonts w:asciiTheme="minorHAnsi" w:eastAsiaTheme="minorEastAsia" w:hAnsiTheme="minorHAnsi" w:cstheme="minorBidi"/>
            <w:sz w:val="22"/>
            <w:szCs w:val="22"/>
          </w:rPr>
          <w:tab/>
        </w:r>
        <w:r w:rsidRPr="00F360EA">
          <w:rPr>
            <w:rStyle w:val="Hyperlink"/>
          </w:rPr>
          <w:t>NEED FOR AND USE OF THE COLLECTION</w:t>
        </w:r>
        <w:r>
          <w:rPr>
            <w:webHidden/>
          </w:rPr>
          <w:tab/>
        </w:r>
        <w:r>
          <w:rPr>
            <w:webHidden/>
          </w:rPr>
          <w:fldChar w:fldCharType="begin"/>
        </w:r>
        <w:r>
          <w:rPr>
            <w:webHidden/>
          </w:rPr>
          <w:instrText xml:space="preserve"> PAGEREF _Toc434488000 \h </w:instrText>
        </w:r>
        <w:r>
          <w:rPr>
            <w:webHidden/>
          </w:rPr>
          <w:fldChar w:fldCharType="separate"/>
        </w:r>
        <w:r w:rsidR="00B14B41">
          <w:rPr>
            <w:webHidden/>
          </w:rPr>
          <w:t>1</w:t>
        </w:r>
        <w:r>
          <w:rPr>
            <w:webHidden/>
          </w:rPr>
          <w:fldChar w:fldCharType="end"/>
        </w:r>
      </w:hyperlink>
    </w:p>
    <w:p w:rsidR="00E948F9" w14:paraId="47EB8B2A" w14:textId="77777777">
      <w:pPr>
        <w:pStyle w:val="TOC2"/>
        <w:rPr>
          <w:rFonts w:asciiTheme="minorHAnsi" w:eastAsiaTheme="minorEastAsia" w:hAnsiTheme="minorHAnsi" w:cstheme="minorBidi"/>
          <w:sz w:val="22"/>
          <w:szCs w:val="22"/>
        </w:rPr>
      </w:pPr>
      <w:hyperlink w:anchor="_Toc434488001" w:history="1">
        <w:r w:rsidRPr="00F360EA">
          <w:rPr>
            <w:rStyle w:val="Hyperlink"/>
          </w:rPr>
          <w:t>2(a)</w:t>
        </w:r>
        <w:r>
          <w:rPr>
            <w:rFonts w:asciiTheme="minorHAnsi" w:eastAsiaTheme="minorEastAsia" w:hAnsiTheme="minorHAnsi" w:cstheme="minorBidi"/>
            <w:sz w:val="22"/>
            <w:szCs w:val="22"/>
          </w:rPr>
          <w:tab/>
        </w:r>
        <w:r w:rsidRPr="00F360EA">
          <w:rPr>
            <w:rStyle w:val="Hyperlink"/>
          </w:rPr>
          <w:t>Need and Authority for the Collection</w:t>
        </w:r>
        <w:r>
          <w:rPr>
            <w:webHidden/>
          </w:rPr>
          <w:tab/>
        </w:r>
        <w:r>
          <w:rPr>
            <w:webHidden/>
          </w:rPr>
          <w:fldChar w:fldCharType="begin"/>
        </w:r>
        <w:r>
          <w:rPr>
            <w:webHidden/>
          </w:rPr>
          <w:instrText xml:space="preserve"> PAGEREF _Toc434488001 \h </w:instrText>
        </w:r>
        <w:r>
          <w:rPr>
            <w:webHidden/>
          </w:rPr>
          <w:fldChar w:fldCharType="separate"/>
        </w:r>
        <w:r w:rsidR="00B14B41">
          <w:rPr>
            <w:webHidden/>
          </w:rPr>
          <w:t>1</w:t>
        </w:r>
        <w:r>
          <w:rPr>
            <w:webHidden/>
          </w:rPr>
          <w:fldChar w:fldCharType="end"/>
        </w:r>
      </w:hyperlink>
    </w:p>
    <w:p w:rsidR="00E948F9" w14:paraId="3246AC31" w14:textId="77777777">
      <w:pPr>
        <w:pStyle w:val="TOC2"/>
        <w:rPr>
          <w:rFonts w:asciiTheme="minorHAnsi" w:eastAsiaTheme="minorEastAsia" w:hAnsiTheme="minorHAnsi" w:cstheme="minorBidi"/>
          <w:sz w:val="22"/>
          <w:szCs w:val="22"/>
        </w:rPr>
      </w:pPr>
      <w:hyperlink w:anchor="_Toc434488002" w:history="1">
        <w:r w:rsidRPr="00F360EA">
          <w:rPr>
            <w:rStyle w:val="Hyperlink"/>
          </w:rPr>
          <w:t>2(b)</w:t>
        </w:r>
        <w:r>
          <w:rPr>
            <w:rFonts w:asciiTheme="minorHAnsi" w:eastAsiaTheme="minorEastAsia" w:hAnsiTheme="minorHAnsi" w:cstheme="minorBidi"/>
            <w:sz w:val="22"/>
            <w:szCs w:val="22"/>
          </w:rPr>
          <w:tab/>
        </w:r>
        <w:r w:rsidRPr="00F360EA">
          <w:rPr>
            <w:rStyle w:val="Hyperlink"/>
          </w:rPr>
          <w:t>Practical Utility and Users of the Data</w:t>
        </w:r>
        <w:r>
          <w:rPr>
            <w:webHidden/>
          </w:rPr>
          <w:tab/>
        </w:r>
        <w:r>
          <w:rPr>
            <w:webHidden/>
          </w:rPr>
          <w:fldChar w:fldCharType="begin"/>
        </w:r>
        <w:r>
          <w:rPr>
            <w:webHidden/>
          </w:rPr>
          <w:instrText xml:space="preserve"> PAGEREF _Toc434488002 \h </w:instrText>
        </w:r>
        <w:r>
          <w:rPr>
            <w:webHidden/>
          </w:rPr>
          <w:fldChar w:fldCharType="separate"/>
        </w:r>
        <w:r w:rsidR="00B14B41">
          <w:rPr>
            <w:webHidden/>
          </w:rPr>
          <w:t>5</w:t>
        </w:r>
        <w:r>
          <w:rPr>
            <w:webHidden/>
          </w:rPr>
          <w:fldChar w:fldCharType="end"/>
        </w:r>
      </w:hyperlink>
    </w:p>
    <w:p w:rsidR="00E948F9" w14:paraId="5C4896C9" w14:textId="77777777">
      <w:pPr>
        <w:pStyle w:val="TOC1"/>
        <w:rPr>
          <w:rFonts w:asciiTheme="minorHAnsi" w:eastAsiaTheme="minorEastAsia" w:hAnsiTheme="minorHAnsi" w:cstheme="minorBidi"/>
          <w:sz w:val="22"/>
          <w:szCs w:val="22"/>
        </w:rPr>
      </w:pPr>
      <w:hyperlink w:anchor="_Toc434488003" w:history="1">
        <w:r w:rsidRPr="00F360EA">
          <w:rPr>
            <w:rStyle w:val="Hyperlink"/>
          </w:rPr>
          <w:t>3.</w:t>
        </w:r>
        <w:r>
          <w:rPr>
            <w:rFonts w:asciiTheme="minorHAnsi" w:eastAsiaTheme="minorEastAsia" w:hAnsiTheme="minorHAnsi" w:cstheme="minorBidi"/>
            <w:sz w:val="22"/>
            <w:szCs w:val="22"/>
          </w:rPr>
          <w:tab/>
        </w:r>
        <w:r w:rsidRPr="00F360EA">
          <w:rPr>
            <w:rStyle w:val="Hyperlink"/>
          </w:rPr>
          <w:t>NONDUPLICATION, CONSULTATIONS, AND OTHER COLLECTION CRITERIA</w:t>
        </w:r>
        <w:r>
          <w:rPr>
            <w:webHidden/>
          </w:rPr>
          <w:tab/>
        </w:r>
        <w:r>
          <w:rPr>
            <w:webHidden/>
          </w:rPr>
          <w:fldChar w:fldCharType="begin"/>
        </w:r>
        <w:r>
          <w:rPr>
            <w:webHidden/>
          </w:rPr>
          <w:instrText xml:space="preserve"> PAGEREF _Toc434488003 \h </w:instrText>
        </w:r>
        <w:r>
          <w:rPr>
            <w:webHidden/>
          </w:rPr>
          <w:fldChar w:fldCharType="separate"/>
        </w:r>
        <w:r w:rsidR="00B14B41">
          <w:rPr>
            <w:webHidden/>
          </w:rPr>
          <w:t>7</w:t>
        </w:r>
        <w:r>
          <w:rPr>
            <w:webHidden/>
          </w:rPr>
          <w:fldChar w:fldCharType="end"/>
        </w:r>
      </w:hyperlink>
    </w:p>
    <w:p w:rsidR="00E948F9" w14:paraId="67CD85B1" w14:textId="77777777">
      <w:pPr>
        <w:pStyle w:val="TOC2"/>
        <w:rPr>
          <w:rFonts w:asciiTheme="minorHAnsi" w:eastAsiaTheme="minorEastAsia" w:hAnsiTheme="minorHAnsi" w:cstheme="minorBidi"/>
          <w:sz w:val="22"/>
          <w:szCs w:val="22"/>
        </w:rPr>
      </w:pPr>
      <w:hyperlink w:anchor="_Toc434488004" w:history="1">
        <w:r w:rsidRPr="00F360EA">
          <w:rPr>
            <w:rStyle w:val="Hyperlink"/>
          </w:rPr>
          <w:t>3(a)</w:t>
        </w:r>
        <w:r>
          <w:rPr>
            <w:rFonts w:asciiTheme="minorHAnsi" w:eastAsiaTheme="minorEastAsia" w:hAnsiTheme="minorHAnsi" w:cstheme="minorBidi"/>
            <w:sz w:val="22"/>
            <w:szCs w:val="22"/>
          </w:rPr>
          <w:tab/>
        </w:r>
        <w:r w:rsidRPr="00F360EA">
          <w:rPr>
            <w:rStyle w:val="Hyperlink"/>
          </w:rPr>
          <w:t>Nonduplication</w:t>
        </w:r>
        <w:r>
          <w:rPr>
            <w:webHidden/>
          </w:rPr>
          <w:tab/>
        </w:r>
        <w:r>
          <w:rPr>
            <w:webHidden/>
          </w:rPr>
          <w:fldChar w:fldCharType="begin"/>
        </w:r>
        <w:r>
          <w:rPr>
            <w:webHidden/>
          </w:rPr>
          <w:instrText xml:space="preserve"> PAGEREF _Toc434488004 \h </w:instrText>
        </w:r>
        <w:r>
          <w:rPr>
            <w:webHidden/>
          </w:rPr>
          <w:fldChar w:fldCharType="separate"/>
        </w:r>
        <w:r w:rsidR="00B14B41">
          <w:rPr>
            <w:webHidden/>
          </w:rPr>
          <w:t>7</w:t>
        </w:r>
        <w:r>
          <w:rPr>
            <w:webHidden/>
          </w:rPr>
          <w:fldChar w:fldCharType="end"/>
        </w:r>
      </w:hyperlink>
    </w:p>
    <w:p w:rsidR="00E948F9" w14:paraId="528ECDFD" w14:textId="77777777">
      <w:pPr>
        <w:pStyle w:val="TOC2"/>
        <w:rPr>
          <w:rFonts w:asciiTheme="minorHAnsi" w:eastAsiaTheme="minorEastAsia" w:hAnsiTheme="minorHAnsi" w:cstheme="minorBidi"/>
          <w:sz w:val="22"/>
          <w:szCs w:val="22"/>
        </w:rPr>
      </w:pPr>
      <w:hyperlink w:anchor="_Toc434488005" w:history="1">
        <w:r w:rsidRPr="00F360EA">
          <w:rPr>
            <w:rStyle w:val="Hyperlink"/>
          </w:rPr>
          <w:t>3(b)</w:t>
        </w:r>
        <w:r>
          <w:rPr>
            <w:rFonts w:asciiTheme="minorHAnsi" w:eastAsiaTheme="minorEastAsia" w:hAnsiTheme="minorHAnsi" w:cstheme="minorBidi"/>
            <w:sz w:val="22"/>
            <w:szCs w:val="22"/>
          </w:rPr>
          <w:tab/>
        </w:r>
        <w:r w:rsidRPr="00F360EA">
          <w:rPr>
            <w:rStyle w:val="Hyperlink"/>
          </w:rPr>
          <w:t>Public Notice</w:t>
        </w:r>
        <w:r>
          <w:rPr>
            <w:webHidden/>
          </w:rPr>
          <w:tab/>
        </w:r>
        <w:r>
          <w:rPr>
            <w:webHidden/>
          </w:rPr>
          <w:fldChar w:fldCharType="begin"/>
        </w:r>
        <w:r>
          <w:rPr>
            <w:webHidden/>
          </w:rPr>
          <w:instrText xml:space="preserve"> PAGEREF _Toc434488005 \h </w:instrText>
        </w:r>
        <w:r>
          <w:rPr>
            <w:webHidden/>
          </w:rPr>
          <w:fldChar w:fldCharType="separate"/>
        </w:r>
        <w:r w:rsidR="00B14B41">
          <w:rPr>
            <w:webHidden/>
          </w:rPr>
          <w:t>7</w:t>
        </w:r>
        <w:r>
          <w:rPr>
            <w:webHidden/>
          </w:rPr>
          <w:fldChar w:fldCharType="end"/>
        </w:r>
      </w:hyperlink>
    </w:p>
    <w:p w:rsidR="00E948F9" w14:paraId="4B8131F6" w14:textId="77777777">
      <w:pPr>
        <w:pStyle w:val="TOC2"/>
        <w:rPr>
          <w:rFonts w:asciiTheme="minorHAnsi" w:eastAsiaTheme="minorEastAsia" w:hAnsiTheme="minorHAnsi" w:cstheme="minorBidi"/>
          <w:sz w:val="22"/>
          <w:szCs w:val="22"/>
        </w:rPr>
      </w:pPr>
      <w:hyperlink w:anchor="_Toc434488006" w:history="1">
        <w:r w:rsidRPr="00F360EA">
          <w:rPr>
            <w:rStyle w:val="Hyperlink"/>
          </w:rPr>
          <w:t>3(c)</w:t>
        </w:r>
        <w:r>
          <w:rPr>
            <w:rFonts w:asciiTheme="minorHAnsi" w:eastAsiaTheme="minorEastAsia" w:hAnsiTheme="minorHAnsi" w:cstheme="minorBidi"/>
            <w:sz w:val="22"/>
            <w:szCs w:val="22"/>
          </w:rPr>
          <w:tab/>
        </w:r>
        <w:r w:rsidRPr="00F360EA">
          <w:rPr>
            <w:rStyle w:val="Hyperlink"/>
          </w:rPr>
          <w:t>Consultations</w:t>
        </w:r>
        <w:r>
          <w:rPr>
            <w:webHidden/>
          </w:rPr>
          <w:tab/>
        </w:r>
        <w:r>
          <w:rPr>
            <w:webHidden/>
          </w:rPr>
          <w:fldChar w:fldCharType="begin"/>
        </w:r>
        <w:r>
          <w:rPr>
            <w:webHidden/>
          </w:rPr>
          <w:instrText xml:space="preserve"> PAGEREF _Toc434488006 \h </w:instrText>
        </w:r>
        <w:r>
          <w:rPr>
            <w:webHidden/>
          </w:rPr>
          <w:fldChar w:fldCharType="separate"/>
        </w:r>
        <w:r w:rsidR="00B14B41">
          <w:rPr>
            <w:webHidden/>
          </w:rPr>
          <w:t>7</w:t>
        </w:r>
        <w:r>
          <w:rPr>
            <w:webHidden/>
          </w:rPr>
          <w:fldChar w:fldCharType="end"/>
        </w:r>
      </w:hyperlink>
    </w:p>
    <w:p w:rsidR="00E948F9" w14:paraId="3666760C" w14:textId="77777777">
      <w:pPr>
        <w:pStyle w:val="TOC2"/>
        <w:rPr>
          <w:rFonts w:asciiTheme="minorHAnsi" w:eastAsiaTheme="minorEastAsia" w:hAnsiTheme="minorHAnsi" w:cstheme="minorBidi"/>
          <w:sz w:val="22"/>
          <w:szCs w:val="22"/>
        </w:rPr>
      </w:pPr>
      <w:hyperlink w:anchor="_Toc434488007" w:history="1">
        <w:r w:rsidRPr="00F360EA">
          <w:rPr>
            <w:rStyle w:val="Hyperlink"/>
          </w:rPr>
          <w:t>3(d)</w:t>
        </w:r>
        <w:r>
          <w:rPr>
            <w:rFonts w:asciiTheme="minorHAnsi" w:eastAsiaTheme="minorEastAsia" w:hAnsiTheme="minorHAnsi" w:cstheme="minorBidi"/>
            <w:sz w:val="22"/>
            <w:szCs w:val="22"/>
          </w:rPr>
          <w:tab/>
        </w:r>
        <w:r w:rsidRPr="00F360EA">
          <w:rPr>
            <w:rStyle w:val="Hyperlink"/>
          </w:rPr>
          <w:t>Effects of Less Frequent Collection</w:t>
        </w:r>
        <w:r>
          <w:rPr>
            <w:webHidden/>
          </w:rPr>
          <w:tab/>
        </w:r>
        <w:r>
          <w:rPr>
            <w:webHidden/>
          </w:rPr>
          <w:fldChar w:fldCharType="begin"/>
        </w:r>
        <w:r>
          <w:rPr>
            <w:webHidden/>
          </w:rPr>
          <w:instrText xml:space="preserve"> PAGEREF _Toc434488007 \h </w:instrText>
        </w:r>
        <w:r>
          <w:rPr>
            <w:webHidden/>
          </w:rPr>
          <w:fldChar w:fldCharType="separate"/>
        </w:r>
        <w:r w:rsidR="00B14B41">
          <w:rPr>
            <w:webHidden/>
          </w:rPr>
          <w:t>7</w:t>
        </w:r>
        <w:r>
          <w:rPr>
            <w:webHidden/>
          </w:rPr>
          <w:fldChar w:fldCharType="end"/>
        </w:r>
      </w:hyperlink>
    </w:p>
    <w:p w:rsidR="00E948F9" w14:paraId="13CB6F5F" w14:textId="77777777">
      <w:pPr>
        <w:pStyle w:val="TOC2"/>
        <w:rPr>
          <w:rFonts w:asciiTheme="minorHAnsi" w:eastAsiaTheme="minorEastAsia" w:hAnsiTheme="minorHAnsi" w:cstheme="minorBidi"/>
          <w:sz w:val="22"/>
          <w:szCs w:val="22"/>
        </w:rPr>
      </w:pPr>
      <w:hyperlink w:anchor="_Toc434488008" w:history="1">
        <w:r w:rsidRPr="00F360EA">
          <w:rPr>
            <w:rStyle w:val="Hyperlink"/>
          </w:rPr>
          <w:t>3(e)</w:t>
        </w:r>
        <w:r>
          <w:rPr>
            <w:rFonts w:asciiTheme="minorHAnsi" w:eastAsiaTheme="minorEastAsia" w:hAnsiTheme="minorHAnsi" w:cstheme="minorBidi"/>
            <w:sz w:val="22"/>
            <w:szCs w:val="22"/>
          </w:rPr>
          <w:tab/>
        </w:r>
        <w:r w:rsidRPr="00F360EA">
          <w:rPr>
            <w:rStyle w:val="Hyperlink"/>
          </w:rPr>
          <w:t>General Guidelines</w:t>
        </w:r>
        <w:r>
          <w:rPr>
            <w:webHidden/>
          </w:rPr>
          <w:tab/>
        </w:r>
        <w:r>
          <w:rPr>
            <w:webHidden/>
          </w:rPr>
          <w:fldChar w:fldCharType="begin"/>
        </w:r>
        <w:r>
          <w:rPr>
            <w:webHidden/>
          </w:rPr>
          <w:instrText xml:space="preserve"> PAGEREF _Toc434488008 \h </w:instrText>
        </w:r>
        <w:r>
          <w:rPr>
            <w:webHidden/>
          </w:rPr>
          <w:fldChar w:fldCharType="separate"/>
        </w:r>
        <w:r w:rsidR="00B14B41">
          <w:rPr>
            <w:webHidden/>
          </w:rPr>
          <w:t>8</w:t>
        </w:r>
        <w:r>
          <w:rPr>
            <w:webHidden/>
          </w:rPr>
          <w:fldChar w:fldCharType="end"/>
        </w:r>
      </w:hyperlink>
    </w:p>
    <w:p w:rsidR="00E948F9" w14:paraId="7E7C4E26" w14:textId="77777777">
      <w:pPr>
        <w:pStyle w:val="TOC2"/>
        <w:rPr>
          <w:rFonts w:asciiTheme="minorHAnsi" w:eastAsiaTheme="minorEastAsia" w:hAnsiTheme="minorHAnsi" w:cstheme="minorBidi"/>
          <w:sz w:val="22"/>
          <w:szCs w:val="22"/>
        </w:rPr>
      </w:pPr>
      <w:hyperlink w:anchor="_Toc434488009" w:history="1">
        <w:r w:rsidRPr="00F360EA">
          <w:rPr>
            <w:rStyle w:val="Hyperlink"/>
          </w:rPr>
          <w:t>3(f)</w:t>
        </w:r>
        <w:r>
          <w:rPr>
            <w:rFonts w:asciiTheme="minorHAnsi" w:eastAsiaTheme="minorEastAsia" w:hAnsiTheme="minorHAnsi" w:cstheme="minorBidi"/>
            <w:sz w:val="22"/>
            <w:szCs w:val="22"/>
          </w:rPr>
          <w:tab/>
        </w:r>
        <w:r w:rsidRPr="00F360EA">
          <w:rPr>
            <w:rStyle w:val="Hyperlink"/>
          </w:rPr>
          <w:t>Confidentiality</w:t>
        </w:r>
        <w:r>
          <w:rPr>
            <w:webHidden/>
          </w:rPr>
          <w:tab/>
        </w:r>
        <w:r>
          <w:rPr>
            <w:webHidden/>
          </w:rPr>
          <w:fldChar w:fldCharType="begin"/>
        </w:r>
        <w:r>
          <w:rPr>
            <w:webHidden/>
          </w:rPr>
          <w:instrText xml:space="preserve"> PAGEREF _Toc434488009 \h </w:instrText>
        </w:r>
        <w:r>
          <w:rPr>
            <w:webHidden/>
          </w:rPr>
          <w:fldChar w:fldCharType="separate"/>
        </w:r>
        <w:r w:rsidR="00B14B41">
          <w:rPr>
            <w:webHidden/>
          </w:rPr>
          <w:t>8</w:t>
        </w:r>
        <w:r>
          <w:rPr>
            <w:webHidden/>
          </w:rPr>
          <w:fldChar w:fldCharType="end"/>
        </w:r>
      </w:hyperlink>
    </w:p>
    <w:p w:rsidR="00E948F9" w14:paraId="01CF0251" w14:textId="77777777">
      <w:pPr>
        <w:pStyle w:val="TOC2"/>
        <w:rPr>
          <w:rFonts w:asciiTheme="minorHAnsi" w:eastAsiaTheme="minorEastAsia" w:hAnsiTheme="minorHAnsi" w:cstheme="minorBidi"/>
          <w:sz w:val="22"/>
          <w:szCs w:val="22"/>
        </w:rPr>
      </w:pPr>
      <w:hyperlink w:anchor="_Toc434488010" w:history="1">
        <w:r w:rsidRPr="00F360EA">
          <w:rPr>
            <w:rStyle w:val="Hyperlink"/>
          </w:rPr>
          <w:t>3(g)</w:t>
        </w:r>
        <w:r>
          <w:rPr>
            <w:rFonts w:asciiTheme="minorHAnsi" w:eastAsiaTheme="minorEastAsia" w:hAnsiTheme="minorHAnsi" w:cstheme="minorBidi"/>
            <w:sz w:val="22"/>
            <w:szCs w:val="22"/>
          </w:rPr>
          <w:tab/>
        </w:r>
        <w:r w:rsidRPr="00F360EA">
          <w:rPr>
            <w:rStyle w:val="Hyperlink"/>
          </w:rPr>
          <w:t>Sensitive Questions</w:t>
        </w:r>
        <w:r>
          <w:rPr>
            <w:webHidden/>
          </w:rPr>
          <w:tab/>
        </w:r>
        <w:r>
          <w:rPr>
            <w:webHidden/>
          </w:rPr>
          <w:fldChar w:fldCharType="begin"/>
        </w:r>
        <w:r>
          <w:rPr>
            <w:webHidden/>
          </w:rPr>
          <w:instrText xml:space="preserve"> PAGEREF _Toc434488010 \h </w:instrText>
        </w:r>
        <w:r>
          <w:rPr>
            <w:webHidden/>
          </w:rPr>
          <w:fldChar w:fldCharType="separate"/>
        </w:r>
        <w:r w:rsidR="00B14B41">
          <w:rPr>
            <w:webHidden/>
          </w:rPr>
          <w:t>8</w:t>
        </w:r>
        <w:r>
          <w:rPr>
            <w:webHidden/>
          </w:rPr>
          <w:fldChar w:fldCharType="end"/>
        </w:r>
      </w:hyperlink>
    </w:p>
    <w:p w:rsidR="00E948F9" w14:paraId="7D98904C" w14:textId="77777777">
      <w:pPr>
        <w:pStyle w:val="TOC1"/>
        <w:rPr>
          <w:rFonts w:asciiTheme="minorHAnsi" w:eastAsiaTheme="minorEastAsia" w:hAnsiTheme="minorHAnsi" w:cstheme="minorBidi"/>
          <w:sz w:val="22"/>
          <w:szCs w:val="22"/>
        </w:rPr>
      </w:pPr>
      <w:hyperlink w:anchor="_Toc434488011" w:history="1">
        <w:r w:rsidRPr="00F360EA">
          <w:rPr>
            <w:rStyle w:val="Hyperlink"/>
          </w:rPr>
          <w:t>4.</w:t>
        </w:r>
        <w:r>
          <w:rPr>
            <w:rFonts w:asciiTheme="minorHAnsi" w:eastAsiaTheme="minorEastAsia" w:hAnsiTheme="minorHAnsi" w:cstheme="minorBidi"/>
            <w:sz w:val="22"/>
            <w:szCs w:val="22"/>
          </w:rPr>
          <w:tab/>
        </w:r>
        <w:r w:rsidRPr="00F360EA">
          <w:rPr>
            <w:rStyle w:val="Hyperlink"/>
          </w:rPr>
          <w:t>THE RESPONDENTS AND THE INFORMATION REQUESTED</w:t>
        </w:r>
        <w:r>
          <w:rPr>
            <w:webHidden/>
          </w:rPr>
          <w:tab/>
        </w:r>
        <w:r>
          <w:rPr>
            <w:webHidden/>
          </w:rPr>
          <w:fldChar w:fldCharType="begin"/>
        </w:r>
        <w:r>
          <w:rPr>
            <w:webHidden/>
          </w:rPr>
          <w:instrText xml:space="preserve"> PAGEREF _Toc434488011 \h </w:instrText>
        </w:r>
        <w:r>
          <w:rPr>
            <w:webHidden/>
          </w:rPr>
          <w:fldChar w:fldCharType="separate"/>
        </w:r>
        <w:r w:rsidR="00B14B41">
          <w:rPr>
            <w:webHidden/>
          </w:rPr>
          <w:t>9</w:t>
        </w:r>
        <w:r>
          <w:rPr>
            <w:webHidden/>
          </w:rPr>
          <w:fldChar w:fldCharType="end"/>
        </w:r>
      </w:hyperlink>
    </w:p>
    <w:p w:rsidR="00E948F9" w14:paraId="60E4C0A0" w14:textId="77777777">
      <w:pPr>
        <w:pStyle w:val="TOC2"/>
        <w:rPr>
          <w:rFonts w:asciiTheme="minorHAnsi" w:eastAsiaTheme="minorEastAsia" w:hAnsiTheme="minorHAnsi" w:cstheme="minorBidi"/>
          <w:sz w:val="22"/>
          <w:szCs w:val="22"/>
        </w:rPr>
      </w:pPr>
      <w:hyperlink w:anchor="_Toc434488012" w:history="1">
        <w:r w:rsidRPr="00F360EA">
          <w:rPr>
            <w:rStyle w:val="Hyperlink"/>
          </w:rPr>
          <w:t>4(a)</w:t>
        </w:r>
        <w:r>
          <w:rPr>
            <w:rFonts w:asciiTheme="minorHAnsi" w:eastAsiaTheme="minorEastAsia" w:hAnsiTheme="minorHAnsi" w:cstheme="minorBidi"/>
            <w:sz w:val="22"/>
            <w:szCs w:val="22"/>
          </w:rPr>
          <w:tab/>
        </w:r>
        <w:r w:rsidRPr="00F360EA">
          <w:rPr>
            <w:rStyle w:val="Hyperlink"/>
          </w:rPr>
          <w:t>Respondents and NAICS Codes</w:t>
        </w:r>
        <w:r>
          <w:rPr>
            <w:webHidden/>
          </w:rPr>
          <w:tab/>
        </w:r>
        <w:r>
          <w:rPr>
            <w:webHidden/>
          </w:rPr>
          <w:fldChar w:fldCharType="begin"/>
        </w:r>
        <w:r>
          <w:rPr>
            <w:webHidden/>
          </w:rPr>
          <w:instrText xml:space="preserve"> PAGEREF _Toc434488012 \h </w:instrText>
        </w:r>
        <w:r>
          <w:rPr>
            <w:webHidden/>
          </w:rPr>
          <w:fldChar w:fldCharType="separate"/>
        </w:r>
        <w:r w:rsidR="00B14B41">
          <w:rPr>
            <w:webHidden/>
          </w:rPr>
          <w:t>9</w:t>
        </w:r>
        <w:r>
          <w:rPr>
            <w:webHidden/>
          </w:rPr>
          <w:fldChar w:fldCharType="end"/>
        </w:r>
      </w:hyperlink>
    </w:p>
    <w:p w:rsidR="00E948F9" w14:paraId="42BEA533" w14:textId="77777777">
      <w:pPr>
        <w:pStyle w:val="TOC2"/>
        <w:rPr>
          <w:rFonts w:asciiTheme="minorHAnsi" w:eastAsiaTheme="minorEastAsia" w:hAnsiTheme="minorHAnsi" w:cstheme="minorBidi"/>
          <w:sz w:val="22"/>
          <w:szCs w:val="22"/>
        </w:rPr>
      </w:pPr>
      <w:hyperlink w:anchor="_Toc434488013" w:history="1">
        <w:r w:rsidRPr="00F360EA">
          <w:rPr>
            <w:rStyle w:val="Hyperlink"/>
          </w:rPr>
          <w:t>4(b)</w:t>
        </w:r>
        <w:r>
          <w:rPr>
            <w:rFonts w:asciiTheme="minorHAnsi" w:eastAsiaTheme="minorEastAsia" w:hAnsiTheme="minorHAnsi" w:cstheme="minorBidi"/>
            <w:sz w:val="22"/>
            <w:szCs w:val="22"/>
          </w:rPr>
          <w:tab/>
        </w:r>
        <w:r w:rsidRPr="00F360EA">
          <w:rPr>
            <w:rStyle w:val="Hyperlink"/>
          </w:rPr>
          <w:t>Information Requested</w:t>
        </w:r>
        <w:r>
          <w:rPr>
            <w:webHidden/>
          </w:rPr>
          <w:tab/>
        </w:r>
        <w:r>
          <w:rPr>
            <w:webHidden/>
          </w:rPr>
          <w:fldChar w:fldCharType="begin"/>
        </w:r>
        <w:r>
          <w:rPr>
            <w:webHidden/>
          </w:rPr>
          <w:instrText xml:space="preserve"> PAGEREF _Toc434488013 \h </w:instrText>
        </w:r>
        <w:r>
          <w:rPr>
            <w:webHidden/>
          </w:rPr>
          <w:fldChar w:fldCharType="separate"/>
        </w:r>
        <w:r w:rsidR="00B14B41">
          <w:rPr>
            <w:webHidden/>
          </w:rPr>
          <w:t>9</w:t>
        </w:r>
        <w:r>
          <w:rPr>
            <w:webHidden/>
          </w:rPr>
          <w:fldChar w:fldCharType="end"/>
        </w:r>
      </w:hyperlink>
    </w:p>
    <w:p w:rsidR="00E948F9" w14:paraId="26D45EA9" w14:textId="77777777">
      <w:pPr>
        <w:pStyle w:val="TOC1"/>
        <w:rPr>
          <w:rFonts w:asciiTheme="minorHAnsi" w:eastAsiaTheme="minorEastAsia" w:hAnsiTheme="minorHAnsi" w:cstheme="minorBidi"/>
          <w:sz w:val="22"/>
          <w:szCs w:val="22"/>
        </w:rPr>
      </w:pPr>
      <w:hyperlink w:anchor="_Toc434488014" w:history="1">
        <w:r w:rsidRPr="00F360EA">
          <w:rPr>
            <w:rStyle w:val="Hyperlink"/>
          </w:rPr>
          <w:t>5.</w:t>
        </w:r>
        <w:r>
          <w:rPr>
            <w:rFonts w:asciiTheme="minorHAnsi" w:eastAsiaTheme="minorEastAsia" w:hAnsiTheme="minorHAnsi" w:cstheme="minorBidi"/>
            <w:sz w:val="22"/>
            <w:szCs w:val="22"/>
          </w:rPr>
          <w:tab/>
        </w:r>
        <w:r w:rsidRPr="00F360EA">
          <w:rPr>
            <w:rStyle w:val="Hyperlink"/>
          </w:rPr>
          <w:t>THE INFORMATION COLLECTED:  AGENCY ACTIVITIES, COLLECTION METHODOLOGY, AND INFORMATION MANAGEMENT</w:t>
        </w:r>
        <w:r>
          <w:rPr>
            <w:webHidden/>
          </w:rPr>
          <w:tab/>
        </w:r>
        <w:r>
          <w:rPr>
            <w:webHidden/>
          </w:rPr>
          <w:fldChar w:fldCharType="begin"/>
        </w:r>
        <w:r>
          <w:rPr>
            <w:webHidden/>
          </w:rPr>
          <w:instrText xml:space="preserve"> PAGEREF _Toc434488014 \h </w:instrText>
        </w:r>
        <w:r>
          <w:rPr>
            <w:webHidden/>
          </w:rPr>
          <w:fldChar w:fldCharType="separate"/>
        </w:r>
        <w:r w:rsidR="00B14B41">
          <w:rPr>
            <w:webHidden/>
          </w:rPr>
          <w:t>21</w:t>
        </w:r>
        <w:r>
          <w:rPr>
            <w:webHidden/>
          </w:rPr>
          <w:fldChar w:fldCharType="end"/>
        </w:r>
      </w:hyperlink>
    </w:p>
    <w:p w:rsidR="00E948F9" w14:paraId="3C4037A9" w14:textId="77777777">
      <w:pPr>
        <w:pStyle w:val="TOC2"/>
        <w:rPr>
          <w:rFonts w:asciiTheme="minorHAnsi" w:eastAsiaTheme="minorEastAsia" w:hAnsiTheme="minorHAnsi" w:cstheme="minorBidi"/>
          <w:sz w:val="22"/>
          <w:szCs w:val="22"/>
        </w:rPr>
      </w:pPr>
      <w:hyperlink w:anchor="_Toc434488015" w:history="1">
        <w:r w:rsidRPr="00F360EA">
          <w:rPr>
            <w:rStyle w:val="Hyperlink"/>
          </w:rPr>
          <w:t>5(a)</w:t>
        </w:r>
        <w:r>
          <w:rPr>
            <w:rFonts w:asciiTheme="minorHAnsi" w:eastAsiaTheme="minorEastAsia" w:hAnsiTheme="minorHAnsi" w:cstheme="minorBidi"/>
            <w:sz w:val="22"/>
            <w:szCs w:val="22"/>
          </w:rPr>
          <w:tab/>
        </w:r>
        <w:r w:rsidRPr="00F360EA">
          <w:rPr>
            <w:rStyle w:val="Hyperlink"/>
          </w:rPr>
          <w:t>Agency Activities</w:t>
        </w:r>
        <w:r>
          <w:rPr>
            <w:webHidden/>
          </w:rPr>
          <w:tab/>
        </w:r>
        <w:r>
          <w:rPr>
            <w:webHidden/>
          </w:rPr>
          <w:fldChar w:fldCharType="begin"/>
        </w:r>
        <w:r>
          <w:rPr>
            <w:webHidden/>
          </w:rPr>
          <w:instrText xml:space="preserve"> PAGEREF _Toc434488015 \h </w:instrText>
        </w:r>
        <w:r>
          <w:rPr>
            <w:webHidden/>
          </w:rPr>
          <w:fldChar w:fldCharType="separate"/>
        </w:r>
        <w:r w:rsidR="00B14B41">
          <w:rPr>
            <w:webHidden/>
          </w:rPr>
          <w:t>21</w:t>
        </w:r>
        <w:r>
          <w:rPr>
            <w:webHidden/>
          </w:rPr>
          <w:fldChar w:fldCharType="end"/>
        </w:r>
      </w:hyperlink>
    </w:p>
    <w:p w:rsidR="00E948F9" w14:paraId="06A42611" w14:textId="77777777">
      <w:pPr>
        <w:pStyle w:val="TOC2"/>
        <w:rPr>
          <w:rFonts w:asciiTheme="minorHAnsi" w:eastAsiaTheme="minorEastAsia" w:hAnsiTheme="minorHAnsi" w:cstheme="minorBidi"/>
          <w:sz w:val="22"/>
          <w:szCs w:val="22"/>
        </w:rPr>
      </w:pPr>
      <w:hyperlink w:anchor="_Toc434488016" w:history="1">
        <w:r w:rsidRPr="00F360EA">
          <w:rPr>
            <w:rStyle w:val="Hyperlink"/>
          </w:rPr>
          <w:t>5(b)</w:t>
        </w:r>
        <w:r>
          <w:rPr>
            <w:rFonts w:asciiTheme="minorHAnsi" w:eastAsiaTheme="minorEastAsia" w:hAnsiTheme="minorHAnsi" w:cstheme="minorBidi"/>
            <w:sz w:val="22"/>
            <w:szCs w:val="22"/>
          </w:rPr>
          <w:tab/>
        </w:r>
        <w:r w:rsidRPr="00F360EA">
          <w:rPr>
            <w:rStyle w:val="Hyperlink"/>
          </w:rPr>
          <w:t>Collection Methodology and Management</w:t>
        </w:r>
        <w:r>
          <w:rPr>
            <w:webHidden/>
          </w:rPr>
          <w:tab/>
        </w:r>
        <w:r>
          <w:rPr>
            <w:webHidden/>
          </w:rPr>
          <w:fldChar w:fldCharType="begin"/>
        </w:r>
        <w:r>
          <w:rPr>
            <w:webHidden/>
          </w:rPr>
          <w:instrText xml:space="preserve"> PAGEREF _Toc434488016 \h </w:instrText>
        </w:r>
        <w:r>
          <w:rPr>
            <w:webHidden/>
          </w:rPr>
          <w:fldChar w:fldCharType="separate"/>
        </w:r>
        <w:r w:rsidR="00B14B41">
          <w:rPr>
            <w:webHidden/>
          </w:rPr>
          <w:t>22</w:t>
        </w:r>
        <w:r>
          <w:rPr>
            <w:webHidden/>
          </w:rPr>
          <w:fldChar w:fldCharType="end"/>
        </w:r>
      </w:hyperlink>
    </w:p>
    <w:p w:rsidR="00E948F9" w14:paraId="6254FB38" w14:textId="77777777">
      <w:pPr>
        <w:pStyle w:val="TOC2"/>
        <w:rPr>
          <w:rFonts w:asciiTheme="minorHAnsi" w:eastAsiaTheme="minorEastAsia" w:hAnsiTheme="minorHAnsi" w:cstheme="minorBidi"/>
          <w:sz w:val="22"/>
          <w:szCs w:val="22"/>
        </w:rPr>
      </w:pPr>
      <w:hyperlink w:anchor="_Toc434488017" w:history="1">
        <w:r w:rsidRPr="00F360EA">
          <w:rPr>
            <w:rStyle w:val="Hyperlink"/>
          </w:rPr>
          <w:t>5(c)</w:t>
        </w:r>
        <w:r>
          <w:rPr>
            <w:rFonts w:asciiTheme="minorHAnsi" w:eastAsiaTheme="minorEastAsia" w:hAnsiTheme="minorHAnsi" w:cstheme="minorBidi"/>
            <w:sz w:val="22"/>
            <w:szCs w:val="22"/>
          </w:rPr>
          <w:tab/>
        </w:r>
        <w:r w:rsidRPr="00F360EA">
          <w:rPr>
            <w:rStyle w:val="Hyperlink"/>
          </w:rPr>
          <w:t>Small Entity Flexibility</w:t>
        </w:r>
        <w:r>
          <w:rPr>
            <w:webHidden/>
          </w:rPr>
          <w:tab/>
        </w:r>
        <w:r>
          <w:rPr>
            <w:webHidden/>
          </w:rPr>
          <w:fldChar w:fldCharType="begin"/>
        </w:r>
        <w:r>
          <w:rPr>
            <w:webHidden/>
          </w:rPr>
          <w:instrText xml:space="preserve"> PAGEREF _Toc434488017 \h </w:instrText>
        </w:r>
        <w:r>
          <w:rPr>
            <w:webHidden/>
          </w:rPr>
          <w:fldChar w:fldCharType="separate"/>
        </w:r>
        <w:r w:rsidR="00B14B41">
          <w:rPr>
            <w:webHidden/>
          </w:rPr>
          <w:t>22</w:t>
        </w:r>
        <w:r>
          <w:rPr>
            <w:webHidden/>
          </w:rPr>
          <w:fldChar w:fldCharType="end"/>
        </w:r>
      </w:hyperlink>
    </w:p>
    <w:p w:rsidR="00E948F9" w14:paraId="71367127" w14:textId="77777777">
      <w:pPr>
        <w:pStyle w:val="TOC2"/>
        <w:rPr>
          <w:rFonts w:asciiTheme="minorHAnsi" w:eastAsiaTheme="minorEastAsia" w:hAnsiTheme="minorHAnsi" w:cstheme="minorBidi"/>
          <w:sz w:val="22"/>
          <w:szCs w:val="22"/>
        </w:rPr>
      </w:pPr>
      <w:hyperlink w:anchor="_Toc434488018" w:history="1">
        <w:r w:rsidRPr="00F360EA">
          <w:rPr>
            <w:rStyle w:val="Hyperlink"/>
          </w:rPr>
          <w:t>5(d)</w:t>
        </w:r>
        <w:r>
          <w:rPr>
            <w:rFonts w:asciiTheme="minorHAnsi" w:eastAsiaTheme="minorEastAsia" w:hAnsiTheme="minorHAnsi" w:cstheme="minorBidi"/>
            <w:sz w:val="22"/>
            <w:szCs w:val="22"/>
          </w:rPr>
          <w:tab/>
        </w:r>
        <w:r w:rsidRPr="00F360EA">
          <w:rPr>
            <w:rStyle w:val="Hyperlink"/>
          </w:rPr>
          <w:t>Collection Schedule</w:t>
        </w:r>
        <w:r>
          <w:rPr>
            <w:webHidden/>
          </w:rPr>
          <w:tab/>
        </w:r>
        <w:r>
          <w:rPr>
            <w:webHidden/>
          </w:rPr>
          <w:fldChar w:fldCharType="begin"/>
        </w:r>
        <w:r>
          <w:rPr>
            <w:webHidden/>
          </w:rPr>
          <w:instrText xml:space="preserve"> PAGEREF _Toc434488018 \h </w:instrText>
        </w:r>
        <w:r>
          <w:rPr>
            <w:webHidden/>
          </w:rPr>
          <w:fldChar w:fldCharType="separate"/>
        </w:r>
        <w:r w:rsidR="00B14B41">
          <w:rPr>
            <w:webHidden/>
          </w:rPr>
          <w:t>22</w:t>
        </w:r>
        <w:r>
          <w:rPr>
            <w:webHidden/>
          </w:rPr>
          <w:fldChar w:fldCharType="end"/>
        </w:r>
      </w:hyperlink>
    </w:p>
    <w:p w:rsidR="00E948F9" w14:paraId="509FCEE4" w14:textId="77777777">
      <w:pPr>
        <w:pStyle w:val="TOC1"/>
        <w:rPr>
          <w:rFonts w:asciiTheme="minorHAnsi" w:eastAsiaTheme="minorEastAsia" w:hAnsiTheme="minorHAnsi" w:cstheme="minorBidi"/>
          <w:sz w:val="22"/>
          <w:szCs w:val="22"/>
        </w:rPr>
      </w:pPr>
      <w:hyperlink w:anchor="_Toc434488019" w:history="1">
        <w:r w:rsidRPr="00F360EA">
          <w:rPr>
            <w:rStyle w:val="Hyperlink"/>
          </w:rPr>
          <w:t>6.</w:t>
        </w:r>
        <w:r>
          <w:rPr>
            <w:rFonts w:asciiTheme="minorHAnsi" w:eastAsiaTheme="minorEastAsia" w:hAnsiTheme="minorHAnsi" w:cstheme="minorBidi"/>
            <w:sz w:val="22"/>
            <w:szCs w:val="22"/>
          </w:rPr>
          <w:tab/>
        </w:r>
        <w:r w:rsidRPr="00F360EA">
          <w:rPr>
            <w:rStyle w:val="Hyperlink"/>
          </w:rPr>
          <w:t>ESTIMATING THE HOUR AND COST BURDEN OF THE COLLECTION</w:t>
        </w:r>
        <w:r>
          <w:rPr>
            <w:webHidden/>
          </w:rPr>
          <w:tab/>
        </w:r>
        <w:r>
          <w:rPr>
            <w:webHidden/>
          </w:rPr>
          <w:fldChar w:fldCharType="begin"/>
        </w:r>
        <w:r>
          <w:rPr>
            <w:webHidden/>
          </w:rPr>
          <w:instrText xml:space="preserve"> PAGEREF _Toc434488019 \h </w:instrText>
        </w:r>
        <w:r>
          <w:rPr>
            <w:webHidden/>
          </w:rPr>
          <w:fldChar w:fldCharType="separate"/>
        </w:r>
        <w:r w:rsidR="00B14B41">
          <w:rPr>
            <w:webHidden/>
          </w:rPr>
          <w:t>27</w:t>
        </w:r>
        <w:r>
          <w:rPr>
            <w:webHidden/>
          </w:rPr>
          <w:fldChar w:fldCharType="end"/>
        </w:r>
      </w:hyperlink>
    </w:p>
    <w:p w:rsidR="00E948F9" w14:paraId="1DD0E60F" w14:textId="77777777">
      <w:pPr>
        <w:pStyle w:val="TOC2"/>
        <w:rPr>
          <w:rFonts w:asciiTheme="minorHAnsi" w:eastAsiaTheme="minorEastAsia" w:hAnsiTheme="minorHAnsi" w:cstheme="minorBidi"/>
          <w:sz w:val="22"/>
          <w:szCs w:val="22"/>
        </w:rPr>
      </w:pPr>
      <w:hyperlink w:anchor="_Toc434488020" w:history="1">
        <w:r w:rsidRPr="00F360EA">
          <w:rPr>
            <w:rStyle w:val="Hyperlink"/>
          </w:rPr>
          <w:t>6(a)</w:t>
        </w:r>
        <w:r>
          <w:rPr>
            <w:rFonts w:asciiTheme="minorHAnsi" w:eastAsiaTheme="minorEastAsia" w:hAnsiTheme="minorHAnsi" w:cstheme="minorBidi"/>
            <w:sz w:val="22"/>
            <w:szCs w:val="22"/>
          </w:rPr>
          <w:tab/>
        </w:r>
        <w:r w:rsidRPr="00F360EA">
          <w:rPr>
            <w:rStyle w:val="Hyperlink"/>
          </w:rPr>
          <w:t>Estimating Respondent Burden Hours</w:t>
        </w:r>
        <w:r>
          <w:rPr>
            <w:webHidden/>
          </w:rPr>
          <w:tab/>
        </w:r>
        <w:r>
          <w:rPr>
            <w:webHidden/>
          </w:rPr>
          <w:fldChar w:fldCharType="begin"/>
        </w:r>
        <w:r>
          <w:rPr>
            <w:webHidden/>
          </w:rPr>
          <w:instrText xml:space="preserve"> PAGEREF _Toc434488020 \h </w:instrText>
        </w:r>
        <w:r>
          <w:rPr>
            <w:webHidden/>
          </w:rPr>
          <w:fldChar w:fldCharType="separate"/>
        </w:r>
        <w:r w:rsidR="00B14B41">
          <w:rPr>
            <w:webHidden/>
          </w:rPr>
          <w:t>27</w:t>
        </w:r>
        <w:r>
          <w:rPr>
            <w:webHidden/>
          </w:rPr>
          <w:fldChar w:fldCharType="end"/>
        </w:r>
      </w:hyperlink>
    </w:p>
    <w:p w:rsidR="00E948F9" w14:paraId="72169022" w14:textId="77777777">
      <w:pPr>
        <w:pStyle w:val="TOC2"/>
        <w:rPr>
          <w:rFonts w:asciiTheme="minorHAnsi" w:eastAsiaTheme="minorEastAsia" w:hAnsiTheme="minorHAnsi" w:cstheme="minorBidi"/>
          <w:sz w:val="22"/>
          <w:szCs w:val="22"/>
        </w:rPr>
      </w:pPr>
      <w:hyperlink w:anchor="_Toc434488021" w:history="1">
        <w:r w:rsidRPr="00F360EA">
          <w:rPr>
            <w:rStyle w:val="Hyperlink"/>
          </w:rPr>
          <w:t>6(b)</w:t>
        </w:r>
        <w:r>
          <w:rPr>
            <w:rFonts w:asciiTheme="minorHAnsi" w:eastAsiaTheme="minorEastAsia" w:hAnsiTheme="minorHAnsi" w:cstheme="minorBidi"/>
            <w:sz w:val="22"/>
            <w:szCs w:val="22"/>
          </w:rPr>
          <w:tab/>
        </w:r>
        <w:r w:rsidRPr="00F360EA">
          <w:rPr>
            <w:rStyle w:val="Hyperlink"/>
          </w:rPr>
          <w:t>Estimating Respondent Costs</w:t>
        </w:r>
        <w:r>
          <w:rPr>
            <w:webHidden/>
          </w:rPr>
          <w:tab/>
        </w:r>
        <w:r>
          <w:rPr>
            <w:webHidden/>
          </w:rPr>
          <w:fldChar w:fldCharType="begin"/>
        </w:r>
        <w:r>
          <w:rPr>
            <w:webHidden/>
          </w:rPr>
          <w:instrText xml:space="preserve"> PAGEREF _Toc434488021 \h </w:instrText>
        </w:r>
        <w:r>
          <w:rPr>
            <w:webHidden/>
          </w:rPr>
          <w:fldChar w:fldCharType="separate"/>
        </w:r>
        <w:r w:rsidR="00B14B41">
          <w:rPr>
            <w:webHidden/>
          </w:rPr>
          <w:t>27</w:t>
        </w:r>
        <w:r>
          <w:rPr>
            <w:webHidden/>
          </w:rPr>
          <w:fldChar w:fldCharType="end"/>
        </w:r>
      </w:hyperlink>
    </w:p>
    <w:p w:rsidR="00E948F9" w14:paraId="66A45B84" w14:textId="77777777">
      <w:pPr>
        <w:pStyle w:val="TOC2"/>
        <w:rPr>
          <w:rFonts w:asciiTheme="minorHAnsi" w:eastAsiaTheme="minorEastAsia" w:hAnsiTheme="minorHAnsi" w:cstheme="minorBidi"/>
          <w:sz w:val="22"/>
          <w:szCs w:val="22"/>
        </w:rPr>
      </w:pPr>
      <w:hyperlink w:anchor="_Toc434488022" w:history="1">
        <w:r w:rsidRPr="00F360EA">
          <w:rPr>
            <w:rStyle w:val="Hyperlink"/>
          </w:rPr>
          <w:t>6(c)</w:t>
        </w:r>
        <w:r>
          <w:rPr>
            <w:rFonts w:asciiTheme="minorHAnsi" w:eastAsiaTheme="minorEastAsia" w:hAnsiTheme="minorHAnsi" w:cstheme="minorBidi"/>
            <w:sz w:val="22"/>
            <w:szCs w:val="22"/>
          </w:rPr>
          <w:tab/>
        </w:r>
        <w:r w:rsidRPr="00F360EA">
          <w:rPr>
            <w:rStyle w:val="Hyperlink"/>
          </w:rPr>
          <w:t>Estimating Agency Hour and Cost Burden</w:t>
        </w:r>
        <w:r>
          <w:rPr>
            <w:webHidden/>
          </w:rPr>
          <w:tab/>
        </w:r>
        <w:r>
          <w:rPr>
            <w:webHidden/>
          </w:rPr>
          <w:fldChar w:fldCharType="begin"/>
        </w:r>
        <w:r>
          <w:rPr>
            <w:webHidden/>
          </w:rPr>
          <w:instrText xml:space="preserve"> PAGEREF _Toc434488022 \h </w:instrText>
        </w:r>
        <w:r>
          <w:rPr>
            <w:webHidden/>
          </w:rPr>
          <w:fldChar w:fldCharType="separate"/>
        </w:r>
        <w:r w:rsidR="00B14B41">
          <w:rPr>
            <w:webHidden/>
          </w:rPr>
          <w:t>28</w:t>
        </w:r>
        <w:r>
          <w:rPr>
            <w:webHidden/>
          </w:rPr>
          <w:fldChar w:fldCharType="end"/>
        </w:r>
      </w:hyperlink>
    </w:p>
    <w:p w:rsidR="00E948F9" w14:paraId="4A57B7D6" w14:textId="77777777">
      <w:pPr>
        <w:pStyle w:val="TOC2"/>
        <w:rPr>
          <w:rFonts w:asciiTheme="minorHAnsi" w:eastAsiaTheme="minorEastAsia" w:hAnsiTheme="minorHAnsi" w:cstheme="minorBidi"/>
          <w:sz w:val="22"/>
          <w:szCs w:val="22"/>
        </w:rPr>
      </w:pPr>
      <w:hyperlink w:anchor="_Toc434488023" w:history="1">
        <w:r w:rsidRPr="00F360EA">
          <w:rPr>
            <w:rStyle w:val="Hyperlink"/>
          </w:rPr>
          <w:t>6(d)</w:t>
        </w:r>
        <w:r>
          <w:rPr>
            <w:rFonts w:asciiTheme="minorHAnsi" w:eastAsiaTheme="minorEastAsia" w:hAnsiTheme="minorHAnsi" w:cstheme="minorBidi"/>
            <w:sz w:val="22"/>
            <w:szCs w:val="22"/>
          </w:rPr>
          <w:tab/>
        </w:r>
        <w:r w:rsidRPr="00F360EA">
          <w:rPr>
            <w:rStyle w:val="Hyperlink"/>
          </w:rPr>
          <w:t>Estimating the Annual Respondent Universe and Total Hour and Cost Burden</w:t>
        </w:r>
        <w:r>
          <w:rPr>
            <w:webHidden/>
          </w:rPr>
          <w:tab/>
        </w:r>
        <w:r>
          <w:rPr>
            <w:webHidden/>
          </w:rPr>
          <w:fldChar w:fldCharType="begin"/>
        </w:r>
        <w:r>
          <w:rPr>
            <w:webHidden/>
          </w:rPr>
          <w:instrText xml:space="preserve"> PAGEREF _Toc434488023 \h </w:instrText>
        </w:r>
        <w:r>
          <w:rPr>
            <w:webHidden/>
          </w:rPr>
          <w:fldChar w:fldCharType="separate"/>
        </w:r>
        <w:r w:rsidR="00B14B41">
          <w:rPr>
            <w:webHidden/>
          </w:rPr>
          <w:t>28</w:t>
        </w:r>
        <w:r>
          <w:rPr>
            <w:webHidden/>
          </w:rPr>
          <w:fldChar w:fldCharType="end"/>
        </w:r>
      </w:hyperlink>
    </w:p>
    <w:p w:rsidR="00E948F9" w14:paraId="22346143" w14:textId="77777777">
      <w:pPr>
        <w:pStyle w:val="TOC2"/>
        <w:rPr>
          <w:rFonts w:asciiTheme="minorHAnsi" w:eastAsiaTheme="minorEastAsia" w:hAnsiTheme="minorHAnsi" w:cstheme="minorBidi"/>
          <w:sz w:val="22"/>
          <w:szCs w:val="22"/>
        </w:rPr>
      </w:pPr>
      <w:hyperlink w:anchor="_Toc434488024" w:history="1">
        <w:r w:rsidRPr="00F360EA">
          <w:rPr>
            <w:rStyle w:val="Hyperlink"/>
          </w:rPr>
          <w:t>6(e)</w:t>
        </w:r>
        <w:r>
          <w:rPr>
            <w:rFonts w:asciiTheme="minorHAnsi" w:eastAsiaTheme="minorEastAsia" w:hAnsiTheme="minorHAnsi" w:cstheme="minorBidi"/>
            <w:sz w:val="22"/>
            <w:szCs w:val="22"/>
          </w:rPr>
          <w:tab/>
        </w:r>
        <w:r w:rsidRPr="00F360EA">
          <w:rPr>
            <w:rStyle w:val="Hyperlink"/>
          </w:rPr>
          <w:t>Bottom Line Hour and Cost Burden</w:t>
        </w:r>
        <w:r>
          <w:rPr>
            <w:webHidden/>
          </w:rPr>
          <w:tab/>
        </w:r>
        <w:r>
          <w:rPr>
            <w:webHidden/>
          </w:rPr>
          <w:fldChar w:fldCharType="begin"/>
        </w:r>
        <w:r>
          <w:rPr>
            <w:webHidden/>
          </w:rPr>
          <w:instrText xml:space="preserve"> PAGEREF _Toc434488024 \h </w:instrText>
        </w:r>
        <w:r>
          <w:rPr>
            <w:webHidden/>
          </w:rPr>
          <w:fldChar w:fldCharType="separate"/>
        </w:r>
        <w:r w:rsidR="00B14B41">
          <w:rPr>
            <w:webHidden/>
          </w:rPr>
          <w:t>38</w:t>
        </w:r>
        <w:r>
          <w:rPr>
            <w:webHidden/>
          </w:rPr>
          <w:fldChar w:fldCharType="end"/>
        </w:r>
      </w:hyperlink>
    </w:p>
    <w:p w:rsidR="00E948F9" w14:paraId="4E841CFB" w14:textId="77777777">
      <w:pPr>
        <w:pStyle w:val="TOC2"/>
        <w:rPr>
          <w:rFonts w:asciiTheme="minorHAnsi" w:eastAsiaTheme="minorEastAsia" w:hAnsiTheme="minorHAnsi" w:cstheme="minorBidi"/>
          <w:sz w:val="22"/>
          <w:szCs w:val="22"/>
        </w:rPr>
      </w:pPr>
      <w:hyperlink w:anchor="_Toc434488025" w:history="1">
        <w:r w:rsidRPr="00F360EA">
          <w:rPr>
            <w:rStyle w:val="Hyperlink"/>
          </w:rPr>
          <w:t>6(f)</w:t>
        </w:r>
        <w:r>
          <w:rPr>
            <w:rFonts w:asciiTheme="minorHAnsi" w:eastAsiaTheme="minorEastAsia" w:hAnsiTheme="minorHAnsi" w:cstheme="minorBidi"/>
            <w:sz w:val="22"/>
            <w:szCs w:val="22"/>
          </w:rPr>
          <w:tab/>
        </w:r>
        <w:r w:rsidRPr="00F360EA">
          <w:rPr>
            <w:rStyle w:val="Hyperlink"/>
          </w:rPr>
          <w:t>Reasons for Change In Burden</w:t>
        </w:r>
        <w:r>
          <w:rPr>
            <w:webHidden/>
          </w:rPr>
          <w:tab/>
        </w:r>
        <w:r>
          <w:rPr>
            <w:webHidden/>
          </w:rPr>
          <w:fldChar w:fldCharType="begin"/>
        </w:r>
        <w:r>
          <w:rPr>
            <w:webHidden/>
          </w:rPr>
          <w:instrText xml:space="preserve"> PAGEREF _Toc434488025 \h </w:instrText>
        </w:r>
        <w:r>
          <w:rPr>
            <w:webHidden/>
          </w:rPr>
          <w:fldChar w:fldCharType="separate"/>
        </w:r>
        <w:r w:rsidR="00B14B41">
          <w:rPr>
            <w:webHidden/>
          </w:rPr>
          <w:t>38</w:t>
        </w:r>
        <w:r>
          <w:rPr>
            <w:webHidden/>
          </w:rPr>
          <w:fldChar w:fldCharType="end"/>
        </w:r>
      </w:hyperlink>
    </w:p>
    <w:p w:rsidR="00E948F9" w14:paraId="3D58BAA0" w14:textId="77777777">
      <w:pPr>
        <w:pStyle w:val="TOC2"/>
        <w:rPr>
          <w:rFonts w:asciiTheme="minorHAnsi" w:eastAsiaTheme="minorEastAsia" w:hAnsiTheme="minorHAnsi" w:cstheme="minorBidi"/>
          <w:sz w:val="22"/>
          <w:szCs w:val="22"/>
        </w:rPr>
      </w:pPr>
      <w:hyperlink w:anchor="_Toc434488026" w:history="1">
        <w:r w:rsidRPr="00F360EA">
          <w:rPr>
            <w:rStyle w:val="Hyperlink"/>
          </w:rPr>
          <w:t>6(g)</w:t>
        </w:r>
        <w:r>
          <w:rPr>
            <w:rFonts w:asciiTheme="minorHAnsi" w:eastAsiaTheme="minorEastAsia" w:hAnsiTheme="minorHAnsi" w:cstheme="minorBidi"/>
            <w:sz w:val="22"/>
            <w:szCs w:val="22"/>
          </w:rPr>
          <w:tab/>
        </w:r>
        <w:r w:rsidRPr="00F360EA">
          <w:rPr>
            <w:rStyle w:val="Hyperlink"/>
          </w:rPr>
          <w:t>Public Burden Statement</w:t>
        </w:r>
        <w:r>
          <w:rPr>
            <w:webHidden/>
          </w:rPr>
          <w:tab/>
        </w:r>
        <w:r>
          <w:rPr>
            <w:webHidden/>
          </w:rPr>
          <w:fldChar w:fldCharType="begin"/>
        </w:r>
        <w:r>
          <w:rPr>
            <w:webHidden/>
          </w:rPr>
          <w:instrText xml:space="preserve"> PAGEREF _Toc434488026 \h </w:instrText>
        </w:r>
        <w:r>
          <w:rPr>
            <w:webHidden/>
          </w:rPr>
          <w:fldChar w:fldCharType="separate"/>
        </w:r>
        <w:r w:rsidR="00B14B41">
          <w:rPr>
            <w:webHidden/>
          </w:rPr>
          <w:t>38</w:t>
        </w:r>
        <w:r>
          <w:rPr>
            <w:webHidden/>
          </w:rPr>
          <w:fldChar w:fldCharType="end"/>
        </w:r>
      </w:hyperlink>
    </w:p>
    <w:p w:rsidR="00F20002" w:rsidRPr="00270DB5" w:rsidP="00F20002" w14:paraId="7404E29B" w14:textId="77777777">
      <w:pPr>
        <w:rPr>
          <w:color w:val="000000"/>
          <w:szCs w:val="20"/>
        </w:rPr>
      </w:pPr>
      <w:r w:rsidRPr="00270DB5">
        <w:rPr>
          <w:color w:val="000000"/>
        </w:rPr>
        <w:fldChar w:fldCharType="end"/>
      </w:r>
      <w:r w:rsidRPr="00270DB5">
        <w:rPr>
          <w:color w:val="000000"/>
          <w:szCs w:val="20"/>
        </w:rPr>
        <w:t xml:space="preserve"> </w:t>
      </w:r>
    </w:p>
    <w:p w:rsidR="00F20002" w:rsidRPr="00270DB5" w:rsidP="00F20002" w14:paraId="7A765C9A" w14:textId="17B7E008">
      <w:pPr>
        <w:rPr>
          <w:color w:val="000000"/>
          <w:szCs w:val="20"/>
        </w:rPr>
      </w:pPr>
      <w:r w:rsidRPr="00270DB5">
        <w:rPr>
          <w:color w:val="000000"/>
          <w:szCs w:val="20"/>
        </w:rPr>
        <w:t>ATTACHMENT 1 - BURDEN ESTIMATE METHODOLOGY</w:t>
      </w:r>
      <w:r w:rsidRPr="00270DB5">
        <w:rPr>
          <w:color w:val="000000"/>
          <w:spacing w:val="20"/>
        </w:rPr>
        <w:t>…………………...…………………</w:t>
      </w:r>
      <w:r w:rsidRPr="00270DB5" w:rsidR="002F53EC">
        <w:rPr>
          <w:color w:val="000000"/>
          <w:spacing w:val="20"/>
          <w:szCs w:val="20"/>
        </w:rPr>
        <w:t>5</w:t>
      </w:r>
      <w:r w:rsidR="00335175">
        <w:rPr>
          <w:color w:val="000000"/>
          <w:spacing w:val="20"/>
          <w:szCs w:val="20"/>
        </w:rPr>
        <w:t>4</w:t>
      </w:r>
    </w:p>
    <w:p w:rsidR="00F20002" w:rsidRPr="00270DB5" w:rsidP="00F20002" w14:paraId="29CB695F" w14:textId="041A414A">
      <w:pPr>
        <w:rPr>
          <w:color w:val="000000"/>
          <w:szCs w:val="20"/>
        </w:rPr>
      </w:pPr>
      <w:r w:rsidRPr="00270DB5">
        <w:rPr>
          <w:color w:val="000000"/>
          <w:szCs w:val="20"/>
        </w:rPr>
        <w:t xml:space="preserve">ATTACHMENT 2 - SUMMARY OF UNIVERSE CALCULATIONS </w:t>
      </w:r>
      <w:r w:rsidRPr="00270DB5">
        <w:rPr>
          <w:color w:val="000000"/>
          <w:spacing w:val="20"/>
        </w:rPr>
        <w:t>…………………...……………</w:t>
      </w:r>
      <w:r w:rsidRPr="00270DB5" w:rsidR="002F53EC">
        <w:rPr>
          <w:color w:val="000000"/>
          <w:szCs w:val="20"/>
        </w:rPr>
        <w:t>5</w:t>
      </w:r>
      <w:r w:rsidR="00335175">
        <w:rPr>
          <w:color w:val="000000"/>
          <w:szCs w:val="20"/>
        </w:rPr>
        <w:t>9</w:t>
      </w:r>
    </w:p>
    <w:p w:rsidR="00146A6C" w:rsidRPr="00270DB5" w14:paraId="7B962ADD" w14:textId="77777777">
      <w:pPr>
        <w:pStyle w:val="Heading1"/>
        <w:rPr>
          <w:rFonts w:ascii="Times New Roman" w:hAnsi="Times New Roman" w:cs="Times New Roman"/>
          <w:color w:val="000000"/>
          <w:sz w:val="24"/>
        </w:rPr>
      </w:pPr>
    </w:p>
    <w:p w:rsidR="00146A6C" w:rsidRPr="00270DB5" w14:paraId="4AF759D2" w14:textId="77777777">
      <w:pPr>
        <w:rPr>
          <w:color w:val="000000"/>
        </w:rPr>
      </w:pPr>
    </w:p>
    <w:p w:rsidR="00146A6C" w:rsidRPr="00270DB5" w14:paraId="0E3D98BF" w14:textId="77777777">
      <w:pPr>
        <w:rPr>
          <w:color w:val="000000"/>
        </w:rPr>
        <w:sectPr>
          <w:footerReference w:type="default" r:id="rId7"/>
          <w:pgSz w:w="12240" w:h="15840"/>
          <w:pgMar w:top="1440" w:right="1440" w:bottom="1440" w:left="1440" w:header="1440" w:footer="1440" w:gutter="0"/>
          <w:pgNumType w:fmt="lowerRoman" w:start="1"/>
          <w:cols w:space="720"/>
          <w:noEndnote/>
        </w:sectPr>
      </w:pPr>
    </w:p>
    <w:p w:rsidR="00146A6C" w:rsidRPr="00270DB5" w14:paraId="6C19877D" w14:textId="77777777">
      <w:pPr>
        <w:pStyle w:val="Heading1"/>
        <w:rPr>
          <w:rFonts w:ascii="Times New Roman" w:hAnsi="Times New Roman" w:cs="Times New Roman"/>
          <w:color w:val="000000"/>
          <w:sz w:val="24"/>
        </w:rPr>
        <w:sectPr>
          <w:footerReference w:type="even" r:id="rId8"/>
          <w:footerReference w:type="default" r:id="rId9"/>
          <w:type w:val="continuous"/>
          <w:pgSz w:w="12240" w:h="15840"/>
          <w:pgMar w:top="1440" w:right="1800" w:bottom="1440" w:left="1800" w:header="720" w:footer="720" w:gutter="0"/>
          <w:pgNumType w:start="1"/>
          <w:cols w:space="720"/>
          <w:docGrid w:linePitch="360"/>
        </w:sectPr>
      </w:pPr>
      <w:bookmarkStart w:id="1" w:name="_Toc146594771"/>
      <w:bookmarkStart w:id="2" w:name="_Toc194233031"/>
      <w:bookmarkStart w:id="3" w:name="_Toc194321354"/>
      <w:bookmarkStart w:id="4" w:name="_Toc194321567"/>
      <w:bookmarkStart w:id="5" w:name="_Toc194395921"/>
      <w:bookmarkStart w:id="6" w:name="_Toc195523807"/>
      <w:bookmarkStart w:id="7" w:name="_Toc195524018"/>
      <w:bookmarkStart w:id="8" w:name="_Toc198053441"/>
    </w:p>
    <w:p w:rsidR="00146A6C" w:rsidRPr="00AC1525" w14:paraId="2A6FB7C7" w14:textId="77777777">
      <w:pPr>
        <w:pStyle w:val="Heading1"/>
        <w:rPr>
          <w:rFonts w:ascii="Times New Roman" w:hAnsi="Times New Roman" w:cs="Times New Roman"/>
          <w:color w:val="000000"/>
          <w:sz w:val="22"/>
          <w:szCs w:val="22"/>
        </w:rPr>
      </w:pPr>
      <w:bookmarkStart w:id="9" w:name="_Toc199176344"/>
      <w:bookmarkStart w:id="10" w:name="_Toc201152803"/>
      <w:bookmarkStart w:id="11" w:name="_Toc201153916"/>
      <w:bookmarkStart w:id="12" w:name="_Toc203626021"/>
      <w:bookmarkStart w:id="13" w:name="_Toc203626128"/>
      <w:bookmarkStart w:id="14" w:name="_Toc203711622"/>
      <w:bookmarkStart w:id="15" w:name="_Toc203715769"/>
      <w:bookmarkStart w:id="16" w:name="_Toc434487997"/>
      <w:r w:rsidRPr="00AC1525">
        <w:rPr>
          <w:rFonts w:ascii="Times New Roman" w:hAnsi="Times New Roman" w:cs="Times New Roman"/>
          <w:color w:val="000000"/>
          <w:sz w:val="22"/>
          <w:szCs w:val="22"/>
        </w:rPr>
        <w:t>1.</w:t>
      </w:r>
      <w:r w:rsidRPr="00AC1525">
        <w:rPr>
          <w:rFonts w:ascii="Times New Roman" w:hAnsi="Times New Roman" w:cs="Times New Roman"/>
          <w:color w:val="000000"/>
          <w:sz w:val="22"/>
          <w:szCs w:val="22"/>
        </w:rPr>
        <w:tab/>
        <w:t>IDENTIFICATION OF THE INFORMATION COLLECTION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146A6C" w:rsidRPr="00AC1525" w14:paraId="1AEA2064" w14:textId="77777777">
      <w:pPr>
        <w:pStyle w:val="Heading2"/>
        <w:ind w:firstLine="720"/>
        <w:rPr>
          <w:rFonts w:ascii="Times New Roman" w:hAnsi="Times New Roman" w:cs="Times New Roman"/>
          <w:i w:val="0"/>
          <w:iCs w:val="0"/>
          <w:color w:val="000000"/>
          <w:sz w:val="22"/>
          <w:szCs w:val="22"/>
        </w:rPr>
      </w:pPr>
      <w:bookmarkStart w:id="17" w:name="_Toc146594772"/>
      <w:bookmarkStart w:id="18" w:name="_Toc194233032"/>
      <w:bookmarkStart w:id="19" w:name="_Toc194321355"/>
      <w:bookmarkStart w:id="20" w:name="_Toc194321568"/>
      <w:bookmarkStart w:id="21" w:name="_Toc194395922"/>
      <w:bookmarkStart w:id="22" w:name="_Toc195523808"/>
      <w:bookmarkStart w:id="23" w:name="_Toc195524019"/>
      <w:bookmarkStart w:id="24" w:name="_Toc198053442"/>
      <w:bookmarkStart w:id="25" w:name="_Toc199176345"/>
      <w:bookmarkStart w:id="26" w:name="_Toc201152804"/>
      <w:bookmarkStart w:id="27" w:name="_Toc201153917"/>
      <w:bookmarkStart w:id="28" w:name="_Toc203626022"/>
      <w:bookmarkStart w:id="29" w:name="_Toc203626129"/>
      <w:bookmarkStart w:id="30" w:name="_Toc203711623"/>
      <w:bookmarkStart w:id="31" w:name="_Toc203715770"/>
      <w:bookmarkStart w:id="32" w:name="_Toc434487998"/>
      <w:r w:rsidRPr="00AC1525">
        <w:rPr>
          <w:rFonts w:ascii="Times New Roman" w:hAnsi="Times New Roman" w:cs="Times New Roman"/>
          <w:i w:val="0"/>
          <w:iCs w:val="0"/>
          <w:color w:val="000000"/>
          <w:sz w:val="22"/>
          <w:szCs w:val="22"/>
        </w:rPr>
        <w:t>1(a)</w:t>
      </w:r>
      <w:r w:rsidRPr="00AC1525">
        <w:rPr>
          <w:rFonts w:ascii="Times New Roman" w:hAnsi="Times New Roman" w:cs="Times New Roman"/>
          <w:i w:val="0"/>
          <w:iCs w:val="0"/>
          <w:color w:val="000000"/>
          <w:sz w:val="22"/>
          <w:szCs w:val="22"/>
        </w:rPr>
        <w:tab/>
        <w:t>Title and Number of the Information Collection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46A6C" w:rsidRPr="00AC1525" w14:paraId="22E960AA" w14:textId="77777777">
      <w:pPr>
        <w:rPr>
          <w:b/>
          <w:bCs/>
          <w:color w:val="000000"/>
          <w:sz w:val="22"/>
          <w:szCs w:val="22"/>
        </w:rPr>
      </w:pPr>
      <w:bookmarkStart w:id="33" w:name="_Toc146594773"/>
      <w:bookmarkStart w:id="34" w:name="_Toc194233033"/>
      <w:bookmarkStart w:id="35" w:name="_Toc194321356"/>
      <w:bookmarkStart w:id="36" w:name="_Toc194321569"/>
      <w:bookmarkStart w:id="37" w:name="_Toc194395923"/>
      <w:bookmarkStart w:id="38" w:name="_Toc195523809"/>
      <w:bookmarkStart w:id="39" w:name="_Toc195524020"/>
      <w:bookmarkStart w:id="40" w:name="_Toc198053443"/>
      <w:bookmarkStart w:id="41" w:name="_Toc199176346"/>
    </w:p>
    <w:p w:rsidR="00146A6C" w:rsidRPr="00AC1525" w14:paraId="6E2E2668" w14:textId="1CCBEFD5">
      <w:pPr>
        <w:ind w:firstLine="720"/>
        <w:rPr>
          <w:color w:val="000000"/>
          <w:sz w:val="22"/>
          <w:szCs w:val="22"/>
        </w:rPr>
      </w:pPr>
      <w:r w:rsidRPr="00AC1525">
        <w:rPr>
          <w:rFonts w:ascii="Tahoma" w:hAnsi="Tahoma" w:cs="Tahoma"/>
          <w:b/>
          <w:bCs/>
          <w:color w:val="000000"/>
          <w:sz w:val="22"/>
          <w:szCs w:val="22"/>
        </w:rPr>
        <w:t>﻿</w:t>
      </w:r>
      <w:r w:rsidRPr="00AC1525">
        <w:rPr>
          <w:color w:val="000000"/>
          <w:sz w:val="22"/>
          <w:szCs w:val="22"/>
        </w:rPr>
        <w:t>This Information Collection Request (ICR) is entitled “Generator Standards Applicable to Laboratories Owned by Eligible Academic Entities</w:t>
      </w:r>
      <w:r w:rsidRPr="00AC1525" w:rsidR="000875F9">
        <w:rPr>
          <w:color w:val="000000"/>
          <w:sz w:val="22"/>
          <w:szCs w:val="22"/>
        </w:rPr>
        <w:t xml:space="preserve"> (</w:t>
      </w:r>
      <w:r w:rsidRPr="00AC1525" w:rsidR="008B1E33">
        <w:rPr>
          <w:color w:val="000000"/>
          <w:sz w:val="22"/>
          <w:szCs w:val="22"/>
        </w:rPr>
        <w:t>Renewal</w:t>
      </w:r>
      <w:r w:rsidRPr="00AC1525" w:rsidR="000875F9">
        <w:rPr>
          <w:color w:val="000000"/>
          <w:sz w:val="22"/>
          <w:szCs w:val="22"/>
        </w:rPr>
        <w:t>)</w:t>
      </w:r>
      <w:r w:rsidRPr="00AC1525">
        <w:rPr>
          <w:color w:val="000000"/>
          <w:sz w:val="22"/>
          <w:szCs w:val="22"/>
        </w:rPr>
        <w:t xml:space="preserve">,” EPA ICR Number </w:t>
      </w:r>
      <w:r w:rsidRPr="00AC1525" w:rsidR="000F0E9B">
        <w:rPr>
          <w:color w:val="000000"/>
          <w:sz w:val="22"/>
          <w:szCs w:val="22"/>
        </w:rPr>
        <w:t>2317.0</w:t>
      </w:r>
      <w:r w:rsidRPr="00AC1525" w:rsidR="00FA2EC0">
        <w:rPr>
          <w:color w:val="000000"/>
          <w:sz w:val="22"/>
          <w:szCs w:val="22"/>
        </w:rPr>
        <w:t>5</w:t>
      </w:r>
      <w:r w:rsidRPr="00AC1525" w:rsidR="00BD28FA">
        <w:rPr>
          <w:color w:val="000000"/>
          <w:sz w:val="22"/>
          <w:szCs w:val="22"/>
        </w:rPr>
        <w:t xml:space="preserve">, OMB Number </w:t>
      </w:r>
      <w:r w:rsidRPr="00AC1525" w:rsidR="007F0B55">
        <w:rPr>
          <w:color w:val="000000"/>
          <w:sz w:val="22"/>
          <w:szCs w:val="22"/>
        </w:rPr>
        <w:t>2050-0204</w:t>
      </w:r>
      <w:r w:rsidRPr="00AC1525">
        <w:rPr>
          <w:color w:val="000000"/>
          <w:sz w:val="22"/>
          <w:szCs w:val="22"/>
        </w:rPr>
        <w:t>.</w:t>
      </w:r>
    </w:p>
    <w:p w:rsidR="00146A6C" w:rsidRPr="00AC1525" w14:paraId="7B845D03" w14:textId="77777777">
      <w:pPr>
        <w:pStyle w:val="Heading2"/>
        <w:ind w:firstLine="720"/>
        <w:rPr>
          <w:rFonts w:ascii="Times New Roman" w:hAnsi="Times New Roman" w:cs="Times New Roman"/>
          <w:i w:val="0"/>
          <w:iCs w:val="0"/>
          <w:color w:val="000000"/>
          <w:sz w:val="22"/>
          <w:szCs w:val="22"/>
        </w:rPr>
      </w:pPr>
      <w:bookmarkStart w:id="42" w:name="_Toc201152805"/>
      <w:bookmarkStart w:id="43" w:name="_Toc201153918"/>
      <w:bookmarkStart w:id="44" w:name="_Toc203626023"/>
      <w:bookmarkStart w:id="45" w:name="_Toc203626130"/>
      <w:bookmarkStart w:id="46" w:name="_Toc203711624"/>
      <w:bookmarkStart w:id="47" w:name="_Toc203715771"/>
      <w:bookmarkStart w:id="48" w:name="_Toc434487999"/>
      <w:r w:rsidRPr="00AC1525">
        <w:rPr>
          <w:rFonts w:ascii="Times New Roman" w:hAnsi="Times New Roman" w:cs="Times New Roman"/>
          <w:i w:val="0"/>
          <w:iCs w:val="0"/>
          <w:color w:val="000000"/>
          <w:sz w:val="22"/>
          <w:szCs w:val="22"/>
        </w:rPr>
        <w:t>1(b)</w:t>
      </w:r>
      <w:r w:rsidRPr="00AC1525">
        <w:rPr>
          <w:rFonts w:ascii="Times New Roman" w:hAnsi="Times New Roman" w:cs="Times New Roman"/>
          <w:i w:val="0"/>
          <w:iCs w:val="0"/>
          <w:color w:val="000000"/>
          <w:sz w:val="22"/>
          <w:szCs w:val="22"/>
        </w:rPr>
        <w:tab/>
        <w:t>Short Characterization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46A6C" w:rsidRPr="00AC1525" w14:paraId="1FF13866" w14:textId="77777777">
      <w:pPr>
        <w:rPr>
          <w:color w:val="000000"/>
          <w:sz w:val="22"/>
          <w:szCs w:val="22"/>
        </w:rPr>
      </w:pPr>
    </w:p>
    <w:p w:rsidR="00146A6C" w:rsidRPr="00AC1525" w14:paraId="040D61B9" w14:textId="77777777">
      <w:pPr>
        <w:ind w:firstLine="720"/>
        <w:rPr>
          <w:color w:val="000000"/>
          <w:sz w:val="22"/>
          <w:szCs w:val="22"/>
        </w:rPr>
      </w:pPr>
      <w:r w:rsidRPr="00AC1525">
        <w:rPr>
          <w:color w:val="000000"/>
          <w:sz w:val="22"/>
          <w:szCs w:val="22"/>
        </w:rPr>
        <w:t xml:space="preserve">The U.S. Environmental Protection Agency (EPA) has </w:t>
      </w:r>
      <w:r w:rsidRPr="00AC1525" w:rsidR="00735B22">
        <w:rPr>
          <w:color w:val="000000"/>
          <w:sz w:val="22"/>
          <w:szCs w:val="22"/>
        </w:rPr>
        <w:t>promulgated</w:t>
      </w:r>
      <w:r w:rsidRPr="00AC1525" w:rsidR="008B1E33">
        <w:rPr>
          <w:color w:val="000000"/>
          <w:sz w:val="22"/>
          <w:szCs w:val="22"/>
        </w:rPr>
        <w:t xml:space="preserve"> </w:t>
      </w:r>
      <w:r w:rsidRPr="00AC1525">
        <w:rPr>
          <w:color w:val="000000"/>
          <w:sz w:val="22"/>
          <w:szCs w:val="22"/>
        </w:rPr>
        <w:t>an alternative set of generator requirements applicable to laboratories owned by eligible academic entities, as defined in the final rule</w:t>
      </w:r>
      <w:r w:rsidRPr="00AC1525" w:rsidR="008B1E33">
        <w:rPr>
          <w:color w:val="000000"/>
          <w:sz w:val="22"/>
          <w:szCs w:val="22"/>
        </w:rPr>
        <w:t xml:space="preserve"> published at 73 FR 72912, December 1, 2008</w:t>
      </w:r>
      <w:r w:rsidRPr="00AC1525">
        <w:rPr>
          <w:color w:val="000000"/>
          <w:sz w:val="22"/>
          <w:szCs w:val="22"/>
        </w:rPr>
        <w:t xml:space="preserve">.  The rule, which establishes a new Subpart K within 40 </w:t>
      </w:r>
      <w:r w:rsidRPr="00AC1525">
        <w:rPr>
          <w:i/>
          <w:iCs/>
          <w:color w:val="000000"/>
          <w:sz w:val="22"/>
          <w:szCs w:val="22"/>
        </w:rPr>
        <w:t>CFR</w:t>
      </w:r>
      <w:r w:rsidRPr="00AC1525">
        <w:rPr>
          <w:color w:val="000000"/>
          <w:sz w:val="22"/>
          <w:szCs w:val="22"/>
        </w:rPr>
        <w:t xml:space="preserve"> Part 262, provides a flexible and protective set of regulations that address the specific nature of hazardous waste generation and accumulation in laboratories owned by colleges and universities, and teaching hospitals and non-profit research institutes that are either owned by or formally affiliated with a college or university.  In addition, the final rule allows colleges and universities and these other eligible academic entities formally affiliated with a college or university the discretion to determine the most appropriate and effective method of compliance with these requirements by allowing them the choice of managing their hazardous wastes in accordance with the new alternative regulations as set forth in Subpart K or remaining subject to the existing generator regulations.</w:t>
      </w:r>
    </w:p>
    <w:p w:rsidR="00146A6C" w:rsidRPr="00AC1525" w14:paraId="106AA052" w14:textId="77777777">
      <w:pPr>
        <w:rPr>
          <w:color w:val="000000"/>
          <w:sz w:val="22"/>
          <w:szCs w:val="22"/>
        </w:rPr>
      </w:pPr>
    </w:p>
    <w:p w:rsidR="00146A6C" w:rsidRPr="00AC1525" w14:paraId="64DF78DD" w14:textId="7A638962">
      <w:pPr>
        <w:pStyle w:val="Heading1"/>
        <w:rPr>
          <w:rFonts w:ascii="Times New Roman" w:hAnsi="Times New Roman" w:cs="Times New Roman"/>
          <w:color w:val="000000"/>
          <w:sz w:val="22"/>
          <w:szCs w:val="22"/>
        </w:rPr>
      </w:pPr>
      <w:bookmarkStart w:id="49" w:name="_Toc146594774"/>
      <w:bookmarkStart w:id="50" w:name="_Toc194233034"/>
      <w:bookmarkStart w:id="51" w:name="_Toc194321357"/>
      <w:bookmarkStart w:id="52" w:name="_Toc194321570"/>
      <w:bookmarkStart w:id="53" w:name="_Toc194395924"/>
      <w:bookmarkStart w:id="54" w:name="_Toc195523810"/>
      <w:bookmarkStart w:id="55" w:name="_Toc195524021"/>
      <w:bookmarkStart w:id="56" w:name="_Toc198053444"/>
      <w:bookmarkStart w:id="57" w:name="_Toc199176347"/>
      <w:bookmarkStart w:id="58" w:name="_Toc201152806"/>
      <w:bookmarkStart w:id="59" w:name="_Toc201153919"/>
      <w:bookmarkStart w:id="60" w:name="_Toc203626024"/>
      <w:bookmarkStart w:id="61" w:name="_Toc203626131"/>
      <w:bookmarkStart w:id="62" w:name="_Toc203711625"/>
      <w:bookmarkStart w:id="63" w:name="_Toc203715772"/>
      <w:bookmarkStart w:id="64" w:name="_Toc434488000"/>
      <w:r w:rsidRPr="00AC1525">
        <w:rPr>
          <w:rFonts w:ascii="Times New Roman" w:hAnsi="Times New Roman" w:cs="Times New Roman"/>
          <w:color w:val="000000"/>
          <w:sz w:val="22"/>
          <w:szCs w:val="22"/>
        </w:rPr>
        <w:t>2.</w:t>
      </w:r>
      <w:r w:rsidRPr="00AC1525">
        <w:rPr>
          <w:rFonts w:ascii="Times New Roman" w:hAnsi="Times New Roman" w:cs="Times New Roman"/>
          <w:color w:val="000000"/>
          <w:sz w:val="22"/>
          <w:szCs w:val="22"/>
        </w:rPr>
        <w:tab/>
        <w:t>NEED FOR AND USE OF THE COLLECTION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46A6C" w:rsidRPr="00AC1525" w14:paraId="6C2CA8B3" w14:textId="77777777">
      <w:pPr>
        <w:pStyle w:val="Heading2"/>
        <w:ind w:firstLine="720"/>
        <w:rPr>
          <w:rFonts w:ascii="Times New Roman" w:hAnsi="Times New Roman" w:cs="Times New Roman"/>
          <w:i w:val="0"/>
          <w:iCs w:val="0"/>
          <w:color w:val="000000"/>
          <w:sz w:val="22"/>
          <w:szCs w:val="22"/>
        </w:rPr>
      </w:pPr>
      <w:bookmarkStart w:id="65" w:name="_Toc146594775"/>
      <w:bookmarkStart w:id="66" w:name="_Toc194233035"/>
      <w:bookmarkStart w:id="67" w:name="_Toc194321358"/>
      <w:bookmarkStart w:id="68" w:name="_Toc194321571"/>
      <w:bookmarkStart w:id="69" w:name="_Toc194395925"/>
      <w:bookmarkStart w:id="70" w:name="_Toc195523811"/>
      <w:bookmarkStart w:id="71" w:name="_Toc195524022"/>
      <w:bookmarkStart w:id="72" w:name="_Toc198053445"/>
      <w:bookmarkStart w:id="73" w:name="_Toc199176348"/>
      <w:bookmarkStart w:id="74" w:name="_Toc201152807"/>
      <w:bookmarkStart w:id="75" w:name="_Toc201153920"/>
      <w:bookmarkStart w:id="76" w:name="_Toc203626025"/>
      <w:bookmarkStart w:id="77" w:name="_Toc203626132"/>
      <w:bookmarkStart w:id="78" w:name="_Toc203711626"/>
      <w:bookmarkStart w:id="79" w:name="_Toc203715773"/>
      <w:bookmarkStart w:id="80" w:name="_Toc434488001"/>
      <w:r w:rsidRPr="00AC1525">
        <w:rPr>
          <w:rFonts w:ascii="Times New Roman" w:hAnsi="Times New Roman" w:cs="Times New Roman"/>
          <w:i w:val="0"/>
          <w:iCs w:val="0"/>
          <w:color w:val="000000"/>
          <w:sz w:val="22"/>
          <w:szCs w:val="22"/>
        </w:rPr>
        <w:t>2(a)</w:t>
      </w:r>
      <w:r w:rsidRPr="00AC1525">
        <w:rPr>
          <w:rFonts w:ascii="Times New Roman" w:hAnsi="Times New Roman" w:cs="Times New Roman"/>
          <w:i w:val="0"/>
          <w:iCs w:val="0"/>
          <w:color w:val="000000"/>
          <w:sz w:val="22"/>
          <w:szCs w:val="22"/>
        </w:rPr>
        <w:tab/>
        <w:t>Need and Authority for the Collection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146A6C" w:rsidRPr="00AC1525" w14:paraId="0850C2E2" w14:textId="77777777">
      <w:pPr>
        <w:rPr>
          <w:color w:val="000000"/>
          <w:sz w:val="22"/>
          <w:szCs w:val="22"/>
        </w:rPr>
      </w:pPr>
      <w:bookmarkStart w:id="81" w:name="_Toc146594776"/>
      <w:bookmarkStart w:id="82" w:name="_Toc194233036"/>
      <w:bookmarkStart w:id="83" w:name="_Toc194321359"/>
      <w:bookmarkStart w:id="84" w:name="_Toc194321572"/>
      <w:bookmarkStart w:id="85" w:name="_Toc194395926"/>
      <w:bookmarkStart w:id="86" w:name="_Toc195523812"/>
      <w:bookmarkStart w:id="87" w:name="_Toc195524023"/>
    </w:p>
    <w:p w:rsidR="00146A6C" w:rsidRPr="00AC1525" w14:paraId="1D51024A" w14:textId="77777777">
      <w:pPr>
        <w:ind w:firstLine="720"/>
        <w:rPr>
          <w:color w:val="000000"/>
          <w:sz w:val="22"/>
          <w:szCs w:val="22"/>
        </w:rPr>
      </w:pPr>
      <w:r w:rsidRPr="00AC1525">
        <w:rPr>
          <w:color w:val="000000"/>
          <w:sz w:val="22"/>
          <w:szCs w:val="22"/>
        </w:rPr>
        <w:t xml:space="preserve">The </w:t>
      </w:r>
      <w:r w:rsidRPr="00AC1525" w:rsidR="00E3715B">
        <w:rPr>
          <w:color w:val="000000"/>
          <w:sz w:val="22"/>
          <w:szCs w:val="22"/>
        </w:rPr>
        <w:t xml:space="preserve">Subpart K </w:t>
      </w:r>
      <w:r w:rsidRPr="00AC1525">
        <w:rPr>
          <w:color w:val="000000"/>
          <w:sz w:val="22"/>
          <w:szCs w:val="22"/>
        </w:rPr>
        <w:t xml:space="preserve">regulations </w:t>
      </w:r>
      <w:r w:rsidRPr="00AC1525" w:rsidR="00E3715B">
        <w:rPr>
          <w:color w:val="000000"/>
          <w:sz w:val="22"/>
          <w:szCs w:val="22"/>
        </w:rPr>
        <w:t xml:space="preserve">within 40 </w:t>
      </w:r>
      <w:r w:rsidRPr="00AC1525" w:rsidR="00E3715B">
        <w:rPr>
          <w:i/>
          <w:iCs/>
          <w:color w:val="000000"/>
          <w:sz w:val="22"/>
          <w:szCs w:val="22"/>
        </w:rPr>
        <w:t>CFR</w:t>
      </w:r>
      <w:r w:rsidRPr="00AC1525" w:rsidR="00E3715B">
        <w:rPr>
          <w:color w:val="000000"/>
          <w:sz w:val="22"/>
          <w:szCs w:val="22"/>
        </w:rPr>
        <w:t xml:space="preserve"> Part 262 </w:t>
      </w:r>
      <w:r w:rsidRPr="00AC1525">
        <w:rPr>
          <w:color w:val="000000"/>
          <w:sz w:val="22"/>
          <w:szCs w:val="22"/>
        </w:rPr>
        <w:t>are promulgated under the authority of Sections 2002, 3001, 3002, and 3004 of the Solid Waste Disposal Act (SWDA) of 1970, as amended by the Resource Conservation and Recovery Act (RCRA) of 1976, as amended by the Hazardous and Solid Waste Amendments of 1984 (HSWA).</w:t>
      </w:r>
    </w:p>
    <w:p w:rsidR="00146A6C" w:rsidRPr="00AC1525" w14:paraId="47D18E79" w14:textId="77777777">
      <w:pPr>
        <w:rPr>
          <w:color w:val="000000"/>
          <w:sz w:val="22"/>
          <w:szCs w:val="22"/>
        </w:rPr>
      </w:pPr>
    </w:p>
    <w:p w:rsidR="00146A6C" w:rsidRPr="00AC1525" w14:paraId="4D539DA2" w14:textId="54C07E9A">
      <w:pPr>
        <w:ind w:firstLine="720"/>
        <w:rPr>
          <w:color w:val="000000"/>
          <w:sz w:val="22"/>
          <w:szCs w:val="22"/>
        </w:rPr>
      </w:pPr>
      <w:r w:rsidRPr="00AC1525">
        <w:rPr>
          <w:color w:val="000000"/>
          <w:sz w:val="22"/>
          <w:szCs w:val="22"/>
        </w:rPr>
        <w:t xml:space="preserve">EPA believes there is a clear need for </w:t>
      </w:r>
      <w:r w:rsidRPr="00AC1525" w:rsidR="0076605C">
        <w:rPr>
          <w:color w:val="000000"/>
          <w:sz w:val="22"/>
          <w:szCs w:val="22"/>
        </w:rPr>
        <w:t>the Subpart K regulations</w:t>
      </w:r>
      <w:r w:rsidRPr="00AC1525">
        <w:rPr>
          <w:color w:val="000000"/>
          <w:sz w:val="22"/>
          <w:szCs w:val="22"/>
        </w:rPr>
        <w:t>.  The Agency has identified four primary differences between laboratory operations at colleges, universities, and other eligible academic entities and typical industrial production facilities.  These differences provide the rationale for the rule</w:t>
      </w:r>
      <w:r w:rsidRPr="00AC1525" w:rsidR="007E6A36">
        <w:rPr>
          <w:color w:val="000000"/>
          <w:sz w:val="22"/>
          <w:szCs w:val="22"/>
        </w:rPr>
        <w:t xml:space="preserve"> </w:t>
      </w:r>
      <w:r w:rsidRPr="00AC1525" w:rsidR="005D0848">
        <w:rPr>
          <w:color w:val="000000"/>
          <w:sz w:val="22"/>
          <w:szCs w:val="22"/>
        </w:rPr>
        <w:t>at</w:t>
      </w:r>
      <w:r w:rsidRPr="00AC1525" w:rsidR="00DB7AF9">
        <w:rPr>
          <w:color w:val="000000"/>
          <w:sz w:val="22"/>
          <w:szCs w:val="22"/>
        </w:rPr>
        <w:t xml:space="preserve"> </w:t>
      </w:r>
      <w:r w:rsidRPr="00AC1525" w:rsidR="007E6A36">
        <w:rPr>
          <w:color w:val="000000"/>
          <w:sz w:val="22"/>
          <w:szCs w:val="22"/>
        </w:rPr>
        <w:t>73 FR 72912</w:t>
      </w:r>
      <w:r w:rsidRPr="00AC1525">
        <w:rPr>
          <w:color w:val="000000"/>
          <w:sz w:val="22"/>
          <w:szCs w:val="22"/>
        </w:rPr>
        <w:t xml:space="preserve">.  First, laboratories owned by colleges, universities and, teaching hospitals and non-profit research institutes that are either owned by or formally affiliated with a college or university have </w:t>
      </w:r>
      <w:r w:rsidRPr="00AC1525">
        <w:rPr>
          <w:color w:val="000000"/>
          <w:sz w:val="22"/>
          <w:szCs w:val="22"/>
        </w:rPr>
        <w:t>a large number of</w:t>
      </w:r>
      <w:r w:rsidRPr="00AC1525">
        <w:rPr>
          <w:color w:val="000000"/>
          <w:sz w:val="22"/>
          <w:szCs w:val="22"/>
        </w:rPr>
        <w:t xml:space="preserve"> points of generation (i.e., points where waste is originally generated) such as multiple laboratory benchtops within a single laboratory and laboratories located at several areas on a single campus.  Second, these laboratories tend to generate relatively small volumes of each hazardous waste at each of these points of generation.  Third, the hazardous wastes generated in these laboratories tend to vary over time, as areas of research change.  In contrast, industrial generators tend to generate a relatively smaller number of predictable waste</w:t>
      </w:r>
      <w:r w:rsidRPr="00AC1525" w:rsidR="00074E78">
        <w:rPr>
          <w:color w:val="000000"/>
          <w:sz w:val="22"/>
          <w:szCs w:val="22"/>
        </w:rPr>
        <w:t xml:space="preserve"> </w:t>
      </w:r>
      <w:r w:rsidRPr="00AC1525">
        <w:rPr>
          <w:color w:val="000000"/>
          <w:sz w:val="22"/>
          <w:szCs w:val="22"/>
        </w:rPr>
        <w:t xml:space="preserve">streams in large quantities at relatively few generation points.  Fourth, and of </w:t>
      </w:r>
      <w:r w:rsidRPr="00AC1525">
        <w:rPr>
          <w:color w:val="000000"/>
          <w:sz w:val="22"/>
          <w:szCs w:val="22"/>
        </w:rPr>
        <w:t>particular note</w:t>
      </w:r>
      <w:r w:rsidRPr="00AC1525">
        <w:rPr>
          <w:color w:val="000000"/>
          <w:sz w:val="22"/>
          <w:szCs w:val="22"/>
        </w:rPr>
        <w:t>, is that most individuals involved in hazardous waste generation activities at eligible academic entity laboratories are students.  Students are inherently transient, which makes it more difficult to train them.  This fourth difference sets eligible academic entity laboratories apart not only from typical production facilities, but also from non-academic, commercial laboratories.  At industrial production facilities and non-</w:t>
      </w:r>
      <w:r w:rsidRPr="00AC1525">
        <w:rPr>
          <w:color w:val="000000"/>
          <w:sz w:val="22"/>
          <w:szCs w:val="22"/>
        </w:rPr>
        <w:t>academic, commercial laboratories, employees who generate hazardous waste are professionally trained in managing hazardous wastes and are held accountable due to their employee status.</w:t>
      </w:r>
    </w:p>
    <w:p w:rsidR="00146A6C" w:rsidRPr="00AC1525" w14:paraId="1BD33C5A" w14:textId="77777777">
      <w:pPr>
        <w:rPr>
          <w:color w:val="000000"/>
          <w:sz w:val="22"/>
          <w:szCs w:val="22"/>
        </w:rPr>
      </w:pPr>
      <w:r w:rsidRPr="00AC1525">
        <w:rPr>
          <w:color w:val="000000"/>
          <w:sz w:val="22"/>
          <w:szCs w:val="22"/>
        </w:rPr>
        <w:tab/>
      </w:r>
    </w:p>
    <w:p w:rsidR="00146A6C" w:rsidRPr="00AC1525" w14:paraId="11BEFCC6" w14:textId="77777777">
      <w:pPr>
        <w:ind w:left="720" w:hanging="720"/>
        <w:rPr>
          <w:b/>
          <w:bCs/>
          <w:color w:val="000000"/>
          <w:sz w:val="22"/>
          <w:szCs w:val="22"/>
        </w:rPr>
      </w:pPr>
      <w:r w:rsidRPr="00AC1525">
        <w:rPr>
          <w:b/>
          <w:bCs/>
          <w:color w:val="000000"/>
          <w:sz w:val="22"/>
          <w:szCs w:val="22"/>
        </w:rPr>
        <w:t>(1)</w:t>
      </w:r>
      <w:r w:rsidRPr="00AC1525">
        <w:rPr>
          <w:b/>
          <w:bCs/>
          <w:color w:val="000000"/>
          <w:sz w:val="22"/>
          <w:szCs w:val="22"/>
        </w:rPr>
        <w:tab/>
        <w:t>Notification of Intent to Comply with Subpart K and Recordkeeping of Agreements</w:t>
      </w:r>
    </w:p>
    <w:p w:rsidR="00146A6C" w:rsidRPr="00AC1525" w14:paraId="66F3F49F" w14:textId="77777777">
      <w:pPr>
        <w:rPr>
          <w:color w:val="000000"/>
          <w:sz w:val="22"/>
          <w:szCs w:val="22"/>
        </w:rPr>
      </w:pPr>
    </w:p>
    <w:p w:rsidR="00146A6C" w:rsidRPr="00AC1525" w14:paraId="37FC568C" w14:textId="4FC84FED">
      <w:pPr>
        <w:rPr>
          <w:color w:val="000000"/>
          <w:sz w:val="22"/>
          <w:szCs w:val="22"/>
        </w:rPr>
      </w:pPr>
      <w:r w:rsidRPr="00AC1525">
        <w:rPr>
          <w:color w:val="000000"/>
          <w:sz w:val="22"/>
          <w:szCs w:val="22"/>
        </w:rPr>
        <w:tab/>
        <w:t xml:space="preserve">Because the rule provides eligible academic entities the option to manage their hazardous wastes from laboratories under the existing hazardous waste generator regulations or their laboratories’ unwanted materials under Subpart K, it is important that EPA, or the authorized State, know which set of regulations apply to an eligible academic entity’s laboratories.  Therefore, the rule requires that an eligible academic entity choosing to manage its unwanted materials in compliance with the alternative set of generator requirements of Subpart K to submit a Site Identification Form on a one-time basis to the appropriate EPA Regional Administrator or, when appropriate, State Director in authorized States that have adopted the final rule. Should an eligible academic entity decide not to opt into Subpart K, it will continue to operate under existing </w:t>
      </w:r>
      <w:r w:rsidRPr="00AC1525">
        <w:rPr>
          <w:color w:val="000000"/>
          <w:sz w:val="22"/>
          <w:szCs w:val="22"/>
        </w:rPr>
        <w:t>regulations</w:t>
      </w:r>
      <w:r w:rsidRPr="00AC1525">
        <w:rPr>
          <w:color w:val="000000"/>
          <w:sz w:val="22"/>
          <w:szCs w:val="22"/>
        </w:rPr>
        <w:t xml:space="preserve"> and it does not need to notify.</w:t>
      </w:r>
    </w:p>
    <w:p w:rsidR="00146A6C" w:rsidRPr="00AC1525" w14:paraId="66910A14" w14:textId="77777777">
      <w:pPr>
        <w:rPr>
          <w:color w:val="000000"/>
          <w:sz w:val="22"/>
          <w:szCs w:val="22"/>
        </w:rPr>
      </w:pPr>
    </w:p>
    <w:p w:rsidR="00146A6C" w:rsidRPr="00AC1525" w14:paraId="6175D0FD" w14:textId="392584C3">
      <w:pPr>
        <w:rPr>
          <w:color w:val="000000"/>
          <w:sz w:val="22"/>
          <w:szCs w:val="22"/>
        </w:rPr>
      </w:pPr>
      <w:r w:rsidRPr="00AC1525">
        <w:rPr>
          <w:color w:val="000000"/>
          <w:sz w:val="22"/>
          <w:szCs w:val="22"/>
        </w:rPr>
        <w:tab/>
      </w:r>
    </w:p>
    <w:p w:rsidR="00146A6C" w:rsidRPr="00AC1525" w14:paraId="7FDF69C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r w:rsidRPr="00AC1525">
        <w:rPr>
          <w:rFonts w:ascii="Times New Roman" w:hAnsi="Times New Roman" w:cs="Times New Roman"/>
          <w:b/>
          <w:bCs/>
          <w:color w:val="000000"/>
          <w:sz w:val="22"/>
          <w:szCs w:val="22"/>
        </w:rPr>
        <w:t>(2)</w:t>
      </w:r>
      <w:r w:rsidRPr="00AC1525">
        <w:rPr>
          <w:rFonts w:ascii="Times New Roman" w:hAnsi="Times New Roman" w:cs="Times New Roman"/>
          <w:b/>
          <w:bCs/>
          <w:color w:val="000000"/>
          <w:sz w:val="22"/>
          <w:szCs w:val="22"/>
        </w:rPr>
        <w:tab/>
        <w:t>Notification of Withdrawal from Subpart K</w:t>
      </w:r>
    </w:p>
    <w:p w:rsidR="00146A6C" w:rsidRPr="00AC1525" w14:paraId="38E9D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7E1FAA7A" w14:textId="77777777">
      <w:pPr>
        <w:rPr>
          <w:color w:val="000000"/>
          <w:sz w:val="22"/>
          <w:szCs w:val="22"/>
        </w:rPr>
      </w:pPr>
      <w:r w:rsidRPr="00AC1525">
        <w:rPr>
          <w:color w:val="000000"/>
          <w:sz w:val="22"/>
          <w:szCs w:val="22"/>
        </w:rPr>
        <w:tab/>
        <w:t xml:space="preserve">It is possible that after an eligible academic entity has chosen to manage its unwanted materials under the Subpart K regulations and has gained some experience with the program, it may decide that this approach is not meeting its needs, and that it would prefer to return to regulation under the standard 40 </w:t>
      </w:r>
      <w:r w:rsidRPr="00AC1525">
        <w:rPr>
          <w:i/>
          <w:color w:val="000000"/>
          <w:sz w:val="22"/>
          <w:szCs w:val="22"/>
        </w:rPr>
        <w:t>CFR</w:t>
      </w:r>
      <w:r w:rsidRPr="00AC1525">
        <w:rPr>
          <w:color w:val="000000"/>
          <w:sz w:val="22"/>
          <w:szCs w:val="22"/>
        </w:rPr>
        <w:t xml:space="preserve"> Part 262 applicable generator regulations.  Under the final rule, an eligible academic entity that chooses to end its participation in the Subpart K program will be required to submit another Site Identification Form to the EPA Regional Administrator or State Director in authorized States checking the box for withdrawing from 40 </w:t>
      </w:r>
      <w:r w:rsidRPr="00AC1525">
        <w:rPr>
          <w:i/>
          <w:color w:val="000000"/>
          <w:sz w:val="22"/>
          <w:szCs w:val="22"/>
        </w:rPr>
        <w:t>CFR</w:t>
      </w:r>
      <w:r w:rsidRPr="00AC1525">
        <w:rPr>
          <w:color w:val="000000"/>
          <w:sz w:val="22"/>
          <w:szCs w:val="22"/>
        </w:rPr>
        <w:t xml:space="preserve"> Part 262, Subpart K.  Then, the eligible academic entity’s laboratories will no longer be subject to Subpart K and would be subject to the existing applicable generator regulations.</w:t>
      </w:r>
    </w:p>
    <w:p w:rsidR="00146A6C" w:rsidRPr="00AC1525" w14:paraId="1FDBF9F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5511451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2"/>
          <w:szCs w:val="22"/>
        </w:rPr>
      </w:pPr>
      <w:r w:rsidRPr="00AC1525">
        <w:rPr>
          <w:rFonts w:ascii="Times New Roman" w:hAnsi="Times New Roman" w:cs="Times New Roman"/>
          <w:b/>
          <w:bCs/>
          <w:color w:val="000000"/>
          <w:sz w:val="22"/>
          <w:szCs w:val="22"/>
        </w:rPr>
        <w:t>(3)</w:t>
      </w:r>
      <w:r w:rsidRPr="00AC1525">
        <w:rPr>
          <w:rFonts w:ascii="Times New Roman" w:hAnsi="Times New Roman" w:cs="Times New Roman"/>
          <w:b/>
          <w:bCs/>
          <w:color w:val="000000"/>
          <w:sz w:val="22"/>
          <w:szCs w:val="22"/>
        </w:rPr>
        <w:tab/>
        <w:t>Labeling of Containers of Unwanted Material in the Laboratory</w:t>
      </w:r>
    </w:p>
    <w:p w:rsidR="00146A6C" w:rsidRPr="00AC1525" w14:paraId="129413F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55CFB730" w14:textId="6696EF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Eligible academic entities must label containers of unwanted materials managed in a laboratory, as specified</w:t>
      </w:r>
      <w:r w:rsidRPr="00AC1525" w:rsidR="0022035E">
        <w:rPr>
          <w:rFonts w:ascii="Times New Roman" w:hAnsi="Times New Roman" w:cs="Times New Roman"/>
          <w:color w:val="000000"/>
          <w:sz w:val="22"/>
          <w:szCs w:val="22"/>
        </w:rPr>
        <w:t xml:space="preserve"> in §262.206</w:t>
      </w:r>
      <w:r w:rsidRPr="00AC1525">
        <w:rPr>
          <w:rFonts w:ascii="Times New Roman" w:hAnsi="Times New Roman" w:cs="Times New Roman"/>
          <w:color w:val="000000"/>
          <w:sz w:val="22"/>
          <w:szCs w:val="22"/>
        </w:rPr>
        <w:t>.  These labeling requirements are necessary to demonstrate compliance with the rule and alert anyone handling the containers of unwanted materials of what is enclosed in the container so that proper handling may occur.  The labeling requirements also would assist trained professionals in properly identifying whether an unwanted material is a hazardous waste and to assign the appropriate hazardous waste code(s).</w:t>
      </w:r>
    </w:p>
    <w:p w:rsidR="00EE6697" w:rsidRPr="00AC1525" w14:paraId="785E4CC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p>
    <w:p w:rsidR="00492E28" w:rsidRPr="00AC1525" w:rsidP="00492E28" w14:paraId="76C78D0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Labeling of containers of unwanted materials in the laboratory are as follows:</w:t>
      </w:r>
    </w:p>
    <w:p w:rsidR="00492E28" w:rsidRPr="00AC1525" w:rsidP="00492E28" w14:paraId="607A7E1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p>
    <w:p w:rsidR="00492E28" w:rsidRPr="00AC1525" w:rsidP="00492E28" w14:paraId="564420E1"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The words ‘‘unwanted material’’ or another equally effective term that is to be used consistently by the eligible academic entity.</w:t>
      </w:r>
    </w:p>
    <w:p w:rsidR="00492E28" w:rsidRPr="00AC1525" w:rsidP="00492E28" w14:paraId="0EAE407E"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Sufficient information to alert emergency responders to the contents of the container (</w:t>
      </w:r>
      <w:r w:rsidRPr="00AC1525">
        <w:rPr>
          <w:rFonts w:ascii="Times New Roman" w:hAnsi="Times New Roman" w:cs="Times New Roman"/>
          <w:sz w:val="22"/>
          <w:szCs w:val="22"/>
        </w:rPr>
        <w:t>e.g.</w:t>
      </w:r>
      <w:r w:rsidRPr="00AC1525">
        <w:rPr>
          <w:rFonts w:ascii="Times New Roman" w:hAnsi="Times New Roman" w:cs="Times New Roman"/>
          <w:sz w:val="22"/>
          <w:szCs w:val="22"/>
        </w:rPr>
        <w:t xml:space="preserve"> name of the chemicals or class/type of the chemical).</w:t>
      </w:r>
    </w:p>
    <w:p w:rsidR="00492E28" w:rsidRPr="00AC1525" w:rsidP="00492E28" w14:paraId="4DECD2B3"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The date that the unwanted material first began accumulating in the container.</w:t>
      </w:r>
    </w:p>
    <w:p w:rsidR="00492E28" w:rsidRPr="00AC1525" w:rsidP="00492E28" w14:paraId="115C0E52"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Information sufficient to allow a trained professional to properly identify whether an unwanted material is a solid and hazardous waste and to assign the proper hazardous waste code(s), pursuant to § 262.11.</w:t>
      </w:r>
    </w:p>
    <w:p w:rsidR="00146A6C" w:rsidRPr="00AC1525" w14:paraId="1CB383F5" w14:textId="77777777">
      <w:pPr>
        <w:rPr>
          <w:b/>
          <w:bCs/>
          <w:color w:val="000000"/>
          <w:sz w:val="22"/>
          <w:szCs w:val="22"/>
        </w:rPr>
      </w:pPr>
    </w:p>
    <w:p w:rsidR="00146A6C" w:rsidRPr="00AC1525" w14:paraId="2DDA077A" w14:textId="77777777">
      <w:pPr>
        <w:rPr>
          <w:color w:val="000000"/>
          <w:sz w:val="22"/>
          <w:szCs w:val="22"/>
        </w:rPr>
      </w:pPr>
      <w:r w:rsidRPr="00AC1525">
        <w:rPr>
          <w:b/>
          <w:bCs/>
          <w:color w:val="000000"/>
          <w:sz w:val="22"/>
          <w:szCs w:val="22"/>
        </w:rPr>
        <w:t>(4)</w:t>
      </w:r>
      <w:r w:rsidRPr="00AC1525">
        <w:rPr>
          <w:b/>
          <w:bCs/>
          <w:color w:val="000000"/>
          <w:sz w:val="22"/>
          <w:szCs w:val="22"/>
        </w:rPr>
        <w:tab/>
        <w:t>Training</w:t>
      </w:r>
    </w:p>
    <w:p w:rsidR="00146A6C" w:rsidRPr="00AC1525" w14:paraId="205D9303" w14:textId="77777777">
      <w:pPr>
        <w:rPr>
          <w:color w:val="000000"/>
          <w:sz w:val="22"/>
          <w:szCs w:val="22"/>
        </w:rPr>
      </w:pPr>
    </w:p>
    <w:p w:rsidR="00146A6C" w:rsidRPr="00AC1525" w14:paraId="40DD9CB4" w14:textId="77777777">
      <w:pPr>
        <w:ind w:firstLine="720"/>
        <w:rPr>
          <w:color w:val="000000"/>
          <w:sz w:val="22"/>
          <w:szCs w:val="22"/>
        </w:rPr>
      </w:pPr>
      <w:r w:rsidRPr="00AC1525">
        <w:rPr>
          <w:color w:val="000000"/>
          <w:sz w:val="22"/>
          <w:szCs w:val="22"/>
        </w:rPr>
        <w:t>Eligible academic entities must train all individuals working in a laboratory commensurate with their duties.  This training is necessary to ensure that individuals perform their duties in a way that ensures compliance with the Subpart K requirements.  It also will enable individuals to manage unwanted materials safely and in an environmentally sound manner, while in the laboratory.</w:t>
      </w:r>
    </w:p>
    <w:p w:rsidR="00146A6C" w:rsidRPr="00AC1525" w14:paraId="10D16B3A" w14:textId="77777777">
      <w:pPr>
        <w:rPr>
          <w:color w:val="000000"/>
          <w:sz w:val="22"/>
          <w:szCs w:val="22"/>
        </w:rPr>
      </w:pPr>
    </w:p>
    <w:p w:rsidR="00146A6C" w:rsidRPr="00AC1525" w14:paraId="4D0B4EA3" w14:textId="77777777">
      <w:pPr>
        <w:rPr>
          <w:color w:val="000000"/>
          <w:sz w:val="22"/>
          <w:szCs w:val="22"/>
        </w:rPr>
      </w:pPr>
      <w:r w:rsidRPr="00AC1525">
        <w:rPr>
          <w:color w:val="000000"/>
          <w:sz w:val="22"/>
          <w:szCs w:val="22"/>
        </w:rPr>
        <w:tab/>
        <w:t>In addition, eligible academic entities that are large quantity generators (LQGs) must maintain training records for laboratory workers.  These records are necessary to ensure compliance with the Subpart K training requirements.</w:t>
      </w:r>
    </w:p>
    <w:p w:rsidR="00146A6C" w:rsidRPr="00AC1525" w14:paraId="45D49064" w14:textId="77777777">
      <w:pPr>
        <w:rPr>
          <w:color w:val="000000"/>
          <w:sz w:val="22"/>
          <w:szCs w:val="22"/>
        </w:rPr>
      </w:pPr>
    </w:p>
    <w:p w:rsidR="00146A6C" w:rsidRPr="00AC1525" w14:paraId="06B4299E" w14:textId="77777777">
      <w:pPr>
        <w:keepNext/>
        <w:rPr>
          <w:b/>
          <w:bCs/>
          <w:color w:val="000000"/>
          <w:sz w:val="22"/>
          <w:szCs w:val="22"/>
        </w:rPr>
      </w:pPr>
      <w:r w:rsidRPr="00AC1525">
        <w:rPr>
          <w:b/>
          <w:bCs/>
          <w:color w:val="000000"/>
          <w:sz w:val="22"/>
          <w:szCs w:val="22"/>
        </w:rPr>
        <w:t xml:space="preserve"> (5)</w:t>
      </w:r>
      <w:r w:rsidRPr="00AC1525">
        <w:rPr>
          <w:b/>
          <w:bCs/>
          <w:color w:val="000000"/>
          <w:sz w:val="22"/>
          <w:szCs w:val="22"/>
        </w:rPr>
        <w:tab/>
        <w:t>Removing Containers of Unwanted Material from the Laboratory</w:t>
      </w:r>
    </w:p>
    <w:p w:rsidR="00146A6C" w:rsidRPr="00AC1525" w14:paraId="48AD4B58" w14:textId="77777777">
      <w:pPr>
        <w:keepNext/>
        <w:rPr>
          <w:color w:val="000000"/>
          <w:sz w:val="22"/>
          <w:szCs w:val="22"/>
        </w:rPr>
      </w:pPr>
    </w:p>
    <w:p w:rsidR="00146A6C" w:rsidRPr="00AC1525" w14:paraId="3B304A9B" w14:textId="6CF92246">
      <w:pPr>
        <w:keepNext/>
        <w:ind w:firstLine="720"/>
        <w:rPr>
          <w:color w:val="000000"/>
          <w:sz w:val="22"/>
          <w:szCs w:val="22"/>
        </w:rPr>
      </w:pPr>
      <w:r w:rsidRPr="00AC1525">
        <w:rPr>
          <w:color w:val="000000"/>
          <w:sz w:val="22"/>
          <w:szCs w:val="22"/>
        </w:rPr>
        <w:t xml:space="preserve">Eligible academic entities must label containers with the date the 55 gallons of unwanted material, or the 1 quart of </w:t>
      </w:r>
      <w:r w:rsidRPr="00AC1525" w:rsidR="00E07FC9">
        <w:rPr>
          <w:color w:val="000000"/>
          <w:sz w:val="22"/>
          <w:szCs w:val="22"/>
        </w:rPr>
        <w:t xml:space="preserve">liquid reactive </w:t>
      </w:r>
      <w:r w:rsidRPr="00AC1525">
        <w:rPr>
          <w:color w:val="000000"/>
          <w:sz w:val="22"/>
          <w:szCs w:val="22"/>
        </w:rPr>
        <w:t>acutely unwanted material</w:t>
      </w:r>
      <w:r w:rsidRPr="00AC1525" w:rsidR="00E07FC9">
        <w:rPr>
          <w:color w:val="000000"/>
          <w:sz w:val="22"/>
          <w:szCs w:val="22"/>
        </w:rPr>
        <w:t xml:space="preserve"> (or 1 kg of solid reactive acutely unwanted materials</w:t>
      </w:r>
      <w:r w:rsidRPr="00AC1525" w:rsidR="00C154F4">
        <w:rPr>
          <w:color w:val="000000"/>
          <w:sz w:val="22"/>
          <w:szCs w:val="22"/>
        </w:rPr>
        <w:t>)</w:t>
      </w:r>
      <w:r w:rsidRPr="00AC1525">
        <w:rPr>
          <w:color w:val="000000"/>
          <w:sz w:val="22"/>
          <w:szCs w:val="22"/>
        </w:rPr>
        <w:t>, is exceeded.  This information is needed for enforcement and monitoring purposes.</w:t>
      </w:r>
    </w:p>
    <w:p w:rsidR="00146A6C" w:rsidRPr="00AC1525" w14:paraId="46AAFBC4" w14:textId="77777777">
      <w:pPr>
        <w:rPr>
          <w:color w:val="000000"/>
          <w:sz w:val="22"/>
          <w:szCs w:val="22"/>
        </w:rPr>
      </w:pPr>
    </w:p>
    <w:p w:rsidR="00146A6C" w:rsidRPr="00AC1525" w14:paraId="288977C7" w14:textId="77777777">
      <w:pPr>
        <w:keepNext/>
        <w:ind w:left="720" w:hanging="720"/>
        <w:rPr>
          <w:b/>
          <w:bCs/>
          <w:color w:val="000000"/>
          <w:sz w:val="22"/>
          <w:szCs w:val="22"/>
        </w:rPr>
      </w:pPr>
      <w:r w:rsidRPr="00AC1525">
        <w:rPr>
          <w:b/>
          <w:bCs/>
          <w:color w:val="000000"/>
          <w:sz w:val="22"/>
          <w:szCs w:val="22"/>
        </w:rPr>
        <w:t>(6)</w:t>
      </w:r>
      <w:r w:rsidRPr="00AC1525">
        <w:rPr>
          <w:b/>
          <w:bCs/>
          <w:color w:val="000000"/>
          <w:sz w:val="22"/>
          <w:szCs w:val="22"/>
        </w:rPr>
        <w:tab/>
        <w:t>Where and When to Make the Hazardous Waste Determination and Where to Send Containers of Unwanted Material</w:t>
      </w:r>
    </w:p>
    <w:p w:rsidR="00146A6C" w:rsidRPr="00AC1525" w14:paraId="3CC4E483" w14:textId="77777777">
      <w:pPr>
        <w:keepNext/>
        <w:ind w:firstLine="720"/>
        <w:rPr>
          <w:color w:val="000000"/>
          <w:sz w:val="22"/>
          <w:szCs w:val="22"/>
        </w:rPr>
      </w:pPr>
    </w:p>
    <w:p w:rsidR="00146A6C" w:rsidRPr="00AC1525" w14:paraId="687F398C" w14:textId="77777777">
      <w:pPr>
        <w:keepNext/>
        <w:ind w:firstLine="720"/>
        <w:rPr>
          <w:color w:val="000000"/>
          <w:sz w:val="22"/>
          <w:szCs w:val="22"/>
        </w:rPr>
      </w:pPr>
      <w:r w:rsidRPr="00AC1525">
        <w:rPr>
          <w:color w:val="000000"/>
          <w:sz w:val="22"/>
          <w:szCs w:val="22"/>
        </w:rPr>
        <w:t xml:space="preserve">The rule specifies three on-site locations at which a hazardous waste determination can be made: </w:t>
      </w:r>
    </w:p>
    <w:p w:rsidR="00146A6C" w:rsidRPr="00AC1525" w14:paraId="73CFA665" w14:textId="77777777">
      <w:pPr>
        <w:rPr>
          <w:color w:val="000000"/>
          <w:sz w:val="22"/>
          <w:szCs w:val="22"/>
        </w:rPr>
      </w:pPr>
    </w:p>
    <w:p w:rsidR="00146A6C" w:rsidRPr="00AC1525" w14:paraId="002F582C" w14:textId="77777777">
      <w:pPr>
        <w:numPr>
          <w:ilvl w:val="0"/>
          <w:numId w:val="3"/>
        </w:numPr>
        <w:tabs>
          <w:tab w:val="clear" w:pos="2160"/>
        </w:tabs>
        <w:ind w:left="1440"/>
        <w:rPr>
          <w:color w:val="000000"/>
          <w:sz w:val="22"/>
          <w:szCs w:val="22"/>
        </w:rPr>
      </w:pPr>
      <w:r w:rsidRPr="00AC1525">
        <w:rPr>
          <w:color w:val="000000"/>
          <w:sz w:val="22"/>
          <w:szCs w:val="22"/>
        </w:rPr>
        <w:t xml:space="preserve">In the laboratory before the unwanted material is removed from the laboratory, in accordance with section 262.210. </w:t>
      </w:r>
    </w:p>
    <w:p w:rsidR="00146A6C" w:rsidRPr="00AC1525" w14:paraId="33563D9E" w14:textId="77777777">
      <w:pPr>
        <w:ind w:left="1440" w:hanging="720"/>
        <w:rPr>
          <w:color w:val="000000"/>
          <w:sz w:val="22"/>
          <w:szCs w:val="22"/>
        </w:rPr>
      </w:pPr>
    </w:p>
    <w:p w:rsidR="00146A6C" w:rsidRPr="00AC1525" w14:paraId="0E86A1A2" w14:textId="77777777">
      <w:pPr>
        <w:numPr>
          <w:ilvl w:val="0"/>
          <w:numId w:val="3"/>
        </w:numPr>
        <w:tabs>
          <w:tab w:val="clear" w:pos="2160"/>
        </w:tabs>
        <w:ind w:left="1440"/>
        <w:rPr>
          <w:color w:val="000000"/>
          <w:sz w:val="22"/>
          <w:szCs w:val="22"/>
        </w:rPr>
      </w:pPr>
      <w:r w:rsidRPr="00AC1525">
        <w:rPr>
          <w:color w:val="000000"/>
          <w:sz w:val="22"/>
          <w:szCs w:val="22"/>
        </w:rPr>
        <w:t xml:space="preserve">Within 4 calendar days of arriving at an on-site central accumulation area, in accordance with section 262.211. </w:t>
      </w:r>
    </w:p>
    <w:p w:rsidR="00146A6C" w:rsidRPr="00AC1525" w14:paraId="5DF36D6F" w14:textId="77777777">
      <w:pPr>
        <w:ind w:left="1440" w:hanging="720"/>
        <w:rPr>
          <w:color w:val="000000"/>
          <w:sz w:val="22"/>
          <w:szCs w:val="22"/>
        </w:rPr>
      </w:pPr>
    </w:p>
    <w:p w:rsidR="00146A6C" w:rsidRPr="00AC1525" w14:paraId="5EBA3442" w14:textId="77777777">
      <w:pPr>
        <w:numPr>
          <w:ilvl w:val="0"/>
          <w:numId w:val="3"/>
        </w:numPr>
        <w:tabs>
          <w:tab w:val="clear" w:pos="2160"/>
        </w:tabs>
        <w:ind w:left="1440"/>
        <w:rPr>
          <w:color w:val="000000"/>
          <w:sz w:val="22"/>
          <w:szCs w:val="22"/>
        </w:rPr>
      </w:pPr>
      <w:r w:rsidRPr="00AC1525">
        <w:rPr>
          <w:color w:val="000000"/>
          <w:sz w:val="22"/>
          <w:szCs w:val="22"/>
        </w:rPr>
        <w:t xml:space="preserve">Within 4 calendar days of arriving at an on-site interim status or permitted treatment, </w:t>
      </w:r>
      <w:r w:rsidRPr="00AC1525">
        <w:rPr>
          <w:color w:val="000000"/>
          <w:sz w:val="22"/>
          <w:szCs w:val="22"/>
        </w:rPr>
        <w:t>storage</w:t>
      </w:r>
      <w:r w:rsidRPr="00AC1525">
        <w:rPr>
          <w:color w:val="000000"/>
          <w:sz w:val="22"/>
          <w:szCs w:val="22"/>
        </w:rPr>
        <w:t xml:space="preserve"> or disposal facility, in accordance with section 262.212.</w:t>
      </w:r>
    </w:p>
    <w:p w:rsidR="00146A6C" w:rsidRPr="00AC1525" w14:paraId="2873A843" w14:textId="77777777">
      <w:pPr>
        <w:rPr>
          <w:color w:val="000000"/>
          <w:sz w:val="22"/>
          <w:szCs w:val="22"/>
        </w:rPr>
      </w:pPr>
    </w:p>
    <w:p w:rsidR="00146A6C" w:rsidRPr="00AC1525" w14:paraId="780AD579" w14:textId="77777777">
      <w:pPr>
        <w:rPr>
          <w:color w:val="000000"/>
          <w:sz w:val="22"/>
          <w:szCs w:val="22"/>
        </w:rPr>
      </w:pPr>
      <w:r w:rsidRPr="00AC1525">
        <w:rPr>
          <w:color w:val="000000"/>
          <w:sz w:val="22"/>
          <w:szCs w:val="22"/>
        </w:rPr>
        <w:t xml:space="preserve"> </w:t>
      </w:r>
      <w:r w:rsidRPr="00AC1525">
        <w:rPr>
          <w:color w:val="000000"/>
          <w:sz w:val="22"/>
          <w:szCs w:val="22"/>
        </w:rPr>
        <w:tab/>
        <w:t xml:space="preserve">This provision is needed to clarify where and when the hazardous waste determination must be made.  Without time limits, EPA would not be able to ensure that eligible academic entities were making their determinations in a timely manner and managing their hazardous waste in accordance with the hazardous waste regulations. </w:t>
      </w:r>
    </w:p>
    <w:p w:rsidR="00146A6C" w:rsidRPr="00AC1525" w14:paraId="52AC7991" w14:textId="77777777">
      <w:pPr>
        <w:rPr>
          <w:color w:val="000000"/>
          <w:sz w:val="22"/>
          <w:szCs w:val="22"/>
        </w:rPr>
      </w:pPr>
    </w:p>
    <w:p w:rsidR="00146A6C" w:rsidRPr="00AC1525" w14:paraId="3DC09E32" w14:textId="77777777">
      <w:pPr>
        <w:rPr>
          <w:b/>
          <w:bCs/>
          <w:color w:val="000000"/>
          <w:sz w:val="22"/>
          <w:szCs w:val="22"/>
        </w:rPr>
      </w:pPr>
      <w:r w:rsidRPr="00AC1525">
        <w:rPr>
          <w:b/>
          <w:bCs/>
          <w:color w:val="000000"/>
          <w:sz w:val="22"/>
          <w:szCs w:val="22"/>
        </w:rPr>
        <w:t>(7)</w:t>
      </w:r>
      <w:r w:rsidRPr="00AC1525">
        <w:rPr>
          <w:b/>
          <w:bCs/>
          <w:color w:val="000000"/>
          <w:sz w:val="22"/>
          <w:szCs w:val="22"/>
        </w:rPr>
        <w:tab/>
        <w:t>Making the Hazardous Waste Determination in the Laboratory</w:t>
      </w:r>
    </w:p>
    <w:p w:rsidR="00146A6C" w:rsidRPr="00AC1525" w14:paraId="2181BAEF" w14:textId="77777777">
      <w:pPr>
        <w:rPr>
          <w:color w:val="000000"/>
          <w:sz w:val="22"/>
          <w:szCs w:val="22"/>
        </w:rPr>
      </w:pPr>
    </w:p>
    <w:p w:rsidR="00146A6C" w:rsidRPr="00AC1525" w14:paraId="08ED2357" w14:textId="77777777">
      <w:pPr>
        <w:ind w:firstLine="720"/>
        <w:rPr>
          <w:color w:val="000000"/>
          <w:sz w:val="22"/>
          <w:szCs w:val="22"/>
        </w:rPr>
      </w:pPr>
      <w:r w:rsidRPr="00AC1525">
        <w:rPr>
          <w:color w:val="000000"/>
          <w:sz w:val="22"/>
          <w:szCs w:val="22"/>
        </w:rPr>
        <w:t xml:space="preserve">As provided at section 262.210, if an unwanted material meets the definition of hazardous waste per 40 </w:t>
      </w:r>
      <w:r w:rsidRPr="00AC1525">
        <w:rPr>
          <w:i/>
          <w:iCs/>
          <w:color w:val="000000"/>
          <w:sz w:val="22"/>
          <w:szCs w:val="22"/>
        </w:rPr>
        <w:t>CFR</w:t>
      </w:r>
      <w:r w:rsidRPr="00AC1525">
        <w:rPr>
          <w:color w:val="000000"/>
          <w:sz w:val="22"/>
          <w:szCs w:val="22"/>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rsidR="00146A6C" w:rsidRPr="00AC1525" w14:paraId="0C718325" w14:textId="77777777">
      <w:pPr>
        <w:rPr>
          <w:color w:val="000000"/>
          <w:sz w:val="22"/>
          <w:szCs w:val="22"/>
        </w:rPr>
      </w:pPr>
    </w:p>
    <w:p w:rsidR="00146A6C" w:rsidRPr="00AC1525" w14:paraId="79C0E14E" w14:textId="77777777">
      <w:pPr>
        <w:ind w:left="720" w:hanging="720"/>
        <w:rPr>
          <w:b/>
          <w:bCs/>
          <w:color w:val="000000"/>
          <w:sz w:val="22"/>
          <w:szCs w:val="22"/>
        </w:rPr>
      </w:pPr>
      <w:r w:rsidRPr="00AC1525">
        <w:rPr>
          <w:b/>
          <w:bCs/>
          <w:color w:val="000000"/>
          <w:sz w:val="22"/>
          <w:szCs w:val="22"/>
        </w:rPr>
        <w:t>(8)</w:t>
      </w:r>
      <w:r w:rsidRPr="00AC1525">
        <w:rPr>
          <w:b/>
          <w:bCs/>
          <w:color w:val="000000"/>
          <w:sz w:val="22"/>
          <w:szCs w:val="22"/>
        </w:rPr>
        <w:tab/>
        <w:t>Making the Hazardous Waste Determination in an On-site Central Accumulation Area</w:t>
      </w:r>
    </w:p>
    <w:p w:rsidR="00146A6C" w:rsidRPr="00AC1525" w14:paraId="77905662" w14:textId="77777777">
      <w:pPr>
        <w:ind w:left="2160" w:hanging="720"/>
        <w:rPr>
          <w:color w:val="000000"/>
          <w:sz w:val="22"/>
          <w:szCs w:val="22"/>
        </w:rPr>
      </w:pPr>
    </w:p>
    <w:p w:rsidR="00146A6C" w:rsidRPr="00AC1525" w14:paraId="774EE0EA" w14:textId="77777777">
      <w:pPr>
        <w:ind w:firstLine="720"/>
        <w:rPr>
          <w:color w:val="000000"/>
          <w:sz w:val="22"/>
          <w:szCs w:val="22"/>
        </w:rPr>
      </w:pPr>
      <w:r w:rsidRPr="00AC1525">
        <w:rPr>
          <w:color w:val="000000"/>
          <w:sz w:val="22"/>
          <w:szCs w:val="22"/>
        </w:rPr>
        <w:t xml:space="preserve">As provided at section 262.211, if an unwanted material meets the definition of hazardous waste per 40 </w:t>
      </w:r>
      <w:r w:rsidRPr="00AC1525">
        <w:rPr>
          <w:i/>
          <w:iCs/>
          <w:color w:val="000000"/>
          <w:sz w:val="22"/>
          <w:szCs w:val="22"/>
        </w:rPr>
        <w:t>CFR</w:t>
      </w:r>
      <w:r w:rsidRPr="00AC1525">
        <w:rPr>
          <w:color w:val="000000"/>
          <w:sz w:val="22"/>
          <w:szCs w:val="22"/>
        </w:rPr>
        <w:t xml:space="preserve"> 261.3, the appropriate hazardous waste code(s) must be placed on the container label that is associated with the container.  This information is needed to alert anyone handling the container that hazardous waste is enclosed in the container so that proper handling may occur.</w:t>
      </w:r>
    </w:p>
    <w:p w:rsidR="00146A6C" w:rsidRPr="00AC1525" w14:paraId="28175FD4" w14:textId="77777777">
      <w:pPr>
        <w:rPr>
          <w:color w:val="000000"/>
          <w:sz w:val="22"/>
          <w:szCs w:val="22"/>
        </w:rPr>
      </w:pPr>
    </w:p>
    <w:p w:rsidR="00146A6C" w:rsidRPr="00AC1525" w14:paraId="23C4145F" w14:textId="77777777">
      <w:pPr>
        <w:keepNext/>
        <w:ind w:left="720" w:hanging="720"/>
        <w:rPr>
          <w:b/>
          <w:bCs/>
          <w:color w:val="000000"/>
          <w:sz w:val="22"/>
          <w:szCs w:val="22"/>
        </w:rPr>
      </w:pPr>
      <w:r w:rsidRPr="00AC1525">
        <w:rPr>
          <w:b/>
          <w:bCs/>
          <w:color w:val="000000"/>
          <w:sz w:val="22"/>
          <w:szCs w:val="22"/>
        </w:rPr>
        <w:t>(9)</w:t>
      </w:r>
      <w:r w:rsidRPr="00AC1525">
        <w:rPr>
          <w:b/>
          <w:bCs/>
          <w:color w:val="000000"/>
          <w:sz w:val="22"/>
          <w:szCs w:val="22"/>
        </w:rPr>
        <w:tab/>
        <w:t>Making the Hazardous Waste Determination at an On-site Interim Status or Permitted Treatment, Storage, or Disposal Facility</w:t>
      </w:r>
    </w:p>
    <w:p w:rsidR="00146A6C" w:rsidRPr="00AC1525" w14:paraId="344E3783" w14:textId="77777777">
      <w:pPr>
        <w:keepNext/>
        <w:ind w:firstLine="720"/>
        <w:rPr>
          <w:color w:val="000000"/>
          <w:sz w:val="22"/>
          <w:szCs w:val="22"/>
        </w:rPr>
      </w:pPr>
    </w:p>
    <w:p w:rsidR="00146A6C" w:rsidRPr="00AC1525" w14:paraId="37B45C81" w14:textId="77777777">
      <w:pPr>
        <w:keepNext/>
        <w:ind w:firstLine="720"/>
        <w:rPr>
          <w:color w:val="000000"/>
          <w:sz w:val="22"/>
          <w:szCs w:val="22"/>
        </w:rPr>
      </w:pPr>
      <w:r w:rsidRPr="00AC1525">
        <w:rPr>
          <w:color w:val="000000"/>
          <w:sz w:val="22"/>
          <w:szCs w:val="22"/>
        </w:rPr>
        <w:t xml:space="preserve">As provided at section 262.212, if an unwanted material meets the definition of hazardous waste per 40 </w:t>
      </w:r>
      <w:r w:rsidRPr="00AC1525">
        <w:rPr>
          <w:i/>
          <w:iCs/>
          <w:color w:val="000000"/>
          <w:sz w:val="22"/>
          <w:szCs w:val="22"/>
        </w:rPr>
        <w:t>CFR</w:t>
      </w:r>
      <w:r w:rsidRPr="00AC1525">
        <w:rPr>
          <w:color w:val="000000"/>
          <w:sz w:val="22"/>
          <w:szCs w:val="22"/>
        </w:rPr>
        <w:t xml:space="preserve"> 261.3, the appropriate hazardous waste code(s) must be placed on the container label that is associated with the container.  This information</w:t>
      </w:r>
      <w:r w:rsidRPr="00AC1525">
        <w:rPr>
          <w:sz w:val="22"/>
          <w:szCs w:val="22"/>
        </w:rPr>
        <w:t xml:space="preserve"> is </w:t>
      </w:r>
      <w:r w:rsidRPr="00AC1525">
        <w:rPr>
          <w:color w:val="000000"/>
          <w:sz w:val="22"/>
          <w:szCs w:val="22"/>
        </w:rPr>
        <w:t>needed to alert anyone handling the container that hazardous waste is enclosed in the container so that proper handling may occur.</w:t>
      </w:r>
    </w:p>
    <w:p w:rsidR="00146A6C" w:rsidRPr="00AC1525" w14:paraId="1D4D9862" w14:textId="77777777">
      <w:pPr>
        <w:rPr>
          <w:color w:val="000000"/>
          <w:sz w:val="22"/>
          <w:szCs w:val="22"/>
        </w:rPr>
      </w:pPr>
    </w:p>
    <w:p w:rsidR="00146A6C" w:rsidRPr="00AC1525" w14:paraId="44DBA112" w14:textId="77777777">
      <w:pPr>
        <w:keepNext/>
        <w:rPr>
          <w:color w:val="000000"/>
          <w:sz w:val="22"/>
          <w:szCs w:val="22"/>
        </w:rPr>
      </w:pPr>
      <w:r w:rsidRPr="00AC1525">
        <w:rPr>
          <w:b/>
          <w:bCs/>
          <w:color w:val="000000"/>
          <w:sz w:val="22"/>
          <w:szCs w:val="22"/>
        </w:rPr>
        <w:t>(10)</w:t>
      </w:r>
      <w:r w:rsidRPr="00AC1525">
        <w:rPr>
          <w:b/>
          <w:bCs/>
          <w:color w:val="000000"/>
          <w:sz w:val="22"/>
          <w:szCs w:val="22"/>
        </w:rPr>
        <w:tab/>
        <w:t>Laboratory Clean-outs</w:t>
      </w:r>
    </w:p>
    <w:p w:rsidR="00146A6C" w:rsidRPr="00AC1525" w14:paraId="38BF1598" w14:textId="77777777">
      <w:pPr>
        <w:keepNext/>
        <w:rPr>
          <w:color w:val="000000"/>
          <w:sz w:val="22"/>
          <w:szCs w:val="22"/>
        </w:rPr>
      </w:pPr>
    </w:p>
    <w:p w:rsidR="00146A6C" w:rsidRPr="00AC1525" w14:paraId="15AC2AD5" w14:textId="77777777">
      <w:pPr>
        <w:keepNext/>
        <w:ind w:firstLine="720"/>
        <w:rPr>
          <w:color w:val="000000"/>
          <w:sz w:val="22"/>
          <w:szCs w:val="22"/>
        </w:rPr>
      </w:pPr>
      <w:r w:rsidRPr="00AC1525">
        <w:rPr>
          <w:color w:val="000000"/>
          <w:sz w:val="22"/>
          <w:szCs w:val="22"/>
        </w:rPr>
        <w:t>Eligible academic entities must develop and maintain documentation on laboratory clean-outs.  This information is needed to ensure compliance with the laboratory clean-out requirements.  For example, the documentation must show the dates when the clean-out began and ended.  This information will hold the eligible academic entity accountable for adhering to the 30-day clean-out time limit, as well as other stipulations in the final rule.</w:t>
      </w:r>
    </w:p>
    <w:p w:rsidR="00146A6C" w:rsidRPr="00AC1525" w14:paraId="08F3F337" w14:textId="77777777">
      <w:pPr>
        <w:rPr>
          <w:color w:val="000000"/>
          <w:sz w:val="22"/>
          <w:szCs w:val="22"/>
        </w:rPr>
      </w:pPr>
    </w:p>
    <w:p w:rsidR="00146A6C" w:rsidRPr="00AC1525" w14:paraId="11C6438C" w14:textId="77777777">
      <w:pPr>
        <w:rPr>
          <w:color w:val="000000"/>
          <w:sz w:val="22"/>
          <w:szCs w:val="22"/>
        </w:rPr>
      </w:pPr>
      <w:r w:rsidRPr="00AC1525">
        <w:rPr>
          <w:b/>
          <w:bCs/>
          <w:color w:val="000000"/>
          <w:sz w:val="22"/>
          <w:szCs w:val="22"/>
        </w:rPr>
        <w:t>(11)</w:t>
      </w:r>
      <w:r w:rsidRPr="00AC1525">
        <w:rPr>
          <w:b/>
          <w:bCs/>
          <w:color w:val="000000"/>
          <w:sz w:val="22"/>
          <w:szCs w:val="22"/>
        </w:rPr>
        <w:tab/>
        <w:t>Laboratory Management Plan</w:t>
      </w:r>
    </w:p>
    <w:p w:rsidR="00146A6C" w:rsidRPr="00AC1525" w14:paraId="7E1A1F08" w14:textId="77777777">
      <w:pPr>
        <w:rPr>
          <w:color w:val="000000"/>
          <w:sz w:val="22"/>
          <w:szCs w:val="22"/>
        </w:rPr>
      </w:pPr>
    </w:p>
    <w:p w:rsidR="00146A6C" w:rsidRPr="00AC1525" w14:paraId="4B25798E" w14:textId="77777777">
      <w:pPr>
        <w:ind w:firstLine="720"/>
        <w:rPr>
          <w:color w:val="000000"/>
          <w:sz w:val="22"/>
          <w:szCs w:val="22"/>
        </w:rPr>
      </w:pPr>
      <w:r w:rsidRPr="00AC1525">
        <w:rPr>
          <w:color w:val="000000"/>
          <w:sz w:val="22"/>
          <w:szCs w:val="22"/>
        </w:rPr>
        <w:t xml:space="preserve">Performance-based standards set the framework for managing unwanted materials generated in laboratories owned by eligible academic entities.  The Laboratory Management Plan required under 40 </w:t>
      </w:r>
      <w:r w:rsidRPr="00AC1525">
        <w:rPr>
          <w:i/>
          <w:iCs/>
          <w:color w:val="000000"/>
          <w:sz w:val="22"/>
          <w:szCs w:val="22"/>
        </w:rPr>
        <w:t>CFR</w:t>
      </w:r>
      <w:r w:rsidRPr="00AC1525">
        <w:rPr>
          <w:color w:val="000000"/>
          <w:sz w:val="22"/>
          <w:szCs w:val="22"/>
        </w:rPr>
        <w:t xml:space="preserve"> 262.214 is the mechanism for implementing the alternative program.  This plan is needed to ensure that eligible academic entities seeking flexibility in managing the unwanted materials from their laboratories will do so in a thoughtful manner by documenting their practices.</w:t>
      </w:r>
    </w:p>
    <w:p w:rsidR="00146A6C" w:rsidRPr="00AC1525" w14:paraId="77B51BF7" w14:textId="77777777">
      <w:pPr>
        <w:pStyle w:val="Heading2"/>
        <w:ind w:firstLine="720"/>
        <w:rPr>
          <w:rFonts w:ascii="Times New Roman" w:hAnsi="Times New Roman" w:cs="Times New Roman"/>
          <w:i w:val="0"/>
          <w:iCs w:val="0"/>
          <w:color w:val="000000"/>
          <w:sz w:val="22"/>
          <w:szCs w:val="22"/>
        </w:rPr>
      </w:pPr>
      <w:bookmarkStart w:id="88" w:name="_Toc198053446"/>
      <w:bookmarkStart w:id="89" w:name="_Toc199176349"/>
      <w:bookmarkStart w:id="90" w:name="_Toc201152808"/>
      <w:bookmarkStart w:id="91" w:name="_Toc201153921"/>
      <w:bookmarkStart w:id="92" w:name="_Toc203626026"/>
      <w:bookmarkStart w:id="93" w:name="_Toc203626133"/>
      <w:bookmarkStart w:id="94" w:name="_Toc203711627"/>
      <w:bookmarkStart w:id="95" w:name="_Toc203715774"/>
      <w:bookmarkStart w:id="96" w:name="_Toc434488002"/>
      <w:r w:rsidRPr="00AC1525">
        <w:rPr>
          <w:rFonts w:ascii="Times New Roman" w:hAnsi="Times New Roman" w:cs="Times New Roman"/>
          <w:i w:val="0"/>
          <w:iCs w:val="0"/>
          <w:color w:val="000000"/>
          <w:sz w:val="22"/>
          <w:szCs w:val="22"/>
        </w:rPr>
        <w:t>2(b)</w:t>
      </w:r>
      <w:r w:rsidRPr="00AC1525">
        <w:rPr>
          <w:rFonts w:ascii="Times New Roman" w:hAnsi="Times New Roman" w:cs="Times New Roman"/>
          <w:i w:val="0"/>
          <w:iCs w:val="0"/>
          <w:color w:val="000000"/>
          <w:sz w:val="22"/>
          <w:szCs w:val="22"/>
        </w:rPr>
        <w:tab/>
        <w:t>Practical Utility and Users of the Data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146A6C" w:rsidRPr="00AC1525" w14:paraId="79FEDBB2" w14:textId="77777777">
      <w:pPr>
        <w:rPr>
          <w:color w:val="000000"/>
          <w:sz w:val="22"/>
          <w:szCs w:val="22"/>
        </w:rPr>
      </w:pPr>
      <w:bookmarkStart w:id="97" w:name="_Toc146594777"/>
      <w:bookmarkStart w:id="98" w:name="_Toc194233037"/>
      <w:bookmarkStart w:id="99" w:name="_Toc194321360"/>
      <w:bookmarkStart w:id="100" w:name="_Toc194321573"/>
      <w:bookmarkStart w:id="101" w:name="_Toc194395927"/>
      <w:bookmarkStart w:id="102" w:name="_Toc195523813"/>
      <w:bookmarkStart w:id="103" w:name="_Toc195524024"/>
      <w:bookmarkStart w:id="104" w:name="_Toc198053447"/>
      <w:bookmarkStart w:id="105" w:name="_Toc199176350"/>
    </w:p>
    <w:p w:rsidR="00146A6C" w:rsidRPr="00AC1525" w14:paraId="413F3D5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color w:val="000000"/>
          <w:sz w:val="22"/>
          <w:szCs w:val="22"/>
        </w:rPr>
      </w:pPr>
      <w:r w:rsidRPr="00AC1525">
        <w:rPr>
          <w:rFonts w:ascii="Times New Roman" w:hAnsi="Times New Roman" w:cs="Times New Roman"/>
          <w:b/>
          <w:bCs/>
          <w:color w:val="000000"/>
          <w:sz w:val="22"/>
          <w:szCs w:val="22"/>
        </w:rPr>
        <w:t>(1)</w:t>
      </w:r>
      <w:r w:rsidRPr="00AC1525">
        <w:rPr>
          <w:rFonts w:ascii="Times New Roman" w:hAnsi="Times New Roman" w:cs="Times New Roman"/>
          <w:b/>
          <w:bCs/>
          <w:color w:val="000000"/>
          <w:sz w:val="22"/>
          <w:szCs w:val="22"/>
        </w:rPr>
        <w:tab/>
        <w:t>Notification of Intent to Comply with Subpart K and Recordkeeping of Agreements</w:t>
      </w:r>
    </w:p>
    <w:p w:rsidR="00146A6C" w:rsidRPr="00AC1525" w14:paraId="322202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5DD299DC" w14:textId="77777777">
      <w:pPr>
        <w:rPr>
          <w:color w:val="000000"/>
          <w:sz w:val="22"/>
          <w:szCs w:val="22"/>
        </w:rPr>
      </w:pPr>
      <w:r w:rsidRPr="00AC1525">
        <w:rPr>
          <w:color w:val="000000"/>
          <w:sz w:val="22"/>
          <w:szCs w:val="22"/>
        </w:rPr>
        <w:tab/>
        <w:t>Because the rule establishes an alternative set of generator requirements that is self</w:t>
      </w:r>
      <w:r w:rsidRPr="00AC1525">
        <w:rPr>
          <w:color w:val="000000"/>
          <w:sz w:val="22"/>
          <w:szCs w:val="22"/>
        </w:rPr>
        <w:noBreakHyphen/>
        <w:t xml:space="preserve">implementing, EPA has determined that it is necessary to require eligible academic entities to submit a one-time notification to the appropriate EPA Regional Administrator or State Director indicating that they are electing to be subject to the Subpart K requirements as specified.  EPA and States will use this information to identify the entities and sites subject to the Subpart K requirements and ensure that </w:t>
      </w:r>
      <w:r w:rsidRPr="00AC1525">
        <w:rPr>
          <w:color w:val="000000"/>
          <w:sz w:val="22"/>
          <w:szCs w:val="22"/>
        </w:rPr>
        <w:t>all of</w:t>
      </w:r>
      <w:r w:rsidRPr="00AC1525">
        <w:rPr>
          <w:color w:val="000000"/>
          <w:sz w:val="22"/>
          <w:szCs w:val="22"/>
        </w:rPr>
        <w:t xml:space="preserve"> these sites are managing their unwanted materials in a manner that is protective of human health and the environment.</w:t>
      </w:r>
    </w:p>
    <w:p w:rsidR="00146A6C" w:rsidRPr="00AC1525" w14:paraId="736584E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18A7A48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r w:rsidRPr="00AC1525">
        <w:rPr>
          <w:rFonts w:ascii="Times New Roman" w:hAnsi="Times New Roman" w:cs="Times New Roman"/>
          <w:b/>
          <w:bCs/>
          <w:color w:val="000000"/>
          <w:sz w:val="22"/>
          <w:szCs w:val="22"/>
        </w:rPr>
        <w:t>(2)</w:t>
      </w:r>
      <w:r w:rsidRPr="00AC1525">
        <w:rPr>
          <w:rFonts w:ascii="Times New Roman" w:hAnsi="Times New Roman" w:cs="Times New Roman"/>
          <w:b/>
          <w:bCs/>
          <w:color w:val="000000"/>
          <w:sz w:val="22"/>
          <w:szCs w:val="22"/>
        </w:rPr>
        <w:tab/>
        <w:t>Notification of Withdrawal from Subpart K</w:t>
      </w:r>
    </w:p>
    <w:p w:rsidR="00146A6C" w:rsidRPr="00AC1525" w14:paraId="725F7B0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53FF86EC" w14:textId="7D67CCAB">
      <w:pPr>
        <w:rPr>
          <w:color w:val="000000"/>
          <w:sz w:val="22"/>
          <w:szCs w:val="22"/>
        </w:rPr>
      </w:pPr>
      <w:r w:rsidRPr="00AC1525">
        <w:rPr>
          <w:color w:val="000000"/>
          <w:sz w:val="22"/>
          <w:szCs w:val="22"/>
        </w:rPr>
        <w:tab/>
        <w:t xml:space="preserve">Eligible academic entities that elected to comply with the Subpart K requirements may elect, at any time, to withdraw from the Subpart K program.  Because a site’s withdrawal would be self-implementing (i.e., done at its own discretion), EPA has determined that it is necessary to require entities to submit a one-time withdrawal notification to the appropriate EPA Regional Administrator indicating that they will again begin to manage their hazardous waste pursuant to </w:t>
      </w:r>
      <w:r w:rsidRPr="00AC1525">
        <w:rPr>
          <w:color w:val="000000"/>
          <w:sz w:val="22"/>
          <w:szCs w:val="22"/>
        </w:rPr>
        <w:t>section 262.</w:t>
      </w:r>
      <w:r w:rsidRPr="00AC1525" w:rsidR="00E07FC9">
        <w:rPr>
          <w:color w:val="000000"/>
          <w:sz w:val="22"/>
          <w:szCs w:val="22"/>
        </w:rPr>
        <w:t>15</w:t>
      </w:r>
      <w:r w:rsidRPr="00AC1525">
        <w:rPr>
          <w:color w:val="000000"/>
          <w:sz w:val="22"/>
          <w:szCs w:val="22"/>
        </w:rPr>
        <w:t xml:space="preserve"> (or section 26</w:t>
      </w:r>
      <w:r w:rsidRPr="00AC1525" w:rsidR="00E07FC9">
        <w:rPr>
          <w:color w:val="000000"/>
          <w:sz w:val="22"/>
          <w:szCs w:val="22"/>
        </w:rPr>
        <w:t>2.14</w:t>
      </w:r>
      <w:r w:rsidRPr="00AC1525">
        <w:rPr>
          <w:color w:val="000000"/>
          <w:sz w:val="22"/>
          <w:szCs w:val="22"/>
        </w:rPr>
        <w:t xml:space="preserve"> for </w:t>
      </w:r>
      <w:r w:rsidRPr="00AC1525" w:rsidR="00E07FC9">
        <w:rPr>
          <w:color w:val="000000"/>
          <w:sz w:val="22"/>
          <w:szCs w:val="22"/>
        </w:rPr>
        <w:t>very</w:t>
      </w:r>
      <w:r w:rsidRPr="00AC1525">
        <w:rPr>
          <w:color w:val="000000"/>
          <w:sz w:val="22"/>
          <w:szCs w:val="22"/>
        </w:rPr>
        <w:t xml:space="preserve"> small quantity generators).  EPA and States will use this information to identify the sites subject to the Subpart K requirements and ensure that </w:t>
      </w:r>
      <w:r w:rsidRPr="00AC1525">
        <w:rPr>
          <w:color w:val="000000"/>
          <w:sz w:val="22"/>
          <w:szCs w:val="22"/>
        </w:rPr>
        <w:t>all of</w:t>
      </w:r>
      <w:r w:rsidRPr="00AC1525">
        <w:rPr>
          <w:color w:val="000000"/>
          <w:sz w:val="22"/>
          <w:szCs w:val="22"/>
        </w:rPr>
        <w:t xml:space="preserve"> these sites are managing their unwanted materials in a manner that is protective of human health and the environment.</w:t>
      </w:r>
    </w:p>
    <w:p w:rsidR="00146A6C" w:rsidRPr="00AC1525" w14:paraId="0CE7DB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color w:val="000000"/>
          <w:sz w:val="22"/>
          <w:szCs w:val="22"/>
        </w:rPr>
      </w:pPr>
    </w:p>
    <w:p w:rsidR="00146A6C" w:rsidRPr="00AC1525" w14:paraId="35D81BAA" w14:textId="77777777">
      <w:pPr>
        <w:keepNext/>
        <w:rPr>
          <w:b/>
          <w:bCs/>
          <w:color w:val="000000"/>
          <w:sz w:val="22"/>
          <w:szCs w:val="22"/>
        </w:rPr>
      </w:pPr>
      <w:r w:rsidRPr="00AC1525">
        <w:rPr>
          <w:b/>
          <w:bCs/>
          <w:color w:val="000000"/>
          <w:sz w:val="22"/>
          <w:szCs w:val="22"/>
        </w:rPr>
        <w:t>(3)</w:t>
      </w:r>
      <w:r w:rsidRPr="00AC1525">
        <w:rPr>
          <w:b/>
          <w:bCs/>
          <w:color w:val="000000"/>
          <w:sz w:val="22"/>
          <w:szCs w:val="22"/>
        </w:rPr>
        <w:tab/>
        <w:t>Labeling of Containers of Unwanted Material in the Laboratory</w:t>
      </w:r>
    </w:p>
    <w:p w:rsidR="00146A6C" w:rsidRPr="00AC1525" w14:paraId="3EAA1329" w14:textId="77777777">
      <w:pPr>
        <w:keepNext/>
        <w:rPr>
          <w:color w:val="000000"/>
          <w:sz w:val="22"/>
          <w:szCs w:val="22"/>
        </w:rPr>
      </w:pPr>
    </w:p>
    <w:p w:rsidR="00146A6C" w:rsidRPr="00AC1525" w14:paraId="1DADF3E6" w14:textId="77777777">
      <w:pPr>
        <w:keepNext/>
        <w:ind w:firstLine="720"/>
        <w:rPr>
          <w:color w:val="000000"/>
          <w:sz w:val="22"/>
          <w:szCs w:val="22"/>
        </w:rPr>
      </w:pPr>
      <w:r w:rsidRPr="00AC1525">
        <w:rPr>
          <w:color w:val="000000"/>
          <w:sz w:val="22"/>
          <w:szCs w:val="22"/>
        </w:rPr>
        <w:t>The labeling requirements are necessary to alert anyone handling the containers of unwanted materials of what is enclosed in the containers so that proper handling or inspection may occur.  The labeling requirements also assist RCRA-trained individuals in properly identifying whether an unwanted material is a hazardous waste and to assign the appropriate hazardous waste code(s).</w:t>
      </w:r>
    </w:p>
    <w:p w:rsidR="00EE6697" w:rsidRPr="00AC1525" w14:paraId="0FCB4430" w14:textId="77777777">
      <w:pPr>
        <w:keepNext/>
        <w:ind w:firstLine="720"/>
        <w:rPr>
          <w:color w:val="000000"/>
          <w:sz w:val="22"/>
          <w:szCs w:val="22"/>
        </w:rPr>
      </w:pPr>
    </w:p>
    <w:p w:rsidR="00492E28" w:rsidRPr="00AC1525" w:rsidP="00492E28" w14:paraId="0953C95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Labeling of containers of unwanted materials in the laboratory are as follows:</w:t>
      </w:r>
    </w:p>
    <w:p w:rsidR="00492E28" w:rsidRPr="00AC1525" w:rsidP="00492E28" w14:paraId="6E5FF0A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p>
    <w:p w:rsidR="00492E28" w:rsidRPr="00AC1525" w:rsidP="00492E28" w14:paraId="71A160DB"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The words ‘‘unwanted material’’ or another equally effective term that is to be used consistently by the eligible academic entity.</w:t>
      </w:r>
    </w:p>
    <w:p w:rsidR="00492E28" w:rsidRPr="00AC1525" w:rsidP="00492E28" w14:paraId="570DB85A"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Sufficient information to alert emergency responders to the contents of the container (</w:t>
      </w:r>
      <w:r w:rsidRPr="00AC1525">
        <w:rPr>
          <w:rFonts w:ascii="Times New Roman" w:hAnsi="Times New Roman" w:cs="Times New Roman"/>
          <w:sz w:val="22"/>
          <w:szCs w:val="22"/>
        </w:rPr>
        <w:t>e.g.</w:t>
      </w:r>
      <w:r w:rsidRPr="00AC1525">
        <w:rPr>
          <w:rFonts w:ascii="Times New Roman" w:hAnsi="Times New Roman" w:cs="Times New Roman"/>
          <w:sz w:val="22"/>
          <w:szCs w:val="22"/>
        </w:rPr>
        <w:t xml:space="preserve"> name of the chemicals or class/type of the chemical).</w:t>
      </w:r>
    </w:p>
    <w:p w:rsidR="00492E28" w:rsidRPr="00AC1525" w:rsidP="00492E28" w14:paraId="44664C35"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The date that the unwanted material first began accumulating in the container.</w:t>
      </w:r>
    </w:p>
    <w:p w:rsidR="00492E28" w:rsidRPr="00AC1525" w:rsidP="00492E28" w14:paraId="23865C3B" w14:textId="77777777">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color w:val="000000"/>
          <w:sz w:val="22"/>
          <w:szCs w:val="22"/>
        </w:rPr>
      </w:pPr>
      <w:r w:rsidRPr="00AC1525">
        <w:rPr>
          <w:rFonts w:ascii="Times New Roman" w:hAnsi="Times New Roman" w:cs="Times New Roman"/>
          <w:sz w:val="22"/>
          <w:szCs w:val="22"/>
        </w:rPr>
        <w:t>Information sufficient to allow a trained professional to properly identify whether an unwanted material is a solid and hazardous waste and to assign the proper hazardous waste code(s), pursuant to § 262.11.</w:t>
      </w:r>
    </w:p>
    <w:p w:rsidR="00EE6697" w:rsidRPr="00AC1525" w14:paraId="04039F70" w14:textId="77777777">
      <w:pPr>
        <w:keepNext/>
        <w:ind w:firstLine="720"/>
        <w:rPr>
          <w:color w:val="000000"/>
          <w:sz w:val="22"/>
          <w:szCs w:val="22"/>
        </w:rPr>
      </w:pPr>
    </w:p>
    <w:p w:rsidR="00146A6C" w:rsidRPr="00AC1525" w14:paraId="35727687" w14:textId="77777777">
      <w:pPr>
        <w:rPr>
          <w:b/>
          <w:bCs/>
          <w:color w:val="000000"/>
          <w:sz w:val="22"/>
          <w:szCs w:val="22"/>
        </w:rPr>
      </w:pPr>
    </w:p>
    <w:p w:rsidR="00146A6C" w:rsidRPr="00AC1525" w14:paraId="0339E6D3" w14:textId="77777777">
      <w:pPr>
        <w:rPr>
          <w:color w:val="000000"/>
          <w:sz w:val="22"/>
          <w:szCs w:val="22"/>
        </w:rPr>
      </w:pPr>
      <w:r w:rsidRPr="00AC1525">
        <w:rPr>
          <w:b/>
          <w:bCs/>
          <w:color w:val="000000"/>
          <w:sz w:val="22"/>
          <w:szCs w:val="22"/>
        </w:rPr>
        <w:t>(4)</w:t>
      </w:r>
      <w:r w:rsidRPr="00AC1525">
        <w:rPr>
          <w:b/>
          <w:bCs/>
          <w:color w:val="000000"/>
          <w:sz w:val="22"/>
          <w:szCs w:val="22"/>
        </w:rPr>
        <w:tab/>
        <w:t>Training</w:t>
      </w:r>
    </w:p>
    <w:p w:rsidR="00146A6C" w:rsidRPr="00AC1525" w14:paraId="5F58CE98" w14:textId="77777777">
      <w:pPr>
        <w:rPr>
          <w:color w:val="000000"/>
          <w:sz w:val="22"/>
          <w:szCs w:val="22"/>
        </w:rPr>
      </w:pPr>
    </w:p>
    <w:p w:rsidR="00146A6C" w:rsidRPr="00AC1525" w14:paraId="6CFA81EC" w14:textId="77777777">
      <w:pPr>
        <w:rPr>
          <w:color w:val="000000"/>
          <w:sz w:val="22"/>
          <w:szCs w:val="22"/>
        </w:rPr>
      </w:pPr>
      <w:r w:rsidRPr="00AC1525">
        <w:rPr>
          <w:color w:val="000000"/>
          <w:sz w:val="22"/>
          <w:szCs w:val="22"/>
        </w:rPr>
        <w:tab/>
        <w:t>Eligible academic entities must train all individuals working in a laboratory commensurate with their duties.  This training will enable individuals to manage unwanted materials safely and in an environmentally sound manner, while in the laboratory.</w:t>
      </w:r>
    </w:p>
    <w:p w:rsidR="00146A6C" w:rsidRPr="00AC1525" w14:paraId="6157305F" w14:textId="77777777">
      <w:pPr>
        <w:rPr>
          <w:color w:val="000000"/>
          <w:sz w:val="22"/>
          <w:szCs w:val="22"/>
        </w:rPr>
      </w:pPr>
    </w:p>
    <w:p w:rsidR="00146A6C" w:rsidRPr="00AC1525" w14:paraId="68E78D3E" w14:textId="77777777">
      <w:pPr>
        <w:rPr>
          <w:color w:val="000000"/>
          <w:sz w:val="22"/>
          <w:szCs w:val="22"/>
        </w:rPr>
      </w:pPr>
      <w:r w:rsidRPr="00AC1525">
        <w:rPr>
          <w:color w:val="000000"/>
          <w:sz w:val="22"/>
          <w:szCs w:val="22"/>
        </w:rPr>
        <w:tab/>
        <w:t>In addition, LQGs must maintain training records for laboratory workers.  Entities will use this information to demonstrate compliance with the Subpart K requirements.  EPA will use the information during inspections and for enforcement purposes.</w:t>
      </w:r>
    </w:p>
    <w:p w:rsidR="00146A6C" w:rsidRPr="00AC1525" w14:paraId="16227079" w14:textId="77777777">
      <w:pPr>
        <w:rPr>
          <w:color w:val="000000"/>
          <w:sz w:val="22"/>
          <w:szCs w:val="22"/>
        </w:rPr>
      </w:pPr>
    </w:p>
    <w:p w:rsidR="00146A6C" w:rsidRPr="00AC1525" w14:paraId="4241897B" w14:textId="77777777">
      <w:pPr>
        <w:rPr>
          <w:b/>
          <w:bCs/>
          <w:color w:val="000000"/>
          <w:sz w:val="22"/>
          <w:szCs w:val="22"/>
        </w:rPr>
      </w:pPr>
      <w:r w:rsidRPr="00AC1525">
        <w:rPr>
          <w:b/>
          <w:bCs/>
          <w:color w:val="000000"/>
          <w:sz w:val="22"/>
          <w:szCs w:val="22"/>
        </w:rPr>
        <w:t xml:space="preserve"> (5)</w:t>
      </w:r>
      <w:r w:rsidRPr="00AC1525">
        <w:rPr>
          <w:b/>
          <w:bCs/>
          <w:color w:val="000000"/>
          <w:sz w:val="22"/>
          <w:szCs w:val="22"/>
        </w:rPr>
        <w:tab/>
        <w:t>Removing Containers of Unwanted Material from the Laboratory</w:t>
      </w:r>
    </w:p>
    <w:p w:rsidR="00146A6C" w:rsidRPr="00AC1525" w14:paraId="6743FE03" w14:textId="77777777">
      <w:pPr>
        <w:rPr>
          <w:color w:val="000000"/>
          <w:sz w:val="22"/>
          <w:szCs w:val="22"/>
        </w:rPr>
      </w:pPr>
    </w:p>
    <w:p w:rsidR="00146A6C" w:rsidRPr="00AC1525" w14:paraId="36749A1F" w14:textId="4BA76892">
      <w:pPr>
        <w:rPr>
          <w:color w:val="000000"/>
          <w:sz w:val="22"/>
          <w:szCs w:val="22"/>
        </w:rPr>
      </w:pPr>
      <w:r w:rsidRPr="00AC1525">
        <w:rPr>
          <w:color w:val="000000"/>
          <w:sz w:val="22"/>
          <w:szCs w:val="22"/>
        </w:rPr>
        <w:tab/>
        <w:t xml:space="preserve">Eligible academic entities will use the information on the date the 55 gallons of unwanted material, or the 1 quart of </w:t>
      </w:r>
      <w:r w:rsidRPr="00AC1525" w:rsidR="00553EA7">
        <w:rPr>
          <w:color w:val="000000"/>
          <w:sz w:val="22"/>
          <w:szCs w:val="22"/>
        </w:rPr>
        <w:t xml:space="preserve">liquid </w:t>
      </w:r>
      <w:r w:rsidRPr="00AC1525">
        <w:rPr>
          <w:color w:val="000000"/>
          <w:sz w:val="22"/>
          <w:szCs w:val="22"/>
        </w:rPr>
        <w:t>acutely reactive unwanted material</w:t>
      </w:r>
      <w:r w:rsidRPr="00AC1525" w:rsidR="00553EA7">
        <w:rPr>
          <w:color w:val="000000"/>
          <w:sz w:val="22"/>
          <w:szCs w:val="22"/>
        </w:rPr>
        <w:t xml:space="preserve"> (or 1 kg of solid reactive acutely unwanted material)</w:t>
      </w:r>
      <w:r w:rsidRPr="00AC1525">
        <w:rPr>
          <w:color w:val="000000"/>
          <w:sz w:val="22"/>
          <w:szCs w:val="22"/>
        </w:rPr>
        <w:t>, was exceeded to maintain compliance with Subpart K.  EPA will use the information during inspections and for enforcement purposes.</w:t>
      </w:r>
    </w:p>
    <w:p w:rsidR="00146A6C" w:rsidRPr="00AC1525" w14:paraId="324979B8" w14:textId="77777777">
      <w:pPr>
        <w:rPr>
          <w:color w:val="000000"/>
          <w:sz w:val="22"/>
          <w:szCs w:val="22"/>
        </w:rPr>
      </w:pPr>
    </w:p>
    <w:p w:rsidR="00146A6C" w:rsidRPr="00AC1525" w14:paraId="47CF553F" w14:textId="77777777">
      <w:pPr>
        <w:ind w:left="720" w:hanging="720"/>
        <w:rPr>
          <w:b/>
          <w:bCs/>
          <w:color w:val="000000"/>
          <w:sz w:val="22"/>
          <w:szCs w:val="22"/>
        </w:rPr>
      </w:pPr>
      <w:r w:rsidRPr="00AC1525">
        <w:rPr>
          <w:b/>
          <w:bCs/>
          <w:color w:val="000000"/>
          <w:sz w:val="22"/>
          <w:szCs w:val="22"/>
        </w:rPr>
        <w:t>(6)</w:t>
      </w:r>
      <w:r w:rsidRPr="00AC1525">
        <w:rPr>
          <w:b/>
          <w:bCs/>
          <w:color w:val="000000"/>
          <w:sz w:val="22"/>
          <w:szCs w:val="22"/>
        </w:rPr>
        <w:tab/>
        <w:t>Where and When to Make the Hazardous Waste Determination and Where to Send Containers of Unwanted Material</w:t>
      </w:r>
    </w:p>
    <w:p w:rsidR="00146A6C" w:rsidRPr="00AC1525" w14:paraId="78061DB6" w14:textId="77777777">
      <w:pPr>
        <w:ind w:firstLine="720"/>
        <w:rPr>
          <w:color w:val="000000"/>
          <w:sz w:val="22"/>
          <w:szCs w:val="22"/>
        </w:rPr>
      </w:pPr>
    </w:p>
    <w:p w:rsidR="00146A6C" w:rsidRPr="00AC1525" w14:paraId="1DAEC86E" w14:textId="77777777">
      <w:pPr>
        <w:rPr>
          <w:color w:val="000000"/>
          <w:sz w:val="22"/>
          <w:szCs w:val="22"/>
        </w:rPr>
      </w:pPr>
      <w:r w:rsidRPr="00AC1525">
        <w:rPr>
          <w:color w:val="000000"/>
          <w:sz w:val="22"/>
          <w:szCs w:val="22"/>
        </w:rPr>
        <w:tab/>
        <w:t xml:space="preserve">The rule clarifies where the hazardous waste determinations can be made, as well as the timing of them.  Eligible academic entities will follow these procedures to ensure that they are making their determinations in a timely manner and managing their hazardous wastes in accordance with the hazardous waste regulations.  </w:t>
      </w:r>
    </w:p>
    <w:p w:rsidR="00146A6C" w:rsidRPr="00AC1525" w14:paraId="554BDA6F" w14:textId="77777777">
      <w:pPr>
        <w:rPr>
          <w:color w:val="000000"/>
          <w:sz w:val="22"/>
          <w:szCs w:val="22"/>
        </w:rPr>
      </w:pPr>
    </w:p>
    <w:p w:rsidR="00146A6C" w:rsidRPr="00AC1525" w14:paraId="5A07B02F" w14:textId="77777777">
      <w:pPr>
        <w:rPr>
          <w:b/>
          <w:bCs/>
          <w:color w:val="000000"/>
          <w:sz w:val="22"/>
          <w:szCs w:val="22"/>
        </w:rPr>
      </w:pPr>
      <w:r w:rsidRPr="00AC1525">
        <w:rPr>
          <w:b/>
          <w:bCs/>
          <w:color w:val="000000"/>
          <w:sz w:val="22"/>
          <w:szCs w:val="22"/>
        </w:rPr>
        <w:t>(7)</w:t>
      </w:r>
      <w:r w:rsidRPr="00AC1525">
        <w:rPr>
          <w:b/>
          <w:bCs/>
          <w:color w:val="000000"/>
          <w:sz w:val="22"/>
          <w:szCs w:val="22"/>
        </w:rPr>
        <w:tab/>
        <w:t>Making the Hazardous Waste Determination in the Laboratory</w:t>
      </w:r>
    </w:p>
    <w:p w:rsidR="00146A6C" w:rsidRPr="00AC1525" w14:paraId="73FEEF6F" w14:textId="77777777">
      <w:pPr>
        <w:rPr>
          <w:color w:val="000000"/>
          <w:sz w:val="22"/>
          <w:szCs w:val="22"/>
        </w:rPr>
      </w:pPr>
    </w:p>
    <w:p w:rsidR="00146A6C" w:rsidRPr="00AC1525" w14:paraId="163478E7" w14:textId="77777777">
      <w:pPr>
        <w:ind w:firstLine="720"/>
        <w:rPr>
          <w:color w:val="000000"/>
          <w:sz w:val="22"/>
          <w:szCs w:val="22"/>
        </w:rPr>
      </w:pPr>
      <w:r w:rsidRPr="00AC1525">
        <w:rPr>
          <w:color w:val="000000"/>
          <w:sz w:val="22"/>
          <w:szCs w:val="22"/>
        </w:rPr>
        <w:t>Eligible academic entities will use the hazardous waste code information to ensure that the hazardous waste is managed in a manner that is protective of human health and the environment.</w:t>
      </w:r>
    </w:p>
    <w:p w:rsidR="00146A6C" w:rsidRPr="00AC1525" w14:paraId="760EE7E4" w14:textId="77777777">
      <w:pPr>
        <w:rPr>
          <w:color w:val="000000"/>
          <w:sz w:val="22"/>
          <w:szCs w:val="22"/>
        </w:rPr>
      </w:pPr>
    </w:p>
    <w:p w:rsidR="00146A6C" w:rsidRPr="00AC1525" w14:paraId="34E31BF3" w14:textId="77777777">
      <w:pPr>
        <w:keepNext/>
        <w:ind w:left="720" w:hanging="720"/>
        <w:rPr>
          <w:b/>
          <w:bCs/>
          <w:color w:val="000000"/>
          <w:sz w:val="22"/>
          <w:szCs w:val="22"/>
        </w:rPr>
      </w:pPr>
      <w:r w:rsidRPr="00AC1525">
        <w:rPr>
          <w:b/>
          <w:bCs/>
          <w:color w:val="000000"/>
          <w:sz w:val="22"/>
          <w:szCs w:val="22"/>
        </w:rPr>
        <w:t>(8)</w:t>
      </w:r>
      <w:r w:rsidRPr="00AC1525">
        <w:rPr>
          <w:b/>
          <w:bCs/>
          <w:color w:val="000000"/>
          <w:sz w:val="22"/>
          <w:szCs w:val="22"/>
        </w:rPr>
        <w:tab/>
        <w:t>Making the Hazardous Waste Determination in an On-site Central Accumulation Area</w:t>
      </w:r>
    </w:p>
    <w:p w:rsidR="00146A6C" w:rsidRPr="00AC1525" w14:paraId="07B41884" w14:textId="77777777">
      <w:pPr>
        <w:keepNext/>
        <w:ind w:firstLine="720"/>
        <w:rPr>
          <w:color w:val="000000"/>
          <w:sz w:val="22"/>
          <w:szCs w:val="22"/>
        </w:rPr>
      </w:pPr>
    </w:p>
    <w:p w:rsidR="00146A6C" w:rsidRPr="00AC1525" w14:paraId="231D2E43" w14:textId="77777777">
      <w:pPr>
        <w:keepNext/>
        <w:ind w:firstLine="720"/>
        <w:rPr>
          <w:color w:val="000000"/>
          <w:sz w:val="22"/>
          <w:szCs w:val="22"/>
        </w:rPr>
      </w:pPr>
      <w:r w:rsidRPr="00AC1525">
        <w:rPr>
          <w:color w:val="000000"/>
          <w:sz w:val="22"/>
          <w:szCs w:val="22"/>
        </w:rPr>
        <w:t>Eligible academic entities will use the hazardous waste code information to ensure that the hazardous waste is managed in a manner that is protective of human health and the environment.</w:t>
      </w:r>
    </w:p>
    <w:p w:rsidR="00146A6C" w:rsidRPr="00AC1525" w14:paraId="31847D8F" w14:textId="77777777">
      <w:pPr>
        <w:ind w:left="2160" w:hanging="720"/>
        <w:rPr>
          <w:color w:val="000000"/>
          <w:sz w:val="22"/>
          <w:szCs w:val="22"/>
        </w:rPr>
      </w:pPr>
    </w:p>
    <w:p w:rsidR="00146A6C" w:rsidRPr="00AC1525" w14:paraId="42D199C9" w14:textId="77777777">
      <w:pPr>
        <w:keepNext/>
        <w:ind w:left="720" w:hanging="720"/>
        <w:rPr>
          <w:b/>
          <w:bCs/>
          <w:color w:val="000000"/>
          <w:sz w:val="22"/>
          <w:szCs w:val="22"/>
        </w:rPr>
      </w:pPr>
      <w:r w:rsidRPr="00AC1525">
        <w:rPr>
          <w:b/>
          <w:bCs/>
          <w:color w:val="000000"/>
          <w:sz w:val="22"/>
          <w:szCs w:val="22"/>
        </w:rPr>
        <w:t>(9)</w:t>
      </w:r>
      <w:r w:rsidRPr="00AC1525">
        <w:rPr>
          <w:b/>
          <w:bCs/>
          <w:color w:val="000000"/>
          <w:sz w:val="22"/>
          <w:szCs w:val="22"/>
        </w:rPr>
        <w:tab/>
        <w:t>Making the Hazardous Waste Determination at an On-site Interim Status or Permitted Treatment, Storage, or Disposal Facility</w:t>
      </w:r>
    </w:p>
    <w:p w:rsidR="00146A6C" w:rsidRPr="00AC1525" w14:paraId="7E058EC1" w14:textId="77777777">
      <w:pPr>
        <w:keepNext/>
        <w:ind w:firstLine="720"/>
        <w:rPr>
          <w:color w:val="000000"/>
          <w:sz w:val="22"/>
          <w:szCs w:val="22"/>
        </w:rPr>
      </w:pPr>
    </w:p>
    <w:p w:rsidR="00146A6C" w:rsidRPr="00AC1525" w14:paraId="3642810B" w14:textId="77777777">
      <w:pPr>
        <w:keepNext/>
        <w:ind w:firstLine="720"/>
        <w:rPr>
          <w:color w:val="000000"/>
          <w:sz w:val="22"/>
          <w:szCs w:val="22"/>
        </w:rPr>
      </w:pPr>
      <w:r w:rsidRPr="00AC1525">
        <w:rPr>
          <w:color w:val="000000"/>
          <w:sz w:val="22"/>
          <w:szCs w:val="22"/>
        </w:rPr>
        <w:t>Eligible academic entities will use the hazardous waste code information to ensure that the hazardous waste is managed in a manner that is protective of human health and the environment.</w:t>
      </w:r>
    </w:p>
    <w:p w:rsidR="00146A6C" w:rsidRPr="00AC1525" w14:paraId="305D5173" w14:textId="77777777">
      <w:pPr>
        <w:rPr>
          <w:color w:val="000000"/>
          <w:sz w:val="22"/>
          <w:szCs w:val="22"/>
        </w:rPr>
      </w:pPr>
    </w:p>
    <w:p w:rsidR="00146A6C" w:rsidRPr="00AC1525" w14:paraId="070A6313" w14:textId="77777777">
      <w:pPr>
        <w:rPr>
          <w:color w:val="000000"/>
          <w:sz w:val="22"/>
          <w:szCs w:val="22"/>
        </w:rPr>
      </w:pPr>
      <w:r w:rsidRPr="00AC1525">
        <w:rPr>
          <w:b/>
          <w:bCs/>
          <w:color w:val="000000"/>
          <w:sz w:val="22"/>
          <w:szCs w:val="22"/>
        </w:rPr>
        <w:t>(10)</w:t>
      </w:r>
      <w:r w:rsidRPr="00AC1525">
        <w:rPr>
          <w:b/>
          <w:bCs/>
          <w:color w:val="000000"/>
          <w:sz w:val="22"/>
          <w:szCs w:val="22"/>
        </w:rPr>
        <w:tab/>
        <w:t>Laboratory Clean-outs</w:t>
      </w:r>
    </w:p>
    <w:p w:rsidR="00146A6C" w:rsidRPr="00AC1525" w14:paraId="34878F84" w14:textId="77777777">
      <w:pPr>
        <w:rPr>
          <w:color w:val="000000"/>
          <w:sz w:val="22"/>
          <w:szCs w:val="22"/>
        </w:rPr>
      </w:pPr>
    </w:p>
    <w:p w:rsidR="00146A6C" w:rsidRPr="00AC1525" w14:paraId="4F999CF5" w14:textId="77777777">
      <w:pPr>
        <w:ind w:firstLine="720"/>
        <w:rPr>
          <w:color w:val="000000"/>
          <w:sz w:val="22"/>
          <w:szCs w:val="22"/>
        </w:rPr>
      </w:pPr>
      <w:r w:rsidRPr="00AC1525">
        <w:rPr>
          <w:color w:val="000000"/>
          <w:sz w:val="22"/>
          <w:szCs w:val="22"/>
        </w:rPr>
        <w:t>Eligible academic entities must develop and maintain documentation on laboratory clean-outs.  They will use this information to demonstrate compliance with the Subpart K requirements.  EPA will use the information during inspections and for enforcement purposes.</w:t>
      </w:r>
    </w:p>
    <w:p w:rsidR="00146A6C" w:rsidRPr="00AC1525" w14:paraId="53275352" w14:textId="77777777">
      <w:pPr>
        <w:rPr>
          <w:color w:val="000000"/>
          <w:sz w:val="22"/>
          <w:szCs w:val="22"/>
        </w:rPr>
      </w:pPr>
    </w:p>
    <w:p w:rsidR="00146A6C" w:rsidRPr="00AC1525" w14:paraId="26B45558" w14:textId="77777777">
      <w:pPr>
        <w:rPr>
          <w:color w:val="000000"/>
          <w:sz w:val="22"/>
          <w:szCs w:val="22"/>
        </w:rPr>
      </w:pPr>
      <w:r w:rsidRPr="00AC1525">
        <w:rPr>
          <w:b/>
          <w:bCs/>
          <w:color w:val="000000"/>
          <w:sz w:val="22"/>
          <w:szCs w:val="22"/>
        </w:rPr>
        <w:t>(11)</w:t>
      </w:r>
      <w:r w:rsidRPr="00AC1525">
        <w:rPr>
          <w:b/>
          <w:bCs/>
          <w:color w:val="000000"/>
          <w:sz w:val="22"/>
          <w:szCs w:val="22"/>
        </w:rPr>
        <w:tab/>
        <w:t>Laboratory Management Plan</w:t>
      </w:r>
    </w:p>
    <w:p w:rsidR="00146A6C" w:rsidRPr="00AC1525" w14:paraId="6F3AE1AA" w14:textId="77777777">
      <w:pPr>
        <w:rPr>
          <w:color w:val="000000"/>
          <w:sz w:val="22"/>
          <w:szCs w:val="22"/>
        </w:rPr>
      </w:pPr>
    </w:p>
    <w:p w:rsidR="00146A6C" w:rsidRPr="00AC1525" w14:paraId="40F028A6" w14:textId="77777777">
      <w:pPr>
        <w:rPr>
          <w:color w:val="000000"/>
          <w:sz w:val="22"/>
          <w:szCs w:val="22"/>
        </w:rPr>
      </w:pPr>
      <w:r w:rsidRPr="00AC1525">
        <w:rPr>
          <w:color w:val="000000"/>
          <w:sz w:val="22"/>
          <w:szCs w:val="22"/>
        </w:rPr>
        <w:tab/>
        <w:t>Eligible academic entities must develop, implement, and retain a Laboratory Management Plan.  They will use the Laboratory Management Plan to document their practices for complying with the performance-based requirements of Subpart K.</w:t>
      </w:r>
    </w:p>
    <w:p w:rsidR="00146A6C" w:rsidRPr="00AC1525" w14:paraId="585445BD" w14:textId="49ED25DF">
      <w:pPr>
        <w:pStyle w:val="Heading1"/>
        <w:ind w:left="720" w:hanging="720"/>
        <w:rPr>
          <w:rFonts w:ascii="Times New Roman" w:hAnsi="Times New Roman" w:cs="Times New Roman"/>
          <w:sz w:val="22"/>
          <w:szCs w:val="22"/>
        </w:rPr>
      </w:pPr>
      <w:bookmarkStart w:id="106" w:name="_Toc201152809"/>
      <w:bookmarkStart w:id="107" w:name="_Toc201153922"/>
      <w:bookmarkStart w:id="108" w:name="_Toc203626027"/>
      <w:bookmarkStart w:id="109" w:name="_Toc203626134"/>
      <w:bookmarkStart w:id="110" w:name="_Toc203711628"/>
      <w:bookmarkStart w:id="111" w:name="_Toc203715775"/>
      <w:bookmarkStart w:id="112" w:name="_Toc434488003"/>
      <w:r w:rsidRPr="00AC1525">
        <w:rPr>
          <w:rFonts w:ascii="Times New Roman" w:hAnsi="Times New Roman" w:cs="Times New Roman"/>
          <w:sz w:val="22"/>
          <w:szCs w:val="22"/>
        </w:rPr>
        <w:t>3.</w:t>
      </w:r>
      <w:r w:rsidRPr="00AC1525">
        <w:rPr>
          <w:rFonts w:ascii="Times New Roman" w:hAnsi="Times New Roman" w:cs="Times New Roman"/>
          <w:sz w:val="22"/>
          <w:szCs w:val="22"/>
        </w:rPr>
        <w:tab/>
        <w:t>NONDUPLICATION, CONSULTATIONS, AND OTHER COLLECTION CRITERIA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AC1525">
        <w:rPr>
          <w:rFonts w:ascii="Times New Roman" w:hAnsi="Times New Roman" w:cs="Times New Roman"/>
          <w:sz w:val="22"/>
          <w:szCs w:val="22"/>
        </w:rPr>
        <w:tab/>
      </w:r>
    </w:p>
    <w:p w:rsidR="00146A6C" w:rsidRPr="00AC1525" w14:paraId="340450E8" w14:textId="77777777">
      <w:pPr>
        <w:pStyle w:val="Heading2"/>
        <w:ind w:firstLine="720"/>
        <w:rPr>
          <w:rFonts w:ascii="Times New Roman" w:hAnsi="Times New Roman" w:cs="Times New Roman"/>
          <w:i w:val="0"/>
          <w:iCs w:val="0"/>
          <w:sz w:val="22"/>
          <w:szCs w:val="22"/>
          <w:u w:val="single"/>
        </w:rPr>
      </w:pPr>
      <w:bookmarkStart w:id="113" w:name="_Toc146594778"/>
      <w:bookmarkStart w:id="114" w:name="_Toc194233038"/>
      <w:bookmarkStart w:id="115" w:name="_Toc194321361"/>
      <w:bookmarkStart w:id="116" w:name="_Toc194321574"/>
      <w:bookmarkStart w:id="117" w:name="_Toc194395928"/>
      <w:bookmarkStart w:id="118" w:name="_Toc195523814"/>
      <w:bookmarkStart w:id="119" w:name="_Toc195524025"/>
      <w:bookmarkStart w:id="120" w:name="_Toc198053448"/>
      <w:bookmarkStart w:id="121" w:name="_Toc199176351"/>
      <w:bookmarkStart w:id="122" w:name="_Toc201152810"/>
      <w:bookmarkStart w:id="123" w:name="_Toc201153923"/>
      <w:bookmarkStart w:id="124" w:name="_Toc203626028"/>
      <w:bookmarkStart w:id="125" w:name="_Toc203626135"/>
      <w:bookmarkStart w:id="126" w:name="_Toc203711629"/>
      <w:bookmarkStart w:id="127" w:name="_Toc203715776"/>
      <w:bookmarkStart w:id="128" w:name="_Toc434488004"/>
      <w:r w:rsidRPr="00AC1525">
        <w:rPr>
          <w:rFonts w:ascii="Times New Roman" w:hAnsi="Times New Roman" w:cs="Times New Roman"/>
          <w:i w:val="0"/>
          <w:iCs w:val="0"/>
          <w:sz w:val="22"/>
          <w:szCs w:val="22"/>
        </w:rPr>
        <w:t>3(a)</w:t>
      </w:r>
      <w:r w:rsidRPr="00AC1525">
        <w:rPr>
          <w:rFonts w:ascii="Times New Roman" w:hAnsi="Times New Roman" w:cs="Times New Roman"/>
          <w:i w:val="0"/>
          <w:iCs w:val="0"/>
          <w:sz w:val="22"/>
          <w:szCs w:val="22"/>
        </w:rPr>
        <w:tab/>
        <w:t>Nonduplication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46A6C" w:rsidRPr="00AC1525" w14:paraId="24A0A7AE" w14:textId="77777777">
      <w:pPr>
        <w:rPr>
          <w:color w:val="000000"/>
          <w:sz w:val="22"/>
          <w:szCs w:val="22"/>
        </w:rPr>
      </w:pPr>
    </w:p>
    <w:p w:rsidR="00146A6C" w:rsidRPr="00AC1525" w14:paraId="424D780E" w14:textId="77777777">
      <w:pPr>
        <w:ind w:firstLine="720"/>
        <w:rPr>
          <w:color w:val="000000"/>
          <w:sz w:val="22"/>
          <w:szCs w:val="22"/>
        </w:rPr>
      </w:pPr>
      <w:r w:rsidRPr="00AC1525">
        <w:rPr>
          <w:color w:val="000000"/>
          <w:sz w:val="22"/>
          <w:szCs w:val="22"/>
        </w:rPr>
        <w:t xml:space="preserve">None of the information required by the </w:t>
      </w:r>
      <w:r w:rsidRPr="00AC1525" w:rsidR="00ED7EA5">
        <w:rPr>
          <w:color w:val="000000"/>
          <w:sz w:val="22"/>
          <w:szCs w:val="22"/>
        </w:rPr>
        <w:t xml:space="preserve">Subpart K </w:t>
      </w:r>
      <w:r w:rsidRPr="00AC1525" w:rsidR="00367C30">
        <w:rPr>
          <w:color w:val="000000"/>
          <w:sz w:val="22"/>
          <w:szCs w:val="22"/>
        </w:rPr>
        <w:t xml:space="preserve">regulations </w:t>
      </w:r>
      <w:r w:rsidRPr="00AC1525">
        <w:rPr>
          <w:color w:val="000000"/>
          <w:sz w:val="22"/>
          <w:szCs w:val="22"/>
        </w:rPr>
        <w:t>is duplicative with any information required by the existing Federal regulations.</w:t>
      </w:r>
    </w:p>
    <w:p w:rsidR="00146A6C" w:rsidRPr="00AC1525" w14:paraId="3103939E" w14:textId="77777777">
      <w:pPr>
        <w:pStyle w:val="Heading2"/>
        <w:ind w:firstLine="720"/>
        <w:rPr>
          <w:rFonts w:ascii="Times New Roman" w:hAnsi="Times New Roman" w:cs="Times New Roman"/>
          <w:i w:val="0"/>
          <w:iCs w:val="0"/>
          <w:color w:val="000000"/>
          <w:sz w:val="22"/>
          <w:szCs w:val="22"/>
        </w:rPr>
      </w:pPr>
      <w:bookmarkStart w:id="129" w:name="_Toc146594779"/>
      <w:bookmarkStart w:id="130" w:name="_Toc194233039"/>
      <w:bookmarkStart w:id="131" w:name="_Toc194321362"/>
      <w:bookmarkStart w:id="132" w:name="_Toc194321575"/>
      <w:bookmarkStart w:id="133" w:name="_Toc194395929"/>
      <w:bookmarkStart w:id="134" w:name="_Toc195523815"/>
      <w:bookmarkStart w:id="135" w:name="_Toc195524026"/>
      <w:bookmarkStart w:id="136" w:name="_Toc198053449"/>
      <w:bookmarkStart w:id="137" w:name="_Toc199176352"/>
      <w:bookmarkStart w:id="138" w:name="_Toc201152811"/>
      <w:bookmarkStart w:id="139" w:name="_Toc201153924"/>
      <w:bookmarkStart w:id="140" w:name="_Toc203626029"/>
      <w:bookmarkStart w:id="141" w:name="_Toc203626136"/>
      <w:bookmarkStart w:id="142" w:name="_Toc203711630"/>
      <w:bookmarkStart w:id="143" w:name="_Toc203715777"/>
      <w:bookmarkStart w:id="144" w:name="_Toc434488005"/>
      <w:r w:rsidRPr="00AC1525">
        <w:rPr>
          <w:rFonts w:ascii="Times New Roman" w:hAnsi="Times New Roman" w:cs="Times New Roman"/>
          <w:i w:val="0"/>
          <w:iCs w:val="0"/>
          <w:color w:val="000000"/>
          <w:sz w:val="22"/>
          <w:szCs w:val="22"/>
        </w:rPr>
        <w:t>3(b)</w:t>
      </w:r>
      <w:r w:rsidRPr="00AC1525">
        <w:rPr>
          <w:rFonts w:ascii="Times New Roman" w:hAnsi="Times New Roman" w:cs="Times New Roman"/>
          <w:i w:val="0"/>
          <w:iCs w:val="0"/>
          <w:color w:val="000000"/>
          <w:sz w:val="22"/>
          <w:szCs w:val="22"/>
        </w:rPr>
        <w:tab/>
        <w:t>Public Notice</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146A6C" w:rsidRPr="00AC1525" w14:paraId="7142E8C4" w14:textId="77777777">
      <w:pPr>
        <w:rPr>
          <w:color w:val="000000"/>
          <w:sz w:val="22"/>
          <w:szCs w:val="22"/>
        </w:rPr>
      </w:pPr>
    </w:p>
    <w:p w:rsidR="00146A6C" w:rsidRPr="00AC1525" w:rsidP="00D92D00" w14:paraId="2EE89546" w14:textId="38C3AE4B">
      <w:pPr>
        <w:ind w:firstLine="720"/>
        <w:rPr>
          <w:color w:val="000000"/>
          <w:sz w:val="22"/>
          <w:szCs w:val="22"/>
        </w:rPr>
      </w:pPr>
      <w:r w:rsidRPr="00AC1525">
        <w:rPr>
          <w:color w:val="000000"/>
          <w:sz w:val="22"/>
          <w:szCs w:val="22"/>
        </w:rPr>
        <w:t xml:space="preserve">In compliance with the Paperwork Reduction Act (44 U.S.C. 3501 et seq.), the Agency issued a notice in the Federal Register on </w:t>
      </w:r>
      <w:r w:rsidRPr="00AC1525" w:rsidR="00FA2EC0">
        <w:rPr>
          <w:color w:val="000000"/>
          <w:sz w:val="22"/>
          <w:szCs w:val="22"/>
        </w:rPr>
        <w:t>May 2, 2022</w:t>
      </w:r>
      <w:r w:rsidRPr="00AC1525" w:rsidR="00D316BC">
        <w:rPr>
          <w:color w:val="000000"/>
          <w:sz w:val="22"/>
          <w:szCs w:val="22"/>
        </w:rPr>
        <w:t xml:space="preserve"> (</w:t>
      </w:r>
      <w:r w:rsidRPr="00AC1525" w:rsidR="006D13C6">
        <w:rPr>
          <w:sz w:val="22"/>
          <w:szCs w:val="22"/>
        </w:rPr>
        <w:t>8</w:t>
      </w:r>
      <w:r w:rsidRPr="00AC1525" w:rsidR="00FA2EC0">
        <w:rPr>
          <w:sz w:val="22"/>
          <w:szCs w:val="22"/>
        </w:rPr>
        <w:t>7</w:t>
      </w:r>
      <w:r w:rsidRPr="00AC1525" w:rsidR="006D13C6">
        <w:rPr>
          <w:sz w:val="22"/>
          <w:szCs w:val="22"/>
        </w:rPr>
        <w:t xml:space="preserve"> FR </w:t>
      </w:r>
      <w:r w:rsidRPr="00AC1525" w:rsidR="00FA2EC0">
        <w:rPr>
          <w:sz w:val="22"/>
          <w:szCs w:val="22"/>
        </w:rPr>
        <w:t>25636</w:t>
      </w:r>
      <w:r w:rsidRPr="00AC1525" w:rsidR="00D316BC">
        <w:rPr>
          <w:color w:val="000000"/>
          <w:sz w:val="22"/>
          <w:szCs w:val="22"/>
        </w:rPr>
        <w:t>)</w:t>
      </w:r>
      <w:r w:rsidRPr="00AC1525">
        <w:rPr>
          <w:color w:val="000000"/>
          <w:sz w:val="22"/>
          <w:szCs w:val="22"/>
        </w:rPr>
        <w:t xml:space="preserve">, soliciting public comments on the accuracy of the burden estimates in this supporting statement. </w:t>
      </w:r>
      <w:r w:rsidRPr="00AC1525" w:rsidR="00367C30">
        <w:rPr>
          <w:color w:val="000000"/>
          <w:sz w:val="22"/>
          <w:szCs w:val="22"/>
        </w:rPr>
        <w:t xml:space="preserve"> </w:t>
      </w:r>
      <w:r w:rsidRPr="00AC1525">
        <w:rPr>
          <w:color w:val="000000"/>
          <w:sz w:val="22"/>
          <w:szCs w:val="22"/>
        </w:rPr>
        <w:t>No comments were received.</w:t>
      </w:r>
    </w:p>
    <w:p w:rsidR="00146A6C" w:rsidRPr="00AC1525" w14:paraId="2BB371D4" w14:textId="77777777">
      <w:pPr>
        <w:pStyle w:val="Heading2"/>
        <w:ind w:firstLine="720"/>
        <w:rPr>
          <w:rFonts w:ascii="Times New Roman" w:hAnsi="Times New Roman" w:cs="Times New Roman"/>
          <w:i w:val="0"/>
          <w:iCs w:val="0"/>
          <w:color w:val="000000"/>
          <w:sz w:val="22"/>
          <w:szCs w:val="22"/>
        </w:rPr>
      </w:pPr>
      <w:bookmarkStart w:id="145" w:name="_Toc146594780"/>
      <w:bookmarkStart w:id="146" w:name="_Toc194233040"/>
      <w:bookmarkStart w:id="147" w:name="_Toc194321363"/>
      <w:bookmarkStart w:id="148" w:name="_Toc194321576"/>
      <w:bookmarkStart w:id="149" w:name="_Toc194395930"/>
      <w:bookmarkStart w:id="150" w:name="_Toc195523816"/>
      <w:bookmarkStart w:id="151" w:name="_Toc195524027"/>
      <w:bookmarkStart w:id="152" w:name="_Toc198053450"/>
      <w:bookmarkStart w:id="153" w:name="_Toc199176353"/>
      <w:bookmarkStart w:id="154" w:name="_Toc201152812"/>
      <w:bookmarkStart w:id="155" w:name="_Toc201153925"/>
      <w:bookmarkStart w:id="156" w:name="_Toc203626030"/>
      <w:bookmarkStart w:id="157" w:name="_Toc203626137"/>
      <w:bookmarkStart w:id="158" w:name="_Toc203711631"/>
      <w:bookmarkStart w:id="159" w:name="_Toc203715778"/>
      <w:bookmarkStart w:id="160" w:name="_Toc434488006"/>
      <w:r w:rsidRPr="00AC1525">
        <w:rPr>
          <w:rFonts w:ascii="Times New Roman" w:hAnsi="Times New Roman" w:cs="Times New Roman"/>
          <w:i w:val="0"/>
          <w:iCs w:val="0"/>
          <w:color w:val="000000"/>
          <w:sz w:val="22"/>
          <w:szCs w:val="22"/>
        </w:rPr>
        <w:t>3(c)</w:t>
      </w:r>
      <w:r w:rsidRPr="00AC1525">
        <w:rPr>
          <w:rFonts w:ascii="Times New Roman" w:hAnsi="Times New Roman" w:cs="Times New Roman"/>
          <w:i w:val="0"/>
          <w:iCs w:val="0"/>
          <w:color w:val="000000"/>
          <w:sz w:val="22"/>
          <w:szCs w:val="22"/>
        </w:rPr>
        <w:tab/>
        <w:t>Consultations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146A6C" w:rsidRPr="00AC1525" w14:paraId="1E228BDD" w14:textId="77777777">
      <w:pPr>
        <w:ind w:firstLine="720"/>
        <w:rPr>
          <w:color w:val="000000"/>
          <w:sz w:val="22"/>
          <w:szCs w:val="22"/>
        </w:rPr>
      </w:pPr>
    </w:p>
    <w:p w:rsidR="0091516C" w:rsidP="00367C30" w14:paraId="2E5C5974" w14:textId="0E0296F6">
      <w:pPr>
        <w:ind w:firstLine="720"/>
        <w:rPr>
          <w:color w:val="000000"/>
          <w:sz w:val="22"/>
          <w:szCs w:val="22"/>
        </w:rPr>
      </w:pPr>
      <w:r w:rsidRPr="00AC1525">
        <w:rPr>
          <w:color w:val="000000"/>
          <w:sz w:val="22"/>
          <w:szCs w:val="22"/>
        </w:rPr>
        <w:t xml:space="preserve">In updating this ICR, EPA spoke with </w:t>
      </w:r>
      <w:r w:rsidRPr="00AC1525">
        <w:rPr>
          <w:color w:val="000000"/>
          <w:sz w:val="22"/>
          <w:szCs w:val="22"/>
        </w:rPr>
        <w:t>a number of</w:t>
      </w:r>
      <w:r w:rsidRPr="00AC1525">
        <w:rPr>
          <w:color w:val="000000"/>
          <w:sz w:val="22"/>
          <w:szCs w:val="22"/>
        </w:rPr>
        <w:t xml:space="preserve"> </w:t>
      </w:r>
      <w:r w:rsidR="00B352D8">
        <w:rPr>
          <w:color w:val="000000"/>
          <w:sz w:val="22"/>
          <w:szCs w:val="22"/>
        </w:rPr>
        <w:t>colleges and universities with laboratories affected by this ICR</w:t>
      </w:r>
      <w:r w:rsidRPr="00AC1525">
        <w:rPr>
          <w:color w:val="000000"/>
          <w:sz w:val="22"/>
          <w:szCs w:val="22"/>
        </w:rPr>
        <w:t xml:space="preserve">. </w:t>
      </w:r>
      <w:r w:rsidR="00B352D8">
        <w:rPr>
          <w:color w:val="000000"/>
          <w:sz w:val="22"/>
          <w:szCs w:val="22"/>
        </w:rPr>
        <w:t>They are indicated below.  All responded that the burden estimates were accurate.</w:t>
      </w:r>
    </w:p>
    <w:p w:rsidR="00B352D8" w:rsidP="00367C30" w14:paraId="14660F5F" w14:textId="77777777">
      <w:pPr>
        <w:ind w:firstLine="720"/>
        <w:rPr>
          <w:color w:val="000000"/>
          <w:sz w:val="22"/>
          <w:szCs w:val="22"/>
        </w:rPr>
      </w:pPr>
    </w:p>
    <w:tbl>
      <w:tblPr>
        <w:tblStyle w:val="TableGrid"/>
        <w:tblW w:w="0" w:type="auto"/>
        <w:tblLook w:val="04A0"/>
      </w:tblPr>
      <w:tblGrid>
        <w:gridCol w:w="4295"/>
        <w:gridCol w:w="4335"/>
      </w:tblGrid>
      <w:tr w14:paraId="46C9544A" w14:textId="77777777" w:rsidTr="00860CE6">
        <w:tblPrEx>
          <w:tblW w:w="0" w:type="auto"/>
          <w:tblLook w:val="04A0"/>
        </w:tblPrEx>
        <w:tc>
          <w:tcPr>
            <w:tcW w:w="4675" w:type="dxa"/>
          </w:tcPr>
          <w:p w:rsidR="00B352D8" w:rsidRPr="00B352D8" w:rsidP="00860CE6" w14:paraId="224B1E1E" w14:textId="77777777">
            <w:pPr>
              <w:rPr>
                <w:b/>
                <w:bCs/>
                <w:sz w:val="22"/>
                <w:szCs w:val="22"/>
              </w:rPr>
            </w:pPr>
            <w:r w:rsidRPr="00B352D8">
              <w:rPr>
                <w:b/>
                <w:bCs/>
                <w:sz w:val="22"/>
                <w:szCs w:val="22"/>
              </w:rPr>
              <w:t>Contact Name</w:t>
            </w:r>
          </w:p>
        </w:tc>
        <w:tc>
          <w:tcPr>
            <w:tcW w:w="4675" w:type="dxa"/>
          </w:tcPr>
          <w:p w:rsidR="00B352D8" w:rsidRPr="00B352D8" w:rsidP="00860CE6" w14:paraId="36CF38F8" w14:textId="77777777">
            <w:pPr>
              <w:rPr>
                <w:b/>
                <w:bCs/>
                <w:sz w:val="22"/>
                <w:szCs w:val="22"/>
              </w:rPr>
            </w:pPr>
            <w:r w:rsidRPr="00B352D8">
              <w:rPr>
                <w:b/>
                <w:bCs/>
                <w:sz w:val="22"/>
                <w:szCs w:val="22"/>
              </w:rPr>
              <w:t>University</w:t>
            </w:r>
          </w:p>
        </w:tc>
      </w:tr>
      <w:tr w14:paraId="3183CA96" w14:textId="77777777" w:rsidTr="00860CE6">
        <w:tblPrEx>
          <w:tblW w:w="0" w:type="auto"/>
          <w:tblLook w:val="04A0"/>
        </w:tblPrEx>
        <w:tc>
          <w:tcPr>
            <w:tcW w:w="4675" w:type="dxa"/>
          </w:tcPr>
          <w:p w:rsidR="00B352D8" w:rsidRPr="00B352D8" w:rsidP="00860CE6" w14:paraId="34B37EB0" w14:textId="77777777">
            <w:pPr>
              <w:rPr>
                <w:sz w:val="22"/>
                <w:szCs w:val="22"/>
              </w:rPr>
            </w:pPr>
            <w:r w:rsidRPr="00B352D8">
              <w:rPr>
                <w:sz w:val="22"/>
                <w:szCs w:val="22"/>
              </w:rPr>
              <w:t xml:space="preserve">Bhatta </w:t>
            </w:r>
            <w:r w:rsidRPr="00B352D8">
              <w:rPr>
                <w:sz w:val="22"/>
                <w:szCs w:val="22"/>
              </w:rPr>
              <w:t>Nabin</w:t>
            </w:r>
          </w:p>
        </w:tc>
        <w:tc>
          <w:tcPr>
            <w:tcW w:w="4675" w:type="dxa"/>
          </w:tcPr>
          <w:p w:rsidR="00B352D8" w:rsidRPr="00B352D8" w:rsidP="00860CE6" w14:paraId="650FFDAD" w14:textId="77777777">
            <w:pPr>
              <w:rPr>
                <w:sz w:val="22"/>
                <w:szCs w:val="22"/>
              </w:rPr>
            </w:pPr>
            <w:r w:rsidRPr="00B352D8">
              <w:rPr>
                <w:sz w:val="22"/>
                <w:szCs w:val="22"/>
              </w:rPr>
              <w:t>The University of Oklahoma</w:t>
            </w:r>
          </w:p>
        </w:tc>
      </w:tr>
      <w:tr w14:paraId="5D15A2D4" w14:textId="77777777" w:rsidTr="00860CE6">
        <w:tblPrEx>
          <w:tblW w:w="0" w:type="auto"/>
          <w:tblLook w:val="04A0"/>
        </w:tblPrEx>
        <w:tc>
          <w:tcPr>
            <w:tcW w:w="4675" w:type="dxa"/>
          </w:tcPr>
          <w:p w:rsidR="00B352D8" w:rsidRPr="00B352D8" w:rsidP="00860CE6" w14:paraId="27FFB62F" w14:textId="77777777">
            <w:pPr>
              <w:rPr>
                <w:sz w:val="22"/>
                <w:szCs w:val="22"/>
              </w:rPr>
            </w:pPr>
            <w:r w:rsidRPr="00B352D8">
              <w:rPr>
                <w:sz w:val="22"/>
                <w:szCs w:val="22"/>
              </w:rPr>
              <w:t>James Crandall &amp; Charles Williams</w:t>
            </w:r>
          </w:p>
        </w:tc>
        <w:tc>
          <w:tcPr>
            <w:tcW w:w="4675" w:type="dxa"/>
          </w:tcPr>
          <w:p w:rsidR="00B352D8" w:rsidRPr="00B352D8" w:rsidP="00860CE6" w14:paraId="17FCECD0" w14:textId="77777777">
            <w:pPr>
              <w:rPr>
                <w:sz w:val="22"/>
                <w:szCs w:val="22"/>
              </w:rPr>
            </w:pPr>
            <w:r w:rsidRPr="00B352D8">
              <w:rPr>
                <w:sz w:val="22"/>
                <w:szCs w:val="22"/>
              </w:rPr>
              <w:t>Pennsylvania State University</w:t>
            </w:r>
          </w:p>
        </w:tc>
      </w:tr>
      <w:tr w14:paraId="20F7A7E3" w14:textId="77777777" w:rsidTr="00860CE6">
        <w:tblPrEx>
          <w:tblW w:w="0" w:type="auto"/>
          <w:tblLook w:val="04A0"/>
        </w:tblPrEx>
        <w:tc>
          <w:tcPr>
            <w:tcW w:w="4675" w:type="dxa"/>
          </w:tcPr>
          <w:p w:rsidR="00B352D8" w:rsidRPr="00B352D8" w:rsidP="00860CE6" w14:paraId="221492DB" w14:textId="77777777">
            <w:pPr>
              <w:rPr>
                <w:sz w:val="22"/>
                <w:szCs w:val="22"/>
              </w:rPr>
            </w:pPr>
            <w:r w:rsidRPr="00B352D8">
              <w:rPr>
                <w:sz w:val="22"/>
                <w:szCs w:val="22"/>
              </w:rPr>
              <w:t>Gail Hall</w:t>
            </w:r>
          </w:p>
        </w:tc>
        <w:tc>
          <w:tcPr>
            <w:tcW w:w="4675" w:type="dxa"/>
          </w:tcPr>
          <w:p w:rsidR="00B352D8" w:rsidRPr="00B352D8" w:rsidP="00860CE6" w14:paraId="0A52AE5C" w14:textId="77777777">
            <w:pPr>
              <w:rPr>
                <w:sz w:val="22"/>
                <w:szCs w:val="22"/>
              </w:rPr>
            </w:pPr>
            <w:r w:rsidRPr="00B352D8">
              <w:rPr>
                <w:sz w:val="22"/>
                <w:szCs w:val="22"/>
              </w:rPr>
              <w:t>Boston College</w:t>
            </w:r>
          </w:p>
        </w:tc>
      </w:tr>
      <w:tr w14:paraId="55875C49" w14:textId="77777777" w:rsidTr="00860CE6">
        <w:tblPrEx>
          <w:tblW w:w="0" w:type="auto"/>
          <w:tblLook w:val="04A0"/>
        </w:tblPrEx>
        <w:tc>
          <w:tcPr>
            <w:tcW w:w="4675" w:type="dxa"/>
          </w:tcPr>
          <w:p w:rsidR="00B352D8" w:rsidRPr="00B352D8" w:rsidP="00860CE6" w14:paraId="57F0663C" w14:textId="77777777">
            <w:pPr>
              <w:rPr>
                <w:sz w:val="22"/>
                <w:szCs w:val="22"/>
              </w:rPr>
            </w:pPr>
            <w:r w:rsidRPr="00B352D8">
              <w:rPr>
                <w:sz w:val="22"/>
                <w:szCs w:val="22"/>
              </w:rPr>
              <w:t>Michael B Blayney</w:t>
            </w:r>
          </w:p>
        </w:tc>
        <w:tc>
          <w:tcPr>
            <w:tcW w:w="4675" w:type="dxa"/>
          </w:tcPr>
          <w:p w:rsidR="00B352D8" w:rsidRPr="00B352D8" w:rsidP="00860CE6" w14:paraId="3C8F0388" w14:textId="77777777">
            <w:pPr>
              <w:rPr>
                <w:sz w:val="22"/>
                <w:szCs w:val="22"/>
              </w:rPr>
            </w:pPr>
            <w:r w:rsidRPr="00B352D8">
              <w:rPr>
                <w:sz w:val="22"/>
                <w:szCs w:val="22"/>
              </w:rPr>
              <w:t>Northwestern University</w:t>
            </w:r>
          </w:p>
        </w:tc>
      </w:tr>
      <w:tr w14:paraId="31F20A01" w14:textId="77777777" w:rsidTr="00860CE6">
        <w:tblPrEx>
          <w:tblW w:w="0" w:type="auto"/>
          <w:tblLook w:val="04A0"/>
        </w:tblPrEx>
        <w:tc>
          <w:tcPr>
            <w:tcW w:w="4675" w:type="dxa"/>
          </w:tcPr>
          <w:p w:rsidR="00B352D8" w:rsidRPr="00B352D8" w:rsidP="00860CE6" w14:paraId="44EC3B3B" w14:textId="77777777">
            <w:pPr>
              <w:rPr>
                <w:sz w:val="22"/>
                <w:szCs w:val="22"/>
              </w:rPr>
            </w:pPr>
            <w:r w:rsidRPr="00B352D8">
              <w:rPr>
                <w:sz w:val="22"/>
                <w:szCs w:val="22"/>
              </w:rPr>
              <w:t>Janeen Hale</w:t>
            </w:r>
          </w:p>
        </w:tc>
        <w:tc>
          <w:tcPr>
            <w:tcW w:w="4675" w:type="dxa"/>
          </w:tcPr>
          <w:p w:rsidR="00B352D8" w:rsidRPr="00B352D8" w:rsidP="00860CE6" w14:paraId="35A910B0" w14:textId="77777777">
            <w:pPr>
              <w:rPr>
                <w:sz w:val="22"/>
                <w:szCs w:val="22"/>
              </w:rPr>
            </w:pPr>
            <w:r w:rsidRPr="00B352D8">
              <w:rPr>
                <w:sz w:val="22"/>
                <w:szCs w:val="22"/>
              </w:rPr>
              <w:t>Midwestern University</w:t>
            </w:r>
          </w:p>
        </w:tc>
      </w:tr>
    </w:tbl>
    <w:p w:rsidR="00146A6C" w:rsidRPr="00AC1525" w14:paraId="3521379C" w14:textId="77777777">
      <w:pPr>
        <w:pStyle w:val="Heading2"/>
        <w:ind w:firstLine="720"/>
        <w:rPr>
          <w:rFonts w:ascii="Times New Roman" w:hAnsi="Times New Roman" w:cs="Times New Roman"/>
          <w:i w:val="0"/>
          <w:iCs w:val="0"/>
          <w:color w:val="000000"/>
          <w:sz w:val="22"/>
          <w:szCs w:val="22"/>
        </w:rPr>
      </w:pPr>
      <w:bookmarkStart w:id="161" w:name="_Toc146594781"/>
      <w:bookmarkStart w:id="162" w:name="_Toc194233041"/>
      <w:bookmarkStart w:id="163" w:name="_Toc194321364"/>
      <w:bookmarkStart w:id="164" w:name="_Toc194321577"/>
      <w:bookmarkStart w:id="165" w:name="_Toc194395931"/>
      <w:bookmarkStart w:id="166" w:name="_Toc195523817"/>
      <w:bookmarkStart w:id="167" w:name="_Toc195524028"/>
      <w:bookmarkStart w:id="168" w:name="_Toc198053451"/>
      <w:bookmarkStart w:id="169" w:name="_Toc199176354"/>
      <w:bookmarkStart w:id="170" w:name="_Toc201152813"/>
      <w:bookmarkStart w:id="171" w:name="_Toc201153926"/>
      <w:bookmarkStart w:id="172" w:name="_Toc203626031"/>
      <w:bookmarkStart w:id="173" w:name="_Toc203626138"/>
      <w:bookmarkStart w:id="174" w:name="_Toc203711632"/>
      <w:bookmarkStart w:id="175" w:name="_Toc203715779"/>
      <w:bookmarkStart w:id="176" w:name="_Toc434488007"/>
      <w:r w:rsidRPr="00AC1525">
        <w:rPr>
          <w:rFonts w:ascii="Times New Roman" w:hAnsi="Times New Roman" w:cs="Times New Roman"/>
          <w:i w:val="0"/>
          <w:iCs w:val="0"/>
          <w:color w:val="000000"/>
          <w:sz w:val="22"/>
          <w:szCs w:val="22"/>
        </w:rPr>
        <w:t>3(d)</w:t>
      </w:r>
      <w:r w:rsidRPr="00AC1525">
        <w:rPr>
          <w:rFonts w:ascii="Times New Roman" w:hAnsi="Times New Roman" w:cs="Times New Roman"/>
          <w:i w:val="0"/>
          <w:iCs w:val="0"/>
          <w:color w:val="000000"/>
          <w:sz w:val="22"/>
          <w:szCs w:val="22"/>
        </w:rPr>
        <w:tab/>
        <w:t>Effects of Less Frequent Collection</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146A6C" w:rsidRPr="00AC1525" w14:paraId="565F330A" w14:textId="77777777">
      <w:pPr>
        <w:rPr>
          <w:color w:val="000000"/>
          <w:sz w:val="22"/>
          <w:szCs w:val="22"/>
        </w:rPr>
      </w:pPr>
    </w:p>
    <w:p w:rsidR="00146A6C" w:rsidRPr="00AC1525" w14:paraId="1D35D888" w14:textId="0BCE7C38">
      <w:pPr>
        <w:ind w:firstLine="720"/>
        <w:rPr>
          <w:sz w:val="22"/>
          <w:szCs w:val="22"/>
        </w:rPr>
      </w:pPr>
      <w:r w:rsidRPr="00AC1525">
        <w:rPr>
          <w:color w:val="000000"/>
          <w:sz w:val="22"/>
          <w:szCs w:val="22"/>
        </w:rPr>
        <w:t>EPA has carefully considered the information collection burden imposed by the final rule</w:t>
      </w:r>
      <w:r w:rsidRPr="00AC1525" w:rsidR="001111FB">
        <w:rPr>
          <w:color w:val="000000"/>
          <w:sz w:val="22"/>
          <w:szCs w:val="22"/>
        </w:rPr>
        <w:t xml:space="preserve"> promulgating the Subpart K regulations</w:t>
      </w:r>
      <w:r w:rsidRPr="00AC1525">
        <w:rPr>
          <w:color w:val="000000"/>
          <w:sz w:val="22"/>
          <w:szCs w:val="22"/>
        </w:rPr>
        <w:t xml:space="preserve">.  EPA is confident that those activities required of respondents are necessary, and to the extent possible, the Agency has attempted to minimize the burden imposed. </w:t>
      </w:r>
      <w:r w:rsidRPr="00AC1525">
        <w:rPr>
          <w:color w:val="000000"/>
          <w:sz w:val="22"/>
          <w:szCs w:val="22"/>
        </w:rPr>
        <w:t>A number of</w:t>
      </w:r>
      <w:r w:rsidRPr="00AC1525">
        <w:rPr>
          <w:color w:val="000000"/>
          <w:sz w:val="22"/>
          <w:szCs w:val="22"/>
        </w:rPr>
        <w:t xml:space="preserve"> the required activities, for example, will be performed once (e.g., one-time notifications).  EPA </w:t>
      </w:r>
      <w:r w:rsidRPr="00AC1525">
        <w:rPr>
          <w:color w:val="000000"/>
          <w:sz w:val="22"/>
          <w:szCs w:val="22"/>
        </w:rPr>
        <w:t>believes strongly</w:t>
      </w:r>
      <w:r w:rsidRPr="00AC1525">
        <w:rPr>
          <w:color w:val="000000"/>
          <w:sz w:val="22"/>
          <w:szCs w:val="22"/>
        </w:rPr>
        <w:t xml:space="preserve"> that, if the minimum information collection requirements of the rule are not met, EPA will not be able to ensure that the unwanted material generated in laboratories is being properly managed and do not pose a threat to human health and the environment</w:t>
      </w:r>
      <w:r w:rsidRPr="00AC1525">
        <w:rPr>
          <w:sz w:val="22"/>
          <w:szCs w:val="22"/>
        </w:rPr>
        <w:t>.</w:t>
      </w:r>
    </w:p>
    <w:p w:rsidR="00146A6C" w:rsidRPr="00AC1525" w14:paraId="35C0A157" w14:textId="77777777">
      <w:pPr>
        <w:pStyle w:val="Heading2"/>
        <w:ind w:firstLine="720"/>
        <w:rPr>
          <w:rFonts w:ascii="Times New Roman" w:hAnsi="Times New Roman" w:cs="Times New Roman"/>
          <w:i w:val="0"/>
          <w:iCs w:val="0"/>
          <w:sz w:val="22"/>
          <w:szCs w:val="22"/>
        </w:rPr>
      </w:pPr>
      <w:bookmarkStart w:id="177" w:name="_Toc146594782"/>
      <w:bookmarkStart w:id="178" w:name="_Toc194233042"/>
      <w:bookmarkStart w:id="179" w:name="_Toc194321365"/>
      <w:bookmarkStart w:id="180" w:name="_Toc194321578"/>
      <w:bookmarkStart w:id="181" w:name="_Toc194395932"/>
      <w:bookmarkStart w:id="182" w:name="_Toc195523818"/>
      <w:bookmarkStart w:id="183" w:name="_Toc195524029"/>
      <w:bookmarkStart w:id="184" w:name="_Toc198053452"/>
      <w:bookmarkStart w:id="185" w:name="_Toc199176355"/>
      <w:bookmarkStart w:id="186" w:name="_Toc201152814"/>
      <w:bookmarkStart w:id="187" w:name="_Toc201153927"/>
      <w:bookmarkStart w:id="188" w:name="_Toc203626032"/>
      <w:bookmarkStart w:id="189" w:name="_Toc203626139"/>
      <w:bookmarkStart w:id="190" w:name="_Toc203711633"/>
      <w:bookmarkStart w:id="191" w:name="_Toc203715780"/>
      <w:bookmarkStart w:id="192" w:name="_Toc434488008"/>
      <w:r w:rsidRPr="00AC1525">
        <w:rPr>
          <w:rFonts w:ascii="Times New Roman" w:hAnsi="Times New Roman" w:cs="Times New Roman"/>
          <w:i w:val="0"/>
          <w:iCs w:val="0"/>
          <w:sz w:val="22"/>
          <w:szCs w:val="22"/>
        </w:rPr>
        <w:t>3(e)</w:t>
      </w:r>
      <w:r w:rsidRPr="00AC1525">
        <w:rPr>
          <w:rFonts w:ascii="Times New Roman" w:hAnsi="Times New Roman" w:cs="Times New Roman"/>
          <w:i w:val="0"/>
          <w:iCs w:val="0"/>
          <w:sz w:val="22"/>
          <w:szCs w:val="22"/>
        </w:rPr>
        <w:tab/>
        <w:t>General Guidelines</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146A6C" w:rsidRPr="00AC1525" w14:paraId="39FA4878" w14:textId="77777777">
      <w:pPr>
        <w:keepNext/>
        <w:rPr>
          <w:sz w:val="22"/>
          <w:szCs w:val="22"/>
        </w:rPr>
      </w:pPr>
    </w:p>
    <w:p w:rsidR="00146A6C" w:rsidRPr="00AC1525" w14:paraId="51BAF078" w14:textId="77777777">
      <w:pPr>
        <w:keepNext/>
        <w:ind w:firstLine="720"/>
        <w:rPr>
          <w:sz w:val="22"/>
          <w:szCs w:val="22"/>
        </w:rPr>
      </w:pPr>
      <w:r w:rsidRPr="00AC1525">
        <w:rPr>
          <w:sz w:val="22"/>
          <w:szCs w:val="22"/>
        </w:rPr>
        <w:t>This ICR adheres to the guidelines stated in the Paperwork Reduction Act of 1995, OMB’s implementing regulations, EPA’s ICR Handbook, and other applicable OMB guidance.</w:t>
      </w:r>
    </w:p>
    <w:p w:rsidR="00146A6C" w:rsidRPr="00AC1525" w14:paraId="0BA8135F" w14:textId="77777777">
      <w:pPr>
        <w:pStyle w:val="Heading2"/>
        <w:ind w:firstLine="720"/>
        <w:rPr>
          <w:rFonts w:ascii="Times New Roman" w:hAnsi="Times New Roman" w:cs="Times New Roman"/>
          <w:i w:val="0"/>
          <w:iCs w:val="0"/>
          <w:sz w:val="22"/>
          <w:szCs w:val="22"/>
        </w:rPr>
      </w:pPr>
      <w:bookmarkStart w:id="193" w:name="_Toc146594783"/>
      <w:bookmarkStart w:id="194" w:name="_Toc194233043"/>
      <w:bookmarkStart w:id="195" w:name="_Toc194321366"/>
      <w:bookmarkStart w:id="196" w:name="_Toc194321579"/>
      <w:bookmarkStart w:id="197" w:name="_Toc194395933"/>
      <w:bookmarkStart w:id="198" w:name="_Toc195523819"/>
      <w:bookmarkStart w:id="199" w:name="_Toc195524030"/>
      <w:bookmarkStart w:id="200" w:name="_Toc198053453"/>
      <w:bookmarkStart w:id="201" w:name="_Toc199176356"/>
      <w:bookmarkStart w:id="202" w:name="_Toc201152815"/>
      <w:bookmarkStart w:id="203" w:name="_Toc201153928"/>
      <w:bookmarkStart w:id="204" w:name="_Toc203626033"/>
      <w:bookmarkStart w:id="205" w:name="_Toc203626140"/>
      <w:bookmarkStart w:id="206" w:name="_Toc203711634"/>
      <w:bookmarkStart w:id="207" w:name="_Toc203715781"/>
      <w:bookmarkStart w:id="208" w:name="_Toc434488009"/>
      <w:r w:rsidRPr="00AC1525">
        <w:rPr>
          <w:rFonts w:ascii="Times New Roman" w:hAnsi="Times New Roman" w:cs="Times New Roman"/>
          <w:i w:val="0"/>
          <w:iCs w:val="0"/>
          <w:sz w:val="22"/>
          <w:szCs w:val="22"/>
        </w:rPr>
        <w:t>3(f)</w:t>
      </w:r>
      <w:r w:rsidRPr="00AC1525">
        <w:rPr>
          <w:rFonts w:ascii="Times New Roman" w:hAnsi="Times New Roman" w:cs="Times New Roman"/>
          <w:i w:val="0"/>
          <w:iCs w:val="0"/>
          <w:sz w:val="22"/>
          <w:szCs w:val="22"/>
        </w:rPr>
        <w:tab/>
        <w:t>Confidentiality</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146A6C" w:rsidRPr="00AC1525" w14:paraId="49FBECF1" w14:textId="77777777">
      <w:pPr>
        <w:ind w:firstLine="720"/>
        <w:rPr>
          <w:sz w:val="22"/>
          <w:szCs w:val="22"/>
        </w:rPr>
      </w:pPr>
    </w:p>
    <w:p w:rsidR="00146A6C" w:rsidRPr="00AC1525" w14:paraId="60BDB3B0" w14:textId="77777777">
      <w:pPr>
        <w:ind w:firstLine="720"/>
        <w:rPr>
          <w:sz w:val="22"/>
          <w:szCs w:val="22"/>
        </w:rPr>
      </w:pPr>
      <w:r w:rsidRPr="00AC1525">
        <w:rPr>
          <w:sz w:val="22"/>
          <w:szCs w:val="22"/>
        </w:rPr>
        <w:t xml:space="preserve">EPA does not expect to deem any information collected under the rule to be CBI (Confidential Business Information).  If such a claim were asserted, EPA must and will treat the information in accordance with the applicable regulations (e.g., 40 </w:t>
      </w:r>
      <w:r w:rsidRPr="00AC1525">
        <w:rPr>
          <w:i/>
          <w:sz w:val="22"/>
          <w:szCs w:val="22"/>
        </w:rPr>
        <w:t>CFR</w:t>
      </w:r>
      <w:r w:rsidRPr="00AC1525">
        <w:rPr>
          <w:sz w:val="22"/>
          <w:szCs w:val="22"/>
        </w:rPr>
        <w:t xml:space="preserve"> Part 2, Subpart B).  EPA also will assure that this information collection complies with the Privacy Act of 1974 and OMB Circular 108.</w:t>
      </w:r>
    </w:p>
    <w:p w:rsidR="00146A6C" w:rsidRPr="00AC1525" w14:paraId="68A3547B" w14:textId="77777777">
      <w:pPr>
        <w:pStyle w:val="Heading2"/>
        <w:ind w:firstLine="720"/>
        <w:rPr>
          <w:rFonts w:ascii="Times New Roman" w:hAnsi="Times New Roman" w:cs="Times New Roman"/>
          <w:i w:val="0"/>
          <w:iCs w:val="0"/>
          <w:sz w:val="22"/>
          <w:szCs w:val="22"/>
        </w:rPr>
      </w:pPr>
      <w:bookmarkStart w:id="209" w:name="_Toc146594784"/>
      <w:bookmarkStart w:id="210" w:name="_Toc194233044"/>
      <w:bookmarkStart w:id="211" w:name="_Toc194321367"/>
      <w:bookmarkStart w:id="212" w:name="_Toc194321580"/>
      <w:bookmarkStart w:id="213" w:name="_Toc194395934"/>
      <w:bookmarkStart w:id="214" w:name="_Toc195523820"/>
      <w:bookmarkStart w:id="215" w:name="_Toc195524031"/>
      <w:bookmarkStart w:id="216" w:name="_Toc198053454"/>
      <w:bookmarkStart w:id="217" w:name="_Toc199176357"/>
      <w:bookmarkStart w:id="218" w:name="_Toc201152816"/>
      <w:bookmarkStart w:id="219" w:name="_Toc201153929"/>
      <w:bookmarkStart w:id="220" w:name="_Toc203626034"/>
      <w:bookmarkStart w:id="221" w:name="_Toc203626141"/>
      <w:bookmarkStart w:id="222" w:name="_Toc203711635"/>
      <w:bookmarkStart w:id="223" w:name="_Toc203715782"/>
      <w:bookmarkStart w:id="224" w:name="_Toc434488010"/>
      <w:r w:rsidRPr="00AC1525">
        <w:rPr>
          <w:rFonts w:ascii="Times New Roman" w:hAnsi="Times New Roman" w:cs="Times New Roman"/>
          <w:i w:val="0"/>
          <w:iCs w:val="0"/>
          <w:sz w:val="22"/>
          <w:szCs w:val="22"/>
        </w:rPr>
        <w:t>3(g)</w:t>
      </w:r>
      <w:r w:rsidRPr="00AC1525">
        <w:rPr>
          <w:rFonts w:ascii="Times New Roman" w:hAnsi="Times New Roman" w:cs="Times New Roman"/>
          <w:i w:val="0"/>
          <w:iCs w:val="0"/>
          <w:sz w:val="22"/>
          <w:szCs w:val="22"/>
        </w:rPr>
        <w:tab/>
        <w:t>Sensitive Questions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146A6C" w:rsidRPr="00AC1525" w14:paraId="5CECE1F3" w14:textId="77777777">
      <w:pPr>
        <w:rPr>
          <w:sz w:val="22"/>
          <w:szCs w:val="22"/>
        </w:rPr>
      </w:pPr>
    </w:p>
    <w:p w:rsidR="00146A6C" w:rsidRPr="00AC1525" w14:paraId="06A51D5E" w14:textId="77777777">
      <w:pPr>
        <w:ind w:firstLine="720"/>
        <w:rPr>
          <w:sz w:val="22"/>
          <w:szCs w:val="22"/>
        </w:rPr>
      </w:pPr>
      <w:r w:rsidRPr="00AC1525">
        <w:rPr>
          <w:sz w:val="22"/>
          <w:szCs w:val="22"/>
        </w:rPr>
        <w:t>No questions of a sensitive nature are included in the information collection requirements associated with the rule.</w:t>
      </w:r>
    </w:p>
    <w:p w:rsidR="00146A6C" w:rsidRPr="00AC1525" w14:paraId="07645CD1" w14:textId="77777777">
      <w:pPr>
        <w:pStyle w:val="Heading1"/>
        <w:rPr>
          <w:rFonts w:ascii="Times New Roman" w:hAnsi="Times New Roman" w:cs="Times New Roman"/>
          <w:sz w:val="22"/>
          <w:szCs w:val="22"/>
        </w:rPr>
      </w:pPr>
      <w:bookmarkStart w:id="225" w:name="_Toc146594785"/>
      <w:r w:rsidRPr="00AC1525">
        <w:rPr>
          <w:rFonts w:ascii="Times New Roman" w:hAnsi="Times New Roman" w:cs="Times New Roman"/>
          <w:sz w:val="22"/>
          <w:szCs w:val="22"/>
        </w:rPr>
        <w:br w:type="page"/>
      </w:r>
      <w:bookmarkStart w:id="226" w:name="_Toc194233045"/>
      <w:bookmarkStart w:id="227" w:name="_Toc194321368"/>
      <w:bookmarkStart w:id="228" w:name="_Toc194321581"/>
      <w:bookmarkStart w:id="229" w:name="_Toc194395935"/>
      <w:bookmarkStart w:id="230" w:name="_Toc195523821"/>
      <w:bookmarkStart w:id="231" w:name="_Toc195524032"/>
      <w:bookmarkStart w:id="232" w:name="_Toc198053455"/>
      <w:bookmarkStart w:id="233" w:name="_Toc199176358"/>
      <w:bookmarkStart w:id="234" w:name="_Toc201152817"/>
      <w:bookmarkStart w:id="235" w:name="_Toc201153930"/>
      <w:bookmarkStart w:id="236" w:name="_Toc203626035"/>
      <w:bookmarkStart w:id="237" w:name="_Toc203626142"/>
      <w:bookmarkStart w:id="238" w:name="_Toc203711636"/>
      <w:bookmarkStart w:id="239" w:name="_Toc203715783"/>
      <w:bookmarkStart w:id="240" w:name="_Toc434488011"/>
      <w:r w:rsidRPr="00AC1525">
        <w:rPr>
          <w:rFonts w:ascii="Times New Roman" w:hAnsi="Times New Roman" w:cs="Times New Roman"/>
          <w:sz w:val="22"/>
          <w:szCs w:val="22"/>
        </w:rPr>
        <w:t>4.</w:t>
      </w:r>
      <w:r w:rsidRPr="00AC1525">
        <w:rPr>
          <w:rFonts w:ascii="Times New Roman" w:hAnsi="Times New Roman" w:cs="Times New Roman"/>
          <w:sz w:val="22"/>
          <w:szCs w:val="22"/>
        </w:rPr>
        <w:tab/>
        <w:t>THE RESPONDENTS AND THE INFORMATION REQUESTED</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146A6C" w:rsidRPr="00AC1525" w14:paraId="30498436" w14:textId="77777777">
      <w:pPr>
        <w:pStyle w:val="Heading2"/>
        <w:ind w:firstLine="720"/>
        <w:rPr>
          <w:rFonts w:ascii="Times New Roman" w:hAnsi="Times New Roman" w:cs="Times New Roman"/>
          <w:i w:val="0"/>
          <w:iCs w:val="0"/>
          <w:sz w:val="22"/>
          <w:szCs w:val="22"/>
        </w:rPr>
      </w:pPr>
      <w:bookmarkStart w:id="241" w:name="_Toc146594786"/>
      <w:bookmarkStart w:id="242" w:name="_Toc194233046"/>
      <w:bookmarkStart w:id="243" w:name="_Toc194321369"/>
      <w:bookmarkStart w:id="244" w:name="_Toc194321582"/>
      <w:bookmarkStart w:id="245" w:name="_Toc194395936"/>
      <w:bookmarkStart w:id="246" w:name="_Toc195523822"/>
      <w:bookmarkStart w:id="247" w:name="_Toc195524033"/>
      <w:bookmarkStart w:id="248" w:name="_Toc198053456"/>
      <w:bookmarkStart w:id="249" w:name="_Toc199176359"/>
      <w:bookmarkStart w:id="250" w:name="_Toc201152818"/>
      <w:bookmarkStart w:id="251" w:name="_Toc201153931"/>
      <w:bookmarkStart w:id="252" w:name="_Toc203626036"/>
      <w:bookmarkStart w:id="253" w:name="_Toc203626143"/>
      <w:bookmarkStart w:id="254" w:name="_Toc203711637"/>
      <w:bookmarkStart w:id="255" w:name="_Toc203715784"/>
      <w:bookmarkStart w:id="256" w:name="_Toc434488012"/>
      <w:r w:rsidRPr="00AC1525">
        <w:rPr>
          <w:rFonts w:ascii="Times New Roman" w:hAnsi="Times New Roman" w:cs="Times New Roman"/>
          <w:i w:val="0"/>
          <w:iCs w:val="0"/>
          <w:sz w:val="22"/>
          <w:szCs w:val="22"/>
        </w:rPr>
        <w:t>4(a)</w:t>
      </w:r>
      <w:r w:rsidRPr="00AC1525">
        <w:rPr>
          <w:rFonts w:ascii="Times New Roman" w:hAnsi="Times New Roman" w:cs="Times New Roman"/>
          <w:i w:val="0"/>
          <w:iCs w:val="0"/>
          <w:sz w:val="22"/>
          <w:szCs w:val="22"/>
        </w:rPr>
        <w:tab/>
        <w:t>Respondents and NAICS Codes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146A6C" w:rsidRPr="00AC1525" w14:paraId="0F61CDA2" w14:textId="77777777">
      <w:pPr>
        <w:ind w:firstLine="8640"/>
        <w:rPr>
          <w:sz w:val="22"/>
          <w:szCs w:val="22"/>
        </w:rPr>
      </w:pPr>
    </w:p>
    <w:p w:rsidR="00146A6C" w:rsidRPr="00AC1525" w14:paraId="361A744D" w14:textId="77777777">
      <w:pPr>
        <w:ind w:firstLine="720"/>
        <w:rPr>
          <w:sz w:val="22"/>
          <w:szCs w:val="22"/>
        </w:rPr>
      </w:pPr>
      <w:r w:rsidRPr="00AC1525">
        <w:rPr>
          <w:sz w:val="22"/>
          <w:szCs w:val="22"/>
        </w:rPr>
        <w:t>The following is a list of North American Industry Classification System (NAICS) codes associated with industries most likely affected by the information collection requirements covered in this ICR.</w:t>
      </w:r>
    </w:p>
    <w:p w:rsidR="00146A6C" w:rsidRPr="00AC1525" w14:paraId="2FEC8D82" w14:textId="77777777">
      <w:pPr>
        <w:rPr>
          <w:sz w:val="22"/>
          <w:szCs w:val="22"/>
        </w:rPr>
      </w:pPr>
    </w:p>
    <w:p w:rsidR="00146A6C" w:rsidRPr="00AC1525" w:rsidP="001111FB" w14:paraId="20FD7E68" w14:textId="77777777">
      <w:pPr>
        <w:ind w:firstLine="720"/>
        <w:jc w:val="center"/>
        <w:rPr>
          <w:b/>
          <w:bCs/>
          <w:color w:val="3333FF"/>
          <w:sz w:val="22"/>
          <w:szCs w:val="22"/>
        </w:rPr>
      </w:pPr>
      <w:r w:rsidRPr="00AC1525">
        <w:rPr>
          <w:b/>
          <w:bCs/>
          <w:sz w:val="22"/>
          <w:szCs w:val="22"/>
        </w:rPr>
        <w:t xml:space="preserve">NAICS Codes of Entities Potentially </w:t>
      </w:r>
      <w:r w:rsidRPr="00AC1525">
        <w:rPr>
          <w:b/>
          <w:bCs/>
          <w:color w:val="000000"/>
          <w:sz w:val="22"/>
          <w:szCs w:val="22"/>
        </w:rPr>
        <w:t xml:space="preserve">Affected by </w:t>
      </w:r>
      <w:r w:rsidRPr="00AC1525" w:rsidR="001111FB">
        <w:rPr>
          <w:b/>
          <w:bCs/>
          <w:color w:val="000000"/>
          <w:sz w:val="22"/>
          <w:szCs w:val="22"/>
        </w:rPr>
        <w:t>the Subpart K Regulations</w:t>
      </w:r>
    </w:p>
    <w:p w:rsidR="001111FB" w:rsidRPr="00AC1525" w:rsidP="001111FB" w14:paraId="37E72EE1" w14:textId="77777777">
      <w:pPr>
        <w:rPr>
          <w:b/>
          <w:bCs/>
          <w:color w:val="3333FF"/>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13"/>
        <w:gridCol w:w="4317"/>
      </w:tblGrid>
      <w:tr w14:paraId="0CCE4D76" w14:textId="7777777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4417" w:type="dxa"/>
            <w:vAlign w:val="bottom"/>
          </w:tcPr>
          <w:p w:rsidR="00146A6C" w:rsidRPr="00AC1525" w14:paraId="3AFE3213" w14:textId="77777777">
            <w:pPr>
              <w:jc w:val="center"/>
              <w:rPr>
                <w:b/>
                <w:bCs/>
                <w:sz w:val="22"/>
                <w:szCs w:val="22"/>
              </w:rPr>
            </w:pPr>
            <w:r w:rsidRPr="00AC1525">
              <w:rPr>
                <w:b/>
                <w:bCs/>
                <w:sz w:val="22"/>
                <w:szCs w:val="22"/>
              </w:rPr>
              <w:t>Description of NAICS Code</w:t>
            </w:r>
          </w:p>
        </w:tc>
        <w:tc>
          <w:tcPr>
            <w:tcW w:w="4439" w:type="dxa"/>
            <w:vAlign w:val="bottom"/>
          </w:tcPr>
          <w:p w:rsidR="00146A6C" w:rsidRPr="00AC1525" w14:paraId="44D3CF8E" w14:textId="77777777">
            <w:pPr>
              <w:jc w:val="center"/>
              <w:rPr>
                <w:b/>
                <w:bCs/>
                <w:sz w:val="22"/>
                <w:szCs w:val="22"/>
              </w:rPr>
            </w:pPr>
            <w:r w:rsidRPr="00AC1525">
              <w:rPr>
                <w:b/>
                <w:bCs/>
                <w:sz w:val="22"/>
                <w:szCs w:val="22"/>
              </w:rPr>
              <w:t>NAICS Codes</w:t>
            </w:r>
          </w:p>
        </w:tc>
      </w:tr>
      <w:tr w14:paraId="46E7D7A0" w14:textId="77777777">
        <w:tblPrEx>
          <w:tblW w:w="0" w:type="auto"/>
          <w:tblLook w:val="04A0"/>
        </w:tblPrEx>
        <w:tc>
          <w:tcPr>
            <w:tcW w:w="8856" w:type="dxa"/>
            <w:gridSpan w:val="2"/>
          </w:tcPr>
          <w:p w:rsidR="00146A6C" w:rsidRPr="00AC1525" w14:paraId="617E574C" w14:textId="77777777">
            <w:pPr>
              <w:rPr>
                <w:b/>
                <w:bCs/>
                <w:sz w:val="22"/>
                <w:szCs w:val="22"/>
              </w:rPr>
            </w:pPr>
            <w:r w:rsidRPr="00AC1525">
              <w:rPr>
                <w:b/>
                <w:bCs/>
                <w:sz w:val="22"/>
                <w:szCs w:val="22"/>
              </w:rPr>
              <w:t>Colleges and Universities</w:t>
            </w:r>
          </w:p>
        </w:tc>
      </w:tr>
      <w:tr w14:paraId="004FDB9F" w14:textId="77777777">
        <w:tblPrEx>
          <w:tblW w:w="0" w:type="auto"/>
          <w:tblLook w:val="04A0"/>
        </w:tblPrEx>
        <w:tc>
          <w:tcPr>
            <w:tcW w:w="4417" w:type="dxa"/>
          </w:tcPr>
          <w:p w:rsidR="00146A6C" w:rsidRPr="00AC1525" w14:paraId="4747E6DF" w14:textId="77777777">
            <w:pPr>
              <w:keepNext/>
              <w:keepLines/>
              <w:rPr>
                <w:sz w:val="22"/>
                <w:szCs w:val="22"/>
              </w:rPr>
            </w:pPr>
            <w:r w:rsidRPr="00AC1525">
              <w:rPr>
                <w:sz w:val="22"/>
                <w:szCs w:val="22"/>
              </w:rPr>
              <w:t>Junior Colleges</w:t>
            </w:r>
          </w:p>
        </w:tc>
        <w:tc>
          <w:tcPr>
            <w:tcW w:w="4439" w:type="dxa"/>
          </w:tcPr>
          <w:p w:rsidR="00146A6C" w:rsidRPr="00AC1525" w14:paraId="2C70D95F" w14:textId="77777777">
            <w:pPr>
              <w:keepNext/>
              <w:keepLines/>
              <w:rPr>
                <w:sz w:val="22"/>
                <w:szCs w:val="22"/>
              </w:rPr>
            </w:pPr>
            <w:r w:rsidRPr="00AC1525">
              <w:rPr>
                <w:sz w:val="22"/>
                <w:szCs w:val="22"/>
              </w:rPr>
              <w:t>6112, 61121, 611210</w:t>
            </w:r>
          </w:p>
        </w:tc>
      </w:tr>
      <w:tr w14:paraId="462F6825" w14:textId="77777777">
        <w:tblPrEx>
          <w:tblW w:w="0" w:type="auto"/>
          <w:tblLook w:val="04A0"/>
        </w:tblPrEx>
        <w:tc>
          <w:tcPr>
            <w:tcW w:w="4417" w:type="dxa"/>
          </w:tcPr>
          <w:p w:rsidR="00146A6C" w:rsidRPr="00AC1525" w14:paraId="12A90887" w14:textId="77777777">
            <w:pPr>
              <w:keepNext/>
              <w:keepLines/>
              <w:rPr>
                <w:sz w:val="22"/>
                <w:szCs w:val="22"/>
              </w:rPr>
            </w:pPr>
            <w:r w:rsidRPr="00AC1525">
              <w:rPr>
                <w:sz w:val="22"/>
                <w:szCs w:val="22"/>
              </w:rPr>
              <w:t xml:space="preserve">Colleges, Universities, and Professional Schools </w:t>
            </w:r>
          </w:p>
        </w:tc>
        <w:tc>
          <w:tcPr>
            <w:tcW w:w="4439" w:type="dxa"/>
          </w:tcPr>
          <w:p w:rsidR="00146A6C" w:rsidRPr="00AC1525" w14:paraId="79B8EB7F" w14:textId="77777777">
            <w:pPr>
              <w:keepNext/>
              <w:keepLines/>
              <w:rPr>
                <w:sz w:val="22"/>
                <w:szCs w:val="22"/>
              </w:rPr>
            </w:pPr>
            <w:r w:rsidRPr="00AC1525">
              <w:rPr>
                <w:sz w:val="22"/>
                <w:szCs w:val="22"/>
              </w:rPr>
              <w:t>6113, 61131, 611310</w:t>
            </w:r>
          </w:p>
        </w:tc>
      </w:tr>
      <w:tr w14:paraId="0BD79AD9" w14:textId="77777777">
        <w:tblPrEx>
          <w:tblW w:w="0" w:type="auto"/>
          <w:tblLook w:val="04A0"/>
        </w:tblPrEx>
        <w:tc>
          <w:tcPr>
            <w:tcW w:w="4417" w:type="dxa"/>
          </w:tcPr>
          <w:p w:rsidR="00146A6C" w:rsidRPr="00AC1525" w14:paraId="23BB2CFC" w14:textId="77777777">
            <w:pPr>
              <w:keepNext/>
              <w:keepLines/>
              <w:rPr>
                <w:sz w:val="22"/>
                <w:szCs w:val="22"/>
              </w:rPr>
            </w:pPr>
            <w:r w:rsidRPr="00AC1525">
              <w:rPr>
                <w:sz w:val="22"/>
                <w:szCs w:val="22"/>
              </w:rPr>
              <w:t xml:space="preserve">Technical and Trade Schools </w:t>
            </w:r>
          </w:p>
        </w:tc>
        <w:tc>
          <w:tcPr>
            <w:tcW w:w="4439" w:type="dxa"/>
          </w:tcPr>
          <w:p w:rsidR="00146A6C" w:rsidRPr="00AC1525" w14:paraId="5EB97558" w14:textId="77777777">
            <w:pPr>
              <w:keepNext/>
              <w:keepLines/>
              <w:rPr>
                <w:sz w:val="22"/>
                <w:szCs w:val="22"/>
              </w:rPr>
            </w:pPr>
            <w:r w:rsidRPr="00AC1525">
              <w:rPr>
                <w:sz w:val="22"/>
                <w:szCs w:val="22"/>
              </w:rPr>
              <w:t>6115, 61151</w:t>
            </w:r>
          </w:p>
        </w:tc>
      </w:tr>
      <w:tr w14:paraId="543CB509" w14:textId="77777777">
        <w:tblPrEx>
          <w:tblW w:w="0" w:type="auto"/>
          <w:tblLook w:val="04A0"/>
        </w:tblPrEx>
        <w:tc>
          <w:tcPr>
            <w:tcW w:w="4417" w:type="dxa"/>
          </w:tcPr>
          <w:p w:rsidR="00146A6C" w:rsidRPr="00AC1525" w14:paraId="695C1D31" w14:textId="77777777">
            <w:pPr>
              <w:keepNext/>
              <w:keepLines/>
              <w:rPr>
                <w:sz w:val="22"/>
                <w:szCs w:val="22"/>
              </w:rPr>
            </w:pPr>
            <w:r w:rsidRPr="00AC1525">
              <w:rPr>
                <w:sz w:val="22"/>
                <w:szCs w:val="22"/>
              </w:rPr>
              <w:t xml:space="preserve">Other Technical and Trade Schools </w:t>
            </w:r>
          </w:p>
        </w:tc>
        <w:tc>
          <w:tcPr>
            <w:tcW w:w="4439" w:type="dxa"/>
          </w:tcPr>
          <w:p w:rsidR="00146A6C" w:rsidRPr="00AC1525" w14:paraId="0DD8E102" w14:textId="77777777">
            <w:pPr>
              <w:keepNext/>
              <w:keepLines/>
              <w:rPr>
                <w:sz w:val="22"/>
                <w:szCs w:val="22"/>
              </w:rPr>
            </w:pPr>
            <w:r w:rsidRPr="00AC1525">
              <w:rPr>
                <w:sz w:val="22"/>
                <w:szCs w:val="22"/>
              </w:rPr>
              <w:t>611519</w:t>
            </w:r>
          </w:p>
        </w:tc>
      </w:tr>
      <w:tr w14:paraId="698B6783" w14:textId="77777777">
        <w:tblPrEx>
          <w:tblW w:w="0" w:type="auto"/>
          <w:tblLook w:val="04A0"/>
        </w:tblPrEx>
        <w:tc>
          <w:tcPr>
            <w:tcW w:w="4417" w:type="dxa"/>
          </w:tcPr>
          <w:p w:rsidR="00146A6C" w:rsidRPr="00AC1525" w14:paraId="37F9F3A9" w14:textId="77777777">
            <w:pPr>
              <w:keepNext/>
              <w:keepLines/>
              <w:rPr>
                <w:sz w:val="22"/>
                <w:szCs w:val="22"/>
              </w:rPr>
            </w:pPr>
            <w:r w:rsidRPr="00AC1525">
              <w:rPr>
                <w:sz w:val="22"/>
                <w:szCs w:val="22"/>
              </w:rPr>
              <w:t>Fine Arts Schools</w:t>
            </w:r>
          </w:p>
        </w:tc>
        <w:tc>
          <w:tcPr>
            <w:tcW w:w="4439" w:type="dxa"/>
          </w:tcPr>
          <w:p w:rsidR="00146A6C" w:rsidRPr="00AC1525" w14:paraId="0B0568A0" w14:textId="77777777">
            <w:pPr>
              <w:keepNext/>
              <w:keepLines/>
              <w:rPr>
                <w:sz w:val="22"/>
                <w:szCs w:val="22"/>
              </w:rPr>
            </w:pPr>
            <w:r w:rsidRPr="00AC1525">
              <w:rPr>
                <w:sz w:val="22"/>
                <w:szCs w:val="22"/>
              </w:rPr>
              <w:t>61161, 611610</w:t>
            </w:r>
          </w:p>
        </w:tc>
      </w:tr>
      <w:tr w14:paraId="6E56D157" w14:textId="77777777">
        <w:tblPrEx>
          <w:tblW w:w="0" w:type="auto"/>
          <w:tblLook w:val="04A0"/>
        </w:tblPrEx>
        <w:tc>
          <w:tcPr>
            <w:tcW w:w="8856" w:type="dxa"/>
            <w:gridSpan w:val="2"/>
          </w:tcPr>
          <w:p w:rsidR="00146A6C" w:rsidRPr="00AC1525" w14:paraId="240EFEEF" w14:textId="77777777">
            <w:pPr>
              <w:rPr>
                <w:b/>
                <w:bCs/>
                <w:sz w:val="22"/>
                <w:szCs w:val="22"/>
              </w:rPr>
            </w:pPr>
            <w:r w:rsidRPr="00AC1525">
              <w:rPr>
                <w:b/>
                <w:bCs/>
                <w:sz w:val="22"/>
                <w:szCs w:val="22"/>
              </w:rPr>
              <w:t>Teaching Hospitals</w:t>
            </w:r>
          </w:p>
        </w:tc>
      </w:tr>
      <w:tr w14:paraId="5B67CA2A" w14:textId="77777777">
        <w:tblPrEx>
          <w:tblW w:w="0" w:type="auto"/>
          <w:tblLook w:val="04A0"/>
        </w:tblPrEx>
        <w:tc>
          <w:tcPr>
            <w:tcW w:w="4417" w:type="dxa"/>
            <w:vAlign w:val="center"/>
          </w:tcPr>
          <w:p w:rsidR="00146A6C" w:rsidRPr="00AC1525" w14:paraId="13A9F17E" w14:textId="77777777">
            <w:pPr>
              <w:rPr>
                <w:bCs/>
                <w:sz w:val="22"/>
                <w:szCs w:val="22"/>
              </w:rPr>
            </w:pPr>
            <w:r w:rsidRPr="00AC1525">
              <w:rPr>
                <w:bCs/>
                <w:sz w:val="22"/>
                <w:szCs w:val="22"/>
              </w:rPr>
              <w:t>Veterinary Services (Animal Hospitals)</w:t>
            </w:r>
          </w:p>
        </w:tc>
        <w:tc>
          <w:tcPr>
            <w:tcW w:w="4439" w:type="dxa"/>
            <w:vAlign w:val="center"/>
          </w:tcPr>
          <w:p w:rsidR="00146A6C" w:rsidRPr="00AC1525" w14:paraId="79A21E0D" w14:textId="77777777">
            <w:pPr>
              <w:rPr>
                <w:bCs/>
                <w:sz w:val="22"/>
                <w:szCs w:val="22"/>
              </w:rPr>
            </w:pPr>
            <w:r w:rsidRPr="00AC1525">
              <w:rPr>
                <w:bCs/>
                <w:sz w:val="22"/>
                <w:szCs w:val="22"/>
              </w:rPr>
              <w:t>54194, 541940</w:t>
            </w:r>
          </w:p>
        </w:tc>
      </w:tr>
      <w:tr w14:paraId="7AD7BC10" w14:textId="77777777">
        <w:tblPrEx>
          <w:tblW w:w="0" w:type="auto"/>
          <w:tblLook w:val="04A0"/>
        </w:tblPrEx>
        <w:tc>
          <w:tcPr>
            <w:tcW w:w="4417" w:type="dxa"/>
            <w:vAlign w:val="center"/>
          </w:tcPr>
          <w:p w:rsidR="00146A6C" w:rsidRPr="00AC1525" w14:paraId="37C38766" w14:textId="77777777">
            <w:pPr>
              <w:rPr>
                <w:bCs/>
                <w:sz w:val="22"/>
                <w:szCs w:val="22"/>
              </w:rPr>
            </w:pPr>
            <w:r w:rsidRPr="00AC1525">
              <w:rPr>
                <w:bCs/>
                <w:sz w:val="22"/>
                <w:szCs w:val="22"/>
              </w:rPr>
              <w:t>Hospitals</w:t>
            </w:r>
          </w:p>
        </w:tc>
        <w:tc>
          <w:tcPr>
            <w:tcW w:w="4439" w:type="dxa"/>
            <w:vAlign w:val="center"/>
          </w:tcPr>
          <w:p w:rsidR="00146A6C" w:rsidRPr="00AC1525" w14:paraId="632E1B3C" w14:textId="77777777">
            <w:pPr>
              <w:rPr>
                <w:bCs/>
                <w:sz w:val="22"/>
                <w:szCs w:val="22"/>
              </w:rPr>
            </w:pPr>
            <w:r w:rsidRPr="00AC1525">
              <w:rPr>
                <w:bCs/>
                <w:sz w:val="22"/>
                <w:szCs w:val="22"/>
              </w:rPr>
              <w:t>622</w:t>
            </w:r>
          </w:p>
        </w:tc>
      </w:tr>
      <w:tr w14:paraId="622D6EC6" w14:textId="77777777">
        <w:tblPrEx>
          <w:tblW w:w="0" w:type="auto"/>
          <w:tblLook w:val="04A0"/>
        </w:tblPrEx>
        <w:tc>
          <w:tcPr>
            <w:tcW w:w="4417" w:type="dxa"/>
            <w:vAlign w:val="center"/>
          </w:tcPr>
          <w:p w:rsidR="00146A6C" w:rsidRPr="00AC1525" w14:paraId="4156A7E6" w14:textId="77777777">
            <w:pPr>
              <w:rPr>
                <w:bCs/>
                <w:sz w:val="22"/>
                <w:szCs w:val="22"/>
              </w:rPr>
            </w:pPr>
            <w:r w:rsidRPr="00AC1525">
              <w:rPr>
                <w:bCs/>
                <w:sz w:val="22"/>
                <w:szCs w:val="22"/>
              </w:rPr>
              <w:t>General Medical and Surgical Hospitals</w:t>
            </w:r>
          </w:p>
        </w:tc>
        <w:tc>
          <w:tcPr>
            <w:tcW w:w="4439" w:type="dxa"/>
            <w:vAlign w:val="center"/>
          </w:tcPr>
          <w:p w:rsidR="00146A6C" w:rsidRPr="00AC1525" w14:paraId="34740696" w14:textId="77777777">
            <w:pPr>
              <w:rPr>
                <w:bCs/>
                <w:sz w:val="22"/>
                <w:szCs w:val="22"/>
              </w:rPr>
            </w:pPr>
            <w:r w:rsidRPr="00AC1525">
              <w:rPr>
                <w:bCs/>
                <w:sz w:val="22"/>
                <w:szCs w:val="22"/>
              </w:rPr>
              <w:t>6221, 62211, 622110</w:t>
            </w:r>
          </w:p>
        </w:tc>
      </w:tr>
      <w:tr w14:paraId="5A246A56" w14:textId="77777777">
        <w:tblPrEx>
          <w:tblW w:w="0" w:type="auto"/>
          <w:tblLook w:val="04A0"/>
        </w:tblPrEx>
        <w:tc>
          <w:tcPr>
            <w:tcW w:w="4417" w:type="dxa"/>
            <w:vAlign w:val="center"/>
          </w:tcPr>
          <w:p w:rsidR="00146A6C" w:rsidRPr="00AC1525" w14:paraId="03FF8A4F" w14:textId="77777777">
            <w:pPr>
              <w:rPr>
                <w:bCs/>
                <w:sz w:val="22"/>
                <w:szCs w:val="22"/>
              </w:rPr>
            </w:pPr>
            <w:r w:rsidRPr="00AC1525">
              <w:rPr>
                <w:bCs/>
                <w:sz w:val="22"/>
                <w:szCs w:val="22"/>
              </w:rPr>
              <w:t>Psychiatric and Substance Abuse Hospitals</w:t>
            </w:r>
          </w:p>
        </w:tc>
        <w:tc>
          <w:tcPr>
            <w:tcW w:w="4439" w:type="dxa"/>
            <w:vAlign w:val="center"/>
          </w:tcPr>
          <w:p w:rsidR="00146A6C" w:rsidRPr="00AC1525" w14:paraId="7D69AD25" w14:textId="77777777">
            <w:pPr>
              <w:rPr>
                <w:bCs/>
                <w:sz w:val="22"/>
                <w:szCs w:val="22"/>
              </w:rPr>
            </w:pPr>
            <w:r w:rsidRPr="00AC1525">
              <w:rPr>
                <w:bCs/>
                <w:sz w:val="22"/>
                <w:szCs w:val="22"/>
              </w:rPr>
              <w:t>6222, 62221, 622210</w:t>
            </w:r>
          </w:p>
        </w:tc>
      </w:tr>
      <w:tr w14:paraId="20715420" w14:textId="77777777">
        <w:tblPrEx>
          <w:tblW w:w="0" w:type="auto"/>
          <w:tblLook w:val="04A0"/>
        </w:tblPrEx>
        <w:tc>
          <w:tcPr>
            <w:tcW w:w="4417" w:type="dxa"/>
            <w:vAlign w:val="center"/>
          </w:tcPr>
          <w:p w:rsidR="00146A6C" w:rsidRPr="00AC1525" w14:paraId="421055DC" w14:textId="77777777">
            <w:pPr>
              <w:rPr>
                <w:bCs/>
                <w:sz w:val="22"/>
                <w:szCs w:val="22"/>
              </w:rPr>
            </w:pPr>
            <w:r w:rsidRPr="00AC1525">
              <w:rPr>
                <w:bCs/>
                <w:sz w:val="22"/>
                <w:szCs w:val="22"/>
              </w:rPr>
              <w:t>Specialty (except Psychiatric and Substance Abuse) Hospitals</w:t>
            </w:r>
          </w:p>
        </w:tc>
        <w:tc>
          <w:tcPr>
            <w:tcW w:w="4439" w:type="dxa"/>
            <w:vAlign w:val="center"/>
          </w:tcPr>
          <w:p w:rsidR="00146A6C" w:rsidRPr="00AC1525" w14:paraId="07BAB2FD" w14:textId="77777777">
            <w:pPr>
              <w:rPr>
                <w:bCs/>
                <w:sz w:val="22"/>
                <w:szCs w:val="22"/>
              </w:rPr>
            </w:pPr>
            <w:r w:rsidRPr="00AC1525">
              <w:rPr>
                <w:bCs/>
                <w:sz w:val="22"/>
                <w:szCs w:val="22"/>
              </w:rPr>
              <w:t>6223, 62231, 622310</w:t>
            </w:r>
          </w:p>
        </w:tc>
      </w:tr>
      <w:tr w14:paraId="5D190204" w14:textId="77777777">
        <w:tblPrEx>
          <w:tblW w:w="0" w:type="auto"/>
          <w:tblLook w:val="04A0"/>
        </w:tblPrEx>
        <w:tc>
          <w:tcPr>
            <w:tcW w:w="8856" w:type="dxa"/>
            <w:gridSpan w:val="2"/>
          </w:tcPr>
          <w:p w:rsidR="00146A6C" w:rsidRPr="00AC1525" w14:paraId="36B51CA7" w14:textId="77777777">
            <w:pPr>
              <w:rPr>
                <w:b/>
                <w:bCs/>
                <w:sz w:val="22"/>
                <w:szCs w:val="22"/>
              </w:rPr>
            </w:pPr>
            <w:r w:rsidRPr="00AC1525">
              <w:rPr>
                <w:b/>
                <w:bCs/>
                <w:sz w:val="22"/>
                <w:szCs w:val="22"/>
              </w:rPr>
              <w:t>Non-Profit Research Institutes</w:t>
            </w:r>
          </w:p>
        </w:tc>
      </w:tr>
      <w:tr w14:paraId="52DA2DC0" w14:textId="77777777">
        <w:tblPrEx>
          <w:tblW w:w="0" w:type="auto"/>
          <w:tblLook w:val="04A0"/>
        </w:tblPrEx>
        <w:tc>
          <w:tcPr>
            <w:tcW w:w="4417" w:type="dxa"/>
          </w:tcPr>
          <w:p w:rsidR="00146A6C" w:rsidRPr="00AC1525" w14:paraId="236F3B02" w14:textId="77777777">
            <w:pPr>
              <w:rPr>
                <w:bCs/>
                <w:sz w:val="22"/>
                <w:szCs w:val="22"/>
              </w:rPr>
            </w:pPr>
            <w:r w:rsidRPr="00AC1525">
              <w:rPr>
                <w:bCs/>
                <w:sz w:val="22"/>
                <w:szCs w:val="22"/>
              </w:rPr>
              <w:t>Research and Development in the Physical, Engineering, and Life Sciences</w:t>
            </w:r>
          </w:p>
        </w:tc>
        <w:tc>
          <w:tcPr>
            <w:tcW w:w="4439" w:type="dxa"/>
          </w:tcPr>
          <w:p w:rsidR="00146A6C" w:rsidRPr="00AC1525" w14:paraId="7D37703F" w14:textId="77777777">
            <w:pPr>
              <w:rPr>
                <w:bCs/>
                <w:sz w:val="22"/>
                <w:szCs w:val="22"/>
              </w:rPr>
            </w:pPr>
            <w:r w:rsidRPr="00AC1525">
              <w:rPr>
                <w:bCs/>
                <w:sz w:val="22"/>
                <w:szCs w:val="22"/>
              </w:rPr>
              <w:t>5417, 54171, 541710</w:t>
            </w:r>
          </w:p>
        </w:tc>
      </w:tr>
      <w:tr w14:paraId="659FCB51" w14:textId="77777777">
        <w:tblPrEx>
          <w:tblW w:w="0" w:type="auto"/>
          <w:tblLook w:val="04A0"/>
        </w:tblPrEx>
        <w:tc>
          <w:tcPr>
            <w:tcW w:w="4417" w:type="dxa"/>
          </w:tcPr>
          <w:p w:rsidR="00146A6C" w:rsidRPr="00AC1525" w14:paraId="171A0B2D" w14:textId="77777777">
            <w:pPr>
              <w:rPr>
                <w:bCs/>
                <w:sz w:val="22"/>
                <w:szCs w:val="22"/>
              </w:rPr>
            </w:pPr>
            <w:r w:rsidRPr="00AC1525">
              <w:rPr>
                <w:bCs/>
                <w:sz w:val="22"/>
                <w:szCs w:val="22"/>
              </w:rPr>
              <w:t>Research and Development in the Social Sciences and Humanities</w:t>
            </w:r>
          </w:p>
        </w:tc>
        <w:tc>
          <w:tcPr>
            <w:tcW w:w="4439" w:type="dxa"/>
          </w:tcPr>
          <w:p w:rsidR="00146A6C" w:rsidRPr="00AC1525" w14:paraId="5D2B6A74" w14:textId="77777777">
            <w:pPr>
              <w:rPr>
                <w:bCs/>
                <w:sz w:val="22"/>
                <w:szCs w:val="22"/>
              </w:rPr>
            </w:pPr>
            <w:r w:rsidRPr="00AC1525">
              <w:rPr>
                <w:bCs/>
                <w:sz w:val="22"/>
                <w:szCs w:val="22"/>
              </w:rPr>
              <w:t>54172, 541720</w:t>
            </w:r>
          </w:p>
        </w:tc>
      </w:tr>
    </w:tbl>
    <w:p w:rsidR="00146A6C" w:rsidRPr="00AC1525" w14:paraId="3E47C0D6" w14:textId="77777777">
      <w:pPr>
        <w:pStyle w:val="Heading2"/>
        <w:ind w:firstLine="720"/>
        <w:rPr>
          <w:rFonts w:ascii="Times New Roman" w:hAnsi="Times New Roman" w:cs="Times New Roman"/>
          <w:i w:val="0"/>
          <w:iCs w:val="0"/>
          <w:sz w:val="22"/>
          <w:szCs w:val="22"/>
        </w:rPr>
      </w:pPr>
      <w:bookmarkStart w:id="257" w:name="_Toc146594787"/>
      <w:bookmarkStart w:id="258" w:name="_Toc194233047"/>
      <w:bookmarkStart w:id="259" w:name="_Toc194321370"/>
      <w:bookmarkStart w:id="260" w:name="_Toc194321583"/>
      <w:bookmarkStart w:id="261" w:name="_Toc194395937"/>
      <w:bookmarkStart w:id="262" w:name="_Toc195523823"/>
      <w:bookmarkStart w:id="263" w:name="_Toc195524034"/>
      <w:bookmarkStart w:id="264" w:name="_Toc198053457"/>
      <w:bookmarkStart w:id="265" w:name="_Toc199176360"/>
      <w:bookmarkStart w:id="266" w:name="_Toc201152819"/>
      <w:bookmarkStart w:id="267" w:name="_Toc201153932"/>
      <w:bookmarkStart w:id="268" w:name="_Toc203626037"/>
      <w:bookmarkStart w:id="269" w:name="_Toc203626144"/>
      <w:bookmarkStart w:id="270" w:name="_Toc203711638"/>
      <w:bookmarkStart w:id="271" w:name="_Toc203715785"/>
      <w:bookmarkStart w:id="272" w:name="_Toc434488013"/>
      <w:r w:rsidRPr="00AC1525">
        <w:rPr>
          <w:rFonts w:ascii="Times New Roman" w:hAnsi="Times New Roman" w:cs="Times New Roman"/>
          <w:i w:val="0"/>
          <w:iCs w:val="0"/>
          <w:sz w:val="22"/>
          <w:szCs w:val="22"/>
        </w:rPr>
        <w:t>4(b)</w:t>
      </w:r>
      <w:r w:rsidRPr="00AC1525">
        <w:rPr>
          <w:rFonts w:ascii="Times New Roman" w:hAnsi="Times New Roman" w:cs="Times New Roman"/>
          <w:i w:val="0"/>
          <w:iCs w:val="0"/>
          <w:sz w:val="22"/>
          <w:szCs w:val="22"/>
        </w:rPr>
        <w:tab/>
        <w:t>Information Requested</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46A6C" w:rsidRPr="00AC1525" w14:paraId="61BDA67C" w14:textId="77777777">
      <w:pPr>
        <w:rPr>
          <w:sz w:val="22"/>
          <w:szCs w:val="22"/>
        </w:rPr>
      </w:pPr>
    </w:p>
    <w:p w:rsidR="00146A6C" w:rsidRPr="00AC1525" w14:paraId="43A8CD9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2"/>
          <w:szCs w:val="22"/>
        </w:rPr>
      </w:pPr>
      <w:r w:rsidRPr="00AC1525">
        <w:rPr>
          <w:rFonts w:ascii="Times New Roman" w:hAnsi="Times New Roman" w:cs="Times New Roman"/>
          <w:b/>
          <w:bCs/>
          <w:sz w:val="22"/>
          <w:szCs w:val="22"/>
        </w:rPr>
        <w:t>(1)</w:t>
      </w:r>
      <w:r w:rsidRPr="00AC1525">
        <w:rPr>
          <w:rFonts w:ascii="Times New Roman" w:hAnsi="Times New Roman" w:cs="Times New Roman"/>
          <w:b/>
          <w:bCs/>
          <w:sz w:val="22"/>
          <w:szCs w:val="22"/>
        </w:rPr>
        <w:tab/>
        <w:t>Notification of Intent to Comply with Subpart K and Recordkeeping of Agreements</w:t>
      </w:r>
    </w:p>
    <w:p w:rsidR="00146A6C" w:rsidRPr="00AC1525" w14:paraId="3DE4254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7477AFB8" w14:textId="438F21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 xml:space="preserve">40 </w:t>
      </w:r>
      <w:r w:rsidRPr="00AC1525">
        <w:rPr>
          <w:rFonts w:ascii="Times New Roman" w:hAnsi="Times New Roman" w:cs="Times New Roman"/>
          <w:i/>
          <w:sz w:val="22"/>
          <w:szCs w:val="22"/>
        </w:rPr>
        <w:t>CFR</w:t>
      </w:r>
      <w:r w:rsidRPr="00AC1525">
        <w:rPr>
          <w:rFonts w:ascii="Times New Roman" w:hAnsi="Times New Roman" w:cs="Times New Roman"/>
          <w:sz w:val="22"/>
          <w:szCs w:val="22"/>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w:t>
      </w:r>
      <w:r w:rsidRPr="00AC1525" w:rsidR="00E07FC9">
        <w:rPr>
          <w:rFonts w:ascii="Times New Roman" w:hAnsi="Times New Roman" w:cs="Times New Roman"/>
          <w:sz w:val="22"/>
          <w:szCs w:val="22"/>
        </w:rPr>
        <w:t>very</w:t>
      </w:r>
      <w:r w:rsidRPr="00AC1525">
        <w:rPr>
          <w:rFonts w:ascii="Times New Roman" w:hAnsi="Times New Roman" w:cs="Times New Roman"/>
          <w:sz w:val="22"/>
          <w:szCs w:val="22"/>
        </w:rPr>
        <w:t xml:space="preserve"> small quantity generator and does not have an EPA Identification Number must notify that it is electing to be subject to the requirements of Subpart K for all the laboratories owned by the eligible academic entity that are on-site.  An eligible academic entity must submit a separate notification (Site Identification Form) for each EPA Identification Number (or site, for </w:t>
      </w:r>
      <w:r w:rsidRPr="00AC1525" w:rsidR="00E07FC9">
        <w:rPr>
          <w:rFonts w:ascii="Times New Roman" w:hAnsi="Times New Roman" w:cs="Times New Roman"/>
          <w:sz w:val="22"/>
          <w:szCs w:val="22"/>
        </w:rPr>
        <w:t>very</w:t>
      </w:r>
      <w:r w:rsidRPr="00AC1525">
        <w:rPr>
          <w:rFonts w:ascii="Times New Roman" w:hAnsi="Times New Roman" w:cs="Times New Roman"/>
          <w:sz w:val="22"/>
          <w:szCs w:val="22"/>
        </w:rPr>
        <w:t xml:space="preserve"> small quantity generators) that is electing to be subject to the requirements of Subpart K.</w:t>
      </w:r>
    </w:p>
    <w:p w:rsidR="00146A6C" w:rsidRPr="00AC1525" w14:paraId="2E9D214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5D11746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When submitting the Site Identification Form, the eligible academic entity must, at a minimum, fill out the fields on the form that are specified at section 262.203(b)(1)-(11).</w:t>
      </w:r>
    </w:p>
    <w:p w:rsidR="00146A6C" w:rsidRPr="00AC1525" w14:paraId="01AAAF2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rsidP="00776AC5" w14:paraId="0C0EB6C0" w14:textId="22002B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Section 262.203(c) provides that an eligible academic entity must keep a copy of the notification on file at the eligible academic entity while its laboratories are subject to Subpart K.</w:t>
      </w:r>
      <w:r w:rsidRPr="00AC1525" w:rsidR="00776AC5">
        <w:rPr>
          <w:rFonts w:ascii="Times New Roman" w:hAnsi="Times New Roman" w:cs="Times New Roman"/>
          <w:sz w:val="22"/>
          <w:szCs w:val="22"/>
        </w:rPr>
        <w:t xml:space="preserve"> </w:t>
      </w:r>
      <w:r w:rsidRPr="00AC1525" w:rsidR="00492E28">
        <w:rPr>
          <w:rFonts w:ascii="Times New Roman" w:hAnsi="Times New Roman" w:cs="Times New Roman"/>
          <w:sz w:val="22"/>
          <w:szCs w:val="22"/>
        </w:rPr>
        <w:t>An eligible academic entity must keep a copy of the notification on file at the eligible academic entity for as long as its laboratories are subject to this subpart.</w:t>
      </w:r>
    </w:p>
    <w:p w:rsidR="00146A6C" w:rsidRPr="00AC1525" w14:paraId="2B85AB1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146A6C" w:rsidRPr="00AC1525" w14:paraId="42013277" w14:textId="74A088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r w:rsidRPr="00AC1525" w:rsidR="00776AC5">
        <w:rPr>
          <w:rFonts w:ascii="Times New Roman" w:hAnsi="Times New Roman" w:cs="Times New Roman"/>
          <w:sz w:val="22"/>
          <w:szCs w:val="22"/>
        </w:rPr>
        <w:t xml:space="preserve"> </w:t>
      </w:r>
      <w:r w:rsidRPr="00AC1525" w:rsidR="00492E28">
        <w:rPr>
          <w:rFonts w:ascii="Times New Roman" w:hAnsi="Times New Roman" w:cs="Times New Roman"/>
          <w:sz w:val="22"/>
          <w:szCs w:val="22"/>
        </w:rPr>
        <w:t>A teaching hospital must keep a copy of the agreement on file at the eligible academic entity for as long as its laboratories are subject to this subpart.</w:t>
      </w:r>
    </w:p>
    <w:p w:rsidR="00146A6C" w:rsidRPr="00AC1525" w14:paraId="42F9D4C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146A6C" w:rsidRPr="00AC1525" w14:paraId="0564109D" w14:textId="5C0B8F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r w:rsidRPr="00AC1525" w:rsidR="00776AC5">
        <w:rPr>
          <w:rFonts w:ascii="Times New Roman" w:hAnsi="Times New Roman" w:cs="Times New Roman"/>
          <w:sz w:val="22"/>
          <w:szCs w:val="22"/>
        </w:rPr>
        <w:t xml:space="preserve"> </w:t>
      </w:r>
      <w:r w:rsidRPr="00AC1525" w:rsidR="00492E28">
        <w:rPr>
          <w:rFonts w:ascii="Times New Roman" w:hAnsi="Times New Roman" w:cs="Times New Roman"/>
          <w:sz w:val="22"/>
          <w:szCs w:val="22"/>
        </w:rPr>
        <w:t>A non-profit research institute must keep a copy of the agreement on file at the eligible academic entity for as long as its laboratories are subject to this subpart.</w:t>
      </w:r>
    </w:p>
    <w:p w:rsidR="00146A6C" w:rsidRPr="00AC1525" w14:paraId="6ADE0D5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63B3505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711E3C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3006AFDD" w14:textId="77777777">
      <w:pPr>
        <w:pStyle w:val="HTMLPreformatted"/>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A Site Identification Form with the following fields filled out, at a minimum:</w:t>
      </w:r>
    </w:p>
    <w:p w:rsidR="00146A6C" w:rsidRPr="00AC1525" w14:paraId="0B9590D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Reason for </w:t>
      </w:r>
      <w:r w:rsidRPr="00AC1525">
        <w:rPr>
          <w:rFonts w:ascii="Times New Roman" w:hAnsi="Times New Roman" w:cs="Times New Roman"/>
          <w:sz w:val="22"/>
          <w:szCs w:val="22"/>
        </w:rPr>
        <w:t>Submittal;</w:t>
      </w:r>
    </w:p>
    <w:p w:rsidR="00146A6C" w:rsidRPr="00AC1525" w14:paraId="03E19279" w14:textId="6440F9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EPA Identification Number (except for </w:t>
      </w:r>
      <w:r w:rsidRPr="00AC1525" w:rsidR="00E07FC9">
        <w:rPr>
          <w:rFonts w:ascii="Times New Roman" w:hAnsi="Times New Roman" w:cs="Times New Roman"/>
          <w:sz w:val="22"/>
          <w:szCs w:val="22"/>
        </w:rPr>
        <w:t>very</w:t>
      </w:r>
      <w:r w:rsidRPr="00AC1525">
        <w:rPr>
          <w:rFonts w:ascii="Times New Roman" w:hAnsi="Times New Roman" w:cs="Times New Roman"/>
          <w:sz w:val="22"/>
          <w:szCs w:val="22"/>
        </w:rPr>
        <w:t xml:space="preserve"> small quantity generators</w:t>
      </w:r>
      <w:r w:rsidRPr="00AC1525">
        <w:rPr>
          <w:rFonts w:ascii="Times New Roman" w:hAnsi="Times New Roman" w:cs="Times New Roman"/>
          <w:sz w:val="22"/>
          <w:szCs w:val="22"/>
        </w:rPr>
        <w:t>);</w:t>
      </w:r>
    </w:p>
    <w:p w:rsidR="00146A6C" w:rsidRPr="00AC1525" w14:paraId="7FBCD8B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w:t>
      </w:r>
      <w:r w:rsidRPr="00AC1525">
        <w:rPr>
          <w:rFonts w:ascii="Times New Roman" w:hAnsi="Times New Roman" w:cs="Times New Roman"/>
          <w:sz w:val="22"/>
          <w:szCs w:val="22"/>
        </w:rPr>
        <w:t>Name;</w:t>
      </w:r>
    </w:p>
    <w:p w:rsidR="00146A6C" w:rsidRPr="00AC1525" w14:paraId="0AD1C2A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Location </w:t>
      </w:r>
      <w:r w:rsidRPr="00AC1525">
        <w:rPr>
          <w:rFonts w:ascii="Times New Roman" w:hAnsi="Times New Roman" w:cs="Times New Roman"/>
          <w:sz w:val="22"/>
          <w:szCs w:val="22"/>
        </w:rPr>
        <w:t>Information;</w:t>
      </w:r>
    </w:p>
    <w:p w:rsidR="00146A6C" w:rsidRPr="00AC1525" w14:paraId="2C24B3D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Land </w:t>
      </w:r>
      <w:r w:rsidRPr="00AC1525">
        <w:rPr>
          <w:rFonts w:ascii="Times New Roman" w:hAnsi="Times New Roman" w:cs="Times New Roman"/>
          <w:sz w:val="22"/>
          <w:szCs w:val="22"/>
        </w:rPr>
        <w:t>Type;</w:t>
      </w:r>
    </w:p>
    <w:p w:rsidR="00146A6C" w:rsidRPr="00AC1525" w14:paraId="17151E8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North American Industry Classification System (NAICS) Code(s) for the </w:t>
      </w:r>
      <w:r w:rsidRPr="00AC1525">
        <w:rPr>
          <w:rFonts w:ascii="Times New Roman" w:hAnsi="Times New Roman" w:cs="Times New Roman"/>
          <w:sz w:val="22"/>
          <w:szCs w:val="22"/>
        </w:rPr>
        <w:t>Site;</w:t>
      </w:r>
    </w:p>
    <w:p w:rsidR="00146A6C" w:rsidRPr="00AC1525" w14:paraId="2040AA1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Mailing </w:t>
      </w:r>
      <w:r w:rsidRPr="00AC1525">
        <w:rPr>
          <w:rFonts w:ascii="Times New Roman" w:hAnsi="Times New Roman" w:cs="Times New Roman"/>
          <w:sz w:val="22"/>
          <w:szCs w:val="22"/>
        </w:rPr>
        <w:t>Address;</w:t>
      </w:r>
    </w:p>
    <w:p w:rsidR="00146A6C" w:rsidRPr="00AC1525" w14:paraId="6BCACD2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Contact </w:t>
      </w:r>
      <w:r w:rsidRPr="00AC1525">
        <w:rPr>
          <w:rFonts w:ascii="Times New Roman" w:hAnsi="Times New Roman" w:cs="Times New Roman"/>
          <w:sz w:val="22"/>
          <w:szCs w:val="22"/>
        </w:rPr>
        <w:t>Person;</w:t>
      </w:r>
    </w:p>
    <w:p w:rsidR="00146A6C" w:rsidRPr="00AC1525" w14:paraId="5E2E7C2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Operator and Legal Owner of the </w:t>
      </w:r>
      <w:r w:rsidRPr="00AC1525">
        <w:rPr>
          <w:rFonts w:ascii="Times New Roman" w:hAnsi="Times New Roman" w:cs="Times New Roman"/>
          <w:sz w:val="22"/>
          <w:szCs w:val="22"/>
        </w:rPr>
        <w:t>Site;</w:t>
      </w:r>
    </w:p>
    <w:p w:rsidR="00146A6C" w:rsidRPr="00AC1525" w14:paraId="385EF78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Type of Regulated Waste Activity; and</w:t>
      </w:r>
    </w:p>
    <w:p w:rsidR="00146A6C" w:rsidRPr="00AC1525" w14:paraId="2E4A074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Certification.</w:t>
      </w:r>
    </w:p>
    <w:p w:rsidR="00146A6C" w:rsidRPr="00AC1525" w14:paraId="6906DCF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47585204" w14:textId="77777777">
      <w:pPr>
        <w:pStyle w:val="HTMLPreformatted"/>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 xml:space="preserve">A copy of the formal written affiliation agreement with a college or </w:t>
      </w:r>
      <w:r w:rsidRPr="00AC1525">
        <w:rPr>
          <w:rFonts w:ascii="Times New Roman" w:hAnsi="Times New Roman" w:cs="Times New Roman"/>
          <w:sz w:val="22"/>
          <w:szCs w:val="22"/>
        </w:rPr>
        <w:t>university ,</w:t>
      </w:r>
      <w:r w:rsidRPr="00AC1525">
        <w:rPr>
          <w:rFonts w:ascii="Times New Roman" w:hAnsi="Times New Roman" w:cs="Times New Roman"/>
          <w:sz w:val="22"/>
          <w:szCs w:val="22"/>
        </w:rPr>
        <w:t xml:space="preserve"> as specified under section 262.203(d). </w:t>
      </w:r>
    </w:p>
    <w:p w:rsidR="00146A6C" w:rsidRPr="00AC1525" w14:paraId="224F2C3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14:paraId="525FD567" w14:textId="77777777">
      <w:pPr>
        <w:pStyle w:val="HTMLPreformatted"/>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 xml:space="preserve">A copy of the formal written affiliation agreement with a college or university, as specified under section 262.203(e). </w:t>
      </w:r>
    </w:p>
    <w:p w:rsidR="00146A6C" w:rsidRPr="00AC1525" w14:paraId="418ABCB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146A6C" w:rsidRPr="00AC1525" w14:paraId="027597D7"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u w:val="single"/>
        </w:rPr>
      </w:pPr>
      <w:r w:rsidRPr="00AC1525">
        <w:rPr>
          <w:rFonts w:ascii="Times New Roman" w:hAnsi="Times New Roman" w:cs="Times New Roman"/>
          <w:sz w:val="22"/>
          <w:szCs w:val="22"/>
        </w:rPr>
        <w:tab/>
        <w:t>(ii)</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Respondent Activities:</w:t>
      </w:r>
    </w:p>
    <w:p w:rsidR="00146A6C" w:rsidRPr="00AC1525" w14:paraId="744EB5CB"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0AA130C7" w14:textId="77777777">
      <w:pPr>
        <w:pStyle w:val="HTMLPreformatted"/>
        <w:keepNext/>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Eligible academic entities electing to be subject to the requirements of Subpart K must perform the following:</w:t>
      </w:r>
    </w:p>
    <w:p w:rsidR="00146A6C" w:rsidRPr="00AC1525" w14:paraId="64D8E86E"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14:paraId="7059AF41"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Prepare and submit Site Identification Form; and</w:t>
      </w:r>
    </w:p>
    <w:p w:rsidR="00146A6C" w:rsidRPr="00AC1525" w14:paraId="3BA55503"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Keep a copy of the notification on file.</w:t>
      </w:r>
    </w:p>
    <w:p w:rsidR="00146A6C" w:rsidRPr="00AC1525" w14:paraId="50BB2C6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37A457B8" w14:textId="77777777">
      <w:pPr>
        <w:pStyle w:val="HTMLPreformatted"/>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 xml:space="preserve">Teaching hospitals that are not owned by a college or university must keep a copy of their formal written affiliation agreement with college or university on file while its laboratories are subject to Subpart K. </w:t>
      </w:r>
    </w:p>
    <w:p w:rsidR="00146A6C" w:rsidRPr="00AC1525" w14:paraId="36C60C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14:paraId="66EACD31" w14:textId="77777777">
      <w:pPr>
        <w:pStyle w:val="HTMLPreformatted"/>
        <w:numPr>
          <w:ilvl w:val="0"/>
          <w:numId w:val="2"/>
        </w:numPr>
        <w:tabs>
          <w:tab w:val="clear" w:pos="916"/>
          <w:tab w:val="num"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Non-profit research institutes that are not owned by a college or university must keep a copy of the formal written affiliation agreement with a college or university on file at the non-profit research institute while its laboratories are subject to Subpart K.</w:t>
      </w:r>
    </w:p>
    <w:p w:rsidR="00146A6C" w:rsidRPr="00AC1525" w14:paraId="58CEBC9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14:paraId="0E27083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b/>
          <w:bCs/>
          <w:sz w:val="22"/>
          <w:szCs w:val="22"/>
        </w:rPr>
        <w:t>(2)</w:t>
      </w:r>
      <w:r w:rsidRPr="00AC1525">
        <w:rPr>
          <w:rFonts w:ascii="Times New Roman" w:hAnsi="Times New Roman" w:cs="Times New Roman"/>
          <w:b/>
          <w:bCs/>
          <w:sz w:val="22"/>
          <w:szCs w:val="22"/>
        </w:rPr>
        <w:tab/>
        <w:t>Notification of Withdrawal from Subpart K</w:t>
      </w:r>
    </w:p>
    <w:p w:rsidR="00146A6C" w:rsidRPr="00AC1525" w14:paraId="0A72E1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743DE177" w14:textId="40A9C636">
      <w:pPr>
        <w:rPr>
          <w:sz w:val="22"/>
          <w:szCs w:val="22"/>
        </w:rPr>
      </w:pPr>
      <w:r w:rsidRPr="00AC1525">
        <w:rPr>
          <w:sz w:val="22"/>
          <w:szCs w:val="22"/>
        </w:rPr>
        <w:tab/>
        <w:t xml:space="preserve">40 </w:t>
      </w:r>
      <w:r w:rsidRPr="00AC1525">
        <w:rPr>
          <w:i/>
          <w:sz w:val="22"/>
          <w:szCs w:val="22"/>
        </w:rPr>
        <w:t>CFR</w:t>
      </w:r>
      <w:r w:rsidRPr="00AC1525">
        <w:rPr>
          <w:sz w:val="22"/>
          <w:szCs w:val="22"/>
        </w:rPr>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w:t>
      </w:r>
      <w:r w:rsidRPr="00AC1525" w:rsidR="00E07FC9">
        <w:rPr>
          <w:sz w:val="22"/>
          <w:szCs w:val="22"/>
        </w:rPr>
        <w:t>very</w:t>
      </w:r>
      <w:r w:rsidRPr="00AC1525">
        <w:rPr>
          <w:sz w:val="22"/>
          <w:szCs w:val="22"/>
        </w:rPr>
        <w:t xml:space="preserve"> small quantity generator and does not have an EPA Identification Number must notify that it is withdrawing from the requirements of Subpart K for all the laboratories owned by the eligible academic entity that are on-site.  An eligible academic entity must submit a separate notification (Site Identification Form) for each EPA Identification Number (or site, for </w:t>
      </w:r>
      <w:r w:rsidRPr="00AC1525" w:rsidR="00E07FC9">
        <w:rPr>
          <w:sz w:val="22"/>
          <w:szCs w:val="22"/>
        </w:rPr>
        <w:t>very</w:t>
      </w:r>
      <w:r w:rsidRPr="00AC1525">
        <w:rPr>
          <w:sz w:val="22"/>
          <w:szCs w:val="22"/>
        </w:rPr>
        <w:t xml:space="preserve"> small quantity generators) that is withdrawing from the requirements of Subpart K.</w:t>
      </w:r>
    </w:p>
    <w:p w:rsidR="00146A6C" w:rsidRPr="00AC1525" w14:paraId="04FF8327" w14:textId="77777777">
      <w:pPr>
        <w:rPr>
          <w:sz w:val="22"/>
          <w:szCs w:val="22"/>
        </w:rPr>
      </w:pPr>
    </w:p>
    <w:p w:rsidR="00146A6C" w:rsidRPr="00AC1525" w14:paraId="59571874" w14:textId="77777777">
      <w:pPr>
        <w:ind w:firstLine="720"/>
        <w:rPr>
          <w:sz w:val="22"/>
          <w:szCs w:val="22"/>
        </w:rPr>
      </w:pPr>
      <w:r w:rsidRPr="00AC1525">
        <w:rPr>
          <w:sz w:val="22"/>
          <w:szCs w:val="22"/>
        </w:rPr>
        <w:t>When submitting the Site Identification Form, the eligible academic entity must, at a minimum, fill out the fields on the form that are specified at section 262.204(b)(1)-(11).</w:t>
      </w:r>
    </w:p>
    <w:p w:rsidR="00146A6C" w:rsidRPr="00AC1525" w14:paraId="7D51F73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4C8550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Section 262.204(c) provides that an eligible academic entity must keep a copy of the withdrawal notice on file at the eligible academic entity for three years from the date of the notification.</w:t>
      </w:r>
    </w:p>
    <w:p w:rsidR="00146A6C" w:rsidRPr="00AC1525" w14:paraId="3166355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39187018"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7991125F"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4D7AB58E" w14:textId="77777777">
      <w:pPr>
        <w:pStyle w:val="HTMLPreformatted"/>
        <w:keepNext/>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A Site Identification Form with the following fields filled out, at a minimum:</w:t>
      </w:r>
    </w:p>
    <w:p w:rsidR="00146A6C" w:rsidRPr="00AC1525" w14:paraId="7793E9E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Reason for </w:t>
      </w:r>
      <w:r w:rsidRPr="00AC1525">
        <w:rPr>
          <w:rFonts w:ascii="Times New Roman" w:hAnsi="Times New Roman" w:cs="Times New Roman"/>
          <w:sz w:val="22"/>
          <w:szCs w:val="22"/>
        </w:rPr>
        <w:t>Submittal;</w:t>
      </w:r>
    </w:p>
    <w:p w:rsidR="00146A6C" w:rsidRPr="00AC1525" w14:paraId="0081B457" w14:textId="6228B2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EPA Identification Number (except for </w:t>
      </w:r>
      <w:r w:rsidRPr="00AC1525" w:rsidR="00E07FC9">
        <w:rPr>
          <w:rFonts w:ascii="Times New Roman" w:hAnsi="Times New Roman" w:cs="Times New Roman"/>
          <w:sz w:val="22"/>
          <w:szCs w:val="22"/>
        </w:rPr>
        <w:t>very</w:t>
      </w:r>
      <w:r w:rsidRPr="00AC1525">
        <w:rPr>
          <w:rFonts w:ascii="Times New Roman" w:hAnsi="Times New Roman" w:cs="Times New Roman"/>
          <w:sz w:val="22"/>
          <w:szCs w:val="22"/>
        </w:rPr>
        <w:t xml:space="preserve"> small quantity generators</w:t>
      </w:r>
      <w:r w:rsidRPr="00AC1525">
        <w:rPr>
          <w:rFonts w:ascii="Times New Roman" w:hAnsi="Times New Roman" w:cs="Times New Roman"/>
          <w:sz w:val="22"/>
          <w:szCs w:val="22"/>
        </w:rPr>
        <w:t>);</w:t>
      </w:r>
    </w:p>
    <w:p w:rsidR="00146A6C" w:rsidRPr="00AC1525" w14:paraId="0AF02AA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w:t>
      </w:r>
      <w:r w:rsidRPr="00AC1525">
        <w:rPr>
          <w:rFonts w:ascii="Times New Roman" w:hAnsi="Times New Roman" w:cs="Times New Roman"/>
          <w:sz w:val="22"/>
          <w:szCs w:val="22"/>
        </w:rPr>
        <w:t>Name;</w:t>
      </w:r>
    </w:p>
    <w:p w:rsidR="00146A6C" w:rsidRPr="00AC1525" w14:paraId="3AA1E3C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Location </w:t>
      </w:r>
      <w:r w:rsidRPr="00AC1525">
        <w:rPr>
          <w:rFonts w:ascii="Times New Roman" w:hAnsi="Times New Roman" w:cs="Times New Roman"/>
          <w:sz w:val="22"/>
          <w:szCs w:val="22"/>
        </w:rPr>
        <w:t>Information;</w:t>
      </w:r>
    </w:p>
    <w:p w:rsidR="00146A6C" w:rsidRPr="00AC1525" w14:paraId="6FAB04D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Land </w:t>
      </w:r>
      <w:r w:rsidRPr="00AC1525">
        <w:rPr>
          <w:rFonts w:ascii="Times New Roman" w:hAnsi="Times New Roman" w:cs="Times New Roman"/>
          <w:sz w:val="22"/>
          <w:szCs w:val="22"/>
        </w:rPr>
        <w:t>Type;</w:t>
      </w:r>
    </w:p>
    <w:p w:rsidR="00146A6C" w:rsidRPr="00AC1525" w14:paraId="0EE69F2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North American Industry Classification System (NAICS) Code(s) for the </w:t>
      </w:r>
      <w:r w:rsidRPr="00AC1525">
        <w:rPr>
          <w:rFonts w:ascii="Times New Roman" w:hAnsi="Times New Roman" w:cs="Times New Roman"/>
          <w:sz w:val="22"/>
          <w:szCs w:val="22"/>
        </w:rPr>
        <w:t>Site;</w:t>
      </w:r>
    </w:p>
    <w:p w:rsidR="00146A6C" w:rsidRPr="00AC1525" w14:paraId="4074613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Mailing </w:t>
      </w:r>
      <w:r w:rsidRPr="00AC1525">
        <w:rPr>
          <w:rFonts w:ascii="Times New Roman" w:hAnsi="Times New Roman" w:cs="Times New Roman"/>
          <w:sz w:val="22"/>
          <w:szCs w:val="22"/>
        </w:rPr>
        <w:t>Address;</w:t>
      </w:r>
    </w:p>
    <w:p w:rsidR="00146A6C" w:rsidRPr="00AC1525" w14:paraId="4BC2C18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Site Contact </w:t>
      </w:r>
      <w:r w:rsidRPr="00AC1525">
        <w:rPr>
          <w:rFonts w:ascii="Times New Roman" w:hAnsi="Times New Roman" w:cs="Times New Roman"/>
          <w:sz w:val="22"/>
          <w:szCs w:val="22"/>
        </w:rPr>
        <w:t>Person;</w:t>
      </w:r>
    </w:p>
    <w:p w:rsidR="00146A6C" w:rsidRPr="00AC1525" w14:paraId="0987B25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Operator and Legal Owner of the </w:t>
      </w:r>
      <w:r w:rsidRPr="00AC1525">
        <w:rPr>
          <w:rFonts w:ascii="Times New Roman" w:hAnsi="Times New Roman" w:cs="Times New Roman"/>
          <w:sz w:val="22"/>
          <w:szCs w:val="22"/>
        </w:rPr>
        <w:t>Site;</w:t>
      </w:r>
    </w:p>
    <w:p w:rsidR="00146A6C" w:rsidRPr="00AC1525" w14:paraId="35D05F1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Type of Regulated Waste Activity; and</w:t>
      </w:r>
    </w:p>
    <w:p w:rsidR="00146A6C" w:rsidRPr="00AC1525" w14:paraId="15DD89E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firstLine="36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Certification.</w:t>
      </w:r>
    </w:p>
    <w:p w:rsidR="00146A6C" w:rsidRPr="00AC1525" w14:paraId="6F00C08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FF0000"/>
          <w:sz w:val="22"/>
          <w:szCs w:val="22"/>
        </w:rPr>
      </w:pPr>
    </w:p>
    <w:p w:rsidR="00146A6C" w:rsidRPr="00AC1525" w14:paraId="0AE7ECAB"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7E6F10F1" w14:textId="77777777">
      <w:pPr>
        <w:ind w:firstLine="720"/>
        <w:rPr>
          <w:sz w:val="22"/>
          <w:szCs w:val="22"/>
          <w:u w:val="single"/>
        </w:rPr>
      </w:pPr>
    </w:p>
    <w:p w:rsidR="00146A6C" w:rsidRPr="00AC1525" w14:paraId="05E9EFEE" w14:textId="77777777">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Prepare and submit Site Identification Form; and</w:t>
      </w:r>
    </w:p>
    <w:p w:rsidR="00146A6C" w:rsidRPr="00AC1525" w14:paraId="7AA6330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rsidP="005915F0" w14:paraId="5500B53D" w14:textId="3443BAEB">
      <w:pPr>
        <w:pStyle w:val="HTMLPreformatted"/>
        <w:numPr>
          <w:ilvl w:val="0"/>
          <w:numId w:val="2"/>
        </w:numPr>
        <w:tabs>
          <w:tab w:val="clear" w:pos="916"/>
          <w:tab w:val="num" w:pos="1440"/>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Keep a copy of the withdrawal notice on file.</w:t>
      </w:r>
      <w:r w:rsidRPr="00AC1525" w:rsidR="00776AC5">
        <w:rPr>
          <w:rFonts w:ascii="Times New Roman" w:hAnsi="Times New Roman" w:cs="Times New Roman"/>
          <w:sz w:val="22"/>
          <w:szCs w:val="22"/>
        </w:rPr>
        <w:t xml:space="preserve"> </w:t>
      </w:r>
      <w:r w:rsidRPr="00AC1525" w:rsidR="00492E28">
        <w:rPr>
          <w:rFonts w:ascii="Times New Roman" w:hAnsi="Times New Roman" w:cs="Times New Roman"/>
          <w:sz w:val="22"/>
          <w:szCs w:val="22"/>
        </w:rPr>
        <w:t>An eligible academic entity must maintain a copy of its notification to withdraw from Subpart K on file for three years from the date of the notification of withdrawal from the Subpart K requirements.</w:t>
      </w:r>
    </w:p>
    <w:p w:rsidR="00146A6C" w:rsidRPr="00AC1525" w14:paraId="1735BE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03D635B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2"/>
          <w:szCs w:val="22"/>
        </w:rPr>
      </w:pPr>
      <w:r w:rsidRPr="00AC1525">
        <w:rPr>
          <w:rFonts w:ascii="Times New Roman" w:hAnsi="Times New Roman" w:cs="Times New Roman"/>
          <w:b/>
          <w:bCs/>
          <w:sz w:val="22"/>
          <w:szCs w:val="22"/>
        </w:rPr>
        <w:t>(3)</w:t>
      </w:r>
      <w:r w:rsidRPr="00AC1525">
        <w:rPr>
          <w:rFonts w:ascii="Times New Roman" w:hAnsi="Times New Roman" w:cs="Times New Roman"/>
          <w:b/>
          <w:bCs/>
          <w:sz w:val="22"/>
          <w:szCs w:val="22"/>
        </w:rPr>
        <w:tab/>
        <w:t>Labeling of Containers of Unwanted Material in the Laboratory</w:t>
      </w:r>
    </w:p>
    <w:p w:rsidR="00146A6C" w:rsidRPr="00AC1525" w14:paraId="4BD734C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1A0F74FB" w14:textId="77777777">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262.206 provides that an eligible academic entity must label and manage containers of unwanted material while in the laboratory in accordance with the requirements in section 262.206.  </w:t>
      </w:r>
    </w:p>
    <w:p w:rsidR="00146A6C" w:rsidRPr="00AC1525" w14:paraId="5E0782BF" w14:textId="77777777">
      <w:pPr>
        <w:ind w:firstLine="720"/>
        <w:rPr>
          <w:sz w:val="22"/>
          <w:szCs w:val="22"/>
        </w:rPr>
      </w:pPr>
    </w:p>
    <w:p w:rsidR="00146A6C" w:rsidRPr="00AC1525" w14:paraId="612FB0C0" w14:textId="77777777">
      <w:pPr>
        <w:ind w:firstLine="720"/>
        <w:rPr>
          <w:sz w:val="22"/>
          <w:szCs w:val="22"/>
        </w:rPr>
      </w:pPr>
      <w:r w:rsidRPr="00AC1525">
        <w:rPr>
          <w:sz w:val="22"/>
          <w:szCs w:val="22"/>
        </w:rPr>
        <w:t xml:space="preserve">Section 262.206(a)(1) requires that the following information must be affixed or attached to the container: the </w:t>
      </w:r>
      <w:r w:rsidRPr="00AC1525">
        <w:rPr>
          <w:sz w:val="22"/>
          <w:szCs w:val="22"/>
        </w:rPr>
        <w:t>words ”unwanted</w:t>
      </w:r>
      <w:r w:rsidRPr="00AC1525">
        <w:rPr>
          <w:sz w:val="22"/>
          <w:szCs w:val="22"/>
        </w:rPr>
        <w:t xml:space="preserve"> material” or another equally effective term that is to be used consistently by the eligible academic entity and that is identified in Part I of the Laboratory Management Plan (262.206(a)(1)(</w:t>
      </w:r>
      <w:r w:rsidRPr="00AC1525">
        <w:rPr>
          <w:sz w:val="22"/>
          <w:szCs w:val="22"/>
        </w:rPr>
        <w:t>i</w:t>
      </w:r>
      <w:r w:rsidRPr="00AC1525">
        <w:rPr>
          <w:sz w:val="22"/>
          <w:szCs w:val="22"/>
        </w:rPr>
        <w:t>)), and sufficient information to alert emergency responders to the contents of the container (262.206(a)(1)(ii)).</w:t>
      </w:r>
    </w:p>
    <w:p w:rsidR="00146A6C" w:rsidRPr="00AC1525" w14:paraId="7D9CAE02" w14:textId="77777777">
      <w:pPr>
        <w:ind w:firstLine="720"/>
        <w:rPr>
          <w:sz w:val="22"/>
          <w:szCs w:val="22"/>
        </w:rPr>
      </w:pPr>
    </w:p>
    <w:p w:rsidR="00146A6C" w:rsidRPr="00AC1525" w14:paraId="7ECC7104" w14:textId="77777777">
      <w:pPr>
        <w:ind w:firstLine="720"/>
        <w:rPr>
          <w:sz w:val="22"/>
          <w:szCs w:val="22"/>
        </w:rPr>
      </w:pPr>
      <w:r w:rsidRPr="00AC1525">
        <w:rPr>
          <w:sz w:val="22"/>
          <w:szCs w:val="22"/>
        </w:rPr>
        <w:t>Section 262.206(a)(2) provides that the following information may be affixed or attached to the container, but must at least be associated with the container: the date that the unwanted material first began accumulating in the container (262.206(a)(2)(</w:t>
      </w:r>
      <w:r w:rsidRPr="00AC1525">
        <w:rPr>
          <w:sz w:val="22"/>
          <w:szCs w:val="22"/>
        </w:rPr>
        <w:t>i</w:t>
      </w:r>
      <w:r w:rsidRPr="00AC1525">
        <w:rPr>
          <w:sz w:val="22"/>
          <w:szCs w:val="22"/>
        </w:rPr>
        <w:t xml:space="preserve">)) and information sufficient to allow a trained professional to properly identify whether an unwanted material is a solid and hazardous waste and to assign the proper hazardous waste code(s), pursuant to section 262.11 (262.206(a)(2)(ii)). </w:t>
      </w:r>
    </w:p>
    <w:p w:rsidR="00146A6C" w:rsidRPr="00AC1525" w14:paraId="0418B50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42E633F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1463B9A9" w14:textId="77777777">
      <w:pPr>
        <w:ind w:firstLine="720"/>
        <w:rPr>
          <w:sz w:val="22"/>
          <w:szCs w:val="22"/>
        </w:rPr>
      </w:pPr>
    </w:p>
    <w:p w:rsidR="00146A6C" w:rsidRPr="00AC1525" w14:paraId="50D64DB4" w14:textId="77777777">
      <w:pPr>
        <w:numPr>
          <w:ilvl w:val="0"/>
          <w:numId w:val="2"/>
        </w:numPr>
        <w:tabs>
          <w:tab w:val="clear" w:pos="2160"/>
        </w:tabs>
        <w:ind w:left="1440"/>
        <w:rPr>
          <w:sz w:val="22"/>
          <w:szCs w:val="22"/>
        </w:rPr>
      </w:pPr>
      <w:r w:rsidRPr="00AC1525">
        <w:rPr>
          <w:sz w:val="22"/>
          <w:szCs w:val="22"/>
        </w:rPr>
        <w:t xml:space="preserve">Information that is affixed or attached to the container, including: </w:t>
      </w:r>
    </w:p>
    <w:p w:rsidR="00146A6C" w:rsidRPr="00AC1525" w14:paraId="486FCCE7" w14:textId="77777777">
      <w:pPr>
        <w:ind w:left="2160" w:hanging="720"/>
        <w:rPr>
          <w:sz w:val="22"/>
          <w:szCs w:val="22"/>
        </w:rPr>
      </w:pPr>
      <w:r w:rsidRPr="00AC1525">
        <w:rPr>
          <w:sz w:val="22"/>
          <w:szCs w:val="22"/>
        </w:rPr>
        <w:t xml:space="preserve">--  </w:t>
      </w:r>
      <w:r w:rsidRPr="00AC1525">
        <w:rPr>
          <w:sz w:val="22"/>
          <w:szCs w:val="22"/>
        </w:rPr>
        <w:tab/>
      </w:r>
      <w:r w:rsidRPr="00AC1525">
        <w:rPr>
          <w:sz w:val="22"/>
          <w:szCs w:val="22"/>
        </w:rPr>
        <w:t xml:space="preserve">Words ”unwanted material” or another equally effective term that is to be used consistently by the eligible academic entity and that is identified in Part I of the Laboratory Management Plan; and </w:t>
      </w:r>
    </w:p>
    <w:p w:rsidR="00146A6C" w:rsidRPr="00AC1525" w14:paraId="0414A3F2" w14:textId="77777777">
      <w:pPr>
        <w:ind w:left="2160" w:hanging="720"/>
        <w:rPr>
          <w:sz w:val="22"/>
          <w:szCs w:val="22"/>
        </w:rPr>
      </w:pPr>
      <w:r w:rsidRPr="00AC1525">
        <w:rPr>
          <w:sz w:val="22"/>
          <w:szCs w:val="22"/>
        </w:rPr>
        <w:t xml:space="preserve">-- </w:t>
      </w:r>
      <w:r w:rsidRPr="00AC1525">
        <w:rPr>
          <w:sz w:val="22"/>
          <w:szCs w:val="22"/>
        </w:rPr>
        <w:tab/>
        <w:t>Sufficient information to alert emergency responders to the contents of the container.  Examples of information that would be sufficient to alert emergency responders to the contents of the container include, but are not limited to, the following:</w:t>
      </w:r>
    </w:p>
    <w:p w:rsidR="00146A6C" w:rsidRPr="00AC1525" w14:paraId="26E22F37" w14:textId="77777777">
      <w:pPr>
        <w:ind w:left="2880" w:hanging="720"/>
        <w:rPr>
          <w:sz w:val="22"/>
          <w:szCs w:val="22"/>
        </w:rPr>
      </w:pPr>
      <w:r w:rsidRPr="00AC1525">
        <w:rPr>
          <w:sz w:val="22"/>
          <w:szCs w:val="22"/>
        </w:rPr>
        <w:t>-</w:t>
      </w:r>
      <w:r w:rsidRPr="00AC1525">
        <w:rPr>
          <w:sz w:val="22"/>
          <w:szCs w:val="22"/>
        </w:rPr>
        <w:tab/>
        <w:t>Name of the chemical(s).</w:t>
      </w:r>
    </w:p>
    <w:p w:rsidR="00146A6C" w:rsidRPr="00AC1525" w14:paraId="4E3A2294" w14:textId="77777777">
      <w:pPr>
        <w:ind w:left="2880" w:hanging="720"/>
        <w:rPr>
          <w:sz w:val="22"/>
          <w:szCs w:val="22"/>
        </w:rPr>
      </w:pPr>
      <w:r w:rsidRPr="00AC1525">
        <w:rPr>
          <w:sz w:val="22"/>
          <w:szCs w:val="22"/>
        </w:rPr>
        <w:t>-</w:t>
      </w:r>
      <w:r w:rsidRPr="00AC1525">
        <w:rPr>
          <w:sz w:val="22"/>
          <w:szCs w:val="22"/>
        </w:rPr>
        <w:tab/>
        <w:t>Type or class of chemical, such as organic solvents or halogenated organic solvents.</w:t>
      </w:r>
    </w:p>
    <w:p w:rsidR="00146A6C" w:rsidRPr="00AC1525" w14:paraId="274D5A30" w14:textId="77777777">
      <w:pPr>
        <w:ind w:firstLine="720"/>
        <w:rPr>
          <w:sz w:val="22"/>
          <w:szCs w:val="22"/>
        </w:rPr>
      </w:pPr>
    </w:p>
    <w:p w:rsidR="00146A6C" w:rsidRPr="00AC1525" w14:paraId="5D89B5C8" w14:textId="77777777">
      <w:pPr>
        <w:numPr>
          <w:ilvl w:val="0"/>
          <w:numId w:val="2"/>
        </w:numPr>
        <w:tabs>
          <w:tab w:val="clear" w:pos="2160"/>
        </w:tabs>
        <w:ind w:left="1440"/>
        <w:rPr>
          <w:sz w:val="22"/>
          <w:szCs w:val="22"/>
        </w:rPr>
      </w:pPr>
      <w:r w:rsidRPr="00AC1525">
        <w:rPr>
          <w:sz w:val="22"/>
          <w:szCs w:val="22"/>
        </w:rPr>
        <w:t xml:space="preserve">Information that may be affixed or attached to the container, but that must at least be associated with the container, including: </w:t>
      </w:r>
    </w:p>
    <w:p w:rsidR="00146A6C" w:rsidRPr="00AC1525" w14:paraId="070FAB67" w14:textId="77777777">
      <w:pPr>
        <w:ind w:left="2160" w:hanging="720"/>
        <w:rPr>
          <w:sz w:val="22"/>
          <w:szCs w:val="22"/>
        </w:rPr>
      </w:pPr>
      <w:r w:rsidRPr="00AC1525">
        <w:rPr>
          <w:sz w:val="22"/>
          <w:szCs w:val="22"/>
        </w:rPr>
        <w:t>--</w:t>
      </w:r>
      <w:r w:rsidRPr="00AC1525">
        <w:rPr>
          <w:sz w:val="22"/>
          <w:szCs w:val="22"/>
        </w:rPr>
        <w:tab/>
        <w:t>Date that the unwanted material first began accumulating in the container; and</w:t>
      </w:r>
    </w:p>
    <w:p w:rsidR="00146A6C" w:rsidRPr="00AC1525" w14:paraId="7F2F378D" w14:textId="77777777">
      <w:pPr>
        <w:ind w:left="2160" w:hanging="720"/>
        <w:rPr>
          <w:sz w:val="22"/>
          <w:szCs w:val="22"/>
        </w:rPr>
      </w:pPr>
      <w:r w:rsidRPr="00AC1525">
        <w:rPr>
          <w:sz w:val="22"/>
          <w:szCs w:val="22"/>
        </w:rPr>
        <w:t>--</w:t>
      </w:r>
      <w:r w:rsidRPr="00AC1525">
        <w:rPr>
          <w:sz w:val="22"/>
          <w:szCs w:val="22"/>
        </w:rPr>
        <w:tab/>
        <w:t>Information sufficient to allow a trained professional to properly identify whether an unwanted material is a solid and hazardous waste and to assign the proper hazardous waste code(s), pursuant to section 262.11.  For example, the following information may be associated with the container:</w:t>
      </w:r>
    </w:p>
    <w:p w:rsidR="00146A6C" w:rsidRPr="00AC1525" w14:paraId="517311B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ab/>
        <w:t xml:space="preserve">The name and/or description of the chemical contents or composition of the unwanted material, or, if known, the product of the chemical </w:t>
      </w:r>
      <w:r w:rsidRPr="00AC1525">
        <w:rPr>
          <w:rFonts w:ascii="Times New Roman" w:hAnsi="Times New Roman" w:cs="Times New Roman"/>
          <w:sz w:val="22"/>
          <w:szCs w:val="22"/>
        </w:rPr>
        <w:t>reaction;</w:t>
      </w:r>
    </w:p>
    <w:p w:rsidR="00146A6C" w:rsidRPr="00AC1525" w14:paraId="467B45C3" w14:textId="77777777">
      <w:pPr>
        <w:ind w:left="2880" w:hanging="720"/>
        <w:rPr>
          <w:sz w:val="22"/>
          <w:szCs w:val="22"/>
        </w:rPr>
      </w:pPr>
      <w:r w:rsidRPr="00AC1525">
        <w:rPr>
          <w:sz w:val="22"/>
          <w:szCs w:val="22"/>
        </w:rPr>
        <w:t>-</w:t>
      </w:r>
      <w:r w:rsidRPr="00AC1525">
        <w:rPr>
          <w:sz w:val="22"/>
          <w:szCs w:val="22"/>
        </w:rPr>
        <w:tab/>
        <w:t xml:space="preserve">Whether the unwanted material has been used or is </w:t>
      </w:r>
      <w:r w:rsidRPr="00AC1525">
        <w:rPr>
          <w:sz w:val="22"/>
          <w:szCs w:val="22"/>
        </w:rPr>
        <w:t>unused;</w:t>
      </w:r>
    </w:p>
    <w:p w:rsidR="00146A6C" w:rsidRPr="00AC1525" w14:paraId="02303118" w14:textId="77777777">
      <w:pPr>
        <w:ind w:left="2880" w:hanging="720"/>
        <w:rPr>
          <w:sz w:val="22"/>
          <w:szCs w:val="22"/>
        </w:rPr>
      </w:pPr>
      <w:r w:rsidRPr="00AC1525">
        <w:rPr>
          <w:sz w:val="22"/>
          <w:szCs w:val="22"/>
        </w:rPr>
        <w:t xml:space="preserve">- </w:t>
      </w:r>
      <w:r w:rsidRPr="00AC1525">
        <w:rPr>
          <w:sz w:val="22"/>
          <w:szCs w:val="22"/>
        </w:rPr>
        <w:tab/>
        <w:t xml:space="preserve">A description of the </w:t>
      </w:r>
      <w:r w:rsidRPr="00AC1525">
        <w:rPr>
          <w:sz w:val="22"/>
          <w:szCs w:val="22"/>
        </w:rPr>
        <w:t>manner in which</w:t>
      </w:r>
      <w:r w:rsidRPr="00AC1525">
        <w:rPr>
          <w:sz w:val="22"/>
          <w:szCs w:val="22"/>
        </w:rPr>
        <w:t xml:space="preserve"> the chemical was processed, if applicable.</w:t>
      </w:r>
    </w:p>
    <w:p w:rsidR="00146A6C" w:rsidRPr="00AC1525" w14:paraId="0DD824BD" w14:textId="77777777">
      <w:pPr>
        <w:ind w:left="2160" w:hanging="720"/>
        <w:rPr>
          <w:sz w:val="22"/>
          <w:szCs w:val="22"/>
        </w:rPr>
      </w:pPr>
    </w:p>
    <w:p w:rsidR="00146A6C" w:rsidRPr="00AC1525" w14:paraId="380610EC"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5BC4094C" w14:textId="77777777">
      <w:pPr>
        <w:ind w:firstLine="720"/>
        <w:rPr>
          <w:sz w:val="22"/>
          <w:szCs w:val="22"/>
          <w:u w:val="single"/>
        </w:rPr>
      </w:pPr>
    </w:p>
    <w:p w:rsidR="00146A6C" w:rsidRPr="00AC1525" w14:paraId="0AA5811A" w14:textId="77777777">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Label the containers as specified.</w:t>
      </w:r>
    </w:p>
    <w:p w:rsidR="00146A6C" w:rsidRPr="00AC1525" w14:paraId="0A5689C8" w14:textId="77777777">
      <w:pPr>
        <w:rPr>
          <w:b/>
          <w:bCs/>
          <w:sz w:val="22"/>
          <w:szCs w:val="22"/>
        </w:rPr>
      </w:pPr>
    </w:p>
    <w:p w:rsidR="00146A6C" w:rsidRPr="00AC1525" w14:paraId="34F06E23" w14:textId="77777777">
      <w:pPr>
        <w:keepNext/>
        <w:rPr>
          <w:sz w:val="22"/>
          <w:szCs w:val="22"/>
        </w:rPr>
      </w:pPr>
      <w:r w:rsidRPr="00AC1525">
        <w:rPr>
          <w:b/>
          <w:bCs/>
          <w:sz w:val="22"/>
          <w:szCs w:val="22"/>
        </w:rPr>
        <w:t>(4)</w:t>
      </w:r>
      <w:r w:rsidRPr="00AC1525">
        <w:rPr>
          <w:b/>
          <w:bCs/>
          <w:sz w:val="22"/>
          <w:szCs w:val="22"/>
        </w:rPr>
        <w:tab/>
        <w:t>Training</w:t>
      </w:r>
    </w:p>
    <w:p w:rsidR="00146A6C" w:rsidRPr="00AC1525" w14:paraId="06BDFC33" w14:textId="77777777">
      <w:pPr>
        <w:keepNext/>
        <w:rPr>
          <w:sz w:val="22"/>
          <w:szCs w:val="22"/>
        </w:rPr>
      </w:pPr>
    </w:p>
    <w:p w:rsidR="00146A6C" w:rsidRPr="00AC1525" w14:paraId="4180EEF1" w14:textId="77777777">
      <w:pPr>
        <w:keepNext/>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262.207 provides that an eligible academic entity must provide training to all individuals working in a laboratory at that eligible academic entity, as specified.  </w:t>
      </w:r>
    </w:p>
    <w:p w:rsidR="00146A6C" w:rsidRPr="00AC1525" w14:paraId="0A5B7928" w14:textId="77777777">
      <w:pPr>
        <w:ind w:firstLine="720"/>
        <w:rPr>
          <w:sz w:val="22"/>
          <w:szCs w:val="22"/>
        </w:rPr>
      </w:pPr>
    </w:p>
    <w:p w:rsidR="00146A6C" w:rsidRPr="00AC1525" w14:paraId="7243B2B1" w14:textId="77777777">
      <w:pPr>
        <w:ind w:firstLine="720"/>
        <w:rPr>
          <w:sz w:val="22"/>
          <w:szCs w:val="22"/>
        </w:rPr>
      </w:pPr>
      <w:r w:rsidRPr="00AC1525">
        <w:rPr>
          <w:sz w:val="22"/>
          <w:szCs w:val="22"/>
        </w:rPr>
        <w:t xml:space="preserve">Section 262.207(a) requires that training for laboratory workers and students must be commensurate with their duties so they understand the requirements in Subpart K and can implement them.  </w:t>
      </w:r>
    </w:p>
    <w:p w:rsidR="00146A6C" w:rsidRPr="00AC1525" w14:paraId="2A2B353A" w14:textId="77777777">
      <w:pPr>
        <w:ind w:firstLine="720"/>
        <w:rPr>
          <w:sz w:val="22"/>
          <w:szCs w:val="22"/>
        </w:rPr>
      </w:pPr>
    </w:p>
    <w:p w:rsidR="00146A6C" w:rsidRPr="00AC1525" w14:paraId="56A5AE89" w14:textId="77777777">
      <w:pPr>
        <w:ind w:firstLine="720"/>
        <w:rPr>
          <w:sz w:val="22"/>
          <w:szCs w:val="22"/>
        </w:rPr>
      </w:pPr>
      <w:r w:rsidRPr="00AC1525">
        <w:rPr>
          <w:sz w:val="22"/>
          <w:szCs w:val="22"/>
        </w:rPr>
        <w:t>Section 262.207(b) provides that an eligible academic entity can provide training for laboratory workers and students in a variety of ways (e.g., instruction by the professor or laboratory manager before or during an experiment, formal classroom training, electronic/written training).</w:t>
      </w:r>
    </w:p>
    <w:p w:rsidR="00146A6C" w:rsidRPr="00AC1525" w14:paraId="2D25AE03" w14:textId="77777777">
      <w:pPr>
        <w:ind w:firstLine="720"/>
        <w:rPr>
          <w:sz w:val="22"/>
          <w:szCs w:val="22"/>
        </w:rPr>
      </w:pPr>
    </w:p>
    <w:p w:rsidR="00146A6C" w:rsidRPr="00AC1525" w14:paraId="199186AE" w14:textId="77777777">
      <w:pPr>
        <w:ind w:firstLine="720"/>
        <w:rPr>
          <w:sz w:val="22"/>
          <w:szCs w:val="22"/>
        </w:rPr>
      </w:pPr>
      <w:r w:rsidRPr="00AC1525">
        <w:rPr>
          <w:sz w:val="22"/>
          <w:szCs w:val="22"/>
        </w:rPr>
        <w:t xml:space="preserve">Section 262.207(c) provides that an eligible academic entity that is a large quantity generator must maintain documentation demonstrating training for all laboratory workers.  Section 262.207(c) requires that the information must be sufficient to determine whether laboratory workers have been trained and for the durations specified in section 265.16(e).  Sections 262.207(c)(1)-(4) provides examples of documentation demonstrating training. </w:t>
      </w:r>
    </w:p>
    <w:p w:rsidR="00146A6C" w:rsidRPr="00AC1525" w14:paraId="7EE86FAA" w14:textId="77777777">
      <w:pPr>
        <w:ind w:firstLine="720"/>
        <w:rPr>
          <w:sz w:val="22"/>
          <w:szCs w:val="22"/>
        </w:rPr>
      </w:pPr>
    </w:p>
    <w:p w:rsidR="00146A6C" w:rsidRPr="00AC1525" w14:paraId="3610BE46"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3B606476" w14:textId="77777777">
      <w:pPr>
        <w:keepNext/>
        <w:ind w:firstLine="720"/>
        <w:rPr>
          <w:sz w:val="22"/>
          <w:szCs w:val="22"/>
        </w:rPr>
      </w:pPr>
    </w:p>
    <w:p w:rsidR="00146A6C" w:rsidRPr="00AC1525" w14:paraId="7BFAE552" w14:textId="77777777">
      <w:pPr>
        <w:keepNext/>
        <w:numPr>
          <w:ilvl w:val="0"/>
          <w:numId w:val="2"/>
        </w:numPr>
        <w:tabs>
          <w:tab w:val="clear" w:pos="2160"/>
        </w:tabs>
        <w:ind w:left="1440"/>
        <w:rPr>
          <w:sz w:val="22"/>
          <w:szCs w:val="22"/>
        </w:rPr>
      </w:pPr>
      <w:r w:rsidRPr="00AC1525">
        <w:rPr>
          <w:sz w:val="22"/>
          <w:szCs w:val="22"/>
        </w:rPr>
        <w:t>Documentation demonstrating training for all laboratory workers.  Examples of documentation demonstrating training can include, but are not limited to, the following:</w:t>
      </w:r>
    </w:p>
    <w:p w:rsidR="00146A6C" w:rsidRPr="00AC1525" w14:paraId="633C6E8D" w14:textId="77777777">
      <w:pPr>
        <w:ind w:left="2160" w:hanging="720"/>
        <w:rPr>
          <w:sz w:val="22"/>
          <w:szCs w:val="22"/>
        </w:rPr>
      </w:pPr>
      <w:r w:rsidRPr="00AC1525">
        <w:rPr>
          <w:sz w:val="22"/>
          <w:szCs w:val="22"/>
        </w:rPr>
        <w:t>--</w:t>
      </w:r>
      <w:r w:rsidRPr="00AC1525">
        <w:rPr>
          <w:sz w:val="22"/>
          <w:szCs w:val="22"/>
        </w:rPr>
        <w:tab/>
        <w:t>Sign-in/attendance sheet(s) for training session(s); or</w:t>
      </w:r>
    </w:p>
    <w:p w:rsidR="00146A6C" w:rsidRPr="00AC1525" w14:paraId="206A097E" w14:textId="77777777">
      <w:pPr>
        <w:ind w:left="2160" w:hanging="720"/>
        <w:rPr>
          <w:sz w:val="22"/>
          <w:szCs w:val="22"/>
        </w:rPr>
      </w:pPr>
      <w:r w:rsidRPr="00AC1525">
        <w:rPr>
          <w:sz w:val="22"/>
          <w:szCs w:val="22"/>
        </w:rPr>
        <w:t>--</w:t>
      </w:r>
      <w:r w:rsidRPr="00AC1525">
        <w:rPr>
          <w:sz w:val="22"/>
          <w:szCs w:val="22"/>
        </w:rPr>
        <w:tab/>
        <w:t>Syllabus for training session; or</w:t>
      </w:r>
    </w:p>
    <w:p w:rsidR="00146A6C" w:rsidRPr="00AC1525" w14:paraId="1EFADA54" w14:textId="77777777">
      <w:pPr>
        <w:ind w:left="2160" w:hanging="720"/>
        <w:rPr>
          <w:sz w:val="22"/>
          <w:szCs w:val="22"/>
        </w:rPr>
      </w:pPr>
      <w:r w:rsidRPr="00AC1525">
        <w:rPr>
          <w:sz w:val="22"/>
          <w:szCs w:val="22"/>
        </w:rPr>
        <w:t>--</w:t>
      </w:r>
      <w:r w:rsidRPr="00AC1525">
        <w:rPr>
          <w:sz w:val="22"/>
          <w:szCs w:val="22"/>
        </w:rPr>
        <w:tab/>
        <w:t>Certificate of training completion; or</w:t>
      </w:r>
    </w:p>
    <w:p w:rsidR="00146A6C" w:rsidRPr="00AC1525" w14:paraId="18967ACC" w14:textId="77777777">
      <w:pPr>
        <w:ind w:left="2160" w:hanging="720"/>
        <w:rPr>
          <w:sz w:val="22"/>
          <w:szCs w:val="22"/>
        </w:rPr>
      </w:pPr>
      <w:r w:rsidRPr="00AC1525">
        <w:rPr>
          <w:sz w:val="22"/>
          <w:szCs w:val="22"/>
        </w:rPr>
        <w:t>--</w:t>
      </w:r>
      <w:r w:rsidRPr="00AC1525">
        <w:rPr>
          <w:sz w:val="22"/>
          <w:szCs w:val="22"/>
        </w:rPr>
        <w:tab/>
        <w:t>Test results.</w:t>
      </w:r>
    </w:p>
    <w:p w:rsidR="00146A6C" w:rsidRPr="00AC1525" w14:paraId="5FF19303" w14:textId="77777777">
      <w:pPr>
        <w:ind w:left="2160" w:hanging="720"/>
        <w:rPr>
          <w:sz w:val="22"/>
          <w:szCs w:val="22"/>
        </w:rPr>
      </w:pPr>
    </w:p>
    <w:p w:rsidR="00146A6C" w:rsidRPr="00AC1525" w14:paraId="51A1CF0D"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47911451" w14:textId="77777777">
      <w:pPr>
        <w:ind w:firstLine="720"/>
        <w:rPr>
          <w:sz w:val="22"/>
          <w:szCs w:val="22"/>
          <w:u w:val="single"/>
        </w:rPr>
      </w:pPr>
    </w:p>
    <w:p w:rsidR="00146A6C" w:rsidRPr="00AC1525" w14:paraId="23C5452A" w14:textId="77777777">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Provide training to all individuals working in a laboratory.</w:t>
      </w:r>
    </w:p>
    <w:p w:rsidR="00146A6C" w:rsidRPr="00AC1525" w14:paraId="61FB18A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2"/>
          <w:szCs w:val="22"/>
        </w:rPr>
      </w:pPr>
    </w:p>
    <w:p w:rsidR="00146A6C" w:rsidRPr="00AC1525" w14:paraId="78ED8193" w14:textId="58952F9A">
      <w:pPr>
        <w:pStyle w:val="HTMLPreformatted"/>
        <w:numPr>
          <w:ilvl w:val="0"/>
          <w:numId w:val="2"/>
        </w:numPr>
        <w:tabs>
          <w:tab w:val="clear" w:pos="916"/>
          <w:tab w:val="clear" w:pos="1832"/>
          <w:tab w:val="clear"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2"/>
          <w:szCs w:val="22"/>
        </w:rPr>
      </w:pPr>
      <w:r w:rsidRPr="00AC1525">
        <w:rPr>
          <w:rFonts w:ascii="Times New Roman" w:hAnsi="Times New Roman" w:cs="Times New Roman"/>
          <w:sz w:val="22"/>
          <w:szCs w:val="22"/>
        </w:rPr>
        <w:t>Maintain documentation demonstrating training for all laboratory workers (LQGs only).</w:t>
      </w:r>
      <w:r w:rsidRPr="00AC1525" w:rsidR="006908B2">
        <w:rPr>
          <w:rFonts w:ascii="Times New Roman" w:hAnsi="Times New Roman" w:cs="Times New Roman"/>
          <w:sz w:val="22"/>
          <w:szCs w:val="22"/>
        </w:rPr>
        <w:t xml:space="preserve"> </w:t>
      </w:r>
      <w:r w:rsidRPr="00AC1525" w:rsidR="00492E28">
        <w:rPr>
          <w:rFonts w:ascii="Times New Roman" w:hAnsi="Times New Roman" w:cs="Times New Roman"/>
          <w:sz w:val="22"/>
          <w:szCs w:val="22"/>
        </w:rPr>
        <w:t>These training records must be kept until the institution closes or for three years after the departure of a trained professional or laboratory worker.</w:t>
      </w:r>
    </w:p>
    <w:p w:rsidR="006908B2" w:rsidRPr="00AC1525" w:rsidP="006908B2" w14:paraId="4E29451E" w14:textId="77777777">
      <w:pPr>
        <w:pStyle w:val="ListParagraph"/>
        <w:rPr>
          <w:rFonts w:ascii="Times New Roman" w:hAnsi="Times New Roman"/>
        </w:rPr>
      </w:pPr>
    </w:p>
    <w:p w:rsidR="00146A6C" w:rsidRPr="00AC1525" w14:paraId="4A90EC79" w14:textId="77777777">
      <w:pPr>
        <w:rPr>
          <w:sz w:val="22"/>
          <w:szCs w:val="22"/>
        </w:rPr>
      </w:pPr>
    </w:p>
    <w:p w:rsidR="00146A6C" w:rsidRPr="00AC1525" w14:paraId="34CCB267" w14:textId="77777777">
      <w:pPr>
        <w:rPr>
          <w:b/>
          <w:bCs/>
          <w:sz w:val="22"/>
          <w:szCs w:val="22"/>
        </w:rPr>
      </w:pPr>
      <w:r w:rsidRPr="00AC1525">
        <w:rPr>
          <w:b/>
          <w:bCs/>
          <w:sz w:val="22"/>
          <w:szCs w:val="22"/>
        </w:rPr>
        <w:t>(5)</w:t>
      </w:r>
      <w:r w:rsidRPr="00AC1525">
        <w:rPr>
          <w:b/>
          <w:bCs/>
          <w:sz w:val="22"/>
          <w:szCs w:val="22"/>
        </w:rPr>
        <w:tab/>
        <w:t>Removing Containers of Unwanted Material from the Laboratory</w:t>
      </w:r>
    </w:p>
    <w:p w:rsidR="00146A6C" w:rsidRPr="00AC1525" w14:paraId="2BE4E818" w14:textId="77777777">
      <w:pPr>
        <w:rPr>
          <w:sz w:val="22"/>
          <w:szCs w:val="22"/>
        </w:rPr>
      </w:pPr>
    </w:p>
    <w:p w:rsidR="00146A6C" w:rsidRPr="00AC1525" w14:paraId="07A8AFEC" w14:textId="23CF7F4B">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262.208(a) establishes standards for removing containers of unwanted material on a regular schedule.  An eligible academic entity must either:  remove all containers of unwanted material from each laboratory on a regular interval, not to exceed </w:t>
      </w:r>
      <w:r w:rsidRPr="00AC1525" w:rsidR="00553EA7">
        <w:rPr>
          <w:sz w:val="22"/>
          <w:szCs w:val="22"/>
        </w:rPr>
        <w:t>12</w:t>
      </w:r>
      <w:r w:rsidRPr="00AC1525">
        <w:rPr>
          <w:sz w:val="22"/>
          <w:szCs w:val="22"/>
        </w:rPr>
        <w:t xml:space="preserve"> months (262.208(a)(1)); or remove containers of unwanted material from each laboratory within </w:t>
      </w:r>
      <w:r w:rsidRPr="00AC1525" w:rsidR="00553EA7">
        <w:rPr>
          <w:sz w:val="22"/>
          <w:szCs w:val="22"/>
        </w:rPr>
        <w:t>12 months</w:t>
      </w:r>
      <w:r w:rsidRPr="00AC1525">
        <w:rPr>
          <w:sz w:val="22"/>
          <w:szCs w:val="22"/>
        </w:rPr>
        <w:t xml:space="preserve"> of each container’s accumulation start date (262.208(a)(2)). </w:t>
      </w:r>
    </w:p>
    <w:p w:rsidR="00146A6C" w:rsidRPr="00AC1525" w14:paraId="6D71A3FC" w14:textId="77777777">
      <w:pPr>
        <w:rPr>
          <w:sz w:val="22"/>
          <w:szCs w:val="22"/>
        </w:rPr>
      </w:pPr>
    </w:p>
    <w:p w:rsidR="00146A6C" w:rsidRPr="00AC1525" w14:paraId="3BACDDAD" w14:textId="77777777">
      <w:pPr>
        <w:rPr>
          <w:sz w:val="22"/>
          <w:szCs w:val="22"/>
        </w:rPr>
      </w:pPr>
      <w:r w:rsidRPr="00AC1525">
        <w:rPr>
          <w:sz w:val="22"/>
          <w:szCs w:val="22"/>
        </w:rPr>
        <w:tab/>
        <w:t>Section 262.208(b) requires that the eligible academic entity must specify in Part I of its Laboratory Management Plan whether it will comply with section 262.208(a)(1) or (a)(2) for the regular removal of unwanted material from its laboratories.  Section 262.208(c) requires that the eligible academic entity must specify in Part II of its Laboratory Management Plan how it will comply with section 262.208(a)(1) or (a)(2) and develop a schedule for regular removals of unwanted material from its laboratories.  [Note:  The data items and respondent activities associated with these requirements are presented under “Laboratory Management Plan.”]</w:t>
      </w:r>
    </w:p>
    <w:p w:rsidR="00146A6C" w:rsidRPr="00AC1525" w14:paraId="71C11BAC" w14:textId="77777777">
      <w:pPr>
        <w:rPr>
          <w:sz w:val="22"/>
          <w:szCs w:val="22"/>
        </w:rPr>
      </w:pPr>
    </w:p>
    <w:p w:rsidR="00146A6C" w:rsidRPr="00AC1525" w14:paraId="184F8FEC" w14:textId="77777777">
      <w:pPr>
        <w:rPr>
          <w:sz w:val="22"/>
          <w:szCs w:val="22"/>
        </w:rPr>
      </w:pPr>
      <w:r w:rsidRPr="00AC1525">
        <w:rPr>
          <w:sz w:val="22"/>
          <w:szCs w:val="22"/>
        </w:rPr>
        <w:tab/>
        <w:t>Section 262.208(d) establishes standards for removing containers of unwanted material when maximum volumes are exceeded.  Section 262.208(d)(1) provides that, if a laboratory accumulates more than 55 gallons of unwanted material before the regularly-scheduled removal, the eligible academic entity must ensure that all containers of unwanted material (including reactive acutely hazardous unwanted material): must have the date that 55 gallons is exceeded on the label that is associated with the container (262.208(d)(1)(</w:t>
      </w:r>
      <w:r w:rsidRPr="00AC1525">
        <w:rPr>
          <w:sz w:val="22"/>
          <w:szCs w:val="22"/>
        </w:rPr>
        <w:t>i</w:t>
      </w:r>
      <w:r w:rsidRPr="00AC1525">
        <w:rPr>
          <w:sz w:val="22"/>
          <w:szCs w:val="22"/>
        </w:rPr>
        <w:t>)); and are removed from the laboratory within 10 calendar days of the date that 55 gallons was exceeded, or at the next regularly scheduled removal, whichever comes first (262.208(d)(1)(ii)).</w:t>
      </w:r>
    </w:p>
    <w:p w:rsidR="00146A6C" w:rsidRPr="00AC1525" w14:paraId="3F50FCB8" w14:textId="77777777">
      <w:pPr>
        <w:rPr>
          <w:sz w:val="22"/>
          <w:szCs w:val="22"/>
        </w:rPr>
      </w:pPr>
    </w:p>
    <w:p w:rsidR="00146A6C" w:rsidRPr="00AC1525" w14:paraId="20FBEA39" w14:textId="3CFD6DF9">
      <w:pPr>
        <w:rPr>
          <w:sz w:val="22"/>
          <w:szCs w:val="22"/>
        </w:rPr>
      </w:pPr>
      <w:r w:rsidRPr="00AC1525">
        <w:rPr>
          <w:sz w:val="22"/>
          <w:szCs w:val="22"/>
        </w:rPr>
        <w:tab/>
        <w:t xml:space="preserve">Section 262.208(d)(2) provides that, if a laboratory accumulates more than 1 quart of </w:t>
      </w:r>
      <w:r w:rsidRPr="00AC1525" w:rsidR="00E97541">
        <w:rPr>
          <w:sz w:val="22"/>
          <w:szCs w:val="22"/>
        </w:rPr>
        <w:t xml:space="preserve">liquid </w:t>
      </w:r>
      <w:r w:rsidRPr="00AC1525">
        <w:rPr>
          <w:sz w:val="22"/>
          <w:szCs w:val="22"/>
        </w:rPr>
        <w:t xml:space="preserve">reactive acutely hazardous unwanted material </w:t>
      </w:r>
      <w:r w:rsidRPr="00AC1525" w:rsidR="00E97541">
        <w:rPr>
          <w:sz w:val="22"/>
          <w:szCs w:val="22"/>
        </w:rPr>
        <w:t xml:space="preserve">(or 1 kg of solid reactive acutely hazardous unwanted material) </w:t>
      </w:r>
      <w:r w:rsidRPr="00AC1525">
        <w:rPr>
          <w:sz w:val="22"/>
          <w:szCs w:val="22"/>
        </w:rPr>
        <w:t xml:space="preserve">before the regularly scheduled removal, then the eligible academic entity must ensure that all containers of reactive acutely hazardous unwanted material: must have the date that 1 quart </w:t>
      </w:r>
      <w:r w:rsidRPr="00AC1525" w:rsidR="00E97541">
        <w:rPr>
          <w:sz w:val="22"/>
          <w:szCs w:val="22"/>
        </w:rPr>
        <w:t xml:space="preserve">or 1 kg </w:t>
      </w:r>
      <w:r w:rsidRPr="00AC1525">
        <w:rPr>
          <w:sz w:val="22"/>
          <w:szCs w:val="22"/>
        </w:rPr>
        <w:t>is exceeded on the label that is associated with the container (262.208(d)(2)(</w:t>
      </w:r>
      <w:r w:rsidRPr="00AC1525">
        <w:rPr>
          <w:sz w:val="22"/>
          <w:szCs w:val="22"/>
        </w:rPr>
        <w:t>i</w:t>
      </w:r>
      <w:r w:rsidRPr="00AC1525">
        <w:rPr>
          <w:sz w:val="22"/>
          <w:szCs w:val="22"/>
        </w:rPr>
        <w:t xml:space="preserve">)); and are removed from the laboratory within 10 calendar days of the date that 1 quart </w:t>
      </w:r>
      <w:r w:rsidRPr="00AC1525" w:rsidR="00E97541">
        <w:rPr>
          <w:sz w:val="22"/>
          <w:szCs w:val="22"/>
        </w:rPr>
        <w:t xml:space="preserve">or 1 kg </w:t>
      </w:r>
      <w:r w:rsidRPr="00AC1525">
        <w:rPr>
          <w:sz w:val="22"/>
          <w:szCs w:val="22"/>
        </w:rPr>
        <w:t>was exceeded, or at the next regularly scheduled removal, whichever comes first (262.208(d)(2)(ii)).</w:t>
      </w:r>
    </w:p>
    <w:p w:rsidR="00146A6C" w:rsidRPr="00AC1525" w14:paraId="7B555C34" w14:textId="77777777">
      <w:pPr>
        <w:ind w:firstLine="720"/>
        <w:rPr>
          <w:sz w:val="22"/>
          <w:szCs w:val="22"/>
        </w:rPr>
      </w:pPr>
    </w:p>
    <w:p w:rsidR="00146A6C" w:rsidRPr="00AC1525" w14:paraId="14BF2C6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051657E3" w14:textId="77777777">
      <w:pPr>
        <w:rPr>
          <w:sz w:val="22"/>
          <w:szCs w:val="22"/>
        </w:rPr>
      </w:pPr>
    </w:p>
    <w:p w:rsidR="00146A6C" w:rsidRPr="00AC1525" w14:paraId="4536605A" w14:textId="77777777">
      <w:pPr>
        <w:numPr>
          <w:ilvl w:val="0"/>
          <w:numId w:val="4"/>
        </w:numPr>
        <w:tabs>
          <w:tab w:val="clear" w:pos="2160"/>
        </w:tabs>
        <w:ind w:left="1440"/>
        <w:rPr>
          <w:sz w:val="22"/>
          <w:szCs w:val="22"/>
        </w:rPr>
      </w:pPr>
      <w:r w:rsidRPr="00AC1525">
        <w:rPr>
          <w:sz w:val="22"/>
          <w:szCs w:val="22"/>
        </w:rPr>
        <w:t>Date that the laboratory accumulated more than 55 gallons of unwanted material.</w:t>
      </w:r>
    </w:p>
    <w:p w:rsidR="00146A6C" w:rsidRPr="00AC1525" w14:paraId="521B4213" w14:textId="77777777">
      <w:pPr>
        <w:ind w:left="1440" w:hanging="720"/>
        <w:rPr>
          <w:sz w:val="22"/>
          <w:szCs w:val="22"/>
        </w:rPr>
      </w:pPr>
    </w:p>
    <w:p w:rsidR="00146A6C" w:rsidRPr="00AC1525" w14:paraId="7AC2A386" w14:textId="3255359C">
      <w:pPr>
        <w:numPr>
          <w:ilvl w:val="0"/>
          <w:numId w:val="3"/>
        </w:numPr>
        <w:tabs>
          <w:tab w:val="clear" w:pos="2160"/>
        </w:tabs>
        <w:ind w:left="1440"/>
        <w:rPr>
          <w:sz w:val="22"/>
          <w:szCs w:val="22"/>
        </w:rPr>
      </w:pPr>
      <w:r w:rsidRPr="00AC1525">
        <w:rPr>
          <w:sz w:val="22"/>
          <w:szCs w:val="22"/>
        </w:rPr>
        <w:t xml:space="preserve">Date that the laboratory accumulated more than 1 quart </w:t>
      </w:r>
      <w:r w:rsidRPr="00AC1525" w:rsidR="00CD2DED">
        <w:rPr>
          <w:sz w:val="22"/>
          <w:szCs w:val="22"/>
        </w:rPr>
        <w:t xml:space="preserve">of liquid reactive acutely hazardous unwanted material </w:t>
      </w:r>
      <w:r w:rsidRPr="00AC1525" w:rsidR="00E97541">
        <w:rPr>
          <w:sz w:val="22"/>
          <w:szCs w:val="22"/>
        </w:rPr>
        <w:t xml:space="preserve">or 1 kg </w:t>
      </w:r>
      <w:r w:rsidRPr="00AC1525">
        <w:rPr>
          <w:sz w:val="22"/>
          <w:szCs w:val="22"/>
        </w:rPr>
        <w:t xml:space="preserve">of </w:t>
      </w:r>
      <w:r w:rsidRPr="00AC1525" w:rsidR="00CD2DED">
        <w:rPr>
          <w:sz w:val="22"/>
          <w:szCs w:val="22"/>
        </w:rPr>
        <w:t xml:space="preserve">solid </w:t>
      </w:r>
      <w:r w:rsidRPr="00AC1525">
        <w:rPr>
          <w:sz w:val="22"/>
          <w:szCs w:val="22"/>
        </w:rPr>
        <w:t>reactive acutely hazardous unwanted material.</w:t>
      </w:r>
    </w:p>
    <w:p w:rsidR="00146A6C" w:rsidRPr="00AC1525" w14:paraId="1808369B" w14:textId="77777777">
      <w:pPr>
        <w:rPr>
          <w:sz w:val="22"/>
          <w:szCs w:val="22"/>
        </w:rPr>
      </w:pPr>
    </w:p>
    <w:p w:rsidR="00146A6C" w:rsidRPr="00AC1525" w14:paraId="0E239395"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05E1623F" w14:textId="77777777">
      <w:pPr>
        <w:rPr>
          <w:sz w:val="22"/>
          <w:szCs w:val="22"/>
        </w:rPr>
      </w:pPr>
    </w:p>
    <w:p w:rsidR="00146A6C" w:rsidRPr="00AC1525" w14:paraId="3282B752" w14:textId="1611A30A">
      <w:pPr>
        <w:numPr>
          <w:ilvl w:val="0"/>
          <w:numId w:val="3"/>
        </w:numPr>
        <w:tabs>
          <w:tab w:val="clear" w:pos="2160"/>
        </w:tabs>
        <w:ind w:left="1440"/>
        <w:rPr>
          <w:sz w:val="22"/>
          <w:szCs w:val="22"/>
        </w:rPr>
      </w:pPr>
      <w:r w:rsidRPr="00AC1525">
        <w:rPr>
          <w:sz w:val="22"/>
          <w:szCs w:val="22"/>
        </w:rPr>
        <w:t xml:space="preserve">Ensure that containers of unwanted material that exceed volume limits have the date of the </w:t>
      </w:r>
      <w:r w:rsidRPr="00AC1525" w:rsidR="00370B27">
        <w:rPr>
          <w:sz w:val="22"/>
          <w:szCs w:val="22"/>
        </w:rPr>
        <w:t>exceedance</w:t>
      </w:r>
      <w:r w:rsidRPr="00AC1525">
        <w:rPr>
          <w:sz w:val="22"/>
          <w:szCs w:val="22"/>
        </w:rPr>
        <w:t xml:space="preserve"> on the label.</w:t>
      </w:r>
    </w:p>
    <w:p w:rsidR="00146A6C" w:rsidRPr="00AC1525" w14:paraId="5BBF939D" w14:textId="77777777">
      <w:pPr>
        <w:rPr>
          <w:sz w:val="22"/>
          <w:szCs w:val="22"/>
        </w:rPr>
      </w:pPr>
    </w:p>
    <w:p w:rsidR="00146A6C" w:rsidRPr="00AC1525" w14:paraId="5F8ECB2B" w14:textId="77777777">
      <w:pPr>
        <w:ind w:left="720" w:hanging="720"/>
        <w:rPr>
          <w:b/>
          <w:bCs/>
          <w:sz w:val="22"/>
          <w:szCs w:val="22"/>
        </w:rPr>
      </w:pPr>
      <w:r w:rsidRPr="00AC1525">
        <w:rPr>
          <w:b/>
          <w:bCs/>
          <w:sz w:val="22"/>
          <w:szCs w:val="22"/>
        </w:rPr>
        <w:t>(6)</w:t>
      </w:r>
      <w:r w:rsidRPr="00AC1525">
        <w:rPr>
          <w:b/>
          <w:bCs/>
          <w:sz w:val="22"/>
          <w:szCs w:val="22"/>
        </w:rPr>
        <w:tab/>
        <w:t>Where and When to Make the Hazardous Waste Determination and Where to Send Containers of Unwanted Material</w:t>
      </w:r>
    </w:p>
    <w:p w:rsidR="00146A6C" w:rsidRPr="00AC1525" w14:paraId="0415285C" w14:textId="77777777">
      <w:pPr>
        <w:rPr>
          <w:sz w:val="22"/>
          <w:szCs w:val="22"/>
        </w:rPr>
      </w:pPr>
    </w:p>
    <w:p w:rsidR="00146A6C" w:rsidRPr="00AC1525" w14:paraId="3ABA0EF0" w14:textId="71D916C2">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262.209(a) establishes standards for where and when large quantity generators and small quantity generators may make hazardous waste determinations.  An eligible academic </w:t>
      </w:r>
      <w:r w:rsidRPr="00AC1525">
        <w:rPr>
          <w:sz w:val="22"/>
          <w:szCs w:val="22"/>
        </w:rPr>
        <w:t>entity must ensure that a trained professional makes a hazardous waste determination, pursuant to section 262.11, for unwanted material in any of the following areas:</w:t>
      </w:r>
    </w:p>
    <w:p w:rsidR="00146A6C" w:rsidRPr="00AC1525" w14:paraId="0EDBEBE6" w14:textId="77777777">
      <w:pPr>
        <w:rPr>
          <w:sz w:val="22"/>
          <w:szCs w:val="22"/>
        </w:rPr>
      </w:pPr>
    </w:p>
    <w:p w:rsidR="00146A6C" w:rsidRPr="00AC1525" w14:paraId="25F5A0CF" w14:textId="77777777">
      <w:pPr>
        <w:numPr>
          <w:ilvl w:val="0"/>
          <w:numId w:val="3"/>
        </w:numPr>
        <w:tabs>
          <w:tab w:val="clear" w:pos="2160"/>
        </w:tabs>
        <w:ind w:left="1440"/>
        <w:rPr>
          <w:sz w:val="22"/>
          <w:szCs w:val="22"/>
        </w:rPr>
      </w:pPr>
      <w:r w:rsidRPr="00AC1525">
        <w:rPr>
          <w:sz w:val="22"/>
          <w:szCs w:val="22"/>
        </w:rPr>
        <w:t>In the laboratory before the unwanted material is removed from the laboratory, in accordance with section 262.210.  [Note:  The data items and respondent activities associated with this requirement are presented in “Making the Hazardous Waste Determination in the Laboratory.”]</w:t>
      </w:r>
    </w:p>
    <w:p w:rsidR="00146A6C" w:rsidRPr="00AC1525" w14:paraId="5B26FF43" w14:textId="77777777">
      <w:pPr>
        <w:ind w:left="1440" w:hanging="720"/>
        <w:rPr>
          <w:sz w:val="22"/>
          <w:szCs w:val="22"/>
        </w:rPr>
      </w:pPr>
    </w:p>
    <w:p w:rsidR="00146A6C" w:rsidRPr="00AC1525" w14:paraId="021B93EC" w14:textId="77777777">
      <w:pPr>
        <w:numPr>
          <w:ilvl w:val="0"/>
          <w:numId w:val="3"/>
        </w:numPr>
        <w:tabs>
          <w:tab w:val="clear" w:pos="2160"/>
        </w:tabs>
        <w:ind w:left="1440"/>
        <w:rPr>
          <w:sz w:val="22"/>
          <w:szCs w:val="22"/>
        </w:rPr>
      </w:pPr>
      <w:r w:rsidRPr="00AC1525">
        <w:rPr>
          <w:sz w:val="22"/>
          <w:szCs w:val="22"/>
        </w:rPr>
        <w:t>Within 4 calendar days of arriving at an on-site central accumulation area, in accordance with section 262.211.  [Note:  The data items and respondent activities associated with this requirement are presented in “Making the Hazardous Waste Determination in an On-site Central Accumulation Area.”]</w:t>
      </w:r>
    </w:p>
    <w:p w:rsidR="00146A6C" w:rsidRPr="00AC1525" w14:paraId="77066B65" w14:textId="77777777">
      <w:pPr>
        <w:ind w:left="1440" w:hanging="720"/>
        <w:rPr>
          <w:sz w:val="22"/>
          <w:szCs w:val="22"/>
        </w:rPr>
      </w:pPr>
    </w:p>
    <w:p w:rsidR="00146A6C" w:rsidRPr="00AC1525" w14:paraId="4C52F768" w14:textId="77777777">
      <w:pPr>
        <w:numPr>
          <w:ilvl w:val="0"/>
          <w:numId w:val="3"/>
        </w:numPr>
        <w:tabs>
          <w:tab w:val="clear" w:pos="2160"/>
        </w:tabs>
        <w:ind w:left="1440"/>
        <w:rPr>
          <w:sz w:val="22"/>
          <w:szCs w:val="22"/>
        </w:rPr>
      </w:pPr>
      <w:r w:rsidRPr="00AC1525">
        <w:rPr>
          <w:sz w:val="22"/>
          <w:szCs w:val="22"/>
        </w:rPr>
        <w:t xml:space="preserve">Within 4 calendar days of arriving at an on-site treatment, </w:t>
      </w:r>
      <w:r w:rsidRPr="00AC1525">
        <w:rPr>
          <w:sz w:val="22"/>
          <w:szCs w:val="22"/>
        </w:rPr>
        <w:t>storage</w:t>
      </w:r>
      <w:r w:rsidRPr="00AC1525">
        <w:rPr>
          <w:sz w:val="22"/>
          <w:szCs w:val="22"/>
        </w:rPr>
        <w:t xml:space="preserve"> or disposal facility, in accordance with section 262.212.  [Note:  The data items and respondent activities associated with this requirement are presented in “Making the Hazardous Waste Determination at an On-site Interim Status or Permitted Treatment, Storage, or Disposal Facility.”]</w:t>
      </w:r>
    </w:p>
    <w:p w:rsidR="00146A6C" w:rsidRPr="00AC1525" w14:paraId="25EA28F9" w14:textId="77777777">
      <w:pPr>
        <w:rPr>
          <w:sz w:val="22"/>
          <w:szCs w:val="22"/>
        </w:rPr>
      </w:pPr>
    </w:p>
    <w:p w:rsidR="00146A6C" w:rsidRPr="00AC1525" w14:paraId="2332AA48" w14:textId="56A021DD">
      <w:pPr>
        <w:ind w:firstLine="720"/>
        <w:rPr>
          <w:sz w:val="22"/>
          <w:szCs w:val="22"/>
        </w:rPr>
      </w:pPr>
      <w:r w:rsidRPr="00AC1525">
        <w:rPr>
          <w:sz w:val="22"/>
          <w:szCs w:val="22"/>
        </w:rPr>
        <w:t xml:space="preserve">Section 262.209(b) establishes standards for where and when </w:t>
      </w:r>
      <w:r w:rsidRPr="00AC1525" w:rsidR="00E07FC9">
        <w:rPr>
          <w:sz w:val="22"/>
          <w:szCs w:val="22"/>
        </w:rPr>
        <w:t>very</w:t>
      </w:r>
      <w:r w:rsidRPr="00AC1525">
        <w:rPr>
          <w:sz w:val="22"/>
          <w:szCs w:val="22"/>
        </w:rPr>
        <w:t xml:space="preserve"> small quantity generators may make hazardous waste determinations.  An eligible academic entity must ensure that a trained professional makes a hazardous waste determination, pursuant to section 262.11</w:t>
      </w:r>
      <w:r w:rsidRPr="00AC1525" w:rsidR="003B0775">
        <w:rPr>
          <w:sz w:val="22"/>
          <w:szCs w:val="22"/>
        </w:rPr>
        <w:t>(a) through (d)</w:t>
      </w:r>
      <w:r w:rsidRPr="00AC1525">
        <w:rPr>
          <w:sz w:val="22"/>
          <w:szCs w:val="22"/>
        </w:rPr>
        <w:t>, for unwanted material in the laboratory before the unwanted material is removed from the laboratory, in accordance with 262.210.  [Note:  The data items and respondent activities associated with this requirement are presented in “Making the Hazardous Waste Determination in the Laboratory.”]</w:t>
      </w:r>
    </w:p>
    <w:p w:rsidR="00146A6C" w:rsidRPr="00AC1525" w14:paraId="69BB4D1E" w14:textId="77777777">
      <w:pPr>
        <w:rPr>
          <w:sz w:val="22"/>
          <w:szCs w:val="22"/>
        </w:rPr>
      </w:pPr>
    </w:p>
    <w:p w:rsidR="00146A6C" w:rsidRPr="00AC1525" w14:paraId="518A643E" w14:textId="77777777">
      <w:pPr>
        <w:rPr>
          <w:b/>
          <w:bCs/>
          <w:sz w:val="22"/>
          <w:szCs w:val="22"/>
        </w:rPr>
      </w:pPr>
      <w:r w:rsidRPr="00AC1525">
        <w:rPr>
          <w:b/>
          <w:bCs/>
          <w:sz w:val="22"/>
          <w:szCs w:val="22"/>
        </w:rPr>
        <w:t>(7)</w:t>
      </w:r>
      <w:r w:rsidRPr="00AC1525">
        <w:rPr>
          <w:b/>
          <w:bCs/>
          <w:sz w:val="22"/>
          <w:szCs w:val="22"/>
        </w:rPr>
        <w:tab/>
        <w:t>Making the Hazardous Waste Determination in the Laboratory</w:t>
      </w:r>
    </w:p>
    <w:p w:rsidR="00146A6C" w:rsidRPr="00AC1525" w14:paraId="45349163" w14:textId="77777777">
      <w:pPr>
        <w:rPr>
          <w:sz w:val="22"/>
          <w:szCs w:val="22"/>
        </w:rPr>
      </w:pPr>
    </w:p>
    <w:p w:rsidR="00146A6C" w:rsidRPr="00AC1525" w14:paraId="0CBA6E44" w14:textId="46A3890B">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262.210 provides that, if an eligible academic entity makes the hazardous waste determination, pursuant to section 262.11</w:t>
      </w:r>
      <w:r w:rsidRPr="00AC1525" w:rsidR="003B0775">
        <w:rPr>
          <w:sz w:val="22"/>
          <w:szCs w:val="22"/>
        </w:rPr>
        <w:t>(a) through (d)</w:t>
      </w:r>
      <w:r w:rsidRPr="00AC1525">
        <w:rPr>
          <w:sz w:val="22"/>
          <w:szCs w:val="22"/>
        </w:rPr>
        <w:t xml:space="preserve">, for unwanted material in the laboratory before the unwanted material is removed from the laboratory, it must comply with the requirements in section 262.210. </w:t>
      </w:r>
    </w:p>
    <w:p w:rsidR="00146A6C" w:rsidRPr="00AC1525" w14:paraId="6724DE5F" w14:textId="77777777">
      <w:pPr>
        <w:rPr>
          <w:sz w:val="22"/>
          <w:szCs w:val="22"/>
        </w:rPr>
      </w:pPr>
    </w:p>
    <w:p w:rsidR="00146A6C" w:rsidRPr="00AC1525" w14:paraId="0C73E125" w14:textId="57C892F7">
      <w:pPr>
        <w:rPr>
          <w:sz w:val="22"/>
          <w:szCs w:val="22"/>
        </w:rPr>
      </w:pPr>
      <w:r w:rsidRPr="00AC1525">
        <w:rPr>
          <w:sz w:val="22"/>
          <w:szCs w:val="22"/>
        </w:rPr>
        <w:tab/>
        <w:t>Section 262.210(a) requires that a trained professional must make the hazardous waste determination, pursuant to section 262.11</w:t>
      </w:r>
      <w:r w:rsidRPr="00AC1525" w:rsidR="003B0775">
        <w:rPr>
          <w:sz w:val="22"/>
          <w:szCs w:val="22"/>
        </w:rPr>
        <w:t>(a) through (d)</w:t>
      </w:r>
      <w:r w:rsidRPr="00AC1525">
        <w:rPr>
          <w:sz w:val="22"/>
          <w:szCs w:val="22"/>
        </w:rPr>
        <w:t>, before the unwanted material is removed from the laboratory.</w:t>
      </w:r>
    </w:p>
    <w:p w:rsidR="00146A6C" w:rsidRPr="00AC1525" w14:paraId="5490FADE" w14:textId="77777777">
      <w:pPr>
        <w:rPr>
          <w:sz w:val="22"/>
          <w:szCs w:val="22"/>
        </w:rPr>
      </w:pPr>
    </w:p>
    <w:p w:rsidR="00146A6C" w:rsidRPr="00AC1525" w14:paraId="58F4F9DA" w14:textId="77777777">
      <w:pPr>
        <w:rPr>
          <w:sz w:val="22"/>
          <w:szCs w:val="22"/>
        </w:rPr>
      </w:pPr>
      <w:r w:rsidRPr="00AC1525">
        <w:rPr>
          <w:sz w:val="22"/>
          <w:szCs w:val="22"/>
        </w:rP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rsidR="00146A6C" w:rsidRPr="00AC1525" w14:paraId="49220CEB" w14:textId="77777777">
      <w:pPr>
        <w:ind w:firstLine="720"/>
        <w:rPr>
          <w:sz w:val="22"/>
          <w:szCs w:val="22"/>
        </w:rPr>
      </w:pPr>
    </w:p>
    <w:p w:rsidR="00146A6C" w:rsidRPr="00AC1525" w14:paraId="3A565C5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1E21BF64" w14:textId="77777777">
      <w:pPr>
        <w:rPr>
          <w:sz w:val="22"/>
          <w:szCs w:val="22"/>
        </w:rPr>
      </w:pPr>
    </w:p>
    <w:p w:rsidR="00146A6C" w:rsidRPr="00AC1525" w14:paraId="0FB818E0" w14:textId="77777777">
      <w:pPr>
        <w:numPr>
          <w:ilvl w:val="0"/>
          <w:numId w:val="5"/>
        </w:numPr>
        <w:tabs>
          <w:tab w:val="clear" w:pos="2160"/>
        </w:tabs>
        <w:ind w:hanging="1440"/>
        <w:rPr>
          <w:sz w:val="22"/>
          <w:szCs w:val="22"/>
        </w:rPr>
      </w:pPr>
      <w:r w:rsidRPr="00AC1525">
        <w:rPr>
          <w:sz w:val="22"/>
          <w:szCs w:val="22"/>
        </w:rPr>
        <w:t>Hazardous waste determination.</w:t>
      </w:r>
    </w:p>
    <w:p w:rsidR="00146A6C" w:rsidRPr="00AC1525" w14:paraId="249F1009" w14:textId="77777777">
      <w:pPr>
        <w:ind w:hanging="1440"/>
        <w:rPr>
          <w:sz w:val="22"/>
          <w:szCs w:val="22"/>
        </w:rPr>
      </w:pPr>
    </w:p>
    <w:p w:rsidR="00146A6C" w:rsidRPr="00AC1525" w14:paraId="0536E7C3" w14:textId="77777777">
      <w:pPr>
        <w:numPr>
          <w:ilvl w:val="0"/>
          <w:numId w:val="5"/>
        </w:numPr>
        <w:tabs>
          <w:tab w:val="clear" w:pos="2160"/>
        </w:tabs>
        <w:ind w:hanging="1440"/>
        <w:rPr>
          <w:sz w:val="22"/>
          <w:szCs w:val="22"/>
        </w:rPr>
      </w:pPr>
      <w:r w:rsidRPr="00AC1525">
        <w:rPr>
          <w:sz w:val="22"/>
          <w:szCs w:val="22"/>
        </w:rPr>
        <w:t>EPA Hazardous waste codes on the label.</w:t>
      </w:r>
    </w:p>
    <w:p w:rsidR="00146A6C" w:rsidRPr="00AC1525" w14:paraId="2665EA0D" w14:textId="77777777">
      <w:pPr>
        <w:ind w:firstLine="720"/>
        <w:rPr>
          <w:sz w:val="22"/>
          <w:szCs w:val="22"/>
        </w:rPr>
      </w:pPr>
    </w:p>
    <w:p w:rsidR="00146A6C" w:rsidRPr="00AC1525" w14:paraId="2ED0AFC4"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16F3D124" w14:textId="77777777">
      <w:pPr>
        <w:ind w:left="720"/>
        <w:rPr>
          <w:sz w:val="22"/>
          <w:szCs w:val="22"/>
        </w:rPr>
      </w:pPr>
    </w:p>
    <w:p w:rsidR="00146A6C" w:rsidRPr="00AC1525" w14:paraId="22AB0AE0" w14:textId="77777777">
      <w:pPr>
        <w:numPr>
          <w:ilvl w:val="0"/>
          <w:numId w:val="7"/>
        </w:numPr>
        <w:tabs>
          <w:tab w:val="clear" w:pos="2160"/>
        </w:tabs>
        <w:ind w:left="1440"/>
        <w:rPr>
          <w:sz w:val="22"/>
          <w:szCs w:val="22"/>
        </w:rPr>
      </w:pPr>
      <w:r w:rsidRPr="00AC1525">
        <w:rPr>
          <w:sz w:val="22"/>
          <w:szCs w:val="22"/>
        </w:rPr>
        <w:t>Make the hazardous waste determination; and</w:t>
      </w:r>
    </w:p>
    <w:p w:rsidR="00146A6C" w:rsidRPr="00AC1525" w14:paraId="16CD0114" w14:textId="77777777">
      <w:pPr>
        <w:ind w:left="720"/>
        <w:rPr>
          <w:sz w:val="22"/>
          <w:szCs w:val="22"/>
        </w:rPr>
      </w:pPr>
    </w:p>
    <w:p w:rsidR="00146A6C" w:rsidRPr="00AC1525" w14:paraId="51AF1D9A" w14:textId="77777777">
      <w:pPr>
        <w:numPr>
          <w:ilvl w:val="0"/>
          <w:numId w:val="6"/>
        </w:numPr>
        <w:tabs>
          <w:tab w:val="clear" w:pos="2160"/>
        </w:tabs>
        <w:ind w:left="1440"/>
        <w:rPr>
          <w:sz w:val="22"/>
          <w:szCs w:val="22"/>
        </w:rPr>
      </w:pPr>
      <w:r w:rsidRPr="00AC1525">
        <w:rPr>
          <w:sz w:val="22"/>
          <w:szCs w:val="22"/>
        </w:rPr>
        <w:t>Write hazardous waste codes on the container label.</w:t>
      </w:r>
    </w:p>
    <w:p w:rsidR="00146A6C" w:rsidRPr="00AC1525" w14:paraId="460F85C5" w14:textId="77777777">
      <w:pPr>
        <w:rPr>
          <w:sz w:val="22"/>
          <w:szCs w:val="22"/>
        </w:rPr>
      </w:pPr>
    </w:p>
    <w:p w:rsidR="00146A6C" w:rsidRPr="00AC1525" w14:paraId="5C8BB4D3" w14:textId="77777777">
      <w:pPr>
        <w:ind w:left="720" w:hanging="720"/>
        <w:rPr>
          <w:b/>
          <w:bCs/>
          <w:sz w:val="22"/>
          <w:szCs w:val="22"/>
        </w:rPr>
      </w:pPr>
      <w:r w:rsidRPr="00AC1525">
        <w:rPr>
          <w:b/>
          <w:bCs/>
          <w:sz w:val="22"/>
          <w:szCs w:val="22"/>
        </w:rPr>
        <w:t>(8)</w:t>
      </w:r>
      <w:r w:rsidRPr="00AC1525">
        <w:rPr>
          <w:b/>
          <w:bCs/>
          <w:sz w:val="22"/>
          <w:szCs w:val="22"/>
        </w:rPr>
        <w:tab/>
        <w:t>Making the Hazardous Waste Determination in an On-site Central Accumulation Area</w:t>
      </w:r>
    </w:p>
    <w:p w:rsidR="00146A6C" w:rsidRPr="00AC1525" w14:paraId="76A4EFD2" w14:textId="77777777">
      <w:pPr>
        <w:rPr>
          <w:sz w:val="22"/>
          <w:szCs w:val="22"/>
        </w:rPr>
      </w:pPr>
    </w:p>
    <w:p w:rsidR="00146A6C" w:rsidRPr="00AC1525" w14:paraId="30913E15" w14:textId="77777777">
      <w:pPr>
        <w:rPr>
          <w:sz w:val="22"/>
          <w:szCs w:val="22"/>
        </w:rPr>
      </w:pPr>
      <w:r w:rsidRPr="00AC1525">
        <w:rPr>
          <w:sz w:val="22"/>
          <w:szCs w:val="22"/>
        </w:rPr>
        <w:tab/>
        <w:t xml:space="preserve">40 </w:t>
      </w:r>
      <w:r w:rsidRPr="00AC1525">
        <w:rPr>
          <w:i/>
          <w:sz w:val="22"/>
          <w:szCs w:val="22"/>
        </w:rPr>
        <w:t>CFR</w:t>
      </w:r>
      <w:r w:rsidRPr="00AC1525">
        <w:rPr>
          <w:sz w:val="22"/>
          <w:szCs w:val="22"/>
        </w:rPr>
        <w:t xml:space="preserve"> 262.211 provides that, if an eligible academic entity makes the hazardous waste determination, pursuant to section 262.11, for unwanted material at an on-site central accumulation area, it must comply with requirements in 262.211.</w:t>
      </w:r>
    </w:p>
    <w:p w:rsidR="00146A6C" w:rsidRPr="00AC1525" w14:paraId="4F076998" w14:textId="77777777">
      <w:pPr>
        <w:rPr>
          <w:sz w:val="22"/>
          <w:szCs w:val="22"/>
        </w:rPr>
      </w:pPr>
    </w:p>
    <w:p w:rsidR="00146A6C" w:rsidRPr="00AC1525" w14:paraId="6A6ACE5F" w14:textId="3889D084">
      <w:pPr>
        <w:rPr>
          <w:sz w:val="22"/>
          <w:szCs w:val="22"/>
        </w:rPr>
      </w:pPr>
      <w:r w:rsidRPr="00AC1525">
        <w:rPr>
          <w:sz w:val="22"/>
          <w:szCs w:val="22"/>
        </w:rPr>
        <w:tab/>
        <w:t>Section 262.211(d) requires that a trained professional must determine, pursuant to section 262.11</w:t>
      </w:r>
      <w:r w:rsidRPr="00AC1525" w:rsidR="003B0775">
        <w:rPr>
          <w:sz w:val="22"/>
          <w:szCs w:val="22"/>
        </w:rPr>
        <w:t>(a) through (d</w:t>
      </w:r>
      <w:r w:rsidRPr="00AC1525" w:rsidR="003B0775">
        <w:rPr>
          <w:sz w:val="22"/>
          <w:szCs w:val="22"/>
        </w:rPr>
        <w:t>)</w:t>
      </w:r>
      <w:r w:rsidRPr="00AC1525">
        <w:rPr>
          <w:sz w:val="22"/>
          <w:szCs w:val="22"/>
        </w:rPr>
        <w:t>, if</w:t>
      </w:r>
      <w:r w:rsidRPr="00AC1525">
        <w:rPr>
          <w:sz w:val="22"/>
          <w:szCs w:val="22"/>
        </w:rPr>
        <w:t xml:space="preserve"> the unwanted material is a hazardous waste within 4 calendar days of the unwanted materials’ arrival at the on-site central accumulation area.</w:t>
      </w:r>
    </w:p>
    <w:p w:rsidR="00CD2DED" w:rsidRPr="00AC1525" w14:paraId="4CEAC4EC" w14:textId="77777777">
      <w:pPr>
        <w:rPr>
          <w:sz w:val="22"/>
          <w:szCs w:val="22"/>
        </w:rPr>
      </w:pPr>
    </w:p>
    <w:p w:rsidR="00146A6C" w:rsidRPr="00AC1525" w14:paraId="1E7C10C5" w14:textId="77777777">
      <w:pPr>
        <w:rPr>
          <w:sz w:val="22"/>
          <w:szCs w:val="22"/>
        </w:rPr>
      </w:pPr>
      <w:r w:rsidRPr="00AC1525">
        <w:rPr>
          <w:sz w:val="22"/>
          <w:szCs w:val="22"/>
        </w:rP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Pr="00AC1525" w14:paraId="189C0B84" w14:textId="77777777">
      <w:pPr>
        <w:ind w:firstLine="720"/>
        <w:rPr>
          <w:sz w:val="22"/>
          <w:szCs w:val="22"/>
        </w:rPr>
      </w:pPr>
    </w:p>
    <w:p w:rsidR="00146A6C" w:rsidRPr="00AC1525" w14:paraId="35729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084D6BE8" w14:textId="77777777">
      <w:pPr>
        <w:rPr>
          <w:sz w:val="22"/>
          <w:szCs w:val="22"/>
        </w:rPr>
      </w:pPr>
    </w:p>
    <w:p w:rsidR="00146A6C" w:rsidRPr="00AC1525" w14:paraId="1D315782" w14:textId="77777777">
      <w:pPr>
        <w:numPr>
          <w:ilvl w:val="0"/>
          <w:numId w:val="5"/>
        </w:numPr>
        <w:tabs>
          <w:tab w:val="clear" w:pos="2160"/>
        </w:tabs>
        <w:ind w:hanging="1440"/>
        <w:rPr>
          <w:sz w:val="22"/>
          <w:szCs w:val="22"/>
        </w:rPr>
      </w:pPr>
      <w:r w:rsidRPr="00AC1525">
        <w:rPr>
          <w:sz w:val="22"/>
          <w:szCs w:val="22"/>
        </w:rPr>
        <w:t>Hazardous waste determination.</w:t>
      </w:r>
    </w:p>
    <w:p w:rsidR="00146A6C" w:rsidRPr="00AC1525" w14:paraId="08F6E0DC" w14:textId="77777777">
      <w:pPr>
        <w:ind w:hanging="1440"/>
        <w:rPr>
          <w:sz w:val="22"/>
          <w:szCs w:val="22"/>
        </w:rPr>
      </w:pPr>
    </w:p>
    <w:p w:rsidR="00146A6C" w:rsidRPr="00AC1525" w14:paraId="021D081B" w14:textId="77777777">
      <w:pPr>
        <w:numPr>
          <w:ilvl w:val="0"/>
          <w:numId w:val="5"/>
        </w:numPr>
        <w:tabs>
          <w:tab w:val="clear" w:pos="2160"/>
        </w:tabs>
        <w:ind w:hanging="1440"/>
        <w:rPr>
          <w:sz w:val="22"/>
          <w:szCs w:val="22"/>
        </w:rPr>
      </w:pPr>
      <w:r w:rsidRPr="00AC1525">
        <w:rPr>
          <w:sz w:val="22"/>
          <w:szCs w:val="22"/>
        </w:rPr>
        <w:t>EPA Hazardous waste codes on the label.</w:t>
      </w:r>
    </w:p>
    <w:p w:rsidR="00146A6C" w:rsidRPr="00AC1525" w14:paraId="2ECC9F6B" w14:textId="77777777">
      <w:pPr>
        <w:ind w:firstLine="720"/>
        <w:rPr>
          <w:sz w:val="22"/>
          <w:szCs w:val="22"/>
        </w:rPr>
      </w:pPr>
    </w:p>
    <w:p w:rsidR="00146A6C" w:rsidRPr="00AC1525" w14:paraId="7B0C9AC5" w14:textId="77777777">
      <w:pPr>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2D9A72AD" w14:textId="77777777">
      <w:pPr>
        <w:ind w:left="720"/>
        <w:rPr>
          <w:sz w:val="22"/>
          <w:szCs w:val="22"/>
        </w:rPr>
      </w:pPr>
    </w:p>
    <w:p w:rsidR="00146A6C" w:rsidRPr="00AC1525" w14:paraId="192E1B1C" w14:textId="77777777">
      <w:pPr>
        <w:numPr>
          <w:ilvl w:val="0"/>
          <w:numId w:val="8"/>
        </w:numPr>
        <w:tabs>
          <w:tab w:val="clear" w:pos="3600"/>
        </w:tabs>
        <w:ind w:left="1440"/>
        <w:rPr>
          <w:sz w:val="22"/>
          <w:szCs w:val="22"/>
        </w:rPr>
      </w:pPr>
      <w:r w:rsidRPr="00AC1525">
        <w:rPr>
          <w:sz w:val="22"/>
          <w:szCs w:val="22"/>
        </w:rPr>
        <w:t>Make the hazardous waste determination; and</w:t>
      </w:r>
    </w:p>
    <w:p w:rsidR="00146A6C" w:rsidRPr="00AC1525" w14:paraId="18D2C6DC" w14:textId="77777777">
      <w:pPr>
        <w:ind w:left="720"/>
        <w:rPr>
          <w:sz w:val="22"/>
          <w:szCs w:val="22"/>
        </w:rPr>
      </w:pPr>
    </w:p>
    <w:p w:rsidR="00146A6C" w:rsidRPr="00AC1525" w14:paraId="6923968C" w14:textId="77777777">
      <w:pPr>
        <w:numPr>
          <w:ilvl w:val="0"/>
          <w:numId w:val="8"/>
        </w:numPr>
        <w:tabs>
          <w:tab w:val="clear" w:pos="3600"/>
        </w:tabs>
        <w:ind w:left="1440"/>
        <w:rPr>
          <w:sz w:val="22"/>
          <w:szCs w:val="22"/>
        </w:rPr>
      </w:pPr>
      <w:r w:rsidRPr="00AC1525">
        <w:rPr>
          <w:sz w:val="22"/>
          <w:szCs w:val="22"/>
        </w:rPr>
        <w:t>Write hazardous waste codes on the container label.</w:t>
      </w:r>
    </w:p>
    <w:p w:rsidR="00146A6C" w:rsidRPr="00AC1525" w14:paraId="155374A5" w14:textId="77777777">
      <w:pPr>
        <w:ind w:left="2160" w:hanging="720"/>
        <w:rPr>
          <w:sz w:val="22"/>
          <w:szCs w:val="22"/>
        </w:rPr>
      </w:pPr>
    </w:p>
    <w:p w:rsidR="00146A6C" w:rsidRPr="00AC1525" w14:paraId="3DAE941D" w14:textId="77777777">
      <w:pPr>
        <w:ind w:left="720" w:hanging="720"/>
        <w:rPr>
          <w:b/>
          <w:bCs/>
          <w:sz w:val="22"/>
          <w:szCs w:val="22"/>
        </w:rPr>
      </w:pPr>
      <w:r w:rsidRPr="00AC1525">
        <w:rPr>
          <w:b/>
          <w:bCs/>
          <w:sz w:val="22"/>
          <w:szCs w:val="22"/>
        </w:rPr>
        <w:t>(9)</w:t>
      </w:r>
      <w:r w:rsidRPr="00AC1525">
        <w:rPr>
          <w:b/>
          <w:bCs/>
          <w:sz w:val="22"/>
          <w:szCs w:val="22"/>
        </w:rPr>
        <w:tab/>
        <w:t>Making the Hazardous Waste Determination at an On-site Interim Status or Permitted Treatment, Storage, or Disposal Facility</w:t>
      </w:r>
    </w:p>
    <w:p w:rsidR="00146A6C" w:rsidRPr="00AC1525" w14:paraId="6D7502E2" w14:textId="77777777">
      <w:pPr>
        <w:rPr>
          <w:sz w:val="22"/>
          <w:szCs w:val="22"/>
        </w:rPr>
      </w:pPr>
    </w:p>
    <w:p w:rsidR="00146A6C" w:rsidRPr="00AC1525" w14:paraId="3CFC9CF3" w14:textId="38EAEFBD">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262.212 provides that, if an eligible academic entity makes the hazardous waste determination, pursuant to section 262.11, for unwanted material at an on-site interim status or permitted treatment, </w:t>
      </w:r>
      <w:r w:rsidRPr="00AC1525">
        <w:rPr>
          <w:sz w:val="22"/>
          <w:szCs w:val="22"/>
        </w:rPr>
        <w:t>storage</w:t>
      </w:r>
      <w:r w:rsidRPr="00AC1525">
        <w:rPr>
          <w:sz w:val="22"/>
          <w:szCs w:val="22"/>
        </w:rPr>
        <w:t xml:space="preserve"> or disposal facility, it must comply with the requirements in section 262.212.</w:t>
      </w:r>
    </w:p>
    <w:p w:rsidR="00146A6C" w:rsidRPr="00AC1525" w14:paraId="421DF211" w14:textId="77777777">
      <w:pPr>
        <w:rPr>
          <w:sz w:val="22"/>
          <w:szCs w:val="22"/>
        </w:rPr>
      </w:pPr>
    </w:p>
    <w:p w:rsidR="00146A6C" w:rsidRPr="00AC1525" w14:paraId="11DC3D36" w14:textId="5EA0DD48">
      <w:pPr>
        <w:rPr>
          <w:sz w:val="22"/>
          <w:szCs w:val="22"/>
        </w:rPr>
      </w:pPr>
      <w:r w:rsidRPr="00AC1525">
        <w:rPr>
          <w:sz w:val="22"/>
          <w:szCs w:val="22"/>
        </w:rPr>
        <w:tab/>
        <w:t>Section 262.212(d) requires that a trained professional must determine, pursuant to section 262.11</w:t>
      </w:r>
      <w:r w:rsidRPr="00AC1525" w:rsidR="00CD2DED">
        <w:rPr>
          <w:sz w:val="22"/>
          <w:szCs w:val="22"/>
        </w:rPr>
        <w:t>(a) through (d)</w:t>
      </w:r>
      <w:r w:rsidRPr="00AC1525">
        <w:rPr>
          <w:sz w:val="22"/>
          <w:szCs w:val="22"/>
        </w:rPr>
        <w:t xml:space="preserve">, if the unwanted material is a hazardous waste within 4 calendar days of the unwanted materials’ arrival at an on-site interim status or permitted treatment, </w:t>
      </w:r>
      <w:r w:rsidRPr="00AC1525">
        <w:rPr>
          <w:sz w:val="22"/>
          <w:szCs w:val="22"/>
        </w:rPr>
        <w:t>storage</w:t>
      </w:r>
      <w:r w:rsidRPr="00AC1525">
        <w:rPr>
          <w:sz w:val="22"/>
          <w:szCs w:val="22"/>
        </w:rPr>
        <w:t xml:space="preserve"> or disposal facility.</w:t>
      </w:r>
    </w:p>
    <w:p w:rsidR="00146A6C" w:rsidRPr="00AC1525" w14:paraId="4924FB96" w14:textId="77777777">
      <w:pPr>
        <w:rPr>
          <w:sz w:val="22"/>
          <w:szCs w:val="22"/>
        </w:rPr>
      </w:pPr>
    </w:p>
    <w:p w:rsidR="00146A6C" w:rsidRPr="00AC1525" w14:paraId="2AD48176" w14:textId="77777777">
      <w:pPr>
        <w:rPr>
          <w:sz w:val="22"/>
          <w:szCs w:val="22"/>
        </w:rPr>
      </w:pPr>
      <w:r w:rsidRPr="00AC1525">
        <w:rPr>
          <w:sz w:val="22"/>
          <w:szCs w:val="22"/>
        </w:rPr>
        <w:tab/>
        <w:t xml:space="preserve">Section 262.212(e)(2) provides that, if the unwanted material is a hazardous waste, the eligible academic entity must write the appropriate hazardous waste code(s) on the container label </w:t>
      </w:r>
      <w:r w:rsidRPr="00AC1525">
        <w:rPr>
          <w:sz w:val="22"/>
          <w:szCs w:val="22"/>
        </w:rPr>
        <w:t>that is associated with the container before the hazardous waste may be treated or disposed on-site or transported off-site.</w:t>
      </w:r>
    </w:p>
    <w:p w:rsidR="00146A6C" w:rsidRPr="00AC1525" w14:paraId="357748C9" w14:textId="77777777">
      <w:pPr>
        <w:rPr>
          <w:sz w:val="22"/>
          <w:szCs w:val="22"/>
        </w:rPr>
      </w:pPr>
    </w:p>
    <w:p w:rsidR="00146A6C" w:rsidRPr="00AC1525" w14:paraId="3C30145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1B895F32" w14:textId="77777777">
      <w:pPr>
        <w:rPr>
          <w:sz w:val="22"/>
          <w:szCs w:val="22"/>
        </w:rPr>
      </w:pPr>
    </w:p>
    <w:p w:rsidR="00146A6C" w:rsidRPr="00AC1525" w14:paraId="0015B1DF" w14:textId="77777777">
      <w:pPr>
        <w:numPr>
          <w:ilvl w:val="0"/>
          <w:numId w:val="5"/>
        </w:numPr>
        <w:tabs>
          <w:tab w:val="clear" w:pos="2160"/>
        </w:tabs>
        <w:ind w:hanging="1440"/>
        <w:rPr>
          <w:sz w:val="22"/>
          <w:szCs w:val="22"/>
        </w:rPr>
      </w:pPr>
      <w:r w:rsidRPr="00AC1525">
        <w:rPr>
          <w:sz w:val="22"/>
          <w:szCs w:val="22"/>
        </w:rPr>
        <w:t>Hazardous waste determination.</w:t>
      </w:r>
    </w:p>
    <w:p w:rsidR="00146A6C" w:rsidRPr="00AC1525" w14:paraId="5B556E09" w14:textId="77777777">
      <w:pPr>
        <w:ind w:hanging="1440"/>
        <w:rPr>
          <w:sz w:val="22"/>
          <w:szCs w:val="22"/>
        </w:rPr>
      </w:pPr>
    </w:p>
    <w:p w:rsidR="00146A6C" w:rsidRPr="00AC1525" w14:paraId="776B27AF" w14:textId="77777777">
      <w:pPr>
        <w:numPr>
          <w:ilvl w:val="0"/>
          <w:numId w:val="5"/>
        </w:numPr>
        <w:tabs>
          <w:tab w:val="clear" w:pos="2160"/>
        </w:tabs>
        <w:ind w:hanging="1440"/>
        <w:rPr>
          <w:sz w:val="22"/>
          <w:szCs w:val="22"/>
        </w:rPr>
      </w:pPr>
      <w:r w:rsidRPr="00AC1525">
        <w:rPr>
          <w:sz w:val="22"/>
          <w:szCs w:val="22"/>
        </w:rPr>
        <w:t>EPA Hazardous waste codes on the label.</w:t>
      </w:r>
    </w:p>
    <w:p w:rsidR="00146A6C" w:rsidRPr="00AC1525" w14:paraId="64DE58F0" w14:textId="77777777">
      <w:pPr>
        <w:ind w:firstLine="720"/>
        <w:rPr>
          <w:sz w:val="22"/>
          <w:szCs w:val="22"/>
        </w:rPr>
      </w:pPr>
    </w:p>
    <w:p w:rsidR="00146A6C" w:rsidRPr="00AC1525" w14:paraId="4106CC79" w14:textId="77777777">
      <w:pPr>
        <w:keepNext/>
        <w:ind w:firstLine="720"/>
        <w:rPr>
          <w:sz w:val="22"/>
          <w:szCs w:val="22"/>
          <w:u w:val="single"/>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3CDF1D44" w14:textId="77777777">
      <w:pPr>
        <w:keepNext/>
        <w:ind w:left="720"/>
        <w:rPr>
          <w:sz w:val="22"/>
          <w:szCs w:val="22"/>
        </w:rPr>
      </w:pPr>
    </w:p>
    <w:p w:rsidR="00146A6C" w:rsidRPr="00AC1525" w14:paraId="56729557" w14:textId="77777777">
      <w:pPr>
        <w:keepNext/>
        <w:numPr>
          <w:ilvl w:val="0"/>
          <w:numId w:val="8"/>
        </w:numPr>
        <w:tabs>
          <w:tab w:val="clear" w:pos="3600"/>
        </w:tabs>
        <w:ind w:left="1440"/>
        <w:rPr>
          <w:sz w:val="22"/>
          <w:szCs w:val="22"/>
        </w:rPr>
      </w:pPr>
      <w:r w:rsidRPr="00AC1525">
        <w:rPr>
          <w:sz w:val="22"/>
          <w:szCs w:val="22"/>
        </w:rPr>
        <w:t>Make the hazardous waste determination; and</w:t>
      </w:r>
    </w:p>
    <w:p w:rsidR="00146A6C" w:rsidRPr="00AC1525" w14:paraId="04D80A11" w14:textId="77777777">
      <w:pPr>
        <w:ind w:left="720"/>
        <w:rPr>
          <w:sz w:val="22"/>
          <w:szCs w:val="22"/>
        </w:rPr>
      </w:pPr>
    </w:p>
    <w:p w:rsidR="00146A6C" w:rsidRPr="00AC1525" w14:paraId="6F06F162" w14:textId="77777777">
      <w:pPr>
        <w:numPr>
          <w:ilvl w:val="0"/>
          <w:numId w:val="8"/>
        </w:numPr>
        <w:tabs>
          <w:tab w:val="clear" w:pos="3600"/>
        </w:tabs>
        <w:ind w:left="1440"/>
        <w:rPr>
          <w:sz w:val="22"/>
          <w:szCs w:val="22"/>
        </w:rPr>
      </w:pPr>
      <w:r w:rsidRPr="00AC1525">
        <w:rPr>
          <w:sz w:val="22"/>
          <w:szCs w:val="22"/>
        </w:rPr>
        <w:t>Write hazardous waste codes on the container label.</w:t>
      </w:r>
    </w:p>
    <w:p w:rsidR="00146A6C" w:rsidRPr="00AC1525" w14:paraId="78673A2E" w14:textId="77777777">
      <w:pPr>
        <w:rPr>
          <w:sz w:val="22"/>
          <w:szCs w:val="22"/>
        </w:rPr>
      </w:pPr>
    </w:p>
    <w:p w:rsidR="00146A6C" w:rsidRPr="00AC1525" w14:paraId="2B2FE109" w14:textId="77777777">
      <w:pPr>
        <w:rPr>
          <w:sz w:val="22"/>
          <w:szCs w:val="22"/>
        </w:rPr>
      </w:pPr>
      <w:r w:rsidRPr="00AC1525">
        <w:rPr>
          <w:b/>
          <w:bCs/>
          <w:sz w:val="22"/>
          <w:szCs w:val="22"/>
        </w:rPr>
        <w:t>(10)</w:t>
      </w:r>
      <w:r w:rsidRPr="00AC1525">
        <w:rPr>
          <w:b/>
          <w:bCs/>
          <w:sz w:val="22"/>
          <w:szCs w:val="22"/>
        </w:rPr>
        <w:tab/>
        <w:t>Laboratory Clean-outs</w:t>
      </w:r>
    </w:p>
    <w:p w:rsidR="00146A6C" w:rsidRPr="00AC1525" w14:paraId="66D8E684" w14:textId="77777777">
      <w:pPr>
        <w:rPr>
          <w:sz w:val="22"/>
          <w:szCs w:val="22"/>
        </w:rPr>
      </w:pPr>
    </w:p>
    <w:p w:rsidR="00146A6C" w:rsidRPr="00AC1525" w14:paraId="2A104466" w14:textId="77777777">
      <w:pPr>
        <w:rPr>
          <w:sz w:val="22"/>
          <w:szCs w:val="22"/>
        </w:rPr>
      </w:pPr>
      <w:r w:rsidRPr="00AC1525">
        <w:rPr>
          <w:sz w:val="22"/>
          <w:szCs w:val="22"/>
        </w:rPr>
        <w:tab/>
        <w:t xml:space="preserve">40 </w:t>
      </w:r>
      <w:r w:rsidRPr="00AC1525">
        <w:rPr>
          <w:i/>
          <w:sz w:val="22"/>
          <w:szCs w:val="22"/>
        </w:rPr>
        <w:t>CFR</w:t>
      </w:r>
      <w:r w:rsidRPr="00AC1525">
        <w:rPr>
          <w:sz w:val="22"/>
          <w:szCs w:val="22"/>
        </w:rPr>
        <w:t xml:space="preserve"> 262.213(a) provides that one time per </w:t>
      </w:r>
      <w:r w:rsidRPr="00AC1525">
        <w:rPr>
          <w:sz w:val="22"/>
          <w:szCs w:val="22"/>
        </w:rPr>
        <w:t>12 month</w:t>
      </w:r>
      <w:r w:rsidRPr="00AC1525">
        <w:rPr>
          <w:sz w:val="22"/>
          <w:szCs w:val="22"/>
        </w:rPr>
        <w:t xml:space="preserve"> period per laboratory, an eligible academic entity may opt to conduct a laboratory clean-out that is subject to all the applicable requirements of Subpart K, except as specified otherwise in section 262.213(a). </w:t>
      </w:r>
    </w:p>
    <w:p w:rsidR="00146A6C" w:rsidRPr="00AC1525" w14:paraId="4D1CCCDA" w14:textId="77777777">
      <w:pPr>
        <w:rPr>
          <w:sz w:val="22"/>
          <w:szCs w:val="22"/>
        </w:rPr>
      </w:pPr>
    </w:p>
    <w:p w:rsidR="00146A6C" w:rsidRPr="00AC1525" w14:paraId="64EBB231" w14:textId="77777777">
      <w:pPr>
        <w:rPr>
          <w:sz w:val="22"/>
          <w:szCs w:val="22"/>
        </w:rPr>
      </w:pPr>
      <w:r w:rsidRPr="00AC1525">
        <w:rPr>
          <w:sz w:val="22"/>
          <w:szCs w:val="22"/>
        </w:rPr>
        <w:tab/>
        <w:t>Section 262.213(a)(4) requires that an eligible academic entity must document the activities of the laboratory clean-out, as specified.  The eligible academic entity must maintain the records for a period of three years from the date the clean-out ends.</w:t>
      </w:r>
    </w:p>
    <w:p w:rsidR="00146A6C" w:rsidRPr="00AC1525" w14:paraId="411FEA53" w14:textId="77777777">
      <w:pPr>
        <w:rPr>
          <w:sz w:val="22"/>
          <w:szCs w:val="22"/>
        </w:rPr>
      </w:pPr>
    </w:p>
    <w:p w:rsidR="00146A6C" w:rsidRPr="00AC1525" w14:paraId="006D5AE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7E452735" w14:textId="77777777">
      <w:pPr>
        <w:rPr>
          <w:sz w:val="22"/>
          <w:szCs w:val="22"/>
        </w:rPr>
      </w:pPr>
    </w:p>
    <w:p w:rsidR="00146A6C" w:rsidRPr="00AC1525" w14:paraId="3DFE0D8C" w14:textId="77777777">
      <w:pPr>
        <w:numPr>
          <w:ilvl w:val="0"/>
          <w:numId w:val="3"/>
        </w:numPr>
        <w:tabs>
          <w:tab w:val="clear" w:pos="2160"/>
        </w:tabs>
        <w:ind w:left="1440"/>
        <w:rPr>
          <w:sz w:val="22"/>
          <w:szCs w:val="22"/>
        </w:rPr>
      </w:pPr>
      <w:r w:rsidRPr="00AC1525">
        <w:rPr>
          <w:sz w:val="22"/>
          <w:szCs w:val="22"/>
        </w:rPr>
        <w:t xml:space="preserve">Documentation that, at a minimum, identifies the laboratory being cleaned out, the date the laboratory clean-out begins and ends, and the volume of hazardous waste generated during the laboratory clean-out. </w:t>
      </w:r>
    </w:p>
    <w:p w:rsidR="00146A6C" w:rsidRPr="00AC1525" w14:paraId="565A8B73" w14:textId="77777777">
      <w:pPr>
        <w:ind w:firstLine="720"/>
        <w:rPr>
          <w:sz w:val="22"/>
          <w:szCs w:val="22"/>
        </w:rPr>
      </w:pPr>
    </w:p>
    <w:p w:rsidR="00146A6C" w:rsidRPr="00AC1525" w14:paraId="6AA4A194" w14:textId="77777777">
      <w:pPr>
        <w:ind w:firstLine="720"/>
        <w:rPr>
          <w:sz w:val="22"/>
          <w:szCs w:val="22"/>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48D78CB2" w14:textId="77777777">
      <w:pPr>
        <w:rPr>
          <w:sz w:val="22"/>
          <w:szCs w:val="22"/>
        </w:rPr>
      </w:pPr>
    </w:p>
    <w:p w:rsidR="00146A6C" w:rsidRPr="00AC1525" w14:paraId="103D7204" w14:textId="77777777">
      <w:pPr>
        <w:numPr>
          <w:ilvl w:val="0"/>
          <w:numId w:val="3"/>
        </w:numPr>
        <w:tabs>
          <w:tab w:val="clear" w:pos="2160"/>
        </w:tabs>
        <w:ind w:left="1440"/>
        <w:rPr>
          <w:sz w:val="22"/>
          <w:szCs w:val="22"/>
        </w:rPr>
      </w:pPr>
      <w:r w:rsidRPr="00AC1525">
        <w:rPr>
          <w:sz w:val="22"/>
          <w:szCs w:val="22"/>
        </w:rPr>
        <w:t>Document the activities of the laboratory clean-out; and</w:t>
      </w:r>
    </w:p>
    <w:p w:rsidR="00146A6C" w:rsidRPr="00AC1525" w14:paraId="204BC5C4" w14:textId="77777777">
      <w:pPr>
        <w:ind w:left="720"/>
        <w:rPr>
          <w:sz w:val="22"/>
          <w:szCs w:val="22"/>
        </w:rPr>
      </w:pPr>
    </w:p>
    <w:p w:rsidR="00146A6C" w:rsidRPr="00AC1525" w14:paraId="15EEC087" w14:textId="628E54CE">
      <w:pPr>
        <w:numPr>
          <w:ilvl w:val="0"/>
          <w:numId w:val="3"/>
        </w:numPr>
        <w:tabs>
          <w:tab w:val="clear" w:pos="2160"/>
        </w:tabs>
        <w:ind w:left="1440"/>
        <w:rPr>
          <w:sz w:val="22"/>
          <w:szCs w:val="22"/>
        </w:rPr>
      </w:pPr>
      <w:r w:rsidRPr="00AC1525">
        <w:rPr>
          <w:sz w:val="22"/>
          <w:szCs w:val="22"/>
        </w:rPr>
        <w:t>Maintain records of the clean-out.</w:t>
      </w:r>
      <w:r w:rsidRPr="00AC1525" w:rsidR="006908B2">
        <w:rPr>
          <w:sz w:val="22"/>
          <w:szCs w:val="22"/>
        </w:rPr>
        <w:t xml:space="preserve"> </w:t>
      </w:r>
      <w:r w:rsidRPr="00AC1525" w:rsidR="00492E28">
        <w:rPr>
          <w:sz w:val="22"/>
          <w:szCs w:val="22"/>
        </w:rPr>
        <w:t>These records must be maintained by the academic entity for three years from the date the laboratory clean-out ends.</w:t>
      </w:r>
    </w:p>
    <w:p w:rsidR="00146A6C" w:rsidRPr="00AC1525" w14:paraId="035CCA19" w14:textId="77777777">
      <w:pPr>
        <w:rPr>
          <w:sz w:val="22"/>
          <w:szCs w:val="22"/>
        </w:rPr>
      </w:pPr>
    </w:p>
    <w:p w:rsidR="00146A6C" w:rsidRPr="00AC1525" w14:paraId="19C1C666" w14:textId="77777777">
      <w:pPr>
        <w:rPr>
          <w:sz w:val="22"/>
          <w:szCs w:val="22"/>
        </w:rPr>
      </w:pPr>
      <w:r w:rsidRPr="00AC1525">
        <w:rPr>
          <w:b/>
          <w:bCs/>
          <w:sz w:val="22"/>
          <w:szCs w:val="22"/>
        </w:rPr>
        <w:t>(11)</w:t>
      </w:r>
      <w:r w:rsidRPr="00AC1525">
        <w:rPr>
          <w:b/>
          <w:bCs/>
          <w:sz w:val="22"/>
          <w:szCs w:val="22"/>
        </w:rPr>
        <w:tab/>
        <w:t>Laboratory Management Plan</w:t>
      </w:r>
    </w:p>
    <w:p w:rsidR="00146A6C" w:rsidRPr="00AC1525" w14:paraId="39E4FC10" w14:textId="77777777">
      <w:pPr>
        <w:rPr>
          <w:sz w:val="22"/>
          <w:szCs w:val="22"/>
        </w:rPr>
      </w:pPr>
    </w:p>
    <w:p w:rsidR="00146A6C" w:rsidRPr="00AC1525" w14:paraId="20A6D6D1" w14:textId="77777777">
      <w:pPr>
        <w:keepNext/>
        <w:rPr>
          <w:sz w:val="22"/>
          <w:szCs w:val="22"/>
        </w:rPr>
      </w:pPr>
      <w:r w:rsidRPr="00AC1525">
        <w:rPr>
          <w:sz w:val="22"/>
          <w:szCs w:val="22"/>
        </w:rPr>
        <w:tab/>
        <w:t xml:space="preserve">40 </w:t>
      </w:r>
      <w:r w:rsidRPr="00AC1525">
        <w:rPr>
          <w:i/>
          <w:sz w:val="22"/>
          <w:szCs w:val="22"/>
        </w:rPr>
        <w:t>CFR</w:t>
      </w:r>
      <w:r w:rsidRPr="00AC1525">
        <w:rPr>
          <w:sz w:val="22"/>
          <w:szCs w:val="22"/>
        </w:rPr>
        <w:t xml:space="preserve"> 262.214 provides that an eligible academic entity must develop and retain a written Laboratory Management </w:t>
      </w:r>
      <w:r w:rsidRPr="00AC1525">
        <w:rPr>
          <w:sz w:val="22"/>
          <w:szCs w:val="22"/>
        </w:rPr>
        <w:t>Plan, or</w:t>
      </w:r>
      <w:r w:rsidRPr="00AC1525">
        <w:rPr>
          <w:sz w:val="22"/>
          <w:szCs w:val="22"/>
        </w:rPr>
        <w:t xml:space="preserve"> revise an existing written plan.  The Laboratory Management Plan is a site-specific document that describes how the eligible academic entity will comply with Subpart K.  An eligible academic entity may write one Laboratory Management Plan for all the laboratories owned by the eligible academic entity that have opted into Subpart K, even if the laboratories are located at sites with different EPA Identification Numbers.</w:t>
      </w:r>
    </w:p>
    <w:p w:rsidR="00146A6C" w:rsidRPr="00AC1525" w14:paraId="3B8BE412" w14:textId="77777777">
      <w:pPr>
        <w:rPr>
          <w:color w:val="FF0000"/>
          <w:sz w:val="22"/>
          <w:szCs w:val="22"/>
        </w:rPr>
      </w:pPr>
    </w:p>
    <w:p w:rsidR="00146A6C" w:rsidRPr="00AC1525" w14:paraId="00B95FB5" w14:textId="77777777">
      <w:pPr>
        <w:ind w:firstLine="720"/>
        <w:rPr>
          <w:sz w:val="22"/>
          <w:szCs w:val="22"/>
        </w:rPr>
      </w:pPr>
      <w:r w:rsidRPr="00AC1525">
        <w:rPr>
          <w:sz w:val="22"/>
          <w:szCs w:val="22"/>
        </w:rPr>
        <w:t xml:space="preserve">The Laboratory Management Plan must contain two parts with a total of nine elements identified in section 262.214(a) and (b).  In Part I of its Laboratory Management Plan, an eligible </w:t>
      </w:r>
      <w:r w:rsidRPr="00AC1525">
        <w:rPr>
          <w:sz w:val="22"/>
          <w:szCs w:val="22"/>
        </w:rPr>
        <w:t>academic entity must describe its procedures for each of the elements listed in section 262.214(a).  An eligible academic entity must implement and comply with the specific provisions that it develops to address the elements in Part I of the Laboratory Management Plan.</w:t>
      </w:r>
    </w:p>
    <w:p w:rsidR="00146A6C" w:rsidRPr="00AC1525" w14:paraId="62995C13" w14:textId="77777777">
      <w:pPr>
        <w:ind w:firstLine="720"/>
        <w:rPr>
          <w:sz w:val="22"/>
          <w:szCs w:val="22"/>
        </w:rPr>
      </w:pPr>
    </w:p>
    <w:p w:rsidR="00146A6C" w:rsidRPr="00AC1525" w14:paraId="306E1D05" w14:textId="77777777">
      <w:pPr>
        <w:ind w:firstLine="720"/>
        <w:rPr>
          <w:sz w:val="22"/>
          <w:szCs w:val="22"/>
        </w:rPr>
      </w:pPr>
      <w:r w:rsidRPr="00AC1525">
        <w:rPr>
          <w:sz w:val="22"/>
          <w:szCs w:val="22"/>
        </w:rPr>
        <w:t>In Part II of its Laboratory Management Plan, an eligible academic entity must describe its best management practices for each of the elements listed in section 262.214(b).  The specific actions taken by an eligible academic entity to implement each element in Part II of its Laboratory Management Plan may vary from the procedures described in the eligible academic entity’s Laboratory Management Plan, without constituting a violation of Subpart K.  An eligible academic entity may include additional elements and best management practices in Part II of its Laboratory Management Plan if it chooses.</w:t>
      </w:r>
    </w:p>
    <w:p w:rsidR="00146A6C" w:rsidRPr="00AC1525" w14:paraId="0B5C1F23" w14:textId="77777777">
      <w:pPr>
        <w:rPr>
          <w:sz w:val="22"/>
          <w:szCs w:val="22"/>
        </w:rPr>
      </w:pPr>
    </w:p>
    <w:p w:rsidR="00146A6C" w:rsidRPr="00AC1525" w14:paraId="68233EC7" w14:textId="77777777">
      <w:pPr>
        <w:rPr>
          <w:sz w:val="22"/>
          <w:szCs w:val="22"/>
        </w:rPr>
      </w:pPr>
      <w:r w:rsidRPr="00AC1525">
        <w:rPr>
          <w:sz w:val="22"/>
          <w:szCs w:val="22"/>
        </w:rPr>
        <w:tab/>
        <w:t>Section 262.214(c) provides that an eligible academic entity must make its Laboratory Management Plan available to laboratory workers, students, or any others at the eligible academic entity who request it.</w:t>
      </w:r>
    </w:p>
    <w:p w:rsidR="00146A6C" w:rsidRPr="00AC1525" w14:paraId="2B2C59EC" w14:textId="77777777">
      <w:pPr>
        <w:rPr>
          <w:sz w:val="22"/>
          <w:szCs w:val="22"/>
        </w:rPr>
      </w:pPr>
    </w:p>
    <w:p w:rsidR="00146A6C" w:rsidRPr="00AC1525" w14:paraId="5F826F5A" w14:textId="77777777">
      <w:pPr>
        <w:rPr>
          <w:sz w:val="22"/>
          <w:szCs w:val="22"/>
        </w:rPr>
      </w:pPr>
      <w:r w:rsidRPr="00AC1525">
        <w:rPr>
          <w:sz w:val="22"/>
          <w:szCs w:val="22"/>
        </w:rPr>
        <w:tab/>
        <w:t>Section 262.214(d) requires that an eligible academic entity must review and revise its Laboratory Management Plan, as needed.</w:t>
      </w:r>
    </w:p>
    <w:p w:rsidR="00146A6C" w:rsidRPr="00AC1525" w14:paraId="29F6A783" w14:textId="77777777">
      <w:pPr>
        <w:rPr>
          <w:sz w:val="22"/>
          <w:szCs w:val="22"/>
        </w:rPr>
      </w:pPr>
    </w:p>
    <w:p w:rsidR="00146A6C" w:rsidRPr="00AC1525" w14:paraId="768521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r w:rsidRPr="00AC1525">
        <w:rPr>
          <w:rFonts w:ascii="Times New Roman" w:hAnsi="Times New Roman" w:cs="Times New Roman"/>
          <w:sz w:val="22"/>
          <w:szCs w:val="22"/>
        </w:rPr>
        <w:t>(</w:t>
      </w:r>
      <w:r w:rsidRPr="00AC1525">
        <w:rPr>
          <w:rFonts w:ascii="Times New Roman" w:hAnsi="Times New Roman" w:cs="Times New Roman"/>
          <w:sz w:val="22"/>
          <w:szCs w:val="22"/>
        </w:rPr>
        <w:t>i</w:t>
      </w:r>
      <w:r w:rsidRPr="00AC1525">
        <w:rPr>
          <w:rFonts w:ascii="Times New Roman" w:hAnsi="Times New Roman" w:cs="Times New Roman"/>
          <w:sz w:val="22"/>
          <w:szCs w:val="22"/>
        </w:rPr>
        <w:t>)</w:t>
      </w:r>
      <w:r w:rsidRPr="00AC1525">
        <w:rPr>
          <w:rFonts w:ascii="Times New Roman" w:hAnsi="Times New Roman" w:cs="Times New Roman"/>
          <w:sz w:val="22"/>
          <w:szCs w:val="22"/>
        </w:rPr>
        <w:tab/>
      </w:r>
      <w:r w:rsidRPr="00AC1525">
        <w:rPr>
          <w:rFonts w:ascii="Times New Roman" w:hAnsi="Times New Roman" w:cs="Times New Roman"/>
          <w:sz w:val="22"/>
          <w:szCs w:val="22"/>
          <w:u w:val="single"/>
        </w:rPr>
        <w:t>Data Items:</w:t>
      </w:r>
    </w:p>
    <w:p w:rsidR="00146A6C" w:rsidRPr="00AC1525" w14:paraId="6C73A364" w14:textId="77777777">
      <w:pPr>
        <w:rPr>
          <w:sz w:val="22"/>
          <w:szCs w:val="22"/>
        </w:rPr>
      </w:pPr>
    </w:p>
    <w:p w:rsidR="00146A6C" w:rsidRPr="00AC1525" w14:paraId="2B501DF4" w14:textId="77777777">
      <w:pPr>
        <w:numPr>
          <w:ilvl w:val="0"/>
          <w:numId w:val="3"/>
        </w:numPr>
        <w:tabs>
          <w:tab w:val="clear" w:pos="2160"/>
        </w:tabs>
        <w:ind w:left="1440"/>
        <w:rPr>
          <w:sz w:val="22"/>
          <w:szCs w:val="22"/>
        </w:rPr>
      </w:pPr>
      <w:r w:rsidRPr="00AC1525">
        <w:rPr>
          <w:sz w:val="22"/>
          <w:szCs w:val="22"/>
        </w:rPr>
        <w:t>A Laboratory Management Plan that includes Part I and II.  In Part I of the Laboratory Management Plan, an eligible academic entity must:</w:t>
      </w:r>
    </w:p>
    <w:p w:rsidR="00146A6C" w:rsidRPr="00AC1525" w14:paraId="3B99DF66" w14:textId="77777777">
      <w:pPr>
        <w:ind w:left="2160" w:hanging="720"/>
        <w:rPr>
          <w:sz w:val="22"/>
          <w:szCs w:val="22"/>
        </w:rPr>
      </w:pPr>
      <w:r w:rsidRPr="00AC1525">
        <w:rPr>
          <w:sz w:val="22"/>
          <w:szCs w:val="22"/>
        </w:rPr>
        <w:t>--</w:t>
      </w:r>
      <w:r w:rsidRPr="00AC1525">
        <w:rPr>
          <w:sz w:val="22"/>
          <w:szCs w:val="22"/>
        </w:rPr>
        <w:tab/>
        <w:t>Describe procedures for container labeling in accordance with section 262.206(a), including:</w:t>
      </w:r>
    </w:p>
    <w:p w:rsidR="00146A6C" w:rsidRPr="00AC1525" w14:paraId="191C2A04" w14:textId="77777777">
      <w:pPr>
        <w:ind w:left="2880" w:hanging="720"/>
        <w:rPr>
          <w:sz w:val="22"/>
          <w:szCs w:val="22"/>
        </w:rPr>
      </w:pPr>
      <w:r w:rsidRPr="00AC1525">
        <w:rPr>
          <w:sz w:val="22"/>
          <w:szCs w:val="22"/>
        </w:rPr>
        <w:t>-</w:t>
      </w:r>
      <w:r w:rsidRPr="00AC1525">
        <w:rPr>
          <w:sz w:val="22"/>
          <w:szCs w:val="22"/>
        </w:rPr>
        <w:tab/>
        <w:t>Identifying whether the eligible academic entity will use the term “unwanted material” on the containers in the laboratory.  If not, identify the equally effective term that will be used in lieu of “unwanted material” and consistently by the eligible academic entity.</w:t>
      </w:r>
    </w:p>
    <w:p w:rsidR="00146A6C" w:rsidRPr="00AC1525" w14:paraId="6884ACC0" w14:textId="77777777">
      <w:pPr>
        <w:ind w:left="2880" w:hanging="720"/>
        <w:rPr>
          <w:sz w:val="22"/>
          <w:szCs w:val="22"/>
        </w:rPr>
      </w:pPr>
      <w:r w:rsidRPr="00AC1525">
        <w:rPr>
          <w:sz w:val="22"/>
          <w:szCs w:val="22"/>
        </w:rPr>
        <w:t>-</w:t>
      </w:r>
      <w:r w:rsidRPr="00AC1525">
        <w:rPr>
          <w:sz w:val="22"/>
          <w:szCs w:val="22"/>
        </w:rPr>
        <w:tab/>
        <w:t xml:space="preserve">Identifying the </w:t>
      </w:r>
      <w:r w:rsidRPr="00AC1525">
        <w:rPr>
          <w:sz w:val="22"/>
          <w:szCs w:val="22"/>
        </w:rPr>
        <w:t>manner in which</w:t>
      </w:r>
      <w:r w:rsidRPr="00AC1525">
        <w:rPr>
          <w:sz w:val="22"/>
          <w:szCs w:val="22"/>
        </w:rPr>
        <w:t xml:space="preserve"> information that is “associated with the container” will be imparted.</w:t>
      </w:r>
    </w:p>
    <w:p w:rsidR="00146A6C" w:rsidRPr="00AC1525" w14:paraId="44E41EA9" w14:textId="77777777">
      <w:pPr>
        <w:ind w:left="2160" w:hanging="720"/>
        <w:rPr>
          <w:sz w:val="22"/>
          <w:szCs w:val="22"/>
        </w:rPr>
      </w:pPr>
      <w:r w:rsidRPr="00AC1525">
        <w:rPr>
          <w:sz w:val="22"/>
          <w:szCs w:val="22"/>
        </w:rPr>
        <w:t>--</w:t>
      </w:r>
      <w:r w:rsidRPr="00AC1525">
        <w:rPr>
          <w:sz w:val="22"/>
          <w:szCs w:val="22"/>
        </w:rPr>
        <w:tab/>
        <w:t>Identify whether the eligible academic entity will comply with section 262.208(a)(1) or section 262.208(a)(2) for regularly scheduled removals of unwanted material from the laboratory.</w:t>
      </w:r>
    </w:p>
    <w:p w:rsidR="00146A6C" w:rsidRPr="00AC1525" w14:paraId="7E791C39" w14:textId="77777777">
      <w:pPr>
        <w:ind w:left="360"/>
        <w:rPr>
          <w:sz w:val="22"/>
          <w:szCs w:val="22"/>
        </w:rPr>
      </w:pPr>
    </w:p>
    <w:p w:rsidR="00146A6C" w:rsidRPr="00AC1525" w14:paraId="073CA6F4" w14:textId="77777777">
      <w:pPr>
        <w:ind w:left="1440"/>
        <w:rPr>
          <w:sz w:val="22"/>
          <w:szCs w:val="22"/>
        </w:rPr>
      </w:pPr>
      <w:r w:rsidRPr="00AC1525">
        <w:rPr>
          <w:sz w:val="22"/>
          <w:szCs w:val="22"/>
        </w:rPr>
        <w:t>In Part II of the Laboratory Management Plan, an eligible academic entity must:</w:t>
      </w:r>
    </w:p>
    <w:p w:rsidR="00146A6C" w:rsidRPr="00AC1525" w14:paraId="3CDD9603" w14:textId="77777777">
      <w:pPr>
        <w:ind w:left="2160" w:hanging="720"/>
        <w:rPr>
          <w:sz w:val="22"/>
          <w:szCs w:val="22"/>
        </w:rPr>
      </w:pPr>
      <w:r w:rsidRPr="00AC1525">
        <w:rPr>
          <w:sz w:val="22"/>
          <w:szCs w:val="22"/>
        </w:rPr>
        <w:t>--</w:t>
      </w:r>
      <w:r w:rsidRPr="00AC1525">
        <w:rPr>
          <w:sz w:val="22"/>
          <w:szCs w:val="22"/>
        </w:rPr>
        <w:tab/>
        <w:t>Describe procedures for container labeling and management standards, including how the eligible academic entity will manage containers used for in-line collection of unwanted materials, such as with liquid chromatographs and other laboratory equipment.</w:t>
      </w:r>
    </w:p>
    <w:p w:rsidR="00146A6C" w:rsidRPr="00AC1525" w14:paraId="1BD0D3D9" w14:textId="77777777">
      <w:pPr>
        <w:ind w:left="2160" w:hanging="720"/>
        <w:rPr>
          <w:sz w:val="22"/>
          <w:szCs w:val="22"/>
        </w:rPr>
      </w:pPr>
      <w:r w:rsidRPr="00AC1525">
        <w:rPr>
          <w:sz w:val="22"/>
          <w:szCs w:val="22"/>
        </w:rPr>
        <w:t>--</w:t>
      </w:r>
      <w:r w:rsidRPr="00AC1525">
        <w:rPr>
          <w:sz w:val="22"/>
          <w:szCs w:val="22"/>
        </w:rPr>
        <w:tab/>
        <w:t>Describe how the eligible academic entity will provide training for laboratory workers and students commensurate with their duties.</w:t>
      </w:r>
    </w:p>
    <w:p w:rsidR="00146A6C" w:rsidRPr="00AC1525" w14:paraId="355BEEBE" w14:textId="77777777">
      <w:pPr>
        <w:ind w:left="2160" w:hanging="720"/>
        <w:rPr>
          <w:sz w:val="22"/>
          <w:szCs w:val="22"/>
        </w:rPr>
      </w:pPr>
      <w:r w:rsidRPr="00AC1525">
        <w:rPr>
          <w:sz w:val="22"/>
          <w:szCs w:val="22"/>
        </w:rPr>
        <w:t xml:space="preserve">-- </w:t>
      </w:r>
      <w:r w:rsidRPr="00AC1525">
        <w:rPr>
          <w:sz w:val="22"/>
          <w:szCs w:val="22"/>
        </w:rPr>
        <w:tab/>
        <w:t>Describe how the eligible academic entity will provide training to ensure safe on-site transfers of unwanted material and hazardous waste by trained professionals.</w:t>
      </w:r>
    </w:p>
    <w:p w:rsidR="00146A6C" w:rsidRPr="00AC1525" w14:paraId="22E2D0BB" w14:textId="77777777">
      <w:pPr>
        <w:ind w:left="2160" w:hanging="720"/>
        <w:rPr>
          <w:sz w:val="22"/>
          <w:szCs w:val="22"/>
        </w:rPr>
      </w:pPr>
      <w:r w:rsidRPr="00AC1525">
        <w:rPr>
          <w:sz w:val="22"/>
          <w:szCs w:val="22"/>
        </w:rPr>
        <w:t>--</w:t>
      </w:r>
      <w:r w:rsidRPr="00AC1525">
        <w:rPr>
          <w:sz w:val="22"/>
          <w:szCs w:val="22"/>
        </w:rPr>
        <w:tab/>
        <w:t>Describe procedures for removing unwanted material from the laboratory, including:</w:t>
      </w:r>
    </w:p>
    <w:p w:rsidR="00146A6C" w:rsidRPr="00AC1525" w14:paraId="726E6A60" w14:textId="77777777">
      <w:pPr>
        <w:ind w:left="2880" w:hanging="720"/>
        <w:rPr>
          <w:sz w:val="22"/>
          <w:szCs w:val="22"/>
        </w:rPr>
      </w:pPr>
      <w:r w:rsidRPr="00AC1525">
        <w:rPr>
          <w:sz w:val="22"/>
          <w:szCs w:val="22"/>
        </w:rPr>
        <w:t>-</w:t>
      </w:r>
      <w:r w:rsidRPr="00AC1525">
        <w:rPr>
          <w:sz w:val="22"/>
          <w:szCs w:val="22"/>
        </w:rPr>
        <w:tab/>
        <w:t>For regularly scheduled removals – Develop a regular schedule for identifying and removing unwanted materials from its laboratories.</w:t>
      </w:r>
    </w:p>
    <w:p w:rsidR="00146A6C" w:rsidRPr="00AC1525" w14:paraId="10F3D9EB" w14:textId="77777777">
      <w:pPr>
        <w:ind w:left="2880" w:hanging="720"/>
        <w:rPr>
          <w:sz w:val="22"/>
          <w:szCs w:val="22"/>
        </w:rPr>
      </w:pPr>
      <w:r w:rsidRPr="00AC1525">
        <w:rPr>
          <w:sz w:val="22"/>
          <w:szCs w:val="22"/>
        </w:rPr>
        <w:t>-</w:t>
      </w:r>
      <w:r w:rsidRPr="00AC1525">
        <w:rPr>
          <w:sz w:val="22"/>
          <w:szCs w:val="22"/>
        </w:rPr>
        <w:tab/>
        <w:t>For removals when maximum volumes are exceeded:</w:t>
      </w:r>
    </w:p>
    <w:p w:rsidR="00146A6C" w:rsidRPr="00AC1525" w14:paraId="75FBB55B" w14:textId="77777777">
      <w:pPr>
        <w:ind w:left="3600" w:hanging="720"/>
        <w:rPr>
          <w:sz w:val="22"/>
          <w:szCs w:val="22"/>
        </w:rPr>
      </w:pPr>
      <w:r w:rsidRPr="00AC1525">
        <w:rPr>
          <w:sz w:val="22"/>
          <w:szCs w:val="22"/>
        </w:rPr>
        <w:t>-</w:t>
      </w:r>
      <w:r w:rsidRPr="00AC1525">
        <w:rPr>
          <w:sz w:val="22"/>
          <w:szCs w:val="22"/>
        </w:rPr>
        <w:tab/>
        <w:t>Describe procedures for removing unwanted materials from the laboratory within 10 calendar days when unwanted materials have exceeded their maximum volumes.</w:t>
      </w:r>
    </w:p>
    <w:p w:rsidR="00146A6C" w:rsidRPr="00AC1525" w14:paraId="54694B9C" w14:textId="77777777">
      <w:pPr>
        <w:ind w:left="3600" w:hanging="720"/>
        <w:rPr>
          <w:sz w:val="22"/>
          <w:szCs w:val="22"/>
        </w:rPr>
      </w:pPr>
      <w:r w:rsidRPr="00AC1525">
        <w:rPr>
          <w:sz w:val="22"/>
          <w:szCs w:val="22"/>
        </w:rPr>
        <w:t>-</w:t>
      </w:r>
      <w:r w:rsidRPr="00AC1525">
        <w:rPr>
          <w:sz w:val="22"/>
          <w:szCs w:val="22"/>
        </w:rPr>
        <w:tab/>
        <w:t xml:space="preserve">Describe how and to whom laboratory workers or students will communicate </w:t>
      </w:r>
      <w:r w:rsidRPr="00AC1525">
        <w:rPr>
          <w:sz w:val="22"/>
          <w:szCs w:val="22"/>
        </w:rPr>
        <w:t>that unwanted materials</w:t>
      </w:r>
      <w:r w:rsidRPr="00AC1525">
        <w:rPr>
          <w:sz w:val="22"/>
          <w:szCs w:val="22"/>
        </w:rPr>
        <w:t xml:space="preserve"> have exceeded their maximum volumes.</w:t>
      </w:r>
    </w:p>
    <w:p w:rsidR="00146A6C" w:rsidRPr="00AC1525" w14:paraId="66867AB5" w14:textId="77777777">
      <w:pPr>
        <w:ind w:left="2160" w:hanging="720"/>
        <w:rPr>
          <w:sz w:val="22"/>
          <w:szCs w:val="22"/>
        </w:rPr>
      </w:pPr>
      <w:r w:rsidRPr="00AC1525">
        <w:rPr>
          <w:sz w:val="22"/>
          <w:szCs w:val="22"/>
        </w:rPr>
        <w:t>--</w:t>
      </w:r>
      <w:r w:rsidRPr="00AC1525">
        <w:rPr>
          <w:sz w:val="22"/>
          <w:szCs w:val="22"/>
        </w:rPr>
        <w:tab/>
        <w:t>Describe procedures for making hazardous waste including specifying the duties of the individuals involved in the process.</w:t>
      </w:r>
    </w:p>
    <w:p w:rsidR="00146A6C" w:rsidRPr="00AC1525" w14:paraId="501E6631" w14:textId="77777777">
      <w:pPr>
        <w:ind w:left="2160" w:hanging="720"/>
        <w:rPr>
          <w:sz w:val="22"/>
          <w:szCs w:val="22"/>
        </w:rPr>
      </w:pPr>
      <w:r w:rsidRPr="00AC1525">
        <w:rPr>
          <w:sz w:val="22"/>
          <w:szCs w:val="22"/>
        </w:rPr>
        <w:t xml:space="preserve">-- </w:t>
      </w:r>
      <w:r w:rsidRPr="00AC1525">
        <w:rPr>
          <w:sz w:val="22"/>
          <w:szCs w:val="22"/>
        </w:rPr>
        <w:tab/>
        <w:t>Describe procedures for laboratory clean-outs, if the eligible academic entity plans to use the incentives for laboratory clean-outs provided in section 262.213, including:</w:t>
      </w:r>
    </w:p>
    <w:p w:rsidR="00146A6C" w:rsidRPr="00AC1525" w14:paraId="394349FB" w14:textId="77777777">
      <w:pPr>
        <w:ind w:left="2880" w:hanging="720"/>
        <w:rPr>
          <w:sz w:val="22"/>
          <w:szCs w:val="22"/>
        </w:rPr>
      </w:pPr>
      <w:r w:rsidRPr="00AC1525">
        <w:rPr>
          <w:sz w:val="22"/>
          <w:szCs w:val="22"/>
        </w:rPr>
        <w:t>-</w:t>
      </w:r>
      <w:r w:rsidRPr="00AC1525">
        <w:rPr>
          <w:sz w:val="22"/>
          <w:szCs w:val="22"/>
        </w:rPr>
        <w:tab/>
        <w:t>Procedures for conducting laboratory clean-outs in accordance with section 262.213; and</w:t>
      </w:r>
    </w:p>
    <w:p w:rsidR="00146A6C" w:rsidRPr="00AC1525" w14:paraId="6579F667" w14:textId="77777777">
      <w:pPr>
        <w:ind w:left="2880" w:hanging="720"/>
        <w:rPr>
          <w:sz w:val="22"/>
          <w:szCs w:val="22"/>
        </w:rPr>
      </w:pPr>
      <w:r w:rsidRPr="00AC1525">
        <w:rPr>
          <w:sz w:val="22"/>
          <w:szCs w:val="22"/>
        </w:rPr>
        <w:t>-</w:t>
      </w:r>
      <w:r w:rsidRPr="00AC1525">
        <w:rPr>
          <w:sz w:val="22"/>
          <w:szCs w:val="22"/>
        </w:rPr>
        <w:tab/>
        <w:t>Procedures for documenting laboratory clean-outs in accordance with section 262.213(a)(4).</w:t>
      </w:r>
    </w:p>
    <w:p w:rsidR="00146A6C" w:rsidRPr="00AC1525" w14:paraId="12EEAD8E" w14:textId="77777777">
      <w:pPr>
        <w:ind w:left="720" w:firstLine="720"/>
        <w:rPr>
          <w:sz w:val="22"/>
          <w:szCs w:val="22"/>
        </w:rPr>
      </w:pPr>
      <w:r w:rsidRPr="00AC1525">
        <w:rPr>
          <w:sz w:val="22"/>
          <w:szCs w:val="22"/>
        </w:rPr>
        <w:t>--</w:t>
      </w:r>
      <w:r w:rsidRPr="00AC1525">
        <w:rPr>
          <w:sz w:val="22"/>
          <w:szCs w:val="22"/>
        </w:rPr>
        <w:tab/>
        <w:t>Describe emergency prevention procedures, including:</w:t>
      </w:r>
    </w:p>
    <w:p w:rsidR="00146A6C" w:rsidRPr="00AC1525" w14:paraId="6984D5C8" w14:textId="77777777">
      <w:pPr>
        <w:ind w:left="2880" w:hanging="720"/>
        <w:rPr>
          <w:sz w:val="22"/>
          <w:szCs w:val="22"/>
        </w:rPr>
      </w:pPr>
      <w:r w:rsidRPr="00AC1525">
        <w:rPr>
          <w:sz w:val="22"/>
          <w:szCs w:val="22"/>
        </w:rPr>
        <w:t>-</w:t>
      </w:r>
      <w:r w:rsidRPr="00AC1525">
        <w:rPr>
          <w:sz w:val="22"/>
          <w:szCs w:val="22"/>
        </w:rPr>
        <w:tab/>
        <w:t>Procedures for emergency prevention, notification, and response, appropriate to the hazards in the laboratory; and</w:t>
      </w:r>
    </w:p>
    <w:p w:rsidR="00146A6C" w:rsidRPr="00AC1525" w14:paraId="280A5883" w14:textId="77777777">
      <w:pPr>
        <w:ind w:left="2880" w:hanging="720"/>
        <w:rPr>
          <w:sz w:val="22"/>
          <w:szCs w:val="22"/>
        </w:rPr>
      </w:pPr>
      <w:r w:rsidRPr="00AC1525">
        <w:rPr>
          <w:sz w:val="22"/>
          <w:szCs w:val="22"/>
        </w:rPr>
        <w:t>-</w:t>
      </w:r>
      <w:r w:rsidRPr="00AC1525">
        <w:rPr>
          <w:sz w:val="22"/>
          <w:szCs w:val="22"/>
        </w:rPr>
        <w:tab/>
        <w:t xml:space="preserve">A list of chemicals that the eligible academic entity has, or is likely to have, that become more dangerous when they exceed their expiration date and/or as they degrade; and  </w:t>
      </w:r>
    </w:p>
    <w:p w:rsidR="00146A6C" w:rsidRPr="00AC1525" w14:paraId="2FF260EC" w14:textId="77777777">
      <w:pPr>
        <w:ind w:left="2880" w:hanging="720"/>
        <w:rPr>
          <w:sz w:val="22"/>
          <w:szCs w:val="22"/>
        </w:rPr>
      </w:pPr>
      <w:r w:rsidRPr="00AC1525">
        <w:rPr>
          <w:sz w:val="22"/>
          <w:szCs w:val="22"/>
        </w:rPr>
        <w:t>-</w:t>
      </w:r>
      <w:r w:rsidRPr="00AC1525">
        <w:rPr>
          <w:sz w:val="22"/>
          <w:szCs w:val="22"/>
        </w:rPr>
        <w:tab/>
        <w:t>Procedures to safely dispose of chemicals that become more dangerous when they exceed their expiration date and/or as they degrade; and</w:t>
      </w:r>
    </w:p>
    <w:p w:rsidR="00146A6C" w:rsidRPr="00AC1525" w14:paraId="007D1495" w14:textId="77777777">
      <w:pPr>
        <w:ind w:left="2880" w:hanging="720"/>
        <w:rPr>
          <w:sz w:val="22"/>
          <w:szCs w:val="22"/>
        </w:rPr>
      </w:pPr>
      <w:r w:rsidRPr="00AC1525">
        <w:rPr>
          <w:sz w:val="22"/>
          <w:szCs w:val="22"/>
        </w:rPr>
        <w:t>-</w:t>
      </w:r>
      <w:r w:rsidRPr="00AC1525">
        <w:rPr>
          <w:sz w:val="22"/>
          <w:szCs w:val="22"/>
        </w:rPr>
        <w:tab/>
        <w:t>P</w:t>
      </w:r>
      <w:r w:rsidRPr="00AC1525" w:rsidR="00270DB5">
        <w:rPr>
          <w:sz w:val="22"/>
          <w:szCs w:val="22"/>
        </w:rPr>
        <w:t>r</w:t>
      </w:r>
      <w:r w:rsidRPr="00AC1525">
        <w:rPr>
          <w:sz w:val="22"/>
          <w:szCs w:val="22"/>
        </w:rPr>
        <w:t>ocedures for the timely characterization of unknown chemicals.</w:t>
      </w:r>
    </w:p>
    <w:p w:rsidR="00146A6C" w:rsidRPr="00AC1525" w14:paraId="598B393F" w14:textId="77777777">
      <w:pPr>
        <w:ind w:firstLine="720"/>
        <w:rPr>
          <w:sz w:val="22"/>
          <w:szCs w:val="22"/>
        </w:rPr>
      </w:pPr>
    </w:p>
    <w:p w:rsidR="00146A6C" w:rsidRPr="00AC1525" w14:paraId="4D200AAA" w14:textId="77777777">
      <w:pPr>
        <w:ind w:firstLine="720"/>
        <w:rPr>
          <w:sz w:val="22"/>
          <w:szCs w:val="22"/>
        </w:rPr>
      </w:pPr>
      <w:r w:rsidRPr="00AC1525">
        <w:rPr>
          <w:sz w:val="22"/>
          <w:szCs w:val="22"/>
        </w:rPr>
        <w:t>(ii)</w:t>
      </w:r>
      <w:r w:rsidRPr="00AC1525">
        <w:rPr>
          <w:sz w:val="22"/>
          <w:szCs w:val="22"/>
        </w:rPr>
        <w:tab/>
      </w:r>
      <w:r w:rsidRPr="00AC1525">
        <w:rPr>
          <w:sz w:val="22"/>
          <w:szCs w:val="22"/>
          <w:u w:val="single"/>
        </w:rPr>
        <w:t>Respondent Activities:</w:t>
      </w:r>
    </w:p>
    <w:p w:rsidR="00146A6C" w:rsidRPr="00AC1525" w14:paraId="61460CD3" w14:textId="77777777">
      <w:pPr>
        <w:rPr>
          <w:sz w:val="22"/>
          <w:szCs w:val="22"/>
        </w:rPr>
      </w:pPr>
    </w:p>
    <w:p w:rsidR="00146A6C" w:rsidRPr="00AC1525" w14:paraId="5766D829" w14:textId="77777777">
      <w:pPr>
        <w:numPr>
          <w:ilvl w:val="0"/>
          <w:numId w:val="3"/>
        </w:numPr>
        <w:tabs>
          <w:tab w:val="clear" w:pos="2160"/>
        </w:tabs>
        <w:ind w:left="1440"/>
        <w:rPr>
          <w:sz w:val="22"/>
          <w:szCs w:val="22"/>
        </w:rPr>
      </w:pPr>
      <w:r w:rsidRPr="00AC1525">
        <w:rPr>
          <w:sz w:val="22"/>
          <w:szCs w:val="22"/>
        </w:rPr>
        <w:t xml:space="preserve">Develop a Laboratory Management Plan or revise an existing written </w:t>
      </w:r>
      <w:r w:rsidRPr="00AC1525">
        <w:rPr>
          <w:sz w:val="22"/>
          <w:szCs w:val="22"/>
        </w:rPr>
        <w:t>plan;</w:t>
      </w:r>
    </w:p>
    <w:p w:rsidR="00146A6C" w:rsidRPr="00AC1525" w14:paraId="1F7F911C" w14:textId="77777777">
      <w:pPr>
        <w:rPr>
          <w:sz w:val="22"/>
          <w:szCs w:val="22"/>
        </w:rPr>
      </w:pPr>
    </w:p>
    <w:p w:rsidR="00146A6C" w:rsidRPr="00AC1525" w14:paraId="7BEEAE71" w14:textId="77777777">
      <w:pPr>
        <w:numPr>
          <w:ilvl w:val="0"/>
          <w:numId w:val="3"/>
        </w:numPr>
        <w:tabs>
          <w:tab w:val="clear" w:pos="2160"/>
        </w:tabs>
        <w:ind w:left="1440"/>
        <w:rPr>
          <w:sz w:val="22"/>
          <w:szCs w:val="22"/>
        </w:rPr>
      </w:pPr>
      <w:r w:rsidRPr="00AC1525">
        <w:rPr>
          <w:sz w:val="22"/>
          <w:szCs w:val="22"/>
        </w:rPr>
        <w:t xml:space="preserve">Retain, </w:t>
      </w:r>
      <w:r w:rsidRPr="00AC1525">
        <w:rPr>
          <w:sz w:val="22"/>
          <w:szCs w:val="22"/>
        </w:rPr>
        <w:t>review</w:t>
      </w:r>
      <w:r w:rsidRPr="00AC1525">
        <w:rPr>
          <w:sz w:val="22"/>
          <w:szCs w:val="22"/>
        </w:rPr>
        <w:t xml:space="preserve"> and revise the Laboratory Management Plan; and</w:t>
      </w:r>
    </w:p>
    <w:p w:rsidR="00146A6C" w:rsidRPr="00AC1525" w14:paraId="0EA72C00" w14:textId="77777777">
      <w:pPr>
        <w:ind w:left="720"/>
        <w:rPr>
          <w:sz w:val="22"/>
          <w:szCs w:val="22"/>
        </w:rPr>
      </w:pPr>
    </w:p>
    <w:p w:rsidR="00146A6C" w:rsidRPr="00AC1525" w14:paraId="3E4FB4B9" w14:textId="77777777">
      <w:pPr>
        <w:numPr>
          <w:ilvl w:val="0"/>
          <w:numId w:val="3"/>
        </w:numPr>
        <w:tabs>
          <w:tab w:val="clear" w:pos="2160"/>
        </w:tabs>
        <w:ind w:left="1440"/>
        <w:rPr>
          <w:sz w:val="22"/>
          <w:szCs w:val="22"/>
        </w:rPr>
      </w:pPr>
      <w:r w:rsidRPr="00AC1525">
        <w:rPr>
          <w:sz w:val="22"/>
          <w:szCs w:val="22"/>
        </w:rPr>
        <w:t>Make Laboratory Management Plan available to laboratory workers, students, or any others at the eligible academic entity who request it.</w:t>
      </w:r>
    </w:p>
    <w:p w:rsidR="00146A6C" w:rsidRPr="00AC1525" w14:paraId="12D4E3F1" w14:textId="77777777">
      <w:pPr>
        <w:pStyle w:val="Heading1"/>
        <w:ind w:left="720" w:hanging="720"/>
        <w:rPr>
          <w:rFonts w:ascii="Times New Roman" w:hAnsi="Times New Roman" w:cs="Times New Roman"/>
          <w:sz w:val="22"/>
          <w:szCs w:val="22"/>
        </w:rPr>
      </w:pPr>
      <w:bookmarkStart w:id="273" w:name="_Toc146594788"/>
      <w:bookmarkStart w:id="274" w:name="_Toc194233048"/>
      <w:bookmarkStart w:id="275" w:name="_Toc194321371"/>
      <w:bookmarkStart w:id="276" w:name="_Toc194321584"/>
      <w:bookmarkStart w:id="277" w:name="_Toc194395938"/>
      <w:bookmarkStart w:id="278" w:name="_Toc195523824"/>
      <w:bookmarkStart w:id="279" w:name="_Toc195524035"/>
      <w:bookmarkStart w:id="280" w:name="_Toc198053458"/>
      <w:bookmarkStart w:id="281" w:name="_Toc199176361"/>
      <w:r w:rsidRPr="00AC1525">
        <w:rPr>
          <w:rFonts w:ascii="Times New Roman" w:hAnsi="Times New Roman" w:cs="Times New Roman"/>
          <w:sz w:val="22"/>
          <w:szCs w:val="22"/>
        </w:rPr>
        <w:br w:type="page"/>
      </w:r>
      <w:bookmarkStart w:id="282" w:name="_Toc201152820"/>
      <w:bookmarkStart w:id="283" w:name="_Toc201153933"/>
      <w:bookmarkStart w:id="284" w:name="_Toc203626038"/>
      <w:bookmarkStart w:id="285" w:name="_Toc203626145"/>
      <w:bookmarkStart w:id="286" w:name="_Toc203711639"/>
      <w:bookmarkStart w:id="287" w:name="_Toc203715786"/>
      <w:bookmarkStart w:id="288" w:name="_Toc434488014"/>
      <w:r w:rsidRPr="00AC1525">
        <w:rPr>
          <w:rFonts w:ascii="Times New Roman" w:hAnsi="Times New Roman" w:cs="Times New Roman"/>
          <w:sz w:val="22"/>
          <w:szCs w:val="22"/>
        </w:rPr>
        <w:t>5.</w:t>
      </w:r>
      <w:r w:rsidRPr="00AC1525">
        <w:rPr>
          <w:rFonts w:ascii="Times New Roman" w:hAnsi="Times New Roman" w:cs="Times New Roman"/>
          <w:sz w:val="22"/>
          <w:szCs w:val="22"/>
        </w:rPr>
        <w:tab/>
        <w:t>THE INFORMATION COLLECTED:  AGENCY ACTIVITIES, COLLECTION METHODOLOGY, AND INFORMATION MANAGEMENT</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146A6C" w:rsidRPr="00AC1525" w14:paraId="0C395A03" w14:textId="77777777">
      <w:pPr>
        <w:pStyle w:val="Heading2"/>
        <w:ind w:firstLine="720"/>
        <w:rPr>
          <w:rFonts w:ascii="Times New Roman" w:hAnsi="Times New Roman" w:cs="Times New Roman"/>
          <w:i w:val="0"/>
          <w:iCs w:val="0"/>
          <w:sz w:val="22"/>
          <w:szCs w:val="22"/>
        </w:rPr>
      </w:pPr>
      <w:bookmarkStart w:id="289" w:name="_Toc194321585"/>
      <w:bookmarkStart w:id="290" w:name="_Toc194395939"/>
      <w:bookmarkStart w:id="291" w:name="_Toc195523825"/>
      <w:bookmarkStart w:id="292" w:name="_Toc195524036"/>
      <w:bookmarkStart w:id="293" w:name="_Toc198053459"/>
      <w:bookmarkStart w:id="294" w:name="_Toc199176362"/>
      <w:bookmarkStart w:id="295" w:name="_Toc203626146"/>
      <w:bookmarkStart w:id="296" w:name="_Toc203711640"/>
      <w:bookmarkStart w:id="297" w:name="_Toc203715787"/>
      <w:bookmarkStart w:id="298" w:name="_Toc434488015"/>
      <w:r w:rsidRPr="00AC1525">
        <w:rPr>
          <w:rFonts w:ascii="Times New Roman" w:hAnsi="Times New Roman" w:cs="Times New Roman"/>
          <w:i w:val="0"/>
          <w:iCs w:val="0"/>
          <w:sz w:val="22"/>
          <w:szCs w:val="22"/>
        </w:rPr>
        <w:t>5(a)</w:t>
      </w:r>
      <w:r w:rsidRPr="00AC1525">
        <w:rPr>
          <w:rFonts w:ascii="Times New Roman" w:hAnsi="Times New Roman" w:cs="Times New Roman"/>
          <w:i w:val="0"/>
          <w:iCs w:val="0"/>
          <w:sz w:val="22"/>
          <w:szCs w:val="22"/>
        </w:rPr>
        <w:tab/>
        <w:t>Agency Activities</w:t>
      </w:r>
      <w:bookmarkEnd w:id="289"/>
      <w:bookmarkEnd w:id="290"/>
      <w:bookmarkEnd w:id="291"/>
      <w:bookmarkEnd w:id="292"/>
      <w:bookmarkEnd w:id="293"/>
      <w:bookmarkEnd w:id="294"/>
      <w:bookmarkEnd w:id="295"/>
      <w:bookmarkEnd w:id="296"/>
      <w:bookmarkEnd w:id="297"/>
      <w:bookmarkEnd w:id="298"/>
    </w:p>
    <w:p w:rsidR="00146A6C" w:rsidRPr="00AC1525" w14:paraId="0F3EE72E" w14:textId="77777777">
      <w:pPr>
        <w:rPr>
          <w:sz w:val="22"/>
          <w:szCs w:val="22"/>
        </w:rPr>
      </w:pPr>
    </w:p>
    <w:p w:rsidR="00146A6C" w:rsidRPr="00AC1525" w14:paraId="7B378B2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2"/>
          <w:szCs w:val="22"/>
        </w:rPr>
      </w:pPr>
      <w:r w:rsidRPr="00AC1525">
        <w:rPr>
          <w:rFonts w:ascii="Times New Roman" w:hAnsi="Times New Roman" w:cs="Times New Roman"/>
          <w:b/>
          <w:bCs/>
          <w:sz w:val="22"/>
          <w:szCs w:val="22"/>
        </w:rPr>
        <w:t>(1)</w:t>
      </w:r>
      <w:r w:rsidRPr="00AC1525">
        <w:rPr>
          <w:rFonts w:ascii="Times New Roman" w:hAnsi="Times New Roman" w:cs="Times New Roman"/>
          <w:b/>
          <w:bCs/>
          <w:sz w:val="22"/>
          <w:szCs w:val="22"/>
        </w:rPr>
        <w:tab/>
        <w:t>Notification of Intent to Comply with Subpart K and Recordkeeping of Agreements</w:t>
      </w:r>
    </w:p>
    <w:p w:rsidR="00146A6C" w:rsidRPr="00AC1525" w14:paraId="1CE14C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0A3CD5FA" w14:textId="77777777">
      <w:pPr>
        <w:ind w:left="720"/>
        <w:rPr>
          <w:sz w:val="22"/>
          <w:szCs w:val="22"/>
        </w:rPr>
      </w:pPr>
      <w:r w:rsidRPr="00AC1525">
        <w:rPr>
          <w:sz w:val="22"/>
          <w:szCs w:val="22"/>
        </w:rPr>
        <w:t xml:space="preserve">Under 40 </w:t>
      </w:r>
      <w:r w:rsidRPr="00AC1525">
        <w:rPr>
          <w:i/>
          <w:sz w:val="22"/>
          <w:szCs w:val="22"/>
        </w:rPr>
        <w:t>CFR</w:t>
      </w:r>
      <w:r w:rsidRPr="00AC1525">
        <w:rPr>
          <w:sz w:val="22"/>
          <w:szCs w:val="22"/>
        </w:rPr>
        <w:t xml:space="preserve"> 262.203(a), the Agency will conduct the following activities:</w:t>
      </w:r>
    </w:p>
    <w:p w:rsidR="00146A6C" w:rsidRPr="00AC1525" w14:paraId="5AE98108" w14:textId="77777777">
      <w:pPr>
        <w:rPr>
          <w:sz w:val="22"/>
          <w:szCs w:val="22"/>
        </w:rPr>
      </w:pPr>
    </w:p>
    <w:p w:rsidR="00146A6C" w:rsidRPr="00AC1525" w14:paraId="4B07E600" w14:textId="77777777">
      <w:pPr>
        <w:numPr>
          <w:ilvl w:val="0"/>
          <w:numId w:val="9"/>
        </w:numPr>
        <w:tabs>
          <w:tab w:val="clear" w:pos="2160"/>
        </w:tabs>
        <w:ind w:left="1440"/>
        <w:rPr>
          <w:sz w:val="22"/>
          <w:szCs w:val="22"/>
        </w:rPr>
      </w:pPr>
      <w:r w:rsidRPr="00AC1525">
        <w:rPr>
          <w:sz w:val="22"/>
          <w:szCs w:val="22"/>
        </w:rPr>
        <w:t>Review and process Site Identification Forms.</w:t>
      </w:r>
    </w:p>
    <w:p w:rsidR="00146A6C" w:rsidRPr="00AC1525" w14:paraId="090F5C87" w14:textId="77777777">
      <w:pPr>
        <w:rPr>
          <w:sz w:val="22"/>
          <w:szCs w:val="22"/>
        </w:rPr>
      </w:pPr>
    </w:p>
    <w:p w:rsidR="00146A6C" w:rsidRPr="00AC1525" w14:paraId="2D5D684F" w14:textId="77777777">
      <w:pPr>
        <w:rPr>
          <w:sz w:val="22"/>
          <w:szCs w:val="22"/>
        </w:rPr>
      </w:pPr>
      <w:r w:rsidRPr="00AC1525">
        <w:rPr>
          <w:b/>
          <w:bCs/>
          <w:sz w:val="22"/>
          <w:szCs w:val="22"/>
        </w:rPr>
        <w:t>(2)</w:t>
      </w:r>
      <w:r w:rsidRPr="00AC1525">
        <w:rPr>
          <w:b/>
          <w:bCs/>
          <w:sz w:val="22"/>
          <w:szCs w:val="22"/>
        </w:rPr>
        <w:tab/>
        <w:t>Notification of Withdrawal from Subpart K</w:t>
      </w:r>
    </w:p>
    <w:p w:rsidR="00146A6C" w:rsidRPr="00AC1525" w14:paraId="73775A31" w14:textId="77777777">
      <w:pPr>
        <w:rPr>
          <w:sz w:val="22"/>
          <w:szCs w:val="22"/>
        </w:rPr>
      </w:pPr>
    </w:p>
    <w:p w:rsidR="00146A6C" w:rsidRPr="00AC1525" w14:paraId="44CBEC2F" w14:textId="77777777">
      <w:pPr>
        <w:rPr>
          <w:sz w:val="22"/>
          <w:szCs w:val="22"/>
        </w:rPr>
      </w:pPr>
      <w:r w:rsidRPr="00AC1525">
        <w:rPr>
          <w:sz w:val="22"/>
          <w:szCs w:val="22"/>
        </w:rPr>
        <w:tab/>
        <w:t xml:space="preserve">Under 40 </w:t>
      </w:r>
      <w:r w:rsidRPr="00AC1525">
        <w:rPr>
          <w:i/>
          <w:sz w:val="22"/>
          <w:szCs w:val="22"/>
        </w:rPr>
        <w:t>CFR</w:t>
      </w:r>
      <w:r w:rsidRPr="00AC1525">
        <w:rPr>
          <w:sz w:val="22"/>
          <w:szCs w:val="22"/>
        </w:rPr>
        <w:t xml:space="preserve"> 262.204(a), the Agency will conduct the following activities: </w:t>
      </w:r>
    </w:p>
    <w:p w:rsidR="00146A6C" w:rsidRPr="00AC1525" w14:paraId="5E308D95" w14:textId="77777777">
      <w:pPr>
        <w:rPr>
          <w:sz w:val="22"/>
          <w:szCs w:val="22"/>
        </w:rPr>
      </w:pPr>
    </w:p>
    <w:p w:rsidR="00146A6C" w:rsidRPr="00AC1525" w14:paraId="07B4640D" w14:textId="77777777">
      <w:pPr>
        <w:numPr>
          <w:ilvl w:val="0"/>
          <w:numId w:val="9"/>
        </w:numPr>
        <w:tabs>
          <w:tab w:val="clear" w:pos="2160"/>
        </w:tabs>
        <w:ind w:left="1440"/>
        <w:rPr>
          <w:sz w:val="22"/>
          <w:szCs w:val="22"/>
        </w:rPr>
      </w:pPr>
      <w:r w:rsidRPr="00AC1525">
        <w:rPr>
          <w:sz w:val="22"/>
          <w:szCs w:val="22"/>
        </w:rPr>
        <w:t>Review and process Site Identification Forms.</w:t>
      </w:r>
    </w:p>
    <w:p w:rsidR="00146A6C" w:rsidRPr="00AC1525" w14:paraId="2E6EEED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2"/>
          <w:szCs w:val="22"/>
        </w:rPr>
      </w:pPr>
    </w:p>
    <w:p w:rsidR="00146A6C" w:rsidRPr="00AC1525" w14:paraId="70CC5BD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2"/>
          <w:szCs w:val="22"/>
        </w:rPr>
      </w:pPr>
      <w:r w:rsidRPr="00AC1525">
        <w:rPr>
          <w:rFonts w:ascii="Times New Roman" w:hAnsi="Times New Roman" w:cs="Times New Roman"/>
          <w:b/>
          <w:bCs/>
          <w:sz w:val="22"/>
          <w:szCs w:val="22"/>
        </w:rPr>
        <w:t>(3)</w:t>
      </w:r>
      <w:r w:rsidRPr="00AC1525">
        <w:rPr>
          <w:rFonts w:ascii="Times New Roman" w:hAnsi="Times New Roman" w:cs="Times New Roman"/>
          <w:b/>
          <w:bCs/>
          <w:sz w:val="22"/>
          <w:szCs w:val="22"/>
        </w:rPr>
        <w:tab/>
        <w:t>Labeling of Containers of Unwanted Material in the Laboratory</w:t>
      </w:r>
    </w:p>
    <w:p w:rsidR="00146A6C" w:rsidRPr="00AC1525" w14:paraId="6AECC689" w14:textId="77777777">
      <w:pPr>
        <w:rPr>
          <w:sz w:val="22"/>
          <w:szCs w:val="22"/>
        </w:rPr>
      </w:pPr>
    </w:p>
    <w:p w:rsidR="00146A6C" w:rsidRPr="00AC1525" w14:paraId="188957DA"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262.206.</w:t>
      </w:r>
    </w:p>
    <w:p w:rsidR="00146A6C" w:rsidRPr="00AC1525" w14:paraId="67FC1731" w14:textId="77777777">
      <w:pPr>
        <w:ind w:firstLine="720"/>
        <w:rPr>
          <w:sz w:val="22"/>
          <w:szCs w:val="22"/>
        </w:rPr>
      </w:pPr>
    </w:p>
    <w:p w:rsidR="00146A6C" w:rsidRPr="00AC1525" w14:paraId="4D129A34" w14:textId="77777777">
      <w:pPr>
        <w:rPr>
          <w:sz w:val="22"/>
          <w:szCs w:val="22"/>
        </w:rPr>
      </w:pPr>
      <w:r w:rsidRPr="00AC1525">
        <w:rPr>
          <w:b/>
          <w:bCs/>
          <w:sz w:val="22"/>
          <w:szCs w:val="22"/>
        </w:rPr>
        <w:t>(4)</w:t>
      </w:r>
      <w:r w:rsidRPr="00AC1525">
        <w:rPr>
          <w:b/>
          <w:bCs/>
          <w:sz w:val="22"/>
          <w:szCs w:val="22"/>
        </w:rPr>
        <w:tab/>
        <w:t>Training</w:t>
      </w:r>
    </w:p>
    <w:p w:rsidR="00146A6C" w:rsidRPr="00AC1525" w14:paraId="5DB289D7" w14:textId="77777777">
      <w:pPr>
        <w:rPr>
          <w:sz w:val="22"/>
          <w:szCs w:val="22"/>
        </w:rPr>
      </w:pPr>
    </w:p>
    <w:p w:rsidR="00146A6C" w:rsidRPr="00AC1525" w14:paraId="255EEBDA"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262.207.</w:t>
      </w:r>
    </w:p>
    <w:p w:rsidR="00146A6C" w:rsidRPr="00AC1525" w14:paraId="458ACF81" w14:textId="77777777">
      <w:pPr>
        <w:rPr>
          <w:sz w:val="22"/>
          <w:szCs w:val="22"/>
        </w:rPr>
      </w:pPr>
    </w:p>
    <w:p w:rsidR="00146A6C" w:rsidRPr="00AC1525" w14:paraId="79476260" w14:textId="77777777">
      <w:pPr>
        <w:rPr>
          <w:b/>
          <w:bCs/>
          <w:sz w:val="22"/>
          <w:szCs w:val="22"/>
        </w:rPr>
      </w:pPr>
      <w:r w:rsidRPr="00AC1525">
        <w:rPr>
          <w:b/>
          <w:bCs/>
          <w:sz w:val="22"/>
          <w:szCs w:val="22"/>
        </w:rPr>
        <w:t>(5)</w:t>
      </w:r>
      <w:r w:rsidRPr="00AC1525">
        <w:rPr>
          <w:b/>
          <w:bCs/>
          <w:sz w:val="22"/>
          <w:szCs w:val="22"/>
        </w:rPr>
        <w:tab/>
        <w:t>Removing Containers of Unwanted Material from the Laboratory</w:t>
      </w:r>
    </w:p>
    <w:p w:rsidR="00146A6C" w:rsidRPr="00AC1525" w14:paraId="4295E6E6" w14:textId="77777777">
      <w:pPr>
        <w:rPr>
          <w:sz w:val="22"/>
          <w:szCs w:val="22"/>
        </w:rPr>
      </w:pPr>
    </w:p>
    <w:p w:rsidR="00146A6C" w:rsidRPr="00AC1525" w14:paraId="0BC7E04C"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262.208.</w:t>
      </w:r>
    </w:p>
    <w:p w:rsidR="00146A6C" w:rsidRPr="00AC1525" w14:paraId="0DF475D1" w14:textId="77777777">
      <w:pPr>
        <w:rPr>
          <w:sz w:val="22"/>
          <w:szCs w:val="22"/>
        </w:rPr>
      </w:pPr>
    </w:p>
    <w:p w:rsidR="00146A6C" w:rsidRPr="00AC1525" w14:paraId="76587ADC" w14:textId="77777777">
      <w:pPr>
        <w:ind w:left="720" w:hanging="720"/>
        <w:rPr>
          <w:b/>
          <w:bCs/>
          <w:sz w:val="22"/>
          <w:szCs w:val="22"/>
        </w:rPr>
      </w:pPr>
      <w:r w:rsidRPr="00AC1525">
        <w:rPr>
          <w:b/>
          <w:bCs/>
          <w:sz w:val="22"/>
          <w:szCs w:val="22"/>
        </w:rPr>
        <w:t>(6)</w:t>
      </w:r>
      <w:r w:rsidRPr="00AC1525">
        <w:rPr>
          <w:b/>
          <w:bCs/>
          <w:sz w:val="22"/>
          <w:szCs w:val="22"/>
        </w:rPr>
        <w:tab/>
        <w:t>Where and When to Make the Hazardous Waste Determination and Where to Send Containers of Unwanted Material</w:t>
      </w:r>
    </w:p>
    <w:p w:rsidR="00146A6C" w:rsidRPr="00AC1525" w14:paraId="3B6E4302" w14:textId="77777777">
      <w:pPr>
        <w:rPr>
          <w:sz w:val="22"/>
          <w:szCs w:val="22"/>
        </w:rPr>
      </w:pPr>
    </w:p>
    <w:p w:rsidR="00146A6C" w:rsidRPr="00AC1525" w14:paraId="100D6B96"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262.209.</w:t>
      </w:r>
    </w:p>
    <w:p w:rsidR="00146A6C" w:rsidRPr="00AC1525" w14:paraId="6DE51462" w14:textId="77777777">
      <w:pPr>
        <w:rPr>
          <w:sz w:val="22"/>
          <w:szCs w:val="22"/>
        </w:rPr>
      </w:pPr>
    </w:p>
    <w:p w:rsidR="00146A6C" w:rsidRPr="00AC1525" w14:paraId="084BEAF7" w14:textId="77777777">
      <w:pPr>
        <w:rPr>
          <w:b/>
          <w:bCs/>
          <w:sz w:val="22"/>
          <w:szCs w:val="22"/>
        </w:rPr>
      </w:pPr>
      <w:r w:rsidRPr="00AC1525">
        <w:rPr>
          <w:b/>
          <w:bCs/>
          <w:sz w:val="22"/>
          <w:szCs w:val="22"/>
        </w:rPr>
        <w:t>(7)</w:t>
      </w:r>
      <w:r w:rsidRPr="00AC1525">
        <w:rPr>
          <w:b/>
          <w:bCs/>
          <w:sz w:val="22"/>
          <w:szCs w:val="22"/>
        </w:rPr>
        <w:tab/>
        <w:t>Making the Hazardous Waste Determination in the Laboratory</w:t>
      </w:r>
    </w:p>
    <w:p w:rsidR="00146A6C" w:rsidRPr="00AC1525" w14:paraId="6381C6D7" w14:textId="77777777">
      <w:pPr>
        <w:rPr>
          <w:sz w:val="22"/>
          <w:szCs w:val="22"/>
        </w:rPr>
      </w:pPr>
    </w:p>
    <w:p w:rsidR="00146A6C" w:rsidRPr="00AC1525" w14:paraId="04B62064"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262.210.</w:t>
      </w:r>
    </w:p>
    <w:p w:rsidR="00146A6C" w:rsidRPr="00AC1525" w14:paraId="5A056096" w14:textId="77777777">
      <w:pPr>
        <w:rPr>
          <w:sz w:val="22"/>
          <w:szCs w:val="22"/>
        </w:rPr>
      </w:pPr>
    </w:p>
    <w:p w:rsidR="00146A6C" w:rsidRPr="00AC1525" w14:paraId="1B57468B" w14:textId="77777777">
      <w:pPr>
        <w:keepNext/>
        <w:ind w:left="720" w:hanging="720"/>
        <w:rPr>
          <w:b/>
          <w:bCs/>
          <w:sz w:val="22"/>
          <w:szCs w:val="22"/>
        </w:rPr>
      </w:pPr>
      <w:r w:rsidRPr="00AC1525">
        <w:rPr>
          <w:b/>
          <w:bCs/>
          <w:sz w:val="22"/>
          <w:szCs w:val="22"/>
        </w:rPr>
        <w:t>(8)</w:t>
      </w:r>
      <w:r w:rsidRPr="00AC1525">
        <w:rPr>
          <w:b/>
          <w:bCs/>
          <w:sz w:val="22"/>
          <w:szCs w:val="22"/>
        </w:rPr>
        <w:tab/>
        <w:t>Making the Hazardous Waste Determination in an On-site Central Accumulation Area</w:t>
      </w:r>
    </w:p>
    <w:p w:rsidR="00146A6C" w:rsidRPr="00AC1525" w14:paraId="7E39F31F" w14:textId="77777777">
      <w:pPr>
        <w:keepNext/>
        <w:rPr>
          <w:sz w:val="22"/>
          <w:szCs w:val="22"/>
        </w:rPr>
      </w:pPr>
    </w:p>
    <w:p w:rsidR="00146A6C" w:rsidRPr="00AC1525" w14:paraId="1030E80C" w14:textId="77777777">
      <w:pPr>
        <w:keepNext/>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262.211.</w:t>
      </w:r>
    </w:p>
    <w:p w:rsidR="00146A6C" w:rsidRPr="00AC1525" w14:paraId="3F42CA88" w14:textId="77777777">
      <w:pPr>
        <w:rPr>
          <w:sz w:val="22"/>
          <w:szCs w:val="22"/>
        </w:rPr>
      </w:pPr>
    </w:p>
    <w:p w:rsidR="00146A6C" w:rsidRPr="00AC1525" w14:paraId="0060A9C3" w14:textId="77777777">
      <w:pPr>
        <w:keepNext/>
        <w:ind w:left="720" w:hanging="720"/>
        <w:rPr>
          <w:b/>
          <w:bCs/>
          <w:sz w:val="22"/>
          <w:szCs w:val="22"/>
        </w:rPr>
      </w:pPr>
      <w:r w:rsidRPr="00AC1525">
        <w:rPr>
          <w:b/>
          <w:bCs/>
          <w:sz w:val="22"/>
          <w:szCs w:val="22"/>
        </w:rPr>
        <w:t>(9)</w:t>
      </w:r>
      <w:r w:rsidRPr="00AC1525">
        <w:rPr>
          <w:b/>
          <w:bCs/>
          <w:sz w:val="22"/>
          <w:szCs w:val="22"/>
        </w:rPr>
        <w:tab/>
        <w:t>Making the Hazardous Waste Determination at an On-site Interim Status or Permitted Treatment, Storage, or Disposal Facility</w:t>
      </w:r>
    </w:p>
    <w:p w:rsidR="00146A6C" w:rsidRPr="00AC1525" w14:paraId="175D55F7" w14:textId="77777777">
      <w:pPr>
        <w:keepNext/>
        <w:rPr>
          <w:sz w:val="22"/>
          <w:szCs w:val="22"/>
        </w:rPr>
      </w:pPr>
    </w:p>
    <w:p w:rsidR="00146A6C" w:rsidRPr="00AC1525" w14:paraId="72B79A14" w14:textId="77777777">
      <w:pPr>
        <w:keepNext/>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262.212.</w:t>
      </w:r>
    </w:p>
    <w:p w:rsidR="00146A6C" w:rsidRPr="00AC1525" w14:paraId="089EE610" w14:textId="77777777">
      <w:pPr>
        <w:rPr>
          <w:sz w:val="22"/>
          <w:szCs w:val="22"/>
        </w:rPr>
      </w:pPr>
    </w:p>
    <w:p w:rsidR="00146A6C" w:rsidRPr="00AC1525" w14:paraId="52ECB5F9" w14:textId="77777777">
      <w:pPr>
        <w:keepNext/>
        <w:rPr>
          <w:sz w:val="22"/>
          <w:szCs w:val="22"/>
        </w:rPr>
      </w:pPr>
      <w:r w:rsidRPr="00AC1525">
        <w:rPr>
          <w:b/>
          <w:bCs/>
          <w:sz w:val="22"/>
          <w:szCs w:val="22"/>
        </w:rPr>
        <w:t>(10)</w:t>
      </w:r>
      <w:r w:rsidRPr="00AC1525">
        <w:rPr>
          <w:b/>
          <w:bCs/>
          <w:sz w:val="22"/>
          <w:szCs w:val="22"/>
        </w:rPr>
        <w:tab/>
        <w:t>Laboratory Clean-outs</w:t>
      </w:r>
    </w:p>
    <w:p w:rsidR="00146A6C" w:rsidRPr="00AC1525" w14:paraId="5E0DFA35" w14:textId="77777777">
      <w:pPr>
        <w:keepNext/>
        <w:rPr>
          <w:sz w:val="22"/>
          <w:szCs w:val="22"/>
        </w:rPr>
      </w:pPr>
    </w:p>
    <w:p w:rsidR="00146A6C" w:rsidRPr="00AC1525" w14:paraId="59449A8B" w14:textId="77777777">
      <w:pPr>
        <w:keepNext/>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262.213.</w:t>
      </w:r>
    </w:p>
    <w:p w:rsidR="00146A6C" w:rsidRPr="00AC1525" w14:paraId="37E9B7CA" w14:textId="77777777">
      <w:pPr>
        <w:rPr>
          <w:sz w:val="22"/>
          <w:szCs w:val="22"/>
        </w:rPr>
      </w:pPr>
    </w:p>
    <w:p w:rsidR="00146A6C" w:rsidRPr="00AC1525" w14:paraId="1C3C8C70" w14:textId="77777777">
      <w:pPr>
        <w:rPr>
          <w:sz w:val="22"/>
          <w:szCs w:val="22"/>
        </w:rPr>
      </w:pPr>
      <w:r w:rsidRPr="00AC1525">
        <w:rPr>
          <w:b/>
          <w:bCs/>
          <w:sz w:val="22"/>
          <w:szCs w:val="22"/>
        </w:rPr>
        <w:t>(11)</w:t>
      </w:r>
      <w:r w:rsidRPr="00AC1525">
        <w:rPr>
          <w:b/>
          <w:bCs/>
          <w:sz w:val="22"/>
          <w:szCs w:val="22"/>
        </w:rPr>
        <w:tab/>
        <w:t>Laboratory Management Plan</w:t>
      </w:r>
    </w:p>
    <w:p w:rsidR="00146A6C" w:rsidRPr="00AC1525" w14:paraId="59E4662C" w14:textId="77777777">
      <w:pPr>
        <w:rPr>
          <w:sz w:val="22"/>
          <w:szCs w:val="22"/>
        </w:rPr>
      </w:pPr>
    </w:p>
    <w:p w:rsidR="00146A6C" w:rsidRPr="00AC1525" w14:paraId="2A309CBF" w14:textId="77777777">
      <w:pPr>
        <w:ind w:firstLine="720"/>
        <w:rPr>
          <w:sz w:val="22"/>
          <w:szCs w:val="22"/>
        </w:rPr>
      </w:pPr>
      <w:r w:rsidRPr="00AC1525">
        <w:rPr>
          <w:sz w:val="22"/>
          <w:szCs w:val="22"/>
        </w:rPr>
        <w:t xml:space="preserve">There is no Agency activity under 40 </w:t>
      </w:r>
      <w:r w:rsidRPr="00AC1525">
        <w:rPr>
          <w:i/>
          <w:sz w:val="22"/>
          <w:szCs w:val="22"/>
        </w:rPr>
        <w:t>CFR</w:t>
      </w:r>
      <w:r w:rsidRPr="00AC1525">
        <w:rPr>
          <w:sz w:val="22"/>
          <w:szCs w:val="22"/>
        </w:rPr>
        <w:t xml:space="preserve"> 262.214.</w:t>
      </w:r>
    </w:p>
    <w:p w:rsidR="00146A6C" w:rsidRPr="00AC1525" w14:paraId="25FA2168" w14:textId="77777777">
      <w:pPr>
        <w:pStyle w:val="Heading2"/>
        <w:ind w:firstLine="630"/>
        <w:rPr>
          <w:rFonts w:ascii="Times New Roman" w:hAnsi="Times New Roman" w:cs="Times New Roman"/>
          <w:i w:val="0"/>
          <w:iCs w:val="0"/>
          <w:sz w:val="22"/>
          <w:szCs w:val="22"/>
        </w:rPr>
      </w:pPr>
      <w:bookmarkStart w:id="299" w:name="_Toc146594790"/>
      <w:bookmarkStart w:id="300" w:name="_Toc194233049"/>
      <w:bookmarkStart w:id="301" w:name="_Toc194321372"/>
      <w:bookmarkStart w:id="302" w:name="_Toc194321586"/>
      <w:bookmarkStart w:id="303" w:name="_Toc194395940"/>
      <w:bookmarkStart w:id="304" w:name="_Toc195523826"/>
      <w:bookmarkStart w:id="305" w:name="_Toc195524037"/>
      <w:bookmarkStart w:id="306" w:name="_Toc198053460"/>
      <w:bookmarkStart w:id="307" w:name="_Toc199176363"/>
      <w:bookmarkStart w:id="308" w:name="_Toc201152821"/>
      <w:bookmarkStart w:id="309" w:name="_Toc201153934"/>
      <w:bookmarkStart w:id="310" w:name="_Toc203626039"/>
      <w:bookmarkStart w:id="311" w:name="_Toc203626147"/>
      <w:bookmarkStart w:id="312" w:name="_Toc203711641"/>
      <w:bookmarkStart w:id="313" w:name="_Toc203715788"/>
      <w:bookmarkStart w:id="314" w:name="_Toc434488016"/>
      <w:r w:rsidRPr="00AC1525">
        <w:rPr>
          <w:rFonts w:ascii="Times New Roman" w:hAnsi="Times New Roman" w:cs="Times New Roman"/>
          <w:i w:val="0"/>
          <w:iCs w:val="0"/>
          <w:sz w:val="22"/>
          <w:szCs w:val="22"/>
        </w:rPr>
        <w:t>5(b)</w:t>
      </w:r>
      <w:r w:rsidRPr="00AC1525">
        <w:rPr>
          <w:rFonts w:ascii="Times New Roman" w:hAnsi="Times New Roman" w:cs="Times New Roman"/>
          <w:i w:val="0"/>
          <w:iCs w:val="0"/>
          <w:sz w:val="22"/>
          <w:szCs w:val="22"/>
        </w:rPr>
        <w:tab/>
        <w:t>Collection Methodology and Management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146A6C" w:rsidRPr="00AC1525" w14:paraId="07E05A57" w14:textId="77777777">
      <w:pPr>
        <w:ind w:left="-90"/>
        <w:rPr>
          <w:sz w:val="22"/>
          <w:szCs w:val="22"/>
        </w:rPr>
      </w:pPr>
    </w:p>
    <w:p w:rsidR="00146A6C" w:rsidRPr="00AC1525" w14:paraId="44F680FD" w14:textId="77777777">
      <w:pPr>
        <w:ind w:left="-90" w:firstLine="720"/>
        <w:rPr>
          <w:sz w:val="22"/>
          <w:szCs w:val="22"/>
        </w:rPr>
      </w:pPr>
      <w:r w:rsidRPr="00AC1525">
        <w:rPr>
          <w:sz w:val="22"/>
          <w:szCs w:val="22"/>
        </w:rP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146A6C" w:rsidRPr="00AC1525" w14:paraId="3FBF4B64" w14:textId="77777777">
      <w:pPr>
        <w:pStyle w:val="Heading2"/>
        <w:ind w:firstLine="630"/>
        <w:rPr>
          <w:rFonts w:ascii="Times New Roman" w:hAnsi="Times New Roman" w:cs="Times New Roman"/>
          <w:i w:val="0"/>
          <w:iCs w:val="0"/>
          <w:sz w:val="22"/>
          <w:szCs w:val="22"/>
        </w:rPr>
      </w:pPr>
      <w:bookmarkStart w:id="315" w:name="_Toc146594791"/>
      <w:bookmarkStart w:id="316" w:name="_Toc194233050"/>
      <w:bookmarkStart w:id="317" w:name="_Toc194321373"/>
      <w:bookmarkStart w:id="318" w:name="_Toc194321587"/>
      <w:bookmarkStart w:id="319" w:name="_Toc194395941"/>
      <w:bookmarkStart w:id="320" w:name="_Toc195523827"/>
      <w:bookmarkStart w:id="321" w:name="_Toc195524038"/>
      <w:bookmarkStart w:id="322" w:name="_Toc198053461"/>
      <w:bookmarkStart w:id="323" w:name="_Toc199176364"/>
      <w:bookmarkStart w:id="324" w:name="_Toc201152822"/>
      <w:bookmarkStart w:id="325" w:name="_Toc201153935"/>
      <w:bookmarkStart w:id="326" w:name="_Toc203626040"/>
      <w:bookmarkStart w:id="327" w:name="_Toc203626148"/>
      <w:bookmarkStart w:id="328" w:name="_Toc203711642"/>
      <w:bookmarkStart w:id="329" w:name="_Toc203715789"/>
      <w:bookmarkStart w:id="330" w:name="_Toc434488017"/>
      <w:r w:rsidRPr="00AC1525">
        <w:rPr>
          <w:rFonts w:ascii="Times New Roman" w:hAnsi="Times New Roman" w:cs="Times New Roman"/>
          <w:i w:val="0"/>
          <w:iCs w:val="0"/>
          <w:sz w:val="22"/>
          <w:szCs w:val="22"/>
        </w:rPr>
        <w:t>5(c)</w:t>
      </w:r>
      <w:r w:rsidRPr="00AC1525">
        <w:rPr>
          <w:rFonts w:ascii="Times New Roman" w:hAnsi="Times New Roman" w:cs="Times New Roman"/>
          <w:i w:val="0"/>
          <w:iCs w:val="0"/>
          <w:sz w:val="22"/>
          <w:szCs w:val="22"/>
        </w:rPr>
        <w:tab/>
        <w:t>Small Entity Flexibility</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46A6C" w:rsidRPr="00AC1525" w14:paraId="28BC213B" w14:textId="77777777">
      <w:pPr>
        <w:ind w:left="-90"/>
        <w:rPr>
          <w:color w:val="000000"/>
          <w:sz w:val="22"/>
          <w:szCs w:val="22"/>
        </w:rPr>
      </w:pPr>
    </w:p>
    <w:p w:rsidR="00146A6C" w:rsidRPr="00AC1525" w14:paraId="5453AF78" w14:textId="77777777">
      <w:pPr>
        <w:ind w:firstLine="630"/>
        <w:rPr>
          <w:sz w:val="22"/>
          <w:szCs w:val="22"/>
        </w:rPr>
      </w:pPr>
      <w:r w:rsidRPr="00AC1525">
        <w:rPr>
          <w:color w:val="000000"/>
          <w:sz w:val="22"/>
          <w:szCs w:val="22"/>
        </w:rPr>
        <w:t xml:space="preserve">The </w:t>
      </w:r>
      <w:r w:rsidRPr="00AC1525" w:rsidR="00320B53">
        <w:rPr>
          <w:color w:val="000000"/>
          <w:sz w:val="22"/>
          <w:szCs w:val="22"/>
        </w:rPr>
        <w:t>Subpart K regulations allow</w:t>
      </w:r>
      <w:r w:rsidRPr="00AC1525" w:rsidR="00320B53">
        <w:rPr>
          <w:sz w:val="22"/>
          <w:szCs w:val="22"/>
        </w:rPr>
        <w:t xml:space="preserve"> </w:t>
      </w:r>
      <w:r w:rsidRPr="00AC1525">
        <w:rPr>
          <w:sz w:val="22"/>
          <w:szCs w:val="22"/>
        </w:rPr>
        <w:t xml:space="preserve">eligible academic entities the flexibility to tailor their laboratory operations to meet their individual </w:t>
      </w:r>
      <w:r w:rsidRPr="00AC1525">
        <w:rPr>
          <w:sz w:val="22"/>
          <w:szCs w:val="22"/>
        </w:rPr>
        <w:t>circumstances, and</w:t>
      </w:r>
      <w:r w:rsidRPr="00AC1525">
        <w:rPr>
          <w:sz w:val="22"/>
          <w:szCs w:val="22"/>
        </w:rPr>
        <w:t xml:space="preserve"> remain protective of human health and the environment.  Performance-based standards for management of hazardous wastes generated in laboratories provide a better opportunity for them to evaluate their overall hazardous waste management program, and tailor it in such a way that facilitates the efficient and safe management of hazardous waste and minimizes burden, while at the same time maintaining a high standard of protection of human health and the environment.  The alternative approach will help each eligible academic entity centralize and coordinate its chemical management practices and achieve sound environmental performance. </w:t>
      </w:r>
    </w:p>
    <w:p w:rsidR="00146A6C" w:rsidRPr="00AC1525" w14:paraId="297F8309" w14:textId="77777777">
      <w:pPr>
        <w:rPr>
          <w:sz w:val="22"/>
          <w:szCs w:val="22"/>
        </w:rPr>
      </w:pPr>
    </w:p>
    <w:p w:rsidR="00146A6C" w:rsidRPr="00AC1525" w14:paraId="1BD2AE17" w14:textId="746F3D1A">
      <w:pPr>
        <w:rPr>
          <w:sz w:val="22"/>
          <w:szCs w:val="22"/>
        </w:rPr>
      </w:pPr>
      <w:r w:rsidRPr="00AC1525">
        <w:rPr>
          <w:sz w:val="22"/>
          <w:szCs w:val="22"/>
        </w:rPr>
        <w:tab/>
        <w:t xml:space="preserve">In addition, eligible academic entities have the choice to manage their hazardous waste in accordance with the alternative set of regulations or remain subject to the existing generator regulations in 40 </w:t>
      </w:r>
      <w:r w:rsidRPr="00AC1525">
        <w:rPr>
          <w:i/>
          <w:iCs/>
          <w:sz w:val="22"/>
          <w:szCs w:val="22"/>
        </w:rPr>
        <w:t>CFR</w:t>
      </w:r>
      <w:r w:rsidRPr="00AC1525">
        <w:rPr>
          <w:sz w:val="22"/>
          <w:szCs w:val="22"/>
        </w:rPr>
        <w:t xml:space="preserve"> 262.</w:t>
      </w:r>
      <w:r w:rsidRPr="00AC1525" w:rsidR="00F2338F">
        <w:rPr>
          <w:sz w:val="22"/>
          <w:szCs w:val="22"/>
        </w:rPr>
        <w:t>15</w:t>
      </w:r>
      <w:r w:rsidRPr="00AC1525">
        <w:rPr>
          <w:sz w:val="22"/>
          <w:szCs w:val="22"/>
        </w:rPr>
        <w:t xml:space="preserve"> (or section 26</w:t>
      </w:r>
      <w:r w:rsidRPr="00AC1525" w:rsidR="00F2338F">
        <w:rPr>
          <w:sz w:val="22"/>
          <w:szCs w:val="22"/>
        </w:rPr>
        <w:t>2.14</w:t>
      </w:r>
      <w:r w:rsidRPr="00AC1525">
        <w:rPr>
          <w:sz w:val="22"/>
          <w:szCs w:val="22"/>
        </w:rPr>
        <w:t xml:space="preserve"> for </w:t>
      </w:r>
      <w:r w:rsidRPr="00AC1525" w:rsidR="00E07FC9">
        <w:rPr>
          <w:sz w:val="22"/>
          <w:szCs w:val="22"/>
        </w:rPr>
        <w:t>very</w:t>
      </w:r>
      <w:r w:rsidRPr="00AC1525">
        <w:rPr>
          <w:sz w:val="22"/>
          <w:szCs w:val="22"/>
        </w:rPr>
        <w:t xml:space="preserve"> small quantity generators).  Thus, they have the option to comply with the set of regulations that best suits their circumstances.</w:t>
      </w:r>
    </w:p>
    <w:p w:rsidR="00146A6C" w:rsidRPr="00AC1525" w14:paraId="7C6D5635" w14:textId="77777777">
      <w:pPr>
        <w:pStyle w:val="Heading2"/>
        <w:rPr>
          <w:rFonts w:ascii="Times New Roman" w:hAnsi="Times New Roman" w:cs="Times New Roman"/>
          <w:i w:val="0"/>
          <w:iCs w:val="0"/>
          <w:sz w:val="22"/>
          <w:szCs w:val="22"/>
        </w:rPr>
      </w:pPr>
      <w:r w:rsidRPr="00AC1525">
        <w:rPr>
          <w:rFonts w:ascii="Times New Roman" w:hAnsi="Times New Roman" w:cs="Times New Roman"/>
          <w:sz w:val="22"/>
          <w:szCs w:val="22"/>
        </w:rPr>
        <w:tab/>
      </w:r>
      <w:bookmarkStart w:id="331" w:name="_Toc194321588"/>
      <w:bookmarkStart w:id="332" w:name="_Toc194395942"/>
      <w:bookmarkStart w:id="333" w:name="_Toc195523828"/>
      <w:bookmarkStart w:id="334" w:name="_Toc195524039"/>
      <w:bookmarkStart w:id="335" w:name="_Toc198053462"/>
      <w:bookmarkStart w:id="336" w:name="_Toc199176365"/>
      <w:bookmarkStart w:id="337" w:name="_Toc201152823"/>
      <w:bookmarkStart w:id="338" w:name="_Toc201153936"/>
      <w:bookmarkStart w:id="339" w:name="_Toc203626041"/>
      <w:bookmarkStart w:id="340" w:name="_Toc203626149"/>
      <w:bookmarkStart w:id="341" w:name="_Toc203711643"/>
      <w:bookmarkStart w:id="342" w:name="_Toc203715790"/>
      <w:bookmarkStart w:id="343" w:name="_Toc434488018"/>
      <w:r w:rsidRPr="00AC1525">
        <w:rPr>
          <w:rFonts w:ascii="Times New Roman" w:hAnsi="Times New Roman" w:cs="Times New Roman"/>
          <w:i w:val="0"/>
          <w:iCs w:val="0"/>
          <w:sz w:val="22"/>
          <w:szCs w:val="22"/>
        </w:rPr>
        <w:t>5(d)</w:t>
      </w:r>
      <w:r w:rsidRPr="00AC1525">
        <w:rPr>
          <w:rFonts w:ascii="Times New Roman" w:hAnsi="Times New Roman" w:cs="Times New Roman"/>
          <w:i w:val="0"/>
          <w:iCs w:val="0"/>
          <w:sz w:val="22"/>
          <w:szCs w:val="22"/>
        </w:rPr>
        <w:tab/>
        <w:t>Collection Schedule</w:t>
      </w:r>
      <w:bookmarkEnd w:id="331"/>
      <w:bookmarkEnd w:id="332"/>
      <w:bookmarkEnd w:id="333"/>
      <w:bookmarkEnd w:id="334"/>
      <w:bookmarkEnd w:id="335"/>
      <w:bookmarkEnd w:id="336"/>
      <w:bookmarkEnd w:id="337"/>
      <w:bookmarkEnd w:id="338"/>
      <w:bookmarkEnd w:id="339"/>
      <w:bookmarkEnd w:id="340"/>
      <w:bookmarkEnd w:id="341"/>
      <w:bookmarkEnd w:id="342"/>
      <w:bookmarkEnd w:id="343"/>
    </w:p>
    <w:p w:rsidR="00146A6C" w:rsidRPr="00AC1525" w14:paraId="099135C1" w14:textId="77777777">
      <w:pPr>
        <w:keepNext/>
        <w:rPr>
          <w:sz w:val="22"/>
          <w:szCs w:val="22"/>
        </w:rPr>
      </w:pPr>
      <w:bookmarkStart w:id="344" w:name="_Toc146594793"/>
    </w:p>
    <w:p w:rsidR="00146A6C" w:rsidRPr="00AC1525" w14:paraId="22C7E264"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720"/>
        <w:rPr>
          <w:rFonts w:ascii="Times New Roman" w:hAnsi="Times New Roman" w:cs="Times New Roman"/>
          <w:b/>
          <w:bCs/>
          <w:sz w:val="22"/>
          <w:szCs w:val="22"/>
        </w:rPr>
      </w:pPr>
      <w:r w:rsidRPr="00AC1525">
        <w:rPr>
          <w:rFonts w:ascii="Times New Roman" w:hAnsi="Times New Roman" w:cs="Times New Roman"/>
          <w:b/>
          <w:bCs/>
          <w:sz w:val="22"/>
          <w:szCs w:val="22"/>
        </w:rPr>
        <w:t>(1)</w:t>
      </w:r>
      <w:r w:rsidRPr="00AC1525">
        <w:rPr>
          <w:rFonts w:ascii="Times New Roman" w:hAnsi="Times New Roman" w:cs="Times New Roman"/>
          <w:b/>
          <w:bCs/>
          <w:sz w:val="22"/>
          <w:szCs w:val="22"/>
        </w:rPr>
        <w:tab/>
        <w:t>Notification of Intent to Comply with Subpart K and Recordkeeping of Agreements</w:t>
      </w:r>
    </w:p>
    <w:p w:rsidR="00146A6C" w:rsidRPr="00AC1525" w14:paraId="6944CF6C"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0FD64BD0" w14:textId="5F2D1540">
      <w:pPr>
        <w:keepNext/>
        <w:ind w:firstLine="720"/>
        <w:rPr>
          <w:sz w:val="22"/>
          <w:szCs w:val="22"/>
        </w:rPr>
      </w:pPr>
      <w:r w:rsidRPr="00AC1525">
        <w:rPr>
          <w:sz w:val="22"/>
          <w:szCs w:val="22"/>
        </w:rPr>
        <w:t xml:space="preserve">Under 40 </w:t>
      </w:r>
      <w:r w:rsidRPr="00AC1525">
        <w:rPr>
          <w:i/>
          <w:sz w:val="22"/>
          <w:szCs w:val="22"/>
        </w:rPr>
        <w:t>CFR</w:t>
      </w:r>
      <w:r w:rsidRPr="00AC1525">
        <w:rPr>
          <w:sz w:val="22"/>
          <w:szCs w:val="22"/>
        </w:rPr>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w:t>
      </w:r>
      <w:r w:rsidRPr="00AC1525" w:rsidR="00E07FC9">
        <w:rPr>
          <w:sz w:val="22"/>
          <w:szCs w:val="22"/>
        </w:rPr>
        <w:t>very</w:t>
      </w:r>
      <w:r w:rsidRPr="00AC1525">
        <w:rPr>
          <w:sz w:val="22"/>
          <w:szCs w:val="22"/>
        </w:rPr>
        <w:t xml:space="preserve">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w:t>
      </w:r>
      <w:r w:rsidRPr="00AC1525" w:rsidR="00E07FC9">
        <w:rPr>
          <w:sz w:val="22"/>
          <w:szCs w:val="22"/>
        </w:rPr>
        <w:t>very</w:t>
      </w:r>
      <w:r w:rsidRPr="00AC1525">
        <w:rPr>
          <w:sz w:val="22"/>
          <w:szCs w:val="22"/>
        </w:rPr>
        <w:t xml:space="preserve"> small quantity generators) that is electing to be subject to the requirements of Subpart K.  This is a one-time notification.</w:t>
      </w:r>
    </w:p>
    <w:p w:rsidR="00146A6C" w:rsidRPr="00AC1525" w14:paraId="2B271B6B" w14:textId="77777777">
      <w:pPr>
        <w:ind w:firstLine="720"/>
        <w:rPr>
          <w:sz w:val="22"/>
          <w:szCs w:val="22"/>
        </w:rPr>
      </w:pPr>
    </w:p>
    <w:p w:rsidR="00146A6C" w:rsidRPr="00AC1525" w14:paraId="16539BD5" w14:textId="77777777">
      <w:pPr>
        <w:ind w:firstLine="720"/>
        <w:rPr>
          <w:sz w:val="22"/>
          <w:szCs w:val="22"/>
        </w:rPr>
      </w:pPr>
      <w:r w:rsidRPr="00AC1525">
        <w:rPr>
          <w:sz w:val="22"/>
          <w:szCs w:val="22"/>
        </w:rPr>
        <w:t xml:space="preserve">Section 262.203(c) provides that an eligible academic entity must keep a copy of the notification on file at the eligible academic entity while its laboratories are subject to Subpart K.  </w:t>
      </w:r>
    </w:p>
    <w:p w:rsidR="00146A6C" w:rsidRPr="00AC1525" w14:paraId="208E0A8E" w14:textId="77777777">
      <w:pPr>
        <w:rPr>
          <w:sz w:val="22"/>
          <w:szCs w:val="22"/>
        </w:rPr>
      </w:pPr>
    </w:p>
    <w:p w:rsidR="00146A6C" w:rsidRPr="00AC1525" w14:paraId="0437AAB4" w14:textId="77777777">
      <w:pPr>
        <w:ind w:firstLine="720"/>
        <w:rPr>
          <w:sz w:val="22"/>
          <w:szCs w:val="22"/>
        </w:rPr>
      </w:pPr>
      <w:r w:rsidRPr="00AC1525">
        <w:rPr>
          <w:sz w:val="22"/>
          <w:szCs w:val="22"/>
        </w:rPr>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146A6C" w:rsidRPr="00AC1525" w14:paraId="669C68F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2"/>
          <w:szCs w:val="22"/>
        </w:rPr>
      </w:pPr>
    </w:p>
    <w:p w:rsidR="00146A6C" w:rsidRPr="00AC1525" w14:paraId="1972F68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Section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146A6C" w:rsidRPr="00AC1525" w14:paraId="6A68D1D0" w14:textId="77777777">
      <w:pPr>
        <w:rPr>
          <w:sz w:val="22"/>
          <w:szCs w:val="22"/>
        </w:rPr>
      </w:pPr>
    </w:p>
    <w:p w:rsidR="00146A6C" w:rsidRPr="00AC1525" w14:paraId="524615EB" w14:textId="77777777">
      <w:pPr>
        <w:rPr>
          <w:sz w:val="22"/>
          <w:szCs w:val="22"/>
        </w:rPr>
      </w:pPr>
      <w:r w:rsidRPr="00AC1525">
        <w:rPr>
          <w:b/>
          <w:bCs/>
          <w:sz w:val="22"/>
          <w:szCs w:val="22"/>
        </w:rPr>
        <w:t>(2)</w:t>
      </w:r>
      <w:r w:rsidRPr="00AC1525">
        <w:rPr>
          <w:b/>
          <w:bCs/>
          <w:sz w:val="22"/>
          <w:szCs w:val="22"/>
        </w:rPr>
        <w:tab/>
        <w:t>Notification of Withdrawal from Subpart K</w:t>
      </w:r>
    </w:p>
    <w:p w:rsidR="00146A6C" w:rsidRPr="00AC1525" w14:paraId="65C3ADCA" w14:textId="77777777">
      <w:pPr>
        <w:rPr>
          <w:sz w:val="22"/>
          <w:szCs w:val="22"/>
        </w:rPr>
      </w:pPr>
    </w:p>
    <w:p w:rsidR="00146A6C" w:rsidRPr="00AC1525" w14:paraId="1EEEFAEC" w14:textId="38EB8EE1">
      <w:pPr>
        <w:ind w:firstLine="720"/>
        <w:rPr>
          <w:sz w:val="22"/>
          <w:szCs w:val="22"/>
        </w:rPr>
      </w:pPr>
      <w:r w:rsidRPr="00AC1525">
        <w:rPr>
          <w:sz w:val="22"/>
          <w:szCs w:val="22"/>
        </w:rPr>
        <w:t xml:space="preserve">Under 40 </w:t>
      </w:r>
      <w:r w:rsidRPr="00AC1525">
        <w:rPr>
          <w:i/>
          <w:sz w:val="22"/>
          <w:szCs w:val="22"/>
        </w:rPr>
        <w:t>CFR</w:t>
      </w:r>
      <w:r w:rsidRPr="00AC1525">
        <w:rPr>
          <w:sz w:val="22"/>
          <w:szCs w:val="22"/>
        </w:rPr>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w:t>
      </w:r>
      <w:r w:rsidRPr="00AC1525" w:rsidR="00E07FC9">
        <w:rPr>
          <w:sz w:val="22"/>
          <w:szCs w:val="22"/>
        </w:rPr>
        <w:t>very</w:t>
      </w:r>
      <w:r w:rsidRPr="00AC1525">
        <w:rPr>
          <w:sz w:val="22"/>
          <w:szCs w:val="22"/>
        </w:rPr>
        <w:t xml:space="preserve"> small quantity generator and does not have an EPA Identification Number must notify for all the laboratories owned by the eligible academic entity that are on-site.  An eligible academic entity must submit a separate notification (Site Identification Form) for each EPA Identification Number (or site, for </w:t>
      </w:r>
      <w:r w:rsidRPr="00AC1525" w:rsidR="00E07FC9">
        <w:rPr>
          <w:sz w:val="22"/>
          <w:szCs w:val="22"/>
        </w:rPr>
        <w:t>very</w:t>
      </w:r>
      <w:r w:rsidRPr="00AC1525">
        <w:rPr>
          <w:sz w:val="22"/>
          <w:szCs w:val="22"/>
        </w:rPr>
        <w:t xml:space="preserve"> small quantity generators) that is withdrawing from the requirements of Subpart K.  This is a one-time notification.</w:t>
      </w:r>
    </w:p>
    <w:p w:rsidR="00146A6C" w:rsidRPr="00AC1525" w14:paraId="511CEF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5E256AB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AC1525">
        <w:rPr>
          <w:rFonts w:ascii="Times New Roman" w:hAnsi="Times New Roman" w:cs="Times New Roman"/>
          <w:sz w:val="22"/>
          <w:szCs w:val="22"/>
        </w:rPr>
        <w:tab/>
        <w:t>Section 262.204(c) provides that an eligible academic entity must keep a copy of the withdrawal notice on file at the eligible academic entity for three years from the date of the notification.</w:t>
      </w:r>
    </w:p>
    <w:p w:rsidR="00146A6C" w:rsidRPr="00AC1525" w14:paraId="5C7AE403" w14:textId="77777777">
      <w:pPr>
        <w:rPr>
          <w:sz w:val="22"/>
          <w:szCs w:val="22"/>
        </w:rPr>
      </w:pPr>
    </w:p>
    <w:p w:rsidR="00146A6C" w:rsidRPr="00AC1525" w14:paraId="718A2D84"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2"/>
          <w:szCs w:val="22"/>
        </w:rPr>
      </w:pPr>
      <w:r w:rsidRPr="00AC1525">
        <w:rPr>
          <w:rFonts w:ascii="Times New Roman" w:hAnsi="Times New Roman" w:cs="Times New Roman"/>
          <w:b/>
          <w:bCs/>
          <w:sz w:val="22"/>
          <w:szCs w:val="22"/>
        </w:rPr>
        <w:t>(3)</w:t>
      </w:r>
      <w:r w:rsidRPr="00AC1525">
        <w:rPr>
          <w:rFonts w:ascii="Times New Roman" w:hAnsi="Times New Roman" w:cs="Times New Roman"/>
          <w:b/>
          <w:bCs/>
          <w:sz w:val="22"/>
          <w:szCs w:val="22"/>
        </w:rPr>
        <w:tab/>
        <w:t>Labeling of Containers of Unwanted Material in the Laboratory</w:t>
      </w:r>
    </w:p>
    <w:p w:rsidR="00146A6C" w:rsidRPr="00AC1525" w14:paraId="5D010668"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0B5F9B87" w14:textId="77777777">
      <w:pPr>
        <w:keepNext/>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262.206(a) requires that specified information must be affixed or attached to, or otherwise associated with, the container while in the laboratory.</w:t>
      </w:r>
    </w:p>
    <w:p w:rsidR="00146A6C" w:rsidRPr="00AC1525" w14:paraId="6DDE320D" w14:textId="77777777">
      <w:pPr>
        <w:ind w:firstLine="720"/>
        <w:rPr>
          <w:sz w:val="22"/>
          <w:szCs w:val="22"/>
        </w:rPr>
      </w:pPr>
    </w:p>
    <w:p w:rsidR="00146A6C" w:rsidRPr="00AC1525" w14:paraId="00331CC8" w14:textId="77777777">
      <w:pPr>
        <w:keepNext/>
        <w:rPr>
          <w:sz w:val="22"/>
          <w:szCs w:val="22"/>
        </w:rPr>
      </w:pPr>
      <w:r w:rsidRPr="00AC1525">
        <w:rPr>
          <w:b/>
          <w:bCs/>
          <w:sz w:val="22"/>
          <w:szCs w:val="22"/>
        </w:rPr>
        <w:t>(4)</w:t>
      </w:r>
      <w:r w:rsidRPr="00AC1525">
        <w:rPr>
          <w:b/>
          <w:bCs/>
          <w:sz w:val="22"/>
          <w:szCs w:val="22"/>
        </w:rPr>
        <w:tab/>
        <w:t>Training</w:t>
      </w:r>
    </w:p>
    <w:p w:rsidR="00146A6C" w:rsidRPr="00AC1525" w14:paraId="43E3C21A" w14:textId="77777777">
      <w:pPr>
        <w:keepNext/>
        <w:rPr>
          <w:sz w:val="22"/>
          <w:szCs w:val="22"/>
        </w:rPr>
      </w:pPr>
    </w:p>
    <w:p w:rsidR="00146A6C" w:rsidRPr="00AC1525" w14:paraId="139A480D" w14:textId="77777777">
      <w:pPr>
        <w:keepNext/>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262.207 provides that an eligible academic entity must provide training to all individuals working in a laboratory at that eligible academic entity, as specified.  </w:t>
      </w:r>
    </w:p>
    <w:p w:rsidR="00146A6C" w:rsidRPr="00AC1525" w14:paraId="20CACC1A" w14:textId="77777777">
      <w:pPr>
        <w:ind w:firstLine="720"/>
        <w:rPr>
          <w:sz w:val="22"/>
          <w:szCs w:val="22"/>
        </w:rPr>
      </w:pPr>
    </w:p>
    <w:p w:rsidR="00146A6C" w:rsidRPr="00AC1525" w14:paraId="1F04CFD3" w14:textId="77777777">
      <w:pPr>
        <w:ind w:firstLine="720"/>
        <w:rPr>
          <w:sz w:val="22"/>
          <w:szCs w:val="22"/>
        </w:rPr>
      </w:pPr>
      <w:r w:rsidRPr="00AC1525">
        <w:rPr>
          <w:sz w:val="22"/>
          <w:szCs w:val="22"/>
        </w:rPr>
        <w:t xml:space="preserve">Section 262.207(c) provides that an eligible academic entity that is a large quantity generator must maintain documentation demonstrating training for all laboratory workers.  The information must be retained for the durations specified in section 265.16(e).  [Note: Existing 40 </w:t>
      </w:r>
      <w:r w:rsidRPr="00AC1525">
        <w:rPr>
          <w:i/>
          <w:sz w:val="22"/>
          <w:szCs w:val="22"/>
        </w:rPr>
        <w:t>CFR</w:t>
      </w:r>
      <w:r w:rsidRPr="00AC1525">
        <w:rPr>
          <w:sz w:val="22"/>
          <w:szCs w:val="22"/>
        </w:rPr>
        <w:t xml:space="preserve"> 265.16(e) requires that 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rsidR="00146A6C" w:rsidRPr="00AC1525" w14:paraId="16A584FB" w14:textId="77777777">
      <w:pPr>
        <w:rPr>
          <w:sz w:val="22"/>
          <w:szCs w:val="22"/>
        </w:rPr>
      </w:pPr>
    </w:p>
    <w:p w:rsidR="00146A6C" w:rsidRPr="00AC1525" w14:paraId="66EB54EB" w14:textId="77777777">
      <w:pPr>
        <w:keepNext/>
        <w:rPr>
          <w:b/>
          <w:bCs/>
          <w:sz w:val="22"/>
          <w:szCs w:val="22"/>
        </w:rPr>
      </w:pPr>
      <w:r w:rsidRPr="00AC1525">
        <w:rPr>
          <w:b/>
          <w:bCs/>
          <w:sz w:val="22"/>
          <w:szCs w:val="22"/>
        </w:rPr>
        <w:t>(5)</w:t>
      </w:r>
      <w:r w:rsidRPr="00AC1525">
        <w:rPr>
          <w:b/>
          <w:bCs/>
          <w:sz w:val="22"/>
          <w:szCs w:val="22"/>
        </w:rPr>
        <w:tab/>
        <w:t>Removing Containers of Unwanted Material from the Laboratory</w:t>
      </w:r>
    </w:p>
    <w:p w:rsidR="00146A6C" w:rsidRPr="00AC1525" w14:paraId="6D259D00" w14:textId="77777777">
      <w:pPr>
        <w:keepNext/>
        <w:rPr>
          <w:sz w:val="22"/>
          <w:szCs w:val="22"/>
        </w:rPr>
      </w:pPr>
    </w:p>
    <w:p w:rsidR="00146A6C" w:rsidRPr="00AC1525" w14:paraId="5704FCD7" w14:textId="77777777">
      <w:pPr>
        <w:keepNext/>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262.208(d)(1)(</w:t>
      </w:r>
      <w:r w:rsidRPr="00AC1525">
        <w:rPr>
          <w:sz w:val="22"/>
          <w:szCs w:val="22"/>
        </w:rPr>
        <w:t>i</w:t>
      </w:r>
      <w:r w:rsidRPr="00AC1525">
        <w:rPr>
          <w:sz w:val="22"/>
          <w:szCs w:val="22"/>
        </w:rPr>
        <w:t xml:space="preserve">) provides that, if a laboratory accumulates more than 55 gallons of unwanted material before the regularly scheduled removal, the eligible academic entity must ensure that all containers of unwanted material (including reactive acutely hazardous unwanted </w:t>
      </w:r>
      <w:r w:rsidRPr="00AC1525">
        <w:rPr>
          <w:sz w:val="22"/>
          <w:szCs w:val="22"/>
        </w:rPr>
        <w:t>material) have the date that 55 gallons is exceeded on the label that is associated with the container.</w:t>
      </w:r>
    </w:p>
    <w:p w:rsidR="00146A6C" w:rsidRPr="00AC1525" w14:paraId="7564970C" w14:textId="77777777">
      <w:pPr>
        <w:ind w:firstLine="720"/>
        <w:rPr>
          <w:sz w:val="22"/>
          <w:szCs w:val="22"/>
        </w:rPr>
      </w:pPr>
    </w:p>
    <w:p w:rsidR="00146A6C" w:rsidRPr="00AC1525" w14:paraId="2F03AA7C" w14:textId="02EF9525">
      <w:pPr>
        <w:rPr>
          <w:sz w:val="22"/>
          <w:szCs w:val="22"/>
        </w:rPr>
      </w:pPr>
      <w:r w:rsidRPr="00AC1525">
        <w:rPr>
          <w:sz w:val="22"/>
          <w:szCs w:val="22"/>
        </w:rPr>
        <w:tab/>
        <w:t>Section 262.208(d)(2)(</w:t>
      </w:r>
      <w:r w:rsidRPr="00AC1525">
        <w:rPr>
          <w:sz w:val="22"/>
          <w:szCs w:val="22"/>
        </w:rPr>
        <w:t>i</w:t>
      </w:r>
      <w:r w:rsidRPr="00AC1525">
        <w:rPr>
          <w:sz w:val="22"/>
          <w:szCs w:val="22"/>
        </w:rPr>
        <w:t xml:space="preserve">) provides that, if a laboratory accumulates more than 1 quart of </w:t>
      </w:r>
      <w:r w:rsidRPr="00AC1525" w:rsidR="00553EA7">
        <w:rPr>
          <w:sz w:val="22"/>
          <w:szCs w:val="22"/>
        </w:rPr>
        <w:t xml:space="preserve">liquid </w:t>
      </w:r>
      <w:r w:rsidRPr="00AC1525">
        <w:rPr>
          <w:sz w:val="22"/>
          <w:szCs w:val="22"/>
        </w:rPr>
        <w:t xml:space="preserve">reactive acutely hazardous unwanted material </w:t>
      </w:r>
      <w:r w:rsidRPr="00AC1525" w:rsidR="00553EA7">
        <w:rPr>
          <w:sz w:val="22"/>
          <w:szCs w:val="22"/>
        </w:rPr>
        <w:t xml:space="preserve">(or 1 kg of solid reactive acutely hazardous unwanted material) </w:t>
      </w:r>
      <w:r w:rsidRPr="00AC1525">
        <w:rPr>
          <w:sz w:val="22"/>
          <w:szCs w:val="22"/>
        </w:rPr>
        <w:t>before the regularly scheduled removal, then the eligible academic entity must ensure that all containers of reactive acutely hazardous unwanted material have the date that 1 quart</w:t>
      </w:r>
      <w:r w:rsidRPr="00AC1525" w:rsidR="00553EA7">
        <w:rPr>
          <w:sz w:val="22"/>
          <w:szCs w:val="22"/>
        </w:rPr>
        <w:t xml:space="preserve"> or 1 kg</w:t>
      </w:r>
      <w:r w:rsidRPr="00AC1525">
        <w:rPr>
          <w:sz w:val="22"/>
          <w:szCs w:val="22"/>
        </w:rPr>
        <w:t xml:space="preserve"> is exceeded on the label that is associated with the container.</w:t>
      </w:r>
    </w:p>
    <w:p w:rsidR="00146A6C" w:rsidRPr="00AC1525" w14:paraId="3AB02C17" w14:textId="77777777">
      <w:pPr>
        <w:ind w:firstLine="720"/>
        <w:rPr>
          <w:sz w:val="22"/>
          <w:szCs w:val="22"/>
        </w:rPr>
      </w:pPr>
    </w:p>
    <w:p w:rsidR="00146A6C" w:rsidRPr="00AC1525" w14:paraId="13984E6B" w14:textId="77777777">
      <w:pPr>
        <w:ind w:left="720" w:hanging="720"/>
        <w:rPr>
          <w:b/>
          <w:bCs/>
          <w:sz w:val="22"/>
          <w:szCs w:val="22"/>
        </w:rPr>
      </w:pPr>
      <w:r w:rsidRPr="00AC1525">
        <w:rPr>
          <w:b/>
          <w:bCs/>
          <w:sz w:val="22"/>
          <w:szCs w:val="22"/>
        </w:rPr>
        <w:t>(6)</w:t>
      </w:r>
      <w:r w:rsidRPr="00AC1525">
        <w:rPr>
          <w:b/>
          <w:bCs/>
          <w:sz w:val="22"/>
          <w:szCs w:val="22"/>
        </w:rPr>
        <w:tab/>
        <w:t>Where and When to Make the Hazardous Waste Determination and Where to Send Containers of Unwanted Material</w:t>
      </w:r>
    </w:p>
    <w:p w:rsidR="00146A6C" w:rsidRPr="00AC1525" w14:paraId="55050D1A" w14:textId="77777777">
      <w:pPr>
        <w:ind w:left="720" w:hanging="720"/>
        <w:rPr>
          <w:sz w:val="22"/>
          <w:szCs w:val="22"/>
        </w:rPr>
      </w:pPr>
    </w:p>
    <w:p w:rsidR="00146A6C" w:rsidRPr="00AC1525" w14:paraId="3DD47B0F" w14:textId="77777777">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262.209(a) establishes standards for where and when large quantity generators and small quantity generators may make hazardous waste determinations.  An eligible academic entity must ensure that a trained professional makes a hazardous waste determination, pursuant to section 262.11, for unwanted material in any of the following areas:</w:t>
      </w:r>
    </w:p>
    <w:p w:rsidR="00146A6C" w:rsidRPr="00AC1525" w14:paraId="1B81B569" w14:textId="77777777">
      <w:pPr>
        <w:rPr>
          <w:sz w:val="22"/>
          <w:szCs w:val="22"/>
        </w:rPr>
      </w:pPr>
    </w:p>
    <w:p w:rsidR="00146A6C" w:rsidRPr="00AC1525" w14:paraId="5A193125" w14:textId="77777777">
      <w:pPr>
        <w:numPr>
          <w:ilvl w:val="0"/>
          <w:numId w:val="3"/>
        </w:numPr>
        <w:tabs>
          <w:tab w:val="clear" w:pos="2160"/>
        </w:tabs>
        <w:ind w:left="1440"/>
        <w:rPr>
          <w:sz w:val="22"/>
          <w:szCs w:val="22"/>
        </w:rPr>
      </w:pPr>
      <w:r w:rsidRPr="00AC1525">
        <w:rPr>
          <w:sz w:val="22"/>
          <w:szCs w:val="22"/>
        </w:rPr>
        <w:t xml:space="preserve">In the laboratory before the unwanted material is removed from the laboratory, in accordance with section 262.210. </w:t>
      </w:r>
    </w:p>
    <w:p w:rsidR="00146A6C" w:rsidRPr="00AC1525" w14:paraId="137F3488" w14:textId="77777777">
      <w:pPr>
        <w:ind w:left="1440" w:hanging="720"/>
        <w:rPr>
          <w:sz w:val="22"/>
          <w:szCs w:val="22"/>
        </w:rPr>
      </w:pPr>
    </w:p>
    <w:p w:rsidR="00146A6C" w:rsidRPr="00AC1525" w14:paraId="120F01F4" w14:textId="77777777">
      <w:pPr>
        <w:numPr>
          <w:ilvl w:val="0"/>
          <w:numId w:val="3"/>
        </w:numPr>
        <w:tabs>
          <w:tab w:val="clear" w:pos="2160"/>
        </w:tabs>
        <w:ind w:left="1440"/>
        <w:rPr>
          <w:sz w:val="22"/>
          <w:szCs w:val="22"/>
        </w:rPr>
      </w:pPr>
      <w:r w:rsidRPr="00AC1525">
        <w:rPr>
          <w:sz w:val="22"/>
          <w:szCs w:val="22"/>
        </w:rPr>
        <w:t xml:space="preserve">Within 4 calendar days of arriving at an on-site central accumulation area, in accordance with section 262.211. </w:t>
      </w:r>
    </w:p>
    <w:p w:rsidR="00146A6C" w:rsidRPr="00AC1525" w14:paraId="64CA9820" w14:textId="77777777">
      <w:pPr>
        <w:ind w:left="1440" w:hanging="720"/>
        <w:rPr>
          <w:sz w:val="22"/>
          <w:szCs w:val="22"/>
        </w:rPr>
      </w:pPr>
    </w:p>
    <w:p w:rsidR="00146A6C" w:rsidRPr="00AC1525" w14:paraId="4B3ADD17" w14:textId="77777777">
      <w:pPr>
        <w:numPr>
          <w:ilvl w:val="0"/>
          <w:numId w:val="3"/>
        </w:numPr>
        <w:tabs>
          <w:tab w:val="clear" w:pos="2160"/>
        </w:tabs>
        <w:ind w:left="1440"/>
        <w:rPr>
          <w:sz w:val="22"/>
          <w:szCs w:val="22"/>
        </w:rPr>
      </w:pPr>
      <w:r w:rsidRPr="00AC1525">
        <w:rPr>
          <w:sz w:val="22"/>
          <w:szCs w:val="22"/>
        </w:rPr>
        <w:t xml:space="preserve">Within 4 calendar days of arriving at an on-site treatment, </w:t>
      </w:r>
      <w:r w:rsidRPr="00AC1525">
        <w:rPr>
          <w:sz w:val="22"/>
          <w:szCs w:val="22"/>
        </w:rPr>
        <w:t>storage</w:t>
      </w:r>
      <w:r w:rsidRPr="00AC1525">
        <w:rPr>
          <w:sz w:val="22"/>
          <w:szCs w:val="22"/>
        </w:rPr>
        <w:t xml:space="preserve"> or disposal facility, in accordance with section 262.212. </w:t>
      </w:r>
    </w:p>
    <w:p w:rsidR="00146A6C" w:rsidRPr="00AC1525" w14:paraId="2C40908D" w14:textId="77777777">
      <w:pPr>
        <w:rPr>
          <w:sz w:val="22"/>
          <w:szCs w:val="22"/>
        </w:rPr>
      </w:pPr>
    </w:p>
    <w:p w:rsidR="00146A6C" w:rsidRPr="00AC1525" w14:paraId="43F638DB" w14:textId="3E6E4B45">
      <w:pPr>
        <w:ind w:firstLine="720"/>
        <w:rPr>
          <w:sz w:val="22"/>
          <w:szCs w:val="22"/>
        </w:rPr>
      </w:pPr>
      <w:r w:rsidRPr="00AC1525">
        <w:rPr>
          <w:sz w:val="22"/>
          <w:szCs w:val="22"/>
        </w:rPr>
        <w:t xml:space="preserve">Section 262.209(b) establishes standards for where and when </w:t>
      </w:r>
      <w:r w:rsidRPr="00AC1525" w:rsidR="00E07FC9">
        <w:rPr>
          <w:sz w:val="22"/>
          <w:szCs w:val="22"/>
        </w:rPr>
        <w:t>very</w:t>
      </w:r>
      <w:r w:rsidRPr="00AC1525">
        <w:rPr>
          <w:sz w:val="22"/>
          <w:szCs w:val="22"/>
        </w:rPr>
        <w:t xml:space="preserve"> small quantity generators may make hazardous waste determinations.  An eligible academic entity must ensure that a trained professional makes a hazardous waste determination, pursuant to section 262.11</w:t>
      </w:r>
      <w:r w:rsidRPr="00AC1525" w:rsidR="00943244">
        <w:rPr>
          <w:sz w:val="22"/>
          <w:szCs w:val="22"/>
        </w:rPr>
        <w:t>(a) through (d)</w:t>
      </w:r>
      <w:r w:rsidRPr="00AC1525">
        <w:rPr>
          <w:sz w:val="22"/>
          <w:szCs w:val="22"/>
        </w:rPr>
        <w:t xml:space="preserve">, for unwanted material in the laboratory before the unwanted material is removed from the laboratory, in accordance with 262.210.  </w:t>
      </w:r>
    </w:p>
    <w:p w:rsidR="00146A6C" w:rsidRPr="00AC1525" w14:paraId="57EFF5E9" w14:textId="77777777">
      <w:pPr>
        <w:rPr>
          <w:sz w:val="22"/>
          <w:szCs w:val="22"/>
        </w:rPr>
      </w:pPr>
    </w:p>
    <w:p w:rsidR="00146A6C" w:rsidRPr="00AC1525" w14:paraId="2BB9C902" w14:textId="77777777">
      <w:pPr>
        <w:keepNext/>
        <w:rPr>
          <w:b/>
          <w:bCs/>
          <w:sz w:val="22"/>
          <w:szCs w:val="22"/>
        </w:rPr>
      </w:pPr>
      <w:r w:rsidRPr="00AC1525">
        <w:rPr>
          <w:b/>
          <w:bCs/>
          <w:sz w:val="22"/>
          <w:szCs w:val="22"/>
        </w:rPr>
        <w:t>(7)</w:t>
      </w:r>
      <w:r w:rsidRPr="00AC1525">
        <w:rPr>
          <w:b/>
          <w:bCs/>
          <w:sz w:val="22"/>
          <w:szCs w:val="22"/>
        </w:rPr>
        <w:tab/>
        <w:t>Making the Hazardous Waste Determination in the Laboratory</w:t>
      </w:r>
    </w:p>
    <w:p w:rsidR="00146A6C" w:rsidRPr="00AC1525" w14:paraId="116111A5" w14:textId="77777777">
      <w:pPr>
        <w:keepNext/>
        <w:rPr>
          <w:sz w:val="22"/>
          <w:szCs w:val="22"/>
        </w:rPr>
      </w:pPr>
    </w:p>
    <w:p w:rsidR="00146A6C" w:rsidRPr="00AC1525" w14:paraId="53EE9818" w14:textId="2B3DDA6A">
      <w:pPr>
        <w:keepNext/>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262.210(a) requires that a trained professional must make the hazardous waste determination, pursuant to section 262.11</w:t>
      </w:r>
      <w:r w:rsidRPr="00AC1525" w:rsidR="00943244">
        <w:rPr>
          <w:sz w:val="22"/>
          <w:szCs w:val="22"/>
        </w:rPr>
        <w:t>(a) through (d)</w:t>
      </w:r>
      <w:r w:rsidRPr="00AC1525">
        <w:rPr>
          <w:sz w:val="22"/>
          <w:szCs w:val="22"/>
        </w:rPr>
        <w:t>, before the unwanted material is removed from the laboratory.</w:t>
      </w:r>
    </w:p>
    <w:p w:rsidR="00146A6C" w:rsidRPr="00AC1525" w14:paraId="034DB08E" w14:textId="77777777">
      <w:pPr>
        <w:rPr>
          <w:sz w:val="22"/>
          <w:szCs w:val="22"/>
        </w:rPr>
      </w:pPr>
    </w:p>
    <w:p w:rsidR="00146A6C" w:rsidRPr="00AC1525" w14:paraId="567AF746" w14:textId="77777777">
      <w:pPr>
        <w:rPr>
          <w:sz w:val="22"/>
          <w:szCs w:val="22"/>
        </w:rPr>
      </w:pPr>
      <w:r w:rsidRPr="00AC1525">
        <w:rPr>
          <w:sz w:val="22"/>
          <w:szCs w:val="22"/>
        </w:rPr>
        <w:tab/>
        <w:t xml:space="preserve">Section 262.210(b)(2) provides that, if an unwanted material is a hazardous waste, the eligible academic entity must write the appropriate hazardous waste codes(s) on the label that is associated with the container before the hazardous waste may be transported off-site.  </w:t>
      </w:r>
    </w:p>
    <w:p w:rsidR="00146A6C" w:rsidRPr="00AC1525" w14:paraId="466D2168" w14:textId="77777777">
      <w:pPr>
        <w:rPr>
          <w:sz w:val="22"/>
          <w:szCs w:val="22"/>
        </w:rPr>
      </w:pPr>
    </w:p>
    <w:p w:rsidR="00146A6C" w:rsidRPr="00AC1525" w14:paraId="63A76F9E" w14:textId="77777777">
      <w:pPr>
        <w:ind w:left="720" w:hanging="720"/>
        <w:rPr>
          <w:b/>
          <w:bCs/>
          <w:sz w:val="22"/>
          <w:szCs w:val="22"/>
        </w:rPr>
      </w:pPr>
      <w:r w:rsidRPr="00AC1525">
        <w:rPr>
          <w:b/>
          <w:bCs/>
          <w:sz w:val="22"/>
          <w:szCs w:val="22"/>
        </w:rPr>
        <w:t>(8)</w:t>
      </w:r>
      <w:r w:rsidRPr="00AC1525">
        <w:rPr>
          <w:b/>
          <w:bCs/>
          <w:sz w:val="22"/>
          <w:szCs w:val="22"/>
        </w:rPr>
        <w:tab/>
        <w:t>Making the Hazardous Waste Determination in an On-site Central Accumulation Area</w:t>
      </w:r>
    </w:p>
    <w:p w:rsidR="00146A6C" w:rsidRPr="00AC1525" w14:paraId="2971DC43" w14:textId="77777777">
      <w:pPr>
        <w:rPr>
          <w:sz w:val="22"/>
          <w:szCs w:val="22"/>
        </w:rPr>
      </w:pPr>
    </w:p>
    <w:p w:rsidR="00146A6C" w:rsidRPr="00AC1525" w14:paraId="101BC458" w14:textId="5062250B">
      <w:pPr>
        <w:rPr>
          <w:sz w:val="22"/>
          <w:szCs w:val="22"/>
        </w:rPr>
      </w:pPr>
      <w:r w:rsidRPr="00AC1525">
        <w:rPr>
          <w:sz w:val="22"/>
          <w:szCs w:val="22"/>
        </w:rPr>
        <w:tab/>
        <w:t xml:space="preserve">40 </w:t>
      </w:r>
      <w:r w:rsidRPr="00AC1525">
        <w:rPr>
          <w:i/>
          <w:sz w:val="22"/>
          <w:szCs w:val="22"/>
        </w:rPr>
        <w:t>CFR</w:t>
      </w:r>
      <w:r w:rsidRPr="00AC1525">
        <w:rPr>
          <w:sz w:val="22"/>
          <w:szCs w:val="22"/>
        </w:rPr>
        <w:t xml:space="preserve"> 262.211(d) requires that a trained professional must determine, pursuant to section 262.11</w:t>
      </w:r>
      <w:r w:rsidRPr="00AC1525" w:rsidR="00943244">
        <w:rPr>
          <w:sz w:val="22"/>
          <w:szCs w:val="22"/>
        </w:rPr>
        <w:t>(a) through (d</w:t>
      </w:r>
      <w:r w:rsidRPr="00AC1525" w:rsidR="00943244">
        <w:rPr>
          <w:sz w:val="22"/>
          <w:szCs w:val="22"/>
        </w:rPr>
        <w:t>)</w:t>
      </w:r>
      <w:r w:rsidRPr="00AC1525">
        <w:rPr>
          <w:sz w:val="22"/>
          <w:szCs w:val="22"/>
        </w:rPr>
        <w:t>, if</w:t>
      </w:r>
      <w:r w:rsidRPr="00AC1525">
        <w:rPr>
          <w:sz w:val="22"/>
          <w:szCs w:val="22"/>
        </w:rPr>
        <w:t xml:space="preserve"> the unwanted material is a hazardous waste within 4 calendar days of the unwanted materials’ arrival at the on-site central accumulation area.</w:t>
      </w:r>
    </w:p>
    <w:p w:rsidR="00146A6C" w:rsidRPr="00AC1525" w14:paraId="14481AD2" w14:textId="77777777">
      <w:pPr>
        <w:rPr>
          <w:sz w:val="22"/>
          <w:szCs w:val="22"/>
        </w:rPr>
      </w:pPr>
    </w:p>
    <w:p w:rsidR="00146A6C" w:rsidRPr="00AC1525" w14:paraId="2D399C45" w14:textId="77777777">
      <w:pPr>
        <w:rPr>
          <w:sz w:val="22"/>
          <w:szCs w:val="22"/>
        </w:rPr>
      </w:pPr>
      <w:r w:rsidRPr="00AC1525">
        <w:rPr>
          <w:sz w:val="22"/>
          <w:szCs w:val="22"/>
        </w:rPr>
        <w:tab/>
        <w:t>Section 262.211(e)(2)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Pr="00AC1525" w14:paraId="162CBC77" w14:textId="77777777">
      <w:pPr>
        <w:rPr>
          <w:sz w:val="22"/>
          <w:szCs w:val="22"/>
        </w:rPr>
      </w:pPr>
    </w:p>
    <w:p w:rsidR="00146A6C" w:rsidRPr="00AC1525" w14:paraId="4D46D9F3" w14:textId="77777777">
      <w:pPr>
        <w:ind w:left="720" w:hanging="720"/>
        <w:rPr>
          <w:b/>
          <w:bCs/>
          <w:sz w:val="22"/>
          <w:szCs w:val="22"/>
        </w:rPr>
      </w:pPr>
      <w:r w:rsidRPr="00AC1525">
        <w:rPr>
          <w:b/>
          <w:bCs/>
          <w:sz w:val="22"/>
          <w:szCs w:val="22"/>
        </w:rPr>
        <w:t>(9)</w:t>
      </w:r>
      <w:r w:rsidRPr="00AC1525">
        <w:rPr>
          <w:b/>
          <w:bCs/>
          <w:sz w:val="22"/>
          <w:szCs w:val="22"/>
        </w:rPr>
        <w:tab/>
        <w:t>Making the Hazardous Waste Determination at an On-site Interim Status or Permitted Treatment, Storage, or Disposal Facility</w:t>
      </w:r>
    </w:p>
    <w:p w:rsidR="00146A6C" w:rsidRPr="00AC1525" w14:paraId="32242C60" w14:textId="77777777">
      <w:pPr>
        <w:rPr>
          <w:sz w:val="22"/>
          <w:szCs w:val="22"/>
        </w:rPr>
      </w:pPr>
    </w:p>
    <w:p w:rsidR="00146A6C" w:rsidRPr="00AC1525" w14:paraId="30C72456" w14:textId="29549FAE">
      <w:pPr>
        <w:ind w:firstLine="720"/>
        <w:rPr>
          <w:sz w:val="22"/>
          <w:szCs w:val="22"/>
        </w:rPr>
      </w:pPr>
      <w:r w:rsidRPr="00AC1525">
        <w:rPr>
          <w:sz w:val="22"/>
          <w:szCs w:val="22"/>
        </w:rPr>
        <w:t xml:space="preserve">40 </w:t>
      </w:r>
      <w:r w:rsidRPr="00AC1525">
        <w:rPr>
          <w:i/>
          <w:sz w:val="22"/>
          <w:szCs w:val="22"/>
        </w:rPr>
        <w:t>CFR</w:t>
      </w:r>
      <w:r w:rsidRPr="00AC1525">
        <w:rPr>
          <w:sz w:val="22"/>
          <w:szCs w:val="22"/>
        </w:rPr>
        <w:t xml:space="preserve"> 262.212(d) requires that a trained professional must determine, pursuant to section 262.11</w:t>
      </w:r>
      <w:r w:rsidRPr="00AC1525" w:rsidR="00943244">
        <w:rPr>
          <w:sz w:val="22"/>
          <w:szCs w:val="22"/>
        </w:rPr>
        <w:t>(a) through (d)</w:t>
      </w:r>
      <w:r w:rsidRPr="00AC1525">
        <w:rPr>
          <w:sz w:val="22"/>
          <w:szCs w:val="22"/>
        </w:rPr>
        <w:t xml:space="preserve">, if the unwanted material is a hazardous waste within 4 calendar days of the unwanted materials’ arrival at an on-site interim status or permitted treatment, </w:t>
      </w:r>
      <w:r w:rsidRPr="00AC1525">
        <w:rPr>
          <w:sz w:val="22"/>
          <w:szCs w:val="22"/>
        </w:rPr>
        <w:t>storage</w:t>
      </w:r>
      <w:r w:rsidRPr="00AC1525">
        <w:rPr>
          <w:sz w:val="22"/>
          <w:szCs w:val="22"/>
        </w:rPr>
        <w:t xml:space="preserve"> or disposal facility.</w:t>
      </w:r>
    </w:p>
    <w:p w:rsidR="00146A6C" w:rsidRPr="00AC1525" w14:paraId="62C9B954" w14:textId="77777777">
      <w:pPr>
        <w:rPr>
          <w:sz w:val="22"/>
          <w:szCs w:val="22"/>
        </w:rPr>
      </w:pPr>
    </w:p>
    <w:p w:rsidR="00146A6C" w:rsidRPr="00AC1525" w14:paraId="6FD7AD4B" w14:textId="77777777">
      <w:pPr>
        <w:rPr>
          <w:sz w:val="22"/>
          <w:szCs w:val="22"/>
        </w:rPr>
      </w:pPr>
      <w:r w:rsidRPr="00AC1525">
        <w:rPr>
          <w:sz w:val="22"/>
          <w:szCs w:val="22"/>
        </w:rPr>
        <w:tab/>
        <w:t>Section 262.212(e)(2) provides that, if the unwanted material is a hazardous waste, the eligible academic entity must write the appropriate hazardous waste code(s) on the container label that is associated with the container before the hazardous waste may be treated or disposed on-site or transported off-site.</w:t>
      </w:r>
    </w:p>
    <w:p w:rsidR="00146A6C" w:rsidRPr="00AC1525" w14:paraId="40201806" w14:textId="77777777">
      <w:pPr>
        <w:rPr>
          <w:sz w:val="22"/>
          <w:szCs w:val="22"/>
        </w:rPr>
      </w:pPr>
    </w:p>
    <w:p w:rsidR="00146A6C" w:rsidRPr="00AC1525" w14:paraId="2A4668BC" w14:textId="77777777">
      <w:pPr>
        <w:keepNext/>
        <w:rPr>
          <w:sz w:val="22"/>
          <w:szCs w:val="22"/>
        </w:rPr>
      </w:pPr>
      <w:r w:rsidRPr="00AC1525">
        <w:rPr>
          <w:b/>
          <w:bCs/>
          <w:sz w:val="22"/>
          <w:szCs w:val="22"/>
        </w:rPr>
        <w:t>(10)</w:t>
      </w:r>
      <w:r w:rsidRPr="00AC1525">
        <w:rPr>
          <w:b/>
          <w:bCs/>
          <w:sz w:val="22"/>
          <w:szCs w:val="22"/>
        </w:rPr>
        <w:tab/>
        <w:t>Laboratory Clean-outs</w:t>
      </w:r>
    </w:p>
    <w:p w:rsidR="00146A6C" w:rsidRPr="00AC1525" w14:paraId="6A2CC3DE" w14:textId="77777777">
      <w:pPr>
        <w:keepNext/>
        <w:rPr>
          <w:sz w:val="22"/>
          <w:szCs w:val="22"/>
        </w:rPr>
      </w:pPr>
    </w:p>
    <w:p w:rsidR="00146A6C" w:rsidRPr="00AC1525" w14:paraId="5263181B" w14:textId="77777777">
      <w:pPr>
        <w:keepNext/>
        <w:rPr>
          <w:sz w:val="22"/>
          <w:szCs w:val="22"/>
        </w:rPr>
      </w:pPr>
      <w:r w:rsidRPr="00AC1525">
        <w:rPr>
          <w:sz w:val="22"/>
          <w:szCs w:val="22"/>
        </w:rPr>
        <w:tab/>
        <w:t xml:space="preserve">40 </w:t>
      </w:r>
      <w:r w:rsidRPr="00AC1525">
        <w:rPr>
          <w:i/>
          <w:sz w:val="22"/>
          <w:szCs w:val="22"/>
        </w:rPr>
        <w:t>CFR</w:t>
      </w:r>
      <w:r w:rsidRPr="00AC1525">
        <w:rPr>
          <w:sz w:val="22"/>
          <w:szCs w:val="22"/>
        </w:rPr>
        <w:t xml:space="preserve"> 262.213(a) provides that one time per </w:t>
      </w:r>
      <w:r w:rsidRPr="00AC1525">
        <w:rPr>
          <w:sz w:val="22"/>
          <w:szCs w:val="22"/>
        </w:rPr>
        <w:t>12 month</w:t>
      </w:r>
      <w:r w:rsidRPr="00AC1525">
        <w:rPr>
          <w:sz w:val="22"/>
          <w:szCs w:val="22"/>
        </w:rPr>
        <w:t xml:space="preserve"> period per laboratory, an eligible academic entity may opt to conduct a laboratory clean-out that is subject to all the applicable requirements of Subpart K, except as specified otherwise in section 262.213(a). </w:t>
      </w:r>
    </w:p>
    <w:p w:rsidR="00146A6C" w:rsidRPr="00AC1525" w14:paraId="3EA09255" w14:textId="77777777">
      <w:pPr>
        <w:rPr>
          <w:sz w:val="22"/>
          <w:szCs w:val="22"/>
        </w:rPr>
      </w:pPr>
    </w:p>
    <w:p w:rsidR="00146A6C" w:rsidRPr="00AC1525" w14:paraId="311AAE82" w14:textId="77777777">
      <w:pPr>
        <w:rPr>
          <w:sz w:val="22"/>
          <w:szCs w:val="22"/>
        </w:rPr>
      </w:pPr>
      <w:r w:rsidRPr="00AC1525">
        <w:rPr>
          <w:sz w:val="22"/>
          <w:szCs w:val="22"/>
        </w:rPr>
        <w:tab/>
        <w:t>Section 262.213(a)(4) requires that an eligible academic entity must document the activities of the laboratory clean-out, as specified (a clean-out may last up to 30 calendar days, as specified).  The eligible academic entity must maintain the records for a period of three years from the date the clean-out ends.</w:t>
      </w:r>
    </w:p>
    <w:p w:rsidR="00146A6C" w:rsidRPr="00AC1525" w14:paraId="67A56CB8" w14:textId="77777777">
      <w:pPr>
        <w:rPr>
          <w:sz w:val="22"/>
          <w:szCs w:val="22"/>
        </w:rPr>
      </w:pPr>
    </w:p>
    <w:p w:rsidR="00146A6C" w:rsidRPr="00AC1525" w14:paraId="5048B139" w14:textId="77777777">
      <w:pPr>
        <w:keepNext/>
        <w:rPr>
          <w:sz w:val="22"/>
          <w:szCs w:val="22"/>
        </w:rPr>
      </w:pPr>
      <w:r w:rsidRPr="00AC1525">
        <w:rPr>
          <w:b/>
          <w:bCs/>
          <w:sz w:val="22"/>
          <w:szCs w:val="22"/>
        </w:rPr>
        <w:t>(11)</w:t>
      </w:r>
      <w:r w:rsidRPr="00AC1525">
        <w:rPr>
          <w:b/>
          <w:bCs/>
          <w:sz w:val="22"/>
          <w:szCs w:val="22"/>
        </w:rPr>
        <w:tab/>
        <w:t>Laboratory Management Plan</w:t>
      </w:r>
    </w:p>
    <w:p w:rsidR="00146A6C" w:rsidRPr="00AC1525" w14:paraId="0FC3C482" w14:textId="77777777">
      <w:pPr>
        <w:keepNext/>
        <w:rPr>
          <w:sz w:val="22"/>
          <w:szCs w:val="22"/>
        </w:rPr>
      </w:pPr>
    </w:p>
    <w:p w:rsidR="00146A6C" w:rsidRPr="00AC1525" w14:paraId="645658CF" w14:textId="77777777">
      <w:pPr>
        <w:keepNext/>
        <w:rPr>
          <w:color w:val="FF0000"/>
          <w:sz w:val="22"/>
          <w:szCs w:val="22"/>
        </w:rPr>
      </w:pPr>
      <w:r w:rsidRPr="00AC1525">
        <w:rPr>
          <w:sz w:val="22"/>
          <w:szCs w:val="22"/>
        </w:rPr>
        <w:tab/>
        <w:t xml:space="preserve">40 </w:t>
      </w:r>
      <w:r w:rsidRPr="00AC1525">
        <w:rPr>
          <w:i/>
          <w:sz w:val="22"/>
          <w:szCs w:val="22"/>
        </w:rPr>
        <w:t>CFR</w:t>
      </w:r>
      <w:r w:rsidRPr="00AC1525">
        <w:rPr>
          <w:sz w:val="22"/>
          <w:szCs w:val="22"/>
        </w:rPr>
        <w:t xml:space="preserve"> 262.214 provides that an eligible academic entity must develop, implement, and retain a written Laboratory Management Plan, or revise an existing written plan.  </w:t>
      </w:r>
    </w:p>
    <w:p w:rsidR="00146A6C" w:rsidRPr="00AC1525" w14:paraId="5F99F622" w14:textId="77777777">
      <w:pPr>
        <w:rPr>
          <w:sz w:val="22"/>
          <w:szCs w:val="22"/>
        </w:rPr>
      </w:pPr>
    </w:p>
    <w:p w:rsidR="00146A6C" w:rsidRPr="00AC1525" w14:paraId="308456A3" w14:textId="77777777">
      <w:pPr>
        <w:rPr>
          <w:sz w:val="22"/>
          <w:szCs w:val="22"/>
        </w:rPr>
      </w:pPr>
      <w:r w:rsidRPr="00AC1525">
        <w:rPr>
          <w:sz w:val="22"/>
          <w:szCs w:val="22"/>
        </w:rPr>
        <w:tab/>
        <w:t>Section 262.214(c) provides that an eligible academic entity must make its Laboratory Management Plan available to laboratory workers, students, or any others at the eligible academic entity who request it.</w:t>
      </w:r>
    </w:p>
    <w:p w:rsidR="00146A6C" w:rsidRPr="00AC1525" w14:paraId="5FFC6E59" w14:textId="77777777">
      <w:pPr>
        <w:rPr>
          <w:sz w:val="22"/>
          <w:szCs w:val="22"/>
        </w:rPr>
      </w:pPr>
    </w:p>
    <w:p w:rsidR="00146A6C" w:rsidRPr="00AC1525" w14:paraId="722242F1" w14:textId="77777777">
      <w:pPr>
        <w:rPr>
          <w:sz w:val="22"/>
          <w:szCs w:val="22"/>
        </w:rPr>
      </w:pPr>
      <w:r w:rsidRPr="00AC1525">
        <w:rPr>
          <w:sz w:val="22"/>
          <w:szCs w:val="22"/>
        </w:rPr>
        <w:tab/>
        <w:t>Section 262.214(d) requires that an eligible academic entity must review and revise its Laboratory Management Plan as needed.</w:t>
      </w:r>
    </w:p>
    <w:p w:rsidR="00146A6C" w:rsidRPr="00AC1525" w14:paraId="276F05FF" w14:textId="77777777">
      <w:pPr>
        <w:pStyle w:val="Heading1"/>
        <w:ind w:left="720" w:hanging="720"/>
        <w:rPr>
          <w:rFonts w:ascii="Times New Roman" w:hAnsi="Times New Roman" w:cs="Times New Roman"/>
          <w:sz w:val="22"/>
          <w:szCs w:val="22"/>
        </w:rPr>
      </w:pPr>
      <w:r w:rsidRPr="00AC1525">
        <w:rPr>
          <w:rFonts w:ascii="Times New Roman" w:hAnsi="Times New Roman" w:cs="Times New Roman"/>
          <w:sz w:val="22"/>
          <w:szCs w:val="22"/>
        </w:rPr>
        <w:br w:type="page"/>
      </w:r>
      <w:bookmarkStart w:id="345" w:name="_Toc194233051"/>
      <w:bookmarkStart w:id="346" w:name="_Toc194321374"/>
      <w:bookmarkStart w:id="347" w:name="_Toc194321589"/>
      <w:bookmarkStart w:id="348" w:name="_Toc194395943"/>
      <w:bookmarkStart w:id="349" w:name="_Toc195523829"/>
      <w:bookmarkStart w:id="350" w:name="_Toc195524040"/>
      <w:bookmarkStart w:id="351" w:name="_Toc198053463"/>
      <w:bookmarkStart w:id="352" w:name="_Toc199176366"/>
      <w:bookmarkStart w:id="353" w:name="_Toc201152824"/>
      <w:bookmarkStart w:id="354" w:name="_Toc201153937"/>
      <w:bookmarkStart w:id="355" w:name="_Toc203626042"/>
      <w:bookmarkStart w:id="356" w:name="_Toc203626150"/>
      <w:bookmarkStart w:id="357" w:name="_Toc203711644"/>
      <w:bookmarkStart w:id="358" w:name="_Toc203715791"/>
      <w:bookmarkStart w:id="359" w:name="_Toc434488019"/>
      <w:r w:rsidRPr="00AC1525">
        <w:rPr>
          <w:rFonts w:ascii="Times New Roman" w:hAnsi="Times New Roman" w:cs="Times New Roman"/>
          <w:sz w:val="22"/>
          <w:szCs w:val="22"/>
        </w:rPr>
        <w:t>6.</w:t>
      </w:r>
      <w:r w:rsidRPr="00AC1525">
        <w:rPr>
          <w:rFonts w:ascii="Times New Roman" w:hAnsi="Times New Roman" w:cs="Times New Roman"/>
          <w:sz w:val="22"/>
          <w:szCs w:val="22"/>
        </w:rPr>
        <w:tab/>
        <w:t>ESTIMATING THE HOUR AND COST BURDEN OF THE COLLECTION</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146A6C" w:rsidRPr="00AC1525" w14:paraId="6945D795" w14:textId="77777777">
      <w:pPr>
        <w:pStyle w:val="Heading2"/>
        <w:ind w:firstLine="720"/>
        <w:rPr>
          <w:rFonts w:ascii="Times New Roman" w:hAnsi="Times New Roman" w:cs="Times New Roman"/>
          <w:i w:val="0"/>
          <w:iCs w:val="0"/>
          <w:sz w:val="22"/>
          <w:szCs w:val="22"/>
        </w:rPr>
      </w:pPr>
      <w:bookmarkStart w:id="360" w:name="_Toc146594794"/>
      <w:bookmarkStart w:id="361" w:name="_Toc194233052"/>
      <w:bookmarkStart w:id="362" w:name="_Toc194321375"/>
      <w:bookmarkStart w:id="363" w:name="_Toc194321590"/>
      <w:bookmarkStart w:id="364" w:name="_Toc194395944"/>
      <w:bookmarkStart w:id="365" w:name="_Toc195523830"/>
      <w:bookmarkStart w:id="366" w:name="_Toc195524041"/>
      <w:bookmarkStart w:id="367" w:name="_Toc198053464"/>
      <w:bookmarkStart w:id="368" w:name="_Toc199176367"/>
      <w:bookmarkStart w:id="369" w:name="_Toc201152825"/>
      <w:bookmarkStart w:id="370" w:name="_Toc201153938"/>
      <w:bookmarkStart w:id="371" w:name="_Toc203626043"/>
      <w:bookmarkStart w:id="372" w:name="_Toc203626151"/>
      <w:bookmarkStart w:id="373" w:name="_Toc203711645"/>
      <w:bookmarkStart w:id="374" w:name="_Toc203715792"/>
      <w:bookmarkStart w:id="375" w:name="_Toc434488020"/>
      <w:r w:rsidRPr="00AC1525">
        <w:rPr>
          <w:rFonts w:ascii="Times New Roman" w:hAnsi="Times New Roman" w:cs="Times New Roman"/>
          <w:i w:val="0"/>
          <w:iCs w:val="0"/>
          <w:sz w:val="22"/>
          <w:szCs w:val="22"/>
        </w:rPr>
        <w:t>6(a)</w:t>
      </w:r>
      <w:r w:rsidRPr="00AC1525">
        <w:rPr>
          <w:rFonts w:ascii="Times New Roman" w:hAnsi="Times New Roman" w:cs="Times New Roman"/>
          <w:i w:val="0"/>
          <w:iCs w:val="0"/>
          <w:sz w:val="22"/>
          <w:szCs w:val="22"/>
        </w:rPr>
        <w:tab/>
        <w:t>Estimating Respondent Burden Hours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46A6C" w:rsidRPr="00AC1525" w14:paraId="376C6810" w14:textId="77777777">
      <w:pPr>
        <w:rPr>
          <w:sz w:val="22"/>
          <w:szCs w:val="22"/>
        </w:rPr>
      </w:pPr>
    </w:p>
    <w:p w:rsidR="00AB1471" w:rsidRPr="00AC1525" w:rsidP="00AB1471" w14:paraId="54E10E18" w14:textId="77777777">
      <w:pPr>
        <w:keepNext/>
        <w:ind w:firstLine="720"/>
        <w:rPr>
          <w:color w:val="FF0000"/>
          <w:sz w:val="22"/>
          <w:szCs w:val="22"/>
        </w:rPr>
      </w:pPr>
      <w:r w:rsidRPr="00AC1525">
        <w:rPr>
          <w:bCs/>
          <w:sz w:val="22"/>
          <w:szCs w:val="22"/>
        </w:rPr>
        <w:t>Exhibit 1 provides estimates of</w:t>
      </w:r>
      <w:r w:rsidRPr="00AC1525">
        <w:rPr>
          <w:sz w:val="22"/>
          <w:szCs w:val="22"/>
        </w:rPr>
        <w:t xml:space="preserve"> the respondent hourly burden associated with the rule’s paperwork requirements.  Exhibit 1 includes burden hours (total and by labor type) per respondent, as well as the overall burden hours for all respondents.</w:t>
      </w:r>
      <w:r w:rsidRPr="00AC1525">
        <w:rPr>
          <w:sz w:val="22"/>
          <w:szCs w:val="22"/>
        </w:rPr>
        <w:t xml:space="preserve">  </w:t>
      </w:r>
    </w:p>
    <w:p w:rsidR="00146A6C" w:rsidRPr="00AC1525" w14:paraId="58E69837" w14:textId="77777777">
      <w:pPr>
        <w:pStyle w:val="Heading2"/>
        <w:ind w:firstLine="720"/>
        <w:rPr>
          <w:rFonts w:ascii="Times New Roman" w:hAnsi="Times New Roman" w:cs="Times New Roman"/>
          <w:i w:val="0"/>
          <w:iCs w:val="0"/>
          <w:sz w:val="22"/>
          <w:szCs w:val="22"/>
        </w:rPr>
      </w:pPr>
      <w:bookmarkStart w:id="376" w:name="_Toc146594795"/>
      <w:bookmarkStart w:id="377" w:name="_Toc194233053"/>
      <w:bookmarkStart w:id="378" w:name="_Toc194321376"/>
      <w:bookmarkStart w:id="379" w:name="_Toc194321591"/>
      <w:bookmarkStart w:id="380" w:name="_Toc194395945"/>
      <w:bookmarkStart w:id="381" w:name="_Toc195523831"/>
      <w:bookmarkStart w:id="382" w:name="_Toc195524042"/>
      <w:bookmarkStart w:id="383" w:name="_Toc198053465"/>
      <w:bookmarkStart w:id="384" w:name="_Toc199176368"/>
      <w:bookmarkStart w:id="385" w:name="_Toc201152826"/>
      <w:bookmarkStart w:id="386" w:name="_Toc201153939"/>
      <w:bookmarkStart w:id="387" w:name="_Toc203626044"/>
      <w:bookmarkStart w:id="388" w:name="_Toc203626152"/>
      <w:bookmarkStart w:id="389" w:name="_Toc203711646"/>
      <w:bookmarkStart w:id="390" w:name="_Toc203715793"/>
      <w:bookmarkStart w:id="391" w:name="_Toc434488021"/>
      <w:r w:rsidRPr="00AC1525">
        <w:rPr>
          <w:rFonts w:ascii="Times New Roman" w:hAnsi="Times New Roman" w:cs="Times New Roman"/>
          <w:i w:val="0"/>
          <w:iCs w:val="0"/>
          <w:sz w:val="22"/>
          <w:szCs w:val="22"/>
        </w:rPr>
        <w:t>6(b)</w:t>
      </w:r>
      <w:r w:rsidRPr="00AC1525">
        <w:rPr>
          <w:rFonts w:ascii="Times New Roman" w:hAnsi="Times New Roman" w:cs="Times New Roman"/>
          <w:i w:val="0"/>
          <w:iCs w:val="0"/>
          <w:sz w:val="22"/>
          <w:szCs w:val="22"/>
        </w:rPr>
        <w:tab/>
        <w:t>Estimating Respondent Costs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146A6C" w:rsidRPr="00AC1525" w14:paraId="216A6C98" w14:textId="77777777">
      <w:pPr>
        <w:rPr>
          <w:sz w:val="22"/>
          <w:szCs w:val="22"/>
        </w:rPr>
      </w:pPr>
    </w:p>
    <w:p w:rsidR="00146A6C" w:rsidRPr="00AC1525" w14:paraId="0AD4CB4E" w14:textId="6CC9508A">
      <w:pPr>
        <w:ind w:firstLine="720"/>
        <w:rPr>
          <w:sz w:val="22"/>
          <w:szCs w:val="22"/>
        </w:rPr>
      </w:pPr>
      <w:r w:rsidRPr="00AC1525">
        <w:rPr>
          <w:bCs/>
          <w:sz w:val="22"/>
          <w:szCs w:val="22"/>
        </w:rPr>
        <w:t>Exhibit 1 provides</w:t>
      </w:r>
      <w:r w:rsidRPr="00AC1525">
        <w:rPr>
          <w:sz w:val="22"/>
          <w:szCs w:val="22"/>
        </w:rPr>
        <w:t xml:space="preserve"> estimates of the annual respondent costs associated with the </w:t>
      </w:r>
      <w:r w:rsidRPr="00AC1525" w:rsidR="0051130C">
        <w:rPr>
          <w:sz w:val="22"/>
          <w:szCs w:val="22"/>
        </w:rPr>
        <w:t xml:space="preserve">rule’s paperwork requirements. </w:t>
      </w:r>
      <w:r w:rsidRPr="00AC1525">
        <w:rPr>
          <w:sz w:val="22"/>
          <w:szCs w:val="22"/>
        </w:rPr>
        <w:t xml:space="preserve">These costs are based on the cost of labor, capital, and operation and maintenance (O&amp;M). </w:t>
      </w:r>
    </w:p>
    <w:p w:rsidR="00146A6C" w:rsidRPr="00AC1525" w14:paraId="208818C6" w14:textId="77777777">
      <w:pPr>
        <w:rPr>
          <w:sz w:val="22"/>
          <w:szCs w:val="22"/>
        </w:rPr>
      </w:pPr>
    </w:p>
    <w:p w:rsidR="00146A6C" w:rsidRPr="00AC1525" w14:paraId="202B2891" w14:textId="77777777">
      <w:pPr>
        <w:tabs>
          <w:tab w:val="left" w:pos="-1440"/>
        </w:tabs>
        <w:ind w:left="1440" w:hanging="720"/>
        <w:rPr>
          <w:color w:val="000000"/>
          <w:sz w:val="22"/>
          <w:szCs w:val="22"/>
        </w:rPr>
      </w:pPr>
      <w:r w:rsidRPr="00AC1525">
        <w:rPr>
          <w:b/>
          <w:bCs/>
          <w:sz w:val="22"/>
          <w:szCs w:val="22"/>
        </w:rPr>
        <w:t>(1)</w:t>
      </w:r>
      <w:r w:rsidRPr="00AC1525">
        <w:rPr>
          <w:b/>
          <w:bCs/>
          <w:sz w:val="22"/>
          <w:szCs w:val="22"/>
        </w:rPr>
        <w:tab/>
        <w:t xml:space="preserve">Labor Costs </w:t>
      </w:r>
    </w:p>
    <w:p w:rsidR="00146A6C" w:rsidRPr="00AC1525" w14:paraId="32C004D7" w14:textId="77777777">
      <w:pPr>
        <w:rPr>
          <w:color w:val="000000"/>
          <w:sz w:val="22"/>
          <w:szCs w:val="22"/>
        </w:rPr>
      </w:pPr>
    </w:p>
    <w:p w:rsidR="00AC1525" w:rsidP="00AC1525" w14:paraId="1770A9DC" w14:textId="22EF80FC">
      <w:pPr>
        <w:pStyle w:val="BodyTextDSW"/>
        <w:rPr>
          <w:bCs/>
          <w:sz w:val="22"/>
          <w:szCs w:val="22"/>
        </w:rPr>
      </w:pPr>
      <w:r w:rsidRPr="00AC1525">
        <w:rPr>
          <w:bCs/>
          <w:sz w:val="22"/>
          <w:szCs w:val="22"/>
        </w:rPr>
        <w:t xml:space="preserve">The labor wage rates used to estimate costs to respondents were calculated as shown in the following table. The 2022 average wage rates from are the average wage rates are reported in the Bureau of Labor Statistics, 2020 National Occupational Employment and Wage Estimate, released May 2020, and updated to 2022 levels. </w:t>
      </w:r>
    </w:p>
    <w:p w:rsidR="00744852" w:rsidP="00AC1525" w14:paraId="5933F632" w14:textId="77777777">
      <w:pPr>
        <w:pStyle w:val="BodyTextDSW"/>
        <w:rPr>
          <w:bCs/>
          <w:sz w:val="22"/>
          <w:szCs w:val="22"/>
        </w:rPr>
      </w:pPr>
    </w:p>
    <w:tbl>
      <w:tblPr>
        <w:tblStyle w:val="TableGrid"/>
        <w:tblW w:w="0" w:type="auto"/>
        <w:tblLook w:val="04A0"/>
      </w:tblPr>
      <w:tblGrid>
        <w:gridCol w:w="1757"/>
        <w:gridCol w:w="1734"/>
        <w:gridCol w:w="1745"/>
        <w:gridCol w:w="1687"/>
        <w:gridCol w:w="1707"/>
      </w:tblGrid>
      <w:tr w14:paraId="10DF0B30" w14:textId="77777777" w:rsidTr="00EB4783">
        <w:tblPrEx>
          <w:tblW w:w="0" w:type="auto"/>
          <w:tblLook w:val="04A0"/>
        </w:tblPrEx>
        <w:tc>
          <w:tcPr>
            <w:tcW w:w="1870" w:type="dxa"/>
            <w:vAlign w:val="bottom"/>
          </w:tcPr>
          <w:p w:rsidR="00744852" w:rsidRPr="00AC1525" w:rsidP="00EB4783" w14:paraId="12E40365" w14:textId="77777777">
            <w:pPr>
              <w:keepNext/>
              <w:keepLines/>
              <w:snapToGrid w:val="0"/>
              <w:jc w:val="center"/>
              <w:rPr>
                <w:color w:val="000000"/>
                <w:sz w:val="22"/>
                <w:szCs w:val="22"/>
              </w:rPr>
            </w:pPr>
            <w:r w:rsidRPr="00AC1525">
              <w:rPr>
                <w:color w:val="000000"/>
                <w:sz w:val="22"/>
                <w:szCs w:val="22"/>
              </w:rPr>
              <w:t>Labor Category</w:t>
            </w:r>
          </w:p>
        </w:tc>
        <w:tc>
          <w:tcPr>
            <w:tcW w:w="1870" w:type="dxa"/>
            <w:vAlign w:val="center"/>
          </w:tcPr>
          <w:p w:rsidR="00744852" w:rsidRPr="00AC1525" w:rsidP="00EB4783" w14:paraId="5062FDCD" w14:textId="0A1D7549">
            <w:pPr>
              <w:keepNext/>
              <w:keepLines/>
              <w:ind w:left="15"/>
              <w:jc w:val="center"/>
              <w:rPr>
                <w:color w:val="000000"/>
                <w:sz w:val="22"/>
                <w:szCs w:val="22"/>
              </w:rPr>
            </w:pPr>
            <w:r>
              <w:rPr>
                <w:color w:val="000000"/>
                <w:sz w:val="22"/>
                <w:szCs w:val="22"/>
              </w:rPr>
              <w:t xml:space="preserve">Privately-owned </w:t>
            </w:r>
            <w:r w:rsidRPr="00AC1525">
              <w:rPr>
                <w:color w:val="000000"/>
                <w:sz w:val="22"/>
                <w:szCs w:val="22"/>
              </w:rPr>
              <w:t>202</w:t>
            </w:r>
            <w:r>
              <w:rPr>
                <w:color w:val="000000"/>
                <w:sz w:val="22"/>
                <w:szCs w:val="22"/>
              </w:rPr>
              <w:t>0</w:t>
            </w:r>
            <w:r w:rsidRPr="00AC1525">
              <w:rPr>
                <w:color w:val="000000"/>
                <w:sz w:val="22"/>
                <w:szCs w:val="22"/>
              </w:rPr>
              <w:t xml:space="preserve"> hourly rate </w:t>
            </w:r>
          </w:p>
        </w:tc>
        <w:tc>
          <w:tcPr>
            <w:tcW w:w="1870" w:type="dxa"/>
            <w:vAlign w:val="center"/>
          </w:tcPr>
          <w:p w:rsidR="00744852" w:rsidRPr="00744852" w:rsidP="00EB4783" w14:paraId="00AF7F96" w14:textId="5BC75EB3">
            <w:pPr>
              <w:keepNext/>
              <w:keepLines/>
              <w:snapToGrid w:val="0"/>
              <w:ind w:left="15"/>
              <w:jc w:val="center"/>
              <w:rPr>
                <w:b/>
                <w:bCs/>
                <w:color w:val="000000"/>
                <w:sz w:val="22"/>
                <w:szCs w:val="22"/>
              </w:rPr>
            </w:pPr>
            <w:r w:rsidRPr="00744852">
              <w:rPr>
                <w:b/>
                <w:bCs/>
                <w:color w:val="000000"/>
                <w:sz w:val="22"/>
                <w:szCs w:val="22"/>
              </w:rPr>
              <w:t>Private</w:t>
            </w:r>
            <w:r>
              <w:rPr>
                <w:b/>
                <w:bCs/>
                <w:color w:val="000000"/>
                <w:sz w:val="22"/>
                <w:szCs w:val="22"/>
              </w:rPr>
              <w:t>ly-owned</w:t>
            </w:r>
            <w:r w:rsidRPr="00744852">
              <w:rPr>
                <w:b/>
                <w:bCs/>
                <w:color w:val="000000"/>
                <w:sz w:val="22"/>
                <w:szCs w:val="22"/>
              </w:rPr>
              <w:t xml:space="preserve"> 2022 hourly rate</w:t>
            </w:r>
          </w:p>
        </w:tc>
        <w:tc>
          <w:tcPr>
            <w:tcW w:w="1870" w:type="dxa"/>
            <w:vAlign w:val="center"/>
          </w:tcPr>
          <w:p w:rsidR="00744852" w:rsidRPr="00AC1525" w:rsidP="00EB4783" w14:paraId="67BE565C" w14:textId="77777777">
            <w:pPr>
              <w:keepNext/>
              <w:keepLines/>
              <w:snapToGrid w:val="0"/>
              <w:ind w:left="15"/>
              <w:jc w:val="center"/>
              <w:rPr>
                <w:color w:val="000000"/>
                <w:sz w:val="22"/>
                <w:szCs w:val="22"/>
              </w:rPr>
            </w:pPr>
            <w:r>
              <w:rPr>
                <w:color w:val="000000"/>
                <w:sz w:val="22"/>
                <w:szCs w:val="22"/>
              </w:rPr>
              <w:t>State-owned 2020 hourly rate</w:t>
            </w:r>
          </w:p>
        </w:tc>
        <w:tc>
          <w:tcPr>
            <w:tcW w:w="1870" w:type="dxa"/>
            <w:vAlign w:val="center"/>
          </w:tcPr>
          <w:p w:rsidR="00744852" w:rsidRPr="00744852" w:rsidP="00EB4783" w14:paraId="0C040275" w14:textId="77777777">
            <w:pPr>
              <w:keepNext/>
              <w:keepLines/>
              <w:ind w:left="15"/>
              <w:jc w:val="center"/>
              <w:rPr>
                <w:b/>
                <w:bCs/>
                <w:color w:val="000000"/>
                <w:sz w:val="22"/>
                <w:szCs w:val="22"/>
              </w:rPr>
            </w:pPr>
            <w:r w:rsidRPr="00744852">
              <w:rPr>
                <w:b/>
                <w:bCs/>
                <w:color w:val="000000"/>
                <w:sz w:val="22"/>
                <w:szCs w:val="22"/>
              </w:rPr>
              <w:t>State-owned 2022 hourly rate</w:t>
            </w:r>
          </w:p>
        </w:tc>
      </w:tr>
      <w:tr w14:paraId="58CC8078" w14:textId="77777777" w:rsidTr="00EB4783">
        <w:tblPrEx>
          <w:tblW w:w="0" w:type="auto"/>
          <w:tblLook w:val="04A0"/>
        </w:tblPrEx>
        <w:tc>
          <w:tcPr>
            <w:tcW w:w="1870" w:type="dxa"/>
          </w:tcPr>
          <w:p w:rsidR="00744852" w:rsidRPr="00AC1525" w:rsidP="00EB4783" w14:paraId="57BCEB41" w14:textId="77777777">
            <w:pPr>
              <w:keepNext/>
              <w:keepLines/>
              <w:snapToGrid w:val="0"/>
              <w:ind w:left="15"/>
              <w:rPr>
                <w:color w:val="000000"/>
                <w:sz w:val="22"/>
                <w:szCs w:val="22"/>
              </w:rPr>
            </w:pPr>
            <w:r w:rsidRPr="00AC1525">
              <w:rPr>
                <w:color w:val="000000"/>
                <w:sz w:val="22"/>
                <w:szCs w:val="22"/>
              </w:rPr>
              <w:t>1. Legal</w:t>
            </w:r>
          </w:p>
        </w:tc>
        <w:tc>
          <w:tcPr>
            <w:tcW w:w="1870" w:type="dxa"/>
            <w:vAlign w:val="center"/>
          </w:tcPr>
          <w:p w:rsidR="00744852" w:rsidRPr="00AC1525" w:rsidP="00EB4783" w14:paraId="059A0D02"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AC1525">
              <w:rPr>
                <w:color w:val="000000"/>
                <w:sz w:val="22"/>
                <w:szCs w:val="22"/>
              </w:rPr>
              <w:t>$</w:t>
            </w:r>
            <w:r>
              <w:rPr>
                <w:color w:val="000000"/>
                <w:sz w:val="22"/>
                <w:szCs w:val="22"/>
              </w:rPr>
              <w:t>82.74</w:t>
            </w:r>
          </w:p>
        </w:tc>
        <w:tc>
          <w:tcPr>
            <w:tcW w:w="1870" w:type="dxa"/>
            <w:vAlign w:val="center"/>
          </w:tcPr>
          <w:p w:rsidR="00744852" w:rsidRPr="00744852" w:rsidP="00EB4783" w14:paraId="01F1CAE4" w14:textId="77777777">
            <w:pPr>
              <w:keepNext/>
              <w:keepLines/>
              <w:ind w:left="15"/>
              <w:jc w:val="center"/>
              <w:rPr>
                <w:b/>
                <w:bCs/>
                <w:color w:val="000000"/>
                <w:sz w:val="22"/>
                <w:szCs w:val="22"/>
              </w:rPr>
            </w:pPr>
            <w:r w:rsidRPr="00744852">
              <w:rPr>
                <w:b/>
                <w:bCs/>
                <w:color w:val="000000"/>
                <w:sz w:val="22"/>
                <w:szCs w:val="22"/>
              </w:rPr>
              <w:t>$132.38</w:t>
            </w:r>
          </w:p>
        </w:tc>
        <w:tc>
          <w:tcPr>
            <w:tcW w:w="1870" w:type="dxa"/>
            <w:vAlign w:val="center"/>
          </w:tcPr>
          <w:p w:rsidR="00744852" w:rsidRPr="00AC1525" w:rsidP="00EB4783" w14:paraId="3401330B" w14:textId="77777777">
            <w:pPr>
              <w:keepNext/>
              <w:keepLines/>
              <w:snapToGrid w:val="0"/>
              <w:ind w:left="15"/>
              <w:jc w:val="center"/>
              <w:rPr>
                <w:color w:val="000000"/>
                <w:sz w:val="22"/>
                <w:szCs w:val="22"/>
              </w:rPr>
            </w:pPr>
            <w:r>
              <w:rPr>
                <w:color w:val="000000"/>
                <w:sz w:val="22"/>
                <w:szCs w:val="22"/>
              </w:rPr>
              <w:t>$69.72</w:t>
            </w:r>
          </w:p>
        </w:tc>
        <w:tc>
          <w:tcPr>
            <w:tcW w:w="1870" w:type="dxa"/>
            <w:vAlign w:val="center"/>
          </w:tcPr>
          <w:p w:rsidR="00744852" w:rsidRPr="00744852" w:rsidP="00EB4783" w14:paraId="2D0FF8E7" w14:textId="77777777">
            <w:pPr>
              <w:keepNext/>
              <w:keepLines/>
              <w:snapToGrid w:val="0"/>
              <w:ind w:left="15"/>
              <w:jc w:val="center"/>
              <w:rPr>
                <w:b/>
                <w:bCs/>
                <w:color w:val="000000"/>
                <w:sz w:val="22"/>
                <w:szCs w:val="22"/>
              </w:rPr>
            </w:pPr>
            <w:r w:rsidRPr="00744852">
              <w:rPr>
                <w:b/>
                <w:bCs/>
                <w:color w:val="000000"/>
                <w:sz w:val="22"/>
                <w:szCs w:val="22"/>
              </w:rPr>
              <w:t>$111.55</w:t>
            </w:r>
          </w:p>
        </w:tc>
      </w:tr>
      <w:tr w14:paraId="3FDB92AF" w14:textId="77777777" w:rsidTr="00EB4783">
        <w:tblPrEx>
          <w:tblW w:w="0" w:type="auto"/>
          <w:tblLook w:val="04A0"/>
        </w:tblPrEx>
        <w:tc>
          <w:tcPr>
            <w:tcW w:w="1870" w:type="dxa"/>
          </w:tcPr>
          <w:p w:rsidR="00744852" w:rsidRPr="00AC1525" w:rsidP="00EB4783" w14:paraId="38697188" w14:textId="77777777">
            <w:pPr>
              <w:keepNext/>
              <w:keepLines/>
              <w:snapToGrid w:val="0"/>
              <w:ind w:left="15"/>
              <w:rPr>
                <w:color w:val="000000"/>
                <w:sz w:val="22"/>
                <w:szCs w:val="22"/>
              </w:rPr>
            </w:pPr>
            <w:r w:rsidRPr="00AC1525">
              <w:rPr>
                <w:color w:val="000000"/>
                <w:sz w:val="22"/>
                <w:szCs w:val="22"/>
              </w:rPr>
              <w:t>2. Managerial</w:t>
            </w:r>
          </w:p>
        </w:tc>
        <w:tc>
          <w:tcPr>
            <w:tcW w:w="1870" w:type="dxa"/>
            <w:vAlign w:val="center"/>
          </w:tcPr>
          <w:p w:rsidR="00744852" w:rsidRPr="00AC1525" w:rsidP="00EB4783" w14:paraId="40354480"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AC1525">
              <w:rPr>
                <w:color w:val="000000"/>
                <w:sz w:val="22"/>
                <w:szCs w:val="22"/>
              </w:rPr>
              <w:t>$</w:t>
            </w:r>
            <w:r>
              <w:rPr>
                <w:color w:val="000000"/>
                <w:sz w:val="22"/>
                <w:szCs w:val="22"/>
              </w:rPr>
              <w:t>80.22</w:t>
            </w:r>
          </w:p>
        </w:tc>
        <w:tc>
          <w:tcPr>
            <w:tcW w:w="1870" w:type="dxa"/>
            <w:vAlign w:val="center"/>
          </w:tcPr>
          <w:p w:rsidR="00744852" w:rsidRPr="00744852" w:rsidP="00EB4783" w14:paraId="5691B106" w14:textId="77777777">
            <w:pPr>
              <w:keepNext/>
              <w:keepLines/>
              <w:ind w:left="15"/>
              <w:jc w:val="center"/>
              <w:rPr>
                <w:b/>
                <w:bCs/>
                <w:color w:val="000000"/>
                <w:sz w:val="22"/>
                <w:szCs w:val="22"/>
              </w:rPr>
            </w:pPr>
            <w:r w:rsidRPr="00744852">
              <w:rPr>
                <w:b/>
                <w:bCs/>
                <w:color w:val="000000"/>
                <w:sz w:val="22"/>
                <w:szCs w:val="22"/>
              </w:rPr>
              <w:t>$128.35</w:t>
            </w:r>
          </w:p>
        </w:tc>
        <w:tc>
          <w:tcPr>
            <w:tcW w:w="1870" w:type="dxa"/>
            <w:vAlign w:val="center"/>
          </w:tcPr>
          <w:p w:rsidR="00744852" w:rsidRPr="00AC1525" w:rsidP="00EB4783" w14:paraId="2E411ACF" w14:textId="77777777">
            <w:pPr>
              <w:keepNext/>
              <w:keepLines/>
              <w:snapToGrid w:val="0"/>
              <w:ind w:left="15"/>
              <w:jc w:val="center"/>
              <w:rPr>
                <w:color w:val="000000"/>
                <w:sz w:val="22"/>
                <w:szCs w:val="22"/>
              </w:rPr>
            </w:pPr>
            <w:r>
              <w:rPr>
                <w:color w:val="000000"/>
                <w:sz w:val="22"/>
                <w:szCs w:val="22"/>
              </w:rPr>
              <w:t>$68.87</w:t>
            </w:r>
          </w:p>
        </w:tc>
        <w:tc>
          <w:tcPr>
            <w:tcW w:w="1870" w:type="dxa"/>
            <w:vAlign w:val="center"/>
          </w:tcPr>
          <w:p w:rsidR="00744852" w:rsidRPr="00744852" w:rsidP="00EB4783" w14:paraId="12AE32B2" w14:textId="77777777">
            <w:pPr>
              <w:keepNext/>
              <w:keepLines/>
              <w:snapToGrid w:val="0"/>
              <w:ind w:left="15"/>
              <w:jc w:val="center"/>
              <w:rPr>
                <w:b/>
                <w:bCs/>
                <w:color w:val="000000"/>
                <w:sz w:val="22"/>
                <w:szCs w:val="22"/>
              </w:rPr>
            </w:pPr>
            <w:r w:rsidRPr="00744852">
              <w:rPr>
                <w:b/>
                <w:bCs/>
                <w:color w:val="000000"/>
                <w:sz w:val="22"/>
                <w:szCs w:val="22"/>
              </w:rPr>
              <w:t>$110.19</w:t>
            </w:r>
          </w:p>
        </w:tc>
      </w:tr>
      <w:tr w14:paraId="68FF2B26" w14:textId="77777777" w:rsidTr="00EB4783">
        <w:tblPrEx>
          <w:tblW w:w="0" w:type="auto"/>
          <w:tblLook w:val="04A0"/>
        </w:tblPrEx>
        <w:tc>
          <w:tcPr>
            <w:tcW w:w="1870" w:type="dxa"/>
          </w:tcPr>
          <w:p w:rsidR="00744852" w:rsidRPr="00AC1525" w:rsidP="00EB4783" w14:paraId="65970A01" w14:textId="77777777">
            <w:pPr>
              <w:keepNext/>
              <w:keepLines/>
              <w:snapToGrid w:val="0"/>
              <w:ind w:left="15"/>
              <w:rPr>
                <w:color w:val="000000"/>
                <w:sz w:val="22"/>
                <w:szCs w:val="22"/>
              </w:rPr>
            </w:pPr>
            <w:r w:rsidRPr="00AC1525">
              <w:rPr>
                <w:color w:val="000000"/>
                <w:sz w:val="22"/>
                <w:szCs w:val="22"/>
              </w:rPr>
              <w:t>3. Technical</w:t>
            </w:r>
          </w:p>
        </w:tc>
        <w:tc>
          <w:tcPr>
            <w:tcW w:w="1870" w:type="dxa"/>
            <w:vAlign w:val="center"/>
          </w:tcPr>
          <w:p w:rsidR="00744852" w:rsidRPr="00AC1525" w:rsidP="00EB4783" w14:paraId="6E67BEAC"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AC1525">
              <w:rPr>
                <w:color w:val="000000"/>
                <w:sz w:val="22"/>
                <w:szCs w:val="22"/>
              </w:rPr>
              <w:t>$</w:t>
            </w:r>
            <w:r>
              <w:rPr>
                <w:color w:val="000000"/>
                <w:sz w:val="22"/>
                <w:szCs w:val="22"/>
              </w:rPr>
              <w:t>35.50</w:t>
            </w:r>
          </w:p>
        </w:tc>
        <w:tc>
          <w:tcPr>
            <w:tcW w:w="1870" w:type="dxa"/>
            <w:vAlign w:val="center"/>
          </w:tcPr>
          <w:p w:rsidR="00744852" w:rsidRPr="00744852" w:rsidP="00EB4783" w14:paraId="1D0AC56C" w14:textId="77777777">
            <w:pPr>
              <w:keepNext/>
              <w:keepLines/>
              <w:ind w:left="15"/>
              <w:jc w:val="center"/>
              <w:rPr>
                <w:b/>
                <w:bCs/>
                <w:color w:val="000000"/>
                <w:sz w:val="22"/>
                <w:szCs w:val="22"/>
              </w:rPr>
            </w:pPr>
            <w:r w:rsidRPr="00744852">
              <w:rPr>
                <w:b/>
                <w:bCs/>
                <w:color w:val="000000"/>
                <w:sz w:val="22"/>
                <w:szCs w:val="22"/>
              </w:rPr>
              <w:t>$56.80</w:t>
            </w:r>
          </w:p>
        </w:tc>
        <w:tc>
          <w:tcPr>
            <w:tcW w:w="1870" w:type="dxa"/>
            <w:vAlign w:val="center"/>
          </w:tcPr>
          <w:p w:rsidR="00744852" w:rsidRPr="00AC1525" w:rsidP="00EB4783" w14:paraId="41447A4E" w14:textId="77777777">
            <w:pPr>
              <w:keepNext/>
              <w:keepLines/>
              <w:snapToGrid w:val="0"/>
              <w:ind w:left="15"/>
              <w:jc w:val="center"/>
              <w:rPr>
                <w:color w:val="000000"/>
                <w:sz w:val="22"/>
                <w:szCs w:val="22"/>
              </w:rPr>
            </w:pPr>
            <w:r>
              <w:rPr>
                <w:color w:val="000000"/>
                <w:sz w:val="22"/>
                <w:szCs w:val="22"/>
              </w:rPr>
              <w:t>$32.46</w:t>
            </w:r>
          </w:p>
        </w:tc>
        <w:tc>
          <w:tcPr>
            <w:tcW w:w="1870" w:type="dxa"/>
            <w:vAlign w:val="center"/>
          </w:tcPr>
          <w:p w:rsidR="00744852" w:rsidRPr="00744852" w:rsidP="00EB4783" w14:paraId="7B14D368" w14:textId="77777777">
            <w:pPr>
              <w:keepNext/>
              <w:keepLines/>
              <w:snapToGrid w:val="0"/>
              <w:ind w:left="15"/>
              <w:jc w:val="center"/>
              <w:rPr>
                <w:b/>
                <w:bCs/>
                <w:color w:val="000000"/>
                <w:sz w:val="22"/>
                <w:szCs w:val="22"/>
              </w:rPr>
            </w:pPr>
            <w:r w:rsidRPr="00744852">
              <w:rPr>
                <w:b/>
                <w:bCs/>
                <w:color w:val="000000"/>
                <w:sz w:val="22"/>
                <w:szCs w:val="22"/>
              </w:rPr>
              <w:t>$51.94</w:t>
            </w:r>
          </w:p>
        </w:tc>
      </w:tr>
      <w:tr w14:paraId="28545B01" w14:textId="77777777" w:rsidTr="00EB4783">
        <w:tblPrEx>
          <w:tblW w:w="0" w:type="auto"/>
          <w:tblLook w:val="04A0"/>
        </w:tblPrEx>
        <w:tc>
          <w:tcPr>
            <w:tcW w:w="1870" w:type="dxa"/>
          </w:tcPr>
          <w:p w:rsidR="00744852" w:rsidRPr="00AC1525" w:rsidP="00EB4783" w14:paraId="20274013" w14:textId="77777777">
            <w:pPr>
              <w:keepNext/>
              <w:keepLines/>
              <w:snapToGrid w:val="0"/>
              <w:ind w:left="15"/>
              <w:rPr>
                <w:color w:val="000000"/>
                <w:sz w:val="22"/>
                <w:szCs w:val="22"/>
              </w:rPr>
            </w:pPr>
            <w:r w:rsidRPr="00AC1525">
              <w:rPr>
                <w:color w:val="000000"/>
                <w:sz w:val="22"/>
                <w:szCs w:val="22"/>
              </w:rPr>
              <w:t>4. Clerical</w:t>
            </w:r>
          </w:p>
        </w:tc>
        <w:tc>
          <w:tcPr>
            <w:tcW w:w="1870" w:type="dxa"/>
            <w:vAlign w:val="center"/>
          </w:tcPr>
          <w:p w:rsidR="00744852" w:rsidRPr="00AC1525" w:rsidP="00EB4783" w14:paraId="1CD1E8A1" w14:textId="77777777">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 w:val="22"/>
                <w:szCs w:val="22"/>
                <w:highlight w:val="green"/>
              </w:rPr>
            </w:pPr>
            <w:r w:rsidRPr="00AC1525">
              <w:rPr>
                <w:color w:val="000000"/>
                <w:sz w:val="22"/>
                <w:szCs w:val="22"/>
              </w:rPr>
              <w:t>$</w:t>
            </w:r>
            <w:r>
              <w:rPr>
                <w:color w:val="000000"/>
                <w:sz w:val="22"/>
                <w:szCs w:val="22"/>
              </w:rPr>
              <w:t>21.09</w:t>
            </w:r>
          </w:p>
        </w:tc>
        <w:tc>
          <w:tcPr>
            <w:tcW w:w="1870" w:type="dxa"/>
            <w:vAlign w:val="center"/>
          </w:tcPr>
          <w:p w:rsidR="00744852" w:rsidRPr="00744852" w:rsidP="00EB4783" w14:paraId="3BD62628" w14:textId="77777777">
            <w:pPr>
              <w:keepNext/>
              <w:keepLines/>
              <w:ind w:left="15"/>
              <w:jc w:val="center"/>
              <w:rPr>
                <w:b/>
                <w:bCs/>
                <w:color w:val="000000"/>
                <w:sz w:val="22"/>
                <w:szCs w:val="22"/>
              </w:rPr>
            </w:pPr>
            <w:r w:rsidRPr="00744852">
              <w:rPr>
                <w:b/>
                <w:bCs/>
                <w:color w:val="000000"/>
                <w:sz w:val="22"/>
                <w:szCs w:val="22"/>
              </w:rPr>
              <w:t>$33.70</w:t>
            </w:r>
          </w:p>
        </w:tc>
        <w:tc>
          <w:tcPr>
            <w:tcW w:w="1870" w:type="dxa"/>
            <w:vAlign w:val="center"/>
          </w:tcPr>
          <w:p w:rsidR="00744852" w:rsidRPr="00AC1525" w:rsidP="00EB4783" w14:paraId="218292D1" w14:textId="77777777">
            <w:pPr>
              <w:keepNext/>
              <w:keepLines/>
              <w:snapToGrid w:val="0"/>
              <w:ind w:left="15"/>
              <w:jc w:val="center"/>
              <w:rPr>
                <w:color w:val="000000"/>
                <w:sz w:val="22"/>
                <w:szCs w:val="22"/>
              </w:rPr>
            </w:pPr>
            <w:r>
              <w:rPr>
                <w:color w:val="000000"/>
                <w:sz w:val="22"/>
                <w:szCs w:val="22"/>
              </w:rPr>
              <w:t>$20.14</w:t>
            </w:r>
          </w:p>
        </w:tc>
        <w:tc>
          <w:tcPr>
            <w:tcW w:w="1870" w:type="dxa"/>
            <w:vAlign w:val="center"/>
          </w:tcPr>
          <w:p w:rsidR="00744852" w:rsidRPr="00744852" w:rsidP="00EB4783" w14:paraId="29471DF0" w14:textId="77777777">
            <w:pPr>
              <w:keepNext/>
              <w:keepLines/>
              <w:snapToGrid w:val="0"/>
              <w:ind w:left="15"/>
              <w:jc w:val="center"/>
              <w:rPr>
                <w:b/>
                <w:bCs/>
                <w:color w:val="000000"/>
                <w:sz w:val="22"/>
                <w:szCs w:val="22"/>
              </w:rPr>
            </w:pPr>
            <w:r w:rsidRPr="00744852">
              <w:rPr>
                <w:b/>
                <w:bCs/>
                <w:color w:val="000000"/>
                <w:sz w:val="22"/>
                <w:szCs w:val="22"/>
              </w:rPr>
              <w:t>$32.22</w:t>
            </w:r>
          </w:p>
        </w:tc>
      </w:tr>
    </w:tbl>
    <w:p w:rsidR="00780E17" w:rsidRPr="00780E17" w:rsidP="00780E17" w14:paraId="4384422E" w14:textId="77777777">
      <w:pPr>
        <w:keepNext/>
        <w:keepLines/>
        <w:ind w:firstLine="720"/>
        <w:jc w:val="center"/>
        <w:rPr>
          <w:b/>
          <w:bCs/>
          <w:sz w:val="22"/>
          <w:szCs w:val="22"/>
        </w:rPr>
      </w:pPr>
    </w:p>
    <w:p w:rsidR="00AC1525" w:rsidRPr="00AC1525" w:rsidP="00AC1525" w14:paraId="0C7B9DC2" w14:textId="5BDEA21A">
      <w:pPr>
        <w:keepNext/>
        <w:keepLines/>
        <w:ind w:firstLine="720"/>
        <w:rPr>
          <w:sz w:val="22"/>
          <w:szCs w:val="22"/>
        </w:rPr>
      </w:pPr>
      <w:r w:rsidRPr="00AC1525">
        <w:rPr>
          <w:sz w:val="22"/>
          <w:szCs w:val="22"/>
        </w:rPr>
        <w:t xml:space="preserve">For the State </w:t>
      </w:r>
      <w:r w:rsidR="00780E17">
        <w:rPr>
          <w:sz w:val="22"/>
          <w:szCs w:val="22"/>
        </w:rPr>
        <w:t xml:space="preserve">agency </w:t>
      </w:r>
      <w:r w:rsidRPr="00AC1525">
        <w:rPr>
          <w:sz w:val="22"/>
          <w:szCs w:val="22"/>
        </w:rPr>
        <w:t>respondent labor rates, EPA estimates an average hourly State labor cost (including fringe and overhead) of $67.67 for legal staff, $63.52 for managerial staff, $38.00 for technical staff, and $24.24 for clerical staff.  These State labor costs were obtained from a previously approved ICR and updated to 2022 levels using Employment Cost Indexes developed by the U.S. Bureau of Labor Statistics.</w:t>
      </w:r>
    </w:p>
    <w:p w:rsidR="00244C0C" w:rsidRPr="00AC1525" w:rsidP="00244C0C" w14:paraId="107F696E" w14:textId="5759A491">
      <w:pPr>
        <w:jc w:val="center"/>
        <w:rPr>
          <w:color w:val="000000"/>
          <w:sz w:val="22"/>
          <w:szCs w:val="22"/>
          <w:highlight w:val="yellow"/>
        </w:rPr>
      </w:pPr>
    </w:p>
    <w:p w:rsidR="00146A6C" w:rsidRPr="00AC1525" w14:paraId="44274B32" w14:textId="77777777">
      <w:pPr>
        <w:rPr>
          <w:sz w:val="22"/>
          <w:szCs w:val="22"/>
        </w:rPr>
      </w:pPr>
    </w:p>
    <w:p w:rsidR="00146A6C" w:rsidRPr="00AC1525" w14:paraId="327CA4CB" w14:textId="77777777">
      <w:pPr>
        <w:tabs>
          <w:tab w:val="left" w:pos="-1440"/>
        </w:tabs>
        <w:ind w:left="1440" w:hanging="720"/>
        <w:rPr>
          <w:sz w:val="22"/>
          <w:szCs w:val="22"/>
        </w:rPr>
      </w:pPr>
      <w:r w:rsidRPr="00AC1525">
        <w:rPr>
          <w:b/>
          <w:bCs/>
          <w:sz w:val="22"/>
          <w:szCs w:val="22"/>
        </w:rPr>
        <w:t>(2)</w:t>
      </w:r>
      <w:r w:rsidRPr="00AC1525">
        <w:rPr>
          <w:b/>
          <w:bCs/>
          <w:sz w:val="22"/>
          <w:szCs w:val="22"/>
        </w:rPr>
        <w:tab/>
        <w:t>Capital Costs</w:t>
      </w:r>
    </w:p>
    <w:p w:rsidR="00146A6C" w:rsidRPr="00AC1525" w14:paraId="72CABB3D" w14:textId="77777777">
      <w:pPr>
        <w:rPr>
          <w:sz w:val="22"/>
          <w:szCs w:val="22"/>
        </w:rPr>
      </w:pPr>
    </w:p>
    <w:p w:rsidR="00146A6C" w:rsidRPr="00AC1525" w14:paraId="667DF58A" w14:textId="56E8D181">
      <w:pPr>
        <w:ind w:firstLine="720"/>
        <w:rPr>
          <w:sz w:val="22"/>
          <w:szCs w:val="22"/>
        </w:rPr>
      </w:pPr>
      <w:r w:rsidRPr="00AC1525">
        <w:rPr>
          <w:sz w:val="22"/>
          <w:szCs w:val="22"/>
        </w:rP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146A6C" w:rsidRPr="00AC1525" w14:paraId="09419C02" w14:textId="77777777">
      <w:pPr>
        <w:rPr>
          <w:b/>
          <w:bCs/>
          <w:sz w:val="22"/>
          <w:szCs w:val="22"/>
        </w:rPr>
      </w:pPr>
    </w:p>
    <w:p w:rsidR="00146A6C" w:rsidRPr="00AC1525" w14:paraId="350AA948" w14:textId="77777777">
      <w:pPr>
        <w:keepNext/>
        <w:tabs>
          <w:tab w:val="left" w:pos="-1440"/>
        </w:tabs>
        <w:ind w:left="1440" w:hanging="720"/>
        <w:rPr>
          <w:b/>
          <w:bCs/>
          <w:sz w:val="22"/>
          <w:szCs w:val="22"/>
        </w:rPr>
      </w:pPr>
      <w:r w:rsidRPr="00AC1525">
        <w:rPr>
          <w:b/>
          <w:bCs/>
          <w:sz w:val="22"/>
          <w:szCs w:val="22"/>
        </w:rPr>
        <w:t>(3)</w:t>
      </w:r>
      <w:r w:rsidRPr="00AC1525">
        <w:rPr>
          <w:b/>
          <w:bCs/>
          <w:sz w:val="22"/>
          <w:szCs w:val="22"/>
        </w:rPr>
        <w:tab/>
        <w:t>Operation &amp; Maintenance Costs</w:t>
      </w:r>
    </w:p>
    <w:p w:rsidR="00146A6C" w:rsidRPr="00AC1525" w14:paraId="750CFD9A" w14:textId="77777777">
      <w:pPr>
        <w:keepNext/>
        <w:rPr>
          <w:sz w:val="22"/>
          <w:szCs w:val="22"/>
        </w:rPr>
      </w:pPr>
    </w:p>
    <w:p w:rsidR="00146A6C" w:rsidRPr="00AC1525" w14:paraId="0E6A03F8" w14:textId="330D05C9">
      <w:pPr>
        <w:keepNext/>
        <w:ind w:firstLine="720"/>
        <w:rPr>
          <w:color w:val="000000"/>
          <w:sz w:val="22"/>
          <w:szCs w:val="22"/>
        </w:rPr>
      </w:pPr>
      <w:r w:rsidRPr="00AC1525">
        <w:rPr>
          <w:color w:val="000000"/>
          <w:sz w:val="22"/>
          <w:szCs w:val="22"/>
        </w:rPr>
        <w:t xml:space="preserve">O&amp;M costs are those costs associated with a paperwork requirement incurred continually over the life of the ICR.  This ICR includes O&amp;M costs for postage (i.e., </w:t>
      </w:r>
      <w:r w:rsidRPr="00AC1525" w:rsidR="009265EC">
        <w:rPr>
          <w:color w:val="000000"/>
          <w:sz w:val="22"/>
          <w:szCs w:val="22"/>
        </w:rPr>
        <w:t>$</w:t>
      </w:r>
      <w:r w:rsidRPr="00AC1525" w:rsidR="00BC321E">
        <w:rPr>
          <w:color w:val="000000"/>
          <w:sz w:val="22"/>
          <w:szCs w:val="22"/>
        </w:rPr>
        <w:t>3.</w:t>
      </w:r>
      <w:r w:rsidR="00AC1525">
        <w:rPr>
          <w:color w:val="000000"/>
          <w:sz w:val="22"/>
          <w:szCs w:val="22"/>
        </w:rPr>
        <w:t>75</w:t>
      </w:r>
      <w:r w:rsidRPr="00AC1525" w:rsidR="009265EC">
        <w:rPr>
          <w:color w:val="000000"/>
          <w:sz w:val="22"/>
          <w:szCs w:val="22"/>
        </w:rPr>
        <w:t xml:space="preserve"> </w:t>
      </w:r>
      <w:r w:rsidRPr="00AC1525" w:rsidR="00443218">
        <w:rPr>
          <w:color w:val="000000"/>
          <w:sz w:val="22"/>
          <w:szCs w:val="22"/>
        </w:rPr>
        <w:t xml:space="preserve">currently </w:t>
      </w:r>
      <w:r w:rsidRPr="00AC1525">
        <w:rPr>
          <w:color w:val="000000"/>
          <w:sz w:val="22"/>
          <w:szCs w:val="22"/>
        </w:rPr>
        <w:t xml:space="preserve">for </w:t>
      </w:r>
      <w:r w:rsidRPr="00AC1525">
        <w:rPr>
          <w:color w:val="000000"/>
          <w:sz w:val="22"/>
          <w:szCs w:val="22"/>
        </w:rPr>
        <w:t>certified mail) and envelope (i.e., $0.01</w:t>
      </w:r>
      <w:r w:rsidRPr="00AC1525" w:rsidR="00C92F87">
        <w:rPr>
          <w:color w:val="000000"/>
          <w:sz w:val="22"/>
          <w:szCs w:val="22"/>
        </w:rPr>
        <w:t>3</w:t>
      </w:r>
      <w:r w:rsidRPr="00AC1525">
        <w:rPr>
          <w:color w:val="000000"/>
          <w:sz w:val="22"/>
          <w:szCs w:val="22"/>
        </w:rPr>
        <w:t xml:space="preserve">).  The ICR includes </w:t>
      </w:r>
      <w:r w:rsidRPr="00AC1525" w:rsidR="009265EC">
        <w:rPr>
          <w:color w:val="000000"/>
          <w:sz w:val="22"/>
          <w:szCs w:val="22"/>
        </w:rPr>
        <w:t>$</w:t>
      </w:r>
      <w:r w:rsidRPr="00AC1525" w:rsidR="009808D5">
        <w:rPr>
          <w:color w:val="000000"/>
          <w:sz w:val="22"/>
          <w:szCs w:val="22"/>
        </w:rPr>
        <w:t>0.1</w:t>
      </w:r>
      <w:r w:rsidRPr="00AC1525" w:rsidR="00C92F87">
        <w:rPr>
          <w:color w:val="000000"/>
          <w:sz w:val="22"/>
          <w:szCs w:val="22"/>
        </w:rPr>
        <w:t>6</w:t>
      </w:r>
      <w:r w:rsidRPr="00AC1525" w:rsidR="009265EC">
        <w:rPr>
          <w:color w:val="000000"/>
          <w:sz w:val="22"/>
          <w:szCs w:val="22"/>
        </w:rPr>
        <w:t xml:space="preserve"> </w:t>
      </w:r>
      <w:r w:rsidRPr="00AC1525">
        <w:rPr>
          <w:color w:val="000000"/>
          <w:sz w:val="22"/>
          <w:szCs w:val="22"/>
        </w:rPr>
        <w:t>per container label</w:t>
      </w:r>
      <w:r w:rsidR="00941C22">
        <w:rPr>
          <w:color w:val="000000"/>
          <w:sz w:val="22"/>
          <w:szCs w:val="22"/>
        </w:rPr>
        <w:t>, for a total of $255,192</w:t>
      </w:r>
      <w:r w:rsidRPr="00AC1525">
        <w:rPr>
          <w:color w:val="000000"/>
          <w:sz w:val="22"/>
          <w:szCs w:val="22"/>
        </w:rPr>
        <w:t>.</w:t>
      </w:r>
    </w:p>
    <w:p w:rsidR="00E20513" w:rsidRPr="00AC1525" w14:paraId="142700DC" w14:textId="77777777">
      <w:pPr>
        <w:keepNext/>
        <w:ind w:firstLine="720"/>
        <w:rPr>
          <w:color w:val="000000"/>
          <w:sz w:val="22"/>
          <w:szCs w:val="22"/>
        </w:rPr>
      </w:pPr>
    </w:p>
    <w:p w:rsidR="00146A6C" w:rsidP="00941C22" w14:paraId="63043393" w14:textId="7DAFD869">
      <w:pPr>
        <w:ind w:firstLine="432"/>
        <w:rPr>
          <w:i/>
          <w:iCs/>
          <w:color w:val="000000"/>
          <w:sz w:val="22"/>
          <w:szCs w:val="22"/>
        </w:rPr>
      </w:pPr>
      <w:r w:rsidRPr="00AC1525">
        <w:rPr>
          <w:color w:val="000000"/>
          <w:sz w:val="22"/>
          <w:szCs w:val="22"/>
        </w:rPr>
        <w:tab/>
      </w:r>
      <w:r w:rsidRPr="00AC1525">
        <w:rPr>
          <w:rFonts w:eastAsia="PMingLiU"/>
          <w:color w:val="000000"/>
          <w:sz w:val="22"/>
          <w:szCs w:val="22"/>
          <w:lang w:eastAsia="zh-TW"/>
        </w:rPr>
        <w:t xml:space="preserve"> </w:t>
      </w:r>
      <w:bookmarkStart w:id="392" w:name="_Toc146594796"/>
      <w:bookmarkStart w:id="393" w:name="_Toc194233054"/>
      <w:bookmarkStart w:id="394" w:name="_Toc194321377"/>
      <w:bookmarkStart w:id="395" w:name="_Toc194321592"/>
      <w:bookmarkStart w:id="396" w:name="_Toc194395946"/>
      <w:bookmarkStart w:id="397" w:name="_Toc195523832"/>
      <w:bookmarkStart w:id="398" w:name="_Toc195524043"/>
      <w:bookmarkStart w:id="399" w:name="_Toc198053466"/>
      <w:bookmarkStart w:id="400" w:name="_Toc199176369"/>
      <w:bookmarkStart w:id="401" w:name="_Toc201152827"/>
      <w:bookmarkStart w:id="402" w:name="_Toc201153940"/>
      <w:bookmarkStart w:id="403" w:name="_Toc203626045"/>
      <w:bookmarkStart w:id="404" w:name="_Toc203626153"/>
      <w:bookmarkStart w:id="405" w:name="_Toc203711647"/>
      <w:bookmarkStart w:id="406" w:name="_Toc203715794"/>
      <w:bookmarkStart w:id="407" w:name="_Toc434488022"/>
      <w:r w:rsidRPr="00AC1525">
        <w:rPr>
          <w:color w:val="000000"/>
          <w:sz w:val="22"/>
          <w:szCs w:val="22"/>
        </w:rPr>
        <w:t>6(c)</w:t>
      </w:r>
      <w:r w:rsidRPr="00AC1525">
        <w:rPr>
          <w:color w:val="000000"/>
          <w:sz w:val="22"/>
          <w:szCs w:val="22"/>
        </w:rPr>
        <w:tab/>
        <w:t>Estimating Agency Hour and Cost Burden</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933ADD" w:rsidRPr="00933ADD" w:rsidP="00933ADD" w14:paraId="54685C04" w14:textId="77777777"/>
    <w:p w:rsidR="00933ADD" w:rsidRPr="00490372" w:rsidP="00933ADD" w14:paraId="2784D595" w14:textId="06E46629">
      <w:pPr>
        <w:tabs>
          <w:tab w:val="left" w:pos="-1080"/>
          <w:tab w:val="left" w:pos="-720"/>
          <w:tab w:val="left" w:pos="0"/>
          <w:tab w:val="left" w:pos="720"/>
          <w:tab w:val="left" w:pos="1440"/>
          <w:tab w:val="left" w:pos="1800"/>
        </w:tabs>
        <w:rPr>
          <w:sz w:val="22"/>
          <w:szCs w:val="22"/>
        </w:rPr>
      </w:pPr>
      <w:r>
        <w:rPr>
          <w:sz w:val="22"/>
          <w:szCs w:val="22"/>
        </w:rPr>
        <w:tab/>
      </w:r>
      <w:r w:rsidRPr="00490372">
        <w:rPr>
          <w:sz w:val="22"/>
          <w:szCs w:val="22"/>
        </w:rPr>
        <w:t>EPA estimates an average hourly labor cost (labor plus overhead) of $8</w:t>
      </w:r>
      <w:r>
        <w:rPr>
          <w:sz w:val="22"/>
          <w:szCs w:val="22"/>
        </w:rPr>
        <w:t>6.54</w:t>
      </w:r>
      <w:r w:rsidRPr="00490372">
        <w:rPr>
          <w:sz w:val="22"/>
          <w:szCs w:val="22"/>
        </w:rPr>
        <w:t xml:space="preserve"> for legal staff,</w:t>
      </w:r>
      <w:r w:rsidRPr="00490372">
        <w:rPr>
          <w:b/>
          <w:bCs/>
          <w:sz w:val="22"/>
          <w:szCs w:val="22"/>
        </w:rPr>
        <w:t xml:space="preserve"> </w:t>
      </w:r>
      <w:r w:rsidRPr="00490372">
        <w:rPr>
          <w:sz w:val="22"/>
          <w:szCs w:val="22"/>
        </w:rPr>
        <w:t>$</w:t>
      </w:r>
      <w:r>
        <w:rPr>
          <w:sz w:val="22"/>
          <w:szCs w:val="22"/>
        </w:rPr>
        <w:t>62.27</w:t>
      </w:r>
      <w:r w:rsidRPr="00490372">
        <w:rPr>
          <w:sz w:val="22"/>
          <w:szCs w:val="22"/>
        </w:rPr>
        <w:t xml:space="preserve"> for managerial staff, $</w:t>
      </w:r>
      <w:r>
        <w:rPr>
          <w:sz w:val="22"/>
          <w:szCs w:val="22"/>
        </w:rPr>
        <w:t>43.68</w:t>
      </w:r>
      <w:r w:rsidRPr="00490372">
        <w:rPr>
          <w:sz w:val="22"/>
          <w:szCs w:val="22"/>
        </w:rPr>
        <w:t xml:space="preserve"> for technical staff, and $</w:t>
      </w:r>
      <w:r>
        <w:rPr>
          <w:sz w:val="22"/>
          <w:szCs w:val="22"/>
        </w:rPr>
        <w:t>26.56</w:t>
      </w:r>
      <w:r w:rsidRPr="00490372">
        <w:rPr>
          <w:b/>
          <w:bCs/>
          <w:sz w:val="22"/>
          <w:szCs w:val="22"/>
        </w:rPr>
        <w:t xml:space="preserve"> </w:t>
      </w:r>
      <w:r w:rsidRPr="00490372">
        <w:rPr>
          <w:sz w:val="22"/>
          <w:szCs w:val="22"/>
        </w:rPr>
        <w:t>for clerical staff.  To derive these estimates, EPA used the General Schedule (GS) Salary Table 20</w:t>
      </w:r>
      <w:r>
        <w:rPr>
          <w:sz w:val="22"/>
          <w:szCs w:val="22"/>
        </w:rPr>
        <w:t>22</w:t>
      </w:r>
      <w:r w:rsidRPr="00490372">
        <w:rPr>
          <w:sz w:val="22"/>
          <w:szCs w:val="22"/>
        </w:rPr>
        <w:t>.  For purposes of this ICR, EPA assigned staff the following government service levels:</w:t>
      </w:r>
    </w:p>
    <w:p w:rsidR="00933ADD" w:rsidRPr="00490372" w:rsidP="00933ADD" w14:paraId="2E026D67" w14:textId="77777777">
      <w:pPr>
        <w:tabs>
          <w:tab w:val="left" w:pos="-1080"/>
          <w:tab w:val="left" w:pos="-720"/>
          <w:tab w:val="left" w:pos="0"/>
          <w:tab w:val="left" w:pos="720"/>
          <w:tab w:val="left" w:pos="1440"/>
          <w:tab w:val="left" w:pos="1800"/>
        </w:tabs>
        <w:rPr>
          <w:sz w:val="22"/>
          <w:szCs w:val="22"/>
        </w:rPr>
      </w:pPr>
    </w:p>
    <w:p w:rsidR="00933ADD" w:rsidRPr="00490372" w:rsidP="00933ADD" w14:paraId="2E2BCBB4"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Legal Staff</w:t>
      </w:r>
      <w:r w:rsidRPr="00490372">
        <w:rPr>
          <w:sz w:val="22"/>
          <w:szCs w:val="22"/>
        </w:rPr>
        <w:tab/>
      </w:r>
      <w:r w:rsidRPr="00490372">
        <w:rPr>
          <w:sz w:val="22"/>
          <w:szCs w:val="22"/>
        </w:rPr>
        <w:tab/>
      </w:r>
      <w:r>
        <w:rPr>
          <w:sz w:val="22"/>
          <w:szCs w:val="22"/>
        </w:rPr>
        <w:tab/>
      </w:r>
      <w:r w:rsidRPr="00490372">
        <w:rPr>
          <w:sz w:val="22"/>
          <w:szCs w:val="22"/>
        </w:rPr>
        <w:t>GS</w:t>
      </w:r>
      <w:r w:rsidRPr="00490372">
        <w:rPr>
          <w:sz w:val="22"/>
          <w:szCs w:val="22"/>
        </w:rPr>
        <w:noBreakHyphen/>
        <w:t>15, Step 1</w:t>
      </w:r>
    </w:p>
    <w:p w:rsidR="00933ADD" w:rsidRPr="00490372" w:rsidP="00933ADD" w14:paraId="61329693"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Managerial Staff</w:t>
      </w:r>
      <w:r w:rsidRPr="00490372">
        <w:rPr>
          <w:sz w:val="22"/>
          <w:szCs w:val="22"/>
        </w:rPr>
        <w:tab/>
        <w:t>GS</w:t>
      </w:r>
      <w:r w:rsidRPr="00490372">
        <w:rPr>
          <w:sz w:val="22"/>
          <w:szCs w:val="22"/>
        </w:rPr>
        <w:noBreakHyphen/>
        <w:t>1</w:t>
      </w:r>
      <w:r>
        <w:rPr>
          <w:sz w:val="22"/>
          <w:szCs w:val="22"/>
        </w:rPr>
        <w:t>3, Step 1</w:t>
      </w:r>
    </w:p>
    <w:p w:rsidR="00933ADD" w:rsidRPr="00490372" w:rsidP="00933ADD" w14:paraId="6CC76B9A"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 xml:space="preserve"> Technical Staff</w:t>
      </w:r>
      <w:r w:rsidRPr="00490372">
        <w:rPr>
          <w:sz w:val="22"/>
          <w:szCs w:val="22"/>
        </w:rPr>
        <w:tab/>
      </w:r>
      <w:r>
        <w:rPr>
          <w:sz w:val="22"/>
          <w:szCs w:val="22"/>
        </w:rPr>
        <w:tab/>
        <w:t>GS</w:t>
      </w:r>
      <w:r>
        <w:rPr>
          <w:sz w:val="22"/>
          <w:szCs w:val="22"/>
        </w:rPr>
        <w:noBreakHyphen/>
        <w:t>11, Step 1</w:t>
      </w:r>
    </w:p>
    <w:p w:rsidR="00933ADD" w:rsidRPr="00490372" w:rsidP="00933ADD" w14:paraId="3977E9DB" w14:textId="77777777">
      <w:pPr>
        <w:tabs>
          <w:tab w:val="left" w:pos="-1080"/>
          <w:tab w:val="left" w:pos="-720"/>
          <w:tab w:val="left" w:pos="0"/>
          <w:tab w:val="left" w:pos="720"/>
          <w:tab w:val="left" w:pos="1440"/>
          <w:tab w:val="left" w:pos="1800"/>
        </w:tabs>
        <w:ind w:firstLine="720"/>
        <w:rPr>
          <w:i/>
          <w:iCs/>
          <w:sz w:val="22"/>
          <w:szCs w:val="22"/>
        </w:rPr>
      </w:pPr>
      <w:r>
        <w:rPr>
          <w:sz w:val="22"/>
          <w:szCs w:val="22"/>
        </w:rPr>
        <w:t xml:space="preserve"> Clerical Staff</w:t>
      </w:r>
      <w:r>
        <w:rPr>
          <w:sz w:val="22"/>
          <w:szCs w:val="22"/>
        </w:rPr>
        <w:tab/>
      </w:r>
      <w:r>
        <w:rPr>
          <w:sz w:val="22"/>
          <w:szCs w:val="22"/>
        </w:rPr>
        <w:tab/>
        <w:t>GS</w:t>
      </w:r>
      <w:r>
        <w:rPr>
          <w:sz w:val="22"/>
          <w:szCs w:val="22"/>
        </w:rPr>
        <w:noBreakHyphen/>
        <w:t>6</w:t>
      </w:r>
      <w:r w:rsidRPr="00490372">
        <w:rPr>
          <w:sz w:val="22"/>
          <w:szCs w:val="22"/>
        </w:rPr>
        <w:t>, Step 1</w:t>
      </w:r>
    </w:p>
    <w:p w:rsidR="00933ADD" w:rsidRPr="00490372" w:rsidP="00933ADD" w14:paraId="48535A96" w14:textId="77777777">
      <w:pPr>
        <w:tabs>
          <w:tab w:val="left" w:pos="-1080"/>
          <w:tab w:val="left" w:pos="-720"/>
          <w:tab w:val="left" w:pos="0"/>
          <w:tab w:val="left" w:pos="720"/>
          <w:tab w:val="left" w:pos="1440"/>
          <w:tab w:val="left" w:pos="1800"/>
        </w:tabs>
        <w:rPr>
          <w:sz w:val="22"/>
          <w:szCs w:val="22"/>
        </w:rPr>
      </w:pPr>
    </w:p>
    <w:p w:rsidR="00933ADD" w:rsidRPr="00490372" w:rsidP="00933ADD" w14:paraId="40C71923" w14:textId="77777777">
      <w:pPr>
        <w:tabs>
          <w:tab w:val="left" w:pos="-1080"/>
          <w:tab w:val="left" w:pos="-720"/>
          <w:tab w:val="left" w:pos="0"/>
          <w:tab w:val="left" w:pos="720"/>
          <w:tab w:val="left" w:pos="1440"/>
          <w:tab w:val="left" w:pos="1800"/>
        </w:tabs>
        <w:ind w:firstLine="720"/>
        <w:rPr>
          <w:sz w:val="22"/>
          <w:szCs w:val="22"/>
        </w:rPr>
      </w:pPr>
      <w:r w:rsidRPr="00490372">
        <w:rPr>
          <w:sz w:val="22"/>
          <w:szCs w:val="22"/>
        </w:rPr>
        <w:t>To derive hourly estimates, EPA divided annual compensation estimates by 2,080, which is the number of hours in the Federal work</w:t>
      </w:r>
      <w:r w:rsidRPr="00490372">
        <w:rPr>
          <w:sz w:val="22"/>
          <w:szCs w:val="22"/>
        </w:rPr>
        <w:noBreakHyphen/>
        <w:t>year.  EPA then multiplied hourly rates by the standard government overhead factor of 1.6.</w:t>
      </w:r>
    </w:p>
    <w:p w:rsidR="00146A6C" w:rsidRPr="00AC1525" w14:paraId="4FC674D3" w14:textId="77777777">
      <w:pPr>
        <w:pStyle w:val="Heading2"/>
        <w:ind w:left="1440" w:hanging="720"/>
        <w:rPr>
          <w:rFonts w:ascii="Times New Roman" w:hAnsi="Times New Roman" w:cs="Times New Roman"/>
          <w:i w:val="0"/>
          <w:iCs w:val="0"/>
          <w:color w:val="000000"/>
          <w:sz w:val="22"/>
          <w:szCs w:val="22"/>
        </w:rPr>
      </w:pPr>
      <w:bookmarkStart w:id="408" w:name="_Toc194233055"/>
      <w:bookmarkStart w:id="409" w:name="_Toc194321378"/>
      <w:bookmarkStart w:id="410" w:name="_Toc194321593"/>
      <w:bookmarkStart w:id="411" w:name="_Toc194395947"/>
      <w:bookmarkStart w:id="412" w:name="_Toc195523833"/>
      <w:bookmarkStart w:id="413" w:name="_Toc195524044"/>
      <w:bookmarkStart w:id="414" w:name="_Toc198053467"/>
      <w:bookmarkStart w:id="415" w:name="_Toc199176370"/>
      <w:bookmarkStart w:id="416" w:name="_Toc201152828"/>
      <w:bookmarkStart w:id="417" w:name="_Toc201153941"/>
      <w:bookmarkStart w:id="418" w:name="_Toc203626046"/>
      <w:bookmarkStart w:id="419" w:name="_Toc203626154"/>
      <w:bookmarkStart w:id="420" w:name="_Toc203711648"/>
      <w:bookmarkStart w:id="421" w:name="_Toc203715795"/>
      <w:bookmarkStart w:id="422" w:name="_Toc434488023"/>
      <w:r w:rsidRPr="00AC1525">
        <w:rPr>
          <w:rFonts w:ascii="Times New Roman" w:hAnsi="Times New Roman" w:cs="Times New Roman"/>
          <w:i w:val="0"/>
          <w:iCs w:val="0"/>
          <w:color w:val="000000"/>
          <w:sz w:val="22"/>
          <w:szCs w:val="22"/>
        </w:rPr>
        <w:t>6(d)</w:t>
      </w:r>
      <w:r w:rsidRPr="00AC1525">
        <w:rPr>
          <w:rFonts w:ascii="Times New Roman" w:hAnsi="Times New Roman" w:cs="Times New Roman"/>
          <w:i w:val="0"/>
          <w:iCs w:val="0"/>
          <w:color w:val="000000"/>
          <w:sz w:val="22"/>
          <w:szCs w:val="22"/>
        </w:rPr>
        <w:tab/>
        <w:t>Estimating the Annual Respondent Universe and Total Hour and Cost Burden</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146A6C" w:rsidRPr="00AC1525" w14:paraId="0B7CA3D6" w14:textId="77777777">
      <w:pPr>
        <w:rPr>
          <w:color w:val="000000"/>
          <w:sz w:val="22"/>
          <w:szCs w:val="22"/>
        </w:rPr>
      </w:pPr>
    </w:p>
    <w:p w:rsidR="00146A6C" w:rsidRPr="00AC1525" w14:paraId="47A612C5" w14:textId="77777777">
      <w:pPr>
        <w:ind w:firstLine="720"/>
        <w:rPr>
          <w:sz w:val="22"/>
          <w:szCs w:val="22"/>
        </w:rPr>
      </w:pPr>
      <w:r w:rsidRPr="00AC1525">
        <w:rPr>
          <w:color w:val="000000"/>
          <w:sz w:val="22"/>
          <w:szCs w:val="22"/>
        </w:rPr>
        <w:t xml:space="preserve">In this section, EPA first describes the estimated respondent universe under the rule.  EPA then estimates the annual burden to respondents under the rule’s paperwork </w:t>
      </w:r>
      <w:r w:rsidRPr="00AC1525">
        <w:rPr>
          <w:sz w:val="22"/>
          <w:szCs w:val="22"/>
        </w:rPr>
        <w:t xml:space="preserve">requirements.  Finally, EPA estimates the burden impacts to respondents under the existing RCRA generator paperwork standards.  </w:t>
      </w:r>
    </w:p>
    <w:p w:rsidR="00146A6C" w:rsidRPr="00AC1525" w14:paraId="492AFB17" w14:textId="77777777">
      <w:pPr>
        <w:ind w:firstLine="720"/>
        <w:rPr>
          <w:sz w:val="22"/>
          <w:szCs w:val="22"/>
        </w:rPr>
      </w:pPr>
    </w:p>
    <w:p w:rsidR="00146A6C" w:rsidRPr="00AC1525" w14:paraId="4C5935BA" w14:textId="77777777">
      <w:pPr>
        <w:rPr>
          <w:color w:val="3333FF"/>
          <w:sz w:val="22"/>
          <w:szCs w:val="22"/>
        </w:rPr>
      </w:pPr>
    </w:p>
    <w:p w:rsidR="00146A6C" w:rsidRPr="00AC1525" w14:paraId="156EFA7D" w14:textId="77777777">
      <w:pPr>
        <w:keepNext/>
        <w:ind w:firstLine="720"/>
        <w:rPr>
          <w:b/>
          <w:bCs/>
          <w:sz w:val="22"/>
          <w:szCs w:val="22"/>
        </w:rPr>
      </w:pPr>
      <w:r w:rsidRPr="00AC1525">
        <w:rPr>
          <w:b/>
          <w:bCs/>
          <w:sz w:val="22"/>
          <w:szCs w:val="22"/>
        </w:rPr>
        <w:t>(1)</w:t>
      </w:r>
      <w:r w:rsidRPr="00AC1525">
        <w:rPr>
          <w:b/>
          <w:bCs/>
          <w:sz w:val="22"/>
          <w:szCs w:val="22"/>
        </w:rPr>
        <w:tab/>
        <w:t>Respondent Universe</w:t>
      </w:r>
    </w:p>
    <w:p w:rsidR="00146A6C" w:rsidRPr="00AC1525" w14:paraId="5D8C3FB0" w14:textId="77777777">
      <w:pPr>
        <w:keepNext/>
        <w:rPr>
          <w:sz w:val="22"/>
          <w:szCs w:val="22"/>
        </w:rPr>
      </w:pPr>
    </w:p>
    <w:p w:rsidR="00146A6C" w:rsidRPr="00A43856" w:rsidP="00A43856" w14:paraId="26EFD4CB" w14:textId="26EED740">
      <w:pPr>
        <w:keepNext/>
        <w:ind w:firstLine="720"/>
        <w:rPr>
          <w:b/>
          <w:color w:val="800000"/>
          <w:sz w:val="22"/>
          <w:szCs w:val="22"/>
        </w:rPr>
      </w:pPr>
      <w:r w:rsidRPr="00AC1525">
        <w:rPr>
          <w:sz w:val="22"/>
          <w:szCs w:val="22"/>
        </w:rPr>
        <w:t xml:space="preserve">Table </w:t>
      </w:r>
      <w:r w:rsidR="00EE5EFC">
        <w:rPr>
          <w:sz w:val="22"/>
          <w:szCs w:val="22"/>
        </w:rPr>
        <w:t>1</w:t>
      </w:r>
      <w:r w:rsidRPr="00AC1525">
        <w:rPr>
          <w:sz w:val="22"/>
          <w:szCs w:val="22"/>
        </w:rPr>
        <w:t xml:space="preserve"> presents the total number of sites at eligible academic entities that are </w:t>
      </w:r>
      <w:r w:rsidR="00C1646B">
        <w:rPr>
          <w:sz w:val="22"/>
          <w:szCs w:val="22"/>
        </w:rPr>
        <w:t>operating under Subpart K. This data was determined using the data available in EPA’s RCRAInfo database.</w:t>
      </w:r>
      <w:r>
        <w:rPr>
          <w:rStyle w:val="FootnoteReference"/>
          <w:sz w:val="22"/>
          <w:szCs w:val="22"/>
        </w:rPr>
        <w:footnoteReference w:id="2"/>
      </w:r>
      <w:r w:rsidR="00A43856">
        <w:rPr>
          <w:b/>
          <w:color w:val="800000"/>
          <w:sz w:val="22"/>
          <w:szCs w:val="22"/>
        </w:rPr>
        <w:t xml:space="preserve"> </w:t>
      </w:r>
      <w:r w:rsidRPr="00AC1525" w:rsidR="00DD0FF0">
        <w:rPr>
          <w:color w:val="000000"/>
          <w:sz w:val="22"/>
          <w:szCs w:val="22"/>
        </w:rPr>
        <w:t>EPA has notifications from 2</w:t>
      </w:r>
      <w:r w:rsidR="00A43856">
        <w:rPr>
          <w:color w:val="000000"/>
          <w:sz w:val="22"/>
          <w:szCs w:val="22"/>
        </w:rPr>
        <w:t>4</w:t>
      </w:r>
      <w:r w:rsidR="00CD1E89">
        <w:rPr>
          <w:color w:val="000000"/>
          <w:sz w:val="22"/>
          <w:szCs w:val="22"/>
        </w:rPr>
        <w:t>6</w:t>
      </w:r>
      <w:r w:rsidRPr="00AC1525" w:rsidR="00DD0FF0">
        <w:rPr>
          <w:color w:val="000000"/>
          <w:sz w:val="22"/>
          <w:szCs w:val="22"/>
        </w:rPr>
        <w:t xml:space="preserve"> eligible academic entities that currently operate under Subpart K. </w:t>
      </w:r>
      <w:r w:rsidR="00A43856">
        <w:rPr>
          <w:color w:val="000000"/>
          <w:sz w:val="22"/>
          <w:szCs w:val="22"/>
        </w:rPr>
        <w:t xml:space="preserve">Based on the data gathered for the final rule, EPA estimates each laboratory has approximately 15 containers of unwanted material and that there are an average of </w:t>
      </w:r>
      <w:r w:rsidR="005D47F7">
        <w:rPr>
          <w:color w:val="000000"/>
          <w:sz w:val="22"/>
          <w:szCs w:val="22"/>
        </w:rPr>
        <w:t>4</w:t>
      </w:r>
      <w:r w:rsidR="00941C22">
        <w:rPr>
          <w:color w:val="000000"/>
          <w:sz w:val="22"/>
          <w:szCs w:val="22"/>
        </w:rPr>
        <w:t>00</w:t>
      </w:r>
      <w:r w:rsidR="00A43856">
        <w:rPr>
          <w:color w:val="000000"/>
          <w:sz w:val="22"/>
          <w:szCs w:val="22"/>
        </w:rPr>
        <w:t xml:space="preserve"> laboratories per institution, which when multiplied means </w:t>
      </w:r>
      <w:r w:rsidR="005D47F7">
        <w:rPr>
          <w:color w:val="000000"/>
          <w:sz w:val="22"/>
          <w:szCs w:val="22"/>
        </w:rPr>
        <w:t>1,</w:t>
      </w:r>
      <w:r w:rsidR="00941C22">
        <w:rPr>
          <w:color w:val="000000"/>
          <w:sz w:val="22"/>
          <w:szCs w:val="22"/>
        </w:rPr>
        <w:t>476,000</w:t>
      </w:r>
      <w:r w:rsidR="00D4236E">
        <w:rPr>
          <w:color w:val="000000"/>
          <w:sz w:val="22"/>
          <w:szCs w:val="22"/>
        </w:rPr>
        <w:t xml:space="preserve"> containers of unwanted material</w:t>
      </w:r>
      <w:r w:rsidR="005D47F7">
        <w:rPr>
          <w:color w:val="000000"/>
          <w:sz w:val="22"/>
          <w:szCs w:val="22"/>
        </w:rPr>
        <w:t>s generated annually under Subpart K.</w:t>
      </w:r>
    </w:p>
    <w:p w:rsidR="005D47F7" w14:paraId="59C3271E" w14:textId="67A0EBD5">
      <w:pPr>
        <w:rPr>
          <w:b/>
          <w:bCs/>
          <w:sz w:val="22"/>
          <w:szCs w:val="22"/>
        </w:rPr>
      </w:pPr>
      <w:r>
        <w:rPr>
          <w:b/>
          <w:bCs/>
          <w:sz w:val="22"/>
          <w:szCs w:val="22"/>
        </w:rPr>
        <w:br w:type="page"/>
      </w:r>
    </w:p>
    <w:p w:rsidR="00146A6C" w:rsidRPr="00AC1525" w14:paraId="23842BCA" w14:textId="77777777">
      <w:pPr>
        <w:ind w:firstLine="720"/>
        <w:rPr>
          <w:b/>
          <w:bCs/>
          <w:sz w:val="22"/>
          <w:szCs w:val="22"/>
        </w:rPr>
      </w:pPr>
    </w:p>
    <w:p w:rsidR="00146A6C" w:rsidRPr="00AC1525" w14:paraId="201BBE6C" w14:textId="77777777">
      <w:pPr>
        <w:rPr>
          <w:sz w:val="22"/>
          <w:szCs w:val="22"/>
        </w:rPr>
      </w:pPr>
    </w:p>
    <w:p w:rsidR="00146A6C" w:rsidRPr="00AC1525" w:rsidP="005D47F7" w14:paraId="567CCC4B" w14:textId="41C5664F">
      <w:pPr>
        <w:jc w:val="center"/>
        <w:rPr>
          <w:b/>
          <w:bCs/>
          <w:sz w:val="22"/>
          <w:szCs w:val="22"/>
        </w:rPr>
      </w:pPr>
      <w:r w:rsidRPr="00AC1525">
        <w:rPr>
          <w:b/>
          <w:bCs/>
          <w:sz w:val="22"/>
          <w:szCs w:val="22"/>
        </w:rPr>
        <w:t xml:space="preserve">Table </w:t>
      </w:r>
      <w:r w:rsidR="00EE5EFC">
        <w:rPr>
          <w:b/>
          <w:bCs/>
          <w:sz w:val="22"/>
          <w:szCs w:val="22"/>
        </w:rPr>
        <w:t>1</w:t>
      </w:r>
    </w:p>
    <w:p w:rsidR="005F3A7E" w:rsidRPr="00AC1525" w14:paraId="73DA24ED" w14:textId="77777777">
      <w:pPr>
        <w:jc w:val="center"/>
        <w:rPr>
          <w:b/>
          <w:bCs/>
          <w:color w:val="000000"/>
          <w:sz w:val="22"/>
          <w:szCs w:val="22"/>
        </w:rPr>
      </w:pPr>
      <w:r w:rsidRPr="00AC1525">
        <w:rPr>
          <w:b/>
          <w:bCs/>
          <w:color w:val="000000"/>
          <w:sz w:val="22"/>
          <w:szCs w:val="22"/>
        </w:rPr>
        <w:t xml:space="preserve">Total Number of Sites at Eligible Academic Entities </w:t>
      </w:r>
      <w:r w:rsidRPr="00AC1525" w:rsidR="00773195">
        <w:rPr>
          <w:b/>
          <w:bCs/>
          <w:color w:val="000000"/>
          <w:sz w:val="22"/>
          <w:szCs w:val="22"/>
        </w:rPr>
        <w:t xml:space="preserve">Operating under Subpart K </w:t>
      </w:r>
    </w:p>
    <w:p w:rsidR="00773195" w:rsidRPr="00AC1525" w:rsidP="00773195" w14:paraId="5E546C8D" w14:textId="455ECFF7">
      <w:pPr>
        <w:rPr>
          <w:color w:val="000000"/>
          <w:sz w:val="22"/>
          <w:szCs w:val="22"/>
        </w:rPr>
      </w:pPr>
    </w:p>
    <w:tbl>
      <w:tblPr>
        <w:tblStyle w:val="TableGrid"/>
        <w:tblW w:w="8630" w:type="dxa"/>
        <w:jc w:val="center"/>
        <w:tblLook w:val="04A0"/>
      </w:tblPr>
      <w:tblGrid>
        <w:gridCol w:w="2515"/>
        <w:gridCol w:w="2204"/>
        <w:gridCol w:w="2488"/>
        <w:gridCol w:w="1423"/>
      </w:tblGrid>
      <w:tr w14:paraId="75425E93" w14:textId="01193EF6" w:rsidTr="00CD1E89">
        <w:tblPrEx>
          <w:tblW w:w="8630" w:type="dxa"/>
          <w:jc w:val="center"/>
          <w:tblLook w:val="04A0"/>
        </w:tblPrEx>
        <w:trPr>
          <w:trHeight w:val="336"/>
          <w:jc w:val="center"/>
        </w:trPr>
        <w:tc>
          <w:tcPr>
            <w:tcW w:w="2515" w:type="dxa"/>
            <w:vAlign w:val="bottom"/>
          </w:tcPr>
          <w:p w:rsidR="00CD1E89" w:rsidRPr="00C1646B" w:rsidP="00773195" w14:paraId="36E851FF" w14:textId="7B189CB0">
            <w:pPr>
              <w:rPr>
                <w:b/>
                <w:bCs/>
                <w:color w:val="000000"/>
                <w:sz w:val="22"/>
                <w:szCs w:val="22"/>
              </w:rPr>
            </w:pPr>
            <w:r>
              <w:rPr>
                <w:b/>
                <w:bCs/>
                <w:color w:val="000000"/>
                <w:sz w:val="22"/>
                <w:szCs w:val="22"/>
              </w:rPr>
              <w:t>Type of Entity</w:t>
            </w:r>
          </w:p>
        </w:tc>
        <w:tc>
          <w:tcPr>
            <w:tcW w:w="2204" w:type="dxa"/>
          </w:tcPr>
          <w:p w:rsidR="00CD1E89" w:rsidP="00773195" w14:paraId="166E5972" w14:textId="0BE3B226">
            <w:pPr>
              <w:jc w:val="center"/>
              <w:rPr>
                <w:b/>
                <w:color w:val="000000"/>
                <w:sz w:val="22"/>
                <w:szCs w:val="22"/>
              </w:rPr>
            </w:pPr>
            <w:r>
              <w:rPr>
                <w:b/>
                <w:color w:val="000000"/>
                <w:sz w:val="22"/>
                <w:szCs w:val="22"/>
              </w:rPr>
              <w:t>Privately-owned</w:t>
            </w:r>
          </w:p>
        </w:tc>
        <w:tc>
          <w:tcPr>
            <w:tcW w:w="2488" w:type="dxa"/>
          </w:tcPr>
          <w:p w:rsidR="00CD1E89" w:rsidP="00773195" w14:paraId="37E9D109" w14:textId="73FEF0F2">
            <w:pPr>
              <w:jc w:val="center"/>
              <w:rPr>
                <w:b/>
                <w:color w:val="000000"/>
                <w:sz w:val="22"/>
                <w:szCs w:val="22"/>
              </w:rPr>
            </w:pPr>
            <w:r>
              <w:rPr>
                <w:b/>
                <w:color w:val="000000"/>
                <w:sz w:val="22"/>
                <w:szCs w:val="22"/>
              </w:rPr>
              <w:t>State-owned</w:t>
            </w:r>
          </w:p>
        </w:tc>
        <w:tc>
          <w:tcPr>
            <w:tcW w:w="1423" w:type="dxa"/>
          </w:tcPr>
          <w:p w:rsidR="00CD1E89" w:rsidRPr="00AC1525" w:rsidP="00773195" w14:paraId="099E7D54" w14:textId="4917FA4A">
            <w:pPr>
              <w:jc w:val="center"/>
              <w:rPr>
                <w:b/>
                <w:color w:val="000000"/>
                <w:sz w:val="22"/>
                <w:szCs w:val="22"/>
              </w:rPr>
            </w:pPr>
            <w:r>
              <w:rPr>
                <w:b/>
                <w:color w:val="000000"/>
                <w:sz w:val="22"/>
                <w:szCs w:val="22"/>
              </w:rPr>
              <w:t>Total</w:t>
            </w:r>
          </w:p>
        </w:tc>
      </w:tr>
      <w:tr w14:paraId="6C9322C1" w14:textId="17A4FF79" w:rsidTr="00CD1E89">
        <w:tblPrEx>
          <w:tblW w:w="8630" w:type="dxa"/>
          <w:jc w:val="center"/>
          <w:tblLook w:val="04A0"/>
        </w:tblPrEx>
        <w:trPr>
          <w:trHeight w:val="336"/>
          <w:jc w:val="center"/>
        </w:trPr>
        <w:tc>
          <w:tcPr>
            <w:tcW w:w="2515" w:type="dxa"/>
          </w:tcPr>
          <w:p w:rsidR="00CD1E89" w:rsidRPr="00C1646B" w:rsidP="00773195" w14:paraId="0E332691" w14:textId="20C7D4F9">
            <w:pPr>
              <w:rPr>
                <w:b/>
                <w:bCs/>
                <w:color w:val="000000"/>
                <w:sz w:val="22"/>
                <w:szCs w:val="22"/>
              </w:rPr>
            </w:pPr>
            <w:r w:rsidRPr="00C1646B">
              <w:rPr>
                <w:b/>
                <w:bCs/>
                <w:color w:val="000000"/>
                <w:sz w:val="22"/>
                <w:szCs w:val="22"/>
              </w:rPr>
              <w:t>Universities</w:t>
            </w:r>
            <w:r>
              <w:rPr>
                <w:b/>
                <w:bCs/>
                <w:color w:val="000000"/>
                <w:sz w:val="22"/>
                <w:szCs w:val="22"/>
              </w:rPr>
              <w:t xml:space="preserve"> </w:t>
            </w:r>
          </w:p>
        </w:tc>
        <w:tc>
          <w:tcPr>
            <w:tcW w:w="2204" w:type="dxa"/>
          </w:tcPr>
          <w:p w:rsidR="00CD1E89" w:rsidP="00CD1E89" w14:paraId="0F99FE09" w14:textId="07D09F60">
            <w:pPr>
              <w:jc w:val="center"/>
              <w:rPr>
                <w:color w:val="000000"/>
                <w:sz w:val="22"/>
                <w:szCs w:val="22"/>
              </w:rPr>
            </w:pPr>
            <w:r>
              <w:rPr>
                <w:color w:val="000000"/>
                <w:sz w:val="22"/>
                <w:szCs w:val="22"/>
              </w:rPr>
              <w:t>63</w:t>
            </w:r>
          </w:p>
        </w:tc>
        <w:tc>
          <w:tcPr>
            <w:tcW w:w="2488" w:type="dxa"/>
          </w:tcPr>
          <w:p w:rsidR="00CD1E89" w:rsidP="00CD1E89" w14:paraId="51256649" w14:textId="07BEC71B">
            <w:pPr>
              <w:jc w:val="center"/>
              <w:rPr>
                <w:color w:val="000000"/>
                <w:sz w:val="22"/>
                <w:szCs w:val="22"/>
              </w:rPr>
            </w:pPr>
            <w:r>
              <w:rPr>
                <w:color w:val="000000"/>
                <w:sz w:val="22"/>
                <w:szCs w:val="22"/>
              </w:rPr>
              <w:t>147</w:t>
            </w:r>
          </w:p>
        </w:tc>
        <w:tc>
          <w:tcPr>
            <w:tcW w:w="1423" w:type="dxa"/>
          </w:tcPr>
          <w:p w:rsidR="00CD1E89" w:rsidRPr="00AC1525" w:rsidP="00CD1E89" w14:paraId="5B5B3136" w14:textId="3D2F5026">
            <w:pPr>
              <w:jc w:val="center"/>
              <w:rPr>
                <w:color w:val="000000"/>
                <w:sz w:val="22"/>
                <w:szCs w:val="22"/>
              </w:rPr>
            </w:pPr>
            <w:r>
              <w:rPr>
                <w:color w:val="000000"/>
                <w:sz w:val="22"/>
                <w:szCs w:val="22"/>
              </w:rPr>
              <w:t>210</w:t>
            </w:r>
          </w:p>
        </w:tc>
      </w:tr>
      <w:tr w14:paraId="07BEB87B" w14:textId="77777777" w:rsidTr="00CD1E89">
        <w:tblPrEx>
          <w:tblW w:w="8630" w:type="dxa"/>
          <w:jc w:val="center"/>
          <w:tblLook w:val="04A0"/>
        </w:tblPrEx>
        <w:trPr>
          <w:trHeight w:val="336"/>
          <w:jc w:val="center"/>
        </w:trPr>
        <w:tc>
          <w:tcPr>
            <w:tcW w:w="2515" w:type="dxa"/>
          </w:tcPr>
          <w:p w:rsidR="00CD1E89" w:rsidRPr="00C1646B" w:rsidP="00773195" w14:paraId="3248DC3A" w14:textId="3DE22489">
            <w:pPr>
              <w:rPr>
                <w:b/>
                <w:bCs/>
                <w:color w:val="000000"/>
                <w:sz w:val="22"/>
                <w:szCs w:val="22"/>
              </w:rPr>
            </w:pPr>
            <w:r w:rsidRPr="00C1646B">
              <w:rPr>
                <w:b/>
                <w:bCs/>
                <w:color w:val="000000"/>
                <w:sz w:val="22"/>
                <w:szCs w:val="22"/>
              </w:rPr>
              <w:t>Teaching Hospitals</w:t>
            </w:r>
          </w:p>
        </w:tc>
        <w:tc>
          <w:tcPr>
            <w:tcW w:w="2204" w:type="dxa"/>
          </w:tcPr>
          <w:p w:rsidR="00CD1E89" w:rsidP="00CD1E89" w14:paraId="25C93844" w14:textId="5A5AD35F">
            <w:pPr>
              <w:jc w:val="center"/>
              <w:rPr>
                <w:color w:val="000000"/>
                <w:sz w:val="22"/>
                <w:szCs w:val="22"/>
              </w:rPr>
            </w:pPr>
            <w:r>
              <w:rPr>
                <w:color w:val="000000"/>
                <w:sz w:val="22"/>
                <w:szCs w:val="22"/>
              </w:rPr>
              <w:t>12</w:t>
            </w:r>
          </w:p>
        </w:tc>
        <w:tc>
          <w:tcPr>
            <w:tcW w:w="2488" w:type="dxa"/>
          </w:tcPr>
          <w:p w:rsidR="00CD1E89" w:rsidP="00CD1E89" w14:paraId="219B9D87" w14:textId="696BBC4D">
            <w:pPr>
              <w:jc w:val="center"/>
              <w:rPr>
                <w:color w:val="000000"/>
                <w:sz w:val="22"/>
                <w:szCs w:val="22"/>
              </w:rPr>
            </w:pPr>
            <w:r>
              <w:rPr>
                <w:color w:val="000000"/>
                <w:sz w:val="22"/>
                <w:szCs w:val="22"/>
              </w:rPr>
              <w:t>9</w:t>
            </w:r>
          </w:p>
        </w:tc>
        <w:tc>
          <w:tcPr>
            <w:tcW w:w="1423" w:type="dxa"/>
          </w:tcPr>
          <w:p w:rsidR="00CD1E89" w:rsidRPr="00AC1525" w:rsidP="00CD1E89" w14:paraId="30357AE2" w14:textId="14B2921A">
            <w:pPr>
              <w:jc w:val="center"/>
              <w:rPr>
                <w:color w:val="000000"/>
                <w:sz w:val="22"/>
                <w:szCs w:val="22"/>
              </w:rPr>
            </w:pPr>
            <w:r>
              <w:rPr>
                <w:color w:val="000000"/>
                <w:sz w:val="22"/>
                <w:szCs w:val="22"/>
              </w:rPr>
              <w:t>21</w:t>
            </w:r>
          </w:p>
        </w:tc>
      </w:tr>
      <w:tr w14:paraId="141F2A84" w14:textId="77777777" w:rsidTr="00CD1E89">
        <w:tblPrEx>
          <w:tblW w:w="8630" w:type="dxa"/>
          <w:jc w:val="center"/>
          <w:tblLook w:val="04A0"/>
        </w:tblPrEx>
        <w:trPr>
          <w:trHeight w:val="336"/>
          <w:jc w:val="center"/>
        </w:trPr>
        <w:tc>
          <w:tcPr>
            <w:tcW w:w="2515" w:type="dxa"/>
          </w:tcPr>
          <w:p w:rsidR="00CD1E89" w:rsidRPr="00C1646B" w:rsidP="00773195" w14:paraId="3680C58A" w14:textId="27A06713">
            <w:pPr>
              <w:rPr>
                <w:b/>
                <w:bCs/>
                <w:color w:val="000000"/>
                <w:sz w:val="22"/>
                <w:szCs w:val="22"/>
              </w:rPr>
            </w:pPr>
            <w:r w:rsidRPr="00C1646B">
              <w:rPr>
                <w:b/>
                <w:bCs/>
                <w:color w:val="000000"/>
                <w:sz w:val="22"/>
                <w:szCs w:val="22"/>
              </w:rPr>
              <w:t>Non-profit Institutions</w:t>
            </w:r>
          </w:p>
        </w:tc>
        <w:tc>
          <w:tcPr>
            <w:tcW w:w="2204" w:type="dxa"/>
          </w:tcPr>
          <w:p w:rsidR="00CD1E89" w:rsidP="00CD1E89" w14:paraId="15B7FCFB" w14:textId="2683E012">
            <w:pPr>
              <w:jc w:val="center"/>
              <w:rPr>
                <w:color w:val="000000"/>
                <w:sz w:val="22"/>
                <w:szCs w:val="22"/>
              </w:rPr>
            </w:pPr>
            <w:r>
              <w:rPr>
                <w:color w:val="000000"/>
                <w:sz w:val="22"/>
                <w:szCs w:val="22"/>
              </w:rPr>
              <w:t>13</w:t>
            </w:r>
          </w:p>
        </w:tc>
        <w:tc>
          <w:tcPr>
            <w:tcW w:w="2488" w:type="dxa"/>
          </w:tcPr>
          <w:p w:rsidR="00CD1E89" w:rsidP="00CD1E89" w14:paraId="4534B2CD" w14:textId="2C37DB85">
            <w:pPr>
              <w:jc w:val="center"/>
              <w:rPr>
                <w:color w:val="000000"/>
                <w:sz w:val="22"/>
                <w:szCs w:val="22"/>
              </w:rPr>
            </w:pPr>
            <w:r>
              <w:rPr>
                <w:color w:val="000000"/>
                <w:sz w:val="22"/>
                <w:szCs w:val="22"/>
              </w:rPr>
              <w:t>2</w:t>
            </w:r>
          </w:p>
        </w:tc>
        <w:tc>
          <w:tcPr>
            <w:tcW w:w="1423" w:type="dxa"/>
          </w:tcPr>
          <w:p w:rsidR="00CD1E89" w:rsidRPr="00AC1525" w:rsidP="00CD1E89" w14:paraId="05272065" w14:textId="008D3B9D">
            <w:pPr>
              <w:jc w:val="center"/>
              <w:rPr>
                <w:color w:val="000000"/>
                <w:sz w:val="22"/>
                <w:szCs w:val="22"/>
              </w:rPr>
            </w:pPr>
            <w:r>
              <w:rPr>
                <w:color w:val="000000"/>
                <w:sz w:val="22"/>
                <w:szCs w:val="22"/>
              </w:rPr>
              <w:t>15</w:t>
            </w:r>
          </w:p>
        </w:tc>
      </w:tr>
      <w:tr w14:paraId="42124CCC" w14:textId="77777777" w:rsidTr="00CD1E89">
        <w:tblPrEx>
          <w:tblW w:w="8630" w:type="dxa"/>
          <w:jc w:val="center"/>
          <w:tblLook w:val="04A0"/>
        </w:tblPrEx>
        <w:trPr>
          <w:trHeight w:val="336"/>
          <w:jc w:val="center"/>
        </w:trPr>
        <w:tc>
          <w:tcPr>
            <w:tcW w:w="2515" w:type="dxa"/>
          </w:tcPr>
          <w:p w:rsidR="00CD1E89" w:rsidRPr="00C1646B" w:rsidP="00773195" w14:paraId="2222DF00" w14:textId="3D05C4C0">
            <w:pPr>
              <w:rPr>
                <w:b/>
                <w:bCs/>
                <w:color w:val="000000"/>
                <w:sz w:val="22"/>
                <w:szCs w:val="22"/>
              </w:rPr>
            </w:pPr>
            <w:r>
              <w:rPr>
                <w:b/>
                <w:bCs/>
                <w:color w:val="000000"/>
                <w:sz w:val="22"/>
                <w:szCs w:val="22"/>
              </w:rPr>
              <w:t>Total</w:t>
            </w:r>
          </w:p>
        </w:tc>
        <w:tc>
          <w:tcPr>
            <w:tcW w:w="2204" w:type="dxa"/>
          </w:tcPr>
          <w:p w:rsidR="00CD1E89" w:rsidP="00CD1E89" w14:paraId="3836886A" w14:textId="7D3184A9">
            <w:pPr>
              <w:jc w:val="center"/>
              <w:rPr>
                <w:color w:val="000000"/>
                <w:sz w:val="22"/>
                <w:szCs w:val="22"/>
              </w:rPr>
            </w:pPr>
            <w:r>
              <w:rPr>
                <w:color w:val="000000"/>
                <w:sz w:val="22"/>
                <w:szCs w:val="22"/>
              </w:rPr>
              <w:t>88</w:t>
            </w:r>
          </w:p>
        </w:tc>
        <w:tc>
          <w:tcPr>
            <w:tcW w:w="2488" w:type="dxa"/>
          </w:tcPr>
          <w:p w:rsidR="00CD1E89" w:rsidP="00CD1E89" w14:paraId="286402C0" w14:textId="07C638DC">
            <w:pPr>
              <w:jc w:val="center"/>
              <w:rPr>
                <w:color w:val="000000"/>
                <w:sz w:val="22"/>
                <w:szCs w:val="22"/>
              </w:rPr>
            </w:pPr>
            <w:r>
              <w:rPr>
                <w:color w:val="000000"/>
                <w:sz w:val="22"/>
                <w:szCs w:val="22"/>
              </w:rPr>
              <w:t>158</w:t>
            </w:r>
          </w:p>
        </w:tc>
        <w:tc>
          <w:tcPr>
            <w:tcW w:w="1423" w:type="dxa"/>
          </w:tcPr>
          <w:p w:rsidR="00CD1E89" w:rsidRPr="00CD1E89" w:rsidP="00CD1E89" w14:paraId="2ED1CF81" w14:textId="2CBCB0A3">
            <w:pPr>
              <w:jc w:val="center"/>
              <w:rPr>
                <w:b/>
                <w:bCs/>
                <w:color w:val="000000"/>
                <w:sz w:val="22"/>
                <w:szCs w:val="22"/>
              </w:rPr>
            </w:pPr>
            <w:r w:rsidRPr="00CD1E89">
              <w:rPr>
                <w:b/>
                <w:bCs/>
                <w:color w:val="000000"/>
                <w:sz w:val="22"/>
                <w:szCs w:val="22"/>
              </w:rPr>
              <w:t>246</w:t>
            </w:r>
          </w:p>
        </w:tc>
      </w:tr>
    </w:tbl>
    <w:p w:rsidR="00146A6C" w:rsidRPr="00AC1525" w:rsidP="000811B4" w14:paraId="26964D00" w14:textId="0DE1936D">
      <w:pPr>
        <w:rPr>
          <w:color w:val="000000"/>
          <w:sz w:val="22"/>
          <w:szCs w:val="22"/>
        </w:rPr>
      </w:pPr>
    </w:p>
    <w:p w:rsidR="005F3A7E" w:rsidRPr="00AC1525" w:rsidP="005F3A7E" w14:paraId="78AD48F9" w14:textId="77777777">
      <w:pPr>
        <w:jc w:val="center"/>
        <w:rPr>
          <w:color w:val="000000"/>
          <w:sz w:val="22"/>
          <w:szCs w:val="22"/>
        </w:rPr>
      </w:pPr>
    </w:p>
    <w:p w:rsidR="00574BA2" w:rsidRPr="00AC1525" w:rsidP="00574BA2" w14:paraId="144B54F2" w14:textId="77777777">
      <w:pPr>
        <w:ind w:firstLine="720"/>
        <w:rPr>
          <w:b/>
          <w:bCs/>
          <w:color w:val="000000"/>
          <w:sz w:val="22"/>
          <w:szCs w:val="22"/>
        </w:rPr>
      </w:pPr>
      <w:r w:rsidRPr="00AC1525">
        <w:rPr>
          <w:b/>
          <w:bCs/>
          <w:color w:val="000000"/>
          <w:sz w:val="22"/>
          <w:szCs w:val="22"/>
        </w:rPr>
        <w:t>(2)</w:t>
      </w:r>
      <w:r w:rsidRPr="00AC1525">
        <w:rPr>
          <w:b/>
          <w:bCs/>
          <w:color w:val="000000"/>
          <w:sz w:val="22"/>
          <w:szCs w:val="22"/>
        </w:rPr>
        <w:tab/>
        <w:t>Annual Respondent Burden under Subpart K</w:t>
      </w:r>
    </w:p>
    <w:p w:rsidR="00574BA2" w:rsidRPr="00AC1525" w:rsidP="00574BA2" w14:paraId="29068355" w14:textId="77777777">
      <w:pPr>
        <w:rPr>
          <w:color w:val="000000"/>
          <w:sz w:val="22"/>
          <w:szCs w:val="22"/>
        </w:rPr>
      </w:pPr>
    </w:p>
    <w:p w:rsidR="00574BA2" w:rsidRPr="00AC1525" w:rsidP="00574BA2" w14:paraId="79E92F4A" w14:textId="58C41B8D">
      <w:pPr>
        <w:keepNext/>
        <w:ind w:firstLine="720"/>
        <w:rPr>
          <w:color w:val="FF0000"/>
          <w:sz w:val="22"/>
          <w:szCs w:val="22"/>
        </w:rPr>
      </w:pPr>
      <w:r w:rsidRPr="00AC1525">
        <w:rPr>
          <w:color w:val="000000"/>
          <w:sz w:val="22"/>
          <w:szCs w:val="22"/>
        </w:rPr>
        <w:t xml:space="preserve">Based on the respondent universe data presented in Table </w:t>
      </w:r>
      <w:r w:rsidR="00D1627A">
        <w:rPr>
          <w:color w:val="000000"/>
          <w:sz w:val="22"/>
          <w:szCs w:val="22"/>
        </w:rPr>
        <w:t>1</w:t>
      </w:r>
      <w:r w:rsidRPr="00AC1525">
        <w:rPr>
          <w:color w:val="000000"/>
          <w:sz w:val="22"/>
          <w:szCs w:val="22"/>
        </w:rPr>
        <w:t>, EPA estimates the annual incremental hour and cost burden to respondents under the Subpart</w:t>
      </w:r>
      <w:r w:rsidRPr="00AC1525">
        <w:rPr>
          <w:color w:val="3333FF"/>
          <w:sz w:val="22"/>
          <w:szCs w:val="22"/>
        </w:rPr>
        <w:t xml:space="preserve"> </w:t>
      </w:r>
      <w:r w:rsidRPr="00AC1525">
        <w:rPr>
          <w:color w:val="000000"/>
          <w:sz w:val="22"/>
          <w:szCs w:val="22"/>
        </w:rPr>
        <w:t>K regulations in Exhibit</w:t>
      </w:r>
      <w:r w:rsidRPr="00AC1525">
        <w:rPr>
          <w:sz w:val="22"/>
          <w:szCs w:val="22"/>
        </w:rPr>
        <w:t xml:space="preserve"> 1. A discussion of the assumptions used in the development of these burden estimates is presented in the following subsections.  </w:t>
      </w:r>
    </w:p>
    <w:p w:rsidR="00574BA2" w:rsidRPr="00AC1525" w:rsidP="00574BA2" w14:paraId="01C81ACE" w14:textId="77777777">
      <w:pPr>
        <w:ind w:firstLine="720"/>
        <w:rPr>
          <w:sz w:val="22"/>
          <w:szCs w:val="22"/>
        </w:rPr>
      </w:pPr>
    </w:p>
    <w:p w:rsidR="00574BA2" w:rsidRPr="00AC1525" w:rsidP="00574BA2" w14:paraId="74B8FA1E" w14:textId="77777777">
      <w:pPr>
        <w:rPr>
          <w:sz w:val="22"/>
          <w:szCs w:val="22"/>
        </w:rPr>
      </w:pPr>
    </w:p>
    <w:p w:rsidR="00574BA2" w:rsidRPr="00AC1525" w:rsidP="00574BA2" w14:paraId="77605452" w14:textId="77777777">
      <w:pPr>
        <w:tabs>
          <w:tab w:val="left" w:pos="720"/>
          <w:tab w:val="left" w:pos="1440"/>
        </w:tabs>
        <w:ind w:left="1440" w:hanging="720"/>
        <w:rPr>
          <w:sz w:val="22"/>
          <w:szCs w:val="22"/>
        </w:rPr>
      </w:pPr>
      <w:r w:rsidRPr="00AC1525">
        <w:rPr>
          <w:b/>
          <w:bCs/>
          <w:sz w:val="22"/>
          <w:szCs w:val="22"/>
        </w:rPr>
        <w:t>(a)</w:t>
      </w:r>
      <w:r w:rsidRPr="00AC1525">
        <w:rPr>
          <w:b/>
          <w:bCs/>
          <w:sz w:val="22"/>
          <w:szCs w:val="22"/>
        </w:rPr>
        <w:tab/>
        <w:t>Reading the Regulations</w:t>
      </w:r>
      <w:r w:rsidRPr="00AC1525">
        <w:rPr>
          <w:sz w:val="22"/>
          <w:szCs w:val="22"/>
        </w:rPr>
        <w:tab/>
      </w:r>
    </w:p>
    <w:p w:rsidR="00574BA2" w:rsidRPr="00AC1525" w:rsidP="00574BA2" w14:paraId="458FD5A2" w14:textId="77777777">
      <w:pPr>
        <w:rPr>
          <w:sz w:val="22"/>
          <w:szCs w:val="22"/>
        </w:rPr>
      </w:pPr>
    </w:p>
    <w:p w:rsidR="00305789" w:rsidRPr="00AC1525" w:rsidP="00305789" w14:paraId="24E7AEDA" w14:textId="77777777">
      <w:pPr>
        <w:ind w:firstLine="720"/>
        <w:rPr>
          <w:color w:val="000000"/>
          <w:sz w:val="22"/>
          <w:szCs w:val="22"/>
        </w:rPr>
      </w:pPr>
      <w:r w:rsidRPr="00AC1525">
        <w:rPr>
          <w:color w:val="000000"/>
          <w:sz w:val="22"/>
          <w:szCs w:val="22"/>
        </w:rPr>
        <w:t>EPA estimates that eligible academic entities will opt in for 71 of their sites during the three-year life of this ICR.  EPA expects that employees at these sites will read the Subpart K regulations once during the three</w:t>
      </w:r>
      <w:r w:rsidRPr="00AC1525">
        <w:rPr>
          <w:color w:val="000000"/>
          <w:sz w:val="22"/>
          <w:szCs w:val="22"/>
        </w:rPr>
        <w:noBreakHyphen/>
        <w:t>year life of this ICR.  In estimating the annual incremental burden to respondents over the three</w:t>
      </w:r>
      <w:r w:rsidRPr="00AC1525">
        <w:rPr>
          <w:color w:val="000000"/>
          <w:sz w:val="22"/>
          <w:szCs w:val="22"/>
        </w:rPr>
        <w:noBreakHyphen/>
        <w:t>year period covered by this ICR, EPA annualized the burden of this one</w:t>
      </w:r>
      <w:r w:rsidRPr="00AC1525">
        <w:rPr>
          <w:color w:val="000000"/>
          <w:sz w:val="22"/>
          <w:szCs w:val="22"/>
        </w:rPr>
        <w:noBreakHyphen/>
        <w:t>time activity by dividing the number of respondents by three.  Thus, EPA estimates that, on average, 24 sites (i.e., 71 sites / 3 years) will read the regulations each year.</w:t>
      </w:r>
    </w:p>
    <w:p w:rsidR="00574BA2" w:rsidRPr="00AC1525" w:rsidP="00305789" w14:paraId="7DFAA9A7" w14:textId="7289A0B8">
      <w:pPr>
        <w:ind w:firstLine="720"/>
        <w:rPr>
          <w:b/>
          <w:bCs/>
          <w:sz w:val="22"/>
          <w:szCs w:val="22"/>
        </w:rPr>
      </w:pPr>
      <w:r w:rsidRPr="00AC1525">
        <w:rPr>
          <w:b/>
          <w:bCs/>
          <w:sz w:val="22"/>
          <w:szCs w:val="22"/>
        </w:rPr>
        <w:t xml:space="preserve"> </w:t>
      </w:r>
    </w:p>
    <w:p w:rsidR="00146A6C" w:rsidRPr="00AC1525" w:rsidP="00CC167F" w14:paraId="1D995254" w14:textId="5469E8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2"/>
          <w:szCs w:val="22"/>
        </w:rPr>
      </w:pPr>
      <w:r w:rsidRPr="00AC1525">
        <w:rPr>
          <w:rFonts w:ascii="Times New Roman" w:hAnsi="Times New Roman" w:cs="Times New Roman"/>
          <w:b/>
          <w:bCs/>
          <w:sz w:val="22"/>
          <w:szCs w:val="22"/>
        </w:rPr>
        <w:t xml:space="preserve"> </w:t>
      </w:r>
      <w:r w:rsidRPr="00AC1525">
        <w:rPr>
          <w:rFonts w:ascii="Times New Roman" w:hAnsi="Times New Roman" w:cs="Times New Roman"/>
          <w:b/>
          <w:bCs/>
          <w:sz w:val="22"/>
          <w:szCs w:val="22"/>
        </w:rPr>
        <w:t>(b)</w:t>
      </w:r>
      <w:r w:rsidRPr="00AC1525">
        <w:rPr>
          <w:rFonts w:ascii="Times New Roman" w:hAnsi="Times New Roman" w:cs="Times New Roman"/>
          <w:b/>
          <w:bCs/>
          <w:sz w:val="22"/>
          <w:szCs w:val="22"/>
        </w:rPr>
        <w:tab/>
        <w:t>Notification of Intent to Comply with Subpart K and Recordkeeping of Agreements</w:t>
      </w:r>
    </w:p>
    <w:p w:rsidR="00146A6C" w:rsidRPr="00AC1525" w14:paraId="1DF82C6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75114E" w:rsidRPr="00AC1525" w:rsidP="0075114E" w14:paraId="2A0CAF1F" w14:textId="413E0F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 xml:space="preserve">An eligible academic entity must submit the Site Identification Form to notify EPA or the authorized State that it is electing to be subject to Subpart K for all laboratories owned by the eligible academic entity under the same EPA Identification Number. An eligible academic entity that is a </w:t>
      </w:r>
      <w:r w:rsidRPr="00AC1525" w:rsidR="00E07FC9">
        <w:rPr>
          <w:rFonts w:ascii="Times New Roman" w:hAnsi="Times New Roman" w:cs="Times New Roman"/>
          <w:color w:val="000000"/>
          <w:sz w:val="22"/>
          <w:szCs w:val="22"/>
        </w:rPr>
        <w:t>very</w:t>
      </w:r>
      <w:r w:rsidRPr="00AC1525">
        <w:rPr>
          <w:rFonts w:ascii="Times New Roman" w:hAnsi="Times New Roman" w:cs="Times New Roman"/>
          <w:color w:val="000000"/>
          <w:sz w:val="22"/>
          <w:szCs w:val="22"/>
        </w:rPr>
        <w:t xml:space="preserve"> small quantity generator and does not have an EPA Identification Number must notify for all laboratories that are owned or operated by the eligible academic entity that are on-site. In estimating the annual incremental burden to respondents over the three</w:t>
      </w:r>
      <w:r w:rsidRPr="00AC1525">
        <w:rPr>
          <w:rFonts w:ascii="Times New Roman" w:hAnsi="Times New Roman" w:cs="Times New Roman"/>
          <w:color w:val="000000"/>
          <w:sz w:val="22"/>
          <w:szCs w:val="22"/>
        </w:rPr>
        <w:noBreakHyphen/>
        <w:t>year period covered by this ICR, EPA annualized the burden of this one</w:t>
      </w:r>
      <w:r w:rsidRPr="00AC1525">
        <w:rPr>
          <w:rFonts w:ascii="Times New Roman" w:hAnsi="Times New Roman" w:cs="Times New Roman"/>
          <w:color w:val="000000"/>
          <w:sz w:val="22"/>
          <w:szCs w:val="22"/>
        </w:rPr>
        <w:noBreakHyphen/>
        <w:t xml:space="preserve">time activity by dividing the number of Site Identification Forms by three. Thus, EPA estimates that, each year, </w:t>
      </w:r>
      <w:r w:rsidRPr="00AC1525" w:rsidR="00FF2C5C">
        <w:rPr>
          <w:rFonts w:ascii="Times New Roman" w:hAnsi="Times New Roman" w:cs="Times New Roman"/>
          <w:color w:val="000000"/>
          <w:sz w:val="22"/>
          <w:szCs w:val="22"/>
        </w:rPr>
        <w:t>24</w:t>
      </w:r>
      <w:r w:rsidRPr="00AC1525" w:rsidR="00A071D1">
        <w:rPr>
          <w:rFonts w:ascii="Times New Roman" w:hAnsi="Times New Roman" w:cs="Times New Roman"/>
          <w:color w:val="000000"/>
          <w:sz w:val="22"/>
          <w:szCs w:val="22"/>
        </w:rPr>
        <w:t xml:space="preserve"> </w:t>
      </w:r>
      <w:r w:rsidRPr="00AC1525">
        <w:rPr>
          <w:rFonts w:ascii="Times New Roman" w:hAnsi="Times New Roman" w:cs="Times New Roman"/>
          <w:color w:val="000000"/>
          <w:sz w:val="22"/>
          <w:szCs w:val="22"/>
        </w:rPr>
        <w:t xml:space="preserve">forms (i.e., </w:t>
      </w:r>
      <w:r w:rsidRPr="00AC1525" w:rsidR="002A24B9">
        <w:rPr>
          <w:rFonts w:ascii="Times New Roman" w:hAnsi="Times New Roman" w:cs="Times New Roman"/>
          <w:color w:val="000000"/>
          <w:sz w:val="22"/>
          <w:szCs w:val="22"/>
        </w:rPr>
        <w:t>71</w:t>
      </w:r>
      <w:r w:rsidRPr="00AC1525" w:rsidR="00A071D1">
        <w:rPr>
          <w:rFonts w:ascii="Times New Roman" w:hAnsi="Times New Roman" w:cs="Times New Roman"/>
          <w:color w:val="000000"/>
          <w:sz w:val="22"/>
          <w:szCs w:val="22"/>
        </w:rPr>
        <w:t xml:space="preserve"> </w:t>
      </w:r>
      <w:r w:rsidRPr="00AC1525">
        <w:rPr>
          <w:rFonts w:ascii="Times New Roman" w:hAnsi="Times New Roman" w:cs="Times New Roman"/>
          <w:color w:val="000000"/>
          <w:sz w:val="22"/>
          <w:szCs w:val="22"/>
        </w:rPr>
        <w:t>forms/3 years) will be prepared, submitted, and retained.</w:t>
      </w:r>
      <w:r w:rsidRPr="00AC1525">
        <w:rPr>
          <w:rFonts w:ascii="Times New Roman" w:hAnsi="Times New Roman" w:cs="Times New Roman"/>
          <w:color w:val="000000"/>
          <w:sz w:val="22"/>
          <w:szCs w:val="22"/>
        </w:rPr>
        <w:t xml:space="preserve"> </w:t>
      </w:r>
      <w:r w:rsidRPr="00AC1525">
        <w:rPr>
          <w:rFonts w:ascii="Times New Roman" w:hAnsi="Times New Roman" w:cs="Times New Roman"/>
          <w:color w:val="000000"/>
          <w:sz w:val="22"/>
          <w:szCs w:val="22"/>
        </w:rPr>
        <w:t xml:space="preserve">Teaching hospitals </w:t>
      </w:r>
      <w:r w:rsidRPr="00AC1525">
        <w:rPr>
          <w:rFonts w:ascii="Times New Roman" w:hAnsi="Times New Roman" w:cs="Times New Roman"/>
          <w:color w:val="000000"/>
          <w:sz w:val="22"/>
          <w:szCs w:val="22"/>
        </w:rPr>
        <w:t xml:space="preserve">and non-profit research institutes not owned by a college or university </w:t>
      </w:r>
      <w:r w:rsidRPr="00AC1525">
        <w:rPr>
          <w:rFonts w:ascii="Times New Roman" w:hAnsi="Times New Roman" w:cs="Times New Roman"/>
          <w:color w:val="000000"/>
          <w:sz w:val="22"/>
          <w:szCs w:val="22"/>
        </w:rPr>
        <w:t>opting into Subpart K must keep a copy of their formal written affiliation agreement with a college or university on file if they are not owned by a college or university.</w:t>
      </w:r>
      <w:r w:rsidRPr="00AC1525">
        <w:rPr>
          <w:rFonts w:ascii="Times New Roman" w:hAnsi="Times New Roman" w:cs="Times New Roman"/>
          <w:color w:val="000000"/>
          <w:sz w:val="22"/>
          <w:szCs w:val="22"/>
        </w:rPr>
        <w:t xml:space="preserve"> EPA assumes that teaching hospitals and non-profit research institutes keep copies of their affiliation agreement as a best management practice in the baseline and will not experience an additional paperwork burden.</w:t>
      </w:r>
    </w:p>
    <w:p w:rsidR="00146A6C" w:rsidRPr="00AC1525" w14:paraId="30AE0E68" w14:textId="77777777">
      <w:pPr>
        <w:rPr>
          <w:sz w:val="22"/>
          <w:szCs w:val="22"/>
        </w:rPr>
      </w:pPr>
    </w:p>
    <w:p w:rsidR="00146A6C" w:rsidRPr="00AC1525" w14:paraId="206B682D" w14:textId="77777777">
      <w:pPr>
        <w:keepNext/>
        <w:ind w:firstLine="720"/>
        <w:rPr>
          <w:sz w:val="22"/>
          <w:szCs w:val="22"/>
        </w:rPr>
      </w:pPr>
      <w:r w:rsidRPr="00AC1525">
        <w:rPr>
          <w:b/>
          <w:bCs/>
          <w:sz w:val="22"/>
          <w:szCs w:val="22"/>
        </w:rPr>
        <w:t>(c)</w:t>
      </w:r>
      <w:r w:rsidRPr="00AC1525">
        <w:rPr>
          <w:b/>
          <w:bCs/>
          <w:sz w:val="22"/>
          <w:szCs w:val="22"/>
        </w:rPr>
        <w:tab/>
        <w:t>Notification of Withdrawal from Subpart K</w:t>
      </w:r>
    </w:p>
    <w:p w:rsidR="00020C5D" w:rsidRPr="00AC1525" w:rsidP="00020C5D" w14:paraId="72B78B55" w14:textId="5F863F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p>
    <w:p w:rsidR="00020C5D" w:rsidRPr="00AC1525" w:rsidP="00020C5D" w14:paraId="09C8AD93" w14:textId="43535A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 xml:space="preserve">An eligible academic entity must submit the Site Identification Form to notify EPA or the authorized State that it is electing to withdraw from Subpart K for all laboratories owned by the eligible academic entity under the same EPA Identification Number.  An eligible academic entity that is a </w:t>
      </w:r>
      <w:r w:rsidRPr="00AC1525" w:rsidR="00E07FC9">
        <w:rPr>
          <w:rFonts w:ascii="Times New Roman" w:hAnsi="Times New Roman" w:cs="Times New Roman"/>
          <w:color w:val="000000"/>
          <w:sz w:val="22"/>
          <w:szCs w:val="22"/>
        </w:rPr>
        <w:t>very</w:t>
      </w:r>
      <w:r w:rsidRPr="00AC1525">
        <w:rPr>
          <w:rFonts w:ascii="Times New Roman" w:hAnsi="Times New Roman" w:cs="Times New Roman"/>
          <w:color w:val="000000"/>
          <w:sz w:val="22"/>
          <w:szCs w:val="22"/>
        </w:rPr>
        <w:t xml:space="preserve"> small quantity generator and does not have an EPA Identification Number must notify for all laboratories that are owned or operated by the eligible academic entity that are on-site. </w:t>
      </w:r>
      <w:r w:rsidRPr="00AC1525" w:rsidR="002A24B9">
        <w:rPr>
          <w:rFonts w:ascii="Times New Roman" w:hAnsi="Times New Roman" w:cs="Times New Roman"/>
          <w:color w:val="000000"/>
          <w:sz w:val="22"/>
          <w:szCs w:val="22"/>
        </w:rPr>
        <w:t xml:space="preserve">EPA estimates that 1 eligible academic entity will withdraw over the three-year period. </w:t>
      </w:r>
      <w:r w:rsidRPr="00AC1525">
        <w:rPr>
          <w:rFonts w:ascii="Times New Roman" w:hAnsi="Times New Roman" w:cs="Times New Roman"/>
          <w:color w:val="000000"/>
          <w:sz w:val="22"/>
          <w:szCs w:val="22"/>
        </w:rPr>
        <w:t>In estimating the annual incremental burden to respondents over the three</w:t>
      </w:r>
      <w:r w:rsidRPr="00AC1525">
        <w:rPr>
          <w:rFonts w:ascii="Times New Roman" w:hAnsi="Times New Roman" w:cs="Times New Roman"/>
          <w:color w:val="000000"/>
          <w:sz w:val="22"/>
          <w:szCs w:val="22"/>
        </w:rPr>
        <w:noBreakHyphen/>
        <w:t>year period covered by this ICR, EPA annualized the burden of this one</w:t>
      </w:r>
      <w:r w:rsidRPr="00AC1525">
        <w:rPr>
          <w:rFonts w:ascii="Times New Roman" w:hAnsi="Times New Roman" w:cs="Times New Roman"/>
          <w:color w:val="000000"/>
          <w:sz w:val="22"/>
          <w:szCs w:val="22"/>
        </w:rPr>
        <w:noBreakHyphen/>
        <w:t>time activity by dividing the number of Site Identification Forms by three.</w:t>
      </w:r>
      <w:r w:rsidRPr="00AC1525" w:rsidR="002A24B9">
        <w:rPr>
          <w:rFonts w:ascii="Times New Roman" w:hAnsi="Times New Roman" w:cs="Times New Roman"/>
          <w:color w:val="000000"/>
          <w:sz w:val="22"/>
          <w:szCs w:val="22"/>
        </w:rPr>
        <w:t xml:space="preserve"> </w:t>
      </w:r>
      <w:r w:rsidRPr="00AC1525">
        <w:rPr>
          <w:rFonts w:ascii="Times New Roman" w:hAnsi="Times New Roman" w:cs="Times New Roman"/>
          <w:color w:val="000000"/>
          <w:sz w:val="22"/>
          <w:szCs w:val="22"/>
        </w:rPr>
        <w:t xml:space="preserve">Thus, EPA estimates that, each year, </w:t>
      </w:r>
      <w:r w:rsidRPr="00AC1525" w:rsidR="002A24B9">
        <w:rPr>
          <w:rFonts w:ascii="Times New Roman" w:hAnsi="Times New Roman" w:cs="Times New Roman"/>
          <w:color w:val="000000"/>
          <w:sz w:val="22"/>
          <w:szCs w:val="22"/>
        </w:rPr>
        <w:t>.33</w:t>
      </w:r>
      <w:r w:rsidRPr="00AC1525">
        <w:rPr>
          <w:rFonts w:ascii="Times New Roman" w:hAnsi="Times New Roman" w:cs="Times New Roman"/>
          <w:color w:val="000000"/>
          <w:sz w:val="22"/>
          <w:szCs w:val="22"/>
        </w:rPr>
        <w:t xml:space="preserve"> </w:t>
      </w:r>
      <w:r w:rsidRPr="00AC1525" w:rsidR="002A24B9">
        <w:rPr>
          <w:rFonts w:ascii="Times New Roman" w:hAnsi="Times New Roman" w:cs="Times New Roman"/>
          <w:color w:val="000000"/>
          <w:sz w:val="22"/>
          <w:szCs w:val="22"/>
        </w:rPr>
        <w:t>form</w:t>
      </w:r>
      <w:r w:rsidRPr="00AC1525">
        <w:rPr>
          <w:rFonts w:ascii="Times New Roman" w:hAnsi="Times New Roman" w:cs="Times New Roman"/>
          <w:color w:val="000000"/>
          <w:sz w:val="22"/>
          <w:szCs w:val="22"/>
        </w:rPr>
        <w:t xml:space="preserve"> (i.e., </w:t>
      </w:r>
      <w:r w:rsidRPr="00AC1525" w:rsidR="002A24B9">
        <w:rPr>
          <w:rFonts w:ascii="Times New Roman" w:hAnsi="Times New Roman" w:cs="Times New Roman"/>
          <w:color w:val="000000"/>
          <w:sz w:val="22"/>
          <w:szCs w:val="22"/>
        </w:rPr>
        <w:t>1</w:t>
      </w:r>
      <w:r w:rsidRPr="00AC1525">
        <w:rPr>
          <w:rFonts w:ascii="Times New Roman" w:hAnsi="Times New Roman" w:cs="Times New Roman"/>
          <w:color w:val="000000"/>
          <w:sz w:val="22"/>
          <w:szCs w:val="22"/>
        </w:rPr>
        <w:t xml:space="preserve"> forms/3 years) will be prepared, submitted, and retained.</w:t>
      </w:r>
    </w:p>
    <w:p w:rsidR="00146A6C" w:rsidRPr="00AC1525" w:rsidP="000D0D88" w14:paraId="7E90F004"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p>
    <w:p w:rsidR="00146A6C" w:rsidRPr="00AC1525" w14:paraId="1954BE7E"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bCs/>
          <w:sz w:val="22"/>
          <w:szCs w:val="22"/>
        </w:rPr>
      </w:pPr>
      <w:r w:rsidRPr="00AC1525">
        <w:rPr>
          <w:rFonts w:ascii="Times New Roman" w:hAnsi="Times New Roman" w:cs="Times New Roman"/>
          <w:b/>
          <w:bCs/>
          <w:sz w:val="22"/>
          <w:szCs w:val="22"/>
        </w:rPr>
        <w:t>(d)</w:t>
      </w:r>
      <w:r w:rsidRPr="00AC1525">
        <w:rPr>
          <w:rFonts w:ascii="Times New Roman" w:hAnsi="Times New Roman" w:cs="Times New Roman"/>
          <w:b/>
          <w:bCs/>
          <w:sz w:val="22"/>
          <w:szCs w:val="22"/>
        </w:rPr>
        <w:tab/>
        <w:t>Labeling of Containers of Unwanted Material in the Laboratory</w:t>
      </w:r>
    </w:p>
    <w:p w:rsidR="00146A6C" w:rsidRPr="00AC1525" w14:paraId="631CB71F"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2"/>
          <w:szCs w:val="22"/>
        </w:rPr>
      </w:pPr>
    </w:p>
    <w:p w:rsidR="00146A6C" w:rsidRPr="00AC1525" w14:paraId="5FAA07D0" w14:textId="5173C716">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r w:rsidRPr="00AC1525">
        <w:rPr>
          <w:rFonts w:ascii="Times New Roman" w:hAnsi="Times New Roman" w:cs="Times New Roman"/>
          <w:color w:val="000000"/>
          <w:sz w:val="22"/>
          <w:szCs w:val="22"/>
        </w:rPr>
        <w:t xml:space="preserve">As shown in Table </w:t>
      </w:r>
      <w:r w:rsidR="00CE14D8">
        <w:rPr>
          <w:rFonts w:ascii="Times New Roman" w:hAnsi="Times New Roman" w:cs="Times New Roman"/>
          <w:color w:val="000000"/>
          <w:sz w:val="22"/>
          <w:szCs w:val="22"/>
        </w:rPr>
        <w:t>1</w:t>
      </w:r>
      <w:r w:rsidRPr="00AC1525">
        <w:rPr>
          <w:rFonts w:ascii="Times New Roman" w:hAnsi="Times New Roman" w:cs="Times New Roman"/>
          <w:color w:val="000000"/>
          <w:sz w:val="22"/>
          <w:szCs w:val="22"/>
        </w:rPr>
        <w:t xml:space="preserve">, EPA estimates that eligible academic entities subject to Subpart K will generate a total of </w:t>
      </w:r>
      <w:r w:rsidRPr="00AC1525" w:rsidR="00E82287">
        <w:rPr>
          <w:rFonts w:ascii="Times New Roman" w:hAnsi="Times New Roman" w:cs="Times New Roman"/>
          <w:color w:val="000000"/>
          <w:sz w:val="22"/>
          <w:szCs w:val="22"/>
        </w:rPr>
        <w:t>1,</w:t>
      </w:r>
      <w:r w:rsidR="003803A0">
        <w:rPr>
          <w:rFonts w:ascii="Times New Roman" w:hAnsi="Times New Roman" w:cs="Times New Roman"/>
          <w:color w:val="000000"/>
          <w:sz w:val="22"/>
          <w:szCs w:val="22"/>
        </w:rPr>
        <w:t>476,000</w:t>
      </w:r>
      <w:r w:rsidRPr="00AC1525" w:rsidR="00B92C3A">
        <w:rPr>
          <w:rFonts w:ascii="Times New Roman" w:hAnsi="Times New Roman" w:cs="Times New Roman"/>
          <w:color w:val="000000"/>
          <w:sz w:val="22"/>
          <w:szCs w:val="22"/>
        </w:rPr>
        <w:t xml:space="preserve"> </w:t>
      </w:r>
      <w:r w:rsidRPr="00AC1525">
        <w:rPr>
          <w:rFonts w:ascii="Times New Roman" w:hAnsi="Times New Roman" w:cs="Times New Roman"/>
          <w:color w:val="000000"/>
          <w:sz w:val="22"/>
          <w:szCs w:val="22"/>
        </w:rPr>
        <w:t>containers of unwanted materials each year.  They must label the containers as specified at section 262.206.</w:t>
      </w:r>
    </w:p>
    <w:p w:rsidR="00146A6C" w:rsidRPr="00AC1525" w14:paraId="18FA917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2"/>
          <w:szCs w:val="22"/>
        </w:rPr>
      </w:pPr>
    </w:p>
    <w:p w:rsidR="00146A6C" w:rsidRPr="00AC1525" w14:paraId="5FAACF47" w14:textId="77777777">
      <w:pPr>
        <w:ind w:firstLine="720"/>
        <w:rPr>
          <w:color w:val="000000"/>
          <w:sz w:val="22"/>
          <w:szCs w:val="22"/>
        </w:rPr>
      </w:pPr>
      <w:r w:rsidRPr="00AC1525">
        <w:rPr>
          <w:b/>
          <w:bCs/>
          <w:color w:val="000000"/>
          <w:sz w:val="22"/>
          <w:szCs w:val="22"/>
        </w:rPr>
        <w:t>(e)</w:t>
      </w:r>
      <w:r w:rsidRPr="00AC1525">
        <w:rPr>
          <w:b/>
          <w:bCs/>
          <w:color w:val="000000"/>
          <w:sz w:val="22"/>
          <w:szCs w:val="22"/>
        </w:rPr>
        <w:tab/>
        <w:t>Training</w:t>
      </w:r>
    </w:p>
    <w:p w:rsidR="00146A6C" w:rsidRPr="00AC1525" w14:paraId="36DEC337" w14:textId="77777777">
      <w:pPr>
        <w:rPr>
          <w:color w:val="000000"/>
          <w:sz w:val="22"/>
          <w:szCs w:val="22"/>
        </w:rPr>
      </w:pPr>
    </w:p>
    <w:p w:rsidR="00146A6C" w:rsidRPr="00C40DC1" w:rsidP="00C40DC1" w14:paraId="066943C8" w14:textId="1B2B7073">
      <w:pPr>
        <w:ind w:firstLine="720"/>
        <w:rPr>
          <w:color w:val="000000"/>
          <w:sz w:val="22"/>
          <w:szCs w:val="22"/>
        </w:rPr>
      </w:pPr>
      <w:r w:rsidRPr="00AC1525">
        <w:rPr>
          <w:color w:val="000000"/>
          <w:sz w:val="22"/>
          <w:szCs w:val="22"/>
        </w:rPr>
        <w:t xml:space="preserve">Under section 262.207, individuals working in a laboratory at the must be trained commensurate with their duties. In addition, LQGs must maintain training records for laboratory workers. EPA’s impact assessment estimates that </w:t>
      </w:r>
      <w:r w:rsidRPr="00AC1525" w:rsidR="00B92C3A">
        <w:rPr>
          <w:color w:val="000000"/>
          <w:sz w:val="22"/>
          <w:szCs w:val="22"/>
        </w:rPr>
        <w:t xml:space="preserve">56% of the </w:t>
      </w:r>
      <w:r w:rsidRPr="00AC1525">
        <w:rPr>
          <w:color w:val="000000"/>
          <w:sz w:val="22"/>
          <w:szCs w:val="22"/>
        </w:rPr>
        <w:t>LQGs opting into Subpart K will shift in generator status to SQGs because of the laboratory clean-out incentives.</w:t>
      </w:r>
      <w:r>
        <w:rPr>
          <w:rStyle w:val="FootnoteReference"/>
          <w:color w:val="000000"/>
          <w:sz w:val="22"/>
          <w:szCs w:val="22"/>
          <w:vertAlign w:val="superscript"/>
        </w:rPr>
        <w:footnoteReference w:id="3"/>
      </w:r>
      <w:r w:rsidRPr="00AC1525">
        <w:rPr>
          <w:color w:val="000000"/>
          <w:sz w:val="22"/>
          <w:szCs w:val="22"/>
        </w:rPr>
        <w:t xml:space="preserve"> </w:t>
      </w:r>
      <w:r w:rsidRPr="00AC1525">
        <w:rPr>
          <w:sz w:val="22"/>
          <w:szCs w:val="22"/>
        </w:rPr>
        <w:t>Thus, EPA believes that the training requirements under the rule do not impose incremental burden on respondents.</w:t>
      </w:r>
      <w:r>
        <w:rPr>
          <w:rStyle w:val="FootnoteReference"/>
          <w:sz w:val="22"/>
          <w:szCs w:val="22"/>
          <w:vertAlign w:val="superscript"/>
        </w:rPr>
        <w:footnoteReference w:id="4"/>
      </w:r>
    </w:p>
    <w:p w:rsidR="00146A6C" w:rsidRPr="00AC1525" w14:paraId="0F5A0E60" w14:textId="77777777">
      <w:pPr>
        <w:rPr>
          <w:sz w:val="22"/>
          <w:szCs w:val="22"/>
        </w:rPr>
      </w:pPr>
    </w:p>
    <w:p w:rsidR="00146A6C" w:rsidRPr="00AC1525" w14:paraId="0CE62DA1" w14:textId="77777777">
      <w:pPr>
        <w:ind w:firstLine="720"/>
        <w:rPr>
          <w:b/>
          <w:bCs/>
          <w:sz w:val="22"/>
          <w:szCs w:val="22"/>
        </w:rPr>
      </w:pPr>
      <w:r w:rsidRPr="00AC1525">
        <w:rPr>
          <w:b/>
          <w:bCs/>
          <w:sz w:val="22"/>
          <w:szCs w:val="22"/>
        </w:rPr>
        <w:t>(f)</w:t>
      </w:r>
      <w:r w:rsidRPr="00AC1525">
        <w:rPr>
          <w:b/>
          <w:bCs/>
          <w:sz w:val="22"/>
          <w:szCs w:val="22"/>
        </w:rPr>
        <w:tab/>
        <w:t>Removing Containers of Unwanted Material from the Laboratory</w:t>
      </w:r>
    </w:p>
    <w:p w:rsidR="00146A6C" w:rsidRPr="00AC1525" w14:paraId="7571282A" w14:textId="77777777">
      <w:pPr>
        <w:rPr>
          <w:sz w:val="22"/>
          <w:szCs w:val="22"/>
        </w:rPr>
      </w:pPr>
    </w:p>
    <w:p w:rsidR="00146A6C" w:rsidRPr="00AC1525" w14:paraId="111ED9AF" w14:textId="54D671A3">
      <w:pPr>
        <w:ind w:firstLine="720"/>
        <w:rPr>
          <w:sz w:val="22"/>
          <w:szCs w:val="22"/>
        </w:rPr>
      </w:pPr>
      <w:r w:rsidRPr="00AC1525">
        <w:rPr>
          <w:sz w:val="22"/>
          <w:szCs w:val="22"/>
        </w:rPr>
        <w:t xml:space="preserve">EPA assumes that all eligible academic entities under Subpart K will remove their containers of unwanted material and reactive acutely hazardous unwanted materials from each laboratory on a regular basis. Because of this, EPA anticipates that none of the laboratories will accumulate more than 55 gallons of unwanted material or 1 quart of </w:t>
      </w:r>
      <w:r w:rsidRPr="00AC1525" w:rsidR="00553EA7">
        <w:rPr>
          <w:sz w:val="22"/>
          <w:szCs w:val="22"/>
        </w:rPr>
        <w:t xml:space="preserve">liquid </w:t>
      </w:r>
      <w:r w:rsidRPr="00AC1525">
        <w:rPr>
          <w:sz w:val="22"/>
          <w:szCs w:val="22"/>
        </w:rPr>
        <w:t xml:space="preserve">acutely reactive unwanted material </w:t>
      </w:r>
      <w:r w:rsidRPr="00AC1525" w:rsidR="00553EA7">
        <w:rPr>
          <w:sz w:val="22"/>
          <w:szCs w:val="22"/>
        </w:rPr>
        <w:t xml:space="preserve">(or 1 kg of solid acutely reactive unwanted material) </w:t>
      </w:r>
      <w:r w:rsidRPr="00AC1525">
        <w:rPr>
          <w:sz w:val="22"/>
          <w:szCs w:val="22"/>
        </w:rPr>
        <w:t xml:space="preserve">before the regularly scheduled removal. As a result, EPA estimates that none of the entities will need to label any of its containers with the date the 55 gallons or the 1 quart </w:t>
      </w:r>
      <w:r w:rsidRPr="00AC1525" w:rsidR="00553EA7">
        <w:rPr>
          <w:sz w:val="22"/>
          <w:szCs w:val="22"/>
        </w:rPr>
        <w:t xml:space="preserve">or 1 kg </w:t>
      </w:r>
      <w:r w:rsidRPr="00AC1525">
        <w:rPr>
          <w:sz w:val="22"/>
          <w:szCs w:val="22"/>
        </w:rPr>
        <w:t>of unwanted material is exceeded.</w:t>
      </w:r>
    </w:p>
    <w:p w:rsidR="00146A6C" w:rsidRPr="00AC1525" w14:paraId="6791BCF4" w14:textId="77777777">
      <w:pPr>
        <w:ind w:firstLine="720"/>
        <w:rPr>
          <w:sz w:val="22"/>
          <w:szCs w:val="22"/>
        </w:rPr>
      </w:pPr>
    </w:p>
    <w:p w:rsidR="00146A6C" w:rsidRPr="00AC1525" w14:paraId="5D0AC730" w14:textId="4FCF8C1F">
      <w:pPr>
        <w:keepNext/>
        <w:ind w:firstLine="720"/>
        <w:rPr>
          <w:b/>
          <w:bCs/>
          <w:color w:val="000000"/>
          <w:sz w:val="22"/>
          <w:szCs w:val="22"/>
        </w:rPr>
      </w:pPr>
      <w:r w:rsidRPr="00AC1525">
        <w:rPr>
          <w:b/>
          <w:bCs/>
          <w:sz w:val="22"/>
          <w:szCs w:val="22"/>
        </w:rPr>
        <w:t>(g)</w:t>
      </w:r>
      <w:r w:rsidRPr="00AC1525">
        <w:rPr>
          <w:b/>
          <w:bCs/>
          <w:sz w:val="22"/>
          <w:szCs w:val="22"/>
        </w:rPr>
        <w:tab/>
      </w:r>
      <w:r w:rsidRPr="00AC1525">
        <w:rPr>
          <w:b/>
          <w:bCs/>
          <w:color w:val="000000"/>
          <w:sz w:val="22"/>
          <w:szCs w:val="22"/>
        </w:rPr>
        <w:t>Making the Hazardous Waste Determination</w:t>
      </w:r>
    </w:p>
    <w:p w:rsidR="00C47EF2" w:rsidRPr="00AC1525" w:rsidP="00C47EF2" w14:paraId="40986F9D" w14:textId="77777777">
      <w:pPr>
        <w:keepNext/>
        <w:keepLines/>
        <w:rPr>
          <w:color w:val="000000"/>
          <w:sz w:val="22"/>
          <w:szCs w:val="22"/>
        </w:rPr>
      </w:pPr>
    </w:p>
    <w:p w:rsidR="00146A6C" w:rsidRPr="00AC1525" w:rsidP="00C47EF2" w14:paraId="6811E010" w14:textId="19F80204">
      <w:pPr>
        <w:keepNext/>
        <w:keepLines/>
        <w:ind w:firstLine="720"/>
        <w:rPr>
          <w:sz w:val="22"/>
          <w:szCs w:val="22"/>
        </w:rPr>
      </w:pPr>
      <w:r w:rsidRPr="00AC1525">
        <w:rPr>
          <w:color w:val="000000"/>
          <w:sz w:val="22"/>
          <w:szCs w:val="22"/>
        </w:rPr>
        <w:t xml:space="preserve">EPA expects that a hazardous waste determination will be made for each container of unwanted material in </w:t>
      </w:r>
      <w:r w:rsidRPr="00AC1525" w:rsidR="00C47EF2">
        <w:rPr>
          <w:color w:val="000000"/>
          <w:sz w:val="22"/>
          <w:szCs w:val="22"/>
        </w:rPr>
        <w:t>the</w:t>
      </w:r>
      <w:r w:rsidRPr="00AC1525">
        <w:rPr>
          <w:color w:val="000000"/>
          <w:sz w:val="22"/>
          <w:szCs w:val="22"/>
        </w:rPr>
        <w:t xml:space="preserve"> laboratories. Based on the data in Table </w:t>
      </w:r>
      <w:r w:rsidR="00CE14D8">
        <w:rPr>
          <w:color w:val="000000"/>
          <w:sz w:val="22"/>
          <w:szCs w:val="22"/>
        </w:rPr>
        <w:t>1</w:t>
      </w:r>
      <w:r w:rsidRPr="00AC1525">
        <w:rPr>
          <w:color w:val="000000"/>
          <w:sz w:val="22"/>
          <w:szCs w:val="22"/>
        </w:rPr>
        <w:t>, EPA estimates that, each year, hazardous waste determinations will be made in the laboratory</w:t>
      </w:r>
      <w:r w:rsidRPr="00AC1525" w:rsidR="00B11662">
        <w:rPr>
          <w:color w:val="000000"/>
          <w:sz w:val="22"/>
          <w:szCs w:val="22"/>
        </w:rPr>
        <w:t xml:space="preserve"> or in the central accumulation area</w:t>
      </w:r>
      <w:r w:rsidRPr="00AC1525">
        <w:rPr>
          <w:color w:val="000000"/>
          <w:sz w:val="22"/>
          <w:szCs w:val="22"/>
        </w:rPr>
        <w:t xml:space="preserve"> for </w:t>
      </w:r>
      <w:r w:rsidRPr="00AC1525" w:rsidR="00B11662">
        <w:rPr>
          <w:color w:val="000000"/>
          <w:sz w:val="22"/>
          <w:szCs w:val="22"/>
        </w:rPr>
        <w:t>1,</w:t>
      </w:r>
      <w:r w:rsidR="003803A0">
        <w:rPr>
          <w:color w:val="000000"/>
          <w:sz w:val="22"/>
          <w:szCs w:val="22"/>
        </w:rPr>
        <w:t>476,000</w:t>
      </w:r>
      <w:r w:rsidRPr="00AC1525" w:rsidR="00B11662">
        <w:rPr>
          <w:color w:val="000000"/>
          <w:sz w:val="22"/>
          <w:szCs w:val="22"/>
        </w:rPr>
        <w:t xml:space="preserve"> </w:t>
      </w:r>
      <w:r w:rsidRPr="00AC1525">
        <w:rPr>
          <w:color w:val="000000"/>
          <w:sz w:val="22"/>
          <w:szCs w:val="22"/>
        </w:rPr>
        <w:t xml:space="preserve">containers of unwanted materials. EPA assumes that unwanted materials in </w:t>
      </w:r>
      <w:r w:rsidRPr="00AC1525">
        <w:rPr>
          <w:color w:val="000000"/>
          <w:sz w:val="22"/>
          <w:szCs w:val="22"/>
        </w:rPr>
        <w:t>all of</w:t>
      </w:r>
      <w:r w:rsidRPr="00AC1525">
        <w:rPr>
          <w:color w:val="000000"/>
          <w:sz w:val="22"/>
          <w:szCs w:val="22"/>
        </w:rPr>
        <w:t xml:space="preserve"> these containers will be determined</w:t>
      </w:r>
      <w:r w:rsidRPr="00AC1525">
        <w:rPr>
          <w:sz w:val="22"/>
          <w:szCs w:val="22"/>
        </w:rPr>
        <w:t xml:space="preserve"> to be hazardous waste, and thus, the appropriate hazardous waste code(s) will be added to the label that is associated with the containers.</w:t>
      </w:r>
    </w:p>
    <w:p w:rsidR="00146A6C" w:rsidRPr="00AC1525" w14:paraId="10CDC139" w14:textId="77777777">
      <w:pPr>
        <w:rPr>
          <w:sz w:val="22"/>
          <w:szCs w:val="22"/>
        </w:rPr>
      </w:pPr>
    </w:p>
    <w:p w:rsidR="00146A6C" w:rsidRPr="00AC1525" w14:paraId="407A6CDE" w14:textId="29EC07A7">
      <w:pPr>
        <w:rPr>
          <w:sz w:val="22"/>
          <w:szCs w:val="22"/>
        </w:rPr>
      </w:pPr>
      <w:r w:rsidRPr="00AC1525">
        <w:rPr>
          <w:sz w:val="22"/>
          <w:szCs w:val="22"/>
        </w:rPr>
        <w:tab/>
        <w:t xml:space="preserve">EPA notes that, for purposes of this analysis, only the addition of the appropriate hazardous waste code(s) to the container labels is considered incremental burden. Under existing regulations (40 </w:t>
      </w:r>
      <w:r w:rsidRPr="00AC1525">
        <w:rPr>
          <w:i/>
          <w:iCs/>
          <w:sz w:val="22"/>
          <w:szCs w:val="22"/>
        </w:rPr>
        <w:t>CFR</w:t>
      </w:r>
      <w:r w:rsidRPr="00AC1525">
        <w:rPr>
          <w:sz w:val="22"/>
          <w:szCs w:val="22"/>
        </w:rPr>
        <w:t xml:space="preserve"> 262.11), generators must determine if their waste is hazardous per 40 </w:t>
      </w:r>
      <w:r w:rsidRPr="00AC1525">
        <w:rPr>
          <w:i/>
          <w:iCs/>
          <w:sz w:val="22"/>
          <w:szCs w:val="22"/>
        </w:rPr>
        <w:t>CFR</w:t>
      </w:r>
      <w:r w:rsidRPr="00AC1525">
        <w:rPr>
          <w:sz w:val="22"/>
          <w:szCs w:val="22"/>
        </w:rPr>
        <w:t xml:space="preserve"> 261.3. Thus, the hazardous waste determination does not impose incremental burden on respondents.</w:t>
      </w:r>
    </w:p>
    <w:p w:rsidR="00146A6C" w:rsidRPr="00AC1525" w14:paraId="37109E9E" w14:textId="77777777">
      <w:pPr>
        <w:rPr>
          <w:sz w:val="22"/>
          <w:szCs w:val="22"/>
        </w:rPr>
      </w:pPr>
    </w:p>
    <w:p w:rsidR="00146A6C" w:rsidRPr="00AC1525" w14:paraId="13A1D96C" w14:textId="17F162FC">
      <w:pPr>
        <w:keepNext/>
        <w:ind w:left="1440" w:hanging="720"/>
        <w:rPr>
          <w:b/>
          <w:bCs/>
          <w:sz w:val="22"/>
          <w:szCs w:val="22"/>
        </w:rPr>
      </w:pPr>
      <w:r w:rsidRPr="00AC1525">
        <w:rPr>
          <w:b/>
          <w:bCs/>
          <w:sz w:val="22"/>
          <w:szCs w:val="22"/>
        </w:rPr>
        <w:t>(</w:t>
      </w:r>
      <w:r w:rsidRPr="00AC1525" w:rsidR="00C47EF2">
        <w:rPr>
          <w:b/>
          <w:bCs/>
          <w:sz w:val="22"/>
          <w:szCs w:val="22"/>
        </w:rPr>
        <w:t>h</w:t>
      </w:r>
      <w:r w:rsidRPr="00AC1525">
        <w:rPr>
          <w:b/>
          <w:bCs/>
          <w:sz w:val="22"/>
          <w:szCs w:val="22"/>
        </w:rPr>
        <w:t>)</w:t>
      </w:r>
      <w:r w:rsidRPr="00AC1525">
        <w:rPr>
          <w:b/>
          <w:bCs/>
          <w:sz w:val="22"/>
          <w:szCs w:val="22"/>
        </w:rPr>
        <w:tab/>
        <w:t>Making the Hazardous Waste Determination at an On-site Interim Status or Permitted Treatment, Storage, or Disposal Facility</w:t>
      </w:r>
    </w:p>
    <w:p w:rsidR="00146A6C" w:rsidRPr="00AC1525" w14:paraId="431EC114" w14:textId="77777777">
      <w:pPr>
        <w:keepNext/>
        <w:rPr>
          <w:sz w:val="22"/>
          <w:szCs w:val="22"/>
        </w:rPr>
      </w:pPr>
    </w:p>
    <w:p w:rsidR="00146A6C" w:rsidRPr="00AC1525" w14:paraId="0DE1E2A0" w14:textId="77777777">
      <w:pPr>
        <w:keepNext/>
        <w:ind w:firstLine="720"/>
        <w:rPr>
          <w:sz w:val="22"/>
          <w:szCs w:val="22"/>
        </w:rPr>
      </w:pPr>
      <w:r w:rsidRPr="00AC1525">
        <w:rPr>
          <w:sz w:val="22"/>
          <w:szCs w:val="22"/>
        </w:rPr>
        <w:t>EPA expects that no hazardous waste determinations will be made at an on-site interim status or permitted TSDF during the three</w:t>
      </w:r>
      <w:r w:rsidRPr="00AC1525">
        <w:rPr>
          <w:sz w:val="22"/>
          <w:szCs w:val="22"/>
        </w:rPr>
        <w:noBreakHyphen/>
        <w:t>year period covered by this ICR.</w:t>
      </w:r>
    </w:p>
    <w:p w:rsidR="00146A6C" w:rsidRPr="00AC1525" w14:paraId="2DBFDD1B" w14:textId="77777777">
      <w:pPr>
        <w:rPr>
          <w:sz w:val="22"/>
          <w:szCs w:val="22"/>
        </w:rPr>
      </w:pPr>
    </w:p>
    <w:p w:rsidR="00146A6C" w:rsidRPr="00AC1525" w14:paraId="34922B80" w14:textId="1B2916A1">
      <w:pPr>
        <w:keepNext/>
        <w:ind w:firstLine="720"/>
        <w:rPr>
          <w:sz w:val="22"/>
          <w:szCs w:val="22"/>
        </w:rPr>
      </w:pPr>
      <w:r w:rsidRPr="00AC1525">
        <w:rPr>
          <w:b/>
          <w:bCs/>
          <w:sz w:val="22"/>
          <w:szCs w:val="22"/>
        </w:rPr>
        <w:t>(</w:t>
      </w:r>
      <w:r w:rsidRPr="00AC1525" w:rsidR="00C47EF2">
        <w:rPr>
          <w:b/>
          <w:bCs/>
          <w:sz w:val="22"/>
          <w:szCs w:val="22"/>
        </w:rPr>
        <w:t>i</w:t>
      </w:r>
      <w:r w:rsidRPr="00AC1525">
        <w:rPr>
          <w:b/>
          <w:bCs/>
          <w:sz w:val="22"/>
          <w:szCs w:val="22"/>
        </w:rPr>
        <w:t>)</w:t>
      </w:r>
      <w:r w:rsidRPr="00AC1525">
        <w:rPr>
          <w:b/>
          <w:bCs/>
          <w:sz w:val="22"/>
          <w:szCs w:val="22"/>
        </w:rPr>
        <w:tab/>
        <w:t>Laboratory Clean-outs</w:t>
      </w:r>
    </w:p>
    <w:p w:rsidR="00146A6C" w:rsidRPr="00AC1525" w14:paraId="669BAD68" w14:textId="77777777">
      <w:pPr>
        <w:keepNext/>
        <w:rPr>
          <w:sz w:val="22"/>
          <w:szCs w:val="22"/>
        </w:rPr>
      </w:pPr>
    </w:p>
    <w:p w:rsidR="00146A6C" w:rsidRPr="00AC1525" w:rsidP="003869D9" w14:paraId="7D585BCC" w14:textId="4A69B6A2">
      <w:pPr>
        <w:keepNext/>
        <w:keepLines/>
        <w:ind w:firstLine="720"/>
        <w:rPr>
          <w:color w:val="000000"/>
          <w:sz w:val="22"/>
          <w:szCs w:val="22"/>
        </w:rPr>
      </w:pPr>
      <w:r w:rsidRPr="00AC1525">
        <w:rPr>
          <w:sz w:val="22"/>
          <w:szCs w:val="22"/>
        </w:rPr>
        <w:t xml:space="preserve">EPA estimates </w:t>
      </w:r>
      <w:r w:rsidRPr="00AC1525">
        <w:rPr>
          <w:color w:val="000000"/>
          <w:sz w:val="22"/>
          <w:szCs w:val="22"/>
        </w:rPr>
        <w:t xml:space="preserve">that 20 percent of the laboratories at each site under Subpart K will conduct a laboratory clean-out annually. In addition, EPA estimates that 10 percent of </w:t>
      </w:r>
      <w:r w:rsidRPr="00AC1525">
        <w:rPr>
          <w:color w:val="000000"/>
          <w:sz w:val="22"/>
          <w:szCs w:val="22"/>
        </w:rPr>
        <w:t>all of</w:t>
      </w:r>
      <w:r w:rsidRPr="00AC1525">
        <w:rPr>
          <w:color w:val="000000"/>
          <w:sz w:val="22"/>
          <w:szCs w:val="22"/>
        </w:rPr>
        <w:t xml:space="preserve"> the containers of unwanted material generated by these laboratories during the year will originate from their laboratory clean-out. Hence, EPA multiplied the total number of containers in Table </w:t>
      </w:r>
      <w:r w:rsidR="00CE14D8">
        <w:rPr>
          <w:color w:val="000000"/>
          <w:sz w:val="22"/>
          <w:szCs w:val="22"/>
        </w:rPr>
        <w:t>1</w:t>
      </w:r>
      <w:r w:rsidRPr="00AC1525">
        <w:rPr>
          <w:color w:val="000000"/>
          <w:sz w:val="22"/>
          <w:szCs w:val="22"/>
        </w:rPr>
        <w:t xml:space="preserve"> by 20 percent and 10 percent, to esti</w:t>
      </w:r>
      <w:r w:rsidRPr="00AC1525" w:rsidR="003869D9">
        <w:rPr>
          <w:color w:val="000000"/>
          <w:sz w:val="22"/>
          <w:szCs w:val="22"/>
        </w:rPr>
        <w:t xml:space="preserve">mate that </w:t>
      </w:r>
      <w:r w:rsidR="000205A3">
        <w:rPr>
          <w:color w:val="000000"/>
          <w:sz w:val="22"/>
          <w:szCs w:val="22"/>
        </w:rPr>
        <w:t>29,520</w:t>
      </w:r>
      <w:r w:rsidRPr="00AC1525" w:rsidR="003869D9">
        <w:rPr>
          <w:color w:val="000000"/>
          <w:sz w:val="22"/>
          <w:szCs w:val="22"/>
        </w:rPr>
        <w:t xml:space="preserve"> containers will </w:t>
      </w:r>
      <w:r w:rsidRPr="00AC1525">
        <w:rPr>
          <w:color w:val="000000"/>
          <w:sz w:val="22"/>
          <w:szCs w:val="22"/>
        </w:rPr>
        <w:t xml:space="preserve">originate from laboratory clean-outs annually (i.e., </w:t>
      </w:r>
      <w:r w:rsidRPr="00AC1525" w:rsidR="00DB3A1C">
        <w:rPr>
          <w:color w:val="000000"/>
          <w:sz w:val="22"/>
          <w:szCs w:val="22"/>
        </w:rPr>
        <w:t>1,</w:t>
      </w:r>
      <w:r w:rsidR="000205A3">
        <w:rPr>
          <w:color w:val="000000"/>
          <w:sz w:val="22"/>
          <w:szCs w:val="22"/>
        </w:rPr>
        <w:t>476,000</w:t>
      </w:r>
      <w:r w:rsidRPr="00AC1525" w:rsidR="00DB3A1C">
        <w:rPr>
          <w:color w:val="000000"/>
          <w:sz w:val="22"/>
          <w:szCs w:val="22"/>
        </w:rPr>
        <w:t xml:space="preserve"> </w:t>
      </w:r>
      <w:r w:rsidRPr="00AC1525">
        <w:rPr>
          <w:color w:val="000000"/>
          <w:sz w:val="22"/>
          <w:szCs w:val="22"/>
        </w:rPr>
        <w:t xml:space="preserve">x 20% x 10% = </w:t>
      </w:r>
      <w:r w:rsidR="000205A3">
        <w:rPr>
          <w:color w:val="000000"/>
          <w:sz w:val="22"/>
          <w:szCs w:val="22"/>
        </w:rPr>
        <w:t>29,520</w:t>
      </w:r>
      <w:r w:rsidRPr="00AC1525">
        <w:rPr>
          <w:color w:val="000000"/>
          <w:sz w:val="22"/>
          <w:szCs w:val="22"/>
        </w:rPr>
        <w:t>).  EPA estimates that personnel will spend two minutes per container to document the clean-out and two minutes per container to maintain documentation of the clean-out.</w:t>
      </w:r>
      <w:r>
        <w:rPr>
          <w:rStyle w:val="FootnoteReference"/>
          <w:color w:val="000000"/>
          <w:sz w:val="22"/>
          <w:szCs w:val="22"/>
          <w:vertAlign w:val="superscript"/>
        </w:rPr>
        <w:footnoteReference w:id="5"/>
      </w:r>
    </w:p>
    <w:p w:rsidR="00146A6C" w:rsidRPr="00AC1525" w14:paraId="41C6AC54" w14:textId="77777777">
      <w:pPr>
        <w:rPr>
          <w:color w:val="000000"/>
          <w:sz w:val="22"/>
          <w:szCs w:val="22"/>
        </w:rPr>
      </w:pPr>
    </w:p>
    <w:p w:rsidR="00146A6C" w:rsidRPr="00AC1525" w14:paraId="7DCDD8DF" w14:textId="0261B707">
      <w:pPr>
        <w:keepNext/>
        <w:ind w:firstLine="720"/>
        <w:rPr>
          <w:sz w:val="22"/>
          <w:szCs w:val="22"/>
        </w:rPr>
      </w:pPr>
      <w:r w:rsidRPr="00AC1525">
        <w:rPr>
          <w:b/>
          <w:bCs/>
          <w:sz w:val="22"/>
          <w:szCs w:val="22"/>
        </w:rPr>
        <w:t>(</w:t>
      </w:r>
      <w:r w:rsidRPr="00AC1525" w:rsidR="00C47EF2">
        <w:rPr>
          <w:b/>
          <w:bCs/>
          <w:sz w:val="22"/>
          <w:szCs w:val="22"/>
        </w:rPr>
        <w:t>j</w:t>
      </w:r>
      <w:r w:rsidRPr="00AC1525">
        <w:rPr>
          <w:b/>
          <w:bCs/>
          <w:sz w:val="22"/>
          <w:szCs w:val="22"/>
        </w:rPr>
        <w:t>)</w:t>
      </w:r>
      <w:r w:rsidRPr="00AC1525">
        <w:rPr>
          <w:b/>
          <w:bCs/>
          <w:sz w:val="22"/>
          <w:szCs w:val="22"/>
        </w:rPr>
        <w:tab/>
        <w:t>Laboratory Management Plan</w:t>
      </w:r>
    </w:p>
    <w:p w:rsidR="00146A6C" w:rsidRPr="00AC1525" w14:paraId="5D05D25B" w14:textId="77777777">
      <w:pPr>
        <w:keepNext/>
        <w:rPr>
          <w:sz w:val="22"/>
          <w:szCs w:val="22"/>
        </w:rPr>
      </w:pPr>
      <w:r w:rsidRPr="00AC1525">
        <w:rPr>
          <w:sz w:val="22"/>
          <w:szCs w:val="22"/>
        </w:rPr>
        <w:tab/>
      </w:r>
    </w:p>
    <w:p w:rsidR="00146A6C" w:rsidRPr="00AC1525" w14:paraId="4363C3E7" w14:textId="2ADEB1E4">
      <w:pPr>
        <w:keepNext/>
        <w:keepLines/>
        <w:ind w:firstLine="720"/>
        <w:rPr>
          <w:color w:val="000000"/>
          <w:sz w:val="22"/>
          <w:szCs w:val="22"/>
        </w:rPr>
      </w:pPr>
      <w:r w:rsidRPr="00AC1525">
        <w:rPr>
          <w:sz w:val="22"/>
          <w:szCs w:val="22"/>
        </w:rPr>
        <w:t xml:space="preserve">Eligible academic entities are required to develop a Laboratory Management Plan or modify an existing plan for their sites under Subpart K. For purposes of this ICR, EPA assumes that they </w:t>
      </w:r>
      <w:r w:rsidRPr="00AC1525">
        <w:rPr>
          <w:color w:val="000000"/>
          <w:sz w:val="22"/>
          <w:szCs w:val="22"/>
        </w:rPr>
        <w:t>will revise an existing plan (e.g., Chemical Hygiene Plan) to comply with the Laboratory Management Plan requirement. In estimating the annual incremental burden to respondents over the three</w:t>
      </w:r>
      <w:r w:rsidRPr="00AC1525">
        <w:rPr>
          <w:color w:val="000000"/>
          <w:sz w:val="22"/>
          <w:szCs w:val="22"/>
        </w:rPr>
        <w:noBreakHyphen/>
        <w:t>year period covered by this ICR, EPA annualized the burden of this one</w:t>
      </w:r>
      <w:r w:rsidRPr="00AC1525">
        <w:rPr>
          <w:color w:val="000000"/>
          <w:sz w:val="22"/>
          <w:szCs w:val="22"/>
        </w:rPr>
        <w:noBreakHyphen/>
        <w:t xml:space="preserve">time activity by dividing the number </w:t>
      </w:r>
      <w:r w:rsidRPr="00AC1525" w:rsidR="000B1D54">
        <w:rPr>
          <w:color w:val="000000"/>
          <w:sz w:val="22"/>
          <w:szCs w:val="22"/>
        </w:rPr>
        <w:t>eligible academic entities opting into Subpart K</w:t>
      </w:r>
      <w:r w:rsidRPr="00AC1525">
        <w:rPr>
          <w:color w:val="000000"/>
          <w:sz w:val="22"/>
          <w:szCs w:val="22"/>
        </w:rPr>
        <w:t xml:space="preserve">. Thus, EPA estimates that, on average, eligible academic entities will prepare </w:t>
      </w:r>
      <w:r w:rsidRPr="00AC1525" w:rsidR="000B1D54">
        <w:rPr>
          <w:color w:val="000000"/>
          <w:sz w:val="22"/>
          <w:szCs w:val="22"/>
        </w:rPr>
        <w:t>2</w:t>
      </w:r>
      <w:r w:rsidRPr="00AC1525" w:rsidR="006E465D">
        <w:rPr>
          <w:color w:val="000000"/>
          <w:sz w:val="22"/>
          <w:szCs w:val="22"/>
        </w:rPr>
        <w:t xml:space="preserve">4 </w:t>
      </w:r>
      <w:r w:rsidRPr="00AC1525">
        <w:rPr>
          <w:color w:val="000000"/>
          <w:sz w:val="22"/>
          <w:szCs w:val="22"/>
        </w:rPr>
        <w:t xml:space="preserve">Laboratory Management Plans per year (i.e., </w:t>
      </w:r>
      <w:r w:rsidRPr="00AC1525" w:rsidR="000B1D54">
        <w:rPr>
          <w:color w:val="000000"/>
          <w:sz w:val="22"/>
          <w:szCs w:val="22"/>
        </w:rPr>
        <w:t>71</w:t>
      </w:r>
      <w:r w:rsidRPr="00AC1525" w:rsidR="006E465D">
        <w:rPr>
          <w:color w:val="000000"/>
          <w:sz w:val="22"/>
          <w:szCs w:val="22"/>
        </w:rPr>
        <w:t xml:space="preserve"> </w:t>
      </w:r>
      <w:r w:rsidRPr="00AC1525">
        <w:rPr>
          <w:color w:val="000000"/>
          <w:sz w:val="22"/>
          <w:szCs w:val="22"/>
        </w:rPr>
        <w:t xml:space="preserve">Plans / 3 years). </w:t>
      </w:r>
    </w:p>
    <w:p w:rsidR="00146A6C" w:rsidRPr="00AC1525" w14:paraId="655F3C66" w14:textId="77777777">
      <w:pPr>
        <w:rPr>
          <w:color w:val="000000"/>
          <w:sz w:val="22"/>
          <w:szCs w:val="22"/>
        </w:rPr>
      </w:pPr>
    </w:p>
    <w:p w:rsidR="00146A6C" w:rsidRPr="00AC1525" w14:paraId="119CF9D6" w14:textId="13149777">
      <w:pPr>
        <w:rPr>
          <w:sz w:val="22"/>
          <w:szCs w:val="22"/>
        </w:rPr>
      </w:pPr>
      <w:r w:rsidRPr="00AC1525">
        <w:rPr>
          <w:sz w:val="22"/>
          <w:szCs w:val="22"/>
        </w:rPr>
        <w:tab/>
        <w:t>EPA also estimates that each site will review, revise, and keep records of its Laboratory Management Plan each year.</w:t>
      </w:r>
      <w:r>
        <w:rPr>
          <w:rStyle w:val="FootnoteReference"/>
          <w:sz w:val="22"/>
          <w:szCs w:val="22"/>
          <w:vertAlign w:val="superscript"/>
        </w:rPr>
        <w:footnoteReference w:id="6"/>
      </w:r>
    </w:p>
    <w:p w:rsidR="00146A6C" w:rsidRPr="00AC1525" w14:paraId="4E2945FB" w14:textId="77777777">
      <w:pPr>
        <w:rPr>
          <w:sz w:val="22"/>
          <w:szCs w:val="22"/>
        </w:rPr>
      </w:pPr>
    </w:p>
    <w:p w:rsidR="00146A6C" w:rsidRPr="00AC1525" w14:paraId="206E93B7" w14:textId="77777777">
      <w:pPr>
        <w:rPr>
          <w:sz w:val="22"/>
          <w:szCs w:val="22"/>
        </w:rPr>
      </w:pPr>
      <w:r w:rsidRPr="00AC1525">
        <w:rPr>
          <w:sz w:val="22"/>
          <w:szCs w:val="22"/>
        </w:rPr>
        <w:tab/>
        <w:t xml:space="preserve">Finally, the eligible academic entities must make the Laboratory Management Plan available to others (e.g., laboratory workers, students).  </w:t>
      </w:r>
    </w:p>
    <w:p w:rsidR="00146A6C" w:rsidRPr="00AC1525" w14:paraId="4D258BAD" w14:textId="77777777">
      <w:pPr>
        <w:ind w:firstLine="720"/>
        <w:rPr>
          <w:b/>
          <w:bCs/>
          <w:sz w:val="22"/>
          <w:szCs w:val="22"/>
        </w:rPr>
      </w:pPr>
    </w:p>
    <w:p w:rsidR="00146A6C" w:rsidRPr="00AC1525" w14:paraId="346C4E87" w14:textId="77777777">
      <w:pPr>
        <w:tabs>
          <w:tab w:val="left" w:pos="-1440"/>
        </w:tabs>
        <w:ind w:left="1440" w:hanging="720"/>
        <w:rPr>
          <w:b/>
          <w:bCs/>
          <w:sz w:val="22"/>
          <w:szCs w:val="22"/>
        </w:rPr>
      </w:pPr>
      <w:r w:rsidRPr="00AC1525">
        <w:rPr>
          <w:b/>
          <w:bCs/>
          <w:sz w:val="22"/>
          <w:szCs w:val="22"/>
        </w:rPr>
        <w:t>(3)</w:t>
      </w:r>
      <w:r w:rsidRPr="00AC1525">
        <w:rPr>
          <w:b/>
          <w:bCs/>
          <w:sz w:val="22"/>
          <w:szCs w:val="22"/>
        </w:rPr>
        <w:tab/>
        <w:t>Annual Respondent Hour and Cost Impacts under Existing Paperwork Requirements</w:t>
      </w:r>
    </w:p>
    <w:p w:rsidR="00146A6C" w:rsidRPr="00AC1525" w14:paraId="3A0D7359" w14:textId="77777777">
      <w:pPr>
        <w:ind w:firstLine="720"/>
        <w:rPr>
          <w:sz w:val="22"/>
          <w:szCs w:val="22"/>
        </w:rPr>
      </w:pPr>
      <w:r w:rsidRPr="00AC1525">
        <w:rPr>
          <w:rFonts w:ascii="Tahoma" w:hAnsi="Tahoma" w:cs="Tahoma"/>
          <w:sz w:val="22"/>
          <w:szCs w:val="22"/>
        </w:rPr>
        <w:t>﻿</w:t>
      </w:r>
    </w:p>
    <w:p w:rsidR="00146A6C" w:rsidRPr="00AC1525" w14:paraId="310F0329" w14:textId="5702E0BE">
      <w:pPr>
        <w:ind w:firstLine="720"/>
        <w:rPr>
          <w:color w:val="000000"/>
          <w:sz w:val="22"/>
          <w:szCs w:val="22"/>
        </w:rPr>
      </w:pPr>
      <w:r w:rsidRPr="00AC1525">
        <w:rPr>
          <w:sz w:val="22"/>
          <w:szCs w:val="22"/>
        </w:rPr>
        <w:t xml:space="preserve">Some eligible academic entities may be relieved of some of the existing generator standards under the rule, e.g., if they shift downward in generator status under Subpart K.  </w:t>
      </w:r>
      <w:r w:rsidRPr="00AC1525">
        <w:rPr>
          <w:color w:val="000000"/>
          <w:sz w:val="22"/>
          <w:szCs w:val="22"/>
        </w:rPr>
        <w:t>As a result, these sites will see some burden relief from the existing paperwork requirements.</w:t>
      </w:r>
    </w:p>
    <w:p w:rsidR="00146A6C" w:rsidRPr="00AC1525" w14:paraId="27F90FF7" w14:textId="77777777">
      <w:pPr>
        <w:rPr>
          <w:sz w:val="22"/>
          <w:szCs w:val="22"/>
        </w:rPr>
      </w:pPr>
      <w:r w:rsidRPr="00AC1525">
        <w:rPr>
          <w:sz w:val="22"/>
          <w:szCs w:val="22"/>
        </w:rPr>
        <w:tab/>
      </w:r>
    </w:p>
    <w:p w:rsidR="00146A6C" w:rsidRPr="00AC1525" w14:paraId="410B91A2" w14:textId="77777777">
      <w:pPr>
        <w:pStyle w:val="Heading2"/>
        <w:ind w:firstLine="720"/>
        <w:rPr>
          <w:rFonts w:ascii="Times New Roman" w:hAnsi="Times New Roman" w:cs="Times New Roman"/>
          <w:i w:val="0"/>
          <w:iCs w:val="0"/>
          <w:sz w:val="22"/>
          <w:szCs w:val="22"/>
        </w:rPr>
      </w:pPr>
      <w:bookmarkStart w:id="423" w:name="_Toc146594798"/>
      <w:bookmarkStart w:id="424" w:name="_Toc194233056"/>
      <w:bookmarkStart w:id="425" w:name="_Toc194321379"/>
      <w:bookmarkStart w:id="426" w:name="_Toc194321594"/>
      <w:bookmarkStart w:id="427" w:name="_Toc194395948"/>
      <w:bookmarkStart w:id="428" w:name="_Toc195523834"/>
      <w:bookmarkStart w:id="429" w:name="_Toc195524045"/>
      <w:bookmarkStart w:id="430" w:name="_Toc198053468"/>
      <w:bookmarkStart w:id="431" w:name="_Toc199176371"/>
      <w:bookmarkStart w:id="432" w:name="_Toc201152829"/>
      <w:bookmarkStart w:id="433" w:name="_Toc201153942"/>
      <w:bookmarkStart w:id="434" w:name="_Toc203626047"/>
      <w:bookmarkStart w:id="435" w:name="_Toc203626155"/>
      <w:bookmarkStart w:id="436" w:name="_Toc203711649"/>
      <w:bookmarkStart w:id="437" w:name="_Toc203715796"/>
      <w:bookmarkStart w:id="438" w:name="_Toc434488024"/>
      <w:r w:rsidRPr="00AC1525">
        <w:rPr>
          <w:rFonts w:ascii="Times New Roman" w:hAnsi="Times New Roman" w:cs="Times New Roman"/>
          <w:i w:val="0"/>
          <w:iCs w:val="0"/>
          <w:sz w:val="22"/>
          <w:szCs w:val="22"/>
        </w:rPr>
        <w:t>6(e)</w:t>
      </w:r>
      <w:r w:rsidRPr="00AC1525">
        <w:rPr>
          <w:rFonts w:ascii="Times New Roman" w:hAnsi="Times New Roman" w:cs="Times New Roman"/>
          <w:i w:val="0"/>
          <w:iCs w:val="0"/>
          <w:sz w:val="22"/>
          <w:szCs w:val="22"/>
        </w:rPr>
        <w:tab/>
        <w:t>Bottom Line Hour and Cost Burden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146A6C" w:rsidRPr="00AC1525" w14:paraId="73DEBF9A" w14:textId="77777777">
      <w:pPr>
        <w:keepNext/>
        <w:rPr>
          <w:sz w:val="22"/>
          <w:szCs w:val="22"/>
        </w:rPr>
      </w:pPr>
    </w:p>
    <w:p w:rsidR="00146A6C" w:rsidRPr="00AC1525" w14:paraId="43696949" w14:textId="77777777">
      <w:pPr>
        <w:keepNext/>
        <w:tabs>
          <w:tab w:val="left" w:pos="-1440"/>
        </w:tabs>
        <w:ind w:left="1440" w:hanging="720"/>
        <w:rPr>
          <w:sz w:val="22"/>
          <w:szCs w:val="22"/>
        </w:rPr>
      </w:pPr>
      <w:r w:rsidRPr="00AC1525">
        <w:rPr>
          <w:b/>
          <w:bCs/>
          <w:sz w:val="22"/>
          <w:szCs w:val="22"/>
        </w:rPr>
        <w:t>(1)</w:t>
      </w:r>
      <w:r w:rsidRPr="00AC1525">
        <w:rPr>
          <w:b/>
          <w:bCs/>
          <w:sz w:val="22"/>
          <w:szCs w:val="22"/>
        </w:rPr>
        <w:tab/>
        <w:t>Respondent Tally</w:t>
      </w:r>
    </w:p>
    <w:p w:rsidR="00146A6C" w:rsidRPr="00AC1525" w14:paraId="3DF8F68D" w14:textId="77777777">
      <w:pPr>
        <w:keepNext/>
        <w:rPr>
          <w:sz w:val="22"/>
          <w:szCs w:val="22"/>
        </w:rPr>
      </w:pPr>
    </w:p>
    <w:p w:rsidR="00146A6C" w:rsidRPr="00AC1525" w14:paraId="131761AE" w14:textId="13559C00">
      <w:pPr>
        <w:keepNext/>
        <w:rPr>
          <w:strike/>
          <w:color w:val="000000"/>
          <w:sz w:val="22"/>
          <w:szCs w:val="22"/>
        </w:rPr>
      </w:pPr>
      <w:r w:rsidRPr="00AC1525">
        <w:rPr>
          <w:sz w:val="22"/>
          <w:szCs w:val="22"/>
        </w:rPr>
        <w:tab/>
      </w:r>
      <w:r w:rsidRPr="00AC1525" w:rsidR="006E3A70">
        <w:rPr>
          <w:sz w:val="22"/>
          <w:szCs w:val="22"/>
        </w:rPr>
        <w:t>As shown in Exhibit</w:t>
      </w:r>
      <w:r w:rsidR="00A728DE">
        <w:rPr>
          <w:sz w:val="22"/>
          <w:szCs w:val="22"/>
        </w:rPr>
        <w:t>s</w:t>
      </w:r>
      <w:r w:rsidRPr="00AC1525" w:rsidR="006E3A70">
        <w:rPr>
          <w:sz w:val="22"/>
          <w:szCs w:val="22"/>
        </w:rPr>
        <w:t xml:space="preserve"> 1</w:t>
      </w:r>
      <w:r w:rsidR="00A728DE">
        <w:rPr>
          <w:sz w:val="22"/>
          <w:szCs w:val="22"/>
        </w:rPr>
        <w:t xml:space="preserve"> through 3</w:t>
      </w:r>
      <w:r w:rsidRPr="00AC1525">
        <w:rPr>
          <w:sz w:val="22"/>
          <w:szCs w:val="22"/>
        </w:rPr>
        <w:t xml:space="preserve">, </w:t>
      </w:r>
      <w:r w:rsidRPr="00AC1525">
        <w:rPr>
          <w:bCs/>
          <w:sz w:val="22"/>
          <w:szCs w:val="22"/>
        </w:rPr>
        <w:t xml:space="preserve">EPA </w:t>
      </w:r>
      <w:r w:rsidRPr="00AC1525">
        <w:rPr>
          <w:color w:val="000000"/>
          <w:sz w:val="22"/>
          <w:szCs w:val="22"/>
        </w:rPr>
        <w:t xml:space="preserve">estimates the total annual burden to respondents under the new paperwork requirements to </w:t>
      </w:r>
      <w:r w:rsidRPr="00834085">
        <w:rPr>
          <w:color w:val="000000"/>
          <w:sz w:val="22"/>
          <w:szCs w:val="22"/>
        </w:rPr>
        <w:t xml:space="preserve">be </w:t>
      </w:r>
      <w:r w:rsidRPr="00834085" w:rsidR="00834085">
        <w:rPr>
          <w:color w:val="000000"/>
          <w:sz w:val="22"/>
          <w:szCs w:val="22"/>
        </w:rPr>
        <w:t>146,1</w:t>
      </w:r>
      <w:r w:rsidR="00A4717B">
        <w:rPr>
          <w:color w:val="000000"/>
          <w:sz w:val="22"/>
          <w:szCs w:val="22"/>
        </w:rPr>
        <w:t>5</w:t>
      </w:r>
      <w:r w:rsidRPr="00834085" w:rsidR="00834085">
        <w:rPr>
          <w:color w:val="000000"/>
          <w:sz w:val="22"/>
          <w:szCs w:val="22"/>
        </w:rPr>
        <w:t>7</w:t>
      </w:r>
      <w:r w:rsidRPr="00834085" w:rsidR="00F452FA">
        <w:rPr>
          <w:color w:val="000000"/>
          <w:sz w:val="22"/>
          <w:szCs w:val="22"/>
        </w:rPr>
        <w:t xml:space="preserve"> </w:t>
      </w:r>
      <w:r w:rsidRPr="00834085">
        <w:rPr>
          <w:color w:val="000000"/>
          <w:sz w:val="22"/>
          <w:szCs w:val="22"/>
        </w:rPr>
        <w:t xml:space="preserve">hours and </w:t>
      </w:r>
      <w:r w:rsidRPr="00834085" w:rsidR="008D1048">
        <w:rPr>
          <w:color w:val="000000"/>
          <w:sz w:val="22"/>
          <w:szCs w:val="22"/>
        </w:rPr>
        <w:t>$</w:t>
      </w:r>
      <w:r w:rsidRPr="00834085" w:rsidR="00834085">
        <w:rPr>
          <w:color w:val="000000"/>
          <w:sz w:val="22"/>
          <w:szCs w:val="22"/>
        </w:rPr>
        <w:t>8,088,511</w:t>
      </w:r>
      <w:r w:rsidRPr="00AC1525" w:rsidR="00F452FA">
        <w:rPr>
          <w:color w:val="000000"/>
          <w:sz w:val="22"/>
          <w:szCs w:val="22"/>
        </w:rPr>
        <w:t>.</w:t>
      </w:r>
      <w:r w:rsidRPr="00AC1525">
        <w:rPr>
          <w:color w:val="000000"/>
          <w:sz w:val="22"/>
          <w:szCs w:val="22"/>
        </w:rPr>
        <w:t xml:space="preserve">  </w:t>
      </w:r>
    </w:p>
    <w:p w:rsidR="00146A6C" w:rsidRPr="00AC1525" w14:paraId="030B1D9E" w14:textId="77777777">
      <w:pPr>
        <w:rPr>
          <w:sz w:val="22"/>
          <w:szCs w:val="22"/>
        </w:rPr>
      </w:pPr>
    </w:p>
    <w:p w:rsidR="00146A6C" w:rsidRPr="00AC1525" w14:paraId="5C7BDBDC" w14:textId="77777777">
      <w:pPr>
        <w:keepNext/>
        <w:tabs>
          <w:tab w:val="left" w:pos="-1440"/>
        </w:tabs>
        <w:ind w:left="1440" w:hanging="720"/>
        <w:rPr>
          <w:b/>
          <w:bCs/>
          <w:sz w:val="22"/>
          <w:szCs w:val="22"/>
        </w:rPr>
      </w:pPr>
      <w:r w:rsidRPr="00AC1525">
        <w:rPr>
          <w:b/>
          <w:bCs/>
          <w:sz w:val="22"/>
          <w:szCs w:val="22"/>
        </w:rPr>
        <w:t>(2)</w:t>
      </w:r>
      <w:r w:rsidRPr="00AC1525">
        <w:rPr>
          <w:b/>
          <w:bCs/>
          <w:sz w:val="22"/>
          <w:szCs w:val="22"/>
        </w:rPr>
        <w:tab/>
        <w:t>Agency Tally</w:t>
      </w:r>
    </w:p>
    <w:p w:rsidR="00146A6C" w:rsidRPr="00AC1525" w14:paraId="16AE803C" w14:textId="77777777">
      <w:pPr>
        <w:keepNext/>
        <w:tabs>
          <w:tab w:val="left" w:pos="-1440"/>
        </w:tabs>
        <w:ind w:left="1440" w:hanging="720"/>
        <w:rPr>
          <w:b/>
          <w:bCs/>
          <w:color w:val="000000"/>
          <w:sz w:val="22"/>
          <w:szCs w:val="22"/>
        </w:rPr>
      </w:pPr>
    </w:p>
    <w:p w:rsidR="00146A6C" w:rsidRPr="00AC1525" w14:paraId="3F7A4B33" w14:textId="0C1B49AB">
      <w:pPr>
        <w:keepNext/>
        <w:tabs>
          <w:tab w:val="left" w:pos="-1440"/>
        </w:tabs>
        <w:rPr>
          <w:color w:val="000000"/>
          <w:sz w:val="22"/>
          <w:szCs w:val="22"/>
        </w:rPr>
      </w:pPr>
      <w:r w:rsidRPr="00AC1525">
        <w:rPr>
          <w:color w:val="000000"/>
          <w:sz w:val="22"/>
          <w:szCs w:val="22"/>
        </w:rPr>
        <w:tab/>
        <w:t xml:space="preserve">As shown in Exhibit </w:t>
      </w:r>
      <w:r w:rsidR="00A728DE">
        <w:rPr>
          <w:color w:val="000000"/>
          <w:sz w:val="22"/>
          <w:szCs w:val="22"/>
        </w:rPr>
        <w:t>4</w:t>
      </w:r>
      <w:r w:rsidRPr="00AC1525">
        <w:rPr>
          <w:color w:val="000000"/>
          <w:sz w:val="22"/>
          <w:szCs w:val="22"/>
        </w:rPr>
        <w:t xml:space="preserve">, </w:t>
      </w:r>
      <w:r w:rsidRPr="00AC1525">
        <w:rPr>
          <w:bCs/>
          <w:color w:val="000000"/>
          <w:sz w:val="22"/>
          <w:szCs w:val="22"/>
        </w:rPr>
        <w:t>EPA</w:t>
      </w:r>
      <w:r w:rsidRPr="00AC1525">
        <w:rPr>
          <w:color w:val="000000"/>
          <w:sz w:val="22"/>
          <w:szCs w:val="22"/>
        </w:rPr>
        <w:t xml:space="preserve"> estimates the total annual burden to the government under the new paperwork requirements to be </w:t>
      </w:r>
      <w:r w:rsidR="00834085">
        <w:rPr>
          <w:color w:val="000000"/>
          <w:sz w:val="22"/>
          <w:szCs w:val="22"/>
        </w:rPr>
        <w:t>8</w:t>
      </w:r>
      <w:r w:rsidRPr="00AC1525" w:rsidR="00992B57">
        <w:rPr>
          <w:color w:val="000000"/>
          <w:sz w:val="22"/>
          <w:szCs w:val="22"/>
        </w:rPr>
        <w:t xml:space="preserve"> </w:t>
      </w:r>
      <w:r w:rsidRPr="00AC1525">
        <w:rPr>
          <w:color w:val="000000"/>
          <w:sz w:val="22"/>
          <w:szCs w:val="22"/>
        </w:rPr>
        <w:t xml:space="preserve">hours and </w:t>
      </w:r>
      <w:r w:rsidR="00834085">
        <w:rPr>
          <w:color w:val="000000"/>
          <w:sz w:val="22"/>
          <w:szCs w:val="22"/>
        </w:rPr>
        <w:t>$242</w:t>
      </w:r>
      <w:r w:rsidRPr="00AC1525" w:rsidR="00593D72">
        <w:rPr>
          <w:color w:val="000000"/>
          <w:sz w:val="22"/>
          <w:szCs w:val="22"/>
        </w:rPr>
        <w:t>.</w:t>
      </w:r>
    </w:p>
    <w:p w:rsidR="00146A6C" w:rsidRPr="00AC1525" w14:paraId="51A3AF5B" w14:textId="77777777">
      <w:pPr>
        <w:pStyle w:val="Heading2"/>
        <w:ind w:left="720"/>
        <w:rPr>
          <w:rFonts w:ascii="Times New Roman" w:hAnsi="Times New Roman" w:cs="Times New Roman"/>
          <w:i w:val="0"/>
          <w:iCs w:val="0"/>
          <w:color w:val="000000"/>
          <w:sz w:val="22"/>
          <w:szCs w:val="22"/>
        </w:rPr>
      </w:pPr>
      <w:bookmarkStart w:id="439" w:name="_Toc146594799"/>
      <w:bookmarkStart w:id="440" w:name="_Toc194233057"/>
      <w:bookmarkStart w:id="441" w:name="_Toc194321380"/>
      <w:bookmarkStart w:id="442" w:name="_Toc194321595"/>
      <w:bookmarkStart w:id="443" w:name="_Toc194395949"/>
      <w:bookmarkStart w:id="444" w:name="_Toc195523835"/>
      <w:bookmarkStart w:id="445" w:name="_Toc195524046"/>
      <w:bookmarkStart w:id="446" w:name="_Toc198053469"/>
      <w:bookmarkStart w:id="447" w:name="_Toc199176372"/>
      <w:bookmarkStart w:id="448" w:name="_Toc201152830"/>
      <w:bookmarkStart w:id="449" w:name="_Toc201153943"/>
      <w:bookmarkStart w:id="450" w:name="_Toc203626048"/>
      <w:bookmarkStart w:id="451" w:name="_Toc203626156"/>
      <w:bookmarkStart w:id="452" w:name="_Toc203711650"/>
      <w:bookmarkStart w:id="453" w:name="_Toc203715797"/>
      <w:bookmarkStart w:id="454" w:name="_Toc434488025"/>
      <w:r w:rsidRPr="00AC1525">
        <w:rPr>
          <w:rFonts w:ascii="Times New Roman" w:hAnsi="Times New Roman" w:cs="Times New Roman"/>
          <w:i w:val="0"/>
          <w:iCs w:val="0"/>
          <w:color w:val="000000"/>
          <w:sz w:val="22"/>
          <w:szCs w:val="22"/>
        </w:rPr>
        <w:t>6(f)</w:t>
      </w:r>
      <w:r w:rsidRPr="00AC1525">
        <w:rPr>
          <w:rFonts w:ascii="Times New Roman" w:hAnsi="Times New Roman" w:cs="Times New Roman"/>
          <w:i w:val="0"/>
          <w:iCs w:val="0"/>
          <w:color w:val="000000"/>
          <w:sz w:val="22"/>
          <w:szCs w:val="22"/>
        </w:rPr>
        <w:tab/>
        <w:t xml:space="preserve">Reasons for Change </w:t>
      </w:r>
      <w:r w:rsidRPr="00AC1525">
        <w:rPr>
          <w:rFonts w:ascii="Times New Roman" w:hAnsi="Times New Roman" w:cs="Times New Roman"/>
          <w:i w:val="0"/>
          <w:iCs w:val="0"/>
          <w:color w:val="000000"/>
          <w:sz w:val="22"/>
          <w:szCs w:val="22"/>
        </w:rPr>
        <w:t>In</w:t>
      </w:r>
      <w:r w:rsidRPr="00AC1525">
        <w:rPr>
          <w:rFonts w:ascii="Times New Roman" w:hAnsi="Times New Roman" w:cs="Times New Roman"/>
          <w:i w:val="0"/>
          <w:iCs w:val="0"/>
          <w:color w:val="000000"/>
          <w:sz w:val="22"/>
          <w:szCs w:val="22"/>
        </w:rPr>
        <w:t xml:space="preserve"> Burden</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146A6C" w:rsidRPr="00AC1525" w14:paraId="0F8B0902" w14:textId="77777777">
      <w:pPr>
        <w:keepNext/>
        <w:rPr>
          <w:sz w:val="22"/>
          <w:szCs w:val="22"/>
        </w:rPr>
      </w:pPr>
      <w:bookmarkStart w:id="455" w:name="a__"/>
      <w:bookmarkStart w:id="456" w:name="_Toc146594800"/>
      <w:bookmarkStart w:id="457" w:name="_Toc194233058"/>
      <w:bookmarkStart w:id="458" w:name="_Toc194321381"/>
      <w:bookmarkStart w:id="459" w:name="_Toc194321596"/>
      <w:bookmarkStart w:id="460" w:name="_Toc194395950"/>
      <w:bookmarkStart w:id="461" w:name="_Toc195523836"/>
      <w:bookmarkStart w:id="462" w:name="_Toc195524047"/>
      <w:bookmarkStart w:id="463" w:name="_Toc198053470"/>
      <w:bookmarkStart w:id="464" w:name="_Toc199176373"/>
      <w:bookmarkEnd w:id="455"/>
    </w:p>
    <w:p w:rsidR="00752385" w:rsidRPr="00AC1525" w:rsidP="001604AD" w14:paraId="7B75686F" w14:textId="5BCE7877">
      <w:pPr>
        <w:ind w:firstLine="720"/>
        <w:rPr>
          <w:color w:val="000000"/>
          <w:sz w:val="22"/>
          <w:szCs w:val="22"/>
          <w:highlight w:val="yellow"/>
        </w:rPr>
      </w:pPr>
      <w:r w:rsidRPr="00AC1525">
        <w:rPr>
          <w:color w:val="000000"/>
          <w:sz w:val="22"/>
          <w:szCs w:val="22"/>
        </w:rPr>
        <w:t xml:space="preserve">The annual respondent burden in this </w:t>
      </w:r>
      <w:r w:rsidR="00834085">
        <w:rPr>
          <w:color w:val="000000"/>
          <w:sz w:val="22"/>
          <w:szCs w:val="22"/>
        </w:rPr>
        <w:t>ICR</w:t>
      </w:r>
      <w:r w:rsidRPr="00AC1525">
        <w:rPr>
          <w:color w:val="000000"/>
          <w:sz w:val="22"/>
          <w:szCs w:val="22"/>
        </w:rPr>
        <w:t xml:space="preserve"> is estimated to be </w:t>
      </w:r>
      <w:r w:rsidR="00834085">
        <w:rPr>
          <w:color w:val="000000"/>
          <w:sz w:val="22"/>
          <w:szCs w:val="22"/>
        </w:rPr>
        <w:t>146,1</w:t>
      </w:r>
      <w:r w:rsidR="00A4717B">
        <w:rPr>
          <w:color w:val="000000"/>
          <w:sz w:val="22"/>
          <w:szCs w:val="22"/>
        </w:rPr>
        <w:t>5</w:t>
      </w:r>
      <w:r w:rsidR="00834085">
        <w:rPr>
          <w:color w:val="000000"/>
          <w:sz w:val="22"/>
          <w:szCs w:val="22"/>
        </w:rPr>
        <w:t>7</w:t>
      </w:r>
      <w:r w:rsidRPr="00AC1525" w:rsidR="00F951FD">
        <w:rPr>
          <w:color w:val="000000"/>
          <w:sz w:val="22"/>
          <w:szCs w:val="22"/>
        </w:rPr>
        <w:t xml:space="preserve"> </w:t>
      </w:r>
      <w:r w:rsidRPr="00AC1525">
        <w:rPr>
          <w:color w:val="000000"/>
          <w:sz w:val="22"/>
          <w:szCs w:val="22"/>
        </w:rPr>
        <w:t xml:space="preserve">hours, which is </w:t>
      </w:r>
      <w:r w:rsidR="00834085">
        <w:rPr>
          <w:color w:val="000000"/>
          <w:sz w:val="22"/>
          <w:szCs w:val="22"/>
        </w:rPr>
        <w:t>a decrease of 11,8</w:t>
      </w:r>
      <w:r w:rsidR="00A4717B">
        <w:rPr>
          <w:color w:val="000000"/>
          <w:sz w:val="22"/>
          <w:szCs w:val="22"/>
        </w:rPr>
        <w:t>1</w:t>
      </w:r>
      <w:r w:rsidR="00834085">
        <w:rPr>
          <w:color w:val="000000"/>
          <w:sz w:val="22"/>
          <w:szCs w:val="22"/>
        </w:rPr>
        <w:t>5</w:t>
      </w:r>
      <w:r w:rsidRPr="00AC1525" w:rsidR="003B336A">
        <w:rPr>
          <w:color w:val="000000"/>
          <w:sz w:val="22"/>
          <w:szCs w:val="22"/>
        </w:rPr>
        <w:t xml:space="preserve"> </w:t>
      </w:r>
      <w:r w:rsidRPr="00AC1525">
        <w:rPr>
          <w:color w:val="000000"/>
          <w:sz w:val="22"/>
          <w:szCs w:val="22"/>
        </w:rPr>
        <w:t>hours</w:t>
      </w:r>
      <w:r w:rsidRPr="00AC1525">
        <w:rPr>
          <w:color w:val="000000"/>
          <w:sz w:val="22"/>
          <w:szCs w:val="22"/>
        </w:rPr>
        <w:t xml:space="preserve"> from the previously approved ICR</w:t>
      </w:r>
      <w:r w:rsidRPr="00AC1525">
        <w:rPr>
          <w:color w:val="000000"/>
          <w:sz w:val="22"/>
          <w:szCs w:val="22"/>
        </w:rPr>
        <w:t xml:space="preserve">.  This </w:t>
      </w:r>
      <w:r w:rsidR="00834085">
        <w:rPr>
          <w:color w:val="000000"/>
          <w:sz w:val="22"/>
          <w:szCs w:val="22"/>
        </w:rPr>
        <w:t>decrease</w:t>
      </w:r>
      <w:r w:rsidRPr="00AC1525">
        <w:rPr>
          <w:color w:val="000000"/>
          <w:sz w:val="22"/>
          <w:szCs w:val="22"/>
        </w:rPr>
        <w:t xml:space="preserve"> is an adjustment to the existing estimates based on </w:t>
      </w:r>
      <w:r w:rsidRPr="00AC1525" w:rsidR="00DE15D2">
        <w:rPr>
          <w:color w:val="000000"/>
          <w:sz w:val="22"/>
          <w:szCs w:val="22"/>
        </w:rPr>
        <w:t xml:space="preserve">data gathered through industry consultations and </w:t>
      </w:r>
      <w:r w:rsidRPr="00AC1525" w:rsidR="00317A02">
        <w:rPr>
          <w:color w:val="000000"/>
          <w:sz w:val="22"/>
          <w:szCs w:val="22"/>
        </w:rPr>
        <w:t xml:space="preserve">review of </w:t>
      </w:r>
      <w:r w:rsidRPr="00AC1525" w:rsidR="00DE15D2">
        <w:rPr>
          <w:color w:val="000000"/>
          <w:sz w:val="22"/>
          <w:szCs w:val="22"/>
        </w:rPr>
        <w:t xml:space="preserve">the </w:t>
      </w:r>
      <w:r w:rsidRPr="00AC1525" w:rsidR="003B32CD">
        <w:rPr>
          <w:color w:val="000000"/>
          <w:sz w:val="22"/>
          <w:szCs w:val="22"/>
        </w:rPr>
        <w:t>Resource Conservation and Recovery Act Information (RCRAInfo) national d</w:t>
      </w:r>
      <w:r w:rsidRPr="00AC1525" w:rsidR="00DE15D2">
        <w:rPr>
          <w:color w:val="000000"/>
          <w:sz w:val="22"/>
          <w:szCs w:val="22"/>
        </w:rPr>
        <w:t>atabase</w:t>
      </w:r>
      <w:r w:rsidRPr="00AC1525">
        <w:rPr>
          <w:color w:val="000000"/>
          <w:sz w:val="22"/>
          <w:szCs w:val="22"/>
        </w:rPr>
        <w:t>, not due to program changes.</w:t>
      </w:r>
      <w:r w:rsidRPr="00AC1525" w:rsidR="00D01A19">
        <w:rPr>
          <w:color w:val="000000"/>
          <w:sz w:val="22"/>
          <w:szCs w:val="22"/>
        </w:rPr>
        <w:t xml:space="preserve"> </w:t>
      </w:r>
    </w:p>
    <w:p w:rsidR="00146A6C" w:rsidRPr="00AC1525" w14:paraId="62346D86" w14:textId="77777777">
      <w:pPr>
        <w:pStyle w:val="Heading2"/>
        <w:ind w:firstLine="720"/>
        <w:rPr>
          <w:rFonts w:ascii="Times New Roman" w:hAnsi="Times New Roman" w:cs="Times New Roman"/>
          <w:i w:val="0"/>
          <w:iCs w:val="0"/>
          <w:sz w:val="22"/>
          <w:szCs w:val="22"/>
        </w:rPr>
      </w:pPr>
      <w:bookmarkStart w:id="465" w:name="_Toc201152831"/>
      <w:bookmarkStart w:id="466" w:name="_Toc201153944"/>
      <w:bookmarkStart w:id="467" w:name="_Toc203626049"/>
      <w:bookmarkStart w:id="468" w:name="_Toc203626157"/>
      <w:bookmarkStart w:id="469" w:name="_Toc203711651"/>
      <w:bookmarkStart w:id="470" w:name="_Toc203715798"/>
      <w:bookmarkStart w:id="471" w:name="_Toc434488026"/>
      <w:r w:rsidRPr="00AC1525">
        <w:rPr>
          <w:rFonts w:ascii="Times New Roman" w:hAnsi="Times New Roman" w:cs="Times New Roman"/>
          <w:i w:val="0"/>
          <w:iCs w:val="0"/>
          <w:sz w:val="22"/>
          <w:szCs w:val="22"/>
        </w:rPr>
        <w:t>6(g)</w:t>
      </w:r>
      <w:r w:rsidRPr="00AC1525">
        <w:rPr>
          <w:rFonts w:ascii="Times New Roman" w:hAnsi="Times New Roman" w:cs="Times New Roman"/>
          <w:i w:val="0"/>
          <w:iCs w:val="0"/>
          <w:sz w:val="22"/>
          <w:szCs w:val="22"/>
        </w:rPr>
        <w:tab/>
        <w:t>Public Burden Statement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146A6C" w:rsidRPr="00AC1525" w14:paraId="105A899F" w14:textId="54EA04BA">
      <w:pPr>
        <w:ind w:firstLine="720"/>
        <w:rPr>
          <w:sz w:val="22"/>
          <w:szCs w:val="22"/>
        </w:rPr>
      </w:pPr>
      <w:r w:rsidRPr="00AC1525">
        <w:rPr>
          <w:sz w:val="22"/>
          <w:szCs w:val="22"/>
        </w:rPr>
        <w:t xml:space="preserve">The annual public reporting and recordkeeping burden for this collection of information is estimated to </w:t>
      </w:r>
      <w:r w:rsidRPr="00F80E0C">
        <w:rPr>
          <w:sz w:val="22"/>
          <w:szCs w:val="22"/>
        </w:rPr>
        <w:t xml:space="preserve">average </w:t>
      </w:r>
      <w:r w:rsidR="0023206A">
        <w:rPr>
          <w:sz w:val="22"/>
          <w:szCs w:val="22"/>
        </w:rPr>
        <w:t>1</w:t>
      </w:r>
      <w:r w:rsidRPr="00AC1525">
        <w:rPr>
          <w:b/>
          <w:sz w:val="22"/>
          <w:szCs w:val="22"/>
        </w:rPr>
        <w:t xml:space="preserve"> </w:t>
      </w:r>
      <w:r w:rsidRPr="00AC1525">
        <w:rPr>
          <w:sz w:val="22"/>
          <w:szCs w:val="22"/>
        </w:rPr>
        <w:t>hour per response.</w:t>
      </w:r>
    </w:p>
    <w:p w:rsidR="00146A6C" w:rsidRPr="00AC1525" w14:paraId="2CC98EF4" w14:textId="77777777">
      <w:pPr>
        <w:ind w:firstLine="720"/>
        <w:rPr>
          <w:color w:val="000000"/>
          <w:sz w:val="22"/>
          <w:szCs w:val="22"/>
        </w:rPr>
      </w:pPr>
    </w:p>
    <w:p w:rsidR="003153AE" w:rsidRPr="00AC1525" w14:paraId="4B7DE37B" w14:textId="70DF1CDD">
      <w:pPr>
        <w:ind w:firstLine="720"/>
        <w:rPr>
          <w:sz w:val="22"/>
          <w:szCs w:val="22"/>
        </w:rPr>
      </w:pPr>
      <w:r w:rsidRPr="00AC1525">
        <w:rPr>
          <w:color w:val="000000"/>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Pr="00AC1525" w:rsidR="00200D8E">
        <w:rPr>
          <w:sz w:val="22"/>
          <w:szCs w:val="22"/>
        </w:rPr>
        <w:t>EPA-HQ-OLEM-2018-0692</w:t>
      </w:r>
      <w:r w:rsidRPr="00AC1525">
        <w:rPr>
          <w:color w:val="000000"/>
          <w:sz w:val="22"/>
          <w:szCs w:val="22"/>
        </w:rPr>
        <w:t>, which is available for online viewing at www.regulations.gov, or in person viewing at the Resource Conservation and Recovery Act (RCRA) Docket in the EPA Docket Center (EPA</w:t>
      </w:r>
      <w:r w:rsidRPr="00AC1525">
        <w:rPr>
          <w:sz w:val="22"/>
          <w:szCs w:val="22"/>
        </w:rPr>
        <w:t xml:space="preserve">/DC), EPA West, Room </w:t>
      </w:r>
      <w:r w:rsidRPr="00AC1525" w:rsidR="007604E0">
        <w:rPr>
          <w:sz w:val="22"/>
          <w:szCs w:val="22"/>
        </w:rPr>
        <w:t>3334</w:t>
      </w:r>
      <w:r w:rsidRPr="00AC1525">
        <w:rPr>
          <w:sz w:val="22"/>
          <w:szCs w:val="22"/>
        </w:rPr>
        <w:t>, 1301 Constitution Avenue, NW, Washington, D.C.  The EPA Docket Center Public Reading Room is open from 8:30 a.m. to 4:30 p.m., Monday through Friday, excluding legal holidays.  The telephone number for the Reading Room is (202) 566</w:t>
      </w:r>
      <w:r w:rsidRPr="00AC1525">
        <w:rPr>
          <w:sz w:val="22"/>
          <w:szCs w:val="22"/>
        </w:rPr>
        <w:noBreakHyphen/>
        <w:t xml:space="preserve">1744, and the telephone number for the Resource Conservation and Recovery Act (RCRA) Docket is </w:t>
      </w:r>
      <w:r w:rsidRPr="00AC1525">
        <w:rPr>
          <w:sz w:val="22"/>
          <w:szCs w:val="22"/>
        </w:rPr>
        <w:t>(</w:t>
      </w:r>
      <w:r w:rsidRPr="00AC1525">
        <w:rPr>
          <w:sz w:val="22"/>
          <w:szCs w:val="22"/>
        </w:rPr>
        <w:t>202</w:t>
      </w:r>
      <w:r w:rsidRPr="00AC1525">
        <w:rPr>
          <w:sz w:val="22"/>
          <w:szCs w:val="22"/>
        </w:rPr>
        <w:t xml:space="preserve">) </w:t>
      </w:r>
      <w:r w:rsidRPr="00AC1525">
        <w:rPr>
          <w:sz w:val="22"/>
          <w:szCs w:val="22"/>
        </w:rPr>
        <w:t xml:space="preserve">566-0270.  </w:t>
      </w:r>
    </w:p>
    <w:p w:rsidR="003153AE" w:rsidRPr="00AC1525" w14:paraId="378CD268" w14:textId="77777777">
      <w:pPr>
        <w:ind w:firstLine="720"/>
        <w:rPr>
          <w:sz w:val="22"/>
          <w:szCs w:val="22"/>
        </w:rPr>
      </w:pPr>
    </w:p>
    <w:p w:rsidR="00146A6C" w:rsidRPr="00AC1525" w14:paraId="3070A8C3" w14:textId="09F1BFFE">
      <w:pPr>
        <w:ind w:firstLine="720"/>
        <w:rPr>
          <w:color w:val="000000"/>
          <w:sz w:val="22"/>
          <w:szCs w:val="22"/>
        </w:rPr>
      </w:pPr>
      <w:r w:rsidRPr="00AC1525">
        <w:rPr>
          <w:sz w:val="22"/>
          <w:szCs w:val="22"/>
        </w:rPr>
        <w:t xml:space="preserve">An electronic version of the public docket is available at </w:t>
      </w:r>
      <w:r w:rsidRPr="00AC1525">
        <w:rPr>
          <w:bCs/>
          <w:sz w:val="22"/>
          <w:szCs w:val="22"/>
        </w:rPr>
        <w:t>http:</w:t>
      </w:r>
      <w:r w:rsidRPr="00AC1525">
        <w:rPr>
          <w:b/>
          <w:sz w:val="22"/>
          <w:szCs w:val="22"/>
        </w:rPr>
        <w:t>//</w:t>
      </w:r>
      <w:r w:rsidRPr="00AC1525">
        <w:rPr>
          <w:sz w:val="22"/>
          <w:szCs w:val="22"/>
        </w:rPr>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AC1525" w:rsidR="00200D8E">
        <w:rPr>
          <w:sz w:val="22"/>
          <w:szCs w:val="22"/>
        </w:rPr>
        <w:t>EPA-HQ-OLEM-2018-0692</w:t>
      </w:r>
      <w:r w:rsidRPr="00AC1525">
        <w:rPr>
          <w:color w:val="000000"/>
          <w:sz w:val="22"/>
          <w:szCs w:val="22"/>
        </w:rPr>
        <w:t xml:space="preserve">, and OMB Control Number </w:t>
      </w:r>
      <w:r w:rsidRPr="00AC1525" w:rsidR="002B6CEC">
        <w:rPr>
          <w:color w:val="000000"/>
          <w:sz w:val="22"/>
          <w:szCs w:val="22"/>
        </w:rPr>
        <w:t xml:space="preserve">2050–0204 </w:t>
      </w:r>
      <w:r w:rsidRPr="00AC1525">
        <w:rPr>
          <w:color w:val="000000"/>
          <w:sz w:val="22"/>
          <w:szCs w:val="22"/>
        </w:rPr>
        <w:t>in any correspondence.</w:t>
      </w:r>
    </w:p>
    <w:p w:rsidR="00146A6C" w14:paraId="6D071788" w14:textId="77777777">
      <w:pPr>
        <w:ind w:firstLine="720"/>
        <w:sectPr>
          <w:pgSz w:w="12240" w:h="15840"/>
          <w:pgMar w:top="1440" w:right="1800" w:bottom="1440" w:left="1800" w:header="720" w:footer="720" w:gutter="0"/>
          <w:cols w:space="720"/>
          <w:docGrid w:linePitch="360"/>
        </w:sectPr>
      </w:pPr>
    </w:p>
    <w:p w:rsidR="00CD1728" w:rsidP="003C7AC5" w14:paraId="0C9CF2A2" w14:textId="5B3532A3">
      <w:pPr>
        <w:ind w:firstLine="720"/>
      </w:pPr>
    </w:p>
    <w:p w:rsidR="00042DF5" w:rsidRPr="00E47300" w:rsidP="008E3A96" w14:paraId="36AFFECE" w14:textId="60F49261">
      <w:pPr>
        <w:rPr>
          <w:color w:val="000000"/>
        </w:rPr>
      </w:pPr>
      <w:r w:rsidRPr="00E47300">
        <w:rPr>
          <w:color w:val="000000"/>
        </w:rPr>
        <w:tab/>
      </w:r>
    </w:p>
    <w:p w:rsidR="00364996" w:rsidP="008E3A96" w14:paraId="18CEE893" w14:textId="55AFCA82">
      <w:pPr>
        <w:rPr>
          <w:color w:val="000000"/>
        </w:rPr>
      </w:pPr>
      <w:r w:rsidRPr="00364996">
        <w:rPr>
          <w:noProof/>
        </w:rPr>
        <w:drawing>
          <wp:inline distT="0" distB="0" distL="0" distR="0">
            <wp:extent cx="8296275" cy="543369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07664" cy="5441154"/>
                    </a:xfrm>
                    <a:prstGeom prst="rect">
                      <a:avLst/>
                    </a:prstGeom>
                    <a:noFill/>
                    <a:ln>
                      <a:noFill/>
                    </a:ln>
                  </pic:spPr>
                </pic:pic>
              </a:graphicData>
            </a:graphic>
          </wp:inline>
        </w:drawing>
      </w:r>
    </w:p>
    <w:p w:rsidR="00364996" w14:paraId="53F8C30E" w14:textId="2DEA64E3">
      <w:pPr>
        <w:rPr>
          <w:color w:val="000000"/>
        </w:rPr>
      </w:pPr>
      <w:r>
        <w:rPr>
          <w:color w:val="000000"/>
        </w:rPr>
        <w:br w:type="page"/>
      </w:r>
      <w:r w:rsidRPr="00364996">
        <w:rPr>
          <w:noProof/>
        </w:rPr>
        <w:drawing>
          <wp:inline distT="0" distB="0" distL="0" distR="0">
            <wp:extent cx="8429625" cy="25158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6033" cy="2520767"/>
                    </a:xfrm>
                    <a:prstGeom prst="rect">
                      <a:avLst/>
                    </a:prstGeom>
                    <a:noFill/>
                    <a:ln>
                      <a:noFill/>
                    </a:ln>
                  </pic:spPr>
                </pic:pic>
              </a:graphicData>
            </a:graphic>
          </wp:inline>
        </w:drawing>
      </w:r>
    </w:p>
    <w:p w:rsidR="00364996" w14:paraId="6BBD3BE6" w14:textId="6780291D">
      <w:pPr>
        <w:rPr>
          <w:color w:val="000000"/>
        </w:rPr>
      </w:pPr>
      <w:r>
        <w:rPr>
          <w:color w:val="000000"/>
        </w:rPr>
        <w:br w:type="page"/>
      </w:r>
    </w:p>
    <w:p w:rsidR="00364996" w:rsidP="008E3A96" w14:paraId="3AB62037" w14:textId="26545171">
      <w:pPr>
        <w:rPr>
          <w:color w:val="000000"/>
        </w:rPr>
      </w:pPr>
      <w:r w:rsidRPr="00364996">
        <w:rPr>
          <w:noProof/>
        </w:rPr>
        <w:drawing>
          <wp:inline distT="0" distB="0" distL="0" distR="0">
            <wp:extent cx="8172450" cy="5886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177549" cy="5890391"/>
                    </a:xfrm>
                    <a:prstGeom prst="rect">
                      <a:avLst/>
                    </a:prstGeom>
                    <a:noFill/>
                    <a:ln>
                      <a:noFill/>
                    </a:ln>
                  </pic:spPr>
                </pic:pic>
              </a:graphicData>
            </a:graphic>
          </wp:inline>
        </w:drawing>
      </w:r>
    </w:p>
    <w:p w:rsidR="00364996" w:rsidP="008E3A96" w14:paraId="7917EFB8" w14:textId="5C96CB5B">
      <w:pPr>
        <w:rPr>
          <w:color w:val="000000"/>
        </w:rPr>
      </w:pPr>
      <w:r>
        <w:rPr>
          <w:color w:val="000000"/>
        </w:rPr>
        <w:br w:type="page"/>
      </w:r>
      <w:r w:rsidRPr="00364996">
        <w:rPr>
          <w:noProof/>
        </w:rPr>
        <w:drawing>
          <wp:inline distT="0" distB="0" distL="0" distR="0">
            <wp:extent cx="8143875" cy="24813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8158187" cy="2485698"/>
                    </a:xfrm>
                    <a:prstGeom prst="rect">
                      <a:avLst/>
                    </a:prstGeom>
                    <a:noFill/>
                    <a:ln>
                      <a:noFill/>
                    </a:ln>
                  </pic:spPr>
                </pic:pic>
              </a:graphicData>
            </a:graphic>
          </wp:inline>
        </w:drawing>
      </w:r>
    </w:p>
    <w:p w:rsidR="00364996" w14:paraId="20043DB3" w14:textId="77777777">
      <w:pPr>
        <w:rPr>
          <w:color w:val="000000"/>
        </w:rPr>
      </w:pPr>
      <w:r>
        <w:rPr>
          <w:color w:val="000000"/>
        </w:rPr>
        <w:br w:type="page"/>
      </w:r>
    </w:p>
    <w:p w:rsidR="00364996" w:rsidP="008E3A96" w14:paraId="4BBA725E" w14:textId="77777777">
      <w:r w:rsidRPr="00364996">
        <w:rPr>
          <w:noProof/>
        </w:rPr>
        <w:drawing>
          <wp:inline distT="0" distB="0" distL="0" distR="0">
            <wp:extent cx="8201025" cy="2620526"/>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0241" cy="2626666"/>
                    </a:xfrm>
                    <a:prstGeom prst="rect">
                      <a:avLst/>
                    </a:prstGeom>
                    <a:noFill/>
                    <a:ln>
                      <a:noFill/>
                    </a:ln>
                  </pic:spPr>
                </pic:pic>
              </a:graphicData>
            </a:graphic>
          </wp:inline>
        </w:drawing>
      </w:r>
    </w:p>
    <w:p w:rsidR="00364996" w:rsidP="008E3A96" w14:paraId="1EF17A57" w14:textId="7C580F65"/>
    <w:p w:rsidR="00364996" w:rsidP="008E3A96" w14:paraId="59539DE9" w14:textId="77DDD62C"/>
    <w:p w:rsidR="00364996" w:rsidP="008E3A96" w14:paraId="146E50B8" w14:textId="77777777"/>
    <w:p w:rsidR="00A23455" w:rsidRPr="00E47300" w:rsidP="008E3A96" w14:paraId="2451437D" w14:textId="4AC266E0">
      <w:pPr>
        <w:rPr>
          <w:color w:val="000000"/>
        </w:rPr>
      </w:pPr>
      <w:r w:rsidRPr="00364996">
        <w:rPr>
          <w:noProof/>
        </w:rPr>
        <w:drawing>
          <wp:inline distT="0" distB="0" distL="0" distR="0">
            <wp:extent cx="8167613" cy="260985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175507" cy="2612372"/>
                    </a:xfrm>
                    <a:prstGeom prst="rect">
                      <a:avLst/>
                    </a:prstGeom>
                    <a:noFill/>
                    <a:ln>
                      <a:noFill/>
                    </a:ln>
                  </pic:spPr>
                </pic:pic>
              </a:graphicData>
            </a:graphic>
          </wp:inline>
        </w:drawing>
      </w:r>
    </w:p>
    <w:sectPr w:rsidSect="004C69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A49" w14:paraId="3753E1D9" w14:textId="77777777">
    <w:pPr>
      <w:spacing w:line="240" w:lineRule="exact"/>
    </w:pPr>
  </w:p>
  <w:p w:rsidR="00D20A49" w14:paraId="280C03D8" w14:textId="77777777">
    <w:pPr>
      <w:framePr w:w="9361" w:wrap="notBeside" w:vAnchor="text" w:hAnchor="text" w:x="1" w:y="1"/>
      <w:jc w:val="center"/>
    </w:pPr>
  </w:p>
  <w:p w:rsidR="00D20A49" w14:paraId="6FFC504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A49" w14:paraId="5A00858E" w14:textId="77777777">
    <w:pPr>
      <w:spacing w:line="240" w:lineRule="exact"/>
    </w:pPr>
  </w:p>
  <w:p w:rsidR="00D20A49" w14:paraId="611072A6" w14:textId="77777777">
    <w:pPr>
      <w:framePr w:w="9361" w:wrap="notBeside" w:vAnchor="text" w:hAnchor="text" w:x="1" w:y="1"/>
      <w:jc w:val="center"/>
    </w:pPr>
    <w:r>
      <w:fldChar w:fldCharType="begin"/>
    </w:r>
    <w:r>
      <w:instrText xml:space="preserve">PAGE </w:instrText>
    </w:r>
    <w:r>
      <w:fldChar w:fldCharType="separate"/>
    </w:r>
    <w:r>
      <w:rPr>
        <w:noProof/>
      </w:rPr>
      <w:t>i</w:t>
    </w:r>
    <w:r>
      <w:fldChar w:fldCharType="end"/>
    </w:r>
  </w:p>
  <w:p w:rsidR="00D20A49" w14:paraId="4F0B30E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A49" w14:paraId="0AA090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0A49" w14:paraId="4CCE1AD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A49" w14:paraId="318C6F3F"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D20A49" w14:paraId="73948A51" w14:textId="77777777">
    <w:pPr>
      <w:pStyle w:val="Footer"/>
      <w:framePr w:wrap="around" w:vAnchor="text" w:hAnchor="margin" w:xAlign="center" w:y="1"/>
      <w:rPr>
        <w:rStyle w:val="PageNumber"/>
      </w:rPr>
    </w:pPr>
  </w:p>
  <w:p w:rsidR="00D20A49" w14:paraId="248B3BB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7A9E" w14:paraId="506B8A7E" w14:textId="77777777">
      <w:r>
        <w:separator/>
      </w:r>
    </w:p>
  </w:footnote>
  <w:footnote w:type="continuationSeparator" w:id="1">
    <w:p w:rsidR="00FF7A9E" w14:paraId="294EB243" w14:textId="77777777">
      <w:r>
        <w:continuationSeparator/>
      </w:r>
    </w:p>
  </w:footnote>
  <w:footnote w:id="2">
    <w:p w:rsidR="00A43856" w:rsidRPr="00A43856" w:rsidP="00A43856" w14:paraId="188A9EAB" w14:textId="77777777">
      <w:pPr>
        <w:rPr>
          <w:color w:val="000000"/>
          <w:sz w:val="18"/>
          <w:szCs w:val="18"/>
        </w:rPr>
      </w:pPr>
      <w:r>
        <w:rPr>
          <w:rStyle w:val="FootnoteReference"/>
        </w:rPr>
        <w:footnoteRef/>
      </w:r>
      <w:r>
        <w:t xml:space="preserve"> </w:t>
      </w:r>
      <w:r w:rsidRPr="00A43856">
        <w:rPr>
          <w:sz w:val="18"/>
          <w:szCs w:val="18"/>
        </w:rPr>
        <w:t xml:space="preserve">RCRAInfo is a national system and database which EPA and States use to record and track information provided by the regulated community concerning the generation, shipment, treatment, and disposal of hazardous wastes.  </w:t>
      </w:r>
      <w:r w:rsidRPr="00A43856">
        <w:rPr>
          <w:color w:val="000000"/>
          <w:sz w:val="18"/>
          <w:szCs w:val="18"/>
        </w:rPr>
        <w:t xml:space="preserve">This database is an EPA computer system for the use of EPA employees, as well as State and Territorial environmental agencies, working in their official capacities (see </w:t>
      </w:r>
      <w:r w:rsidRPr="00A43856">
        <w:rPr>
          <w:color w:val="0000FF"/>
          <w:sz w:val="18"/>
          <w:szCs w:val="18"/>
        </w:rPr>
        <w:t>https://rcrainfo.epa.gov/rcrainfoprod/action/secured/home</w:t>
      </w:r>
      <w:r w:rsidRPr="00A43856">
        <w:rPr>
          <w:color w:val="000000"/>
          <w:sz w:val="18"/>
          <w:szCs w:val="18"/>
        </w:rPr>
        <w:t xml:space="preserve">).  Public access to RCRA Info </w:t>
      </w:r>
      <w:r w:rsidRPr="00A43856">
        <w:rPr>
          <w:sz w:val="18"/>
          <w:szCs w:val="18"/>
        </w:rPr>
        <w:t xml:space="preserve">and Biennial Report data </w:t>
      </w:r>
      <w:r w:rsidRPr="00A43856">
        <w:rPr>
          <w:color w:val="000000"/>
          <w:sz w:val="18"/>
          <w:szCs w:val="18"/>
        </w:rPr>
        <w:t>can be found on-line through the use of RCRAInfo Web</w:t>
      </w:r>
    </w:p>
    <w:p w:rsidR="00C1646B" w:rsidP="00A43856" w14:paraId="1A627337" w14:textId="18F5D39A">
      <w:pPr>
        <w:pStyle w:val="FootnoteText"/>
      </w:pPr>
      <w:r w:rsidRPr="00A43856">
        <w:rPr>
          <w:color w:val="0000FF"/>
          <w:sz w:val="18"/>
          <w:szCs w:val="18"/>
        </w:rPr>
        <w:t>https://rcrapublic.epa.gov/rcrainfoweb/action/main-menu/view</w:t>
      </w:r>
    </w:p>
  </w:footnote>
  <w:footnote w:id="3">
    <w:p w:rsidR="00D20A49" w14:paraId="18A84E65" w14:textId="48C634EB">
      <w:pPr>
        <w:pStyle w:val="FootnoteText"/>
      </w:pPr>
      <w:r w:rsidRPr="00270DB5">
        <w:rPr>
          <w:rStyle w:val="FootnoteReference"/>
          <w:vertAlign w:val="superscript"/>
        </w:rPr>
        <w:footnoteRef/>
      </w:r>
      <w:r w:rsidRPr="00270DB5">
        <w:rPr>
          <w:vertAlign w:val="superscript"/>
        </w:rPr>
        <w:t>.</w:t>
      </w:r>
      <w:r>
        <w:t xml:space="preserve">  “Table 5-2. Number of Facilities Expected to Adopt the Final Rule by Institution Type, Lab System Size, Generator Status, and CAA Operation.” (p. 64) of EPA’s impact assessment.</w:t>
      </w:r>
    </w:p>
  </w:footnote>
  <w:footnote w:id="4">
    <w:p w:rsidR="00D20A49" w14:paraId="0BD442A6" w14:textId="77777777">
      <w:pPr>
        <w:pStyle w:val="FootnoteText"/>
      </w:pPr>
      <w:r w:rsidRPr="00270DB5">
        <w:rPr>
          <w:rStyle w:val="FootnoteReference"/>
          <w:vertAlign w:val="superscript"/>
        </w:rPr>
        <w:footnoteRef/>
      </w:r>
      <w:r w:rsidRPr="00270DB5">
        <w:rPr>
          <w:vertAlign w:val="superscript"/>
        </w:rPr>
        <w:t>.</w:t>
      </w:r>
      <w:r>
        <w:t xml:space="preserve">  See pages 55 and 56 of EPA’s impact assessment for an additional discussion of EPA’s rationale.</w:t>
      </w:r>
    </w:p>
  </w:footnote>
  <w:footnote w:id="5">
    <w:p w:rsidR="00D20A49" w:rsidRPr="006333DC" w14:paraId="690D987E" w14:textId="77777777">
      <w:pPr>
        <w:pStyle w:val="FootnoteText"/>
        <w:rPr>
          <w:color w:val="000000"/>
        </w:rPr>
      </w:pPr>
      <w:r w:rsidRPr="006333DC">
        <w:rPr>
          <w:rStyle w:val="FootnoteReference"/>
          <w:vertAlign w:val="superscript"/>
        </w:rPr>
        <w:footnoteRef/>
      </w:r>
      <w:r w:rsidRPr="006333DC">
        <w:rPr>
          <w:vertAlign w:val="superscript"/>
        </w:rPr>
        <w:t>.</w:t>
      </w:r>
      <w:r>
        <w:t xml:space="preserve">  See page </w:t>
      </w:r>
      <w:r w:rsidRPr="00C1597D">
        <w:t>46</w:t>
      </w:r>
      <w:r>
        <w:t xml:space="preserve"> </w:t>
      </w:r>
      <w:r w:rsidRPr="006333DC">
        <w:rPr>
          <w:color w:val="000000"/>
        </w:rPr>
        <w:t>of EPA’s impact assessment for an additional discussion of EPA’s ass</w:t>
      </w:r>
      <w:r>
        <w:rPr>
          <w:color w:val="000000"/>
        </w:rPr>
        <w:t>umptions.</w:t>
      </w:r>
    </w:p>
  </w:footnote>
  <w:footnote w:id="6">
    <w:p w:rsidR="00D20A49" w:rsidRPr="00F40EA6" w14:paraId="49A010D6" w14:textId="41032F58">
      <w:pPr>
        <w:pStyle w:val="FootnoteText"/>
        <w:rPr>
          <w:color w:val="000000"/>
        </w:rPr>
      </w:pPr>
      <w:r w:rsidRPr="00F40EA6">
        <w:rPr>
          <w:rStyle w:val="FootnoteReference"/>
          <w:color w:val="000000"/>
          <w:vertAlign w:val="superscript"/>
        </w:rPr>
        <w:footnoteRef/>
      </w:r>
      <w:r w:rsidRPr="00F40EA6">
        <w:rPr>
          <w:color w:val="000000"/>
          <w:vertAlign w:val="superscript"/>
        </w:rPr>
        <w:t>.</w:t>
      </w:r>
      <w:r w:rsidRPr="006333DC">
        <w:rPr>
          <w:color w:val="000000"/>
        </w:rPr>
        <w:t xml:space="preserve"> EPA’s impact assessment estimates that eligible academic entities will spend </w:t>
      </w:r>
      <w:r w:rsidRPr="00C1597D">
        <w:rPr>
          <w:color w:val="000000"/>
        </w:rPr>
        <w:t>4 hours every 3 years</w:t>
      </w:r>
      <w:r w:rsidRPr="006333DC">
        <w:rPr>
          <w:color w:val="000000"/>
        </w:rPr>
        <w:t xml:space="preserve"> to maintain and update the Laboratory Management Plan (p. 47).  In preparing this ICR, EPA annualized the 4 hours over three years, to estimate that eligible academic entities will spend </w:t>
      </w:r>
      <w:r w:rsidRPr="00C1597D">
        <w:rPr>
          <w:color w:val="000000"/>
        </w:rPr>
        <w:t>1.33 hours</w:t>
      </w:r>
      <w:r w:rsidRPr="006333DC">
        <w:rPr>
          <w:color w:val="000000"/>
        </w:rPr>
        <w:t xml:space="preserve"> per year to review, revise and keep records of each of the </w:t>
      </w:r>
      <w:r>
        <w:rPr>
          <w:color w:val="000000"/>
        </w:rPr>
        <w:t>132</w:t>
      </w:r>
      <w:r w:rsidRPr="006333DC">
        <w:rPr>
          <w:color w:val="000000"/>
        </w:rPr>
        <w:t xml:space="preserve"> </w:t>
      </w:r>
      <w:r>
        <w:rPr>
          <w:color w:val="000000"/>
        </w:rPr>
        <w:t>Laboratory Management Plans.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B0480"/>
    <w:multiLevelType w:val="hybridMultilevel"/>
    <w:tmpl w:val="9FECB2E8"/>
    <w:lvl w:ilvl="0">
      <w:start w:val="1"/>
      <w:numFmt w:val="bullet"/>
      <w:lvlText w:val=""/>
      <w:lvlJc w:val="left"/>
      <w:pPr>
        <w:tabs>
          <w:tab w:val="num" w:pos="2160"/>
        </w:tabs>
        <w:ind w:left="2160" w:hanging="720"/>
      </w:pPr>
      <w:rPr>
        <w:rFonts w:ascii="Symbol" w:hAnsi="Symbol"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5E547C"/>
    <w:multiLevelType w:val="hybridMultilevel"/>
    <w:tmpl w:val="D87EF86E"/>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803A1F"/>
    <w:multiLevelType w:val="hybridMultilevel"/>
    <w:tmpl w:val="DFC2D90A"/>
    <w:lvl w:ilvl="0">
      <w:start w:val="1"/>
      <w:numFmt w:val="bullet"/>
      <w:lvlText w:val=""/>
      <w:lvlJc w:val="left"/>
      <w:pPr>
        <w:tabs>
          <w:tab w:val="num" w:pos="2160"/>
        </w:tabs>
        <w:ind w:left="2160" w:hanging="720"/>
      </w:pPr>
      <w:rPr>
        <w:rFonts w:ascii="Symbol" w:hAnsi="Symbol"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9678F1"/>
    <w:multiLevelType w:val="hybridMultilevel"/>
    <w:tmpl w:val="02AA6C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7449A8"/>
    <w:multiLevelType w:val="hybridMultilevel"/>
    <w:tmpl w:val="8EEEAF8E"/>
    <w:lvl w:ilvl="0">
      <w:start w:val="1"/>
      <w:numFmt w:val="bullet"/>
      <w:lvlText w:val=""/>
      <w:lvlJc w:val="left"/>
      <w:pPr>
        <w:tabs>
          <w:tab w:val="num" w:pos="2160"/>
        </w:tabs>
        <w:ind w:left="2160" w:hanging="720"/>
      </w:pPr>
      <w:rPr>
        <w:rFonts w:ascii="Symbol" w:hAnsi="Symbol" w:cs="Times New Roman" w:hint="default"/>
        <w:sz w:val="28"/>
      </w:rPr>
    </w:lvl>
    <w:lvl w:ilvl="1">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start w:val="1"/>
      <w:numFmt w:val="bullet"/>
      <w:lvlText w:val=""/>
      <w:lvlJc w:val="left"/>
      <w:pPr>
        <w:tabs>
          <w:tab w:val="num" w:pos="2160"/>
        </w:tabs>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6EE07FD"/>
    <w:multiLevelType w:val="hybridMultilevel"/>
    <w:tmpl w:val="30488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5F3258"/>
    <w:multiLevelType w:val="hybridMultilevel"/>
    <w:tmpl w:val="47028320"/>
    <w:lvl w:ilvl="0">
      <w:start w:val="1"/>
      <w:numFmt w:val="bullet"/>
      <w:lvlText w:val=""/>
      <w:lvlJc w:val="left"/>
      <w:pPr>
        <w:tabs>
          <w:tab w:val="num" w:pos="2160"/>
        </w:tabs>
        <w:ind w:left="2160" w:hanging="720"/>
      </w:pPr>
      <w:rPr>
        <w:rFonts w:ascii="Symbol" w:hAnsi="Symbol"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CAE267D"/>
    <w:multiLevelType w:val="hybridMultilevel"/>
    <w:tmpl w:val="7D4C433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0067476"/>
    <w:multiLevelType w:val="hybridMultilevel"/>
    <w:tmpl w:val="3342D8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Times New Roman" w:hint="default"/>
        <w:sz w:val="2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B13015"/>
    <w:multiLevelType w:val="hybridMultilevel"/>
    <w:tmpl w:val="B2E20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8E4704"/>
    <w:multiLevelType w:val="hybridMultilevel"/>
    <w:tmpl w:val="3AF89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054B70"/>
    <w:multiLevelType w:val="hybridMultilevel"/>
    <w:tmpl w:val="999A16DA"/>
    <w:lvl w:ilvl="0">
      <w:start w:val="1"/>
      <w:numFmt w:val="bullet"/>
      <w:lvlText w:val=""/>
      <w:lvlJc w:val="left"/>
      <w:pPr>
        <w:tabs>
          <w:tab w:val="num" w:pos="2160"/>
        </w:tabs>
        <w:ind w:left="2160" w:hanging="720"/>
      </w:pPr>
      <w:rPr>
        <w:rFonts w:ascii="Symbol" w:hAnsi="Symbol"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31432CA"/>
    <w:multiLevelType w:val="hybridMultilevel"/>
    <w:tmpl w:val="42D0AA52"/>
    <w:lvl w:ilvl="0">
      <w:start w:val="1"/>
      <w:numFmt w:val="bullet"/>
      <w:lvlText w:val=""/>
      <w:lvlJc w:val="left"/>
      <w:pPr>
        <w:tabs>
          <w:tab w:val="num" w:pos="2160"/>
        </w:tabs>
        <w:ind w:left="2160" w:hanging="720"/>
      </w:pPr>
      <w:rPr>
        <w:rFonts w:ascii="Symbol" w:hAnsi="Symbol"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9D96F7B"/>
    <w:multiLevelType w:val="hybridMultilevel"/>
    <w:tmpl w:val="0A20E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3261B7"/>
    <w:multiLevelType w:val="hybridMultilevel"/>
    <w:tmpl w:val="C72A46F0"/>
    <w:lvl w:ilvl="0">
      <w:start w:val="1"/>
      <w:numFmt w:val="bullet"/>
      <w:lvlText w:val=""/>
      <w:lvlJc w:val="left"/>
      <w:pPr>
        <w:tabs>
          <w:tab w:val="num" w:pos="3600"/>
        </w:tabs>
        <w:ind w:left="3600" w:hanging="720"/>
      </w:pPr>
      <w:rPr>
        <w:rFonts w:ascii="Symbol" w:hAnsi="Symbol" w:cs="Times New Roman" w:hint="default"/>
        <w:sz w:val="28"/>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75FC0F10"/>
    <w:multiLevelType w:val="hybridMultilevel"/>
    <w:tmpl w:val="2DC2F57E"/>
    <w:lvl w:ilvl="0">
      <w:start w:val="1"/>
      <w:numFmt w:val="bullet"/>
      <w:lvlText w:val=""/>
      <w:lvlJc w:val="left"/>
      <w:pPr>
        <w:tabs>
          <w:tab w:val="num" w:pos="2160"/>
        </w:tabs>
        <w:ind w:left="2160" w:hanging="720"/>
      </w:pPr>
      <w:rPr>
        <w:rFonts w:ascii="Symbol" w:hAnsi="Symbol" w:cs="Times New Roman" w:hint="default"/>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1"/>
  </w:num>
  <w:num w:numId="5">
    <w:abstractNumId w:val="0"/>
  </w:num>
  <w:num w:numId="6">
    <w:abstractNumId w:val="15"/>
  </w:num>
  <w:num w:numId="7">
    <w:abstractNumId w:val="2"/>
  </w:num>
  <w:num w:numId="8">
    <w:abstractNumId w:val="14"/>
  </w:num>
  <w:num w:numId="9">
    <w:abstractNumId w:val="12"/>
  </w:num>
  <w:num w:numId="10">
    <w:abstractNumId w:val="1"/>
  </w:num>
  <w:num w:numId="11">
    <w:abstractNumId w:val="10"/>
  </w:num>
  <w:num w:numId="12">
    <w:abstractNumId w:val="13"/>
  </w:num>
  <w:num w:numId="13">
    <w:abstractNumId w:val="9"/>
  </w:num>
  <w:num w:numId="14">
    <w:abstractNumId w:val="5"/>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B5"/>
    <w:rsid w:val="0000335C"/>
    <w:rsid w:val="00012B30"/>
    <w:rsid w:val="000145A0"/>
    <w:rsid w:val="00015DB0"/>
    <w:rsid w:val="000205A3"/>
    <w:rsid w:val="00020C5D"/>
    <w:rsid w:val="00025EDD"/>
    <w:rsid w:val="00026046"/>
    <w:rsid w:val="00027D0F"/>
    <w:rsid w:val="00031788"/>
    <w:rsid w:val="000333CA"/>
    <w:rsid w:val="0003381B"/>
    <w:rsid w:val="00036C36"/>
    <w:rsid w:val="00037273"/>
    <w:rsid w:val="000405C4"/>
    <w:rsid w:val="00040A04"/>
    <w:rsid w:val="0004111C"/>
    <w:rsid w:val="00042DF5"/>
    <w:rsid w:val="00044A8A"/>
    <w:rsid w:val="00052469"/>
    <w:rsid w:val="0006765B"/>
    <w:rsid w:val="000701E0"/>
    <w:rsid w:val="000703BE"/>
    <w:rsid w:val="00072342"/>
    <w:rsid w:val="00074E78"/>
    <w:rsid w:val="000804B5"/>
    <w:rsid w:val="000811B4"/>
    <w:rsid w:val="00081F95"/>
    <w:rsid w:val="00084987"/>
    <w:rsid w:val="000875F9"/>
    <w:rsid w:val="00093D2D"/>
    <w:rsid w:val="00094949"/>
    <w:rsid w:val="000953D0"/>
    <w:rsid w:val="000A455A"/>
    <w:rsid w:val="000A7E5D"/>
    <w:rsid w:val="000B1ADA"/>
    <w:rsid w:val="000B1D54"/>
    <w:rsid w:val="000B4F46"/>
    <w:rsid w:val="000B5190"/>
    <w:rsid w:val="000C0709"/>
    <w:rsid w:val="000C3686"/>
    <w:rsid w:val="000C647C"/>
    <w:rsid w:val="000D0D88"/>
    <w:rsid w:val="000D0F62"/>
    <w:rsid w:val="000D592A"/>
    <w:rsid w:val="000D64AC"/>
    <w:rsid w:val="000D7CEF"/>
    <w:rsid w:val="000F0E9B"/>
    <w:rsid w:val="000F22B1"/>
    <w:rsid w:val="000F5098"/>
    <w:rsid w:val="000F516D"/>
    <w:rsid w:val="000F5B55"/>
    <w:rsid w:val="00103744"/>
    <w:rsid w:val="00107FD8"/>
    <w:rsid w:val="001111FB"/>
    <w:rsid w:val="00122B05"/>
    <w:rsid w:val="00126FCE"/>
    <w:rsid w:val="00130426"/>
    <w:rsid w:val="0014034C"/>
    <w:rsid w:val="00141405"/>
    <w:rsid w:val="00146A6C"/>
    <w:rsid w:val="00155A0F"/>
    <w:rsid w:val="00155B4F"/>
    <w:rsid w:val="001604AD"/>
    <w:rsid w:val="0017233A"/>
    <w:rsid w:val="001725ED"/>
    <w:rsid w:val="001733F0"/>
    <w:rsid w:val="00180DA5"/>
    <w:rsid w:val="00182BFD"/>
    <w:rsid w:val="0018418D"/>
    <w:rsid w:val="00191288"/>
    <w:rsid w:val="00196175"/>
    <w:rsid w:val="001A501A"/>
    <w:rsid w:val="001A5B8C"/>
    <w:rsid w:val="001B299D"/>
    <w:rsid w:val="001B59FA"/>
    <w:rsid w:val="001C028A"/>
    <w:rsid w:val="001C0A84"/>
    <w:rsid w:val="001C20B4"/>
    <w:rsid w:val="001D2907"/>
    <w:rsid w:val="001D30B1"/>
    <w:rsid w:val="001D432C"/>
    <w:rsid w:val="001D59C9"/>
    <w:rsid w:val="001E425E"/>
    <w:rsid w:val="001E45C2"/>
    <w:rsid w:val="001F14BD"/>
    <w:rsid w:val="001F39F6"/>
    <w:rsid w:val="001F7232"/>
    <w:rsid w:val="00200C44"/>
    <w:rsid w:val="00200D8E"/>
    <w:rsid w:val="00204194"/>
    <w:rsid w:val="002044B3"/>
    <w:rsid w:val="0022035E"/>
    <w:rsid w:val="00222BBB"/>
    <w:rsid w:val="00225505"/>
    <w:rsid w:val="0023206A"/>
    <w:rsid w:val="002358FF"/>
    <w:rsid w:val="00242EF3"/>
    <w:rsid w:val="00244C0C"/>
    <w:rsid w:val="00260AB6"/>
    <w:rsid w:val="00262B34"/>
    <w:rsid w:val="00263EC7"/>
    <w:rsid w:val="00270DB5"/>
    <w:rsid w:val="00282412"/>
    <w:rsid w:val="00285270"/>
    <w:rsid w:val="00291383"/>
    <w:rsid w:val="00293684"/>
    <w:rsid w:val="00296233"/>
    <w:rsid w:val="00296A30"/>
    <w:rsid w:val="002972F8"/>
    <w:rsid w:val="00297DBC"/>
    <w:rsid w:val="002A24B9"/>
    <w:rsid w:val="002B0F59"/>
    <w:rsid w:val="002B6CEC"/>
    <w:rsid w:val="002C509D"/>
    <w:rsid w:val="002D0FCF"/>
    <w:rsid w:val="002D36F9"/>
    <w:rsid w:val="002E19BC"/>
    <w:rsid w:val="002E5680"/>
    <w:rsid w:val="002E59E1"/>
    <w:rsid w:val="002E7F9E"/>
    <w:rsid w:val="002F0677"/>
    <w:rsid w:val="002F28BE"/>
    <w:rsid w:val="002F53EC"/>
    <w:rsid w:val="00301BF8"/>
    <w:rsid w:val="00305789"/>
    <w:rsid w:val="0031294B"/>
    <w:rsid w:val="003153AE"/>
    <w:rsid w:val="00316580"/>
    <w:rsid w:val="00317A02"/>
    <w:rsid w:val="00320B53"/>
    <w:rsid w:val="00327244"/>
    <w:rsid w:val="00330263"/>
    <w:rsid w:val="00331A26"/>
    <w:rsid w:val="00333C9C"/>
    <w:rsid w:val="00335036"/>
    <w:rsid w:val="00335175"/>
    <w:rsid w:val="0033638D"/>
    <w:rsid w:val="003364EC"/>
    <w:rsid w:val="0033681A"/>
    <w:rsid w:val="00343EF4"/>
    <w:rsid w:val="00364996"/>
    <w:rsid w:val="00367C30"/>
    <w:rsid w:val="00370B27"/>
    <w:rsid w:val="00376B12"/>
    <w:rsid w:val="003803A0"/>
    <w:rsid w:val="00382EF1"/>
    <w:rsid w:val="003865C7"/>
    <w:rsid w:val="003869D9"/>
    <w:rsid w:val="00387EBB"/>
    <w:rsid w:val="003909BB"/>
    <w:rsid w:val="00392D40"/>
    <w:rsid w:val="0039376E"/>
    <w:rsid w:val="003A5492"/>
    <w:rsid w:val="003A645D"/>
    <w:rsid w:val="003B0775"/>
    <w:rsid w:val="003B1906"/>
    <w:rsid w:val="003B32CD"/>
    <w:rsid w:val="003B336A"/>
    <w:rsid w:val="003B727E"/>
    <w:rsid w:val="003C197C"/>
    <w:rsid w:val="003C4C37"/>
    <w:rsid w:val="003C6F5B"/>
    <w:rsid w:val="003C7AC5"/>
    <w:rsid w:val="003D5BF4"/>
    <w:rsid w:val="003E596C"/>
    <w:rsid w:val="004032F6"/>
    <w:rsid w:val="00404C0E"/>
    <w:rsid w:val="00410F65"/>
    <w:rsid w:val="00415326"/>
    <w:rsid w:val="00423440"/>
    <w:rsid w:val="0044302D"/>
    <w:rsid w:val="00443218"/>
    <w:rsid w:val="004451FD"/>
    <w:rsid w:val="00446C10"/>
    <w:rsid w:val="0045302C"/>
    <w:rsid w:val="00456844"/>
    <w:rsid w:val="0045756D"/>
    <w:rsid w:val="0046257E"/>
    <w:rsid w:val="00465A3A"/>
    <w:rsid w:val="00466CEC"/>
    <w:rsid w:val="0047319E"/>
    <w:rsid w:val="00475C05"/>
    <w:rsid w:val="00490372"/>
    <w:rsid w:val="00492E28"/>
    <w:rsid w:val="00493198"/>
    <w:rsid w:val="004934A4"/>
    <w:rsid w:val="00495304"/>
    <w:rsid w:val="004A31B5"/>
    <w:rsid w:val="004B13A9"/>
    <w:rsid w:val="004B286B"/>
    <w:rsid w:val="004B5D8E"/>
    <w:rsid w:val="004C4654"/>
    <w:rsid w:val="004C6389"/>
    <w:rsid w:val="004C69E5"/>
    <w:rsid w:val="004D3778"/>
    <w:rsid w:val="004E7421"/>
    <w:rsid w:val="004F35BD"/>
    <w:rsid w:val="00501AD4"/>
    <w:rsid w:val="0050471D"/>
    <w:rsid w:val="0051130C"/>
    <w:rsid w:val="00514D8E"/>
    <w:rsid w:val="00514E40"/>
    <w:rsid w:val="00516029"/>
    <w:rsid w:val="00523593"/>
    <w:rsid w:val="00531DAE"/>
    <w:rsid w:val="0053295E"/>
    <w:rsid w:val="005449EB"/>
    <w:rsid w:val="00553EA7"/>
    <w:rsid w:val="00554D7A"/>
    <w:rsid w:val="0055680F"/>
    <w:rsid w:val="00556E97"/>
    <w:rsid w:val="00557543"/>
    <w:rsid w:val="005632F5"/>
    <w:rsid w:val="00565E0E"/>
    <w:rsid w:val="00574BA2"/>
    <w:rsid w:val="00584C10"/>
    <w:rsid w:val="005861C2"/>
    <w:rsid w:val="005915F0"/>
    <w:rsid w:val="00593D72"/>
    <w:rsid w:val="005A0705"/>
    <w:rsid w:val="005C2FBD"/>
    <w:rsid w:val="005C44E2"/>
    <w:rsid w:val="005C70F1"/>
    <w:rsid w:val="005D0848"/>
    <w:rsid w:val="005D47F7"/>
    <w:rsid w:val="005E35B1"/>
    <w:rsid w:val="005E7832"/>
    <w:rsid w:val="005F15A2"/>
    <w:rsid w:val="005F2B2C"/>
    <w:rsid w:val="005F37AE"/>
    <w:rsid w:val="005F3A7E"/>
    <w:rsid w:val="005F3BED"/>
    <w:rsid w:val="00600283"/>
    <w:rsid w:val="0060260F"/>
    <w:rsid w:val="0060310A"/>
    <w:rsid w:val="00604A11"/>
    <w:rsid w:val="00615383"/>
    <w:rsid w:val="00626450"/>
    <w:rsid w:val="00627445"/>
    <w:rsid w:val="006314C8"/>
    <w:rsid w:val="006333DC"/>
    <w:rsid w:val="00645728"/>
    <w:rsid w:val="00646A99"/>
    <w:rsid w:val="00654701"/>
    <w:rsid w:val="00654D64"/>
    <w:rsid w:val="0066299A"/>
    <w:rsid w:val="00663A2C"/>
    <w:rsid w:val="006661F4"/>
    <w:rsid w:val="0067499D"/>
    <w:rsid w:val="00677FF6"/>
    <w:rsid w:val="00686FA4"/>
    <w:rsid w:val="00687A79"/>
    <w:rsid w:val="006908B2"/>
    <w:rsid w:val="006915D9"/>
    <w:rsid w:val="006969F9"/>
    <w:rsid w:val="006A1313"/>
    <w:rsid w:val="006B0BDE"/>
    <w:rsid w:val="006B5F6F"/>
    <w:rsid w:val="006B6FDB"/>
    <w:rsid w:val="006C3295"/>
    <w:rsid w:val="006C746E"/>
    <w:rsid w:val="006D13C6"/>
    <w:rsid w:val="006D2944"/>
    <w:rsid w:val="006D2ACE"/>
    <w:rsid w:val="006D7651"/>
    <w:rsid w:val="006E3A70"/>
    <w:rsid w:val="006E465D"/>
    <w:rsid w:val="006F3A03"/>
    <w:rsid w:val="006F7BA0"/>
    <w:rsid w:val="00700F6E"/>
    <w:rsid w:val="007017D5"/>
    <w:rsid w:val="007072F0"/>
    <w:rsid w:val="007135E7"/>
    <w:rsid w:val="00717F59"/>
    <w:rsid w:val="00720FCF"/>
    <w:rsid w:val="00722085"/>
    <w:rsid w:val="00725923"/>
    <w:rsid w:val="00732686"/>
    <w:rsid w:val="007344D8"/>
    <w:rsid w:val="00735B22"/>
    <w:rsid w:val="00744852"/>
    <w:rsid w:val="00744B02"/>
    <w:rsid w:val="00744E22"/>
    <w:rsid w:val="0075114E"/>
    <w:rsid w:val="00752385"/>
    <w:rsid w:val="00754DDB"/>
    <w:rsid w:val="00756A43"/>
    <w:rsid w:val="007604E0"/>
    <w:rsid w:val="0076483F"/>
    <w:rsid w:val="0076605C"/>
    <w:rsid w:val="00766DBF"/>
    <w:rsid w:val="0077119A"/>
    <w:rsid w:val="00773195"/>
    <w:rsid w:val="00776AC5"/>
    <w:rsid w:val="007779DB"/>
    <w:rsid w:val="00780E17"/>
    <w:rsid w:val="0078321E"/>
    <w:rsid w:val="00784F75"/>
    <w:rsid w:val="00785BC7"/>
    <w:rsid w:val="00785FA0"/>
    <w:rsid w:val="00793707"/>
    <w:rsid w:val="007A13E1"/>
    <w:rsid w:val="007A13F7"/>
    <w:rsid w:val="007A14EE"/>
    <w:rsid w:val="007A1B8F"/>
    <w:rsid w:val="007A7370"/>
    <w:rsid w:val="007B1601"/>
    <w:rsid w:val="007B2901"/>
    <w:rsid w:val="007C508A"/>
    <w:rsid w:val="007C5ABE"/>
    <w:rsid w:val="007D2A01"/>
    <w:rsid w:val="007D50FD"/>
    <w:rsid w:val="007E5E61"/>
    <w:rsid w:val="007E6A36"/>
    <w:rsid w:val="007E74B6"/>
    <w:rsid w:val="007F0B55"/>
    <w:rsid w:val="007F55BB"/>
    <w:rsid w:val="007F5E92"/>
    <w:rsid w:val="0081461A"/>
    <w:rsid w:val="008156A4"/>
    <w:rsid w:val="008156FB"/>
    <w:rsid w:val="008159EF"/>
    <w:rsid w:val="00815E3A"/>
    <w:rsid w:val="00820AA2"/>
    <w:rsid w:val="0082627E"/>
    <w:rsid w:val="008278B3"/>
    <w:rsid w:val="00832097"/>
    <w:rsid w:val="00833F05"/>
    <w:rsid w:val="00834085"/>
    <w:rsid w:val="00842ECD"/>
    <w:rsid w:val="00846A17"/>
    <w:rsid w:val="00847ED7"/>
    <w:rsid w:val="00860CE6"/>
    <w:rsid w:val="00862304"/>
    <w:rsid w:val="00872932"/>
    <w:rsid w:val="008776EC"/>
    <w:rsid w:val="00881F0B"/>
    <w:rsid w:val="0088307E"/>
    <w:rsid w:val="008879AD"/>
    <w:rsid w:val="0089525B"/>
    <w:rsid w:val="0089600F"/>
    <w:rsid w:val="008A00B5"/>
    <w:rsid w:val="008B1870"/>
    <w:rsid w:val="008B1E33"/>
    <w:rsid w:val="008C1877"/>
    <w:rsid w:val="008C34EC"/>
    <w:rsid w:val="008D1048"/>
    <w:rsid w:val="008D41BF"/>
    <w:rsid w:val="008D5194"/>
    <w:rsid w:val="008E3A96"/>
    <w:rsid w:val="008E3FF9"/>
    <w:rsid w:val="008E4201"/>
    <w:rsid w:val="008F494A"/>
    <w:rsid w:val="008F665A"/>
    <w:rsid w:val="00904CF4"/>
    <w:rsid w:val="00907C58"/>
    <w:rsid w:val="009145CA"/>
    <w:rsid w:val="0091516C"/>
    <w:rsid w:val="009258B4"/>
    <w:rsid w:val="009265EC"/>
    <w:rsid w:val="009266BF"/>
    <w:rsid w:val="00933ADD"/>
    <w:rsid w:val="00937773"/>
    <w:rsid w:val="00941289"/>
    <w:rsid w:val="00941C22"/>
    <w:rsid w:val="00943244"/>
    <w:rsid w:val="009432BA"/>
    <w:rsid w:val="00946B8E"/>
    <w:rsid w:val="00954B5F"/>
    <w:rsid w:val="00957463"/>
    <w:rsid w:val="00957FD5"/>
    <w:rsid w:val="00964C83"/>
    <w:rsid w:val="009714E8"/>
    <w:rsid w:val="009762CC"/>
    <w:rsid w:val="009808D5"/>
    <w:rsid w:val="009810B3"/>
    <w:rsid w:val="0098550F"/>
    <w:rsid w:val="00990C33"/>
    <w:rsid w:val="00991393"/>
    <w:rsid w:val="00992B57"/>
    <w:rsid w:val="00994655"/>
    <w:rsid w:val="009A574E"/>
    <w:rsid w:val="009B59C3"/>
    <w:rsid w:val="009B66B8"/>
    <w:rsid w:val="009C47BD"/>
    <w:rsid w:val="009C763D"/>
    <w:rsid w:val="009D3663"/>
    <w:rsid w:val="009E5F7B"/>
    <w:rsid w:val="00A0119F"/>
    <w:rsid w:val="00A0299E"/>
    <w:rsid w:val="00A048FC"/>
    <w:rsid w:val="00A05AB4"/>
    <w:rsid w:val="00A071D1"/>
    <w:rsid w:val="00A0743A"/>
    <w:rsid w:val="00A145CA"/>
    <w:rsid w:val="00A158A4"/>
    <w:rsid w:val="00A1637D"/>
    <w:rsid w:val="00A23455"/>
    <w:rsid w:val="00A243E8"/>
    <w:rsid w:val="00A30D25"/>
    <w:rsid w:val="00A332DC"/>
    <w:rsid w:val="00A337FC"/>
    <w:rsid w:val="00A33EB1"/>
    <w:rsid w:val="00A4027D"/>
    <w:rsid w:val="00A43856"/>
    <w:rsid w:val="00A4717B"/>
    <w:rsid w:val="00A47EDA"/>
    <w:rsid w:val="00A556A1"/>
    <w:rsid w:val="00A56965"/>
    <w:rsid w:val="00A6389C"/>
    <w:rsid w:val="00A66191"/>
    <w:rsid w:val="00A67A2C"/>
    <w:rsid w:val="00A67F7A"/>
    <w:rsid w:val="00A728DE"/>
    <w:rsid w:val="00A84B33"/>
    <w:rsid w:val="00A86501"/>
    <w:rsid w:val="00AA5076"/>
    <w:rsid w:val="00AB1471"/>
    <w:rsid w:val="00AB2B29"/>
    <w:rsid w:val="00AB34DB"/>
    <w:rsid w:val="00AC1525"/>
    <w:rsid w:val="00AC7014"/>
    <w:rsid w:val="00AC7F8B"/>
    <w:rsid w:val="00AE0ED2"/>
    <w:rsid w:val="00AF4E2F"/>
    <w:rsid w:val="00B022C0"/>
    <w:rsid w:val="00B028B2"/>
    <w:rsid w:val="00B0773E"/>
    <w:rsid w:val="00B07D74"/>
    <w:rsid w:val="00B1133B"/>
    <w:rsid w:val="00B11662"/>
    <w:rsid w:val="00B12DC9"/>
    <w:rsid w:val="00B14B41"/>
    <w:rsid w:val="00B14ECD"/>
    <w:rsid w:val="00B24B08"/>
    <w:rsid w:val="00B26D58"/>
    <w:rsid w:val="00B352D8"/>
    <w:rsid w:val="00B43EB5"/>
    <w:rsid w:val="00B454F6"/>
    <w:rsid w:val="00B61ECE"/>
    <w:rsid w:val="00B65A19"/>
    <w:rsid w:val="00B67011"/>
    <w:rsid w:val="00B6771F"/>
    <w:rsid w:val="00B705B6"/>
    <w:rsid w:val="00B71822"/>
    <w:rsid w:val="00B76909"/>
    <w:rsid w:val="00B806CE"/>
    <w:rsid w:val="00B87DD3"/>
    <w:rsid w:val="00B92C3A"/>
    <w:rsid w:val="00B962B6"/>
    <w:rsid w:val="00B97599"/>
    <w:rsid w:val="00BA090F"/>
    <w:rsid w:val="00BA5A3F"/>
    <w:rsid w:val="00BA7846"/>
    <w:rsid w:val="00BB6808"/>
    <w:rsid w:val="00BC24CC"/>
    <w:rsid w:val="00BC321E"/>
    <w:rsid w:val="00BC47BC"/>
    <w:rsid w:val="00BC555F"/>
    <w:rsid w:val="00BD28FA"/>
    <w:rsid w:val="00BD3A27"/>
    <w:rsid w:val="00BD78E8"/>
    <w:rsid w:val="00BE2572"/>
    <w:rsid w:val="00BE3501"/>
    <w:rsid w:val="00BE5B1E"/>
    <w:rsid w:val="00BF0296"/>
    <w:rsid w:val="00BF7686"/>
    <w:rsid w:val="00C154F4"/>
    <w:rsid w:val="00C1597D"/>
    <w:rsid w:val="00C1646B"/>
    <w:rsid w:val="00C17FED"/>
    <w:rsid w:val="00C25D0B"/>
    <w:rsid w:val="00C33430"/>
    <w:rsid w:val="00C377CF"/>
    <w:rsid w:val="00C40DC1"/>
    <w:rsid w:val="00C45A1F"/>
    <w:rsid w:val="00C4664F"/>
    <w:rsid w:val="00C46E3A"/>
    <w:rsid w:val="00C46FDB"/>
    <w:rsid w:val="00C47EF2"/>
    <w:rsid w:val="00C530AC"/>
    <w:rsid w:val="00C535F4"/>
    <w:rsid w:val="00C55DB8"/>
    <w:rsid w:val="00C563B0"/>
    <w:rsid w:val="00C761EE"/>
    <w:rsid w:val="00C77409"/>
    <w:rsid w:val="00C814A8"/>
    <w:rsid w:val="00C84FF0"/>
    <w:rsid w:val="00C8616F"/>
    <w:rsid w:val="00C92F87"/>
    <w:rsid w:val="00C94784"/>
    <w:rsid w:val="00C9652D"/>
    <w:rsid w:val="00CA71E9"/>
    <w:rsid w:val="00CB31D0"/>
    <w:rsid w:val="00CB3ECB"/>
    <w:rsid w:val="00CC07E9"/>
    <w:rsid w:val="00CC083C"/>
    <w:rsid w:val="00CC167F"/>
    <w:rsid w:val="00CC1943"/>
    <w:rsid w:val="00CC1A3E"/>
    <w:rsid w:val="00CC3059"/>
    <w:rsid w:val="00CD1728"/>
    <w:rsid w:val="00CD1E89"/>
    <w:rsid w:val="00CD2863"/>
    <w:rsid w:val="00CD2DED"/>
    <w:rsid w:val="00CD349F"/>
    <w:rsid w:val="00CD5ABD"/>
    <w:rsid w:val="00CE0350"/>
    <w:rsid w:val="00CE06A5"/>
    <w:rsid w:val="00CE14D8"/>
    <w:rsid w:val="00CE1ECF"/>
    <w:rsid w:val="00CE590D"/>
    <w:rsid w:val="00CF510E"/>
    <w:rsid w:val="00D01A19"/>
    <w:rsid w:val="00D07659"/>
    <w:rsid w:val="00D1627A"/>
    <w:rsid w:val="00D20928"/>
    <w:rsid w:val="00D20A49"/>
    <w:rsid w:val="00D21802"/>
    <w:rsid w:val="00D316BC"/>
    <w:rsid w:val="00D31B32"/>
    <w:rsid w:val="00D378BD"/>
    <w:rsid w:val="00D4236E"/>
    <w:rsid w:val="00D429DA"/>
    <w:rsid w:val="00D51424"/>
    <w:rsid w:val="00D5202C"/>
    <w:rsid w:val="00D527DC"/>
    <w:rsid w:val="00D6084B"/>
    <w:rsid w:val="00D67C8E"/>
    <w:rsid w:val="00D764C0"/>
    <w:rsid w:val="00D77D6B"/>
    <w:rsid w:val="00D83FE2"/>
    <w:rsid w:val="00D84D97"/>
    <w:rsid w:val="00D87B88"/>
    <w:rsid w:val="00D92D00"/>
    <w:rsid w:val="00D96DF5"/>
    <w:rsid w:val="00DA2BA7"/>
    <w:rsid w:val="00DA5E23"/>
    <w:rsid w:val="00DB3A1C"/>
    <w:rsid w:val="00DB4D1D"/>
    <w:rsid w:val="00DB7AF9"/>
    <w:rsid w:val="00DC161B"/>
    <w:rsid w:val="00DC4DE1"/>
    <w:rsid w:val="00DD029F"/>
    <w:rsid w:val="00DD0FF0"/>
    <w:rsid w:val="00DD227E"/>
    <w:rsid w:val="00DD53E0"/>
    <w:rsid w:val="00DE15D2"/>
    <w:rsid w:val="00DE19B4"/>
    <w:rsid w:val="00DE4C3C"/>
    <w:rsid w:val="00DF014B"/>
    <w:rsid w:val="00DF14BB"/>
    <w:rsid w:val="00DF3D19"/>
    <w:rsid w:val="00E07FC9"/>
    <w:rsid w:val="00E10C90"/>
    <w:rsid w:val="00E120D0"/>
    <w:rsid w:val="00E17CBD"/>
    <w:rsid w:val="00E20513"/>
    <w:rsid w:val="00E23AE6"/>
    <w:rsid w:val="00E3104E"/>
    <w:rsid w:val="00E33E1A"/>
    <w:rsid w:val="00E3715B"/>
    <w:rsid w:val="00E44601"/>
    <w:rsid w:val="00E44F83"/>
    <w:rsid w:val="00E47300"/>
    <w:rsid w:val="00E52B8F"/>
    <w:rsid w:val="00E53370"/>
    <w:rsid w:val="00E6509F"/>
    <w:rsid w:val="00E65E62"/>
    <w:rsid w:val="00E76861"/>
    <w:rsid w:val="00E76EBE"/>
    <w:rsid w:val="00E812B8"/>
    <w:rsid w:val="00E82287"/>
    <w:rsid w:val="00E8270E"/>
    <w:rsid w:val="00E8516B"/>
    <w:rsid w:val="00E86F1E"/>
    <w:rsid w:val="00E948F9"/>
    <w:rsid w:val="00E9616C"/>
    <w:rsid w:val="00E97541"/>
    <w:rsid w:val="00EA22A3"/>
    <w:rsid w:val="00EA48C0"/>
    <w:rsid w:val="00EA7831"/>
    <w:rsid w:val="00EB4783"/>
    <w:rsid w:val="00EC06CA"/>
    <w:rsid w:val="00EC335E"/>
    <w:rsid w:val="00EC5E95"/>
    <w:rsid w:val="00EC697D"/>
    <w:rsid w:val="00EC7DD4"/>
    <w:rsid w:val="00ED7EA5"/>
    <w:rsid w:val="00EE0563"/>
    <w:rsid w:val="00EE1520"/>
    <w:rsid w:val="00EE4D05"/>
    <w:rsid w:val="00EE5EFC"/>
    <w:rsid w:val="00EE6697"/>
    <w:rsid w:val="00EF2C07"/>
    <w:rsid w:val="00EF6882"/>
    <w:rsid w:val="00F02194"/>
    <w:rsid w:val="00F118F6"/>
    <w:rsid w:val="00F123DB"/>
    <w:rsid w:val="00F1274C"/>
    <w:rsid w:val="00F20002"/>
    <w:rsid w:val="00F2044F"/>
    <w:rsid w:val="00F2338F"/>
    <w:rsid w:val="00F251C8"/>
    <w:rsid w:val="00F25DAA"/>
    <w:rsid w:val="00F3498D"/>
    <w:rsid w:val="00F360EA"/>
    <w:rsid w:val="00F40EA6"/>
    <w:rsid w:val="00F452FA"/>
    <w:rsid w:val="00F516AD"/>
    <w:rsid w:val="00F53A87"/>
    <w:rsid w:val="00F609CB"/>
    <w:rsid w:val="00F61AB0"/>
    <w:rsid w:val="00F62DFC"/>
    <w:rsid w:val="00F72287"/>
    <w:rsid w:val="00F74CA3"/>
    <w:rsid w:val="00F76A9B"/>
    <w:rsid w:val="00F80E0C"/>
    <w:rsid w:val="00F82E90"/>
    <w:rsid w:val="00F93E15"/>
    <w:rsid w:val="00F951FD"/>
    <w:rsid w:val="00FA2EC0"/>
    <w:rsid w:val="00FA62AF"/>
    <w:rsid w:val="00FB0E8E"/>
    <w:rsid w:val="00FB4204"/>
    <w:rsid w:val="00FC2843"/>
    <w:rsid w:val="00FD05BF"/>
    <w:rsid w:val="00FD14DF"/>
    <w:rsid w:val="00FD1566"/>
    <w:rsid w:val="00FD2140"/>
    <w:rsid w:val="00FD542D"/>
    <w:rsid w:val="00FF2C5C"/>
    <w:rsid w:val="00FF76C6"/>
    <w:rsid w:val="00FF7A9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7DA711C6"/>
  <w15:docId w15:val="{764C8726-5008-4EDC-9CC5-499ACA98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A0705"/>
    <w:rPr>
      <w:sz w:val="24"/>
      <w:szCs w:val="24"/>
    </w:rPr>
  </w:style>
  <w:style w:type="paragraph" w:styleId="Heading1">
    <w:name w:val="heading 1"/>
    <w:basedOn w:val="Normal"/>
    <w:next w:val="Normal"/>
    <w:qFormat/>
    <w:rsid w:val="009432BA"/>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Heading2">
    <w:name w:val="heading 2"/>
    <w:basedOn w:val="Normal"/>
    <w:next w:val="Normal"/>
    <w:qFormat/>
    <w:rsid w:val="009432B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32BA"/>
    <w:pPr>
      <w:widowControl w:val="0"/>
      <w:autoSpaceDE w:val="0"/>
      <w:autoSpaceDN w:val="0"/>
      <w:adjustRightInd w:val="0"/>
      <w:ind w:left="1440" w:hanging="720"/>
    </w:pPr>
    <w:rPr>
      <w:sz w:val="20"/>
    </w:rPr>
  </w:style>
  <w:style w:type="paragraph" w:styleId="BalloonText">
    <w:name w:val="Balloon Text"/>
    <w:basedOn w:val="Normal"/>
    <w:semiHidden/>
    <w:rsid w:val="009432BA"/>
    <w:pPr>
      <w:widowControl w:val="0"/>
      <w:autoSpaceDE w:val="0"/>
      <w:autoSpaceDN w:val="0"/>
      <w:adjustRightInd w:val="0"/>
    </w:pPr>
    <w:rPr>
      <w:rFonts w:ascii="Tahoma" w:hAnsi="Tahoma" w:cs="Tahoma"/>
      <w:sz w:val="16"/>
      <w:szCs w:val="16"/>
    </w:rPr>
  </w:style>
  <w:style w:type="character" w:styleId="FootnoteReference">
    <w:name w:val="footnote reference"/>
    <w:uiPriority w:val="99"/>
    <w:rsid w:val="009432BA"/>
  </w:style>
  <w:style w:type="paragraph" w:styleId="FootnoteText">
    <w:name w:val="footnote text"/>
    <w:basedOn w:val="Normal"/>
    <w:link w:val="FootnoteTextChar"/>
    <w:uiPriority w:val="99"/>
    <w:semiHidden/>
    <w:rsid w:val="009432BA"/>
    <w:rPr>
      <w:sz w:val="20"/>
      <w:szCs w:val="20"/>
    </w:rPr>
  </w:style>
  <w:style w:type="character" w:styleId="CommentReference">
    <w:name w:val="annotation reference"/>
    <w:basedOn w:val="DefaultParagraphFont"/>
    <w:semiHidden/>
    <w:rsid w:val="009432BA"/>
    <w:rPr>
      <w:sz w:val="16"/>
      <w:szCs w:val="16"/>
    </w:rPr>
  </w:style>
  <w:style w:type="paragraph" w:styleId="CommentText">
    <w:name w:val="annotation text"/>
    <w:basedOn w:val="Normal"/>
    <w:semiHidden/>
    <w:rsid w:val="009432BA"/>
    <w:pPr>
      <w:widowControl w:val="0"/>
      <w:autoSpaceDE w:val="0"/>
      <w:autoSpaceDN w:val="0"/>
      <w:adjustRightInd w:val="0"/>
    </w:pPr>
    <w:rPr>
      <w:sz w:val="20"/>
      <w:szCs w:val="20"/>
    </w:rPr>
  </w:style>
  <w:style w:type="paragraph" w:styleId="Footer">
    <w:name w:val="footer"/>
    <w:basedOn w:val="Normal"/>
    <w:rsid w:val="009432B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9432BA"/>
  </w:style>
  <w:style w:type="character" w:styleId="Hyperlink">
    <w:name w:val="Hyperlink"/>
    <w:basedOn w:val="DefaultParagraphFont"/>
    <w:uiPriority w:val="99"/>
    <w:rsid w:val="009432BA"/>
    <w:rPr>
      <w:color w:val="0000FF"/>
      <w:u w:val="single"/>
    </w:rPr>
  </w:style>
  <w:style w:type="paragraph" w:styleId="TOC1">
    <w:name w:val="toc 1"/>
    <w:basedOn w:val="Normal"/>
    <w:next w:val="Normal"/>
    <w:autoRedefine/>
    <w:uiPriority w:val="39"/>
    <w:rsid w:val="009432BA"/>
    <w:pPr>
      <w:widowControl w:val="0"/>
      <w:tabs>
        <w:tab w:val="left" w:pos="360"/>
        <w:tab w:val="left" w:pos="400"/>
        <w:tab w:val="left" w:pos="720"/>
        <w:tab w:val="right" w:leader="dot" w:pos="9350"/>
      </w:tabs>
      <w:autoSpaceDE w:val="0"/>
      <w:autoSpaceDN w:val="0"/>
      <w:adjustRightInd w:val="0"/>
      <w:ind w:left="360" w:hanging="360"/>
    </w:pPr>
    <w:rPr>
      <w:noProof/>
      <w:sz w:val="20"/>
    </w:rPr>
  </w:style>
  <w:style w:type="paragraph" w:styleId="TOC2">
    <w:name w:val="toc 2"/>
    <w:basedOn w:val="Normal"/>
    <w:next w:val="Normal"/>
    <w:autoRedefine/>
    <w:uiPriority w:val="39"/>
    <w:rsid w:val="009432BA"/>
    <w:pPr>
      <w:widowControl w:val="0"/>
      <w:tabs>
        <w:tab w:val="left" w:pos="800"/>
        <w:tab w:val="left" w:pos="1000"/>
        <w:tab w:val="left" w:pos="1080"/>
        <w:tab w:val="right" w:leader="dot" w:pos="9350"/>
      </w:tabs>
      <w:autoSpaceDE w:val="0"/>
      <w:autoSpaceDN w:val="0"/>
      <w:adjustRightInd w:val="0"/>
      <w:ind w:left="900" w:hanging="540"/>
    </w:pPr>
    <w:rPr>
      <w:noProof/>
      <w:sz w:val="20"/>
    </w:rPr>
  </w:style>
  <w:style w:type="paragraph" w:styleId="TOC3">
    <w:name w:val="toc 3"/>
    <w:basedOn w:val="Normal"/>
    <w:next w:val="Normal"/>
    <w:autoRedefine/>
    <w:semiHidden/>
    <w:rsid w:val="009432BA"/>
    <w:pPr>
      <w:ind w:left="400"/>
    </w:pPr>
  </w:style>
  <w:style w:type="paragraph" w:styleId="TOC4">
    <w:name w:val="toc 4"/>
    <w:basedOn w:val="Normal"/>
    <w:next w:val="Normal"/>
    <w:autoRedefine/>
    <w:semiHidden/>
    <w:rsid w:val="009432BA"/>
    <w:pPr>
      <w:ind w:left="600"/>
    </w:pPr>
  </w:style>
  <w:style w:type="paragraph" w:styleId="TOC5">
    <w:name w:val="toc 5"/>
    <w:basedOn w:val="Normal"/>
    <w:next w:val="Normal"/>
    <w:autoRedefine/>
    <w:semiHidden/>
    <w:rsid w:val="009432BA"/>
    <w:pPr>
      <w:ind w:left="800"/>
    </w:pPr>
  </w:style>
  <w:style w:type="paragraph" w:styleId="TOC6">
    <w:name w:val="toc 6"/>
    <w:basedOn w:val="Normal"/>
    <w:next w:val="Normal"/>
    <w:autoRedefine/>
    <w:semiHidden/>
    <w:rsid w:val="009432BA"/>
    <w:pPr>
      <w:ind w:left="1000"/>
    </w:pPr>
  </w:style>
  <w:style w:type="paragraph" w:styleId="TOC7">
    <w:name w:val="toc 7"/>
    <w:basedOn w:val="Normal"/>
    <w:next w:val="Normal"/>
    <w:autoRedefine/>
    <w:semiHidden/>
    <w:rsid w:val="009432BA"/>
    <w:pPr>
      <w:ind w:left="1200"/>
    </w:pPr>
  </w:style>
  <w:style w:type="paragraph" w:styleId="TOC8">
    <w:name w:val="toc 8"/>
    <w:basedOn w:val="Normal"/>
    <w:next w:val="Normal"/>
    <w:autoRedefine/>
    <w:semiHidden/>
    <w:rsid w:val="009432BA"/>
    <w:pPr>
      <w:ind w:left="1400"/>
    </w:pPr>
  </w:style>
  <w:style w:type="paragraph" w:styleId="TOC9">
    <w:name w:val="toc 9"/>
    <w:basedOn w:val="Normal"/>
    <w:next w:val="Normal"/>
    <w:autoRedefine/>
    <w:semiHidden/>
    <w:rsid w:val="009432BA"/>
    <w:pPr>
      <w:ind w:left="1600"/>
    </w:pPr>
  </w:style>
  <w:style w:type="paragraph" w:styleId="Header">
    <w:name w:val="header"/>
    <w:basedOn w:val="Normal"/>
    <w:rsid w:val="009432BA"/>
    <w:pPr>
      <w:widowControl w:val="0"/>
      <w:tabs>
        <w:tab w:val="center" w:pos="4320"/>
        <w:tab w:val="right" w:pos="8640"/>
      </w:tabs>
      <w:autoSpaceDE w:val="0"/>
      <w:autoSpaceDN w:val="0"/>
      <w:adjustRightInd w:val="0"/>
    </w:pPr>
    <w:rPr>
      <w:sz w:val="20"/>
    </w:rPr>
  </w:style>
  <w:style w:type="character" w:styleId="FollowedHyperlink">
    <w:name w:val="FollowedHyperlink"/>
    <w:basedOn w:val="DefaultParagraphFont"/>
    <w:rsid w:val="009432BA"/>
    <w:rPr>
      <w:color w:val="800080"/>
      <w:u w:val="single"/>
    </w:rPr>
  </w:style>
  <w:style w:type="paragraph" w:styleId="CommentSubject">
    <w:name w:val="annotation subject"/>
    <w:basedOn w:val="CommentText"/>
    <w:next w:val="CommentText"/>
    <w:semiHidden/>
    <w:rsid w:val="009432BA"/>
    <w:rPr>
      <w:b/>
      <w:bCs/>
    </w:rPr>
  </w:style>
  <w:style w:type="paragraph" w:styleId="HTMLPreformatted">
    <w:name w:val="HTML Preformatted"/>
    <w:basedOn w:val="Normal"/>
    <w:rsid w:val="00943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QuickFormat3">
    <w:name w:val="QuickFormat3"/>
    <w:rsid w:val="009432BA"/>
  </w:style>
  <w:style w:type="paragraph" w:customStyle="1" w:styleId="QuickFormat4">
    <w:name w:val="QuickFormat4"/>
    <w:rsid w:val="009432BA"/>
    <w:pPr>
      <w:autoSpaceDE w:val="0"/>
      <w:autoSpaceDN w:val="0"/>
      <w:adjustRightInd w:val="0"/>
    </w:pPr>
    <w:rPr>
      <w:sz w:val="24"/>
      <w:szCs w:val="24"/>
    </w:rPr>
  </w:style>
  <w:style w:type="paragraph" w:customStyle="1" w:styleId="xl24">
    <w:name w:val="xl24"/>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6">
    <w:name w:val="xl26"/>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27">
    <w:name w:val="xl27"/>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8">
    <w:name w:val="xl28"/>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9">
    <w:name w:val="xl29"/>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30">
    <w:name w:val="xl30"/>
    <w:basedOn w:val="Normal"/>
    <w:rsid w:val="009432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1">
    <w:name w:val="xl31"/>
    <w:basedOn w:val="Normal"/>
    <w:rsid w:val="009432B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2">
    <w:name w:val="xl32"/>
    <w:basedOn w:val="Normal"/>
    <w:rsid w:val="009432BA"/>
    <w:pPr>
      <w:pBdr>
        <w:top w:val="single" w:sz="4" w:space="0" w:color="auto"/>
        <w:bottom w:val="single" w:sz="4" w:space="0" w:color="auto"/>
      </w:pBdr>
      <w:spacing w:before="100" w:beforeAutospacing="1" w:after="100" w:afterAutospacing="1"/>
    </w:pPr>
    <w:rPr>
      <w:rFonts w:ascii="Arial" w:eastAsia="Arial Unicode MS" w:hAnsi="Arial" w:cs="Arial"/>
      <w:b/>
      <w:bCs/>
      <w:sz w:val="18"/>
      <w:szCs w:val="18"/>
    </w:rPr>
  </w:style>
  <w:style w:type="paragraph" w:customStyle="1" w:styleId="xl33">
    <w:name w:val="xl33"/>
    <w:basedOn w:val="Normal"/>
    <w:rsid w:val="009432BA"/>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character" w:customStyle="1" w:styleId="FootnoteTextChar">
    <w:name w:val="Footnote Text Char"/>
    <w:basedOn w:val="DefaultParagraphFont"/>
    <w:link w:val="FootnoteText"/>
    <w:uiPriority w:val="99"/>
    <w:semiHidden/>
    <w:rsid w:val="00052469"/>
  </w:style>
  <w:style w:type="paragraph" w:styleId="ListParagraph">
    <w:name w:val="List Paragraph"/>
    <w:basedOn w:val="Normal"/>
    <w:uiPriority w:val="34"/>
    <w:qFormat/>
    <w:rsid w:val="00052469"/>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732686"/>
    <w:rPr>
      <w:b/>
      <w:bCs/>
    </w:rPr>
  </w:style>
  <w:style w:type="table" w:styleId="TableGrid">
    <w:name w:val="Table Grid"/>
    <w:basedOn w:val="TableNormal"/>
    <w:uiPriority w:val="39"/>
    <w:rsid w:val="002D0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48F9"/>
    <w:rPr>
      <w:szCs w:val="24"/>
    </w:rPr>
  </w:style>
  <w:style w:type="character" w:customStyle="1" w:styleId="UnresolvedMention1">
    <w:name w:val="Unresolved Mention1"/>
    <w:basedOn w:val="DefaultParagraphFont"/>
    <w:uiPriority w:val="99"/>
    <w:semiHidden/>
    <w:unhideWhenUsed/>
    <w:rsid w:val="004032F6"/>
    <w:rPr>
      <w:color w:val="605E5C"/>
      <w:shd w:val="clear" w:color="auto" w:fill="E1DFDD"/>
    </w:rPr>
  </w:style>
  <w:style w:type="paragraph" w:customStyle="1" w:styleId="BodyTextDSW">
    <w:name w:val="Body Text DSW"/>
    <w:basedOn w:val="Normal"/>
    <w:rsid w:val="00081F95"/>
    <w:pPr>
      <w:suppressAutoHyphens/>
      <w:autoSpaceDE w:val="0"/>
      <w:spacing w:after="120"/>
      <w:ind w:firstLine="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9E1B7-8C29-4CB0-9415-1ACCD3E7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3053</TotalTime>
  <Pages>36</Pages>
  <Words>11062</Words>
  <Characters>64955</Characters>
  <Application>Microsoft Office Word</Application>
  <DocSecurity>0</DocSecurity>
  <Lines>541</Lines>
  <Paragraphs>151</Paragraphs>
  <ScaleCrop>false</ScaleCrop>
  <HeadingPairs>
    <vt:vector size="2" baseType="variant">
      <vt:variant>
        <vt:lpstr>Title</vt:lpstr>
      </vt:variant>
      <vt:variant>
        <vt:i4>1</vt:i4>
      </vt:variant>
    </vt:vector>
  </HeadingPairs>
  <TitlesOfParts>
    <vt:vector size="1" baseType="lpstr">
      <vt:lpstr>4(b)</vt:lpstr>
    </vt:vector>
  </TitlesOfParts>
  <Company>ICF Consulting</Company>
  <LinksUpToDate>false</LinksUpToDate>
  <CharactersWithSpaces>75866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dc:title>
  <dc:creator>ICF</dc:creator>
  <cp:lastModifiedBy>Vyas, Peggy</cp:lastModifiedBy>
  <cp:revision>20</cp:revision>
  <cp:lastPrinted>2016-04-13T13:53:00Z</cp:lastPrinted>
  <dcterms:created xsi:type="dcterms:W3CDTF">2022-08-17T15:29:00Z</dcterms:created>
  <dcterms:modified xsi:type="dcterms:W3CDTF">2022-09-29T19:30:00Z</dcterms:modified>
</cp:coreProperties>
</file>