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4C46" w:rsidRPr="00247A35" w:rsidP="00F64C46" w14:paraId="2BFBAAA5" w14:textId="77777777">
      <w:pPr>
        <w:pStyle w:val="Title"/>
        <w:jc w:val="center"/>
        <w:rPr>
          <w:b/>
          <w:bCs/>
          <w:color w:val="auto"/>
          <w:sz w:val="28"/>
          <w:szCs w:val="28"/>
        </w:rPr>
      </w:pPr>
      <w:bookmarkStart w:id="0" w:name="_Toc49148152"/>
      <w:bookmarkStart w:id="1" w:name="_Toc69898180"/>
      <w:r w:rsidRPr="00247A35">
        <w:rPr>
          <w:b/>
          <w:bCs/>
          <w:color w:val="auto"/>
          <w:sz w:val="28"/>
          <w:szCs w:val="28"/>
        </w:rPr>
        <w:t>Supporting Statement for an Information Collection Request (ICR)</w:t>
      </w:r>
    </w:p>
    <w:p w:rsidR="00F64C46" w:rsidRPr="00247A35" w:rsidP="00F64C46" w14:paraId="70CE58A0" w14:textId="77777777">
      <w:pPr>
        <w:pStyle w:val="Title"/>
        <w:jc w:val="center"/>
        <w:rPr>
          <w:b/>
          <w:bCs/>
          <w:color w:val="auto"/>
          <w:sz w:val="28"/>
          <w:szCs w:val="28"/>
        </w:rPr>
      </w:pPr>
      <w:r w:rsidRPr="00247A35">
        <w:rPr>
          <w:b/>
          <w:bCs/>
          <w:color w:val="auto"/>
          <w:sz w:val="28"/>
          <w:szCs w:val="28"/>
        </w:rPr>
        <w:t>Under the Paperwork Reduction Act (PRA)</w:t>
      </w:r>
    </w:p>
    <w:p w:rsidR="00F64C46" w:rsidRPr="00534AA1" w:rsidP="00F64C46" w14:paraId="372AE66A" w14:textId="77777777">
      <w:pPr>
        <w:pStyle w:val="Heading1"/>
      </w:pPr>
      <w:r w:rsidRPr="00534AA1">
        <w:t>EXECUTIVE SUMMARY</w:t>
      </w:r>
      <w:bookmarkEnd w:id="0"/>
    </w:p>
    <w:p w:rsidR="00F64C46" w:rsidRPr="002059F4" w:rsidP="00F64C46" w14:paraId="03D646C1" w14:textId="77777777">
      <w:pPr>
        <w:pStyle w:val="Heading3"/>
      </w:pPr>
      <w:bookmarkStart w:id="2" w:name="_Toc49148153"/>
      <w:r w:rsidRPr="002059F4">
        <w:t>Identification of the Information Collection – Title and Numbers</w:t>
      </w:r>
      <w:bookmarkEnd w:id="2"/>
    </w:p>
    <w:p w:rsidR="00F64C46" w:rsidP="00F64C46" w14:paraId="4E651036" w14:textId="281725A4">
      <w:pPr>
        <w:pStyle w:val="NoSpacing"/>
        <w:spacing w:after="120"/>
        <w:rPr>
          <w:rFonts w:cs="Arial"/>
          <w:szCs w:val="24"/>
        </w:rPr>
      </w:pPr>
      <w:r>
        <w:rPr>
          <w:rFonts w:cs="Arial"/>
          <w:szCs w:val="24"/>
        </w:rPr>
        <w:tab/>
      </w:r>
      <w:r>
        <w:rPr>
          <w:rFonts w:cs="Arial"/>
          <w:b/>
          <w:szCs w:val="24"/>
        </w:rPr>
        <w:t xml:space="preserve">Title: </w:t>
      </w:r>
      <w:bookmarkStart w:id="3" w:name="_Hlk111538551"/>
      <w:r w:rsidRPr="000C2B62">
        <w:rPr>
          <w:lang w:bidi="en-US"/>
        </w:rPr>
        <w:t>Parent Company Definition for TRI Reporting</w:t>
      </w:r>
      <w:r w:rsidR="00A17C38">
        <w:rPr>
          <w:lang w:bidi="en-US"/>
        </w:rPr>
        <w:t xml:space="preserve">; Final Rule </w:t>
      </w:r>
    </w:p>
    <w:bookmarkEnd w:id="3"/>
    <w:p w:rsidR="00F64C46" w:rsidP="00F64C46" w14:paraId="162BC701" w14:textId="61A66D2D">
      <w:pPr>
        <w:pStyle w:val="NoSpacing"/>
        <w:spacing w:after="120"/>
        <w:rPr>
          <w:rFonts w:cs="Arial"/>
          <w:szCs w:val="24"/>
        </w:rPr>
      </w:pPr>
      <w:r>
        <w:rPr>
          <w:rFonts w:cs="Arial"/>
          <w:szCs w:val="24"/>
        </w:rPr>
        <w:tab/>
      </w:r>
      <w:r w:rsidRPr="009505AD">
        <w:rPr>
          <w:rFonts w:cs="Arial"/>
          <w:b/>
          <w:bCs/>
          <w:szCs w:val="24"/>
        </w:rPr>
        <w:t>EPA ICR No</w:t>
      </w:r>
      <w:r>
        <w:rPr>
          <w:rFonts w:cs="Arial"/>
          <w:b/>
          <w:bCs/>
          <w:szCs w:val="24"/>
        </w:rPr>
        <w:t>.</w:t>
      </w:r>
      <w:r w:rsidRPr="009505AD">
        <w:rPr>
          <w:rFonts w:cs="Arial"/>
          <w:b/>
          <w:bCs/>
          <w:szCs w:val="24"/>
        </w:rPr>
        <w:t>:</w:t>
      </w:r>
      <w:r>
        <w:rPr>
          <w:rFonts w:cs="Arial"/>
          <w:b/>
          <w:szCs w:val="24"/>
        </w:rPr>
        <w:t xml:space="preserve"> </w:t>
      </w:r>
      <w:r>
        <w:rPr>
          <w:rFonts w:cs="Arial"/>
          <w:szCs w:val="24"/>
        </w:rPr>
        <w:t>2597.0</w:t>
      </w:r>
      <w:r w:rsidR="009A50B1">
        <w:rPr>
          <w:rFonts w:cs="Arial"/>
          <w:szCs w:val="24"/>
        </w:rPr>
        <w:t>2</w:t>
      </w:r>
    </w:p>
    <w:p w:rsidR="00F64C46" w:rsidP="00F64C46" w14:paraId="287E2D9B" w14:textId="48B73AD8">
      <w:pPr>
        <w:pStyle w:val="NoSpacing"/>
        <w:spacing w:after="120"/>
        <w:rPr>
          <w:rFonts w:cs="Arial"/>
          <w:szCs w:val="24"/>
        </w:rPr>
      </w:pPr>
      <w:r>
        <w:rPr>
          <w:rFonts w:cs="Arial"/>
          <w:szCs w:val="24"/>
        </w:rPr>
        <w:tab/>
      </w:r>
      <w:r w:rsidRPr="009505AD">
        <w:rPr>
          <w:rFonts w:cs="Arial"/>
          <w:b/>
          <w:bCs/>
          <w:szCs w:val="24"/>
        </w:rPr>
        <w:t>OMB Control No.:</w:t>
      </w:r>
      <w:r>
        <w:rPr>
          <w:rFonts w:cs="Arial"/>
          <w:szCs w:val="24"/>
        </w:rPr>
        <w:t xml:space="preserve"> 2070-</w:t>
      </w:r>
      <w:r w:rsidR="009A50B1">
        <w:rPr>
          <w:rFonts w:cs="Arial"/>
          <w:szCs w:val="24"/>
        </w:rPr>
        <w:t>0216</w:t>
      </w:r>
    </w:p>
    <w:p w:rsidR="00F64C46" w:rsidRPr="00C12EA2" w:rsidP="00F64C46" w14:paraId="0BA86EA6" w14:textId="77777777">
      <w:pPr>
        <w:pStyle w:val="NoSpacing"/>
        <w:spacing w:after="120"/>
        <w:rPr>
          <w:rFonts w:cs="Arial"/>
          <w:szCs w:val="24"/>
        </w:rPr>
      </w:pPr>
      <w:r>
        <w:rPr>
          <w:rFonts w:cs="Arial"/>
          <w:szCs w:val="24"/>
        </w:rPr>
        <w:tab/>
      </w:r>
      <w:r>
        <w:rPr>
          <w:rFonts w:cs="Arial"/>
          <w:b/>
          <w:szCs w:val="24"/>
        </w:rPr>
        <w:t xml:space="preserve">Docket ID No.: </w:t>
      </w:r>
      <w:r w:rsidRPr="00F60F6A">
        <w:rPr>
          <w:lang w:bidi="en-US"/>
        </w:rPr>
        <w:t>EPA-HQ-</w:t>
      </w:r>
      <w:r>
        <w:rPr>
          <w:lang w:bidi="en-US"/>
        </w:rPr>
        <w:t>OPPT-2018-0155</w:t>
      </w:r>
    </w:p>
    <w:p w:rsidR="00F64C46" w:rsidP="00F64C46" w14:paraId="57A999E4" w14:textId="77777777">
      <w:pPr>
        <w:pStyle w:val="Heading3"/>
      </w:pPr>
      <w:bookmarkStart w:id="4" w:name="_Toc49148156"/>
      <w:r w:rsidRPr="00483711">
        <w:t>Abstract</w:t>
      </w:r>
      <w:bookmarkEnd w:id="4"/>
    </w:p>
    <w:p w:rsidR="00F64C46" w:rsidP="00F64C46" w14:paraId="20819386" w14:textId="77777777">
      <w:pPr>
        <w:spacing w:after="200" w:line="276" w:lineRule="auto"/>
      </w:pPr>
      <w:bookmarkStart w:id="5" w:name="_Ref510612287"/>
      <w:bookmarkEnd w:id="1"/>
      <w:r w:rsidRPr="00DD167D">
        <w:t xml:space="preserve">This </w:t>
      </w:r>
      <w:r>
        <w:t>final</w:t>
      </w:r>
      <w:r w:rsidRPr="00DD167D">
        <w:t xml:space="preserve"> rule Information Collection Request (ICR), which explains the information collection activities and related burden and cost estimates that amends the information collection activities of the </w:t>
      </w:r>
      <w:r>
        <w:t>Toxics Release Inventory (TRI)</w:t>
      </w:r>
      <w:r w:rsidRPr="00DD167D">
        <w:t xml:space="preserve"> reporting and recordkeeping event</w:t>
      </w:r>
      <w:r>
        <w:t>.</w:t>
      </w:r>
      <w:r w:rsidRPr="00DD167D">
        <w:t xml:space="preserve"> </w:t>
      </w:r>
      <w:bookmarkEnd w:id="5"/>
    </w:p>
    <w:p w:rsidR="00F64C46" w:rsidP="00F64C46" w14:paraId="26055166" w14:textId="05B25C40">
      <w:pPr>
        <w:spacing w:after="200" w:line="276" w:lineRule="auto"/>
      </w:pPr>
      <w:r w:rsidRPr="00554978">
        <w:t>This ICR</w:t>
      </w:r>
      <w:r>
        <w:t xml:space="preserve"> addresses the paperwork requirements in a final rule titled </w:t>
      </w:r>
      <w:r w:rsidRPr="00605999">
        <w:rPr>
          <w:lang w:bidi="en-US"/>
        </w:rPr>
        <w:t>Parent Company Definition for TRI Reporting</w:t>
      </w:r>
      <w:r>
        <w:t xml:space="preserve"> that is </w:t>
      </w:r>
      <w:r w:rsidRPr="00554978">
        <w:t>not already included in the currently approved ICR “</w:t>
      </w:r>
      <w:r>
        <w:t>Chemical Release Reporting,</w:t>
      </w:r>
      <w:r w:rsidRPr="00554978">
        <w:t xml:space="preserve">” </w:t>
      </w:r>
      <w:r>
        <w:t xml:space="preserve">which covers the current 40 CFR part 372. </w:t>
      </w:r>
      <w:r w:rsidRPr="007D70B1">
        <w:t xml:space="preserve">The Environmental Protection Agency (EPA) is </w:t>
      </w:r>
      <w:r w:rsidR="007B09CE">
        <w:t>finalizing</w:t>
      </w:r>
      <w:r w:rsidRPr="007D70B1">
        <w:t xml:space="preserve"> a rule under section 313 of the Emergency Planning and Community Right-to-Know Act (EPCRA) </w:t>
      </w:r>
      <w:r>
        <w:t xml:space="preserve">that </w:t>
      </w:r>
      <w:r w:rsidRPr="000C7925">
        <w:t>codifies reporting the highest</w:t>
      </w:r>
      <w:r>
        <w:t>-</w:t>
      </w:r>
      <w:r w:rsidRPr="000C7925">
        <w:t>level U.S.-based parent company</w:t>
      </w:r>
      <w:r w:rsidR="00C96987">
        <w:t xml:space="preserve">. Beginning with </w:t>
      </w:r>
      <w:r w:rsidR="0071648E">
        <w:t>the 2023 Reporting Year (for forms due by July 1, 2024) and for each subsequent reporting year, this rule also</w:t>
      </w:r>
      <w:r w:rsidRPr="000C7925">
        <w:t xml:space="preserve"> add</w:t>
      </w:r>
      <w:r>
        <w:t>s</w:t>
      </w:r>
      <w:r w:rsidRPr="000C7925">
        <w:t xml:space="preserve"> </w:t>
      </w:r>
      <w:r w:rsidR="007B09CE">
        <w:t xml:space="preserve">two </w:t>
      </w:r>
      <w:r w:rsidRPr="000C7925">
        <w:t>new data element</w:t>
      </w:r>
      <w:r w:rsidR="007B09CE">
        <w:t>s</w:t>
      </w:r>
      <w:r w:rsidRPr="000C7925">
        <w:t xml:space="preserve"> to Part I, Section 5 for reporting the name </w:t>
      </w:r>
      <w:r w:rsidR="007B09CE">
        <w:t xml:space="preserve">and Dun &amp; Bradstreet number (if applicable) </w:t>
      </w:r>
      <w:r w:rsidRPr="000C7925">
        <w:t>of a foreign company in addition to reporting the largest U.S.-based parent company</w:t>
      </w:r>
      <w:r>
        <w:t>.</w:t>
      </w:r>
      <w:r w:rsidRPr="000C7925">
        <w:t xml:space="preserve"> </w:t>
      </w:r>
      <w:r w:rsidRPr="00665FBF">
        <w:t>An economic analysis (EA) provides estimations of the burden and costs associated with the reporting requirements and can be found in the rulemaking docket.</w:t>
      </w:r>
    </w:p>
    <w:p w:rsidR="00A17C38" w:rsidRPr="001478D6" w:rsidP="00A17C38" w14:paraId="07948457" w14:textId="77777777">
      <w:pPr>
        <w:keepNext/>
        <w:keepLines/>
        <w:outlineLvl w:val="2"/>
        <w:rPr>
          <w:rFonts w:eastAsiaTheme="majorEastAsia" w:cstheme="majorBidi"/>
          <w:b/>
          <w:bCs/>
        </w:rPr>
      </w:pPr>
      <w:r w:rsidRPr="001478D6">
        <w:rPr>
          <w:rFonts w:eastAsiaTheme="majorEastAsia" w:cstheme="majorBidi"/>
          <w:b/>
          <w:bCs/>
        </w:rPr>
        <w:t>Summary Total Burden and Costs</w:t>
      </w:r>
    </w:p>
    <w:p w:rsidR="00A17C38" w:rsidRPr="001478D6" w:rsidP="00A17C38" w14:paraId="67A5C1DD" w14:textId="77777777"/>
    <w:tbl>
      <w:tblPr>
        <w:tblStyle w:val="TableGrid2"/>
        <w:tblW w:w="0" w:type="auto"/>
        <w:tblLook w:val="04A0"/>
      </w:tblPr>
      <w:tblGrid>
        <w:gridCol w:w="2403"/>
        <w:gridCol w:w="2599"/>
        <w:gridCol w:w="2794"/>
        <w:gridCol w:w="2274"/>
      </w:tblGrid>
      <w:tr w14:paraId="11647DE8" w14:textId="77777777" w:rsidTr="000716E4">
        <w:tblPrEx>
          <w:tblW w:w="0" w:type="auto"/>
          <w:tblLook w:val="04A0"/>
        </w:tblPrEx>
        <w:tc>
          <w:tcPr>
            <w:tcW w:w="0" w:type="auto"/>
          </w:tcPr>
          <w:p w:rsidR="00E12267" w:rsidRPr="000716E4" w:rsidP="006472F6" w14:paraId="5D0B2755" w14:textId="6716965E">
            <w:pPr>
              <w:rPr>
                <w:b/>
                <w:bCs/>
                <w:sz w:val="20"/>
                <w:szCs w:val="20"/>
              </w:rPr>
            </w:pPr>
            <w:r w:rsidRPr="000716E4">
              <w:rPr>
                <w:b/>
                <w:bCs/>
                <w:sz w:val="20"/>
                <w:szCs w:val="20"/>
              </w:rPr>
              <w:t>Information Collection (IC)</w:t>
            </w:r>
          </w:p>
        </w:tc>
        <w:tc>
          <w:tcPr>
            <w:tcW w:w="0" w:type="auto"/>
            <w:shd w:val="clear" w:color="000000" w:fill="BFBFBF"/>
            <w:vAlign w:val="center"/>
          </w:tcPr>
          <w:p w:rsidR="00E12267" w:rsidRPr="00E00F8C" w:rsidP="006472F6" w14:paraId="0FF0BEE0" w14:textId="1F8E88C9">
            <w:pPr>
              <w:jc w:val="center"/>
              <w:rPr>
                <w:sz w:val="20"/>
                <w:szCs w:val="20"/>
              </w:rPr>
            </w:pPr>
            <w:r>
              <w:rPr>
                <w:rFonts w:eastAsia="Times New Roman" w:cs="Arial"/>
                <w:b/>
                <w:bCs/>
                <w:color w:val="000000"/>
                <w:sz w:val="20"/>
                <w:szCs w:val="20"/>
              </w:rPr>
              <w:t xml:space="preserve">Annual </w:t>
            </w:r>
            <w:r w:rsidRPr="00E00F8C">
              <w:rPr>
                <w:rFonts w:eastAsia="Times New Roman" w:cs="Arial"/>
                <w:b/>
                <w:bCs/>
                <w:color w:val="000000"/>
                <w:sz w:val="20"/>
                <w:szCs w:val="20"/>
              </w:rPr>
              <w:t>Number of Respon</w:t>
            </w:r>
            <w:r>
              <w:rPr>
                <w:rFonts w:eastAsia="Times New Roman" w:cs="Arial"/>
                <w:b/>
                <w:bCs/>
                <w:color w:val="000000"/>
                <w:sz w:val="20"/>
                <w:szCs w:val="20"/>
              </w:rPr>
              <w:t>ses</w:t>
            </w:r>
          </w:p>
        </w:tc>
        <w:tc>
          <w:tcPr>
            <w:tcW w:w="0" w:type="auto"/>
            <w:shd w:val="clear" w:color="000000" w:fill="BFBFBF"/>
            <w:vAlign w:val="center"/>
          </w:tcPr>
          <w:p w:rsidR="00E12267" w:rsidRPr="00E00F8C" w:rsidP="006472F6" w14:paraId="5AB5C67F" w14:textId="053E03F2">
            <w:pPr>
              <w:jc w:val="center"/>
              <w:rPr>
                <w:sz w:val="20"/>
                <w:szCs w:val="20"/>
              </w:rPr>
            </w:pPr>
            <w:r>
              <w:rPr>
                <w:rFonts w:eastAsia="Times New Roman" w:cs="Arial"/>
                <w:b/>
                <w:bCs/>
                <w:color w:val="000000"/>
                <w:sz w:val="20"/>
                <w:szCs w:val="20"/>
              </w:rPr>
              <w:t xml:space="preserve">Annual </w:t>
            </w:r>
            <w:r w:rsidRPr="00E00F8C">
              <w:rPr>
                <w:rFonts w:eastAsia="Times New Roman" w:cs="Arial"/>
                <w:b/>
                <w:bCs/>
                <w:color w:val="000000"/>
                <w:sz w:val="20"/>
                <w:szCs w:val="20"/>
              </w:rPr>
              <w:t>Burden</w:t>
            </w:r>
            <w:r>
              <w:rPr>
                <w:rFonts w:eastAsia="Times New Roman" w:cs="Arial"/>
                <w:b/>
                <w:bCs/>
                <w:color w:val="000000"/>
                <w:sz w:val="20"/>
                <w:szCs w:val="20"/>
              </w:rPr>
              <w:t xml:space="preserve"> First Year</w:t>
            </w:r>
            <w:r w:rsidRPr="00E00F8C">
              <w:rPr>
                <w:rFonts w:eastAsia="Times New Roman" w:cs="Arial"/>
                <w:b/>
                <w:bCs/>
                <w:color w:val="000000"/>
                <w:sz w:val="20"/>
                <w:szCs w:val="20"/>
              </w:rPr>
              <w:t xml:space="preserve"> (hours)</w:t>
            </w:r>
          </w:p>
        </w:tc>
        <w:tc>
          <w:tcPr>
            <w:tcW w:w="0" w:type="auto"/>
            <w:shd w:val="clear" w:color="000000" w:fill="BFBFBF"/>
            <w:vAlign w:val="center"/>
          </w:tcPr>
          <w:p w:rsidR="00E12267" w:rsidRPr="00E00F8C" w:rsidP="006472F6" w14:paraId="58F385E5" w14:textId="5DC849B7">
            <w:pPr>
              <w:jc w:val="center"/>
              <w:rPr>
                <w:rFonts w:eastAsia="Times New Roman" w:cs="Arial"/>
                <w:b/>
                <w:bCs/>
                <w:color w:val="000000"/>
                <w:sz w:val="20"/>
                <w:szCs w:val="20"/>
              </w:rPr>
            </w:pPr>
            <w:r>
              <w:rPr>
                <w:rFonts w:eastAsia="Times New Roman" w:cs="Arial"/>
                <w:b/>
                <w:bCs/>
                <w:color w:val="000000"/>
                <w:sz w:val="20"/>
                <w:szCs w:val="20"/>
              </w:rPr>
              <w:t xml:space="preserve">Annual </w:t>
            </w:r>
            <w:r w:rsidRPr="00E00F8C">
              <w:rPr>
                <w:rFonts w:eastAsia="Times New Roman" w:cs="Arial"/>
                <w:b/>
                <w:bCs/>
                <w:color w:val="000000"/>
                <w:sz w:val="20"/>
                <w:szCs w:val="20"/>
              </w:rPr>
              <w:t>Costs</w:t>
            </w:r>
            <w:r>
              <w:rPr>
                <w:rFonts w:eastAsia="Times New Roman" w:cs="Arial"/>
                <w:b/>
                <w:bCs/>
                <w:color w:val="000000"/>
                <w:sz w:val="20"/>
                <w:szCs w:val="20"/>
              </w:rPr>
              <w:t xml:space="preserve"> First Year</w:t>
            </w:r>
          </w:p>
        </w:tc>
      </w:tr>
      <w:tr w14:paraId="69FCB523" w14:textId="77777777" w:rsidTr="000716E4">
        <w:tblPrEx>
          <w:tblW w:w="0" w:type="auto"/>
          <w:tblLook w:val="04A0"/>
        </w:tblPrEx>
        <w:tc>
          <w:tcPr>
            <w:tcW w:w="0" w:type="auto"/>
            <w:vAlign w:val="center"/>
          </w:tcPr>
          <w:p w:rsidR="00E12267" w:rsidRPr="00E00F8C" w:rsidP="00A57899" w14:paraId="573EED58" w14:textId="54B159DC">
            <w:pPr>
              <w:rPr>
                <w:sz w:val="20"/>
                <w:szCs w:val="20"/>
              </w:rPr>
            </w:pPr>
            <w:r>
              <w:rPr>
                <w:sz w:val="20"/>
                <w:szCs w:val="20"/>
              </w:rPr>
              <w:t xml:space="preserve">Rule Familiarization </w:t>
            </w:r>
          </w:p>
        </w:tc>
        <w:tc>
          <w:tcPr>
            <w:tcW w:w="0" w:type="auto"/>
            <w:vAlign w:val="center"/>
          </w:tcPr>
          <w:p w:rsidR="00E12267" w:rsidRPr="00E00F8C" w:rsidP="00A57899" w14:paraId="24242E6C" w14:textId="7956D4CD">
            <w:pPr>
              <w:rPr>
                <w:sz w:val="20"/>
                <w:szCs w:val="20"/>
              </w:rPr>
            </w:pPr>
            <w:r>
              <w:rPr>
                <w:sz w:val="20"/>
                <w:szCs w:val="20"/>
              </w:rPr>
              <w:t>76,</w:t>
            </w:r>
            <w:r w:rsidR="004D7CAA">
              <w:rPr>
                <w:sz w:val="20"/>
                <w:szCs w:val="20"/>
              </w:rPr>
              <w:t>815</w:t>
            </w:r>
          </w:p>
        </w:tc>
        <w:tc>
          <w:tcPr>
            <w:tcW w:w="0" w:type="auto"/>
          </w:tcPr>
          <w:p w:rsidR="00E12267" w:rsidRPr="000716E4" w:rsidP="000716E4" w14:paraId="2BF9D175" w14:textId="4B7C9DBF">
            <w:pPr>
              <w:pStyle w:val="ListParagraph"/>
              <w:ind w:left="360"/>
              <w:rPr>
                <w:sz w:val="20"/>
                <w:szCs w:val="20"/>
              </w:rPr>
            </w:pPr>
            <w:r>
              <w:rPr>
                <w:sz w:val="20"/>
                <w:szCs w:val="20"/>
              </w:rPr>
              <w:t>10,577</w:t>
            </w:r>
          </w:p>
        </w:tc>
        <w:tc>
          <w:tcPr>
            <w:tcW w:w="0" w:type="auto"/>
          </w:tcPr>
          <w:p w:rsidR="00E12267" w:rsidRPr="00E00F8C" w:rsidP="000716E4" w14:paraId="589868E3" w14:textId="2BB51D95">
            <w:pPr>
              <w:pStyle w:val="ListParagraph"/>
              <w:ind w:left="360"/>
              <w:rPr>
                <w:sz w:val="20"/>
                <w:szCs w:val="20"/>
              </w:rPr>
            </w:pPr>
            <w:r>
              <w:rPr>
                <w:sz w:val="20"/>
                <w:szCs w:val="20"/>
              </w:rPr>
              <w:t>$735,207.00</w:t>
            </w:r>
          </w:p>
        </w:tc>
      </w:tr>
      <w:tr w14:paraId="0936201B" w14:textId="77777777" w:rsidTr="0070379E">
        <w:tblPrEx>
          <w:tblW w:w="0" w:type="auto"/>
          <w:tblLook w:val="04A0"/>
        </w:tblPrEx>
        <w:tc>
          <w:tcPr>
            <w:tcW w:w="0" w:type="auto"/>
            <w:vAlign w:val="center"/>
          </w:tcPr>
          <w:p w:rsidR="004D7CAA" w:rsidP="004D7CAA" w14:paraId="2814C3B8" w14:textId="114C63CA">
            <w:pPr>
              <w:rPr>
                <w:sz w:val="20"/>
                <w:szCs w:val="20"/>
              </w:rPr>
            </w:pPr>
            <w:r>
              <w:rPr>
                <w:sz w:val="20"/>
                <w:szCs w:val="20"/>
              </w:rPr>
              <w:t xml:space="preserve">Form Completion </w:t>
            </w:r>
          </w:p>
        </w:tc>
        <w:tc>
          <w:tcPr>
            <w:tcW w:w="0" w:type="auto"/>
          </w:tcPr>
          <w:p w:rsidR="004D7CAA" w:rsidRPr="00E00F8C" w:rsidP="004D7CAA" w14:paraId="3FA52796" w14:textId="208498FA">
            <w:pPr>
              <w:rPr>
                <w:sz w:val="20"/>
                <w:szCs w:val="20"/>
              </w:rPr>
            </w:pPr>
            <w:r w:rsidRPr="00343410">
              <w:rPr>
                <w:sz w:val="20"/>
                <w:szCs w:val="20"/>
              </w:rPr>
              <w:t>76,815</w:t>
            </w:r>
          </w:p>
        </w:tc>
        <w:tc>
          <w:tcPr>
            <w:tcW w:w="0" w:type="auto"/>
          </w:tcPr>
          <w:p w:rsidR="004D7CAA" w:rsidRPr="00E00F8C" w:rsidP="004D7CAA" w14:paraId="32FAC747" w14:textId="10BEA51A">
            <w:pPr>
              <w:pStyle w:val="ListParagraph"/>
              <w:ind w:left="360"/>
              <w:rPr>
                <w:sz w:val="20"/>
                <w:szCs w:val="20"/>
              </w:rPr>
            </w:pPr>
            <w:r>
              <w:rPr>
                <w:sz w:val="20"/>
                <w:szCs w:val="20"/>
              </w:rPr>
              <w:t>7,256</w:t>
            </w:r>
          </w:p>
        </w:tc>
        <w:tc>
          <w:tcPr>
            <w:tcW w:w="0" w:type="auto"/>
          </w:tcPr>
          <w:p w:rsidR="004D7CAA" w:rsidRPr="00E00F8C" w:rsidP="004D7CAA" w14:paraId="14407E33" w14:textId="15017557">
            <w:pPr>
              <w:pStyle w:val="ListParagraph"/>
              <w:ind w:left="360"/>
              <w:rPr>
                <w:sz w:val="20"/>
                <w:szCs w:val="20"/>
              </w:rPr>
            </w:pPr>
            <w:r>
              <w:rPr>
                <w:sz w:val="20"/>
                <w:szCs w:val="20"/>
              </w:rPr>
              <w:t>$504,365.00</w:t>
            </w:r>
          </w:p>
        </w:tc>
      </w:tr>
      <w:tr w14:paraId="66AB855D" w14:textId="77777777" w:rsidTr="0070379E">
        <w:tblPrEx>
          <w:tblW w:w="0" w:type="auto"/>
          <w:tblLook w:val="04A0"/>
        </w:tblPrEx>
        <w:tc>
          <w:tcPr>
            <w:tcW w:w="0" w:type="auto"/>
            <w:vAlign w:val="center"/>
          </w:tcPr>
          <w:p w:rsidR="004D7CAA" w:rsidRPr="00A17C38" w:rsidP="004D7CAA" w14:paraId="1EBDF667" w14:textId="4369C5F9">
            <w:pPr>
              <w:rPr>
                <w:b/>
                <w:bCs/>
                <w:sz w:val="20"/>
                <w:szCs w:val="20"/>
              </w:rPr>
            </w:pPr>
            <w:r w:rsidRPr="00A17C38">
              <w:rPr>
                <w:b/>
                <w:bCs/>
                <w:sz w:val="20"/>
                <w:szCs w:val="20"/>
              </w:rPr>
              <w:t>Respondent Total</w:t>
            </w:r>
            <w:r>
              <w:rPr>
                <w:b/>
                <w:bCs/>
                <w:sz w:val="20"/>
                <w:szCs w:val="20"/>
              </w:rPr>
              <w:t>*</w:t>
            </w:r>
            <w:r w:rsidRPr="00A17C38">
              <w:rPr>
                <w:b/>
                <w:bCs/>
                <w:sz w:val="20"/>
                <w:szCs w:val="20"/>
              </w:rPr>
              <w:t xml:space="preserve"> </w:t>
            </w:r>
          </w:p>
        </w:tc>
        <w:tc>
          <w:tcPr>
            <w:tcW w:w="0" w:type="auto"/>
          </w:tcPr>
          <w:p w:rsidR="004D7CAA" w:rsidRPr="00E00F8C" w:rsidP="004D7CAA" w14:paraId="78A29C77" w14:textId="43D80429">
            <w:pPr>
              <w:rPr>
                <w:sz w:val="20"/>
                <w:szCs w:val="20"/>
                <w:highlight w:val="yellow"/>
              </w:rPr>
            </w:pPr>
            <w:r w:rsidRPr="00343410">
              <w:rPr>
                <w:sz w:val="20"/>
                <w:szCs w:val="20"/>
              </w:rPr>
              <w:t>76,815</w:t>
            </w:r>
          </w:p>
        </w:tc>
        <w:tc>
          <w:tcPr>
            <w:tcW w:w="0" w:type="auto"/>
          </w:tcPr>
          <w:p w:rsidR="004D7CAA" w:rsidRPr="00E00F8C" w:rsidP="004D7CAA" w14:paraId="69BE1839" w14:textId="1E3F9B9B">
            <w:pPr>
              <w:pStyle w:val="NoSpacing"/>
              <w:ind w:left="360"/>
              <w:rPr>
                <w:sz w:val="20"/>
                <w:szCs w:val="20"/>
              </w:rPr>
            </w:pPr>
            <w:r>
              <w:rPr>
                <w:sz w:val="20"/>
                <w:szCs w:val="20"/>
              </w:rPr>
              <w:t>17,833</w:t>
            </w:r>
          </w:p>
        </w:tc>
        <w:tc>
          <w:tcPr>
            <w:tcW w:w="0" w:type="auto"/>
          </w:tcPr>
          <w:p w:rsidR="004D7CAA" w:rsidRPr="00E00F8C" w:rsidP="004D7CAA" w14:paraId="6F4FE25A" w14:textId="180344BF">
            <w:pPr>
              <w:pStyle w:val="ListParagraph"/>
              <w:ind w:left="360"/>
              <w:rPr>
                <w:sz w:val="20"/>
                <w:szCs w:val="20"/>
              </w:rPr>
            </w:pPr>
            <w:r>
              <w:rPr>
                <w:sz w:val="20"/>
                <w:szCs w:val="20"/>
              </w:rPr>
              <w:t>$1,239,572</w:t>
            </w:r>
          </w:p>
        </w:tc>
      </w:tr>
      <w:tr w14:paraId="3DE20C34" w14:textId="77777777" w:rsidTr="000716E4">
        <w:tblPrEx>
          <w:tblW w:w="0" w:type="auto"/>
          <w:tblLook w:val="04A0"/>
        </w:tblPrEx>
        <w:tc>
          <w:tcPr>
            <w:tcW w:w="0" w:type="auto"/>
            <w:vAlign w:val="center"/>
          </w:tcPr>
          <w:p w:rsidR="00E12267" w:rsidRPr="00A17C38" w:rsidP="00A57899" w14:paraId="5D282590" w14:textId="056D67B5">
            <w:pPr>
              <w:rPr>
                <w:b/>
                <w:bCs/>
                <w:sz w:val="20"/>
                <w:szCs w:val="20"/>
              </w:rPr>
            </w:pPr>
            <w:r w:rsidRPr="00A17C38">
              <w:rPr>
                <w:b/>
                <w:bCs/>
                <w:sz w:val="20"/>
                <w:szCs w:val="20"/>
              </w:rPr>
              <w:t xml:space="preserve">Agency </w:t>
            </w:r>
            <w:r>
              <w:rPr>
                <w:b/>
                <w:bCs/>
                <w:sz w:val="20"/>
                <w:szCs w:val="20"/>
              </w:rPr>
              <w:t xml:space="preserve">Total </w:t>
            </w:r>
          </w:p>
        </w:tc>
        <w:tc>
          <w:tcPr>
            <w:tcW w:w="0" w:type="auto"/>
            <w:vAlign w:val="center"/>
          </w:tcPr>
          <w:p w:rsidR="00E12267" w:rsidRPr="00E00F8C" w:rsidP="00A57899" w14:paraId="6835EAEA" w14:textId="02E4B2A3">
            <w:pPr>
              <w:rPr>
                <w:sz w:val="20"/>
                <w:szCs w:val="20"/>
              </w:rPr>
            </w:pPr>
            <w:r>
              <w:rPr>
                <w:sz w:val="20"/>
                <w:szCs w:val="20"/>
              </w:rPr>
              <w:t>-</w:t>
            </w:r>
          </w:p>
        </w:tc>
        <w:tc>
          <w:tcPr>
            <w:tcW w:w="0" w:type="auto"/>
          </w:tcPr>
          <w:p w:rsidR="00E12267" w:rsidRPr="00E00F8C" w:rsidP="00A57899" w14:paraId="50287E54" w14:textId="1AA5CA65">
            <w:pPr>
              <w:pStyle w:val="ListParagraph"/>
              <w:ind w:left="360"/>
              <w:rPr>
                <w:sz w:val="20"/>
                <w:szCs w:val="20"/>
              </w:rPr>
            </w:pPr>
            <w:r>
              <w:rPr>
                <w:sz w:val="20"/>
                <w:szCs w:val="20"/>
              </w:rPr>
              <w:t>-</w:t>
            </w:r>
          </w:p>
        </w:tc>
        <w:tc>
          <w:tcPr>
            <w:tcW w:w="0" w:type="auto"/>
          </w:tcPr>
          <w:p w:rsidR="00E12267" w:rsidRPr="00E00F8C" w:rsidP="00A57899" w14:paraId="12220337" w14:textId="25004FD4">
            <w:pPr>
              <w:pStyle w:val="ListParagraph"/>
              <w:ind w:left="360"/>
              <w:rPr>
                <w:sz w:val="20"/>
                <w:szCs w:val="20"/>
              </w:rPr>
            </w:pPr>
            <w:r>
              <w:rPr>
                <w:sz w:val="20"/>
                <w:szCs w:val="20"/>
              </w:rPr>
              <w:t>-</w:t>
            </w:r>
          </w:p>
        </w:tc>
      </w:tr>
    </w:tbl>
    <w:p w:rsidR="00A17C38" w:rsidP="00A17C38" w14:paraId="23FAFBB6" w14:textId="6AA429E9">
      <w:pPr>
        <w:pStyle w:val="NoSpacing"/>
        <w:rPr>
          <w:sz w:val="22"/>
        </w:rPr>
      </w:pPr>
      <w:r w:rsidRPr="009210AF">
        <w:rPr>
          <w:sz w:val="22"/>
        </w:rPr>
        <w:t xml:space="preserve">*The same number </w:t>
      </w:r>
      <w:r w:rsidR="000C7512">
        <w:rPr>
          <w:sz w:val="22"/>
        </w:rPr>
        <w:t xml:space="preserve">responses per </w:t>
      </w:r>
      <w:r w:rsidR="00E12267">
        <w:rPr>
          <w:sz w:val="22"/>
        </w:rPr>
        <w:t>IC</w:t>
      </w:r>
      <w:r w:rsidRPr="009210AF">
        <w:rPr>
          <w:sz w:val="22"/>
        </w:rPr>
        <w:t xml:space="preserve">. </w:t>
      </w:r>
    </w:p>
    <w:p w:rsidR="009210AF" w:rsidRPr="009210AF" w:rsidP="00A17C38" w14:paraId="27BE634F" w14:textId="77777777">
      <w:pPr>
        <w:pStyle w:val="NoSpacing"/>
        <w:rPr>
          <w:sz w:val="22"/>
        </w:rPr>
      </w:pPr>
    </w:p>
    <w:p w:rsidR="00F64C46" w:rsidRPr="00A01C2F" w:rsidP="00F64C46" w14:paraId="2E39DECF" w14:textId="77777777">
      <w:pPr>
        <w:pStyle w:val="Heading1"/>
      </w:pPr>
      <w:r w:rsidRPr="00A01C2F">
        <w:t xml:space="preserve">Supporting Statement </w:t>
      </w:r>
    </w:p>
    <w:p w:rsidR="00F64C46" w:rsidRPr="0061653A" w:rsidP="00DB07C0" w14:paraId="7D2573BA" w14:textId="77777777">
      <w:pPr>
        <w:pStyle w:val="Heading2"/>
      </w:pPr>
      <w:r w:rsidRPr="0061653A">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4C46" w:rsidP="00F64C46" w14:paraId="3E6ED70F" w14:textId="5EC1EB60">
      <w:pPr>
        <w:spacing w:after="200" w:line="276" w:lineRule="auto"/>
      </w:pPr>
      <w:r w:rsidRPr="001175CB">
        <w:t xml:space="preserve">Under section 313 of the Emergency Planning and Community Right-to-Know Act (EPCRA), and section 6607 of the Pollution Prevention Act (PPA), certain facilities are required to file </w:t>
      </w:r>
      <w:r w:rsidRPr="001175CB">
        <w:t>annual reports to the United States Environmental Protection Agency (EPA), States, and Indian Country officials on their releases, transfers, and other waste management practices for certain toxic chemicals if they are manufactured, processed, or otherwise used above certain threshold amounts. This information is included in a publicly available database known as the Toxics Release Inventory (TRI)</w:t>
      </w:r>
      <w:r w:rsidR="0061653A">
        <w:t xml:space="preserve"> </w:t>
      </w:r>
      <w:r w:rsidRPr="0028369E" w:rsidR="0061653A">
        <w:t>(Attachment 1)</w:t>
      </w:r>
      <w:r w:rsidRPr="0028369E">
        <w:t>.</w:t>
      </w:r>
    </w:p>
    <w:p w:rsidR="00F64C46" w:rsidRPr="005932B8" w:rsidP="00F64C46" w14:paraId="3D3D25D4" w14:textId="77777777">
      <w:pPr>
        <w:pStyle w:val="NoSpacing"/>
        <w:spacing w:after="200" w:line="276" w:lineRule="auto"/>
      </w:pPr>
      <w:r w:rsidRPr="005932B8">
        <w:t xml:space="preserve">Congress also granted EPA broad rulemaking authority to allow the Agency to fully implement the statute. EPCRA section 328 states that: “The Administrator may prescribe such regulations as may be necessary to carry out this chapter.” 42 U.S.C. 11048.  </w:t>
      </w:r>
    </w:p>
    <w:p w:rsidR="00F64C46" w:rsidP="00F64C46" w14:paraId="6DE10583" w14:textId="77777777">
      <w:pPr>
        <w:spacing w:after="200" w:line="276" w:lineRule="auto"/>
      </w:pPr>
      <w:r w:rsidRPr="003B0FE4">
        <w:t>TRI requires facilities to report their highest</w:t>
      </w:r>
      <w:r>
        <w:t>-</w:t>
      </w:r>
      <w:r w:rsidRPr="003B0FE4">
        <w:t xml:space="preserve">level United States-based parent company information annually in Part 1, Section 5. No text currently exists in 40 CFR part 372 related to this important data field, and current guidance has led to differing interpretations on the definition of parent company between EPA and reporting facilities. </w:t>
      </w:r>
      <w:r>
        <w:t>Additionally, incorporating this definition into regulatory text as other Agency reporting programs have done will increase the enforceability of consistent and accurate reporting of this data element, which will benefit TRI data quality for many data users.</w:t>
      </w:r>
    </w:p>
    <w:p w:rsidR="00F64C46" w:rsidRPr="003B0FE4" w:rsidP="00F64C46" w14:paraId="6C9D6813" w14:textId="77777777">
      <w:pPr>
        <w:spacing w:after="200" w:line="276" w:lineRule="auto"/>
      </w:pPr>
      <w:r w:rsidRPr="003B0FE4">
        <w:t>Each year, EPA standardizes parent company names submitted to TRI. This process involves aligning submissions to a set of business rules (</w:t>
      </w:r>
      <w:r w:rsidRPr="003B0FE4">
        <w:t>e.g.</w:t>
      </w:r>
      <w:r w:rsidRPr="003B0FE4">
        <w:t xml:space="preserve"> Corporation is changed to Corp) in addition to researching submitted names to ensure proper reporting by using online sources and other datasets. Each year, EPA has needed to standardize at least 15</w:t>
      </w:r>
      <w:r>
        <w:t xml:space="preserve"> percent</w:t>
      </w:r>
      <w:r w:rsidRPr="003B0FE4">
        <w:t xml:space="preserve"> of the forms received.</w:t>
      </w:r>
    </w:p>
    <w:p w:rsidR="00F64C46" w:rsidP="00F64C46" w14:paraId="6DAE99E9" w14:textId="55BF82DF">
      <w:pPr>
        <w:pStyle w:val="NoSpacing"/>
        <w:spacing w:after="200" w:line="276" w:lineRule="auto"/>
      </w:pPr>
      <w:r w:rsidRPr="003B0FE4">
        <w:t xml:space="preserve">In addition to misinterpretation of parent company reporting guidance, there are several company ownership scenarios where current guidance does not explicitly address how to report the parent company, such as facilities that are </w:t>
      </w:r>
      <w:r w:rsidRPr="003B0FE4">
        <w:t>publicly-owned</w:t>
      </w:r>
      <w:r w:rsidRPr="003B0FE4">
        <w:t xml:space="preserve"> or have no owner with at least 50 percent of the company’s voting stock.</w:t>
      </w:r>
      <w:r>
        <w:t xml:space="preserve"> </w:t>
      </w:r>
      <w:r w:rsidRPr="003B0FE4">
        <w:t xml:space="preserve">In addition, the corporate structure for </w:t>
      </w:r>
      <w:r w:rsidRPr="003B0FE4">
        <w:t>internationally-headquartered</w:t>
      </w:r>
      <w:r w:rsidRPr="003B0FE4">
        <w:t xml:space="preserve"> parent companies is often confusing, and facilities may not even know their highest</w:t>
      </w:r>
      <w:r>
        <w:t>-</w:t>
      </w:r>
      <w:r w:rsidRPr="003B0FE4">
        <w:t>level U.S.-based parent company.</w:t>
      </w:r>
      <w:r w:rsidRPr="0021063E">
        <w:t xml:space="preserve"> The </w:t>
      </w:r>
      <w:r>
        <w:t>final</w:t>
      </w:r>
      <w:r w:rsidRPr="0021063E">
        <w:t xml:space="preserve"> rule</w:t>
      </w:r>
      <w:r>
        <w:t xml:space="preserve"> </w:t>
      </w:r>
      <w:r w:rsidRPr="0021063E">
        <w:t>define</w:t>
      </w:r>
      <w:r>
        <w:t>s</w:t>
      </w:r>
      <w:r w:rsidRPr="0021063E">
        <w:t xml:space="preserve"> and clarify reporting requirements for facility parent company information</w:t>
      </w:r>
      <w:r w:rsidR="0028369E">
        <w:t xml:space="preserve"> (Attachment 2)</w:t>
      </w:r>
      <w:r w:rsidRPr="0021063E">
        <w:t>.</w:t>
      </w:r>
    </w:p>
    <w:p w:rsidR="00F64C46" w:rsidRPr="0061653A" w:rsidP="00DB07C0" w14:paraId="5E5366F8" w14:textId="77777777">
      <w:pPr>
        <w:pStyle w:val="Heading2"/>
      </w:pPr>
      <w:r w:rsidRPr="0061653A">
        <w:t>2. Indicate how, by whom, and for what purpose the information is to be used. Except for a new collection, indicate the actual use the agency has made of the information received from the current collection.</w:t>
      </w:r>
    </w:p>
    <w:p w:rsidR="00F64C46" w:rsidRPr="007D70B1" w:rsidP="00F64C46" w14:paraId="275FAF6D" w14:textId="77777777">
      <w:pPr>
        <w:spacing w:after="200" w:line="276" w:lineRule="auto"/>
      </w:pPr>
      <w:r w:rsidRPr="007D70B1">
        <w:t xml:space="preserve">The overall goal of </w:t>
      </w:r>
      <w:r>
        <w:t>TRI</w:t>
      </w:r>
      <w:r w:rsidRPr="007D70B1">
        <w:t xml:space="preserve"> is to provide communities with information about toxic chemical releases and other waste management activities and to support informed decision making by industry, government, non-governmental organizations, and the public.</w:t>
      </w:r>
      <w:r>
        <w:rPr>
          <w:rStyle w:val="FootnoteReference"/>
          <w:vertAlign w:val="superscript"/>
        </w:rPr>
        <w:footnoteReference w:id="2"/>
      </w:r>
      <w:r w:rsidRPr="007D70B1">
        <w:t xml:space="preserve"> </w:t>
      </w:r>
      <w:r>
        <w:t xml:space="preserve">TRI’s </w:t>
      </w:r>
      <w:r w:rsidRPr="007D70B1">
        <w:t xml:space="preserve">success is due, in large part, to the right-to-know provisions contained in the legislation. By requiring that the resulting data be made publicly available "by electronic and other means," Congress ensured that the </w:t>
      </w:r>
      <w:r w:rsidRPr="007D70B1">
        <w:t>general public</w:t>
      </w:r>
      <w:r w:rsidRPr="007D70B1">
        <w:t xml:space="preserve">, the media, environmental advocates, researchers, the business community, and others could evaluate and influence industry's efforts to manage toxic </w:t>
      </w:r>
      <w:r w:rsidRPr="007D70B1">
        <w:t xml:space="preserve">emissions. Consequently, EPA makes available data collected under EPCRA </w:t>
      </w:r>
      <w:r>
        <w:t xml:space="preserve">section </w:t>
      </w:r>
      <w:r w:rsidRPr="007D70B1">
        <w:t>313 and</w:t>
      </w:r>
      <w:r>
        <w:t xml:space="preserve"> the </w:t>
      </w:r>
      <w:r w:rsidRPr="007D70B1">
        <w:t xml:space="preserve">PPA </w:t>
      </w:r>
      <w:r>
        <w:t xml:space="preserve">section </w:t>
      </w:r>
      <w:r w:rsidRPr="007D70B1">
        <w:t xml:space="preserve">6607 through access tools such as EPA's </w:t>
      </w:r>
      <w:r w:rsidRPr="007D70B1">
        <w:t>Envirofact</w:t>
      </w:r>
      <w:r>
        <w:t>s</w:t>
      </w:r>
      <w:r w:rsidRPr="007D70B1">
        <w:t>,</w:t>
      </w:r>
      <w:r>
        <w:t xml:space="preserve"> the TRI P2 Tool, or TRI Tribal Search</w:t>
      </w:r>
      <w:r w:rsidRPr="007D70B1">
        <w:t xml:space="preserve">. </w:t>
      </w:r>
    </w:p>
    <w:p w:rsidR="00F64C46" w:rsidRPr="007D70B1" w:rsidP="00F64C46" w14:paraId="1CD9A96A" w14:textId="77777777">
      <w:pPr>
        <w:spacing w:after="200" w:line="276" w:lineRule="auto"/>
      </w:pPr>
      <w:r w:rsidRPr="007D70B1">
        <w:t>The TRI Program provides the TRI Preliminary Dataset within weeks after the annual July 1st TRI reporting deadline. The release consists of downloadable files on the TRI website (also accessible through Data.gov), as well as updated online data access tools (</w:t>
      </w:r>
      <w:r w:rsidRPr="007D70B1">
        <w:t>Envirofacts</w:t>
      </w:r>
      <w:r w:rsidRPr="007D70B1">
        <w:t xml:space="preserve"> and TRI Explorer). </w:t>
      </w:r>
    </w:p>
    <w:p w:rsidR="00F64C46" w:rsidP="00F64C46" w14:paraId="6544FF8D" w14:textId="77777777">
      <w:pPr>
        <w:spacing w:after="200" w:line="276" w:lineRule="auto"/>
      </w:pPr>
      <w:r w:rsidRPr="007D70B1">
        <w:t xml:space="preserve">EPA generally makes available the annual TRI National Analysis and the final dataset used for that analysis within eight months after the reporting deadline. In addition to providing information to the public via electronic means, EPA also conducts outreach activities to make key groups and the public aware of TRI. Libraries in communities across the United States (in particular, members of the Federal Depository Library Program) provide public access to TRI data.  </w:t>
      </w:r>
    </w:p>
    <w:p w:rsidR="00F64C46" w:rsidP="00F64C46" w14:paraId="230CBF55" w14:textId="77777777">
      <w:pPr>
        <w:spacing w:after="200" w:line="276" w:lineRule="auto"/>
      </w:pPr>
      <w:r w:rsidRPr="007D70B1">
        <w:t xml:space="preserve">Environmental agencies, industry, and the public use TRI data. 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  See EPA’s </w:t>
      </w:r>
      <w:r w:rsidRPr="007D70B1">
        <w:rPr>
          <w:i/>
        </w:rPr>
        <w:t>The Toxics Release Inventory in Action: Media, Government, Business, Community and Academic Uses of TRI Data</w:t>
      </w:r>
      <w:r w:rsidRPr="007D70B1">
        <w:t xml:space="preserve"> for more detailed descriptions of how these organizations use TRI data.</w:t>
      </w:r>
      <w:r>
        <w:rPr>
          <w:rStyle w:val="FootnoteReference"/>
          <w:vertAlign w:val="superscript"/>
        </w:rPr>
        <w:footnoteReference w:id="3"/>
      </w:r>
      <w:r w:rsidRPr="007D70B1">
        <w:t xml:space="preserve"> </w:t>
      </w:r>
      <w:r w:rsidRPr="007D70B1">
        <w:rPr>
          <w:spacing w:val="-2"/>
        </w:rPr>
        <w:t xml:space="preserve">EPA encourages TRI data users </w:t>
      </w:r>
      <w:r w:rsidRPr="007D70B1">
        <w:t>to provide feedback on ways to improve TRI products and services</w:t>
      </w:r>
      <w:r>
        <w:t>.</w:t>
      </w:r>
    </w:p>
    <w:p w:rsidR="00F64C46" w:rsidP="00F64C46" w14:paraId="3B14E410" w14:textId="77777777">
      <w:pPr>
        <w:spacing w:after="200" w:line="276" w:lineRule="auto"/>
        <w:rPr>
          <w:bCs/>
        </w:rPr>
      </w:pPr>
      <w:r w:rsidRPr="0021063E">
        <w:rPr>
          <w:bCs/>
        </w:rPr>
        <w:t xml:space="preserve">EPA believes that TRI data </w:t>
      </w:r>
      <w:r w:rsidRPr="00605999">
        <w:rPr>
          <w:bCs/>
        </w:rPr>
        <w:t>on the facility’s foreign parent company</w:t>
      </w:r>
      <w:r w:rsidRPr="0021063E">
        <w:rPr>
          <w:bCs/>
        </w:rPr>
        <w:t xml:space="preserve"> are of interest to the public because of the potential </w:t>
      </w:r>
      <w:r w:rsidRPr="00605999">
        <w:rPr>
          <w:bCs/>
        </w:rPr>
        <w:t>social benefits resulting from the availability of these data</w:t>
      </w:r>
      <w:r w:rsidRPr="0021063E">
        <w:rPr>
          <w:bCs/>
        </w:rPr>
        <w:t>. Making TRI information available to the public may provide incentives for facilities to reduce TRI chemical releases. For example, the public availability of release information aggregated at the parent company level may induce parent companies to encourage facilities to reduce releases when such changes would not be in the parent company’s interest if release information were not in the public domain.</w:t>
      </w:r>
      <w:r w:rsidRPr="0021063E">
        <w:t xml:space="preserve"> </w:t>
      </w:r>
      <w:r w:rsidRPr="0021063E">
        <w:rPr>
          <w:bCs/>
        </w:rPr>
        <w:t xml:space="preserve">Potential social benefits derived from voluntary follow-on activities include decreased costs of waste treatment and disposal, lower probability of accidental releases and lower clean-up costs in the event of such releases, reduced contamination of natural resources, improved air and water quality, and reduced risks to human health. Such social benefits are partially offset by the social costs to implement the changes, such as using flare gas recovery recycling and installing vapor recovery systems. The net social benefits of the </w:t>
      </w:r>
      <w:r w:rsidRPr="0021063E">
        <w:rPr>
          <w:bCs/>
        </w:rPr>
        <w:t xml:space="preserve">information provided by the </w:t>
      </w:r>
      <w:r>
        <w:rPr>
          <w:bCs/>
        </w:rPr>
        <w:t>final</w:t>
      </w:r>
      <w:r w:rsidRPr="0021063E">
        <w:rPr>
          <w:bCs/>
        </w:rPr>
        <w:t xml:space="preserve"> rule and the possible follow-on activities equal the difference between the total benefits and the total costs of the activities leading to reduced releases.</w:t>
      </w:r>
    </w:p>
    <w:p w:rsidR="00F64C46" w:rsidRPr="0061653A" w:rsidP="00DB07C0" w14:paraId="2B7E1EE4" w14:textId="5B3C79C2">
      <w:pPr>
        <w:pStyle w:val="Heading2"/>
      </w:pPr>
      <w:r w:rsidRPr="0061653A">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4C46" w:rsidRPr="00CD6626" w:rsidP="00F64C46" w14:paraId="1A2F5199" w14:textId="77777777">
      <w:pPr>
        <w:spacing w:after="200" w:line="276" w:lineRule="auto"/>
        <w:rPr>
          <w:color w:val="000000"/>
        </w:rPr>
      </w:pPr>
      <w:r w:rsidRPr="00CD6626">
        <w:rPr>
          <w:color w:val="000000"/>
        </w:rPr>
        <w:t xml:space="preserve">EPA requires the electronic submission of TRI </w:t>
      </w:r>
      <w:r>
        <w:rPr>
          <w:color w:val="000000"/>
        </w:rPr>
        <w:t>reporting forms</w:t>
      </w:r>
      <w:r w:rsidRPr="00CD6626">
        <w:rPr>
          <w:color w:val="000000"/>
        </w:rPr>
        <w:t xml:space="preserve"> through the Internet via EPA’s Central Data Exchange (CDX) by using the Toxics Release Inventory Made Easy Web (TRI-MEweb) reporting software</w:t>
      </w:r>
      <w:r>
        <w:rPr>
          <w:color w:val="000000"/>
        </w:rPr>
        <w:t xml:space="preserve"> (see 40 CFR 372.85(c))</w:t>
      </w:r>
      <w:r w:rsidRPr="00CD6626">
        <w:rPr>
          <w:color w:val="000000"/>
        </w:rPr>
        <w:t xml:space="preserve">. TRI-MEweb helps facilities prepare high-quality reports more easily than they could by using paper reporting forms due to </w:t>
      </w:r>
      <w:r w:rsidRPr="00CD6626">
        <w:rPr>
          <w:color w:val="000000"/>
        </w:rPr>
        <w:t>a number of</w:t>
      </w:r>
      <w:r w:rsidRPr="00CD6626">
        <w:rPr>
          <w:color w:val="000000"/>
        </w:rPr>
        <w:t xml:space="preserve"> technology advances, including built-in data quality checks.</w:t>
      </w:r>
      <w:r>
        <w:rPr>
          <w:color w:val="000000"/>
        </w:rPr>
        <w:t xml:space="preserve"> The final rule does not change electronic submission requirements.</w:t>
      </w:r>
    </w:p>
    <w:p w:rsidR="00F64C46" w:rsidP="00F64C46" w14:paraId="245A1447" w14:textId="77777777">
      <w:pPr>
        <w:pStyle w:val="NoSpacing"/>
        <w:spacing w:after="200" w:line="276" w:lineRule="auto"/>
      </w:pPr>
      <w:r>
        <w:t>Additionally, EPA has made reporting via TRI-MEweb more automated for facilities. Once facility-level information (including parent company data) is submitted in TRI-MEweb, the data remain in TRI-MEweb and are automatically populated for each chemical reporting form. For the parent company data element, EPA has incorporated a drop-down list of known TRI parent company names in the standardized format to assist facilities in identifying their parent company and the standardized format for reporting purposes.</w:t>
      </w:r>
    </w:p>
    <w:p w:rsidR="00F64C46" w:rsidRPr="0061653A" w:rsidP="00DB07C0" w14:paraId="2EC8BC63" w14:textId="77777777">
      <w:pPr>
        <w:pStyle w:val="Heading2"/>
      </w:pPr>
      <w:r w:rsidRPr="0061653A">
        <w:t>4. Describe efforts to identify duplication. Show specifically why any similar information already available cannot be used or modified for use for the purposes described in Item 2 above.</w:t>
      </w:r>
    </w:p>
    <w:p w:rsidR="00F64C46" w:rsidP="00F64C46" w14:paraId="43063AB9" w14:textId="326E1DFB">
      <w:pPr>
        <w:spacing w:after="200" w:line="276" w:lineRule="auto"/>
      </w:pPr>
      <w:r w:rsidRPr="00212BDD">
        <w:rPr>
          <w:spacing w:val="-2"/>
        </w:rPr>
        <w:t>S</w:t>
      </w:r>
      <w:r w:rsidRPr="00212BDD">
        <w:t xml:space="preserve">everal existing data sources contain </w:t>
      </w:r>
      <w:r w:rsidRPr="00605999">
        <w:t xml:space="preserve">parent company </w:t>
      </w:r>
      <w:r w:rsidRPr="00212BDD">
        <w:t>information.</w:t>
      </w:r>
      <w:r>
        <w:t xml:space="preserve"> The Chemical Data Reporting </w:t>
      </w:r>
      <w:r w:rsidR="0061653A">
        <w:t xml:space="preserve">(CDR) </w:t>
      </w:r>
      <w:r>
        <w:t>program finalized a rule in 2020 which included a codified definition of “parent company” nearly identical to the definition. While there is some overlap between the facilities who report under the</w:t>
      </w:r>
      <w:r w:rsidR="00DB07C0">
        <w:t xml:space="preserve"> CDR</w:t>
      </w:r>
      <w:r>
        <w:t xml:space="preserve"> and to TRI, EPA estimates over half of TRI facilities do not currently report to CDR.</w:t>
      </w:r>
    </w:p>
    <w:p w:rsidR="00F64C46" w:rsidP="00F64C46" w14:paraId="6107A592" w14:textId="00FD9B25">
      <w:pPr>
        <w:spacing w:after="200" w:line="276" w:lineRule="auto"/>
      </w:pPr>
      <w:r>
        <w:t xml:space="preserve">Additionally, </w:t>
      </w:r>
      <w:r w:rsidRPr="00605999">
        <w:t>the Greenhouse Gas Reporting Rule</w:t>
      </w:r>
      <w:r>
        <w:t xml:space="preserve"> </w:t>
      </w:r>
      <w:r w:rsidR="0061653A">
        <w:t>(GHGRP)</w:t>
      </w:r>
      <w:r w:rsidR="002C6669">
        <w:t xml:space="preserve"> </w:t>
      </w:r>
      <w:r>
        <w:t xml:space="preserve">requires facilities to report the legal name of the highest-level United States parent company of the facility or supplier and the percentage ownership interest for each listed parent company; </w:t>
      </w:r>
      <w:r>
        <w:t>however</w:t>
      </w:r>
      <w:r>
        <w:t xml:space="preserve"> differences exist in information collected and facility coverage.</w:t>
      </w:r>
      <w:r w:rsidRPr="00605999">
        <w:t xml:space="preserve"> </w:t>
      </w:r>
    </w:p>
    <w:p w:rsidR="00F64C46" w:rsidRPr="0061653A" w:rsidP="00DB07C0" w14:paraId="7D67AE1F" w14:textId="77777777">
      <w:pPr>
        <w:pStyle w:val="Heading2"/>
      </w:pPr>
      <w:r w:rsidRPr="0061653A">
        <w:t xml:space="preserve">5. If the collection of information impacts small businesses or other small entities, describe any methods used to minimize burden. </w:t>
      </w:r>
    </w:p>
    <w:p w:rsidR="00F64C46" w:rsidP="00F64C46" w14:paraId="643F0641" w14:textId="501A6A06">
      <w:pPr>
        <w:spacing w:after="200" w:line="276" w:lineRule="auto"/>
        <w:ind w:right="216"/>
      </w:pPr>
      <w:r w:rsidRPr="000C2B62">
        <w:t xml:space="preserve">Under EPCRA </w:t>
      </w:r>
      <w:r>
        <w:t xml:space="preserve">section </w:t>
      </w:r>
      <w:r w:rsidRPr="000C2B62">
        <w:t xml:space="preserve">313(b)(1)(A), </w:t>
      </w:r>
      <w:r w:rsidRPr="000C2B62">
        <w:rPr>
          <w:spacing w:val="-2"/>
        </w:rPr>
        <w:t>facilities with fewer than 10 full-time employees (or the equivalent) do not have</w:t>
      </w:r>
      <w:r w:rsidRPr="000C2B62">
        <w:t xml:space="preserve"> to report</w:t>
      </w:r>
      <w:r w:rsidR="00BA50D4">
        <w:t>, except for facilities who have been included in a determination under EPCRA section 313(b)(2) by the EPA Administrator</w:t>
      </w:r>
      <w:r w:rsidRPr="000C2B62">
        <w:t xml:space="preserve">. EPA has taken several steps to minimize the burden for covered small businesses. EPA added a range reporting option to the Final Rule (53 FR 4500, February 16, 1988) codifying the EPCRA </w:t>
      </w:r>
      <w:r>
        <w:t xml:space="preserve">section </w:t>
      </w:r>
      <w:r w:rsidRPr="000C2B62">
        <w:t xml:space="preserve">313 reporting requirements. Range reporting was the preferred option from the Regulatory Flexibility Act analysis to provide burden reduction for </w:t>
      </w:r>
      <w:r w:rsidRPr="000C2B62">
        <w:rPr>
          <w:spacing w:val="-2"/>
        </w:rPr>
        <w:t>small businesses. Range reporting provides an option for releases of less than 1,000 pounds to</w:t>
      </w:r>
      <w:r w:rsidRPr="000C2B62">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Forms R for Persistent Bioaccumulative Toxic (PBT) chemicals.</w:t>
      </w:r>
    </w:p>
    <w:p w:rsidR="00F64C46" w:rsidP="00F64C46" w14:paraId="60DFC513" w14:textId="77777777">
      <w:pPr>
        <w:pStyle w:val="NoSpacing"/>
        <w:spacing w:after="200" w:line="276" w:lineRule="auto"/>
      </w:pPr>
      <w:r w:rsidRPr="000C2B62">
        <w:t>In response to a petition from the Small Business Administration, EPA p</w:t>
      </w:r>
      <w:r w:rsidRPr="000C2B62">
        <w:rPr>
          <w:spacing w:val="-2"/>
        </w:rPr>
        <w:t>romulgated the alternate threshold (59 FR 61488, November 30, 1994), manifested in Form A reporting, as discussed in Section 1(d).</w:t>
      </w:r>
      <w:r w:rsidRPr="000C2B62">
        <w:t xml:space="preserve"> Although any reporting facility meeting the criteria may use the alternate threshold, this alternate threshold may be particularly advantageous to small entities.</w:t>
      </w:r>
    </w:p>
    <w:p w:rsidR="00F64C46" w:rsidRPr="0061653A" w:rsidP="00DB07C0" w14:paraId="03986577" w14:textId="77777777">
      <w:pPr>
        <w:pStyle w:val="Heading2"/>
      </w:pPr>
      <w:r w:rsidRPr="0061653A">
        <w:t xml:space="preserve">6. Describe the consequence to Federal program or policy activities if the collection is not conducted or is conducted less frequently, as well as any technical or legal obstacles to reducing burden. </w:t>
      </w:r>
    </w:p>
    <w:p w:rsidR="00F64C46" w:rsidP="00F64C46" w14:paraId="2AED25DB" w14:textId="77777777">
      <w:pPr>
        <w:pStyle w:val="NoSpacing"/>
        <w:spacing w:after="200" w:line="276" w:lineRule="auto"/>
      </w:pPr>
      <w:r w:rsidRPr="007D70B1">
        <w:t>Since TRI represents the best available multi-media database for tracking toxic chemical releases in the United States, a change in the reporting frequency to less than once a year could have a significant impact on the availability of timely toxic chemical data</w:t>
      </w:r>
      <w:r>
        <w:t>, including parent company information,</w:t>
      </w:r>
      <w:r w:rsidRPr="007D70B1">
        <w:t xml:space="preserve"> and affect data users, particularly at th</w:t>
      </w:r>
      <w:r>
        <w:t>e community level.</w:t>
      </w:r>
      <w:r w:rsidRPr="007D70B1">
        <w:t xml:space="preserve"> Additionally, public access to the most current toxic chemical release data and other waste management information would become more difficult.</w:t>
      </w:r>
    </w:p>
    <w:p w:rsidR="00F64C46" w:rsidRPr="0061653A" w:rsidP="00DB07C0" w14:paraId="66D1F98E" w14:textId="77777777">
      <w:pPr>
        <w:pStyle w:val="Heading2"/>
      </w:pPr>
      <w:r w:rsidRPr="0061653A">
        <w:t xml:space="preserve">7. Explain any special circumstances that would cause an information collection to be conducted in a manner: </w:t>
      </w:r>
    </w:p>
    <w:p w:rsidR="00F64C46" w:rsidRPr="00A17C38" w:rsidP="00DB07C0" w14:paraId="205FA2DE" w14:textId="28AE88C9">
      <w:pPr>
        <w:pStyle w:val="Heading2"/>
        <w:numPr>
          <w:ilvl w:val="0"/>
          <w:numId w:val="13"/>
        </w:numPr>
      </w:pPr>
      <w:r w:rsidRPr="00A17C38">
        <w:t xml:space="preserve">requiring respondents to report information to the agency more often than quarterly; </w:t>
      </w:r>
    </w:p>
    <w:p w:rsidR="00F64C46" w:rsidRPr="00A17C38" w:rsidP="00DB07C0" w14:paraId="0FF7CFCE" w14:textId="526590A1">
      <w:pPr>
        <w:pStyle w:val="Heading2"/>
        <w:numPr>
          <w:ilvl w:val="0"/>
          <w:numId w:val="13"/>
        </w:numPr>
      </w:pPr>
      <w:r w:rsidRPr="00A17C38">
        <w:t xml:space="preserve">requiring respondents to prepare a written response to a collection of information in fewer than 30 days after receipt of it; </w:t>
      </w:r>
    </w:p>
    <w:p w:rsidR="00F64C46" w:rsidRPr="00A17C38" w:rsidP="00DB07C0" w14:paraId="30EBCB4F" w14:textId="0A729B32">
      <w:pPr>
        <w:pStyle w:val="Heading2"/>
        <w:numPr>
          <w:ilvl w:val="0"/>
          <w:numId w:val="13"/>
        </w:numPr>
      </w:pPr>
      <w:r w:rsidRPr="00A17C38">
        <w:t xml:space="preserve">requiring respondents to submit more than an original and two copies of any document; requiring respondents to retain records, other than health, medical, government contract, grant-in-aid, or tax records, for more than three years; </w:t>
      </w:r>
    </w:p>
    <w:p w:rsidR="00F64C46" w:rsidRPr="00A17C38" w:rsidP="00DB07C0" w14:paraId="60E35563" w14:textId="77777777">
      <w:pPr>
        <w:pStyle w:val="Heading2"/>
        <w:numPr>
          <w:ilvl w:val="0"/>
          <w:numId w:val="13"/>
        </w:numPr>
      </w:pPr>
      <w:r w:rsidRPr="00A17C38">
        <w:t xml:space="preserve">in connection with a statistical survey, that is not designed to produce valid and reliable results that can be generalized to the universe of study; </w:t>
      </w:r>
    </w:p>
    <w:p w:rsidR="00F64C46" w:rsidRPr="00A17C38" w:rsidP="00DB07C0" w14:paraId="0C4F9FF1" w14:textId="77777777">
      <w:pPr>
        <w:pStyle w:val="Heading2"/>
        <w:numPr>
          <w:ilvl w:val="0"/>
          <w:numId w:val="13"/>
        </w:numPr>
      </w:pPr>
      <w:r w:rsidRPr="00A17C38">
        <w:t xml:space="preserve">requiring the use of a statistical data classification that has not been reviewed and approved by OMB; </w:t>
      </w:r>
    </w:p>
    <w:p w:rsidR="00F64C46" w:rsidRPr="00A17C38" w:rsidP="00DB07C0" w14:paraId="65B7A662" w14:textId="77777777">
      <w:pPr>
        <w:pStyle w:val="Heading2"/>
        <w:numPr>
          <w:ilvl w:val="0"/>
          <w:numId w:val="13"/>
        </w:numPr>
      </w:pPr>
      <w:r w:rsidRPr="00A17C38">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64C46" w:rsidRPr="00A17C38" w:rsidP="00DB07C0" w14:paraId="5176E287" w14:textId="77777777">
      <w:pPr>
        <w:pStyle w:val="Heading2"/>
        <w:numPr>
          <w:ilvl w:val="0"/>
          <w:numId w:val="13"/>
        </w:numPr>
      </w:pPr>
      <w:r w:rsidRPr="00A17C38">
        <w:t xml:space="preserve">requiring respondents to submit proprietary trade secrets, or other confidential information unless the agency can demonstrate that it has instituted procedures to protect the information's confidentiality to the extent permitted by law. </w:t>
      </w:r>
    </w:p>
    <w:p w:rsidR="00F64C46" w:rsidP="00F64C46" w14:paraId="3C36596A" w14:textId="20625966">
      <w:pPr>
        <w:pStyle w:val="NoSpacing"/>
      </w:pPr>
      <w:r>
        <w:t xml:space="preserve">Not applicable. </w:t>
      </w:r>
    </w:p>
    <w:p w:rsidR="00FC305B" w:rsidRPr="00D94FB8" w:rsidP="00F64C46" w14:paraId="780C6323" w14:textId="77777777">
      <w:pPr>
        <w:pStyle w:val="NoSpacing"/>
      </w:pPr>
    </w:p>
    <w:p w:rsidR="00F64C46" w:rsidRPr="0061653A" w:rsidP="00DB07C0" w14:paraId="0C1116D2" w14:textId="77777777">
      <w:pPr>
        <w:pStyle w:val="Heading2"/>
      </w:pPr>
      <w:r w:rsidRPr="0061653A">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64C46" w:rsidRPr="0061653A" w:rsidP="00DB07C0" w14:paraId="098512C6" w14:textId="77777777">
      <w:pPr>
        <w:pStyle w:val="Heading2"/>
      </w:pPr>
      <w:r w:rsidRPr="0061653A">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64C46" w:rsidRPr="0061653A" w:rsidP="00DB07C0" w14:paraId="6BBBB14B" w14:textId="77777777">
      <w:pPr>
        <w:pStyle w:val="Heading2"/>
      </w:pPr>
      <w:r w:rsidRPr="0061653A">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4C46" w:rsidP="00F64C46" w14:paraId="3FBDD54A" w14:textId="156636EE">
      <w:pPr>
        <w:pStyle w:val="NoSpacing"/>
        <w:rPr>
          <w:b/>
        </w:rPr>
      </w:pPr>
      <w:r w:rsidRPr="002F0628">
        <w:rPr>
          <w:rFonts w:cs="Times New Roman"/>
        </w:rPr>
        <w:t>There was a public comment period for this proposed rule</w:t>
      </w:r>
      <w:r w:rsidR="0061653A">
        <w:rPr>
          <w:rFonts w:cs="Times New Roman"/>
        </w:rPr>
        <w:t xml:space="preserve"> </w:t>
      </w:r>
      <w:r w:rsidRPr="00530B14" w:rsidR="00B71B43">
        <w:rPr>
          <w:iCs/>
          <w:szCs w:val="24"/>
        </w:rPr>
        <w:t>(86 FR 53577) (FRL-6004-01-OCSPP</w:t>
      </w:r>
      <w:r w:rsidR="0061653A">
        <w:rPr>
          <w:rFonts w:cs="Times New Roman"/>
        </w:rPr>
        <w:t>)</w:t>
      </w:r>
      <w:r w:rsidR="00B71B43">
        <w:rPr>
          <w:rFonts w:cs="Times New Roman"/>
        </w:rPr>
        <w:t xml:space="preserve"> September 28, 2021</w:t>
      </w:r>
      <w:r w:rsidRPr="002F0628">
        <w:rPr>
          <w:rFonts w:cs="Times New Roman"/>
        </w:rPr>
        <w:t xml:space="preserve">. EPA has addressed the comments received during the </w:t>
      </w:r>
      <w:r w:rsidRPr="002F0628">
        <w:rPr>
          <w:rFonts w:cs="Times New Roman"/>
        </w:rPr>
        <w:t xml:space="preserve">comment period in the final rule. Copies of the proposed rule, ICR, comments </w:t>
      </w:r>
      <w:r w:rsidRPr="002F0628">
        <w:rPr>
          <w:rFonts w:cs="Arial"/>
          <w:szCs w:val="24"/>
        </w:rPr>
        <w:t xml:space="preserve">received, and EPA’s Response to Comments </w:t>
      </w:r>
      <w:r w:rsidR="00FC305B">
        <w:rPr>
          <w:rFonts w:cs="Arial"/>
          <w:szCs w:val="24"/>
        </w:rPr>
        <w:t xml:space="preserve">(in the final rule’s preamble) </w:t>
      </w:r>
      <w:r w:rsidRPr="002F0628">
        <w:rPr>
          <w:rFonts w:cs="Arial"/>
          <w:szCs w:val="24"/>
        </w:rPr>
        <w:t>are available in the docket.</w:t>
      </w:r>
    </w:p>
    <w:p w:rsidR="00F64C46" w:rsidP="00F64C46" w14:paraId="70AC3FF6" w14:textId="77777777">
      <w:pPr>
        <w:pStyle w:val="NoSpacing"/>
        <w:rPr>
          <w:b/>
        </w:rPr>
      </w:pPr>
    </w:p>
    <w:p w:rsidR="00F64C46" w:rsidRPr="002F0628" w:rsidP="00F64C46" w14:paraId="1B1EB688" w14:textId="77777777">
      <w:pPr>
        <w:pStyle w:val="NoSpacing"/>
        <w:rPr>
          <w:b/>
        </w:rPr>
      </w:pPr>
      <w:r w:rsidRPr="00FF794A">
        <w:rPr>
          <w:rFonts w:cs="Arial"/>
          <w:szCs w:val="24"/>
        </w:rPr>
        <w:t xml:space="preserve">Under 5 CFR 1320.8(d)(3), agencies are not required to consult with potential ICR respondents and information users about specific aspects of ICRs before submitting an ICR to OMB for review and approval. </w:t>
      </w:r>
    </w:p>
    <w:p w:rsidR="00F64C46" w:rsidP="00F64C46" w14:paraId="044D441F" w14:textId="77777777">
      <w:pPr>
        <w:rPr>
          <w:szCs w:val="24"/>
        </w:rPr>
      </w:pPr>
    </w:p>
    <w:p w:rsidR="00F64C46" w:rsidRPr="0061653A" w:rsidP="00DB07C0" w14:paraId="233AFC08" w14:textId="77777777">
      <w:pPr>
        <w:pStyle w:val="Heading2"/>
      </w:pPr>
      <w:r w:rsidRPr="0061653A">
        <w:t xml:space="preserve">9. Explain any decision to provide any payment or gift to respondents, other than remuneration of contractors or grantees. </w:t>
      </w:r>
    </w:p>
    <w:p w:rsidR="00F64C46" w:rsidP="00F64C46" w14:paraId="3A45D8A7" w14:textId="77777777">
      <w:pPr>
        <w:pStyle w:val="NoSpacing"/>
      </w:pPr>
      <w:r w:rsidRPr="00103C34">
        <w:t>This collection does provide any payment or gift to respondents.</w:t>
      </w:r>
    </w:p>
    <w:p w:rsidR="00F64C46" w:rsidP="00F64C46" w14:paraId="24954614" w14:textId="77777777">
      <w:pPr>
        <w:pStyle w:val="NoSpacing"/>
      </w:pPr>
    </w:p>
    <w:p w:rsidR="00F64C46" w:rsidRPr="0061653A" w:rsidP="00DB07C0" w14:paraId="0DAE24B7" w14:textId="77777777">
      <w:pPr>
        <w:pStyle w:val="Heading2"/>
      </w:pPr>
      <w:r w:rsidRPr="0061653A">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64C46" w:rsidP="00F64C46" w14:paraId="1A0E7443" w14:textId="77777777">
      <w:pPr>
        <w:pStyle w:val="NoSpacing"/>
        <w:spacing w:after="200" w:line="276" w:lineRule="auto"/>
      </w:pPr>
      <w:r w:rsidRPr="00A83B52">
        <w:t xml:space="preserve">Although reporting facilities must identify the chemical for which they submit reports, in situations where respondents must submit trade secret information, they can claim the chemical identity as a trade secret. In such circumstances, facilities provide a generic name as part of the information made available to the public. EPA securely stores and maintains the </w:t>
      </w:r>
      <w:r w:rsidRPr="00A83B52">
        <w:t>true identity</w:t>
      </w:r>
      <w:r w:rsidRPr="00A83B52">
        <w:t xml:space="preserve"> of the chemical (see also Section 3(f) below).</w:t>
      </w:r>
      <w:r>
        <w:t xml:space="preserve"> However, all other data submitted to EPA on the TRI reporting forms, including parent company identity, cannot be claimed as trade secret and are made public.</w:t>
      </w:r>
    </w:p>
    <w:p w:rsidR="00F64C46" w:rsidP="00F64C46" w14:paraId="378EEA35" w14:textId="77777777">
      <w:pPr>
        <w:spacing w:after="200" w:line="276" w:lineRule="auto"/>
        <w:ind w:right="216"/>
      </w:pPr>
      <w:r>
        <w:t xml:space="preserve">While EPCRA section </w:t>
      </w:r>
      <w:r w:rsidRPr="007D70B1">
        <w:t xml:space="preserve">313 </w:t>
      </w:r>
      <w:r>
        <w:t>is generally published under community right-to-know principles, r</w:t>
      </w:r>
      <w:r w:rsidRPr="007D70B1">
        <w:t xml:space="preserve">espondents may designate the specific chemical identity of a substance as a trade secret according to EPCRA </w:t>
      </w:r>
      <w:r>
        <w:t xml:space="preserve">section </w:t>
      </w:r>
      <w:r w:rsidRPr="007D70B1">
        <w:t>322. Procedures for submission and review of trade secret claims under EPCRA</w:t>
      </w:r>
      <w:r>
        <w:t xml:space="preserve"> section </w:t>
      </w:r>
      <w:r w:rsidRPr="007D70B1">
        <w:t>313 are set forth in 40 CFR 350. 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r>
        <w:t xml:space="preserve"> Parent company names cannot be considered trade secret under </w:t>
      </w:r>
      <w:r w:rsidRPr="007D70B1">
        <w:t xml:space="preserve">EPCRA </w:t>
      </w:r>
      <w:r>
        <w:t xml:space="preserve">section </w:t>
      </w:r>
      <w:r w:rsidRPr="007D70B1">
        <w:t>313</w:t>
      </w:r>
      <w:r>
        <w:t>.</w:t>
      </w:r>
    </w:p>
    <w:p w:rsidR="00F64C46" w:rsidRPr="0061653A" w:rsidP="00DB07C0" w14:paraId="00BBD21E" w14:textId="77777777">
      <w:pPr>
        <w:pStyle w:val="Heading2"/>
      </w:pPr>
      <w:r w:rsidRPr="0061653A">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C46" w:rsidP="00F64C46" w14:paraId="69090364" w14:textId="77777777">
      <w:pPr>
        <w:pStyle w:val="NoSpacing"/>
      </w:pPr>
      <w:r w:rsidRPr="00F11E17">
        <w:t>This collection does not request any sensitive information.</w:t>
      </w:r>
    </w:p>
    <w:p w:rsidR="00DB07C0" w:rsidRPr="00DB07C0" w:rsidP="00DB07C0" w14:paraId="656382BF" w14:textId="77777777"/>
    <w:p w:rsidR="00F64C46" w:rsidRPr="0028369E" w:rsidP="00DB07C0" w14:paraId="75FB9139" w14:textId="2613EC78">
      <w:pPr>
        <w:pStyle w:val="Heading2"/>
      </w:pPr>
      <w:r w:rsidRPr="0028369E">
        <w:t xml:space="preserve">12. Provide estimates of the hour burden of the collection of information. The statement should: </w:t>
      </w:r>
    </w:p>
    <w:p w:rsidR="00F64C46" w:rsidRPr="0028369E" w:rsidP="00DB07C0" w14:paraId="4EFF403A" w14:textId="77777777">
      <w:pPr>
        <w:pStyle w:val="Heading2"/>
        <w:numPr>
          <w:ilvl w:val="0"/>
          <w:numId w:val="12"/>
        </w:numPr>
      </w:pPr>
      <w:r w:rsidRPr="0028369E">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64C46" w:rsidRPr="0028369E" w:rsidP="00DB07C0" w14:paraId="314FC91D" w14:textId="77777777">
      <w:pPr>
        <w:pStyle w:val="Heading2"/>
        <w:numPr>
          <w:ilvl w:val="0"/>
          <w:numId w:val="12"/>
        </w:numPr>
      </w:pPr>
      <w:r w:rsidRPr="0028369E">
        <w:t xml:space="preserve">If this request for approval covers more than one form, provide separate hour burden estimates for each form and aggregate the hour burdens. </w:t>
      </w:r>
    </w:p>
    <w:p w:rsidR="00F64C46" w:rsidRPr="0028369E" w:rsidP="00DB07C0" w14:paraId="5CE3216B" w14:textId="77777777">
      <w:pPr>
        <w:pStyle w:val="Heading2"/>
        <w:numPr>
          <w:ilvl w:val="0"/>
          <w:numId w:val="12"/>
        </w:numPr>
      </w:pPr>
      <w:r w:rsidRPr="0028369E">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F64C46" w:rsidP="00F64C46" w14:paraId="7E25B548" w14:textId="1011DDB5">
      <w:pPr>
        <w:pStyle w:val="ListParagraph"/>
        <w:spacing w:after="200" w:line="276" w:lineRule="auto"/>
        <w:ind w:left="0"/>
        <w:rPr>
          <w:rFonts w:eastAsiaTheme="minorHAnsi"/>
          <w:lang w:bidi="ar-SA"/>
        </w:rPr>
      </w:pPr>
      <w:r w:rsidRPr="000C2B62">
        <w:t xml:space="preserve">The </w:t>
      </w:r>
      <w:r w:rsidRPr="000C2B62">
        <w:rPr>
          <w:i/>
          <w:noProof/>
        </w:rPr>
        <w:t xml:space="preserve">Economic Analysis of the Proposed Parent Company Definition for TRI Reporting </w:t>
      </w:r>
      <w:r>
        <w:rPr>
          <w:noProof/>
        </w:rPr>
        <w:t>(U.S. EPA, 2021</w:t>
      </w:r>
      <w:r w:rsidRPr="000C2B62">
        <w:rPr>
          <w:noProof/>
        </w:rPr>
        <w:t>)</w:t>
      </w:r>
      <w:r w:rsidR="00FC305B">
        <w:rPr>
          <w:noProof/>
        </w:rPr>
        <w:t xml:space="preserve"> and the </w:t>
      </w:r>
      <w:r w:rsidR="00FC305B">
        <w:rPr>
          <w:i/>
          <w:iCs/>
          <w:noProof/>
        </w:rPr>
        <w:t>Economic Analysis of the Parent Company Definition for TRI Reporting</w:t>
      </w:r>
      <w:r w:rsidR="00FC305B">
        <w:rPr>
          <w:noProof/>
        </w:rPr>
        <w:t xml:space="preserve"> (U.S. EPA, 2022)</w:t>
      </w:r>
      <w:r w:rsidRPr="000C2B62">
        <w:rPr>
          <w:noProof/>
        </w:rPr>
        <w:t xml:space="preserve"> provide the detailed methodology for estimating the number of respondents.</w:t>
      </w:r>
      <w:r>
        <w:rPr>
          <w:noProof/>
        </w:rPr>
        <w:t xml:space="preserve"> </w:t>
      </w:r>
      <w:r>
        <w:rPr>
          <w:rFonts w:eastAsiaTheme="minorHAnsi"/>
          <w:lang w:bidi="ar-SA"/>
        </w:rPr>
        <w:t xml:space="preserve">This final rule </w:t>
      </w:r>
      <w:r w:rsidR="00FC305B">
        <w:rPr>
          <w:rFonts w:eastAsiaTheme="minorHAnsi"/>
          <w:lang w:bidi="ar-SA"/>
        </w:rPr>
        <w:t>does</w:t>
      </w:r>
      <w:r>
        <w:rPr>
          <w:rFonts w:eastAsiaTheme="minorHAnsi"/>
          <w:lang w:bidi="ar-SA"/>
        </w:rPr>
        <w:t xml:space="preserve"> not alter the universe of TRI-reporting facilities. Thus, the respondents under this final rule are those which are currently required to report </w:t>
      </w:r>
      <w:r w:rsidRPr="00FC305B">
        <w:rPr>
          <w:rFonts w:eastAsiaTheme="minorHAnsi" w:cs="Arial"/>
          <w:lang w:bidi="ar-SA"/>
        </w:rPr>
        <w:t>under EPCRA section 313.</w:t>
      </w:r>
      <w:r>
        <w:rPr>
          <w:rFonts w:eastAsiaTheme="minorHAnsi"/>
          <w:lang w:bidi="ar-SA"/>
        </w:rPr>
        <w:t xml:space="preserve"> </w:t>
      </w:r>
      <w:r w:rsidRPr="009876D6">
        <w:rPr>
          <w:rFonts w:eastAsiaTheme="minorHAnsi"/>
          <w:lang w:bidi="ar-SA"/>
        </w:rPr>
        <w:t>Reporting year (RY) 20</w:t>
      </w:r>
      <w:r w:rsidR="00FC305B">
        <w:rPr>
          <w:rFonts w:eastAsiaTheme="minorHAnsi"/>
          <w:lang w:bidi="ar-SA"/>
        </w:rPr>
        <w:t>20</w:t>
      </w:r>
      <w:r w:rsidRPr="009876D6">
        <w:rPr>
          <w:rFonts w:eastAsiaTheme="minorHAnsi"/>
          <w:lang w:bidi="ar-SA"/>
        </w:rPr>
        <w:t xml:space="preserve"> data</w:t>
      </w:r>
      <w:r>
        <w:rPr>
          <w:rFonts w:eastAsiaTheme="minorHAnsi"/>
          <w:lang w:bidi="ar-SA"/>
        </w:rPr>
        <w:t xml:space="preserve"> </w:t>
      </w:r>
      <w:r w:rsidRPr="009876D6">
        <w:rPr>
          <w:rFonts w:eastAsiaTheme="minorHAnsi"/>
          <w:lang w:bidi="ar-SA"/>
        </w:rPr>
        <w:t>are used to characterize the potentially affected facilities and forms. As such, an estimated 21,</w:t>
      </w:r>
      <w:r w:rsidR="00FC305B">
        <w:rPr>
          <w:rFonts w:eastAsiaTheme="minorHAnsi"/>
          <w:lang w:bidi="ar-SA"/>
        </w:rPr>
        <w:t>154</w:t>
      </w:r>
      <w:r w:rsidRPr="009876D6">
        <w:rPr>
          <w:rFonts w:eastAsiaTheme="minorHAnsi"/>
          <w:lang w:bidi="ar-SA"/>
        </w:rPr>
        <w:t xml:space="preserve"> facilities and </w:t>
      </w:r>
      <w:r w:rsidR="00FC305B">
        <w:rPr>
          <w:rFonts w:eastAsiaTheme="minorHAnsi"/>
          <w:lang w:bidi="ar-SA"/>
        </w:rPr>
        <w:t>76,815</w:t>
      </w:r>
      <w:r w:rsidRPr="009876D6">
        <w:rPr>
          <w:rFonts w:eastAsiaTheme="minorHAnsi"/>
          <w:lang w:bidi="ar-SA"/>
        </w:rPr>
        <w:t xml:space="preserve"> forms are potentially affected by the </w:t>
      </w:r>
      <w:r>
        <w:rPr>
          <w:rFonts w:eastAsiaTheme="minorHAnsi"/>
          <w:lang w:bidi="ar-SA"/>
        </w:rPr>
        <w:t>final</w:t>
      </w:r>
      <w:r w:rsidRPr="009876D6">
        <w:rPr>
          <w:rFonts w:eastAsiaTheme="minorHAnsi"/>
          <w:lang w:bidi="ar-SA"/>
        </w:rPr>
        <w:t xml:space="preserve"> rule.</w:t>
      </w:r>
      <w:r>
        <w:rPr>
          <w:rFonts w:eastAsiaTheme="minorHAnsi"/>
          <w:lang w:bidi="ar-SA"/>
        </w:rPr>
        <w:t xml:space="preserve"> Respondents under this final rule would report to EPA annually.</w:t>
      </w:r>
    </w:p>
    <w:p w:rsidR="00F64C46" w:rsidP="00F64C46" w14:paraId="07A88511" w14:textId="77777777">
      <w:pPr>
        <w:pStyle w:val="NoSpacing"/>
        <w:spacing w:after="200" w:line="276" w:lineRule="auto"/>
        <w:rPr>
          <w:rFonts w:eastAsiaTheme="minorEastAsia"/>
          <w:lang w:bidi="en-US"/>
        </w:rPr>
      </w:pPr>
      <w:r w:rsidRPr="00B378DD">
        <w:rPr>
          <w:rFonts w:eastAsiaTheme="minorEastAsia"/>
          <w:lang w:bidi="en-US"/>
        </w:rPr>
        <w:t xml:space="preserve">For the </w:t>
      </w:r>
      <w:r>
        <w:rPr>
          <w:rFonts w:eastAsiaTheme="minorEastAsia"/>
          <w:lang w:bidi="en-US"/>
        </w:rPr>
        <w:t>final</w:t>
      </w:r>
      <w:r w:rsidRPr="00B378DD">
        <w:rPr>
          <w:rFonts w:eastAsiaTheme="minorEastAsia"/>
          <w:lang w:bidi="en-US"/>
        </w:rPr>
        <w:t xml:space="preserve"> rule, the incremental burden and cost potentially incurred by industry are estimated using comparisons to the Ratio-Based Burden Methodology (RBBM), which is a simplified formulation of </w:t>
      </w:r>
      <w:r>
        <w:rPr>
          <w:rFonts w:eastAsiaTheme="minorEastAsia"/>
          <w:lang w:bidi="en-US"/>
        </w:rPr>
        <w:t>a</w:t>
      </w:r>
      <w:r w:rsidRPr="00B378DD">
        <w:rPr>
          <w:rFonts w:eastAsiaTheme="minorEastAsia"/>
          <w:lang w:bidi="en-US"/>
        </w:rPr>
        <w:t xml:space="preserve"> previously employed burden methodology (U.S. Environmental Protection Agency, 2011). </w:t>
      </w:r>
    </w:p>
    <w:p w:rsidR="00F64C46" w:rsidRPr="007D70B1" w:rsidP="00F64C46" w14:paraId="6705A508" w14:textId="77777777">
      <w:pPr>
        <w:pStyle w:val="BodyText"/>
        <w:spacing w:after="200" w:line="276" w:lineRule="auto"/>
      </w:pPr>
      <w:r w:rsidRPr="007D70B1">
        <w:t xml:space="preserve">Reporting activities can be divided into two distinct groups: Form Activities, consisting of rule familiarization, reporter compliance determination, form completion, and recordkeeping and submission; and Non-Form Activities, consisting of non-reporter compliance determination. Specifically, the following activities may be undertaken under the </w:t>
      </w:r>
      <w:r>
        <w:t>final</w:t>
      </w:r>
      <w:r w:rsidRPr="007D70B1">
        <w:t xml:space="preserve"> rule</w:t>
      </w:r>
      <w:r>
        <w:t>:</w:t>
      </w:r>
    </w:p>
    <w:p w:rsidR="00F64C46" w:rsidP="00F64C46" w14:paraId="5E990529" w14:textId="77777777">
      <w:pPr>
        <w:pStyle w:val="BodyText"/>
        <w:spacing w:after="200" w:line="276" w:lineRule="auto"/>
        <w:rPr>
          <w:b/>
        </w:rPr>
      </w:pPr>
      <w:r w:rsidRPr="007D70B1">
        <w:rPr>
          <w:b/>
        </w:rPr>
        <w:t>Form Activities</w:t>
      </w:r>
    </w:p>
    <w:p w:rsidR="00F64C46" w:rsidP="00F64C46" w14:paraId="2F67ED42" w14:textId="77777777">
      <w:pPr>
        <w:pStyle w:val="BodyText"/>
        <w:spacing w:after="200" w:line="276" w:lineRule="auto"/>
        <w:rPr>
          <w:b/>
        </w:rPr>
      </w:pPr>
      <w:r w:rsidRPr="007D70B1">
        <w:rPr>
          <w:u w:val="single"/>
        </w:rPr>
        <w:t>Rule Familiarization</w:t>
      </w:r>
      <w:r w:rsidRPr="007D70B1">
        <w:t xml:space="preserve">: Staff at a facility </w:t>
      </w:r>
      <w:r>
        <w:t>must read the reporting package and become familiar with the revised language and reporting requirements</w:t>
      </w:r>
      <w:r w:rsidRPr="007D70B1">
        <w:t xml:space="preserve">. This activity includes the time needed to review instructions as well as the time needed to train personnel to respond to an information </w:t>
      </w:r>
      <w:r w:rsidRPr="007D70B1">
        <w:t>collection request.</w:t>
      </w:r>
      <w:r>
        <w:t xml:space="preserve"> </w:t>
      </w:r>
      <w:r w:rsidRPr="00941F4D">
        <w:t>As part of doing so, facility staff will be able to ascertain whether the facility is reporting parent company information accurately per the codified definition.</w:t>
      </w:r>
    </w:p>
    <w:p w:rsidR="00F64C46" w:rsidP="00F64C46" w14:paraId="4105BE04" w14:textId="77777777">
      <w:pPr>
        <w:pStyle w:val="BodyText"/>
        <w:spacing w:after="200" w:line="276" w:lineRule="auto"/>
        <w:rPr>
          <w:b/>
        </w:rPr>
      </w:pPr>
      <w:r w:rsidRPr="007D70B1">
        <w:rPr>
          <w:u w:val="single"/>
        </w:rPr>
        <w:t>Reporter Compliance Determination</w:t>
      </w:r>
      <w:r w:rsidRPr="007D70B1">
        <w:t xml:space="preserve">: Staff at reporting facilities </w:t>
      </w:r>
      <w:r>
        <w:t>must determine whether the facility is reporting parent company information accurately per the codified definition</w:t>
      </w:r>
      <w:r w:rsidRPr="007D70B1">
        <w:t xml:space="preserve">. </w:t>
      </w:r>
      <w:r w:rsidRPr="0025728E">
        <w:t xml:space="preserve">Under the </w:t>
      </w:r>
      <w:r>
        <w:t>final</w:t>
      </w:r>
      <w:r w:rsidRPr="0025728E">
        <w:t xml:space="preserve"> rule, there is no incremental burden expected for Compliance Determination since facilities already know how they are currently reporting parent company information and whether that complies with the parent company information identified during Rule Familiarization.</w:t>
      </w:r>
    </w:p>
    <w:p w:rsidR="00F64C46" w:rsidP="00F64C46" w14:paraId="14576C68" w14:textId="70BBB762">
      <w:pPr>
        <w:pStyle w:val="BodyText"/>
        <w:spacing w:after="200" w:line="276" w:lineRule="auto"/>
        <w:rPr>
          <w:b/>
        </w:rPr>
      </w:pPr>
      <w:r>
        <w:rPr>
          <w:u w:val="single"/>
        </w:rPr>
        <w:t>Form Completion</w:t>
      </w:r>
      <w:r>
        <w:t>: Staff at reporting facilities must gather data to provide the information required on Reporting Form R or Reporting Form A. This activity includes the time required to search data sources for parent company information and complete and review the information</w:t>
      </w:r>
      <w:r w:rsidR="00FF6684">
        <w:t xml:space="preserve"> (Attachments 3 and 5).</w:t>
      </w:r>
    </w:p>
    <w:p w:rsidR="00F64C46" w:rsidRPr="004C34D8" w:rsidP="00F64C46" w14:paraId="78E69A29" w14:textId="77777777">
      <w:pPr>
        <w:pStyle w:val="BodyText"/>
        <w:spacing w:after="200" w:line="276" w:lineRule="auto"/>
        <w:rPr>
          <w:b/>
        </w:rPr>
      </w:pPr>
      <w:r w:rsidRPr="007D70B1">
        <w:rPr>
          <w:u w:val="single"/>
        </w:rPr>
        <w:t>Recordkeeping and Submission</w:t>
      </w:r>
      <w:r w:rsidRPr="007D70B1">
        <w:t>: Staff at reporting facilities must maintain recordkeeping systems and submit the report to EPA and the state in which the facility is located. This activity includes the time required to transmit or otherwise disclose the information.</w:t>
      </w:r>
    </w:p>
    <w:p w:rsidR="00F64C46" w:rsidP="00F64C46" w14:paraId="41B50291" w14:textId="77777777">
      <w:pPr>
        <w:pStyle w:val="BodyText"/>
        <w:spacing w:after="200" w:line="276" w:lineRule="auto"/>
      </w:pPr>
      <w:r w:rsidRPr="007D70B1">
        <w:rPr>
          <w:b/>
        </w:rPr>
        <w:t>Non-Form Activities</w:t>
      </w:r>
    </w:p>
    <w:p w:rsidR="00F64C46" w:rsidP="00F64C46" w14:paraId="58304F43" w14:textId="77777777">
      <w:pPr>
        <w:pStyle w:val="BodyText"/>
        <w:spacing w:after="200" w:line="276" w:lineRule="auto"/>
      </w:pPr>
      <w:r w:rsidRPr="007D70B1">
        <w:rPr>
          <w:u w:val="single"/>
        </w:rPr>
        <w:t>Non-Reporter Compliance Determination</w:t>
      </w:r>
      <w:r w:rsidRPr="007D70B1">
        <w:t xml:space="preserve">: In any given reporting year, a group of eligible facilities will complete compliance determination but will not file a Form R or a Form A. The activity is the same as is presented above under Form Activities. </w:t>
      </w:r>
      <w:r>
        <w:t>Given that the final rule will not change any reporting requirements that might change the universe of eligible facilities, no non-reporter compliance determination is expected.</w:t>
      </w:r>
    </w:p>
    <w:p w:rsidR="00F64C46" w:rsidP="00F64C46" w14:paraId="505DAE55" w14:textId="77777777">
      <w:pPr>
        <w:pStyle w:val="NoSpacing"/>
        <w:spacing w:after="200" w:line="276" w:lineRule="auto"/>
        <w:rPr>
          <w:rFonts w:eastAsiaTheme="minorEastAsia"/>
          <w:lang w:bidi="en-US"/>
        </w:rPr>
      </w:pPr>
      <w:r w:rsidRPr="00B378DD">
        <w:rPr>
          <w:rFonts w:eastAsiaTheme="minorEastAsia"/>
          <w:lang w:bidi="en-US"/>
        </w:rPr>
        <w:t xml:space="preserve">In this </w:t>
      </w:r>
      <w:r>
        <w:rPr>
          <w:rFonts w:eastAsiaTheme="minorEastAsia"/>
          <w:lang w:bidi="en-US"/>
        </w:rPr>
        <w:t xml:space="preserve">final </w:t>
      </w:r>
      <w:r w:rsidRPr="00B378DD">
        <w:rPr>
          <w:rFonts w:eastAsiaTheme="minorEastAsia"/>
          <w:lang w:bidi="en-US"/>
        </w:rPr>
        <w:t>rule, all TRI reporters are expected to incur rule familiarization costs associated with reading the new requirements as well as reporter compliance determination.</w:t>
      </w:r>
    </w:p>
    <w:p w:rsidR="00F64C46" w:rsidP="00F64C46" w14:paraId="34F5C96C" w14:textId="74926E22">
      <w:pPr>
        <w:pStyle w:val="NoSpacing"/>
        <w:spacing w:after="200" w:line="276" w:lineRule="auto"/>
        <w:rPr>
          <w:rFonts w:eastAsiaTheme="minorEastAsia"/>
          <w:lang w:bidi="en-US"/>
        </w:rPr>
      </w:pPr>
      <w:r>
        <w:rPr>
          <w:rFonts w:eastAsiaTheme="minorEastAsia"/>
          <w:lang w:bidi="en-US"/>
        </w:rPr>
        <w:t>In the proposed rule, EPA presented</w:t>
      </w:r>
      <w:r>
        <w:rPr>
          <w:rFonts w:eastAsiaTheme="minorEastAsia"/>
          <w:lang w:bidi="en-US"/>
        </w:rPr>
        <w:t xml:space="preserve"> three regulatory options to codify the definition of parent company:</w:t>
      </w:r>
    </w:p>
    <w:p w:rsidR="00F64C46" w:rsidP="00F64C46" w14:paraId="543D0634" w14:textId="77777777">
      <w:pPr>
        <w:pStyle w:val="NoSpacing"/>
        <w:numPr>
          <w:ilvl w:val="0"/>
          <w:numId w:val="4"/>
        </w:numPr>
        <w:spacing w:after="200" w:line="276" w:lineRule="auto"/>
        <w:rPr>
          <w:rFonts w:eastAsiaTheme="minorEastAsia"/>
          <w:lang w:bidi="en-US"/>
        </w:rPr>
      </w:pPr>
      <w:r>
        <w:rPr>
          <w:rFonts w:eastAsiaTheme="minorEastAsia"/>
          <w:lang w:bidi="en-US"/>
        </w:rPr>
        <w:t>Option 1: codifies the definition of parent company; facilities must report appropriate highest-level U.S.-based parent</w:t>
      </w:r>
    </w:p>
    <w:p w:rsidR="00F64C46" w:rsidP="00F64C46" w14:paraId="4423EE27" w14:textId="77777777">
      <w:pPr>
        <w:pStyle w:val="NoSpacing"/>
        <w:numPr>
          <w:ilvl w:val="0"/>
          <w:numId w:val="4"/>
        </w:numPr>
        <w:spacing w:after="200" w:line="276" w:lineRule="auto"/>
        <w:rPr>
          <w:rFonts w:eastAsiaTheme="minorEastAsia"/>
          <w:lang w:bidi="en-US"/>
        </w:rPr>
      </w:pPr>
      <w:r>
        <w:rPr>
          <w:rFonts w:eastAsiaTheme="minorEastAsia"/>
          <w:lang w:bidi="en-US"/>
        </w:rPr>
        <w:t xml:space="preserve">Option 2: codifies the definition of parent company, </w:t>
      </w:r>
      <w:r>
        <w:rPr>
          <w:rFonts w:eastAsiaTheme="minorEastAsia"/>
          <w:lang w:bidi="en-US"/>
        </w:rPr>
        <w:t>and also</w:t>
      </w:r>
      <w:r>
        <w:rPr>
          <w:rFonts w:eastAsiaTheme="minorEastAsia"/>
          <w:lang w:bidi="en-US"/>
        </w:rPr>
        <w:t xml:space="preserve"> directs facilities to report a foreign parent instead of the highest-level U.S. parent when appropriate (i.e., no new data elements added)</w:t>
      </w:r>
    </w:p>
    <w:p w:rsidR="00F64C46" w:rsidP="00F64C46" w14:paraId="31743246" w14:textId="30981141">
      <w:pPr>
        <w:pStyle w:val="NoSpacing"/>
        <w:numPr>
          <w:ilvl w:val="0"/>
          <w:numId w:val="4"/>
        </w:numPr>
        <w:spacing w:after="200" w:line="276" w:lineRule="auto"/>
        <w:rPr>
          <w:rFonts w:eastAsiaTheme="minorEastAsia"/>
          <w:lang w:bidi="en-US"/>
        </w:rPr>
      </w:pPr>
      <w:r>
        <w:rPr>
          <w:rFonts w:eastAsiaTheme="minorEastAsia"/>
          <w:lang w:bidi="en-US"/>
        </w:rPr>
        <w:t>Option 3: codifies the definition of parent company, and add</w:t>
      </w:r>
      <w:r w:rsidR="00FC305B">
        <w:rPr>
          <w:rFonts w:eastAsiaTheme="minorEastAsia"/>
          <w:lang w:bidi="en-US"/>
        </w:rPr>
        <w:t>s</w:t>
      </w:r>
      <w:r>
        <w:rPr>
          <w:rFonts w:eastAsiaTheme="minorEastAsia"/>
          <w:lang w:bidi="en-US"/>
        </w:rPr>
        <w:t xml:space="preserve"> two new data elements to the TRI reporting forms to report the highest-level foreign parent and its Dun &amp; Bradstreet number (i.e., facilities would report both the highest-level U.S.-based parent and the highest-level foreign parent, when applicable).</w:t>
      </w:r>
    </w:p>
    <w:p w:rsidR="00F64C46" w:rsidP="00F64C46" w14:paraId="51B974AE" w14:textId="0B834FB4">
      <w:pPr>
        <w:pStyle w:val="NoSpacing"/>
        <w:spacing w:after="200" w:line="276" w:lineRule="auto"/>
        <w:rPr>
          <w:rFonts w:eastAsiaTheme="minorEastAsia"/>
          <w:lang w:bidi="en-US"/>
        </w:rPr>
      </w:pPr>
      <w:r>
        <w:rPr>
          <w:rFonts w:eastAsiaTheme="minorEastAsia"/>
          <w:lang w:bidi="en-US"/>
        </w:rPr>
        <w:t>EPA is finalizing Option 3</w:t>
      </w:r>
      <w:r w:rsidR="006F1AB7">
        <w:rPr>
          <w:rFonts w:eastAsiaTheme="minorEastAsia"/>
          <w:lang w:bidi="en-US"/>
        </w:rPr>
        <w:t xml:space="preserve">, with the requirement to report a highest-level foreign parent company and its D&amp;B number </w:t>
      </w:r>
      <w:r w:rsidR="001A7ADA">
        <w:rPr>
          <w:rFonts w:eastAsiaTheme="minorEastAsia"/>
          <w:lang w:bidi="en-US"/>
        </w:rPr>
        <w:t>effective with the 2023 Reporting Year (for forms due by July 1, 2024)</w:t>
      </w:r>
      <w:r>
        <w:rPr>
          <w:rFonts w:eastAsiaTheme="minorEastAsia"/>
          <w:lang w:bidi="en-US"/>
        </w:rPr>
        <w:t>. Therefore, this ICR provides estimates of the costs of two new data elements to the TRI reporting forms: the highest-level foreign parent company and its D&amp;B number (if applicable).</w:t>
      </w:r>
    </w:p>
    <w:p w:rsidR="00F64C46" w:rsidP="00F64C46" w14:paraId="52BE1B77" w14:textId="77777777">
      <w:pPr>
        <w:pStyle w:val="NoSpacing"/>
        <w:spacing w:after="200" w:line="276" w:lineRule="auto"/>
        <w:rPr>
          <w:rFonts w:eastAsiaTheme="minorEastAsia"/>
          <w:lang w:bidi="en-US"/>
        </w:rPr>
      </w:pPr>
      <w:r>
        <w:rPr>
          <w:rFonts w:eastAsiaTheme="minorEastAsia"/>
          <w:lang w:bidi="en-US"/>
        </w:rPr>
        <w:t>Under</w:t>
      </w:r>
      <w:r w:rsidRPr="00133167">
        <w:rPr>
          <w:rFonts w:eastAsiaTheme="minorEastAsia"/>
          <w:lang w:bidi="en-US"/>
        </w:rPr>
        <w:t xml:space="preserve"> </w:t>
      </w:r>
      <w:r>
        <w:rPr>
          <w:rFonts w:eastAsiaTheme="minorEastAsia"/>
          <w:lang w:bidi="en-US"/>
        </w:rPr>
        <w:t>Option 3</w:t>
      </w:r>
      <w:r w:rsidRPr="00133167">
        <w:rPr>
          <w:rFonts w:eastAsiaTheme="minorEastAsia"/>
          <w:lang w:bidi="en-US"/>
        </w:rPr>
        <w:t>, management and technical time are required in the first year</w:t>
      </w:r>
      <w:r>
        <w:rPr>
          <w:rFonts w:eastAsiaTheme="minorEastAsia"/>
          <w:lang w:bidi="en-US"/>
        </w:rPr>
        <w:t xml:space="preserve"> for rule familiarization</w:t>
      </w:r>
      <w:r w:rsidRPr="00133167">
        <w:rPr>
          <w:rFonts w:eastAsiaTheme="minorEastAsia"/>
          <w:lang w:bidi="en-US"/>
        </w:rPr>
        <w:t xml:space="preserve">. </w:t>
      </w:r>
      <w:r>
        <w:rPr>
          <w:rFonts w:eastAsiaTheme="minorEastAsia"/>
          <w:lang w:bidi="en-US"/>
        </w:rPr>
        <w:t>The rule familiarization burden and assumptions include f</w:t>
      </w:r>
      <w:r w:rsidRPr="00133167">
        <w:rPr>
          <w:rFonts w:eastAsiaTheme="minorEastAsia"/>
          <w:lang w:bidi="en-US"/>
        </w:rPr>
        <w:t>ive minutes management time</w:t>
      </w:r>
      <w:r>
        <w:rPr>
          <w:rFonts w:eastAsiaTheme="minorEastAsia"/>
          <w:lang w:bidi="en-US"/>
        </w:rPr>
        <w:t xml:space="preserve"> and</w:t>
      </w:r>
      <w:r w:rsidRPr="00133167">
        <w:rPr>
          <w:rFonts w:eastAsiaTheme="minorEastAsia"/>
          <w:lang w:bidi="en-US"/>
        </w:rPr>
        <w:t xml:space="preserve"> 25 minutes technical time for the first year. This assumption includes the burden </w:t>
      </w:r>
      <w:r>
        <w:rPr>
          <w:rFonts w:eastAsiaTheme="minorEastAsia"/>
          <w:lang w:bidi="en-US"/>
        </w:rPr>
        <w:t>needed to read the rule</w:t>
      </w:r>
      <w:r w:rsidRPr="00133167">
        <w:rPr>
          <w:rFonts w:eastAsiaTheme="minorEastAsia"/>
          <w:lang w:bidi="en-US"/>
        </w:rPr>
        <w:t xml:space="preserve">, plus an additional five minutes of technical time to read instructions related to the new U.S.-based parent company and additional foreign parent company data elements in Part I, Section 5. </w:t>
      </w:r>
    </w:p>
    <w:p w:rsidR="00F64C46" w:rsidP="00F64C46" w14:paraId="62307F6B" w14:textId="77777777">
      <w:pPr>
        <w:pStyle w:val="NoSpacing"/>
        <w:spacing w:after="200" w:line="276" w:lineRule="auto"/>
        <w:rPr>
          <w:rFonts w:eastAsiaTheme="minorEastAsia"/>
          <w:lang w:bidi="en-US"/>
        </w:rPr>
      </w:pPr>
      <w:r w:rsidRPr="00133167">
        <w:rPr>
          <w:rFonts w:eastAsiaTheme="minorEastAsia"/>
          <w:lang w:bidi="en-US"/>
        </w:rPr>
        <w:t>Facility staff are assumed to fully comprehend the rule and associated requirements by the subsequent year (0 minutes in steady state).</w:t>
      </w:r>
      <w:r>
        <w:rPr>
          <w:rFonts w:eastAsiaTheme="minorEastAsia"/>
          <w:lang w:bidi="en-US"/>
        </w:rPr>
        <w:t xml:space="preserve"> Because the parent company is repeated for all forms a facility submits in TRI-MEweb, the</w:t>
      </w:r>
      <w:r w:rsidRPr="00133167">
        <w:rPr>
          <w:rFonts w:eastAsiaTheme="minorEastAsia"/>
          <w:lang w:bidi="en-US"/>
        </w:rPr>
        <w:t xml:space="preserve"> burden estimates are accrued at the facility level.</w:t>
      </w:r>
    </w:p>
    <w:p w:rsidR="00F64C46" w:rsidP="00F64C46" w14:paraId="799507E1" w14:textId="164918F9">
      <w:pPr>
        <w:pStyle w:val="NoSpacing"/>
        <w:spacing w:after="200" w:line="276" w:lineRule="auto"/>
        <w:rPr>
          <w:rFonts w:eastAsiaTheme="minorEastAsia"/>
          <w:lang w:bidi="en-US"/>
        </w:rPr>
      </w:pPr>
      <w:r>
        <w:rPr>
          <w:rFonts w:eastAsiaTheme="minorEastAsia"/>
          <w:lang w:bidi="en-US"/>
        </w:rPr>
        <w:t xml:space="preserve">EPA also estimated burden for form completion activities. </w:t>
      </w:r>
      <w:r>
        <w:t>Option 3 adds two data elements to Part I, Section 5 for the foreign parent entity. Incremental reporting burden is calculated by addition of the same reporting burden in the RBBM as Part I, Sections 5.1 and 5.2</w:t>
      </w:r>
      <w:r w:rsidRPr="00B378DD">
        <w:rPr>
          <w:rFonts w:eastAsiaTheme="minorEastAsia"/>
          <w:lang w:bidi="en-US"/>
        </w:rPr>
        <w:t xml:space="preserve">. </w:t>
      </w:r>
      <w:r w:rsidRPr="00CD3CB8">
        <w:rPr>
          <w:rFonts w:eastAsiaTheme="minorEastAsia"/>
          <w:lang w:bidi="en-US"/>
        </w:rPr>
        <w:t>The first</w:t>
      </w:r>
      <w:r>
        <w:rPr>
          <w:rFonts w:eastAsiaTheme="minorEastAsia"/>
          <w:lang w:bidi="en-US"/>
        </w:rPr>
        <w:t>-</w:t>
      </w:r>
      <w:r w:rsidRPr="00CD3CB8">
        <w:rPr>
          <w:rFonts w:eastAsiaTheme="minorEastAsia"/>
          <w:lang w:bidi="en-US"/>
        </w:rPr>
        <w:t>year burden is calculated using the RBBM as 0.16 minutes of management time per form and 20 minutes technical time per firm. Steady state burden only requires management time for reviewing purposes (0.16 minutes per form) since the information will already be recorded in TRI-MEweb.</w:t>
      </w:r>
      <w:r>
        <w:rPr>
          <w:rFonts w:eastAsiaTheme="minorEastAsia"/>
          <w:lang w:bidi="en-US"/>
        </w:rPr>
        <w:t xml:space="preserve"> </w:t>
      </w:r>
    </w:p>
    <w:p w:rsidR="00F64C46" w:rsidRPr="00133167" w:rsidP="00F64C46" w14:paraId="655C4509" w14:textId="77777777">
      <w:pPr>
        <w:pStyle w:val="NoSpacing"/>
        <w:spacing w:after="200" w:line="276" w:lineRule="auto"/>
        <w:rPr>
          <w:rFonts w:eastAsiaTheme="minorEastAsia"/>
          <w:lang w:bidi="en-US"/>
        </w:rPr>
      </w:pPr>
      <w:r w:rsidRPr="00B378DD">
        <w:rPr>
          <w:rFonts w:eastAsiaTheme="minorEastAsia"/>
          <w:lang w:bidi="en-US"/>
        </w:rPr>
        <w:t>The incremental costs potentially incurred by industry are estimated using the weighted average wage rate (WAWR), representing the average loaded cost for a mix of Managerial, Technical, and Clerical labor per hour of TRI reporter burden. The WAWR is calculated using data from Bureau of Labor Statistics’ Employer Costs for Employee Compensation (2021), updated quarterly, and is equal to $66.84 (in 2020 dollars).</w:t>
      </w:r>
    </w:p>
    <w:p w:rsidR="00F64C46" w:rsidP="00F64C46" w14:paraId="3F367DE8" w14:textId="7E10033C">
      <w:pPr>
        <w:pStyle w:val="NoSpacing"/>
        <w:spacing w:after="200" w:line="276" w:lineRule="auto"/>
      </w:pPr>
      <w:r w:rsidRPr="004773BB">
        <w:t xml:space="preserve">Tables </w:t>
      </w:r>
      <w:r>
        <w:t>1</w:t>
      </w:r>
      <w:r w:rsidRPr="004773BB">
        <w:t xml:space="preserve"> and </w:t>
      </w:r>
      <w:r>
        <w:t>2</w:t>
      </w:r>
      <w:r w:rsidRPr="004773BB">
        <w:t xml:space="preserve"> present the total incremental industry burden and cost, respectively, of the </w:t>
      </w:r>
      <w:r>
        <w:t xml:space="preserve">final </w:t>
      </w:r>
      <w:r w:rsidRPr="004773BB">
        <w:t>rule in the first year of the rule and in the steady state</w:t>
      </w:r>
      <w:r>
        <w:t>, for Option 3</w:t>
      </w:r>
      <w:r w:rsidRPr="004773BB">
        <w:t>.</w:t>
      </w:r>
    </w:p>
    <w:p w:rsidR="00F64C46" w:rsidRPr="006C7D8B" w:rsidP="00F64C46" w14:paraId="288901E1" w14:textId="77777777">
      <w:pPr>
        <w:pStyle w:val="Caption"/>
        <w:spacing w:after="200" w:line="276" w:lineRule="auto"/>
        <w:rPr>
          <w:rFonts w:cs="Arial"/>
          <w:color w:val="auto"/>
          <w:sz w:val="20"/>
          <w:szCs w:val="20"/>
        </w:rPr>
      </w:pPr>
      <w:bookmarkStart w:id="6" w:name="_Ref435000500"/>
      <w:r w:rsidRPr="006C7D8B">
        <w:rPr>
          <w:rFonts w:cs="Arial"/>
          <w:color w:val="auto"/>
          <w:sz w:val="20"/>
          <w:szCs w:val="20"/>
        </w:rPr>
        <w:t xml:space="preserve">Table </w:t>
      </w:r>
      <w:bookmarkEnd w:id="6"/>
      <w:r w:rsidRPr="006C7D8B">
        <w:rPr>
          <w:rFonts w:cs="Arial"/>
          <w:color w:val="auto"/>
          <w:sz w:val="20"/>
          <w:szCs w:val="20"/>
        </w:rPr>
        <w:t xml:space="preserve">1 </w:t>
      </w:r>
      <w:r w:rsidRPr="006C7D8B">
        <w:rPr>
          <w:rFonts w:cs="Arial"/>
          <w:color w:val="auto"/>
          <w:sz w:val="20"/>
          <w:szCs w:val="20"/>
        </w:rPr>
        <w:tab/>
        <w:t xml:space="preserve">First Year and Steady State Incremental Industry Burden </w:t>
      </w:r>
    </w:p>
    <w:tbl>
      <w:tblPr>
        <w:tblW w:w="3594" w:type="pct"/>
        <w:tblLayout w:type="fixed"/>
        <w:tblLook w:val="04A0"/>
      </w:tblPr>
      <w:tblGrid>
        <w:gridCol w:w="1044"/>
        <w:gridCol w:w="2669"/>
        <w:gridCol w:w="3525"/>
      </w:tblGrid>
      <w:tr w14:paraId="6575B42D" w14:textId="77777777" w:rsidTr="00AF5E9B">
        <w:tblPrEx>
          <w:tblW w:w="3594" w:type="pct"/>
          <w:tblLayout w:type="fixed"/>
          <w:tblLook w:val="04A0"/>
        </w:tblPrEx>
        <w:trPr>
          <w:trHeight w:val="300"/>
        </w:trPr>
        <w:tc>
          <w:tcPr>
            <w:tcW w:w="721" w:type="pct"/>
            <w:tcBorders>
              <w:top w:val="single" w:sz="4" w:space="0" w:color="auto"/>
              <w:left w:val="single" w:sz="4" w:space="0" w:color="auto"/>
              <w:bottom w:val="single" w:sz="4" w:space="0" w:color="auto"/>
              <w:right w:val="single" w:sz="4" w:space="0" w:color="auto"/>
            </w:tcBorders>
            <w:shd w:val="clear" w:color="000000" w:fill="D0D3D4"/>
          </w:tcPr>
          <w:p w:rsidR="00F64C46" w:rsidRPr="00CE4C80" w:rsidP="00AF5E9B" w14:paraId="2B19CAFD" w14:textId="77777777">
            <w:pPr>
              <w:spacing w:after="200" w:line="276" w:lineRule="auto"/>
              <w:jc w:val="center"/>
              <w:rPr>
                <w:rFonts w:cs="Arial"/>
                <w:b/>
                <w:color w:val="000000"/>
                <w:sz w:val="20"/>
                <w:szCs w:val="20"/>
              </w:rPr>
            </w:pPr>
          </w:p>
        </w:tc>
        <w:tc>
          <w:tcPr>
            <w:tcW w:w="1844" w:type="pct"/>
            <w:tcBorders>
              <w:top w:val="single" w:sz="4" w:space="0" w:color="auto"/>
              <w:left w:val="single" w:sz="4" w:space="0" w:color="auto"/>
              <w:bottom w:val="single" w:sz="4" w:space="0" w:color="auto"/>
              <w:right w:val="single" w:sz="4" w:space="0" w:color="auto"/>
            </w:tcBorders>
            <w:shd w:val="clear" w:color="000000" w:fill="D0D3D4"/>
            <w:noWrap/>
            <w:vAlign w:val="bottom"/>
            <w:hideMark/>
          </w:tcPr>
          <w:p w:rsidR="00F64C46" w:rsidRPr="00CE4C80" w:rsidP="00AF5E9B" w14:paraId="178D12DF" w14:textId="77777777">
            <w:pPr>
              <w:spacing w:after="200" w:line="276" w:lineRule="auto"/>
              <w:jc w:val="center"/>
              <w:rPr>
                <w:rFonts w:cs="Arial"/>
                <w:b/>
                <w:color w:val="000000"/>
                <w:sz w:val="20"/>
                <w:szCs w:val="20"/>
              </w:rPr>
            </w:pPr>
            <w:r w:rsidRPr="00CE4C80">
              <w:rPr>
                <w:rFonts w:cs="Arial"/>
                <w:b/>
                <w:color w:val="000000"/>
                <w:sz w:val="20"/>
                <w:szCs w:val="20"/>
              </w:rPr>
              <w:t>Activity</w:t>
            </w:r>
          </w:p>
        </w:tc>
        <w:tc>
          <w:tcPr>
            <w:tcW w:w="2436" w:type="pct"/>
            <w:tcBorders>
              <w:top w:val="single" w:sz="4" w:space="0" w:color="auto"/>
              <w:left w:val="nil"/>
              <w:bottom w:val="single" w:sz="4" w:space="0" w:color="auto"/>
              <w:right w:val="single" w:sz="4" w:space="0" w:color="auto"/>
            </w:tcBorders>
            <w:shd w:val="clear" w:color="000000" w:fill="D0D3D4"/>
            <w:noWrap/>
            <w:vAlign w:val="bottom"/>
            <w:hideMark/>
          </w:tcPr>
          <w:p w:rsidR="00F64C46" w:rsidRPr="00CE4C80" w:rsidP="00AF5E9B" w14:paraId="1A19A904" w14:textId="2726F87E">
            <w:pPr>
              <w:spacing w:after="200" w:line="276" w:lineRule="auto"/>
              <w:jc w:val="center"/>
              <w:rPr>
                <w:rFonts w:cs="Arial"/>
                <w:b/>
                <w:color w:val="000000"/>
                <w:sz w:val="20"/>
                <w:szCs w:val="20"/>
              </w:rPr>
            </w:pPr>
            <w:r>
              <w:rPr>
                <w:rFonts w:cs="Arial"/>
                <w:b/>
                <w:color w:val="000000"/>
                <w:sz w:val="20"/>
                <w:szCs w:val="20"/>
              </w:rPr>
              <w:t xml:space="preserve">Final Rule: </w:t>
            </w:r>
            <w:r w:rsidRPr="00CE4C80">
              <w:rPr>
                <w:rFonts w:cs="Arial"/>
                <w:b/>
                <w:color w:val="000000"/>
                <w:sz w:val="20"/>
                <w:szCs w:val="20"/>
              </w:rPr>
              <w:t>Option 3 (hours)</w:t>
            </w:r>
          </w:p>
        </w:tc>
      </w:tr>
      <w:tr w14:paraId="1B9D70F2" w14:textId="77777777" w:rsidTr="00AF5E9B">
        <w:tblPrEx>
          <w:tblW w:w="3594" w:type="pct"/>
          <w:tblLayout w:type="fixed"/>
          <w:tblLook w:val="04A0"/>
        </w:tblPrEx>
        <w:trPr>
          <w:trHeight w:val="300"/>
        </w:trPr>
        <w:tc>
          <w:tcPr>
            <w:tcW w:w="721" w:type="pct"/>
            <w:vMerge w:val="restart"/>
            <w:tcBorders>
              <w:top w:val="nil"/>
              <w:left w:val="single" w:sz="4" w:space="0" w:color="auto"/>
              <w:right w:val="single" w:sz="4" w:space="0" w:color="auto"/>
            </w:tcBorders>
            <w:textDirection w:val="btLr"/>
          </w:tcPr>
          <w:p w:rsidR="00F64C46" w:rsidRPr="00C47072" w:rsidP="00AF5E9B" w14:paraId="6F8E0540" w14:textId="77777777">
            <w:pPr>
              <w:spacing w:after="200" w:line="276" w:lineRule="auto"/>
              <w:ind w:left="113" w:right="113"/>
              <w:rPr>
                <w:rFonts w:cs="Arial"/>
                <w:b/>
                <w:bCs/>
                <w:color w:val="000000"/>
                <w:sz w:val="20"/>
                <w:szCs w:val="20"/>
              </w:rPr>
            </w:pPr>
            <w:r w:rsidRPr="00C47072">
              <w:rPr>
                <w:rFonts w:cs="Arial"/>
                <w:b/>
                <w:bCs/>
                <w:color w:val="000000"/>
                <w:sz w:val="20"/>
                <w:szCs w:val="20"/>
              </w:rPr>
              <w:t>First Year</w:t>
            </w: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366C5F76" w14:textId="77777777">
            <w:pPr>
              <w:spacing w:after="200" w:line="276" w:lineRule="auto"/>
              <w:rPr>
                <w:rFonts w:cs="Arial"/>
                <w:color w:val="000000"/>
                <w:sz w:val="20"/>
                <w:szCs w:val="20"/>
              </w:rPr>
            </w:pPr>
            <w:r w:rsidRPr="00CE4C80">
              <w:rPr>
                <w:rFonts w:cs="Arial"/>
                <w:color w:val="000000"/>
                <w:sz w:val="20"/>
                <w:szCs w:val="20"/>
              </w:rPr>
              <w:t>Rule Familiarization</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76970B67" w14:textId="52AB8CA2">
            <w:pPr>
              <w:spacing w:after="200" w:line="276" w:lineRule="auto"/>
              <w:jc w:val="center"/>
              <w:rPr>
                <w:rFonts w:cs="Arial"/>
                <w:color w:val="000000"/>
                <w:sz w:val="20"/>
                <w:szCs w:val="20"/>
              </w:rPr>
            </w:pPr>
            <w:r w:rsidRPr="00CE4C80">
              <w:rPr>
                <w:rFonts w:cs="Arial"/>
                <w:color w:val="000000"/>
                <w:sz w:val="20"/>
                <w:szCs w:val="20"/>
              </w:rPr>
              <w:t>10,</w:t>
            </w:r>
            <w:r w:rsidR="00FC305B">
              <w:rPr>
                <w:rFonts w:cs="Arial"/>
                <w:color w:val="000000"/>
                <w:sz w:val="20"/>
                <w:szCs w:val="20"/>
              </w:rPr>
              <w:t>577</w:t>
            </w:r>
          </w:p>
        </w:tc>
      </w:tr>
      <w:tr w14:paraId="62D0635A" w14:textId="77777777" w:rsidTr="00AF5E9B">
        <w:tblPrEx>
          <w:tblW w:w="3594" w:type="pct"/>
          <w:tblLayout w:type="fixed"/>
          <w:tblLook w:val="04A0"/>
        </w:tblPrEx>
        <w:trPr>
          <w:trHeight w:val="300"/>
        </w:trPr>
        <w:tc>
          <w:tcPr>
            <w:tcW w:w="721" w:type="pct"/>
            <w:vMerge/>
            <w:tcBorders>
              <w:left w:val="single" w:sz="4" w:space="0" w:color="auto"/>
              <w:right w:val="single" w:sz="4" w:space="0" w:color="auto"/>
            </w:tcBorders>
          </w:tcPr>
          <w:p w:rsidR="00F64C46" w:rsidRPr="00CE4C80" w:rsidP="00AF5E9B" w14:paraId="0202B794" w14:textId="77777777">
            <w:pPr>
              <w:spacing w:after="200" w:line="276" w:lineRule="auto"/>
              <w:rPr>
                <w:rFonts w:cs="Arial"/>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3D495D11" w14:textId="77777777">
            <w:pPr>
              <w:spacing w:after="200" w:line="276" w:lineRule="auto"/>
              <w:rPr>
                <w:rFonts w:cs="Arial"/>
                <w:color w:val="000000"/>
                <w:sz w:val="20"/>
                <w:szCs w:val="20"/>
              </w:rPr>
            </w:pPr>
            <w:r w:rsidRPr="00CE4C80">
              <w:rPr>
                <w:rFonts w:cs="Arial"/>
                <w:color w:val="000000"/>
                <w:sz w:val="20"/>
                <w:szCs w:val="20"/>
              </w:rPr>
              <w:t>Form Completion</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428426C6" w14:textId="7E79E149">
            <w:pPr>
              <w:spacing w:after="200" w:line="276" w:lineRule="auto"/>
              <w:jc w:val="center"/>
              <w:rPr>
                <w:rFonts w:cs="Arial"/>
                <w:color w:val="000000"/>
                <w:sz w:val="20"/>
                <w:szCs w:val="20"/>
              </w:rPr>
            </w:pPr>
            <w:r w:rsidRPr="00CE4C80">
              <w:rPr>
                <w:rFonts w:cs="Arial"/>
                <w:color w:val="000000"/>
                <w:sz w:val="20"/>
                <w:szCs w:val="20"/>
              </w:rPr>
              <w:t>7,</w:t>
            </w:r>
            <w:r w:rsidR="00FC305B">
              <w:rPr>
                <w:rFonts w:cs="Arial"/>
                <w:color w:val="000000"/>
                <w:sz w:val="20"/>
                <w:szCs w:val="20"/>
              </w:rPr>
              <w:t>256</w:t>
            </w:r>
          </w:p>
        </w:tc>
      </w:tr>
      <w:tr w14:paraId="53EED227" w14:textId="77777777" w:rsidTr="00AF5E9B">
        <w:tblPrEx>
          <w:tblW w:w="3594" w:type="pct"/>
          <w:tblLayout w:type="fixed"/>
          <w:tblLook w:val="04A0"/>
        </w:tblPrEx>
        <w:trPr>
          <w:trHeight w:val="300"/>
        </w:trPr>
        <w:tc>
          <w:tcPr>
            <w:tcW w:w="721" w:type="pct"/>
            <w:vMerge/>
            <w:tcBorders>
              <w:left w:val="single" w:sz="4" w:space="0" w:color="auto"/>
              <w:bottom w:val="single" w:sz="4" w:space="0" w:color="auto"/>
              <w:right w:val="single" w:sz="4" w:space="0" w:color="auto"/>
            </w:tcBorders>
          </w:tcPr>
          <w:p w:rsidR="00F64C46" w:rsidRPr="00CE4C80" w:rsidP="00AF5E9B" w14:paraId="6F806356" w14:textId="77777777">
            <w:pPr>
              <w:spacing w:after="200" w:line="276" w:lineRule="auto"/>
              <w:rPr>
                <w:rFonts w:cs="Arial"/>
                <w:b/>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2B6FCCCF" w14:textId="77777777">
            <w:pPr>
              <w:spacing w:after="200" w:line="276" w:lineRule="auto"/>
              <w:rPr>
                <w:rFonts w:cs="Arial"/>
                <w:b/>
                <w:color w:val="000000"/>
                <w:sz w:val="20"/>
                <w:szCs w:val="20"/>
              </w:rPr>
            </w:pPr>
            <w:r w:rsidRPr="00CE4C80">
              <w:rPr>
                <w:rFonts w:cs="Arial"/>
                <w:b/>
                <w:color w:val="000000"/>
                <w:sz w:val="20"/>
                <w:szCs w:val="20"/>
              </w:rPr>
              <w:t>Total</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7B10F0B2" w14:textId="3A1C70B5">
            <w:pPr>
              <w:spacing w:after="200" w:line="276" w:lineRule="auto"/>
              <w:jc w:val="center"/>
              <w:rPr>
                <w:rFonts w:cs="Arial"/>
                <w:b/>
                <w:color w:val="000000"/>
                <w:sz w:val="20"/>
                <w:szCs w:val="20"/>
              </w:rPr>
            </w:pPr>
            <w:r>
              <w:rPr>
                <w:rFonts w:cs="Arial"/>
                <w:b/>
                <w:color w:val="000000"/>
                <w:sz w:val="20"/>
                <w:szCs w:val="20"/>
              </w:rPr>
              <w:t>17,833</w:t>
            </w:r>
          </w:p>
        </w:tc>
      </w:tr>
      <w:tr w14:paraId="681BA42C" w14:textId="77777777" w:rsidTr="00AF5E9B">
        <w:tblPrEx>
          <w:tblW w:w="3594" w:type="pct"/>
          <w:tblLayout w:type="fixed"/>
          <w:tblLook w:val="04A0"/>
        </w:tblPrEx>
        <w:trPr>
          <w:trHeight w:val="300"/>
        </w:trPr>
        <w:tc>
          <w:tcPr>
            <w:tcW w:w="721" w:type="pct"/>
            <w:vMerge w:val="restart"/>
            <w:tcBorders>
              <w:top w:val="nil"/>
              <w:left w:val="single" w:sz="4" w:space="0" w:color="auto"/>
              <w:right w:val="single" w:sz="4" w:space="0" w:color="auto"/>
            </w:tcBorders>
            <w:textDirection w:val="btLr"/>
          </w:tcPr>
          <w:p w:rsidR="00F64C46" w:rsidRPr="00C47072" w:rsidP="00AF5E9B" w14:paraId="0C00F4D1" w14:textId="77777777">
            <w:pPr>
              <w:spacing w:after="200" w:line="276" w:lineRule="auto"/>
              <w:ind w:left="113" w:right="113"/>
              <w:rPr>
                <w:rFonts w:cs="Arial"/>
                <w:b/>
                <w:bCs/>
                <w:color w:val="000000"/>
                <w:sz w:val="20"/>
                <w:szCs w:val="20"/>
              </w:rPr>
            </w:pPr>
            <w:r w:rsidRPr="00C47072">
              <w:rPr>
                <w:rFonts w:cs="Arial"/>
                <w:b/>
                <w:bCs/>
                <w:color w:val="000000"/>
                <w:sz w:val="20"/>
                <w:szCs w:val="20"/>
              </w:rPr>
              <w:t>Steady State</w:t>
            </w: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1BBCB6D1" w14:textId="77777777">
            <w:pPr>
              <w:spacing w:after="200" w:line="276" w:lineRule="auto"/>
              <w:rPr>
                <w:rFonts w:cs="Arial"/>
                <w:color w:val="000000"/>
                <w:sz w:val="20"/>
                <w:szCs w:val="20"/>
              </w:rPr>
            </w:pPr>
            <w:r w:rsidRPr="00CE4C80">
              <w:rPr>
                <w:rFonts w:cs="Arial"/>
                <w:color w:val="000000"/>
                <w:sz w:val="20"/>
                <w:szCs w:val="20"/>
              </w:rPr>
              <w:t>Rule Familiarization</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31BE2EF1" w14:textId="77777777">
            <w:pPr>
              <w:spacing w:after="200" w:line="276" w:lineRule="auto"/>
              <w:jc w:val="center"/>
              <w:rPr>
                <w:rFonts w:cs="Arial"/>
                <w:color w:val="000000"/>
                <w:sz w:val="20"/>
                <w:szCs w:val="20"/>
              </w:rPr>
            </w:pPr>
            <w:r w:rsidRPr="00CE4C80">
              <w:rPr>
                <w:rFonts w:cs="Arial"/>
                <w:color w:val="000000"/>
                <w:sz w:val="20"/>
                <w:szCs w:val="20"/>
              </w:rPr>
              <w:t>0</w:t>
            </w:r>
          </w:p>
        </w:tc>
      </w:tr>
      <w:tr w14:paraId="50E89EF4" w14:textId="77777777" w:rsidTr="00AF5E9B">
        <w:tblPrEx>
          <w:tblW w:w="3594" w:type="pct"/>
          <w:tblLayout w:type="fixed"/>
          <w:tblLook w:val="04A0"/>
        </w:tblPrEx>
        <w:trPr>
          <w:trHeight w:val="300"/>
        </w:trPr>
        <w:tc>
          <w:tcPr>
            <w:tcW w:w="721" w:type="pct"/>
            <w:vMerge/>
            <w:tcBorders>
              <w:left w:val="single" w:sz="4" w:space="0" w:color="auto"/>
              <w:right w:val="single" w:sz="4" w:space="0" w:color="auto"/>
            </w:tcBorders>
          </w:tcPr>
          <w:p w:rsidR="00F64C46" w:rsidRPr="00CE4C80" w:rsidP="00AF5E9B" w14:paraId="077616E9" w14:textId="77777777">
            <w:pPr>
              <w:spacing w:after="200" w:line="276" w:lineRule="auto"/>
              <w:rPr>
                <w:rFonts w:cs="Arial"/>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5859A3D6" w14:textId="77777777">
            <w:pPr>
              <w:spacing w:after="200" w:line="276" w:lineRule="auto"/>
              <w:rPr>
                <w:rFonts w:cs="Arial"/>
                <w:color w:val="000000"/>
                <w:sz w:val="20"/>
                <w:szCs w:val="20"/>
              </w:rPr>
            </w:pPr>
            <w:r w:rsidRPr="00CE4C80">
              <w:rPr>
                <w:rFonts w:cs="Arial"/>
                <w:color w:val="000000"/>
                <w:sz w:val="20"/>
                <w:szCs w:val="20"/>
              </w:rPr>
              <w:t>Form Completion</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01EF359E" w14:textId="702D54D7">
            <w:pPr>
              <w:spacing w:after="200" w:line="276" w:lineRule="auto"/>
              <w:jc w:val="center"/>
              <w:rPr>
                <w:rFonts w:cs="Arial"/>
                <w:color w:val="000000"/>
                <w:sz w:val="20"/>
                <w:szCs w:val="20"/>
              </w:rPr>
            </w:pPr>
            <w:r w:rsidRPr="00CE4C80">
              <w:rPr>
                <w:rFonts w:cs="Arial"/>
                <w:color w:val="000000"/>
                <w:sz w:val="20"/>
                <w:szCs w:val="20"/>
              </w:rPr>
              <w:t>2</w:t>
            </w:r>
            <w:r w:rsidR="00FC305B">
              <w:rPr>
                <w:rFonts w:cs="Arial"/>
                <w:color w:val="000000"/>
                <w:sz w:val="20"/>
                <w:szCs w:val="20"/>
              </w:rPr>
              <w:t>05</w:t>
            </w:r>
          </w:p>
        </w:tc>
      </w:tr>
      <w:tr w14:paraId="2F51C39E" w14:textId="77777777" w:rsidTr="00AF5E9B">
        <w:tblPrEx>
          <w:tblW w:w="3594" w:type="pct"/>
          <w:tblLayout w:type="fixed"/>
          <w:tblLook w:val="04A0"/>
        </w:tblPrEx>
        <w:trPr>
          <w:trHeight w:val="300"/>
        </w:trPr>
        <w:tc>
          <w:tcPr>
            <w:tcW w:w="721" w:type="pct"/>
            <w:vMerge/>
            <w:tcBorders>
              <w:left w:val="single" w:sz="4" w:space="0" w:color="auto"/>
              <w:bottom w:val="single" w:sz="4" w:space="0" w:color="auto"/>
              <w:right w:val="single" w:sz="4" w:space="0" w:color="auto"/>
            </w:tcBorders>
          </w:tcPr>
          <w:p w:rsidR="00F64C46" w:rsidRPr="006C7D8B" w:rsidP="00AF5E9B" w14:paraId="0726C519" w14:textId="77777777">
            <w:pPr>
              <w:spacing w:after="200" w:line="276" w:lineRule="auto"/>
              <w:rPr>
                <w:rFonts w:cs="Arial"/>
                <w:b/>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6C7D8B" w:rsidP="00AF5E9B" w14:paraId="7563FB03" w14:textId="77777777">
            <w:pPr>
              <w:spacing w:after="200" w:line="276" w:lineRule="auto"/>
              <w:rPr>
                <w:rFonts w:cs="Arial"/>
                <w:b/>
                <w:sz w:val="20"/>
                <w:szCs w:val="20"/>
              </w:rPr>
            </w:pPr>
            <w:r w:rsidRPr="006C7D8B">
              <w:rPr>
                <w:rFonts w:cs="Arial"/>
                <w:b/>
                <w:sz w:val="20"/>
                <w:szCs w:val="20"/>
              </w:rPr>
              <w:t>Total</w:t>
            </w:r>
          </w:p>
        </w:tc>
        <w:tc>
          <w:tcPr>
            <w:tcW w:w="2436" w:type="pct"/>
            <w:tcBorders>
              <w:top w:val="nil"/>
              <w:left w:val="nil"/>
              <w:bottom w:val="single" w:sz="4" w:space="0" w:color="auto"/>
              <w:right w:val="single" w:sz="4" w:space="0" w:color="auto"/>
            </w:tcBorders>
            <w:shd w:val="clear" w:color="auto" w:fill="auto"/>
            <w:noWrap/>
            <w:vAlign w:val="center"/>
            <w:hideMark/>
          </w:tcPr>
          <w:p w:rsidR="00F64C46" w:rsidRPr="006C7D8B" w:rsidP="00AF5E9B" w14:paraId="17A1A55E" w14:textId="449E5268">
            <w:pPr>
              <w:spacing w:after="200" w:line="276" w:lineRule="auto"/>
              <w:jc w:val="center"/>
              <w:rPr>
                <w:rFonts w:cs="Arial"/>
                <w:b/>
                <w:sz w:val="20"/>
                <w:szCs w:val="20"/>
              </w:rPr>
            </w:pPr>
            <w:r w:rsidRPr="006C7D8B">
              <w:rPr>
                <w:rFonts w:cs="Arial"/>
                <w:b/>
                <w:sz w:val="20"/>
                <w:szCs w:val="20"/>
              </w:rPr>
              <w:t>2</w:t>
            </w:r>
            <w:r w:rsidR="00FC305B">
              <w:rPr>
                <w:rFonts w:cs="Arial"/>
                <w:b/>
                <w:sz w:val="20"/>
                <w:szCs w:val="20"/>
              </w:rPr>
              <w:t>05</w:t>
            </w:r>
          </w:p>
        </w:tc>
      </w:tr>
    </w:tbl>
    <w:p w:rsidR="00F64C46" w:rsidRPr="006C7D8B" w:rsidP="00F64C46" w14:paraId="6ECA4E46" w14:textId="77777777">
      <w:pPr>
        <w:pStyle w:val="Caption"/>
        <w:spacing w:after="200" w:line="276" w:lineRule="auto"/>
        <w:rPr>
          <w:rFonts w:cs="Arial"/>
          <w:color w:val="auto"/>
          <w:sz w:val="20"/>
          <w:szCs w:val="20"/>
        </w:rPr>
      </w:pPr>
    </w:p>
    <w:p w:rsidR="00F64C46" w:rsidRPr="006C7D8B" w:rsidP="00F64C46" w14:paraId="6229D760" w14:textId="77777777">
      <w:pPr>
        <w:pStyle w:val="Caption"/>
        <w:spacing w:after="200" w:line="276" w:lineRule="auto"/>
        <w:rPr>
          <w:rFonts w:cs="Arial"/>
          <w:color w:val="auto"/>
          <w:sz w:val="20"/>
          <w:szCs w:val="20"/>
        </w:rPr>
      </w:pPr>
      <w:r w:rsidRPr="006C7D8B">
        <w:rPr>
          <w:rFonts w:cs="Arial"/>
          <w:color w:val="auto"/>
          <w:sz w:val="20"/>
          <w:szCs w:val="20"/>
        </w:rPr>
        <w:t xml:space="preserve">Table 2 </w:t>
      </w:r>
      <w:r w:rsidRPr="006C7D8B">
        <w:rPr>
          <w:rFonts w:cs="Arial"/>
          <w:color w:val="auto"/>
          <w:sz w:val="20"/>
          <w:szCs w:val="20"/>
        </w:rPr>
        <w:tab/>
        <w:t xml:space="preserve">First Year and Steady State Incremental Industry Cost </w:t>
      </w:r>
    </w:p>
    <w:tbl>
      <w:tblPr>
        <w:tblW w:w="3594" w:type="pct"/>
        <w:tblLayout w:type="fixed"/>
        <w:tblLook w:val="04A0"/>
      </w:tblPr>
      <w:tblGrid>
        <w:gridCol w:w="1044"/>
        <w:gridCol w:w="2669"/>
        <w:gridCol w:w="3525"/>
      </w:tblGrid>
      <w:tr w14:paraId="5C96A49B" w14:textId="77777777" w:rsidTr="00AF5E9B">
        <w:tblPrEx>
          <w:tblW w:w="3594" w:type="pct"/>
          <w:tblLayout w:type="fixed"/>
          <w:tblLook w:val="04A0"/>
        </w:tblPrEx>
        <w:trPr>
          <w:trHeight w:val="300"/>
        </w:trPr>
        <w:tc>
          <w:tcPr>
            <w:tcW w:w="721" w:type="pct"/>
            <w:tcBorders>
              <w:top w:val="single" w:sz="4" w:space="0" w:color="auto"/>
              <w:left w:val="single" w:sz="4" w:space="0" w:color="auto"/>
              <w:bottom w:val="single" w:sz="4" w:space="0" w:color="auto"/>
              <w:right w:val="single" w:sz="4" w:space="0" w:color="auto"/>
            </w:tcBorders>
            <w:shd w:val="clear" w:color="000000" w:fill="D0D3D4"/>
          </w:tcPr>
          <w:p w:rsidR="00F64C46" w:rsidRPr="00CE4C80" w:rsidP="00AF5E9B" w14:paraId="7A387921" w14:textId="77777777">
            <w:pPr>
              <w:keepNext/>
              <w:spacing w:after="200" w:line="276" w:lineRule="auto"/>
              <w:jc w:val="center"/>
              <w:rPr>
                <w:rFonts w:cs="Arial"/>
                <w:b/>
                <w:color w:val="000000"/>
                <w:sz w:val="20"/>
                <w:szCs w:val="20"/>
              </w:rPr>
            </w:pPr>
          </w:p>
        </w:tc>
        <w:tc>
          <w:tcPr>
            <w:tcW w:w="1844" w:type="pct"/>
            <w:tcBorders>
              <w:top w:val="single" w:sz="4" w:space="0" w:color="auto"/>
              <w:left w:val="single" w:sz="4" w:space="0" w:color="auto"/>
              <w:bottom w:val="single" w:sz="4" w:space="0" w:color="auto"/>
              <w:right w:val="single" w:sz="4" w:space="0" w:color="auto"/>
            </w:tcBorders>
            <w:shd w:val="clear" w:color="000000" w:fill="D0D3D4"/>
            <w:noWrap/>
            <w:vAlign w:val="bottom"/>
            <w:hideMark/>
          </w:tcPr>
          <w:p w:rsidR="00F64C46" w:rsidRPr="00CE4C80" w:rsidP="00AF5E9B" w14:paraId="638BDF79" w14:textId="77777777">
            <w:pPr>
              <w:keepNext/>
              <w:spacing w:after="200" w:line="276" w:lineRule="auto"/>
              <w:jc w:val="center"/>
              <w:rPr>
                <w:rFonts w:cs="Arial"/>
                <w:b/>
                <w:color w:val="000000"/>
                <w:sz w:val="20"/>
                <w:szCs w:val="20"/>
              </w:rPr>
            </w:pPr>
            <w:r w:rsidRPr="00CE4C80">
              <w:rPr>
                <w:rFonts w:cs="Arial"/>
                <w:b/>
                <w:color w:val="000000"/>
                <w:sz w:val="20"/>
                <w:szCs w:val="20"/>
              </w:rPr>
              <w:t>Activity</w:t>
            </w:r>
          </w:p>
        </w:tc>
        <w:tc>
          <w:tcPr>
            <w:tcW w:w="2435" w:type="pct"/>
            <w:tcBorders>
              <w:top w:val="single" w:sz="4" w:space="0" w:color="auto"/>
              <w:left w:val="nil"/>
              <w:bottom w:val="single" w:sz="4" w:space="0" w:color="auto"/>
              <w:right w:val="single" w:sz="4" w:space="0" w:color="auto"/>
            </w:tcBorders>
            <w:shd w:val="clear" w:color="000000" w:fill="D0D3D4"/>
            <w:noWrap/>
            <w:vAlign w:val="bottom"/>
            <w:hideMark/>
          </w:tcPr>
          <w:p w:rsidR="00F64C46" w:rsidRPr="00CE4C80" w:rsidP="00AF5E9B" w14:paraId="080901CC" w14:textId="1495F4F0">
            <w:pPr>
              <w:keepNext/>
              <w:spacing w:after="200" w:line="276" w:lineRule="auto"/>
              <w:jc w:val="center"/>
              <w:rPr>
                <w:rFonts w:cs="Arial"/>
                <w:b/>
                <w:color w:val="000000"/>
                <w:sz w:val="20"/>
                <w:szCs w:val="20"/>
              </w:rPr>
            </w:pPr>
            <w:r>
              <w:rPr>
                <w:rFonts w:cs="Arial"/>
                <w:b/>
                <w:color w:val="000000"/>
                <w:sz w:val="20"/>
                <w:szCs w:val="20"/>
              </w:rPr>
              <w:t xml:space="preserve">Final Rule: </w:t>
            </w:r>
            <w:r w:rsidRPr="00CE4C80">
              <w:rPr>
                <w:rFonts w:cs="Arial"/>
                <w:b/>
                <w:color w:val="000000"/>
                <w:sz w:val="20"/>
                <w:szCs w:val="20"/>
              </w:rPr>
              <w:t>Option 3</w:t>
            </w:r>
          </w:p>
        </w:tc>
      </w:tr>
      <w:tr w14:paraId="33701C1F" w14:textId="77777777" w:rsidTr="00AF5E9B">
        <w:tblPrEx>
          <w:tblW w:w="3594" w:type="pct"/>
          <w:tblLayout w:type="fixed"/>
          <w:tblLook w:val="04A0"/>
        </w:tblPrEx>
        <w:trPr>
          <w:trHeight w:val="300"/>
        </w:trPr>
        <w:tc>
          <w:tcPr>
            <w:tcW w:w="721" w:type="pct"/>
            <w:vMerge w:val="restart"/>
            <w:tcBorders>
              <w:top w:val="nil"/>
              <w:left w:val="single" w:sz="4" w:space="0" w:color="auto"/>
              <w:right w:val="single" w:sz="4" w:space="0" w:color="auto"/>
            </w:tcBorders>
            <w:textDirection w:val="btLr"/>
          </w:tcPr>
          <w:p w:rsidR="00F64C46" w:rsidRPr="00CE4C80" w:rsidP="00AF5E9B" w14:paraId="1A35C2AD" w14:textId="77777777">
            <w:pPr>
              <w:keepNext/>
              <w:spacing w:after="200" w:line="276" w:lineRule="auto"/>
              <w:rPr>
                <w:rFonts w:cs="Arial"/>
                <w:color w:val="000000"/>
                <w:sz w:val="20"/>
                <w:szCs w:val="20"/>
              </w:rPr>
            </w:pPr>
            <w:r w:rsidRPr="00C47072">
              <w:rPr>
                <w:rFonts w:cs="Arial"/>
                <w:b/>
                <w:bCs/>
                <w:color w:val="000000"/>
                <w:sz w:val="20"/>
                <w:szCs w:val="20"/>
              </w:rPr>
              <w:t>First Year</w:t>
            </w: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1B7A1DB3" w14:textId="77777777">
            <w:pPr>
              <w:keepNext/>
              <w:spacing w:after="200" w:line="276" w:lineRule="auto"/>
              <w:rPr>
                <w:rFonts w:cs="Arial"/>
                <w:color w:val="000000"/>
                <w:sz w:val="20"/>
                <w:szCs w:val="20"/>
              </w:rPr>
            </w:pPr>
            <w:r w:rsidRPr="00CE4C80">
              <w:rPr>
                <w:rFonts w:cs="Arial"/>
                <w:color w:val="000000"/>
                <w:sz w:val="20"/>
                <w:szCs w:val="20"/>
              </w:rPr>
              <w:t>Rule Familiarization</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36D20E01" w14:textId="441D8387">
            <w:pPr>
              <w:keepNext/>
              <w:spacing w:after="200" w:line="276" w:lineRule="auto"/>
              <w:jc w:val="right"/>
              <w:rPr>
                <w:rFonts w:cs="Arial"/>
                <w:color w:val="000000"/>
                <w:sz w:val="20"/>
                <w:szCs w:val="20"/>
              </w:rPr>
            </w:pPr>
            <w:r w:rsidRPr="00CE4C80">
              <w:rPr>
                <w:rFonts w:cs="Arial"/>
                <w:color w:val="000000"/>
                <w:sz w:val="20"/>
                <w:szCs w:val="20"/>
              </w:rPr>
              <w:t>$</w:t>
            </w:r>
            <w:r w:rsidR="00FC305B">
              <w:rPr>
                <w:rFonts w:cs="Arial"/>
                <w:color w:val="000000"/>
                <w:sz w:val="20"/>
                <w:szCs w:val="20"/>
              </w:rPr>
              <w:t>735,207</w:t>
            </w:r>
          </w:p>
        </w:tc>
      </w:tr>
      <w:tr w14:paraId="03E7D14E" w14:textId="77777777" w:rsidTr="00AF5E9B">
        <w:tblPrEx>
          <w:tblW w:w="3594" w:type="pct"/>
          <w:tblLayout w:type="fixed"/>
          <w:tblLook w:val="04A0"/>
        </w:tblPrEx>
        <w:trPr>
          <w:trHeight w:val="300"/>
        </w:trPr>
        <w:tc>
          <w:tcPr>
            <w:tcW w:w="721" w:type="pct"/>
            <w:vMerge/>
            <w:tcBorders>
              <w:left w:val="single" w:sz="4" w:space="0" w:color="auto"/>
              <w:right w:val="single" w:sz="4" w:space="0" w:color="auto"/>
            </w:tcBorders>
          </w:tcPr>
          <w:p w:rsidR="00F64C46" w:rsidRPr="00CE4C80" w:rsidP="00AF5E9B" w14:paraId="6EF3B058" w14:textId="77777777">
            <w:pPr>
              <w:keepNext/>
              <w:spacing w:after="200" w:line="276" w:lineRule="auto"/>
              <w:rPr>
                <w:rFonts w:cs="Arial"/>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15C10D11" w14:textId="77777777">
            <w:pPr>
              <w:keepNext/>
              <w:spacing w:after="200" w:line="276" w:lineRule="auto"/>
              <w:rPr>
                <w:rFonts w:cs="Arial"/>
                <w:color w:val="000000"/>
                <w:sz w:val="20"/>
                <w:szCs w:val="20"/>
              </w:rPr>
            </w:pPr>
            <w:r w:rsidRPr="00CE4C80">
              <w:rPr>
                <w:rFonts w:cs="Arial"/>
                <w:color w:val="000000"/>
                <w:sz w:val="20"/>
                <w:szCs w:val="20"/>
              </w:rPr>
              <w:t>Form Completion</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2A1F0AA3" w14:textId="644CF256">
            <w:pPr>
              <w:keepNext/>
              <w:spacing w:after="200" w:line="276" w:lineRule="auto"/>
              <w:jc w:val="right"/>
              <w:rPr>
                <w:rFonts w:cs="Arial"/>
                <w:color w:val="000000"/>
                <w:sz w:val="20"/>
                <w:szCs w:val="20"/>
              </w:rPr>
            </w:pPr>
            <w:r w:rsidRPr="00CE4C80">
              <w:rPr>
                <w:rFonts w:cs="Arial"/>
                <w:color w:val="000000"/>
                <w:sz w:val="20"/>
                <w:szCs w:val="20"/>
              </w:rPr>
              <w:t>$</w:t>
            </w:r>
            <w:r w:rsidR="00FC305B">
              <w:rPr>
                <w:rFonts w:cs="Arial"/>
                <w:color w:val="000000"/>
                <w:sz w:val="20"/>
                <w:szCs w:val="20"/>
              </w:rPr>
              <w:t>504,365</w:t>
            </w:r>
          </w:p>
        </w:tc>
      </w:tr>
      <w:tr w14:paraId="63038527" w14:textId="77777777" w:rsidTr="00AF5E9B">
        <w:tblPrEx>
          <w:tblW w:w="3594" w:type="pct"/>
          <w:tblLayout w:type="fixed"/>
          <w:tblLook w:val="04A0"/>
        </w:tblPrEx>
        <w:trPr>
          <w:trHeight w:val="300"/>
        </w:trPr>
        <w:tc>
          <w:tcPr>
            <w:tcW w:w="721" w:type="pct"/>
            <w:vMerge/>
            <w:tcBorders>
              <w:left w:val="single" w:sz="4" w:space="0" w:color="auto"/>
              <w:bottom w:val="single" w:sz="4" w:space="0" w:color="auto"/>
              <w:right w:val="single" w:sz="4" w:space="0" w:color="auto"/>
            </w:tcBorders>
          </w:tcPr>
          <w:p w:rsidR="00F64C46" w:rsidRPr="00CE4C80" w:rsidP="00AF5E9B" w14:paraId="6F5558C0" w14:textId="77777777">
            <w:pPr>
              <w:keepNext/>
              <w:spacing w:after="200" w:line="276" w:lineRule="auto"/>
              <w:rPr>
                <w:rFonts w:cs="Arial"/>
                <w:b/>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383ABF87" w14:textId="77777777">
            <w:pPr>
              <w:keepNext/>
              <w:spacing w:after="200" w:line="276" w:lineRule="auto"/>
              <w:rPr>
                <w:rFonts w:cs="Arial"/>
                <w:b/>
                <w:color w:val="000000"/>
                <w:sz w:val="20"/>
                <w:szCs w:val="20"/>
              </w:rPr>
            </w:pPr>
            <w:r w:rsidRPr="00CE4C80">
              <w:rPr>
                <w:rFonts w:cs="Arial"/>
                <w:b/>
                <w:color w:val="000000"/>
                <w:sz w:val="20"/>
                <w:szCs w:val="20"/>
              </w:rPr>
              <w:t>Total</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40D26899" w14:textId="553FA82C">
            <w:pPr>
              <w:keepNext/>
              <w:spacing w:after="200" w:line="276" w:lineRule="auto"/>
              <w:jc w:val="right"/>
              <w:rPr>
                <w:rFonts w:cs="Arial"/>
                <w:b/>
                <w:color w:val="000000"/>
                <w:sz w:val="20"/>
                <w:szCs w:val="20"/>
              </w:rPr>
            </w:pPr>
            <w:r w:rsidRPr="00CE4C80">
              <w:rPr>
                <w:rFonts w:cs="Arial"/>
                <w:b/>
                <w:color w:val="000000"/>
                <w:sz w:val="20"/>
                <w:szCs w:val="20"/>
              </w:rPr>
              <w:t>$1,2</w:t>
            </w:r>
            <w:r w:rsidR="00FC305B">
              <w:rPr>
                <w:rFonts w:cs="Arial"/>
                <w:b/>
                <w:color w:val="000000"/>
                <w:sz w:val="20"/>
                <w:szCs w:val="20"/>
              </w:rPr>
              <w:t>3</w:t>
            </w:r>
            <w:r w:rsidRPr="00CE4C80">
              <w:rPr>
                <w:rFonts w:cs="Arial"/>
                <w:b/>
                <w:color w:val="000000"/>
                <w:sz w:val="20"/>
                <w:szCs w:val="20"/>
              </w:rPr>
              <w:t>9,</w:t>
            </w:r>
            <w:r w:rsidR="00FC305B">
              <w:rPr>
                <w:rFonts w:cs="Arial"/>
                <w:b/>
                <w:color w:val="000000"/>
                <w:sz w:val="20"/>
                <w:szCs w:val="20"/>
              </w:rPr>
              <w:t>57</w:t>
            </w:r>
            <w:r w:rsidRPr="00CE4C80">
              <w:rPr>
                <w:rFonts w:cs="Arial"/>
                <w:b/>
                <w:color w:val="000000"/>
                <w:sz w:val="20"/>
                <w:szCs w:val="20"/>
              </w:rPr>
              <w:t>2</w:t>
            </w:r>
          </w:p>
        </w:tc>
      </w:tr>
      <w:tr w14:paraId="1C5D9852" w14:textId="77777777" w:rsidTr="00AF5E9B">
        <w:tblPrEx>
          <w:tblW w:w="3594" w:type="pct"/>
          <w:tblLayout w:type="fixed"/>
          <w:tblLook w:val="04A0"/>
        </w:tblPrEx>
        <w:trPr>
          <w:trHeight w:val="300"/>
        </w:trPr>
        <w:tc>
          <w:tcPr>
            <w:tcW w:w="721" w:type="pct"/>
            <w:vMerge w:val="restart"/>
            <w:tcBorders>
              <w:top w:val="nil"/>
              <w:left w:val="single" w:sz="4" w:space="0" w:color="auto"/>
              <w:right w:val="single" w:sz="4" w:space="0" w:color="auto"/>
            </w:tcBorders>
            <w:textDirection w:val="btLr"/>
          </w:tcPr>
          <w:p w:rsidR="00F64C46" w:rsidRPr="00CE4C80" w:rsidP="00AF5E9B" w14:paraId="191825A0" w14:textId="77777777">
            <w:pPr>
              <w:keepNext/>
              <w:spacing w:after="200" w:line="276" w:lineRule="auto"/>
              <w:rPr>
                <w:rFonts w:cs="Arial"/>
                <w:color w:val="000000"/>
                <w:sz w:val="20"/>
                <w:szCs w:val="20"/>
              </w:rPr>
            </w:pPr>
            <w:r w:rsidRPr="00C47072">
              <w:rPr>
                <w:rFonts w:cs="Arial"/>
                <w:b/>
                <w:bCs/>
                <w:color w:val="000000"/>
                <w:sz w:val="20"/>
                <w:szCs w:val="20"/>
              </w:rPr>
              <w:t>Steady State</w:t>
            </w: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4E6839A6" w14:textId="77777777">
            <w:pPr>
              <w:keepNext/>
              <w:spacing w:after="200" w:line="276" w:lineRule="auto"/>
              <w:rPr>
                <w:rFonts w:cs="Arial"/>
                <w:color w:val="000000"/>
                <w:sz w:val="20"/>
                <w:szCs w:val="20"/>
              </w:rPr>
            </w:pPr>
            <w:r w:rsidRPr="00CE4C80">
              <w:rPr>
                <w:rFonts w:cs="Arial"/>
                <w:color w:val="000000"/>
                <w:sz w:val="20"/>
                <w:szCs w:val="20"/>
              </w:rPr>
              <w:t>Rule Familiarization</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0F787CEF" w14:textId="77777777">
            <w:pPr>
              <w:keepNext/>
              <w:spacing w:after="200" w:line="276" w:lineRule="auto"/>
              <w:jc w:val="right"/>
              <w:rPr>
                <w:rFonts w:cs="Arial"/>
                <w:color w:val="000000"/>
                <w:sz w:val="20"/>
                <w:szCs w:val="20"/>
              </w:rPr>
            </w:pPr>
            <w:r w:rsidRPr="00CE4C80">
              <w:rPr>
                <w:rFonts w:cs="Arial"/>
                <w:color w:val="000000"/>
                <w:sz w:val="20"/>
                <w:szCs w:val="20"/>
              </w:rPr>
              <w:t>$0</w:t>
            </w:r>
          </w:p>
        </w:tc>
      </w:tr>
      <w:tr w14:paraId="1B201D1F" w14:textId="77777777" w:rsidTr="00AF5E9B">
        <w:tblPrEx>
          <w:tblW w:w="3594" w:type="pct"/>
          <w:tblLayout w:type="fixed"/>
          <w:tblLook w:val="04A0"/>
        </w:tblPrEx>
        <w:trPr>
          <w:trHeight w:val="300"/>
        </w:trPr>
        <w:tc>
          <w:tcPr>
            <w:tcW w:w="721" w:type="pct"/>
            <w:vMerge/>
            <w:tcBorders>
              <w:left w:val="single" w:sz="4" w:space="0" w:color="auto"/>
              <w:right w:val="single" w:sz="4" w:space="0" w:color="auto"/>
            </w:tcBorders>
          </w:tcPr>
          <w:p w:rsidR="00F64C46" w:rsidRPr="00CE4C80" w:rsidP="00AF5E9B" w14:paraId="4DA93DCE" w14:textId="77777777">
            <w:pPr>
              <w:keepNext/>
              <w:spacing w:after="200" w:line="276" w:lineRule="auto"/>
              <w:rPr>
                <w:rFonts w:cs="Arial"/>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70B4F4A1" w14:textId="77777777">
            <w:pPr>
              <w:keepNext/>
              <w:spacing w:after="200" w:line="276" w:lineRule="auto"/>
              <w:rPr>
                <w:rFonts w:cs="Arial"/>
                <w:color w:val="000000"/>
                <w:sz w:val="20"/>
                <w:szCs w:val="20"/>
              </w:rPr>
            </w:pPr>
            <w:r w:rsidRPr="00CE4C80">
              <w:rPr>
                <w:rFonts w:cs="Arial"/>
                <w:color w:val="000000"/>
                <w:sz w:val="20"/>
                <w:szCs w:val="20"/>
              </w:rPr>
              <w:t>Form Completion</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6919BACC" w14:textId="4E8DD1AA">
            <w:pPr>
              <w:keepNext/>
              <w:spacing w:after="200" w:line="276" w:lineRule="auto"/>
              <w:jc w:val="right"/>
              <w:rPr>
                <w:rFonts w:cs="Arial"/>
                <w:color w:val="000000"/>
                <w:sz w:val="20"/>
                <w:szCs w:val="20"/>
              </w:rPr>
            </w:pPr>
            <w:r w:rsidRPr="00CE4C80">
              <w:rPr>
                <w:rFonts w:cs="Arial"/>
                <w:color w:val="000000"/>
                <w:sz w:val="20"/>
                <w:szCs w:val="20"/>
              </w:rPr>
              <w:t>$14</w:t>
            </w:r>
            <w:r w:rsidR="00FC305B">
              <w:rPr>
                <w:rFonts w:cs="Arial"/>
                <w:color w:val="000000"/>
                <w:sz w:val="20"/>
                <w:szCs w:val="20"/>
              </w:rPr>
              <w:t>,238</w:t>
            </w:r>
          </w:p>
        </w:tc>
      </w:tr>
      <w:tr w14:paraId="69DD6096" w14:textId="77777777" w:rsidTr="00AF5E9B">
        <w:tblPrEx>
          <w:tblW w:w="3594" w:type="pct"/>
          <w:tblLayout w:type="fixed"/>
          <w:tblLook w:val="04A0"/>
        </w:tblPrEx>
        <w:trPr>
          <w:trHeight w:val="300"/>
        </w:trPr>
        <w:tc>
          <w:tcPr>
            <w:tcW w:w="721" w:type="pct"/>
            <w:vMerge/>
            <w:tcBorders>
              <w:left w:val="single" w:sz="4" w:space="0" w:color="auto"/>
              <w:bottom w:val="single" w:sz="4" w:space="0" w:color="auto"/>
              <w:right w:val="single" w:sz="4" w:space="0" w:color="auto"/>
            </w:tcBorders>
          </w:tcPr>
          <w:p w:rsidR="00F64C46" w:rsidRPr="00CE4C80" w:rsidP="00AF5E9B" w14:paraId="3A09EF26" w14:textId="77777777">
            <w:pPr>
              <w:spacing w:after="200" w:line="276" w:lineRule="auto"/>
              <w:rPr>
                <w:rFonts w:cs="Arial"/>
                <w:b/>
                <w:color w:val="000000"/>
                <w:sz w:val="20"/>
                <w:szCs w:val="20"/>
              </w:rPr>
            </w:pPr>
          </w:p>
        </w:tc>
        <w:tc>
          <w:tcPr>
            <w:tcW w:w="1844" w:type="pct"/>
            <w:tcBorders>
              <w:top w:val="nil"/>
              <w:left w:val="single" w:sz="4" w:space="0" w:color="auto"/>
              <w:bottom w:val="single" w:sz="4" w:space="0" w:color="auto"/>
              <w:right w:val="single" w:sz="4" w:space="0" w:color="auto"/>
            </w:tcBorders>
            <w:shd w:val="clear" w:color="auto" w:fill="auto"/>
            <w:noWrap/>
            <w:vAlign w:val="center"/>
            <w:hideMark/>
          </w:tcPr>
          <w:p w:rsidR="00F64C46" w:rsidRPr="00CE4C80" w:rsidP="00AF5E9B" w14:paraId="2A286A2F" w14:textId="77777777">
            <w:pPr>
              <w:spacing w:after="200" w:line="276" w:lineRule="auto"/>
              <w:rPr>
                <w:rFonts w:cs="Arial"/>
                <w:b/>
                <w:color w:val="000000"/>
                <w:sz w:val="20"/>
                <w:szCs w:val="20"/>
              </w:rPr>
            </w:pPr>
            <w:r w:rsidRPr="00CE4C80">
              <w:rPr>
                <w:rFonts w:cs="Arial"/>
                <w:b/>
                <w:color w:val="000000"/>
                <w:sz w:val="20"/>
                <w:szCs w:val="20"/>
              </w:rPr>
              <w:t>Total</w:t>
            </w:r>
          </w:p>
        </w:tc>
        <w:tc>
          <w:tcPr>
            <w:tcW w:w="2435" w:type="pct"/>
            <w:tcBorders>
              <w:top w:val="nil"/>
              <w:left w:val="nil"/>
              <w:bottom w:val="single" w:sz="4" w:space="0" w:color="auto"/>
              <w:right w:val="single" w:sz="4" w:space="0" w:color="auto"/>
            </w:tcBorders>
            <w:shd w:val="clear" w:color="auto" w:fill="auto"/>
            <w:noWrap/>
            <w:vAlign w:val="center"/>
            <w:hideMark/>
          </w:tcPr>
          <w:p w:rsidR="00F64C46" w:rsidRPr="00CE4C80" w:rsidP="00AF5E9B" w14:paraId="6B7E5DB2" w14:textId="42A99F53">
            <w:pPr>
              <w:spacing w:after="200" w:line="276" w:lineRule="auto"/>
              <w:jc w:val="right"/>
              <w:rPr>
                <w:rFonts w:cs="Arial"/>
                <w:b/>
                <w:color w:val="000000"/>
                <w:sz w:val="20"/>
                <w:szCs w:val="20"/>
              </w:rPr>
            </w:pPr>
            <w:r w:rsidRPr="00CE4C80">
              <w:rPr>
                <w:rFonts w:cs="Arial"/>
                <w:b/>
                <w:color w:val="000000"/>
                <w:sz w:val="20"/>
                <w:szCs w:val="20"/>
              </w:rPr>
              <w:t>$14,</w:t>
            </w:r>
            <w:r w:rsidR="00FC305B">
              <w:rPr>
                <w:rFonts w:cs="Arial"/>
                <w:b/>
                <w:color w:val="000000"/>
                <w:sz w:val="20"/>
                <w:szCs w:val="20"/>
              </w:rPr>
              <w:t>238</w:t>
            </w:r>
          </w:p>
        </w:tc>
      </w:tr>
    </w:tbl>
    <w:p w:rsidR="00F64C46" w:rsidP="00F64C46" w14:paraId="6CCF3C1F" w14:textId="77777777">
      <w:pPr>
        <w:pStyle w:val="NoSpacing"/>
        <w:spacing w:after="200" w:line="276" w:lineRule="auto"/>
      </w:pPr>
    </w:p>
    <w:p w:rsidR="00F64C46" w:rsidP="00F64C46" w14:paraId="65426519" w14:textId="788E668F">
      <w:pPr>
        <w:pStyle w:val="NoSpacing"/>
        <w:spacing w:after="200" w:line="276" w:lineRule="auto"/>
      </w:pPr>
      <w:r>
        <w:t>Table 3 shows Option 3’s estimated unit burden by activity (rule familiarization, form completion), reporting period, and labor category.</w:t>
      </w:r>
    </w:p>
    <w:p w:rsidR="000C7512" w14:paraId="0A01843F" w14:textId="773B27F2">
      <w:pPr>
        <w:spacing w:after="160" w:line="259" w:lineRule="auto"/>
      </w:pPr>
      <w:r>
        <w:br w:type="page"/>
      </w:r>
    </w:p>
    <w:p w:rsidR="00F64C46" w:rsidRPr="00BC35BC" w:rsidP="00F64C46" w14:paraId="1F5A64F0" w14:textId="77777777">
      <w:pPr>
        <w:pStyle w:val="Caption"/>
        <w:spacing w:after="200" w:line="276" w:lineRule="auto"/>
        <w:rPr>
          <w:color w:val="auto"/>
          <w:sz w:val="20"/>
          <w:szCs w:val="20"/>
        </w:rPr>
      </w:pPr>
      <w:r w:rsidRPr="00BC35BC">
        <w:rPr>
          <w:color w:val="auto"/>
          <w:sz w:val="20"/>
          <w:szCs w:val="20"/>
        </w:rPr>
        <w:t>Table 3</w:t>
      </w:r>
      <w:r w:rsidRPr="00BC35BC">
        <w:rPr>
          <w:color w:val="auto"/>
          <w:sz w:val="20"/>
          <w:szCs w:val="20"/>
        </w:rPr>
        <w:tab/>
      </w:r>
      <w:r w:rsidRPr="00BC35BC">
        <w:rPr>
          <w:color w:val="auto"/>
          <w:sz w:val="20"/>
          <w:szCs w:val="20"/>
        </w:rPr>
        <w:tab/>
        <w:t>Estimated Unit Burden by Activity, Period, Regulatory Option, and Labor Category</w:t>
      </w:r>
    </w:p>
    <w:tbl>
      <w:tblPr>
        <w:tblW w:w="3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95"/>
        <w:gridCol w:w="1335"/>
        <w:gridCol w:w="3145"/>
      </w:tblGrid>
      <w:tr w14:paraId="0127C4F1" w14:textId="77777777" w:rsidTr="00AF5E9B">
        <w:tblPrEx>
          <w:tblW w:w="3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004" w:type="pct"/>
            <w:vMerge w:val="restart"/>
            <w:shd w:val="clear" w:color="auto" w:fill="BFBFBF" w:themeFill="background1" w:themeFillShade="BF"/>
            <w:noWrap/>
            <w:vAlign w:val="bottom"/>
          </w:tcPr>
          <w:p w:rsidR="00F64C46" w:rsidRPr="00140782" w:rsidP="00AF5E9B" w14:paraId="69DF0495" w14:textId="77777777">
            <w:pPr>
              <w:keepNext/>
              <w:keepLines/>
              <w:spacing w:after="200" w:line="276" w:lineRule="auto"/>
              <w:jc w:val="center"/>
              <w:rPr>
                <w:rFonts w:cs="Arial"/>
                <w:b/>
                <w:color w:val="000000"/>
                <w:sz w:val="20"/>
              </w:rPr>
            </w:pPr>
            <w:r w:rsidRPr="00140782">
              <w:rPr>
                <w:rFonts w:cs="Arial"/>
                <w:b/>
                <w:color w:val="000000"/>
                <w:sz w:val="20"/>
              </w:rPr>
              <w:t>Activity</w:t>
            </w:r>
          </w:p>
        </w:tc>
        <w:tc>
          <w:tcPr>
            <w:tcW w:w="1049" w:type="pct"/>
            <w:vMerge w:val="restart"/>
            <w:shd w:val="clear" w:color="auto" w:fill="BFBFBF" w:themeFill="background1" w:themeFillShade="BF"/>
            <w:vAlign w:val="bottom"/>
          </w:tcPr>
          <w:p w:rsidR="00F64C46" w:rsidRPr="00140782" w:rsidP="00AF5E9B" w14:paraId="2BBFA737" w14:textId="77777777">
            <w:pPr>
              <w:keepNext/>
              <w:keepLines/>
              <w:spacing w:after="200" w:line="276" w:lineRule="auto"/>
              <w:jc w:val="center"/>
              <w:rPr>
                <w:rFonts w:cs="Arial"/>
                <w:b/>
                <w:bCs/>
                <w:color w:val="000000"/>
                <w:sz w:val="20"/>
              </w:rPr>
            </w:pPr>
            <w:r w:rsidRPr="00140782">
              <w:rPr>
                <w:rFonts w:cs="Arial"/>
                <w:b/>
                <w:bCs/>
                <w:color w:val="000000"/>
                <w:sz w:val="20"/>
              </w:rPr>
              <w:t>Labor Category</w:t>
            </w:r>
          </w:p>
        </w:tc>
        <w:tc>
          <w:tcPr>
            <w:tcW w:w="2947" w:type="pct"/>
            <w:gridSpan w:val="2"/>
            <w:shd w:val="clear" w:color="auto" w:fill="BFBFBF" w:themeFill="background1" w:themeFillShade="BF"/>
            <w:noWrap/>
            <w:vAlign w:val="bottom"/>
          </w:tcPr>
          <w:p w:rsidR="00F64C46" w:rsidRPr="00140782" w:rsidP="00AF5E9B" w14:paraId="727EAFB6" w14:textId="6ED0D0B1">
            <w:pPr>
              <w:keepNext/>
              <w:keepLines/>
              <w:spacing w:after="200" w:line="276" w:lineRule="auto"/>
              <w:jc w:val="center"/>
              <w:rPr>
                <w:rFonts w:cs="Arial"/>
                <w:b/>
                <w:bCs/>
                <w:color w:val="000000"/>
                <w:sz w:val="20"/>
              </w:rPr>
            </w:pPr>
            <w:r>
              <w:rPr>
                <w:rFonts w:cs="Arial"/>
                <w:b/>
                <w:bCs/>
                <w:color w:val="000000"/>
                <w:sz w:val="20"/>
              </w:rPr>
              <w:t xml:space="preserve">Final Rule: </w:t>
            </w:r>
            <w:r w:rsidRPr="00140782">
              <w:rPr>
                <w:rFonts w:cs="Arial"/>
                <w:b/>
                <w:bCs/>
                <w:color w:val="000000"/>
                <w:sz w:val="20"/>
              </w:rPr>
              <w:t>Option 3: U.S. and Foreign Parent Company Data Elements</w:t>
            </w:r>
          </w:p>
        </w:tc>
      </w:tr>
      <w:tr w14:paraId="2AE9D1E6" w14:textId="77777777" w:rsidTr="00AF5E9B">
        <w:tblPrEx>
          <w:tblW w:w="3774" w:type="pct"/>
          <w:tblInd w:w="108" w:type="dxa"/>
          <w:tblLayout w:type="fixed"/>
          <w:tblLook w:val="04A0"/>
        </w:tblPrEx>
        <w:trPr>
          <w:trHeight w:val="300"/>
        </w:trPr>
        <w:tc>
          <w:tcPr>
            <w:tcW w:w="1004" w:type="pct"/>
            <w:vMerge/>
            <w:shd w:val="clear" w:color="auto" w:fill="BFBFBF" w:themeFill="background1" w:themeFillShade="BF"/>
            <w:noWrap/>
            <w:vAlign w:val="bottom"/>
            <w:hideMark/>
          </w:tcPr>
          <w:p w:rsidR="00F64C46" w:rsidRPr="00140782" w:rsidP="00AF5E9B" w14:paraId="6DBB13B6" w14:textId="77777777">
            <w:pPr>
              <w:keepNext/>
              <w:keepLines/>
              <w:spacing w:after="200" w:line="276" w:lineRule="auto"/>
              <w:jc w:val="center"/>
              <w:rPr>
                <w:rFonts w:cs="Arial"/>
                <w:b/>
                <w:color w:val="000000"/>
                <w:sz w:val="20"/>
              </w:rPr>
            </w:pPr>
          </w:p>
        </w:tc>
        <w:tc>
          <w:tcPr>
            <w:tcW w:w="1049" w:type="pct"/>
            <w:vMerge/>
            <w:shd w:val="clear" w:color="auto" w:fill="BFBFBF" w:themeFill="background1" w:themeFillShade="BF"/>
            <w:vAlign w:val="bottom"/>
          </w:tcPr>
          <w:p w:rsidR="00F64C46" w:rsidRPr="00140782" w:rsidP="00AF5E9B" w14:paraId="3CF015DE" w14:textId="77777777">
            <w:pPr>
              <w:keepNext/>
              <w:keepLines/>
              <w:spacing w:after="200" w:line="276" w:lineRule="auto"/>
              <w:jc w:val="center"/>
              <w:rPr>
                <w:rFonts w:cs="Arial"/>
                <w:b/>
                <w:bCs/>
                <w:color w:val="000000"/>
                <w:sz w:val="20"/>
              </w:rPr>
            </w:pPr>
          </w:p>
        </w:tc>
        <w:tc>
          <w:tcPr>
            <w:tcW w:w="878" w:type="pct"/>
            <w:shd w:val="clear" w:color="auto" w:fill="BFBFBF" w:themeFill="background1" w:themeFillShade="BF"/>
            <w:noWrap/>
            <w:vAlign w:val="bottom"/>
            <w:hideMark/>
          </w:tcPr>
          <w:p w:rsidR="00F64C46" w:rsidRPr="00140782" w:rsidP="00AF5E9B" w14:paraId="6183C87A" w14:textId="77777777">
            <w:pPr>
              <w:keepNext/>
              <w:keepLines/>
              <w:spacing w:after="200" w:line="276" w:lineRule="auto"/>
              <w:jc w:val="center"/>
              <w:rPr>
                <w:rFonts w:cs="Arial"/>
                <w:b/>
                <w:bCs/>
                <w:color w:val="000000"/>
                <w:sz w:val="20"/>
              </w:rPr>
            </w:pPr>
            <w:r w:rsidRPr="00140782">
              <w:rPr>
                <w:rFonts w:cs="Arial"/>
                <w:b/>
                <w:bCs/>
                <w:color w:val="000000"/>
                <w:sz w:val="20"/>
              </w:rPr>
              <w:t>First Year Burden (min)</w:t>
            </w:r>
          </w:p>
        </w:tc>
        <w:tc>
          <w:tcPr>
            <w:tcW w:w="2069" w:type="pct"/>
            <w:shd w:val="clear" w:color="auto" w:fill="BFBFBF" w:themeFill="background1" w:themeFillShade="BF"/>
            <w:noWrap/>
            <w:vAlign w:val="bottom"/>
            <w:hideMark/>
          </w:tcPr>
          <w:p w:rsidR="00F64C46" w:rsidRPr="00140782" w:rsidP="00AF5E9B" w14:paraId="17AEE091" w14:textId="77777777">
            <w:pPr>
              <w:keepNext/>
              <w:keepLines/>
              <w:spacing w:after="200" w:line="276" w:lineRule="auto"/>
              <w:jc w:val="center"/>
              <w:rPr>
                <w:rFonts w:cs="Arial"/>
                <w:b/>
                <w:bCs/>
                <w:color w:val="000000"/>
                <w:sz w:val="20"/>
              </w:rPr>
            </w:pPr>
            <w:r w:rsidRPr="00140782">
              <w:rPr>
                <w:rFonts w:cs="Arial"/>
                <w:b/>
                <w:bCs/>
                <w:color w:val="000000"/>
                <w:sz w:val="20"/>
              </w:rPr>
              <w:t>Steady State Burden (min)</w:t>
            </w:r>
          </w:p>
        </w:tc>
      </w:tr>
      <w:tr w14:paraId="74AF846E" w14:textId="77777777" w:rsidTr="00AF5E9B">
        <w:tblPrEx>
          <w:tblW w:w="3774" w:type="pct"/>
          <w:tblInd w:w="108" w:type="dxa"/>
          <w:tblLayout w:type="fixed"/>
          <w:tblLook w:val="04A0"/>
        </w:tblPrEx>
        <w:trPr>
          <w:trHeight w:val="300"/>
        </w:trPr>
        <w:tc>
          <w:tcPr>
            <w:tcW w:w="1004" w:type="pct"/>
            <w:vMerge w:val="restart"/>
            <w:shd w:val="clear" w:color="auto" w:fill="auto"/>
            <w:noWrap/>
            <w:vAlign w:val="center"/>
            <w:hideMark/>
          </w:tcPr>
          <w:p w:rsidR="00F64C46" w:rsidRPr="004A33B2" w:rsidP="00AF5E9B" w14:paraId="6726395F"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Rule Familiarization</w:t>
            </w:r>
            <w:r>
              <w:rPr>
                <w:rFonts w:ascii="Arial Narrow" w:hAnsi="Arial Narrow" w:cs="Arial"/>
                <w:color w:val="000000"/>
                <w:sz w:val="20"/>
              </w:rPr>
              <w:t xml:space="preserve"> (Per Facility)</w:t>
            </w:r>
          </w:p>
        </w:tc>
        <w:tc>
          <w:tcPr>
            <w:tcW w:w="1049" w:type="pct"/>
            <w:vAlign w:val="center"/>
          </w:tcPr>
          <w:p w:rsidR="00F64C46" w:rsidRPr="004A33B2" w:rsidP="00AF5E9B" w14:paraId="4073E307"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Management</w:t>
            </w:r>
          </w:p>
        </w:tc>
        <w:tc>
          <w:tcPr>
            <w:tcW w:w="878" w:type="pct"/>
            <w:shd w:val="clear" w:color="auto" w:fill="auto"/>
            <w:noWrap/>
            <w:vAlign w:val="center"/>
            <w:hideMark/>
          </w:tcPr>
          <w:p w:rsidR="00F64C46" w:rsidRPr="004A33B2" w:rsidP="00AF5E9B" w14:paraId="38D96480"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5</w:t>
            </w:r>
          </w:p>
        </w:tc>
        <w:tc>
          <w:tcPr>
            <w:tcW w:w="2069" w:type="pct"/>
            <w:shd w:val="clear" w:color="auto" w:fill="auto"/>
            <w:noWrap/>
            <w:vAlign w:val="center"/>
            <w:hideMark/>
          </w:tcPr>
          <w:p w:rsidR="00F64C46" w:rsidRPr="004A33B2" w:rsidP="00AF5E9B" w14:paraId="06F15DFE"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14:paraId="58B39BCE"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0C7861C8"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014BE5D7"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Technical</w:t>
            </w:r>
          </w:p>
        </w:tc>
        <w:tc>
          <w:tcPr>
            <w:tcW w:w="878" w:type="pct"/>
            <w:shd w:val="clear" w:color="auto" w:fill="auto"/>
            <w:noWrap/>
            <w:vAlign w:val="center"/>
          </w:tcPr>
          <w:p w:rsidR="00F64C46" w:rsidRPr="004A33B2" w:rsidP="00AF5E9B" w14:paraId="57BD14B6"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25</w:t>
            </w:r>
          </w:p>
        </w:tc>
        <w:tc>
          <w:tcPr>
            <w:tcW w:w="2069" w:type="pct"/>
            <w:shd w:val="clear" w:color="auto" w:fill="auto"/>
            <w:noWrap/>
            <w:vAlign w:val="center"/>
          </w:tcPr>
          <w:p w:rsidR="00F64C46" w:rsidRPr="004A33B2" w:rsidP="00AF5E9B" w14:paraId="0BD07F62"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14:paraId="79BBFA47"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7D6D196E"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5D758ADE"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Clerical</w:t>
            </w:r>
          </w:p>
        </w:tc>
        <w:tc>
          <w:tcPr>
            <w:tcW w:w="878" w:type="pct"/>
            <w:shd w:val="clear" w:color="auto" w:fill="auto"/>
            <w:noWrap/>
            <w:vAlign w:val="center"/>
          </w:tcPr>
          <w:p w:rsidR="00F64C46" w:rsidRPr="004A33B2" w:rsidP="00AF5E9B" w14:paraId="015D54DF"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c>
          <w:tcPr>
            <w:tcW w:w="2069" w:type="pct"/>
            <w:shd w:val="clear" w:color="auto" w:fill="auto"/>
            <w:noWrap/>
            <w:vAlign w:val="center"/>
          </w:tcPr>
          <w:p w:rsidR="00F64C46" w:rsidRPr="004A33B2" w:rsidP="00AF5E9B" w14:paraId="748DA9E7"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14:paraId="45CE4DEA" w14:textId="77777777" w:rsidTr="00AF5E9B">
        <w:tblPrEx>
          <w:tblW w:w="3774" w:type="pct"/>
          <w:tblInd w:w="108" w:type="dxa"/>
          <w:tblLayout w:type="fixed"/>
          <w:tblLook w:val="04A0"/>
        </w:tblPrEx>
        <w:trPr>
          <w:trHeight w:val="300"/>
        </w:trPr>
        <w:tc>
          <w:tcPr>
            <w:tcW w:w="1004" w:type="pct"/>
            <w:vMerge w:val="restart"/>
            <w:shd w:val="clear" w:color="auto" w:fill="auto"/>
            <w:noWrap/>
            <w:vAlign w:val="center"/>
          </w:tcPr>
          <w:p w:rsidR="00F64C46" w:rsidP="00AF5E9B" w14:paraId="3B7D68CF"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 xml:space="preserve">Report Completion </w:t>
            </w:r>
          </w:p>
          <w:p w:rsidR="00F64C46" w:rsidRPr="004A33B2" w:rsidP="00AF5E9B" w14:paraId="552AA025" w14:textId="77777777">
            <w:pPr>
              <w:keepNext/>
              <w:keepLines/>
              <w:spacing w:after="200" w:line="276" w:lineRule="auto"/>
              <w:rPr>
                <w:rFonts w:ascii="Arial Narrow" w:hAnsi="Arial Narrow" w:cs="Arial"/>
                <w:color w:val="000000"/>
                <w:sz w:val="20"/>
                <w:vertAlign w:val="superscript"/>
              </w:rPr>
            </w:pPr>
            <w:r>
              <w:rPr>
                <w:rFonts w:ascii="Arial Narrow" w:hAnsi="Arial Narrow" w:cs="Arial"/>
                <w:color w:val="000000"/>
                <w:sz w:val="20"/>
              </w:rPr>
              <w:t>(Per Facility)</w:t>
            </w:r>
          </w:p>
        </w:tc>
        <w:tc>
          <w:tcPr>
            <w:tcW w:w="1049" w:type="pct"/>
            <w:vAlign w:val="center"/>
          </w:tcPr>
          <w:p w:rsidR="00F64C46" w:rsidRPr="004A33B2" w:rsidP="00AF5E9B" w14:paraId="5F4E8833"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Management</w:t>
            </w:r>
          </w:p>
        </w:tc>
        <w:tc>
          <w:tcPr>
            <w:tcW w:w="878" w:type="pct"/>
            <w:shd w:val="clear" w:color="auto" w:fill="auto"/>
            <w:noWrap/>
            <w:vAlign w:val="center"/>
          </w:tcPr>
          <w:p w:rsidR="00F64C46" w:rsidRPr="004A33B2" w:rsidP="00AF5E9B" w14:paraId="62CC07C8"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00F64C46" w:rsidRPr="004A33B2" w:rsidP="00AF5E9B" w14:paraId="48537C24"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14:paraId="631058D2"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168FE5DF"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29726A04"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Technical</w:t>
            </w:r>
          </w:p>
        </w:tc>
        <w:tc>
          <w:tcPr>
            <w:tcW w:w="878" w:type="pct"/>
            <w:shd w:val="clear" w:color="auto" w:fill="auto"/>
            <w:noWrap/>
            <w:vAlign w:val="center"/>
          </w:tcPr>
          <w:p w:rsidR="00F64C46" w:rsidRPr="004A33B2" w:rsidP="00AF5E9B" w14:paraId="2559D24D"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20</w:t>
            </w:r>
          </w:p>
        </w:tc>
        <w:tc>
          <w:tcPr>
            <w:tcW w:w="2069" w:type="pct"/>
            <w:shd w:val="clear" w:color="auto" w:fill="auto"/>
            <w:noWrap/>
            <w:vAlign w:val="center"/>
          </w:tcPr>
          <w:p w:rsidR="00F64C46" w:rsidRPr="004A33B2" w:rsidP="00AF5E9B" w14:paraId="01E5AC51"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14:paraId="5C6F2CB8"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052C4F61"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0FEDF39D"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Clerical</w:t>
            </w:r>
          </w:p>
        </w:tc>
        <w:tc>
          <w:tcPr>
            <w:tcW w:w="878" w:type="pct"/>
            <w:shd w:val="clear" w:color="auto" w:fill="auto"/>
            <w:noWrap/>
            <w:vAlign w:val="center"/>
          </w:tcPr>
          <w:p w:rsidR="00F64C46" w:rsidRPr="004A33B2" w:rsidP="00AF5E9B" w14:paraId="36A78A6E"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00F64C46" w:rsidRPr="004A33B2" w:rsidP="00AF5E9B" w14:paraId="547660DF"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r>
      <w:tr w14:paraId="47ACDB97" w14:textId="77777777" w:rsidTr="00AF5E9B">
        <w:tblPrEx>
          <w:tblW w:w="3774" w:type="pct"/>
          <w:tblInd w:w="108" w:type="dxa"/>
          <w:tblLayout w:type="fixed"/>
          <w:tblLook w:val="04A0"/>
        </w:tblPrEx>
        <w:trPr>
          <w:trHeight w:val="300"/>
        </w:trPr>
        <w:tc>
          <w:tcPr>
            <w:tcW w:w="1004" w:type="pct"/>
            <w:vMerge w:val="restart"/>
            <w:shd w:val="clear" w:color="auto" w:fill="auto"/>
            <w:noWrap/>
            <w:vAlign w:val="center"/>
          </w:tcPr>
          <w:p w:rsidR="00F64C46" w:rsidP="00AF5E9B" w14:paraId="3013634A"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Report Completion</w:t>
            </w:r>
            <w:r>
              <w:rPr>
                <w:rFonts w:ascii="Arial Narrow" w:hAnsi="Arial Narrow" w:cs="Arial"/>
                <w:color w:val="000000"/>
                <w:sz w:val="20"/>
              </w:rPr>
              <w:t xml:space="preserve"> </w:t>
            </w:r>
          </w:p>
          <w:p w:rsidR="00F64C46" w:rsidRPr="004A33B2" w:rsidP="00AF5E9B" w14:paraId="72D4DC8E" w14:textId="77777777">
            <w:pPr>
              <w:keepNext/>
              <w:keepLines/>
              <w:spacing w:after="200" w:line="276" w:lineRule="auto"/>
              <w:rPr>
                <w:rFonts w:ascii="Arial Narrow" w:hAnsi="Arial Narrow" w:cs="Arial"/>
                <w:color w:val="000000"/>
                <w:sz w:val="20"/>
              </w:rPr>
            </w:pPr>
            <w:r>
              <w:rPr>
                <w:rFonts w:ascii="Arial Narrow" w:hAnsi="Arial Narrow" w:cs="Arial"/>
                <w:color w:val="000000"/>
                <w:sz w:val="20"/>
              </w:rPr>
              <w:t>(Per Form)</w:t>
            </w:r>
          </w:p>
        </w:tc>
        <w:tc>
          <w:tcPr>
            <w:tcW w:w="1049" w:type="pct"/>
            <w:vAlign w:val="center"/>
          </w:tcPr>
          <w:p w:rsidR="00F64C46" w:rsidRPr="004A33B2" w:rsidP="00AF5E9B" w14:paraId="6B1E2925"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Management</w:t>
            </w:r>
          </w:p>
        </w:tc>
        <w:tc>
          <w:tcPr>
            <w:tcW w:w="878" w:type="pct"/>
            <w:shd w:val="clear" w:color="auto" w:fill="auto"/>
            <w:noWrap/>
            <w:vAlign w:val="center"/>
          </w:tcPr>
          <w:p w:rsidR="00F64C46" w:rsidRPr="004A33B2" w:rsidP="00AF5E9B" w14:paraId="7F1D707E"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r>
              <w:rPr>
                <w:rFonts w:ascii="Arial Narrow" w:hAnsi="Arial Narrow" w:cs="Arial"/>
                <w:color w:val="000000"/>
                <w:sz w:val="20"/>
              </w:rPr>
              <w:t>.16</w:t>
            </w:r>
          </w:p>
        </w:tc>
        <w:tc>
          <w:tcPr>
            <w:tcW w:w="2069" w:type="pct"/>
            <w:shd w:val="clear" w:color="auto" w:fill="auto"/>
            <w:noWrap/>
            <w:vAlign w:val="center"/>
          </w:tcPr>
          <w:p w:rsidR="00F64C46" w:rsidRPr="004A33B2" w:rsidP="00AF5E9B" w14:paraId="27717BF3"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0.16</w:t>
            </w:r>
          </w:p>
        </w:tc>
      </w:tr>
      <w:tr w14:paraId="49F91629"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4D71002E"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0320B3C4"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Technical</w:t>
            </w:r>
          </w:p>
        </w:tc>
        <w:tc>
          <w:tcPr>
            <w:tcW w:w="878" w:type="pct"/>
            <w:shd w:val="clear" w:color="auto" w:fill="auto"/>
            <w:noWrap/>
            <w:vAlign w:val="center"/>
          </w:tcPr>
          <w:p w:rsidR="00F64C46" w:rsidRPr="004A33B2" w:rsidP="00AF5E9B" w14:paraId="189D0B85" w14:textId="77777777">
            <w:pPr>
              <w:keepNext/>
              <w:keepLines/>
              <w:spacing w:after="200" w:line="276" w:lineRule="auto"/>
              <w:jc w:val="center"/>
              <w:rPr>
                <w:rFonts w:ascii="Arial Narrow" w:hAnsi="Arial Narrow" w:cs="Arial"/>
                <w:color w:val="000000"/>
                <w:sz w:val="20"/>
              </w:rPr>
            </w:pPr>
            <w:r>
              <w:rPr>
                <w:rFonts w:ascii="Arial Narrow" w:hAnsi="Arial Narrow" w:cs="Arial"/>
                <w:color w:val="000000"/>
                <w:sz w:val="20"/>
              </w:rPr>
              <w:t>0</w:t>
            </w:r>
          </w:p>
        </w:tc>
        <w:tc>
          <w:tcPr>
            <w:tcW w:w="2069" w:type="pct"/>
            <w:shd w:val="clear" w:color="auto" w:fill="auto"/>
            <w:noWrap/>
            <w:vAlign w:val="center"/>
          </w:tcPr>
          <w:p w:rsidR="00F64C46" w:rsidRPr="004A33B2" w:rsidP="00AF5E9B" w14:paraId="5BCFB254"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14:paraId="6515F661"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73D3EDF8" w14:textId="77777777">
            <w:pPr>
              <w:keepNext/>
              <w:keepLines/>
              <w:spacing w:after="200" w:line="276" w:lineRule="auto"/>
              <w:rPr>
                <w:rFonts w:ascii="Arial Narrow" w:hAnsi="Arial Narrow" w:cs="Arial"/>
                <w:color w:val="000000"/>
                <w:sz w:val="20"/>
              </w:rPr>
            </w:pPr>
          </w:p>
        </w:tc>
        <w:tc>
          <w:tcPr>
            <w:tcW w:w="1049" w:type="pct"/>
            <w:vAlign w:val="center"/>
          </w:tcPr>
          <w:p w:rsidR="00F64C46" w:rsidRPr="004A33B2" w:rsidP="00AF5E9B" w14:paraId="245D4373" w14:textId="77777777">
            <w:pPr>
              <w:keepNext/>
              <w:keepLines/>
              <w:spacing w:after="200" w:line="276" w:lineRule="auto"/>
              <w:rPr>
                <w:rFonts w:ascii="Arial Narrow" w:hAnsi="Arial Narrow" w:cs="Arial"/>
                <w:color w:val="000000"/>
                <w:sz w:val="20"/>
              </w:rPr>
            </w:pPr>
            <w:r w:rsidRPr="004A33B2">
              <w:rPr>
                <w:rFonts w:ascii="Arial Narrow" w:hAnsi="Arial Narrow" w:cs="Arial"/>
                <w:color w:val="000000"/>
                <w:sz w:val="20"/>
              </w:rPr>
              <w:t>Clerical</w:t>
            </w:r>
          </w:p>
        </w:tc>
        <w:tc>
          <w:tcPr>
            <w:tcW w:w="878" w:type="pct"/>
            <w:shd w:val="clear" w:color="auto" w:fill="auto"/>
            <w:noWrap/>
            <w:vAlign w:val="center"/>
          </w:tcPr>
          <w:p w:rsidR="00F64C46" w:rsidRPr="004A33B2" w:rsidP="00AF5E9B" w14:paraId="28F14C19"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c>
          <w:tcPr>
            <w:tcW w:w="2069" w:type="pct"/>
            <w:shd w:val="clear" w:color="auto" w:fill="auto"/>
            <w:noWrap/>
            <w:vAlign w:val="center"/>
          </w:tcPr>
          <w:p w:rsidR="00F64C46" w:rsidRPr="004A33B2" w:rsidP="00AF5E9B" w14:paraId="4C013333" w14:textId="77777777">
            <w:pPr>
              <w:keepNext/>
              <w:keepLines/>
              <w:spacing w:after="200" w:line="276" w:lineRule="auto"/>
              <w:jc w:val="center"/>
              <w:rPr>
                <w:rFonts w:ascii="Arial Narrow" w:hAnsi="Arial Narrow" w:cs="Arial"/>
                <w:color w:val="000000"/>
                <w:sz w:val="20"/>
              </w:rPr>
            </w:pPr>
            <w:r w:rsidRPr="004A33B2">
              <w:rPr>
                <w:rFonts w:ascii="Arial Narrow" w:hAnsi="Arial Narrow" w:cs="Arial"/>
                <w:color w:val="000000"/>
                <w:sz w:val="20"/>
              </w:rPr>
              <w:t>0</w:t>
            </w:r>
          </w:p>
        </w:tc>
      </w:tr>
      <w:tr w14:paraId="12AFAFBE" w14:textId="77777777" w:rsidTr="00AF5E9B">
        <w:tblPrEx>
          <w:tblW w:w="3774" w:type="pct"/>
          <w:tblInd w:w="108" w:type="dxa"/>
          <w:tblLayout w:type="fixed"/>
          <w:tblLook w:val="04A0"/>
        </w:tblPrEx>
        <w:trPr>
          <w:trHeight w:val="300"/>
        </w:trPr>
        <w:tc>
          <w:tcPr>
            <w:tcW w:w="1004" w:type="pct"/>
            <w:vMerge w:val="restart"/>
            <w:shd w:val="clear" w:color="auto" w:fill="auto"/>
            <w:noWrap/>
            <w:vAlign w:val="center"/>
          </w:tcPr>
          <w:p w:rsidR="00F64C46" w:rsidRPr="004A33B2" w:rsidP="00AF5E9B" w14:paraId="1699D2B0"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Total</w:t>
            </w:r>
          </w:p>
        </w:tc>
        <w:tc>
          <w:tcPr>
            <w:tcW w:w="1049" w:type="pct"/>
            <w:vAlign w:val="center"/>
          </w:tcPr>
          <w:p w:rsidR="00F64C46" w:rsidRPr="004A33B2" w:rsidP="00AF5E9B" w14:paraId="26346F8C"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Management</w:t>
            </w:r>
            <w:r>
              <w:rPr>
                <w:rFonts w:ascii="Arial Narrow" w:hAnsi="Arial Narrow" w:cs="Arial"/>
                <w:b/>
                <w:color w:val="000000"/>
                <w:sz w:val="20"/>
              </w:rPr>
              <w:t xml:space="preserve"> (Per Facility)</w:t>
            </w:r>
          </w:p>
        </w:tc>
        <w:tc>
          <w:tcPr>
            <w:tcW w:w="878" w:type="pct"/>
            <w:shd w:val="clear" w:color="auto" w:fill="auto"/>
            <w:noWrap/>
            <w:vAlign w:val="center"/>
          </w:tcPr>
          <w:p w:rsidR="00F64C46" w:rsidRPr="004A33B2" w:rsidP="00AF5E9B" w14:paraId="44A81DE2"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5</w:t>
            </w:r>
          </w:p>
        </w:tc>
        <w:tc>
          <w:tcPr>
            <w:tcW w:w="2069" w:type="pct"/>
            <w:shd w:val="clear" w:color="auto" w:fill="auto"/>
            <w:noWrap/>
            <w:vAlign w:val="center"/>
          </w:tcPr>
          <w:p w:rsidR="00F64C46" w:rsidRPr="004A33B2" w:rsidP="00AF5E9B" w14:paraId="008F40A5"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w:t>
            </w:r>
          </w:p>
        </w:tc>
      </w:tr>
      <w:tr w14:paraId="6CDB7B3B" w14:textId="77777777" w:rsidTr="00AF5E9B">
        <w:tblPrEx>
          <w:tblW w:w="3774" w:type="pct"/>
          <w:tblInd w:w="108" w:type="dxa"/>
          <w:tblLayout w:type="fixed"/>
          <w:tblLook w:val="04A0"/>
        </w:tblPrEx>
        <w:trPr>
          <w:trHeight w:val="300"/>
        </w:trPr>
        <w:tc>
          <w:tcPr>
            <w:tcW w:w="1004" w:type="pct"/>
            <w:vMerge/>
            <w:shd w:val="clear" w:color="auto" w:fill="auto"/>
            <w:noWrap/>
            <w:vAlign w:val="center"/>
          </w:tcPr>
          <w:p w:rsidR="00F64C46" w:rsidRPr="004A33B2" w:rsidP="00AF5E9B" w14:paraId="78F5CF88" w14:textId="77777777">
            <w:pPr>
              <w:keepNext/>
              <w:keepLines/>
              <w:spacing w:after="200" w:line="276" w:lineRule="auto"/>
              <w:rPr>
                <w:rFonts w:ascii="Arial Narrow" w:hAnsi="Arial Narrow" w:cs="Arial"/>
                <w:b/>
                <w:color w:val="000000"/>
                <w:sz w:val="20"/>
              </w:rPr>
            </w:pPr>
          </w:p>
        </w:tc>
        <w:tc>
          <w:tcPr>
            <w:tcW w:w="1049" w:type="pct"/>
            <w:vAlign w:val="center"/>
          </w:tcPr>
          <w:p w:rsidR="00F64C46" w:rsidRPr="004A33B2" w:rsidP="00AF5E9B" w14:paraId="09279300"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Technical</w:t>
            </w:r>
            <w:r>
              <w:rPr>
                <w:rFonts w:ascii="Arial Narrow" w:hAnsi="Arial Narrow" w:cs="Arial"/>
                <w:b/>
                <w:color w:val="000000"/>
                <w:sz w:val="20"/>
              </w:rPr>
              <w:t xml:space="preserve"> (Per Facility)</w:t>
            </w:r>
          </w:p>
        </w:tc>
        <w:tc>
          <w:tcPr>
            <w:tcW w:w="878" w:type="pct"/>
            <w:shd w:val="clear" w:color="auto" w:fill="auto"/>
            <w:noWrap/>
            <w:vAlign w:val="center"/>
          </w:tcPr>
          <w:p w:rsidR="00F64C46" w:rsidRPr="004A33B2" w:rsidP="00AF5E9B" w14:paraId="4E3F2929"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45</w:t>
            </w:r>
          </w:p>
        </w:tc>
        <w:tc>
          <w:tcPr>
            <w:tcW w:w="2069" w:type="pct"/>
            <w:shd w:val="clear" w:color="auto" w:fill="auto"/>
            <w:noWrap/>
            <w:vAlign w:val="center"/>
          </w:tcPr>
          <w:p w:rsidR="00F64C46" w:rsidRPr="004A33B2" w:rsidP="00AF5E9B" w14:paraId="681AF2A4"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r>
      <w:tr w14:paraId="60281F4E" w14:textId="77777777" w:rsidTr="00AF5E9B">
        <w:tblPrEx>
          <w:tblW w:w="3774" w:type="pct"/>
          <w:tblInd w:w="108" w:type="dxa"/>
          <w:tblLayout w:type="fixed"/>
          <w:tblLook w:val="04A0"/>
        </w:tblPrEx>
        <w:trPr>
          <w:trHeight w:val="300"/>
        </w:trPr>
        <w:tc>
          <w:tcPr>
            <w:tcW w:w="1004" w:type="pct"/>
            <w:vMerge/>
            <w:shd w:val="clear" w:color="auto" w:fill="auto"/>
            <w:noWrap/>
            <w:vAlign w:val="bottom"/>
          </w:tcPr>
          <w:p w:rsidR="00F64C46" w:rsidRPr="004A33B2" w:rsidP="00AF5E9B" w14:paraId="3B1377BA" w14:textId="77777777">
            <w:pPr>
              <w:keepNext/>
              <w:keepLines/>
              <w:spacing w:after="200" w:line="276" w:lineRule="auto"/>
              <w:rPr>
                <w:rFonts w:ascii="Arial Narrow" w:hAnsi="Arial Narrow" w:cs="Arial"/>
                <w:b/>
                <w:color w:val="000000"/>
                <w:sz w:val="20"/>
              </w:rPr>
            </w:pPr>
          </w:p>
        </w:tc>
        <w:tc>
          <w:tcPr>
            <w:tcW w:w="1049" w:type="pct"/>
            <w:vAlign w:val="center"/>
          </w:tcPr>
          <w:p w:rsidR="00F64C46" w:rsidP="00AF5E9B" w14:paraId="74E4E69F" w14:textId="77777777">
            <w:pPr>
              <w:keepNext/>
              <w:keepLines/>
              <w:spacing w:after="200" w:line="276" w:lineRule="auto"/>
              <w:rPr>
                <w:rFonts w:ascii="Arial Narrow" w:hAnsi="Arial Narrow" w:cs="Arial"/>
                <w:b/>
                <w:color w:val="000000"/>
                <w:sz w:val="20"/>
              </w:rPr>
            </w:pPr>
            <w:r w:rsidRPr="004A33B2">
              <w:rPr>
                <w:rFonts w:ascii="Arial Narrow" w:hAnsi="Arial Narrow" w:cs="Arial"/>
                <w:b/>
                <w:color w:val="000000"/>
                <w:sz w:val="20"/>
              </w:rPr>
              <w:t>Clerical</w:t>
            </w:r>
            <w:r>
              <w:rPr>
                <w:rFonts w:ascii="Arial Narrow" w:hAnsi="Arial Narrow" w:cs="Arial"/>
                <w:b/>
                <w:color w:val="000000"/>
                <w:sz w:val="20"/>
              </w:rPr>
              <w:t xml:space="preserve"> </w:t>
            </w:r>
          </w:p>
          <w:p w:rsidR="00F64C46" w:rsidRPr="004A33B2" w:rsidP="00AF5E9B" w14:paraId="0C70499E" w14:textId="77777777">
            <w:pPr>
              <w:keepNext/>
              <w:keepLines/>
              <w:spacing w:after="200" w:line="276" w:lineRule="auto"/>
              <w:rPr>
                <w:rFonts w:ascii="Arial Narrow" w:hAnsi="Arial Narrow" w:cs="Arial"/>
                <w:b/>
                <w:color w:val="000000"/>
                <w:sz w:val="20"/>
              </w:rPr>
            </w:pPr>
            <w:r>
              <w:rPr>
                <w:rFonts w:ascii="Arial Narrow" w:hAnsi="Arial Narrow" w:cs="Arial"/>
                <w:b/>
                <w:color w:val="000000"/>
                <w:sz w:val="20"/>
              </w:rPr>
              <w:t>(Per Facility)</w:t>
            </w:r>
          </w:p>
        </w:tc>
        <w:tc>
          <w:tcPr>
            <w:tcW w:w="878" w:type="pct"/>
            <w:shd w:val="clear" w:color="auto" w:fill="auto"/>
            <w:noWrap/>
            <w:vAlign w:val="center"/>
          </w:tcPr>
          <w:p w:rsidR="00F64C46" w:rsidRPr="004A33B2" w:rsidP="00AF5E9B" w14:paraId="4AC4DC95"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c>
          <w:tcPr>
            <w:tcW w:w="2069" w:type="pct"/>
            <w:shd w:val="clear" w:color="auto" w:fill="auto"/>
            <w:noWrap/>
            <w:vAlign w:val="center"/>
          </w:tcPr>
          <w:p w:rsidR="00F64C46" w:rsidRPr="004A33B2" w:rsidP="00AF5E9B" w14:paraId="7D4F2414" w14:textId="77777777">
            <w:pPr>
              <w:keepNext/>
              <w:keepLines/>
              <w:spacing w:after="200" w:line="276" w:lineRule="auto"/>
              <w:jc w:val="center"/>
              <w:rPr>
                <w:rFonts w:ascii="Arial Narrow" w:hAnsi="Arial Narrow" w:cs="Arial"/>
                <w:b/>
                <w:color w:val="000000"/>
                <w:sz w:val="20"/>
              </w:rPr>
            </w:pPr>
            <w:r w:rsidRPr="004A33B2">
              <w:rPr>
                <w:rFonts w:ascii="Arial Narrow" w:hAnsi="Arial Narrow" w:cs="Arial"/>
                <w:b/>
                <w:color w:val="000000"/>
                <w:sz w:val="20"/>
              </w:rPr>
              <w:t>0</w:t>
            </w:r>
          </w:p>
        </w:tc>
      </w:tr>
      <w:tr w14:paraId="3A103DB0" w14:textId="77777777" w:rsidTr="00AF5E9B">
        <w:tblPrEx>
          <w:tblW w:w="3774" w:type="pct"/>
          <w:tblInd w:w="108" w:type="dxa"/>
          <w:tblLayout w:type="fixed"/>
          <w:tblLook w:val="04A0"/>
        </w:tblPrEx>
        <w:trPr>
          <w:trHeight w:val="300"/>
        </w:trPr>
        <w:tc>
          <w:tcPr>
            <w:tcW w:w="1004" w:type="pct"/>
            <w:vMerge/>
            <w:shd w:val="clear" w:color="auto" w:fill="auto"/>
            <w:noWrap/>
            <w:vAlign w:val="bottom"/>
          </w:tcPr>
          <w:p w:rsidR="00F64C46" w:rsidRPr="004A33B2" w:rsidP="00AF5E9B" w14:paraId="7E45DFE7" w14:textId="77777777">
            <w:pPr>
              <w:keepNext/>
              <w:keepLines/>
              <w:spacing w:after="200" w:line="276" w:lineRule="auto"/>
              <w:rPr>
                <w:rFonts w:ascii="Arial Narrow" w:hAnsi="Arial Narrow" w:cs="Arial"/>
                <w:b/>
                <w:color w:val="000000"/>
                <w:sz w:val="20"/>
              </w:rPr>
            </w:pPr>
          </w:p>
        </w:tc>
        <w:tc>
          <w:tcPr>
            <w:tcW w:w="1049" w:type="pct"/>
            <w:vAlign w:val="center"/>
          </w:tcPr>
          <w:p w:rsidR="00F64C46" w:rsidRPr="004A33B2" w:rsidP="00AF5E9B" w14:paraId="59ABA8B0" w14:textId="77777777">
            <w:pPr>
              <w:keepNext/>
              <w:keepLines/>
              <w:spacing w:after="200" w:line="276" w:lineRule="auto"/>
              <w:rPr>
                <w:rFonts w:ascii="Arial Narrow" w:hAnsi="Arial Narrow" w:cs="Arial"/>
                <w:b/>
                <w:color w:val="000000"/>
                <w:sz w:val="20"/>
              </w:rPr>
            </w:pPr>
            <w:r>
              <w:rPr>
                <w:rFonts w:ascii="Arial Narrow" w:hAnsi="Arial Narrow" w:cs="Arial"/>
                <w:b/>
                <w:color w:val="000000"/>
                <w:sz w:val="20"/>
              </w:rPr>
              <w:t>Management (Per Form)</w:t>
            </w:r>
          </w:p>
        </w:tc>
        <w:tc>
          <w:tcPr>
            <w:tcW w:w="878" w:type="pct"/>
            <w:shd w:val="clear" w:color="auto" w:fill="auto"/>
            <w:noWrap/>
            <w:vAlign w:val="center"/>
          </w:tcPr>
          <w:p w:rsidR="00F64C46" w:rsidRPr="004A33B2" w:rsidP="00AF5E9B" w14:paraId="297346E0"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0.16</w:t>
            </w:r>
          </w:p>
        </w:tc>
        <w:tc>
          <w:tcPr>
            <w:tcW w:w="2069" w:type="pct"/>
            <w:shd w:val="clear" w:color="auto" w:fill="auto"/>
            <w:noWrap/>
            <w:vAlign w:val="center"/>
          </w:tcPr>
          <w:p w:rsidR="00F64C46" w:rsidRPr="004A33B2" w:rsidP="00AF5E9B" w14:paraId="4672B82C" w14:textId="77777777">
            <w:pPr>
              <w:keepNext/>
              <w:keepLines/>
              <w:spacing w:after="200" w:line="276" w:lineRule="auto"/>
              <w:jc w:val="center"/>
              <w:rPr>
                <w:rFonts w:ascii="Arial Narrow" w:hAnsi="Arial Narrow" w:cs="Arial"/>
                <w:b/>
                <w:color w:val="000000"/>
                <w:sz w:val="20"/>
              </w:rPr>
            </w:pPr>
            <w:r>
              <w:rPr>
                <w:rFonts w:ascii="Arial Narrow" w:hAnsi="Arial Narrow" w:cs="Arial"/>
                <w:b/>
                <w:color w:val="000000"/>
                <w:sz w:val="20"/>
              </w:rPr>
              <w:t>0.16</w:t>
            </w:r>
          </w:p>
        </w:tc>
      </w:tr>
    </w:tbl>
    <w:p w:rsidR="00F64C46" w:rsidP="00F64C46" w14:paraId="1C1B4A47" w14:textId="77777777">
      <w:pPr>
        <w:pStyle w:val="NoSpacing"/>
      </w:pPr>
    </w:p>
    <w:p w:rsidR="00F64C46" w:rsidP="00F64C46" w14:paraId="5DFD4841" w14:textId="77777777">
      <w:pPr>
        <w:pStyle w:val="NoSpacing"/>
      </w:pPr>
    </w:p>
    <w:p w:rsidR="00F64C46" w:rsidRPr="0028369E" w:rsidP="00DB07C0" w14:paraId="58C9C3DF" w14:textId="77777777">
      <w:pPr>
        <w:pStyle w:val="Heading2"/>
      </w:pPr>
      <w:r w:rsidRPr="0028369E">
        <w:t xml:space="preserve">13. Provide an estimate for the total annual cost burden to respondents or record keepers resulting from the collection of information. (Do not include the cost of any hour burden already reflected on the burden worksheet). </w:t>
      </w:r>
    </w:p>
    <w:p w:rsidR="00F64C46" w:rsidRPr="0028369E" w:rsidP="00DB07C0" w14:paraId="4F6C2F2E" w14:textId="77777777">
      <w:pPr>
        <w:pStyle w:val="Heading2"/>
        <w:numPr>
          <w:ilvl w:val="0"/>
          <w:numId w:val="11"/>
        </w:numPr>
      </w:pPr>
      <w:r w:rsidRPr="0028369E">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8369E">
        <w:t>time period</w:t>
      </w:r>
      <w:r w:rsidRPr="0028369E">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F64C46" w:rsidRPr="0028369E" w:rsidP="00DB07C0" w14:paraId="045AEA81" w14:textId="77777777">
      <w:pPr>
        <w:pStyle w:val="Heading2"/>
        <w:numPr>
          <w:ilvl w:val="0"/>
          <w:numId w:val="11"/>
        </w:numPr>
      </w:pPr>
      <w:r w:rsidRPr="0028369E">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64C46" w:rsidRPr="0028369E" w:rsidP="00DB07C0" w14:paraId="2EE314D5" w14:textId="77777777">
      <w:pPr>
        <w:pStyle w:val="Heading2"/>
        <w:numPr>
          <w:ilvl w:val="0"/>
          <w:numId w:val="11"/>
        </w:numPr>
      </w:pPr>
      <w:r w:rsidRPr="0028369E">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64C46" w:rsidP="00F64C46" w14:paraId="58A2EB2C" w14:textId="77777777">
      <w:pPr>
        <w:pStyle w:val="NoSpacing"/>
      </w:pPr>
    </w:p>
    <w:p w:rsidR="00F64C46" w:rsidP="00F64C46" w14:paraId="7D24CEDF" w14:textId="77777777">
      <w:pPr>
        <w:pStyle w:val="NoSpacing"/>
      </w:pPr>
      <w:r w:rsidRPr="005B6B42">
        <w:t>There are no specific capital and operation and maintenance costs associated directly with this information collection activity.</w:t>
      </w:r>
    </w:p>
    <w:p w:rsidR="00F64C46" w:rsidP="00F64C46" w14:paraId="082143B1" w14:textId="77777777">
      <w:pPr>
        <w:pStyle w:val="NoSpacing"/>
      </w:pPr>
    </w:p>
    <w:p w:rsidR="00F64C46" w:rsidRPr="0028369E" w:rsidP="00DB07C0" w14:paraId="7F2E8862" w14:textId="77777777">
      <w:pPr>
        <w:pStyle w:val="Heading2"/>
      </w:pPr>
      <w:r w:rsidRPr="0028369E">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64C46" w:rsidRPr="00DB025F" w:rsidP="00F64C46" w14:paraId="3AF1D084" w14:textId="77777777">
      <w:pPr>
        <w:spacing w:after="200" w:line="276" w:lineRule="auto"/>
      </w:pPr>
      <w:r w:rsidRPr="007D70B1">
        <w:t xml:space="preserve">For the TRI program in general, EPA incurs burden and costs to process TRI forms in five categories of activities: data processing, outreach and training, information dissemination, policy and petitions, and compliance and enforcement. The estimate of EPA burden and costs is separated into a fixed component and a variable component. Activities and expenses that are not greatly affected by marginal changes in reporting quantities are considered fixed costs. These activities and expenses include rent for the EPCRA Reporting Center, development </w:t>
      </w:r>
      <w:r w:rsidRPr="007D70B1">
        <w:t xml:space="preserve">costs for data access tools, compliance assistance measures, and other activities and expenses listed above. There are no additional fixed costs to the Agency associated with the </w:t>
      </w:r>
      <w:r>
        <w:t>final</w:t>
      </w:r>
      <w:r w:rsidRPr="007D70B1">
        <w:t xml:space="preserve"> rule. Activities and expenses that vary with marginal changes in the number of reports submitted are considered variable costs. The primary variable cost analyzed in this analysis is the cost of processing forms.</w:t>
      </w:r>
      <w:r>
        <w:t xml:space="preserve"> Because the final rule does not change the number of forms submitted, there is no additional variable costs to the Agency associated with the final rule.</w:t>
      </w:r>
    </w:p>
    <w:p w:rsidR="00F64C46" w:rsidRPr="0028369E" w:rsidP="00DB07C0" w14:paraId="69D93084" w14:textId="77777777">
      <w:pPr>
        <w:pStyle w:val="Heading2"/>
      </w:pPr>
      <w:r w:rsidRPr="0028369E">
        <w:t>15. Explain the reasons for any program changes or adjustments reported on the burden worksheet.</w:t>
      </w:r>
    </w:p>
    <w:p w:rsidR="00F64C46" w:rsidP="00F64C46" w14:paraId="15E77C1F" w14:textId="77777777">
      <w:pPr>
        <w:pStyle w:val="NoSpacing"/>
        <w:spacing w:after="200" w:line="276" w:lineRule="auto"/>
      </w:pPr>
      <w:r>
        <w:t>The i</w:t>
      </w:r>
      <w:r w:rsidRPr="0070219C">
        <w:t>ncremental reporting burden</w:t>
      </w:r>
      <w:r>
        <w:t xml:space="preserve"> </w:t>
      </w:r>
      <w:r w:rsidRPr="0070219C">
        <w:t xml:space="preserve">per form </w:t>
      </w:r>
      <w:r>
        <w:t>for the addition of two</w:t>
      </w:r>
      <w:r w:rsidRPr="0070219C">
        <w:t xml:space="preserve"> data element</w:t>
      </w:r>
      <w:r>
        <w:t>s</w:t>
      </w:r>
      <w:r w:rsidRPr="0070219C">
        <w:t xml:space="preserve"> to Part I, Section 5</w:t>
      </w:r>
      <w:r>
        <w:t xml:space="preserve"> for the foreign parent entity </w:t>
      </w:r>
      <w:r w:rsidRPr="0070219C">
        <w:t>is calculated by addition of the same reporting burden in the RBBM as Part I, Section 5.1. Steady state burden only requires management time for reviewing purposes since the information will already be recorded in TRI-MEweb.</w:t>
      </w:r>
      <w:r>
        <w:t xml:space="preserve"> The resulting reporting burden will increase by 0.16 minutes per reporting form.</w:t>
      </w:r>
    </w:p>
    <w:p w:rsidR="00F64C46" w:rsidRPr="0028369E" w:rsidP="00DB07C0" w14:paraId="6C91791E" w14:textId="77777777">
      <w:pPr>
        <w:pStyle w:val="Heading2"/>
      </w:pPr>
      <w:r w:rsidRPr="0028369E">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64C46" w:rsidP="00F64C46" w14:paraId="702FB0AD" w14:textId="77777777">
      <w:pPr>
        <w:pStyle w:val="NoSpacing"/>
      </w:pPr>
      <w:r>
        <w:t xml:space="preserve">Not applicable. </w:t>
      </w:r>
    </w:p>
    <w:p w:rsidR="00F64C46" w:rsidP="00F64C46" w14:paraId="7099D22F" w14:textId="77777777">
      <w:pPr>
        <w:pStyle w:val="NoSpacing"/>
      </w:pPr>
    </w:p>
    <w:p w:rsidR="00F64C46" w:rsidRPr="0028369E" w:rsidP="00DB07C0" w14:paraId="5821404C" w14:textId="77777777">
      <w:pPr>
        <w:pStyle w:val="Heading2"/>
      </w:pPr>
      <w:r w:rsidRPr="0028369E">
        <w:t xml:space="preserve">17. If seeking approval to not display the expiration date for OMB approval of the information collection, explain the reasons that display would be inappropriate. </w:t>
      </w:r>
    </w:p>
    <w:p w:rsidR="00F64C46" w:rsidRPr="009036AD" w:rsidP="00F64C46" w14:paraId="09EDFB1C" w14:textId="77777777">
      <w:pPr>
        <w:pStyle w:val="NoSpacing"/>
        <w:rPr>
          <w:bCs/>
        </w:rPr>
      </w:pPr>
      <w:r>
        <w:rPr>
          <w:bCs/>
        </w:rPr>
        <w:t>Not applicable.</w:t>
      </w:r>
    </w:p>
    <w:p w:rsidR="00F64C46" w:rsidRPr="009B59ED" w:rsidP="00F64C46" w14:paraId="09C70F1B" w14:textId="77777777">
      <w:pPr>
        <w:pStyle w:val="NoSpacing"/>
        <w:rPr>
          <w:b/>
        </w:rPr>
      </w:pPr>
    </w:p>
    <w:p w:rsidR="00F64C46" w:rsidRPr="0028369E" w:rsidP="00DB07C0" w14:paraId="349B3F8C" w14:textId="77777777">
      <w:pPr>
        <w:pStyle w:val="Heading2"/>
      </w:pPr>
      <w:r w:rsidRPr="0028369E">
        <w:t>18. Explain each exception to the topics of the certification statement identified in “Certification for Paperwork Reduction Act Submissions.”</w:t>
      </w:r>
    </w:p>
    <w:p w:rsidR="00F64C46" w:rsidRPr="00ED1F0D" w:rsidP="00F64C46" w14:paraId="67F523D6" w14:textId="77777777">
      <w:pPr>
        <w:rPr>
          <w:lang w:bidi="en-US"/>
        </w:rPr>
      </w:pPr>
      <w:r>
        <w:rPr>
          <w:lang w:bidi="en-US"/>
        </w:rPr>
        <w:t xml:space="preserve">EPA does not request an exception to the certification of this information collection. </w:t>
      </w:r>
    </w:p>
    <w:p w:rsidR="00F64C46" w:rsidRPr="00247A35" w:rsidP="00F64C46" w14:paraId="426CB2EA" w14:textId="77777777"/>
    <w:p w:rsidR="00F64C46" w:rsidP="00F64C46" w14:paraId="5F18A39B" w14:textId="2F44447D">
      <w:pPr>
        <w:pStyle w:val="Heading1"/>
      </w:pPr>
      <w:r>
        <w:t>Supplemental Information</w:t>
      </w:r>
    </w:p>
    <w:p w:rsidR="0028369E" w:rsidP="0028369E" w14:paraId="69044055" w14:textId="20DFA6B0">
      <w:pPr>
        <w:rPr>
          <w:u w:val="single"/>
        </w:rPr>
      </w:pPr>
      <w:r w:rsidRPr="0028369E">
        <w:rPr>
          <w:u w:val="single"/>
        </w:rPr>
        <w:t xml:space="preserve">PRA Burden Statement </w:t>
      </w:r>
    </w:p>
    <w:p w:rsidR="00FF6684" w:rsidRPr="00DB07C0" w:rsidP="00DB07C0" w14:paraId="3F0A73B2" w14:textId="563AAD09">
      <w:pPr>
        <w:spacing w:after="200" w:line="276" w:lineRule="auto"/>
        <w:rPr>
          <w:rFonts w:cs="Arial"/>
        </w:rPr>
      </w:pPr>
      <w:r w:rsidRPr="00F70C82">
        <w:rPr>
          <w:rFonts w:cs="Arial"/>
        </w:rPr>
        <w:t>This collection of information is approved by OMB under the Paperwork Reduction Act, 44 U.S.C. 3501 et seq. (OMB Control No. 2070-</w:t>
      </w:r>
      <w:r w:rsidR="009A50B1">
        <w:rPr>
          <w:rFonts w:cs="Arial"/>
        </w:rPr>
        <w:t>0216</w:t>
      </w:r>
      <w:r w:rsidRPr="00F70C82">
        <w:rPr>
          <w:rFonts w:cs="Arial"/>
        </w:rPr>
        <w:t xml:space="preserve">). Responses to this collection of information are </w:t>
      </w:r>
      <w:r>
        <w:rPr>
          <w:rFonts w:cs="Arial"/>
        </w:rPr>
        <w:t>mandatory,</w:t>
      </w:r>
      <w:r w:rsidRPr="00F70C82">
        <w:rPr>
          <w:rFonts w:cs="Arial"/>
        </w:rPr>
        <w:t xml:space="preserve"> as specified in </w:t>
      </w:r>
      <w:r>
        <w:rPr>
          <w:rFonts w:cs="Arial"/>
        </w:rPr>
        <w:t>40 CFR 372</w:t>
      </w:r>
      <w:r w:rsidRPr="00F70C82">
        <w:rPr>
          <w:rFonts w:cs="Arial"/>
        </w:rPr>
        <w:t>.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DB07C0">
        <w:rPr>
          <w:rFonts w:cs="Arial"/>
        </w:rPr>
        <w:t xml:space="preserve"> .28</w:t>
      </w:r>
      <w:r w:rsidRPr="00F70C82">
        <w:rPr>
          <w:rFonts w:cs="Arial"/>
        </w:rPr>
        <w:t xml:space="preserve"> hours per</w:t>
      </w:r>
      <w:r w:rsidRPr="00F70C82">
        <w:rPr>
          <w:rFonts w:cs="Arial"/>
          <w:color w:val="FF0000"/>
        </w:rPr>
        <w:t xml:space="preserve"> </w:t>
      </w:r>
      <w:r w:rsidRPr="00F70C82">
        <w:rPr>
          <w:rFonts w:cs="Arial"/>
        </w:rPr>
        <w:t xml:space="preserve">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w:t>
      </w:r>
      <w:r w:rsidRPr="00F70C82">
        <w:rPr>
          <w:rFonts w:cs="Arial"/>
        </w:rPr>
        <w:t>20460. Include the OMB control number in any correspondence. Do not send the completed form to this address.</w:t>
      </w:r>
    </w:p>
    <w:p w:rsidR="00F64C46" w:rsidP="00F64C46" w14:paraId="4D1C1CB7" w14:textId="77777777">
      <w:pPr>
        <w:numPr>
          <w:ilvl w:val="12"/>
          <w:numId w:val="0"/>
        </w:numPr>
        <w:spacing w:after="200" w:line="276" w:lineRule="auto"/>
        <w:rPr>
          <w:color w:val="0F0F0F"/>
          <w:szCs w:val="24"/>
        </w:rPr>
      </w:pPr>
      <w:bookmarkStart w:id="7" w:name="_Hlk80787718"/>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OPPT-20</w:t>
      </w:r>
      <w:r>
        <w:rPr>
          <w:szCs w:val="24"/>
        </w:rPr>
        <w:t>18-0155</w:t>
      </w:r>
      <w:r w:rsidRPr="002A07CD">
        <w:rPr>
          <w:szCs w:val="24"/>
        </w:rPr>
        <w:t xml:space="preserve">, </w:t>
      </w:r>
      <w:bookmarkStart w:id="8" w:name="_Hlk80705102"/>
      <w:r w:rsidRPr="002A07CD">
        <w:rPr>
          <w:szCs w:val="24"/>
        </w:rPr>
        <w:t xml:space="preserve">which </w:t>
      </w:r>
      <w:r w:rsidRPr="00950869">
        <w:rPr>
          <w:color w:val="0F0F0F"/>
          <w:szCs w:val="24"/>
        </w:rPr>
        <w:t xml:space="preserve">is available at </w:t>
      </w:r>
      <w:hyperlink r:id="rId9" w:history="1">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F64C46" w:rsidP="00F64C46" w14:paraId="4A8663C8" w14:textId="77777777">
      <w:pPr>
        <w:spacing w:after="200" w:line="276" w:lineRule="auto"/>
      </w:pPr>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r:id="rId10" w:history="1">
        <w:r w:rsidRPr="00B7714D">
          <w:rPr>
            <w:rStyle w:val="Hyperlink"/>
          </w:rPr>
          <w:t>http://www.reginfo.gov/public/do/PRAMain</w:t>
        </w:r>
      </w:hyperlink>
      <w:r>
        <w:t xml:space="preserve">. Find this </w:t>
      </w:r>
      <w:r>
        <w:t>particular information</w:t>
      </w:r>
      <w:r>
        <w:t xml:space="preserve"> collection by selecting ‘‘Currently under 30-day Review—Open for Public Comments’’ or by using the search function.</w:t>
      </w:r>
    </w:p>
    <w:p w:rsidR="00F64C46" w:rsidP="00F64C46" w14:paraId="20AEDE8D" w14:textId="77777777">
      <w:pPr>
        <w:spacing w:after="200" w:line="276" w:lineRule="auto"/>
      </w:pPr>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7"/>
    <w:bookmarkEnd w:id="8"/>
    <w:p w:rsidR="00F64C46" w:rsidP="00F64C46" w14:paraId="65DEBFDD" w14:textId="77777777">
      <w:pPr>
        <w:pStyle w:val="Heading1"/>
      </w:pPr>
      <w:r>
        <w:t>List of Attachments</w:t>
      </w:r>
    </w:p>
    <w:p w:rsidR="00F64C46" w:rsidP="00F64C46" w14:paraId="2D736C36" w14:textId="294D19B8">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r:id="rId11" w:history="1">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EPA-HQ-OPPT</w:t>
      </w:r>
      <w:r w:rsidR="0028369E">
        <w:rPr>
          <w:rFonts w:cs="Arial"/>
          <w:szCs w:val="24"/>
        </w:rPr>
        <w:t>-</w:t>
      </w:r>
      <w:r>
        <w:rPr>
          <w:rFonts w:cs="Arial"/>
          <w:szCs w:val="24"/>
        </w:rPr>
        <w:t>2018-0155</w:t>
      </w:r>
      <w:r>
        <w:rPr>
          <w:lang w:bidi="en-US"/>
        </w:rPr>
        <w:t>.</w:t>
      </w:r>
    </w:p>
    <w:p w:rsidR="00F64C46" w:rsidRPr="00216B53" w:rsidP="00F64C46" w14:paraId="400B0ED0" w14:textId="77777777">
      <w:pPr>
        <w:pStyle w:val="NoSpacing"/>
        <w:rPr>
          <w:lang w:bidi="en-US"/>
        </w:rPr>
      </w:pPr>
    </w:p>
    <w:tbl>
      <w:tblPr>
        <w:tblStyle w:val="TableGrid"/>
        <w:tblW w:w="0" w:type="auto"/>
        <w:tblLook w:val="04A0"/>
      </w:tblPr>
      <w:tblGrid>
        <w:gridCol w:w="605"/>
        <w:gridCol w:w="9465"/>
      </w:tblGrid>
      <w:tr w14:paraId="006B63F6" w14:textId="77777777" w:rsidTr="00AF5E9B">
        <w:tblPrEx>
          <w:tblW w:w="0" w:type="auto"/>
          <w:tblLook w:val="04A0"/>
        </w:tblPrEx>
        <w:tc>
          <w:tcPr>
            <w:tcW w:w="605" w:type="dxa"/>
          </w:tcPr>
          <w:p w:rsidR="00F64C46" w:rsidRPr="0026304B" w:rsidP="00AF5E9B" w14:paraId="03440813" w14:textId="77777777">
            <w:pPr>
              <w:spacing w:before="40" w:after="40"/>
              <w:rPr>
                <w:b/>
                <w:bCs/>
              </w:rPr>
            </w:pPr>
            <w:r w:rsidRPr="0026304B">
              <w:rPr>
                <w:b/>
                <w:bCs/>
              </w:rPr>
              <w:t>Ref.</w:t>
            </w:r>
          </w:p>
        </w:tc>
        <w:tc>
          <w:tcPr>
            <w:tcW w:w="9465" w:type="dxa"/>
          </w:tcPr>
          <w:p w:rsidR="00F64C46" w:rsidRPr="0026304B" w:rsidP="00AF5E9B" w14:paraId="63F67174" w14:textId="77777777">
            <w:pPr>
              <w:spacing w:before="40" w:after="40"/>
              <w:rPr>
                <w:b/>
                <w:bCs/>
              </w:rPr>
            </w:pPr>
            <w:r w:rsidRPr="0026304B">
              <w:rPr>
                <w:b/>
                <w:bCs/>
              </w:rPr>
              <w:t xml:space="preserve">Title </w:t>
            </w:r>
          </w:p>
        </w:tc>
      </w:tr>
      <w:tr w14:paraId="75EC916E" w14:textId="77777777" w:rsidTr="00AF5E9B">
        <w:tblPrEx>
          <w:tblW w:w="0" w:type="auto"/>
          <w:tblLook w:val="04A0"/>
        </w:tblPrEx>
        <w:tc>
          <w:tcPr>
            <w:tcW w:w="605" w:type="dxa"/>
          </w:tcPr>
          <w:p w:rsidR="00F64C46" w:rsidP="00AF5E9B" w14:paraId="32E67F4D" w14:textId="77777777">
            <w:pPr>
              <w:spacing w:before="40" w:after="40"/>
            </w:pPr>
            <w:r>
              <w:t>1.</w:t>
            </w:r>
          </w:p>
        </w:tc>
        <w:tc>
          <w:tcPr>
            <w:tcW w:w="9465" w:type="dxa"/>
          </w:tcPr>
          <w:p w:rsidR="00F64C46" w:rsidP="00AF5E9B" w14:paraId="4FAE89E2" w14:textId="77777777">
            <w:pPr>
              <w:spacing w:before="40" w:after="40"/>
            </w:pPr>
            <w:hyperlink r:id="rId12" w:history="1">
              <w:r>
                <w:rPr>
                  <w:rStyle w:val="Hyperlink"/>
                </w:rPr>
                <w:t xml:space="preserve">Emergency Planning and Community Right-to-Know Act (EPCRA) section 313 </w:t>
              </w:r>
            </w:hyperlink>
            <w:r w:rsidRPr="001175CB">
              <w:t xml:space="preserve"> and</w:t>
            </w:r>
            <w:r>
              <w:t xml:space="preserve"> </w:t>
            </w:r>
            <w:hyperlink r:id="rId13" w:history="1">
              <w:r>
                <w:rPr>
                  <w:rStyle w:val="Hyperlink"/>
                </w:rPr>
                <w:t>section 6607 of the Pollution Prevention Act</w:t>
              </w:r>
            </w:hyperlink>
            <w:r>
              <w:t xml:space="preserve"> </w:t>
            </w:r>
          </w:p>
        </w:tc>
      </w:tr>
      <w:tr w14:paraId="293B9874" w14:textId="77777777" w:rsidTr="00AF5E9B">
        <w:tblPrEx>
          <w:tblW w:w="0" w:type="auto"/>
          <w:tblLook w:val="04A0"/>
        </w:tblPrEx>
        <w:tc>
          <w:tcPr>
            <w:tcW w:w="605" w:type="dxa"/>
          </w:tcPr>
          <w:p w:rsidR="00F64C46" w:rsidP="00AF5E9B" w14:paraId="0F9427E5" w14:textId="77777777">
            <w:pPr>
              <w:spacing w:before="40" w:after="40"/>
            </w:pPr>
            <w:r>
              <w:t>2.</w:t>
            </w:r>
          </w:p>
        </w:tc>
        <w:tc>
          <w:tcPr>
            <w:tcW w:w="9465" w:type="dxa"/>
          </w:tcPr>
          <w:p w:rsidR="00F64C46" w:rsidP="00AF5E9B" w14:paraId="41CB2447" w14:textId="77777777">
            <w:pPr>
              <w:spacing w:before="40" w:after="40"/>
            </w:pPr>
            <w:r>
              <w:t>Final Rule</w:t>
            </w:r>
          </w:p>
        </w:tc>
      </w:tr>
      <w:tr w14:paraId="7AC42636" w14:textId="77777777" w:rsidTr="00AF5E9B">
        <w:tblPrEx>
          <w:tblW w:w="0" w:type="auto"/>
          <w:tblLook w:val="04A0"/>
        </w:tblPrEx>
        <w:tc>
          <w:tcPr>
            <w:tcW w:w="605" w:type="dxa"/>
          </w:tcPr>
          <w:p w:rsidR="00F64C46" w:rsidP="00AF5E9B" w14:paraId="6E5459C1" w14:textId="77777777">
            <w:pPr>
              <w:spacing w:before="40" w:after="40"/>
            </w:pPr>
            <w:r>
              <w:t>3.</w:t>
            </w:r>
          </w:p>
        </w:tc>
        <w:tc>
          <w:tcPr>
            <w:tcW w:w="9465" w:type="dxa"/>
          </w:tcPr>
          <w:p w:rsidR="00F64C46" w:rsidP="00AF5E9B" w14:paraId="3504231F" w14:textId="33EDD6DF">
            <w:pPr>
              <w:spacing w:before="40" w:after="40"/>
            </w:pPr>
            <w:r w:rsidRPr="006E448E">
              <w:rPr>
                <w:rStyle w:val="Heading2Char"/>
              </w:rPr>
              <w:t>Toxics Release Inventory Sample 20</w:t>
            </w:r>
            <w:r>
              <w:rPr>
                <w:rStyle w:val="Heading2Char"/>
              </w:rPr>
              <w:t>20</w:t>
            </w:r>
            <w:r w:rsidRPr="006E448E">
              <w:rPr>
                <w:rStyle w:val="Heading2Char"/>
              </w:rPr>
              <w:t xml:space="preserve"> Form</w:t>
            </w:r>
            <w:r w:rsidRPr="00715D30">
              <w:rPr>
                <w:rStyle w:val="Heading2Char"/>
                <w:b w:val="0"/>
                <w:bCs w:val="0"/>
              </w:rPr>
              <w:t xml:space="preserve"> R</w:t>
            </w:r>
            <w:r w:rsidRPr="00715D30">
              <w:rPr>
                <w:b/>
              </w:rPr>
              <w:t xml:space="preserve"> </w:t>
            </w:r>
            <w:r w:rsidRPr="00715D30" w:rsidR="00031AB5">
              <w:rPr>
                <w:b/>
              </w:rPr>
              <w:t xml:space="preserve">EPA Form No. 9350-1 </w:t>
            </w:r>
            <w:hyperlink r:id="rId14" w:history="1">
              <w:r w:rsidRPr="00031AB5" w:rsidR="00031AB5">
                <w:rPr>
                  <w:rStyle w:val="Hyperlink"/>
                </w:rPr>
                <w:t>https://ordspub.epa.gov/ords/guideme_ext/guideme_ext/guideme/file/ry_2020_form_r.pdf</w:t>
              </w:r>
            </w:hyperlink>
            <w:r>
              <w:t xml:space="preserve"> </w:t>
            </w:r>
          </w:p>
        </w:tc>
      </w:tr>
      <w:tr w14:paraId="1A87EEDE" w14:textId="77777777" w:rsidTr="00AF5E9B">
        <w:tblPrEx>
          <w:tblW w:w="0" w:type="auto"/>
          <w:tblLook w:val="04A0"/>
        </w:tblPrEx>
        <w:tc>
          <w:tcPr>
            <w:tcW w:w="605" w:type="dxa"/>
          </w:tcPr>
          <w:p w:rsidR="00F64C46" w:rsidP="00AF5E9B" w14:paraId="51FAF089" w14:textId="77777777">
            <w:pPr>
              <w:spacing w:before="40" w:after="40"/>
            </w:pPr>
            <w:r>
              <w:t>4.</w:t>
            </w:r>
          </w:p>
        </w:tc>
        <w:tc>
          <w:tcPr>
            <w:tcW w:w="9465" w:type="dxa"/>
          </w:tcPr>
          <w:p w:rsidR="00F64C46" w:rsidRPr="006E448E" w:rsidP="00AF5E9B" w14:paraId="22EA889F" w14:textId="32740E0C">
            <w:pPr>
              <w:spacing w:before="40" w:after="40"/>
              <w:rPr>
                <w:rStyle w:val="Heading2Char"/>
              </w:rPr>
            </w:pPr>
            <w:r w:rsidRPr="006E448E">
              <w:rPr>
                <w:rStyle w:val="Heading2Char"/>
              </w:rPr>
              <w:t>Toxics Release Inventory Sample 20</w:t>
            </w:r>
            <w:r>
              <w:rPr>
                <w:rStyle w:val="Heading2Char"/>
              </w:rPr>
              <w:t>20</w:t>
            </w:r>
            <w:r w:rsidRPr="006E448E">
              <w:rPr>
                <w:rStyle w:val="Heading2Char"/>
              </w:rPr>
              <w:t xml:space="preserve"> Form R Sched</w:t>
            </w:r>
            <w:r w:rsidRPr="00715D30">
              <w:rPr>
                <w:rStyle w:val="Heading2Char"/>
                <w:b w:val="0"/>
                <w:bCs w:val="0"/>
              </w:rPr>
              <w:t>ule 1</w:t>
            </w:r>
            <w:r w:rsidRPr="00715D30">
              <w:rPr>
                <w:b/>
              </w:rPr>
              <w:t xml:space="preserve"> </w:t>
            </w:r>
            <w:r w:rsidRPr="00715D30" w:rsidR="00031AB5">
              <w:rPr>
                <w:b/>
              </w:rPr>
              <w:t xml:space="preserve">EPA Form No. 9350-3 </w:t>
            </w:r>
            <w:hyperlink r:id="rId15" w:history="1">
              <w:r w:rsidRPr="00031AB5" w:rsidR="00031AB5">
                <w:rPr>
                  <w:rStyle w:val="Hyperlink"/>
                </w:rPr>
                <w:t>https://ordspub.epa.gov/ords/guideme_ext/guideme_ext/guideme/file/ry_2020_form_r_schedule_1.pdf</w:t>
              </w:r>
            </w:hyperlink>
            <w:r>
              <w:t xml:space="preserve"> </w:t>
            </w:r>
          </w:p>
        </w:tc>
      </w:tr>
      <w:tr w14:paraId="178BF5A8" w14:textId="77777777" w:rsidTr="00AF5E9B">
        <w:tblPrEx>
          <w:tblW w:w="0" w:type="auto"/>
          <w:tblLook w:val="04A0"/>
        </w:tblPrEx>
        <w:tc>
          <w:tcPr>
            <w:tcW w:w="605" w:type="dxa"/>
          </w:tcPr>
          <w:p w:rsidR="00F64C46" w:rsidP="00AF5E9B" w14:paraId="6BE3697A" w14:textId="77777777">
            <w:pPr>
              <w:spacing w:before="40" w:after="40"/>
            </w:pPr>
            <w:r>
              <w:t>5.</w:t>
            </w:r>
          </w:p>
        </w:tc>
        <w:tc>
          <w:tcPr>
            <w:tcW w:w="9465" w:type="dxa"/>
          </w:tcPr>
          <w:p w:rsidR="00F64C46" w:rsidRPr="007B26DE" w:rsidP="00AF5E9B" w14:paraId="0E525B52" w14:textId="45A17DA4">
            <w:pPr>
              <w:pStyle w:val="Heading2"/>
              <w:spacing w:after="0"/>
              <w:outlineLvl w:val="1"/>
            </w:pPr>
            <w:r w:rsidRPr="003F307C">
              <w:t>Toxics Release Inventory Sample 20</w:t>
            </w:r>
            <w:r>
              <w:t>20</w:t>
            </w:r>
            <w:r w:rsidRPr="007B26DE">
              <w:t xml:space="preserve"> Form </w:t>
            </w:r>
            <w:r w:rsidRPr="007B26DE">
              <w:t>A</w:t>
            </w:r>
            <w:r w:rsidR="00031AB5">
              <w:t xml:space="preserve"> EPA From No. 9350-2</w:t>
            </w:r>
          </w:p>
          <w:p w:rsidR="00F64C46" w:rsidRPr="00F84FF3" w:rsidP="00AF5E9B" w14:paraId="0885FEC8" w14:textId="77777777">
            <w:pPr>
              <w:pStyle w:val="NoSpacing"/>
              <w:rPr>
                <w:rStyle w:val="Heading2Char"/>
                <w:b w:val="0"/>
                <w:bCs w:val="0"/>
              </w:rPr>
            </w:pPr>
            <w:hyperlink r:id="rId16" w:history="1">
              <w:r w:rsidRPr="00D47CC5">
                <w:rPr>
                  <w:rStyle w:val="Hyperlink"/>
                  <w:rFonts w:eastAsiaTheme="majorEastAsia" w:cstheme="majorBidi"/>
                  <w:szCs w:val="26"/>
                </w:rPr>
                <w:t>https://ordspub.epa.gov/ords/guideme_ext/guideme_ext/guideme/file/ry_2020_form_a.pdf</w:t>
              </w:r>
            </w:hyperlink>
            <w:r>
              <w:rPr>
                <w:rStyle w:val="Heading2Char"/>
                <w:b w:val="0"/>
                <w:bCs w:val="0"/>
              </w:rPr>
              <w:t xml:space="preserve"> </w:t>
            </w:r>
          </w:p>
        </w:tc>
      </w:tr>
    </w:tbl>
    <w:p w:rsidR="00F64C46" w:rsidP="00F64C46" w14:paraId="6F5BEDF1" w14:textId="77777777">
      <w:pPr>
        <w:pStyle w:val="NoSpacing"/>
      </w:pPr>
    </w:p>
    <w:p w:rsidR="00F64C46" w:rsidP="00F64C46" w14:paraId="34C4346E" w14:textId="77777777">
      <w:pPr>
        <w:pStyle w:val="Heading1"/>
        <w:rPr>
          <w:rFonts w:cs="Arial"/>
          <w:szCs w:val="24"/>
        </w:rPr>
      </w:pPr>
      <w:bookmarkStart w:id="9" w:name="_Toc69898183"/>
      <w:r w:rsidRPr="007D70B1">
        <w:t>References</w:t>
      </w:r>
      <w:bookmarkEnd w:id="9"/>
    </w:p>
    <w:p w:rsidR="00F64C46" w:rsidRPr="000C2B62" w:rsidP="00F64C46" w14:paraId="661C3FCB" w14:textId="77777777">
      <w:pPr>
        <w:pStyle w:val="BodyText"/>
        <w:ind w:left="720" w:hanging="720"/>
        <w:rPr>
          <w:rFonts w:cs="Arial"/>
          <w:color w:val="000000" w:themeColor="text1"/>
          <w:szCs w:val="24"/>
        </w:rPr>
      </w:pPr>
      <w:r w:rsidRPr="000C2B62">
        <w:rPr>
          <w:rFonts w:cs="Arial"/>
          <w:color w:val="000000" w:themeColor="text1"/>
          <w:szCs w:val="24"/>
        </w:rPr>
        <w:t>Abt</w:t>
      </w:r>
      <w:r w:rsidRPr="000C2B62">
        <w:rPr>
          <w:rFonts w:cs="Arial"/>
          <w:color w:val="000000" w:themeColor="text1"/>
          <w:szCs w:val="24"/>
        </w:rPr>
        <w:t xml:space="preserve"> Associates Inc. (2004). </w:t>
      </w:r>
      <w:r w:rsidRPr="000C2B62">
        <w:rPr>
          <w:rFonts w:cs="Arial"/>
          <w:color w:val="000000" w:themeColor="text1"/>
          <w:szCs w:val="24"/>
        </w:rPr>
        <w:t>Abt</w:t>
      </w:r>
      <w:r w:rsidRPr="000C2B62">
        <w:rPr>
          <w:rFonts w:cs="Arial"/>
          <w:color w:val="000000" w:themeColor="text1"/>
          <w:szCs w:val="24"/>
        </w:rPr>
        <w:t xml:space="preserve"> Associates Engineering Study (TRI Reporting Burden Estimates).</w:t>
      </w:r>
    </w:p>
    <w:p w:rsidR="00F64C46" w:rsidRPr="000C2B62" w:rsidP="00F64C46" w14:paraId="64C834CC" w14:textId="77777777">
      <w:pPr>
        <w:pStyle w:val="BodyText"/>
        <w:ind w:left="720" w:hanging="720"/>
        <w:rPr>
          <w:rFonts w:cs="Arial"/>
          <w:color w:val="000000" w:themeColor="text1"/>
          <w:szCs w:val="24"/>
        </w:rPr>
      </w:pPr>
      <w:r w:rsidRPr="000C2B62">
        <w:rPr>
          <w:rFonts w:cs="Arial"/>
          <w:color w:val="000000" w:themeColor="text1"/>
          <w:szCs w:val="24"/>
        </w:rPr>
        <w:t>Heiden Associates. (1989). Final Report: A Study of Industry Compliance Costs Under the Final Comprehensive Assessment Information Rule, Prepared for the Chemical Manufacturers Association.</w:t>
      </w:r>
    </w:p>
    <w:p w:rsidR="00F64C46" w:rsidP="00F64C46" w14:paraId="6F9E5F15" w14:textId="77777777">
      <w:pPr>
        <w:pStyle w:val="BodyText"/>
        <w:ind w:left="720" w:hanging="720"/>
        <w:rPr>
          <w:rFonts w:cs="Arial"/>
          <w:color w:val="000000" w:themeColor="text1"/>
          <w:szCs w:val="24"/>
        </w:rPr>
      </w:pPr>
      <w:r w:rsidRPr="00EA5D47">
        <w:rPr>
          <w:rFonts w:cs="Arial"/>
          <w:color w:val="000000" w:themeColor="text1"/>
          <w:szCs w:val="24"/>
        </w:rPr>
        <w:t>U.S. Bureau of Labor Statistics. (2021). Employer Costs for Employee Compensation - December 2020.</w:t>
      </w:r>
      <w:r>
        <w:rPr>
          <w:rFonts w:cs="Arial"/>
          <w:color w:val="000000" w:themeColor="text1"/>
          <w:szCs w:val="24"/>
        </w:rPr>
        <w:t xml:space="preserve"> Retrieved from:</w:t>
      </w:r>
      <w:r w:rsidRPr="00EA5D47">
        <w:rPr>
          <w:rFonts w:cs="Arial"/>
          <w:color w:val="000000" w:themeColor="text1"/>
          <w:szCs w:val="24"/>
        </w:rPr>
        <w:t xml:space="preserve"> </w:t>
      </w:r>
      <w:hyperlink r:id="rId17" w:history="1">
        <w:r w:rsidRPr="001423A3">
          <w:rPr>
            <w:rStyle w:val="Hyperlink"/>
            <w:rFonts w:cs="Arial"/>
            <w:szCs w:val="24"/>
          </w:rPr>
          <w:t>https://www.bls.gov/news.release/archives/ecec_03202018.pdf</w:t>
        </w:r>
      </w:hyperlink>
      <w:r>
        <w:rPr>
          <w:rFonts w:cs="Arial"/>
          <w:color w:val="000000" w:themeColor="text1"/>
          <w:szCs w:val="24"/>
        </w:rPr>
        <w:t>.</w:t>
      </w:r>
    </w:p>
    <w:p w:rsidR="00F64C46" w:rsidRPr="000C2B62" w:rsidP="00F64C46" w14:paraId="29B294D4" w14:textId="77777777">
      <w:pPr>
        <w:pStyle w:val="BodyText"/>
        <w:ind w:left="720" w:hanging="720"/>
        <w:rPr>
          <w:rFonts w:cs="Arial"/>
          <w:noProof/>
          <w:szCs w:val="24"/>
        </w:rPr>
      </w:pPr>
      <w:r w:rsidRPr="000C2B62">
        <w:rPr>
          <w:rFonts w:cs="Arial"/>
          <w:noProof/>
          <w:szCs w:val="24"/>
        </w:rPr>
        <w:t>U.S. Environmental Protection Agency</w:t>
      </w:r>
      <w:r>
        <w:rPr>
          <w:rFonts w:cs="Arial"/>
          <w:noProof/>
          <w:szCs w:val="24"/>
        </w:rPr>
        <w:t>.</w:t>
      </w:r>
      <w:r w:rsidRPr="000C2B62">
        <w:rPr>
          <w:rFonts w:cs="Arial"/>
          <w:noProof/>
          <w:szCs w:val="24"/>
        </w:rPr>
        <w:t xml:space="preserve"> (2011).</w:t>
      </w:r>
      <w:r w:rsidRPr="000C2B62">
        <w:rPr>
          <w:rFonts w:cs="Arial"/>
          <w:i/>
          <w:noProof/>
          <w:szCs w:val="24"/>
        </w:rPr>
        <w:t xml:space="preserve"> Revising TRI Burden to Ratio-Based Methodology</w:t>
      </w:r>
      <w:r w:rsidRPr="000C2B62">
        <w:rPr>
          <w:rFonts w:cs="Arial"/>
          <w:noProof/>
          <w:szCs w:val="24"/>
        </w:rPr>
        <w:t xml:space="preserve">.  Retrieved from: </w:t>
      </w:r>
      <w:hyperlink r:id="rId18" w:history="1">
        <w:r w:rsidRPr="000C2B62">
          <w:rPr>
            <w:rStyle w:val="Hyperlink"/>
            <w:rFonts w:cs="Arial"/>
            <w:noProof/>
            <w:szCs w:val="24"/>
          </w:rPr>
          <w:t>http://www2.epa.gov/sites/production/files/documents/136321RatioBasedMethodology.pdf</w:t>
        </w:r>
      </w:hyperlink>
      <w:r w:rsidRPr="000C2B62">
        <w:rPr>
          <w:rFonts w:cs="Arial"/>
          <w:noProof/>
          <w:szCs w:val="24"/>
        </w:rPr>
        <w:t>.</w:t>
      </w:r>
    </w:p>
    <w:p w:rsidR="00F64C46" w:rsidRPr="000C2B62" w:rsidP="00F64C46" w14:paraId="43044795" w14:textId="77777777">
      <w:pPr>
        <w:pStyle w:val="BodyText"/>
        <w:ind w:left="720" w:hanging="720"/>
        <w:rPr>
          <w:rFonts w:cs="Arial"/>
          <w:noProof/>
          <w:szCs w:val="24"/>
        </w:rPr>
      </w:pPr>
      <w:r w:rsidRPr="000C2B62">
        <w:t>U.S. Environmental Protection Agency. (2012). Economic Analysis of the Toxics Release Inventory (TRI) Reporting for Facilities Located in Indian Country Final Rule.</w:t>
      </w:r>
    </w:p>
    <w:p w:rsidR="00F64C46" w:rsidRPr="00072C2F" w:rsidP="00F64C46" w14:paraId="163AEC4F" w14:textId="77777777">
      <w:pPr>
        <w:pStyle w:val="EndNoteBibliography"/>
        <w:spacing w:after="120"/>
        <w:ind w:left="720" w:hanging="720"/>
        <w:rPr>
          <w:rFonts w:ascii="Arial" w:hAnsi="Arial" w:cs="Arial"/>
          <w:sz w:val="24"/>
          <w:szCs w:val="24"/>
        </w:rPr>
      </w:pPr>
      <w:r w:rsidRPr="00B608A6">
        <w:rPr>
          <w:rFonts w:ascii="Arial" w:hAnsi="Arial" w:cs="Arial"/>
          <w:sz w:val="24"/>
          <w:szCs w:val="24"/>
        </w:rPr>
        <w:t>U.S. Environmental Protection Agency</w:t>
      </w:r>
      <w:r>
        <w:rPr>
          <w:rFonts w:ascii="Arial" w:hAnsi="Arial" w:cs="Arial"/>
          <w:sz w:val="24"/>
          <w:szCs w:val="24"/>
        </w:rPr>
        <w:t>.</w:t>
      </w:r>
      <w:r w:rsidRPr="00B608A6">
        <w:rPr>
          <w:rFonts w:ascii="Arial" w:hAnsi="Arial" w:cs="Arial"/>
          <w:sz w:val="24"/>
          <w:szCs w:val="24"/>
        </w:rPr>
        <w:t xml:space="preserve"> (2021). Economic Analysis of the Proposed Parent Company Definition for TRI Reporting. Available </w:t>
      </w:r>
      <w:r w:rsidRPr="000C2B62">
        <w:rPr>
          <w:rFonts w:ascii="Arial" w:hAnsi="Arial" w:cs="Arial"/>
          <w:sz w:val="24"/>
          <w:szCs w:val="24"/>
        </w:rPr>
        <w:t xml:space="preserve">at </w:t>
      </w:r>
      <w:hyperlink r:id="rId11" w:history="1">
        <w:r w:rsidRPr="000C2B62">
          <w:rPr>
            <w:rStyle w:val="Hyperlink"/>
            <w:rFonts w:ascii="Arial" w:hAnsi="Arial" w:cs="Arial"/>
            <w:sz w:val="24"/>
            <w:szCs w:val="24"/>
          </w:rPr>
          <w:t>www.regulations.gov</w:t>
        </w:r>
      </w:hyperlink>
      <w:r w:rsidRPr="000C2B62">
        <w:rPr>
          <w:rFonts w:ascii="Arial" w:hAnsi="Arial" w:cs="Arial"/>
          <w:sz w:val="24"/>
          <w:szCs w:val="24"/>
        </w:rPr>
        <w:t>, Docket ID # EPA-HQ-</w:t>
      </w:r>
      <w:r>
        <w:rPr>
          <w:rFonts w:ascii="Arial" w:hAnsi="Arial" w:cs="Arial"/>
          <w:sz w:val="24"/>
          <w:szCs w:val="24"/>
        </w:rPr>
        <w:t>OPPT-2018-0155</w:t>
      </w:r>
      <w:r w:rsidRPr="000C2B62">
        <w:rPr>
          <w:rFonts w:ascii="Arial" w:hAnsi="Arial" w:cs="Arial"/>
          <w:sz w:val="24"/>
          <w:szCs w:val="24"/>
        </w:rPr>
        <w:t>.</w:t>
      </w:r>
    </w:p>
    <w:p w:rsidR="00F64C46" w:rsidRPr="00D54F50" w:rsidP="00F64C46" w14:paraId="6D88499F" w14:textId="77777777">
      <w:pPr>
        <w:pStyle w:val="NoSpacing"/>
        <w:rPr>
          <w:rFonts w:eastAsia="Times New Roman" w:cs="Arial"/>
          <w:b/>
          <w:bCs/>
          <w:i/>
          <w:iCs/>
          <w:sz w:val="28"/>
          <w:szCs w:val="24"/>
        </w:rPr>
      </w:pPr>
    </w:p>
    <w:p w:rsidR="00211E56" w14:paraId="5FB33A42" w14:textId="77777777"/>
    <w:sectPr w:rsidSect="00BF7291">
      <w:footerReference w:type="default" r:id="rId19"/>
      <w:headerReference w:type="first" r:id="rId20"/>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2636048"/>
      <w:docPartObj>
        <w:docPartGallery w:val="Page Numbers (Bottom of Page)"/>
        <w:docPartUnique/>
      </w:docPartObj>
    </w:sdtPr>
    <w:sdtContent>
      <w:sdt>
        <w:sdtPr>
          <w:id w:val="1254712141"/>
          <w:docPartObj>
            <w:docPartGallery w:val="Page Numbers (Top of Page)"/>
            <w:docPartUnique/>
          </w:docPartObj>
        </w:sdtPr>
        <w:sdtContent>
          <w:p w:rsidR="00C15C2D" w:rsidP="002B34A0" w14:paraId="7B772BCE" w14:textId="77777777">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20</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21</w:t>
            </w:r>
            <w:r w:rsidRPr="002B34A0">
              <w:rPr>
                <w:sz w:val="20"/>
                <w:szCs w:val="20"/>
              </w:rPr>
              <w:fldChar w:fldCharType="end"/>
            </w:r>
          </w:p>
        </w:sdtContent>
      </w:sdt>
    </w:sdtContent>
  </w:sdt>
  <w:p w:rsidR="00C15C2D" w14:paraId="25D867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56EED" w:rsidP="00F64C46" w14:paraId="3A50AE22" w14:textId="77777777">
      <w:r>
        <w:separator/>
      </w:r>
    </w:p>
  </w:footnote>
  <w:footnote w:type="continuationSeparator" w:id="1">
    <w:p w:rsidR="00156EED" w:rsidP="00F64C46" w14:paraId="47C3A0EB" w14:textId="77777777">
      <w:r>
        <w:continuationSeparator/>
      </w:r>
    </w:p>
  </w:footnote>
  <w:footnote w:id="2">
    <w:p w:rsidR="00F64C46" w:rsidRPr="00D63F63" w:rsidP="00F64C46" w14:paraId="207D3813" w14:textId="77777777">
      <w:pPr>
        <w:pStyle w:val="FootnoteText"/>
        <w:rPr>
          <w:rFonts w:ascii="Arial" w:hAnsi="Arial" w:cs="Arial"/>
        </w:rPr>
      </w:pPr>
      <w:r w:rsidRPr="00D63F63">
        <w:rPr>
          <w:rStyle w:val="FootnoteReference"/>
          <w:rFonts w:ascii="Arial" w:hAnsi="Arial" w:cs="Arial"/>
          <w:vertAlign w:val="superscript"/>
        </w:rPr>
        <w:footnoteRef/>
      </w:r>
      <w:r w:rsidRPr="00D63F63">
        <w:rPr>
          <w:rFonts w:ascii="Arial" w:hAnsi="Arial" w:cs="Arial"/>
        </w:rPr>
        <w:t xml:space="preserve"> U.S. EPA Toxics Release Inventory Program. </w:t>
      </w:r>
      <w:hyperlink r:id="rId1" w:history="1">
        <w:r w:rsidRPr="004875F3">
          <w:rPr>
            <w:rStyle w:val="Hyperlink"/>
            <w:rFonts w:ascii="Arial" w:hAnsi="Arial" w:cs="Arial"/>
          </w:rPr>
          <w:t>https://www.epa.gov/toxics-release-inventory-tri-program</w:t>
        </w:r>
      </w:hyperlink>
      <w:r>
        <w:rPr>
          <w:rFonts w:ascii="Arial" w:hAnsi="Arial" w:cs="Arial"/>
        </w:rPr>
        <w:t xml:space="preserve"> </w:t>
      </w:r>
    </w:p>
  </w:footnote>
  <w:footnote w:id="3">
    <w:p w:rsidR="00F64C46" w:rsidRPr="00D63F63" w:rsidP="00F64C46" w14:paraId="7EDCE62C" w14:textId="77777777">
      <w:pPr>
        <w:pStyle w:val="FootnoteText"/>
        <w:rPr>
          <w:rFonts w:ascii="Arial" w:hAnsi="Arial" w:cs="Arial"/>
        </w:rPr>
      </w:pPr>
      <w:r w:rsidRPr="00D63F63">
        <w:rPr>
          <w:rStyle w:val="FootnoteReference"/>
          <w:rFonts w:ascii="Arial" w:hAnsi="Arial" w:cs="Arial"/>
          <w:vertAlign w:val="superscript"/>
        </w:rPr>
        <w:footnoteRef/>
      </w:r>
      <w:r w:rsidRPr="00D63F63">
        <w:rPr>
          <w:rFonts w:ascii="Arial" w:hAnsi="Arial" w:cs="Arial"/>
        </w:rPr>
        <w:t xml:space="preserve"> </w:t>
      </w:r>
      <w:hyperlink r:id="rId2" w:history="1">
        <w:r w:rsidRPr="004875F3">
          <w:rPr>
            <w:rStyle w:val="Hyperlink"/>
            <w:rFonts w:ascii="Arial" w:hAnsi="Arial" w:cs="Arial"/>
          </w:rPr>
          <w:t>https://www.epa.gov/sites/production/files/documents/tri_in_action_final_report_july_2013.pdf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E44" w:rsidRPr="005E7E44" w:rsidP="005E7E44" w14:paraId="719CA978" w14:textId="79EC6AAE">
    <w:pPr>
      <w:widowControl w:val="0"/>
      <w:tabs>
        <w:tab w:val="center" w:pos="4680"/>
        <w:tab w:val="right" w:pos="9360"/>
      </w:tabs>
      <w:autoSpaceDE w:val="0"/>
      <w:autoSpaceDN w:val="0"/>
      <w:adjustRightInd w:val="0"/>
      <w:jc w:val="center"/>
      <w:rPr>
        <w:rFonts w:ascii="Times New Roman" w:eastAsia="MS Mincho" w:hAnsi="Times New Roman" w:cs="Times New Roman"/>
        <w:sz w:val="20"/>
        <w:szCs w:val="20"/>
        <w:lang w:eastAsia="ja-JP"/>
      </w:rPr>
    </w:pPr>
    <w:bookmarkStart w:id="10" w:name="_Hlk111539005"/>
  </w:p>
  <w:bookmarkEnd w:id="10"/>
  <w:p w:rsidR="005E7E44" w14:paraId="614B2B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24F91"/>
    <w:multiLevelType w:val="hybridMultilevel"/>
    <w:tmpl w:val="CC080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45FA9"/>
    <w:multiLevelType w:val="hybridMultilevel"/>
    <w:tmpl w:val="F148D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C577CD"/>
    <w:multiLevelType w:val="hybridMultilevel"/>
    <w:tmpl w:val="8D94F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ED0AB3"/>
    <w:multiLevelType w:val="multilevel"/>
    <w:tmpl w:val="83B8965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222544"/>
    <w:multiLevelType w:val="hybridMultilevel"/>
    <w:tmpl w:val="D4E62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117CFF"/>
    <w:multiLevelType w:val="hybridMultilevel"/>
    <w:tmpl w:val="61AA40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7DA74FE"/>
    <w:multiLevelType w:val="hybridMultilevel"/>
    <w:tmpl w:val="83F01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D3280C"/>
    <w:multiLevelType w:val="hybridMultilevel"/>
    <w:tmpl w:val="23FE2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B41624"/>
    <w:multiLevelType w:val="hybridMultilevel"/>
    <w:tmpl w:val="45A65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681F24"/>
    <w:multiLevelType w:val="hybridMultilevel"/>
    <w:tmpl w:val="2D42C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5E3710"/>
    <w:multiLevelType w:val="hybridMultilevel"/>
    <w:tmpl w:val="ADF08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87331A"/>
    <w:multiLevelType w:val="hybridMultilevel"/>
    <w:tmpl w:val="CC1E54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F9B2109"/>
    <w:multiLevelType w:val="hybridMultilevel"/>
    <w:tmpl w:val="FAAAE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2"/>
  </w:num>
  <w:num w:numId="6">
    <w:abstractNumId w:val="5"/>
  </w:num>
  <w:num w:numId="7">
    <w:abstractNumId w:val="4"/>
  </w:num>
  <w:num w:numId="8">
    <w:abstractNumId w:val="0"/>
  </w:num>
  <w:num w:numId="9">
    <w:abstractNumId w:val="1"/>
  </w:num>
  <w:num w:numId="10">
    <w:abstractNumId w:val="11"/>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46"/>
    <w:rsid w:val="00031AB5"/>
    <w:rsid w:val="000716E4"/>
    <w:rsid w:val="00072C2F"/>
    <w:rsid w:val="000C2B62"/>
    <w:rsid w:val="000C7512"/>
    <w:rsid w:val="000C7925"/>
    <w:rsid w:val="00103C34"/>
    <w:rsid w:val="001175CB"/>
    <w:rsid w:val="00133167"/>
    <w:rsid w:val="00140782"/>
    <w:rsid w:val="001423A3"/>
    <w:rsid w:val="001478D6"/>
    <w:rsid w:val="00156EED"/>
    <w:rsid w:val="001A7ADA"/>
    <w:rsid w:val="002059F4"/>
    <w:rsid w:val="0021063E"/>
    <w:rsid w:val="00211905"/>
    <w:rsid w:val="00211E56"/>
    <w:rsid w:val="00212BDD"/>
    <w:rsid w:val="00216B53"/>
    <w:rsid w:val="00247A35"/>
    <w:rsid w:val="0025728E"/>
    <w:rsid w:val="0026304B"/>
    <w:rsid w:val="0028369E"/>
    <w:rsid w:val="002A07CD"/>
    <w:rsid w:val="002A4075"/>
    <w:rsid w:val="002B34A0"/>
    <w:rsid w:val="002C6669"/>
    <w:rsid w:val="002F0628"/>
    <w:rsid w:val="00343410"/>
    <w:rsid w:val="003B0FE4"/>
    <w:rsid w:val="003E25D3"/>
    <w:rsid w:val="003F307C"/>
    <w:rsid w:val="004773BB"/>
    <w:rsid w:val="00483711"/>
    <w:rsid w:val="004875F3"/>
    <w:rsid w:val="004A33B2"/>
    <w:rsid w:val="004C34D8"/>
    <w:rsid w:val="004D7CAA"/>
    <w:rsid w:val="00530B14"/>
    <w:rsid w:val="00534AA1"/>
    <w:rsid w:val="00554978"/>
    <w:rsid w:val="005932B8"/>
    <w:rsid w:val="005B6B42"/>
    <w:rsid w:val="005E7E44"/>
    <w:rsid w:val="00605999"/>
    <w:rsid w:val="0061653A"/>
    <w:rsid w:val="006328D9"/>
    <w:rsid w:val="006472F6"/>
    <w:rsid w:val="00665FBF"/>
    <w:rsid w:val="006C7D8B"/>
    <w:rsid w:val="006E448E"/>
    <w:rsid w:val="006F1AB7"/>
    <w:rsid w:val="0070219C"/>
    <w:rsid w:val="00715D30"/>
    <w:rsid w:val="0071648E"/>
    <w:rsid w:val="007B09CE"/>
    <w:rsid w:val="007B26DE"/>
    <w:rsid w:val="007D67CC"/>
    <w:rsid w:val="007D70B1"/>
    <w:rsid w:val="008D77CB"/>
    <w:rsid w:val="009036AD"/>
    <w:rsid w:val="009210AF"/>
    <w:rsid w:val="00941F4D"/>
    <w:rsid w:val="009505AD"/>
    <w:rsid w:val="00950869"/>
    <w:rsid w:val="009876D6"/>
    <w:rsid w:val="009A50B1"/>
    <w:rsid w:val="009B59ED"/>
    <w:rsid w:val="00A01C2F"/>
    <w:rsid w:val="00A17C38"/>
    <w:rsid w:val="00A57899"/>
    <w:rsid w:val="00A83B52"/>
    <w:rsid w:val="00AD520B"/>
    <w:rsid w:val="00AF5E9B"/>
    <w:rsid w:val="00B36C03"/>
    <w:rsid w:val="00B378DD"/>
    <w:rsid w:val="00B608A6"/>
    <w:rsid w:val="00B71B43"/>
    <w:rsid w:val="00B7714D"/>
    <w:rsid w:val="00BA50D4"/>
    <w:rsid w:val="00BC35BC"/>
    <w:rsid w:val="00C12EA2"/>
    <w:rsid w:val="00C15C2D"/>
    <w:rsid w:val="00C47072"/>
    <w:rsid w:val="00C96987"/>
    <w:rsid w:val="00CD3CB8"/>
    <w:rsid w:val="00CD6626"/>
    <w:rsid w:val="00CE4C80"/>
    <w:rsid w:val="00CF0FC1"/>
    <w:rsid w:val="00D47CC5"/>
    <w:rsid w:val="00D54F50"/>
    <w:rsid w:val="00D63F63"/>
    <w:rsid w:val="00D94FB8"/>
    <w:rsid w:val="00DB025F"/>
    <w:rsid w:val="00DB07C0"/>
    <w:rsid w:val="00DD167D"/>
    <w:rsid w:val="00E00F8C"/>
    <w:rsid w:val="00E12267"/>
    <w:rsid w:val="00E97296"/>
    <w:rsid w:val="00EA5D47"/>
    <w:rsid w:val="00ED1F0D"/>
    <w:rsid w:val="00ED53AF"/>
    <w:rsid w:val="00EF72EE"/>
    <w:rsid w:val="00F11E17"/>
    <w:rsid w:val="00F60F6A"/>
    <w:rsid w:val="00F64C46"/>
    <w:rsid w:val="00F70C82"/>
    <w:rsid w:val="00F84FF3"/>
    <w:rsid w:val="00FC305B"/>
    <w:rsid w:val="00FD497D"/>
    <w:rsid w:val="00FE115C"/>
    <w:rsid w:val="00FF6684"/>
    <w:rsid w:val="00FF79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FB5497"/>
  <w15:chartTrackingRefBased/>
  <w15:docId w15:val="{FCC3D1A9-7512-4FD4-9414-2EE56027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F64C46"/>
    <w:pPr>
      <w:spacing w:after="0" w:line="240" w:lineRule="auto"/>
    </w:pPr>
    <w:rPr>
      <w:rFonts w:ascii="Arial" w:hAnsi="Arial"/>
      <w:sz w:val="24"/>
    </w:rPr>
  </w:style>
  <w:style w:type="paragraph" w:styleId="Heading1">
    <w:name w:val="heading 1"/>
    <w:basedOn w:val="Normal"/>
    <w:next w:val="Normal"/>
    <w:link w:val="Heading1Char"/>
    <w:uiPriority w:val="9"/>
    <w:qFormat/>
    <w:rsid w:val="00F64C46"/>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64C46"/>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64C46"/>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46"/>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F64C46"/>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F64C46"/>
    <w:rPr>
      <w:rFonts w:ascii="Arial" w:hAnsi="Arial" w:eastAsiaTheme="majorEastAsia" w:cstheme="majorBidi"/>
      <w:b/>
      <w:bCs/>
      <w:sz w:val="24"/>
    </w:rPr>
  </w:style>
  <w:style w:type="paragraph" w:styleId="NoSpacing">
    <w:name w:val="No Spacing"/>
    <w:link w:val="NoSpacingChar"/>
    <w:uiPriority w:val="1"/>
    <w:qFormat/>
    <w:rsid w:val="00F64C46"/>
    <w:pPr>
      <w:spacing w:after="0" w:line="240" w:lineRule="auto"/>
    </w:pPr>
    <w:rPr>
      <w:rFonts w:ascii="Arial" w:hAnsi="Arial"/>
      <w:sz w:val="24"/>
    </w:rPr>
  </w:style>
  <w:style w:type="paragraph" w:styleId="Footer">
    <w:name w:val="footer"/>
    <w:basedOn w:val="Normal"/>
    <w:link w:val="FooterChar"/>
    <w:uiPriority w:val="99"/>
    <w:unhideWhenUsed/>
    <w:rsid w:val="00F64C46"/>
    <w:pPr>
      <w:tabs>
        <w:tab w:val="center" w:pos="4680"/>
        <w:tab w:val="right" w:pos="9360"/>
      </w:tabs>
    </w:pPr>
  </w:style>
  <w:style w:type="character" w:customStyle="1" w:styleId="FooterChar">
    <w:name w:val="Footer Char"/>
    <w:basedOn w:val="DefaultParagraphFont"/>
    <w:link w:val="Footer"/>
    <w:uiPriority w:val="99"/>
    <w:rsid w:val="00F64C46"/>
    <w:rPr>
      <w:rFonts w:ascii="Arial" w:hAnsi="Arial"/>
      <w:sz w:val="24"/>
    </w:rPr>
  </w:style>
  <w:style w:type="character" w:styleId="FootnoteReference">
    <w:name w:val="footnote reference"/>
    <w:uiPriority w:val="99"/>
    <w:qFormat/>
    <w:rsid w:val="00F64C46"/>
  </w:style>
  <w:style w:type="paragraph" w:styleId="BodyText">
    <w:name w:val="Body Text"/>
    <w:basedOn w:val="Normal"/>
    <w:link w:val="BodyTextChar"/>
    <w:rsid w:val="00F64C46"/>
    <w:pPr>
      <w:spacing w:after="120"/>
    </w:pPr>
    <w:rPr>
      <w:rFonts w:eastAsiaTheme="minorEastAsia"/>
      <w:lang w:bidi="en-US"/>
    </w:rPr>
  </w:style>
  <w:style w:type="character" w:customStyle="1" w:styleId="BodyTextChar">
    <w:name w:val="Body Text Char"/>
    <w:basedOn w:val="DefaultParagraphFont"/>
    <w:link w:val="BodyText"/>
    <w:rsid w:val="00F64C46"/>
    <w:rPr>
      <w:rFonts w:ascii="Arial" w:hAnsi="Arial" w:eastAsiaTheme="minorEastAsia"/>
      <w:sz w:val="24"/>
      <w:lang w:bidi="en-US"/>
    </w:rPr>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
    <w:basedOn w:val="Normal"/>
    <w:link w:val="FootnoteTextChar"/>
    <w:uiPriority w:val="99"/>
    <w:qFormat/>
    <w:rsid w:val="00F64C46"/>
    <w:rPr>
      <w:rFonts w:ascii="Times New Roman" w:hAnsi="Times New Roman" w:eastAsiaTheme="minorEastAsia"/>
      <w:sz w:val="20"/>
      <w:szCs w:val="20"/>
      <w:lang w:bidi="en-US"/>
    </w:r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link w:val="FootnoteText"/>
    <w:uiPriority w:val="99"/>
    <w:rsid w:val="00F64C46"/>
    <w:rPr>
      <w:rFonts w:ascii="Times New Roman" w:hAnsi="Times New Roman" w:eastAsiaTheme="minorEastAsia"/>
      <w:sz w:val="20"/>
      <w:szCs w:val="20"/>
      <w:lang w:bidi="en-US"/>
    </w:rPr>
  </w:style>
  <w:style w:type="character" w:styleId="Hyperlink">
    <w:name w:val="Hyperlink"/>
    <w:uiPriority w:val="99"/>
    <w:rsid w:val="00F64C46"/>
    <w:rPr>
      <w:color w:val="0000FF"/>
      <w:u w:val="single"/>
    </w:rPr>
  </w:style>
  <w:style w:type="table" w:styleId="TableGrid">
    <w:name w:val="Table Grid"/>
    <w:basedOn w:val="TableNormal"/>
    <w:uiPriority w:val="39"/>
    <w:rsid w:val="00F64C46"/>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4C46"/>
    <w:pPr>
      <w:ind w:left="720"/>
      <w:contextualSpacing/>
    </w:pPr>
    <w:rPr>
      <w:rFonts w:eastAsiaTheme="minorEastAsia"/>
      <w:lang w:bidi="en-US"/>
    </w:rPr>
  </w:style>
  <w:style w:type="paragraph" w:styleId="Caption">
    <w:name w:val="caption"/>
    <w:basedOn w:val="Normal"/>
    <w:next w:val="Normal"/>
    <w:link w:val="CaptionChar"/>
    <w:unhideWhenUsed/>
    <w:qFormat/>
    <w:rsid w:val="00F64C46"/>
    <w:rPr>
      <w:rFonts w:eastAsiaTheme="minorEastAsia"/>
      <w:b/>
      <w:bCs/>
      <w:color w:val="4472C4" w:themeColor="accent1"/>
      <w:sz w:val="18"/>
      <w:szCs w:val="18"/>
      <w:lang w:bidi="en-US"/>
    </w:rPr>
  </w:style>
  <w:style w:type="paragraph" w:styleId="Title">
    <w:name w:val="Title"/>
    <w:basedOn w:val="Normal"/>
    <w:next w:val="Normal"/>
    <w:link w:val="TitleChar"/>
    <w:uiPriority w:val="10"/>
    <w:qFormat/>
    <w:rsid w:val="00F64C46"/>
    <w:pPr>
      <w:pBdr>
        <w:bottom w:val="single" w:sz="8" w:space="4" w:color="4472C4" w:themeColor="accent1"/>
      </w:pBdr>
      <w:spacing w:after="240"/>
      <w:contextualSpacing/>
    </w:pPr>
    <w:rPr>
      <w:rFonts w:eastAsiaTheme="majorEastAsia" w:cstheme="majorBidi"/>
      <w:color w:val="323E4F" w:themeColor="text2" w:themeShade="BF"/>
      <w:spacing w:val="5"/>
      <w:kern w:val="28"/>
      <w:sz w:val="32"/>
      <w:szCs w:val="52"/>
      <w:lang w:bidi="en-US"/>
    </w:rPr>
  </w:style>
  <w:style w:type="character" w:customStyle="1" w:styleId="TitleChar">
    <w:name w:val="Title Char"/>
    <w:basedOn w:val="DefaultParagraphFont"/>
    <w:link w:val="Title"/>
    <w:uiPriority w:val="10"/>
    <w:rsid w:val="00F64C46"/>
    <w:rPr>
      <w:rFonts w:ascii="Arial" w:hAnsi="Arial" w:eastAsiaTheme="majorEastAsia" w:cstheme="majorBidi"/>
      <w:color w:val="323E4F" w:themeColor="text2" w:themeShade="BF"/>
      <w:spacing w:val="5"/>
      <w:kern w:val="28"/>
      <w:sz w:val="32"/>
      <w:szCs w:val="52"/>
      <w:lang w:bidi="en-US"/>
    </w:rPr>
  </w:style>
  <w:style w:type="paragraph" w:customStyle="1" w:styleId="EndNoteBibliography">
    <w:name w:val="EndNote Bibliography"/>
    <w:basedOn w:val="Normal"/>
    <w:link w:val="EndNoteBibliographyChar"/>
    <w:rsid w:val="00F64C46"/>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F64C46"/>
    <w:rPr>
      <w:rFonts w:ascii="Times New Roman" w:eastAsia="Times New Roman" w:hAnsi="Times New Roman" w:cs="Times New Roman"/>
      <w:noProof/>
      <w:szCs w:val="20"/>
    </w:rPr>
  </w:style>
  <w:style w:type="character" w:customStyle="1" w:styleId="CaptionChar">
    <w:name w:val="Caption Char"/>
    <w:link w:val="Caption"/>
    <w:rsid w:val="00F64C46"/>
    <w:rPr>
      <w:rFonts w:ascii="Arial" w:hAnsi="Arial" w:eastAsiaTheme="minorEastAsia"/>
      <w:b/>
      <w:bCs/>
      <w:color w:val="4472C4" w:themeColor="accent1"/>
      <w:sz w:val="18"/>
      <w:szCs w:val="18"/>
      <w:lang w:bidi="en-US"/>
    </w:rPr>
  </w:style>
  <w:style w:type="table" w:customStyle="1" w:styleId="TableGrid2">
    <w:name w:val="Table Grid2"/>
    <w:basedOn w:val="TableNormal"/>
    <w:next w:val="TableGrid"/>
    <w:rsid w:val="00F64C46"/>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F64C46"/>
    <w:rPr>
      <w:rFonts w:ascii="Arial" w:hAnsi="Arial"/>
      <w:sz w:val="24"/>
    </w:rPr>
  </w:style>
  <w:style w:type="paragraph" w:styleId="Header">
    <w:name w:val="header"/>
    <w:basedOn w:val="Normal"/>
    <w:link w:val="HeaderChar"/>
    <w:uiPriority w:val="99"/>
    <w:unhideWhenUsed/>
    <w:rsid w:val="005E7E44"/>
    <w:pPr>
      <w:tabs>
        <w:tab w:val="center" w:pos="4680"/>
        <w:tab w:val="right" w:pos="9360"/>
      </w:tabs>
    </w:pPr>
  </w:style>
  <w:style w:type="character" w:customStyle="1" w:styleId="HeaderChar">
    <w:name w:val="Header Char"/>
    <w:basedOn w:val="DefaultParagraphFont"/>
    <w:link w:val="Header"/>
    <w:uiPriority w:val="99"/>
    <w:rsid w:val="005E7E44"/>
    <w:rPr>
      <w:rFonts w:ascii="Arial" w:hAnsi="Arial"/>
      <w:sz w:val="24"/>
    </w:rPr>
  </w:style>
  <w:style w:type="character" w:styleId="FollowedHyperlink">
    <w:name w:val="FollowedHyperlink"/>
    <w:basedOn w:val="DefaultParagraphFont"/>
    <w:uiPriority w:val="99"/>
    <w:semiHidden/>
    <w:unhideWhenUsed/>
    <w:rsid w:val="009A50B1"/>
    <w:rPr>
      <w:color w:val="954F72" w:themeColor="followedHyperlink"/>
      <w:u w:val="single"/>
    </w:rPr>
  </w:style>
  <w:style w:type="character" w:styleId="UnresolvedMention">
    <w:name w:val="Unresolved Mention"/>
    <w:basedOn w:val="DefaultParagraphFont"/>
    <w:uiPriority w:val="99"/>
    <w:semiHidden/>
    <w:unhideWhenUsed/>
    <w:rsid w:val="0003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www.regulations.gov" TargetMode="External" /><Relationship Id="rId12" Type="http://schemas.openxmlformats.org/officeDocument/2006/relationships/hyperlink" Target="https://www.govinfo.gov/content/pkg/USCODE-2011-title42/html/USCODE-2011-title42-chap116.htm" TargetMode="External" /><Relationship Id="rId13" Type="http://schemas.openxmlformats.org/officeDocument/2006/relationships/hyperlink" Target="https://www.govinfo.gov/content/pkg/STATUTE-104/pdf/STATUTE-104-Pg484.pdf" TargetMode="External" /><Relationship Id="rId14" Type="http://schemas.openxmlformats.org/officeDocument/2006/relationships/hyperlink" Target="https://ordspub.epa.gov/ords/guideme_ext/guideme_ext/guideme/file/ry_2020_form_r.pdf" TargetMode="External" /><Relationship Id="rId15" Type="http://schemas.openxmlformats.org/officeDocument/2006/relationships/hyperlink" Target="https://ordspub.epa.gov/ords/guideme_ext/guideme_ext/guideme/file/ry_2020_form_r_schedule_1.pdf" TargetMode="External" /><Relationship Id="rId16" Type="http://schemas.openxmlformats.org/officeDocument/2006/relationships/hyperlink" Target="https://ordspub.epa.gov/ords/guideme_ext/guideme_ext/guideme/file/ry_2020_form_a.pdf" TargetMode="External" /><Relationship Id="rId17" Type="http://schemas.openxmlformats.org/officeDocument/2006/relationships/hyperlink" Target="https://www.bls.gov/news.release/archives/ecec_03202018.pdf" TargetMode="External" /><Relationship Id="rId18" Type="http://schemas.openxmlformats.org/officeDocument/2006/relationships/hyperlink" Target="http://www2.epa.gov/sites/production/files/documents/136321RatioBasedMethodology.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pa.gov/toxics-release-inventory-tri-program" TargetMode="External" /><Relationship Id="rId2" Type="http://schemas.openxmlformats.org/officeDocument/2006/relationships/hyperlink" Target="https://www.epa.gov/sites/production/files/documents/tri_in_action_final_report_july_20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Griffin, Stephanie</DisplayName>
        <AccountId>3355</AccountId>
        <AccountType/>
      </UserInfo>
      <UserInfo>
        <DisplayName>Chun, Melissa</DisplayName>
        <AccountId>1535</AccountId>
        <AccountType/>
      </UserInfo>
      <UserInfo>
        <DisplayName>Sleasman, Katherine</DisplayName>
        <AccountId>1720</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4034</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42687AA-B8DF-4767-8A9A-543ED458912B}">
  <ds:schemaRefs>
    <ds:schemaRef ds:uri="http://schemas.microsoft.com/sharepoint/v3/contenttype/forms"/>
  </ds:schemaRefs>
</ds:datastoreItem>
</file>

<file path=customXml/itemProps2.xml><?xml version="1.0" encoding="utf-8"?>
<ds:datastoreItem xmlns:ds="http://schemas.openxmlformats.org/officeDocument/2006/customXml" ds:itemID="{021E693C-6FB1-453A-8775-1859E6A6612C}">
  <ds:schemaRefs>
    <ds:schemaRef ds:uri="http://www.w3.org/XML/1998/namespace"/>
    <ds:schemaRef ds:uri="http://purl.org/dc/elements/1.1/"/>
    <ds:schemaRef ds:uri="4ffa91fb-a0ff-4ac5-b2db-65c790d184a4"/>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18f882f-1e32-4cf2-ad69-9de43d57f4c6"/>
    <ds:schemaRef ds:uri="a5d1ca4e-0a3f-4119-b619-e20b93ebd1aa"/>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363089-6573-4CB3-A315-C996C24B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A1805-4389-4DD6-AF7A-4E1C2DE6AD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5742</Words>
  <Characters>32734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Griffin</dc:creator>
  <cp:lastModifiedBy>Kerwin, Courtney</cp:lastModifiedBy>
  <cp:revision>2</cp:revision>
  <dcterms:created xsi:type="dcterms:W3CDTF">2022-10-21T19:56:00Z</dcterms:created>
  <dcterms:modified xsi:type="dcterms:W3CDTF">2022-10-21T19:56:00Z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