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3340" w:rsidP="002740BA" w14:paraId="13756629" w14:textId="016840C3">
      <w:pPr>
        <w:spacing w:line="252" w:lineRule="auto"/>
        <w:jc w:val="center"/>
        <w:rPr>
          <w:b/>
          <w:bCs/>
          <w:sz w:val="28"/>
          <w:szCs w:val="28"/>
        </w:rPr>
      </w:pPr>
      <w:r w:rsidRPr="000C3340">
        <w:rPr>
          <w:b/>
          <w:bCs/>
          <w:sz w:val="28"/>
          <w:szCs w:val="28"/>
        </w:rPr>
        <w:t>Supporting Statement</w:t>
      </w:r>
    </w:p>
    <w:p w:rsidR="00B52710" w:rsidP="000C3340" w14:paraId="7F764313" w14:textId="77777777">
      <w:pPr>
        <w:spacing w:line="252" w:lineRule="auto"/>
        <w:rPr>
          <w:b/>
          <w:bCs/>
          <w:sz w:val="28"/>
          <w:szCs w:val="28"/>
        </w:rPr>
      </w:pPr>
    </w:p>
    <w:p w:rsidR="00B52710" w:rsidP="000C3340" w14:paraId="2788CDF1" w14:textId="758CF53A">
      <w:pPr>
        <w:spacing w:line="252" w:lineRule="auto"/>
      </w:pPr>
      <w:r w:rsidRPr="00B52710">
        <w:t>This information collection will be added to OMB Number: 2120-0810.</w:t>
      </w:r>
    </w:p>
    <w:p w:rsidR="00B52710" w:rsidP="000C3340" w14:paraId="74FA74DC" w14:textId="77777777">
      <w:pPr>
        <w:spacing w:line="252" w:lineRule="auto"/>
      </w:pPr>
    </w:p>
    <w:p w:rsidR="002740BA" w:rsidP="000C3340" w14:paraId="65FA8C83" w14:textId="77777777">
      <w:pPr>
        <w:spacing w:line="252" w:lineRule="auto"/>
      </w:pPr>
      <w:r w:rsidRPr="002740BA">
        <w:rPr>
          <w:u w:val="single"/>
        </w:rPr>
        <w:t>Audience</w:t>
      </w:r>
      <w:r>
        <w:t xml:space="preserve">: </w:t>
      </w:r>
    </w:p>
    <w:p w:rsidR="002740BA" w:rsidP="000C3340" w14:paraId="49BB2C0D" w14:textId="77777777">
      <w:pPr>
        <w:spacing w:line="252" w:lineRule="auto"/>
      </w:pPr>
    </w:p>
    <w:p w:rsidR="00B52710" w:rsidRPr="00B52710" w:rsidP="000C3340" w14:paraId="176565D4" w14:textId="3BB19247">
      <w:pPr>
        <w:spacing w:line="252" w:lineRule="auto"/>
      </w:pPr>
      <w:r>
        <w:t>New entrants</w:t>
      </w:r>
      <w:r w:rsidR="002A38E0">
        <w:t xml:space="preserve"> including Unmanned Aircraft Systems (UAS)</w:t>
      </w:r>
      <w:r>
        <w:t xml:space="preserve"> </w:t>
      </w:r>
      <w:r w:rsidR="002A38E0">
        <w:t xml:space="preserve">accessing </w:t>
      </w:r>
      <w:r>
        <w:t>the National Airspace System (NAS)</w:t>
      </w:r>
      <w:r w:rsidR="002A38E0">
        <w:t>.</w:t>
      </w:r>
    </w:p>
    <w:p w:rsidR="000C3340" w:rsidP="000C3340" w14:paraId="4D221DCB" w14:textId="77777777">
      <w:pPr>
        <w:spacing w:line="252" w:lineRule="auto"/>
      </w:pPr>
    </w:p>
    <w:p w:rsidR="002740BA" w:rsidP="000C3340" w14:paraId="48A0B6D3" w14:textId="77777777">
      <w:pPr>
        <w:spacing w:line="252" w:lineRule="auto"/>
      </w:pPr>
      <w:r w:rsidRPr="002740BA">
        <w:rPr>
          <w:u w:val="single"/>
        </w:rPr>
        <w:t>Overall Description</w:t>
      </w:r>
      <w:r w:rsidRPr="002740BA">
        <w:t>:</w:t>
      </w:r>
      <w:r>
        <w:t xml:space="preserve"> </w:t>
      </w:r>
    </w:p>
    <w:p w:rsidR="002740BA" w:rsidP="000C3340" w14:paraId="0B9E4633" w14:textId="77777777">
      <w:pPr>
        <w:spacing w:line="252" w:lineRule="auto"/>
      </w:pPr>
    </w:p>
    <w:p w:rsidR="002E1C66" w:rsidP="000C3340" w14:paraId="67DD0E9F" w14:textId="69428409">
      <w:pPr>
        <w:spacing w:line="252" w:lineRule="auto"/>
      </w:pPr>
      <w:r>
        <w:t xml:space="preserve">This </w:t>
      </w:r>
      <w:r>
        <w:t xml:space="preserve">IC </w:t>
      </w:r>
      <w:r>
        <w:t xml:space="preserve">will </w:t>
      </w:r>
      <w:r>
        <w:t>create</w:t>
      </w:r>
      <w:r>
        <w:t xml:space="preserve"> </w:t>
      </w:r>
      <w:r>
        <w:t xml:space="preserve">a feedback loop </w:t>
      </w:r>
      <w:r>
        <w:rPr>
          <w:rStyle w:val="ui-provider"/>
        </w:rPr>
        <w:t xml:space="preserve">which will allow the FAA to receive </w:t>
      </w:r>
      <w:r w:rsidR="006C36F4">
        <w:rPr>
          <w:rStyle w:val="ui-provider"/>
        </w:rPr>
        <w:t xml:space="preserve">UAS </w:t>
      </w:r>
      <w:r>
        <w:rPr>
          <w:rStyle w:val="ui-provider"/>
        </w:rPr>
        <w:t>stakeholder input to help improve FAA processes, guidance, and procedures. It will enhance user experience by applying lessons learned from previous projects to streamline and provide clarity for future projects. </w:t>
      </w:r>
    </w:p>
    <w:p w:rsidR="002E1C66" w:rsidP="000C3340" w14:paraId="1E74954E" w14:textId="77777777">
      <w:pPr>
        <w:spacing w:line="252" w:lineRule="auto"/>
      </w:pPr>
    </w:p>
    <w:p w:rsidR="000C3340" w:rsidP="000C3340" w14:paraId="26C40230" w14:textId="37D02E14">
      <w:pPr>
        <w:spacing w:line="252" w:lineRule="auto"/>
      </w:pPr>
      <w:r>
        <w:t>Feedback should be structured in a way that summarizes insights gleaned from past experiences, aimed at informing, and improving future endeavors. It should relate to emerging entrant activities and provide actionable insights around guidance, processes, or procedures to enhance decision-making and problem-solving efforts going forward.</w:t>
      </w:r>
    </w:p>
    <w:p w:rsidR="006C36F4" w:rsidP="000C3340" w14:paraId="488482D1" w14:textId="1E9B65B1">
      <w:pPr>
        <w:spacing w:line="252" w:lineRule="auto"/>
      </w:pPr>
    </w:p>
    <w:p w:rsidR="006C36F4" w:rsidP="000C3340" w14:paraId="4A990201" w14:textId="1BCA3E5B">
      <w:pPr>
        <w:spacing w:line="252" w:lineRule="auto"/>
      </w:pPr>
      <w:r>
        <w:t>FAA’s experience with feedback shows that stakeholders will provide the feedback, so this change will provide them with a specific place to provide that feedback so it is not mixed in with other stakeholder inquiries.</w:t>
      </w:r>
    </w:p>
    <w:p w:rsidR="000C3340" w:rsidP="000C3340" w14:paraId="4894AE59" w14:textId="77777777"/>
    <w:p w:rsidR="002560F1" w:rsidP="000C3340" w14:paraId="72E549EC" w14:textId="1A7BB435">
      <w:pPr>
        <w:pStyle w:val="ListParagraph"/>
        <w:numPr>
          <w:ilvl w:val="0"/>
          <w:numId w:val="1"/>
        </w:numPr>
        <w:rPr>
          <w:rFonts w:eastAsia="Times New Roman"/>
        </w:rPr>
      </w:pPr>
      <w:r>
        <w:rPr>
          <w:rFonts w:eastAsia="Times New Roman"/>
        </w:rPr>
        <w:t>Preferred Method of Contact (required – phone or e-mail)</w:t>
      </w:r>
    </w:p>
    <w:p w:rsidR="000C3340" w:rsidP="000C3340" w14:paraId="0AF16E0B" w14:textId="092F33DD">
      <w:pPr>
        <w:pStyle w:val="ListParagraph"/>
        <w:numPr>
          <w:ilvl w:val="0"/>
          <w:numId w:val="1"/>
        </w:numPr>
        <w:rPr>
          <w:rFonts w:eastAsia="Times New Roman"/>
        </w:rPr>
      </w:pPr>
      <w:r>
        <w:rPr>
          <w:rFonts w:eastAsia="Times New Roman"/>
        </w:rPr>
        <w:t>First Name</w:t>
      </w:r>
      <w:r w:rsidR="002560F1">
        <w:rPr>
          <w:rFonts w:eastAsia="Times New Roman"/>
        </w:rPr>
        <w:t xml:space="preserve"> (required)</w:t>
      </w:r>
    </w:p>
    <w:p w:rsidR="000C3340" w:rsidP="000C3340" w14:paraId="76F6C67D" w14:textId="65DB4E37">
      <w:pPr>
        <w:pStyle w:val="ListParagraph"/>
        <w:numPr>
          <w:ilvl w:val="0"/>
          <w:numId w:val="1"/>
        </w:numPr>
        <w:rPr>
          <w:rFonts w:eastAsia="Times New Roman"/>
        </w:rPr>
      </w:pPr>
      <w:r>
        <w:rPr>
          <w:rFonts w:eastAsia="Times New Roman"/>
        </w:rPr>
        <w:t>Last Name</w:t>
      </w:r>
      <w:r w:rsidR="002560F1">
        <w:rPr>
          <w:rFonts w:eastAsia="Times New Roman"/>
        </w:rPr>
        <w:t xml:space="preserve"> (required)</w:t>
      </w:r>
    </w:p>
    <w:p w:rsidR="002560F1" w:rsidRPr="002560F1" w:rsidP="002560F1" w14:paraId="55E716DE" w14:textId="45D1EA24">
      <w:pPr>
        <w:pStyle w:val="ListParagraph"/>
        <w:numPr>
          <w:ilvl w:val="0"/>
          <w:numId w:val="1"/>
        </w:numPr>
        <w:rPr>
          <w:rFonts w:eastAsia="Times New Roman"/>
        </w:rPr>
      </w:pPr>
      <w:r>
        <w:rPr>
          <w:rFonts w:eastAsia="Times New Roman"/>
        </w:rPr>
        <w:t xml:space="preserve">E-mail </w:t>
      </w:r>
      <w:r>
        <w:rPr>
          <w:rFonts w:eastAsia="Times New Roman"/>
        </w:rPr>
        <w:t>(required)</w:t>
      </w:r>
    </w:p>
    <w:p w:rsidR="000C3340" w:rsidP="000C3340" w14:paraId="45477FE6" w14:textId="48AFA15B">
      <w:pPr>
        <w:pStyle w:val="ListParagraph"/>
        <w:numPr>
          <w:ilvl w:val="0"/>
          <w:numId w:val="1"/>
        </w:numPr>
        <w:rPr>
          <w:rFonts w:eastAsia="Times New Roman"/>
        </w:rPr>
      </w:pPr>
      <w:r>
        <w:rPr>
          <w:rFonts w:eastAsia="Times New Roman"/>
        </w:rPr>
        <w:t>Phone (optional)</w:t>
      </w:r>
    </w:p>
    <w:p w:rsidR="00D9635A" w:rsidP="000C3340" w14:paraId="628C8E68" w14:textId="443307AE">
      <w:pPr>
        <w:pStyle w:val="ListParagraph"/>
        <w:numPr>
          <w:ilvl w:val="0"/>
          <w:numId w:val="1"/>
        </w:numPr>
        <w:rPr>
          <w:rFonts w:eastAsia="Times New Roman"/>
        </w:rPr>
      </w:pPr>
      <w:r>
        <w:rPr>
          <w:rFonts w:eastAsia="Times New Roman"/>
        </w:rPr>
        <w:t xml:space="preserve">Phone </w:t>
      </w:r>
      <w:r w:rsidR="002560F1">
        <w:rPr>
          <w:rFonts w:eastAsia="Times New Roman"/>
        </w:rPr>
        <w:t>Extension (optional)</w:t>
      </w:r>
    </w:p>
    <w:p w:rsidR="000C3340" w:rsidP="000C3340" w14:paraId="622D1357" w14:textId="77777777">
      <w:pPr>
        <w:pStyle w:val="ListParagraph"/>
        <w:numPr>
          <w:ilvl w:val="0"/>
          <w:numId w:val="1"/>
        </w:numPr>
        <w:rPr>
          <w:rFonts w:eastAsia="Times New Roman"/>
        </w:rPr>
      </w:pPr>
      <w:r>
        <w:rPr>
          <w:rFonts w:eastAsia="Times New Roman"/>
        </w:rPr>
        <w:t>Demographic (optional)</w:t>
      </w:r>
    </w:p>
    <w:p w:rsidR="000C3340" w:rsidRPr="000C3340" w:rsidP="000C3340" w14:paraId="68FC6640" w14:textId="7724A438">
      <w:pPr>
        <w:pStyle w:val="ListParagraph"/>
        <w:numPr>
          <w:ilvl w:val="0"/>
          <w:numId w:val="1"/>
        </w:numPr>
        <w:rPr>
          <w:rFonts w:eastAsia="Times New Roman"/>
        </w:rPr>
      </w:pPr>
      <w:r>
        <w:rPr>
          <w:rFonts w:eastAsia="Times New Roman"/>
        </w:rPr>
        <w:t>FAA Program (optional – BEYOND, IPA, TA, NTAP, “other” write-in option)</w:t>
      </w:r>
    </w:p>
    <w:p w:rsidR="000C3340" w:rsidP="000C3340" w14:paraId="6302822E" w14:textId="1266B4B5">
      <w:pPr>
        <w:pStyle w:val="ListParagraph"/>
        <w:numPr>
          <w:ilvl w:val="0"/>
          <w:numId w:val="1"/>
        </w:numPr>
        <w:rPr>
          <w:rFonts w:eastAsia="Times New Roman"/>
        </w:rPr>
      </w:pPr>
      <w:r>
        <w:rPr>
          <w:rFonts w:eastAsia="Times New Roman"/>
        </w:rPr>
        <w:t xml:space="preserve">Main Category </w:t>
      </w:r>
      <w:r w:rsidR="002560F1">
        <w:rPr>
          <w:rFonts w:eastAsia="Times New Roman"/>
        </w:rPr>
        <w:t xml:space="preserve">(required - </w:t>
      </w:r>
      <w:r>
        <w:rPr>
          <w:rFonts w:eastAsia="Times New Roman"/>
        </w:rPr>
        <w:t xml:space="preserve">drop-down, with an “other” write-in option) </w:t>
      </w:r>
    </w:p>
    <w:p w:rsidR="000C3340" w:rsidP="000C3340" w14:paraId="72490091" w14:textId="77777777">
      <w:pPr>
        <w:pStyle w:val="ListParagraph"/>
        <w:numPr>
          <w:ilvl w:val="0"/>
          <w:numId w:val="1"/>
        </w:numPr>
        <w:rPr>
          <w:rFonts w:eastAsia="Times New Roman"/>
        </w:rPr>
      </w:pPr>
      <w:r>
        <w:rPr>
          <w:rFonts w:eastAsia="Times New Roman"/>
        </w:rPr>
        <w:t>Secondary Category (optional - Identical list as category)</w:t>
      </w:r>
    </w:p>
    <w:p w:rsidR="000C3340" w:rsidP="000C3340" w14:paraId="3A410EF5" w14:textId="77777777"/>
    <w:p w:rsidR="000C3340" w:rsidP="000C3340" w14:paraId="6CE7A3FE" w14:textId="2314AA35">
      <w:r>
        <w:t xml:space="preserve">Then the 3 free text boxes </w:t>
      </w:r>
      <w:r w:rsidR="004E16CA">
        <w:t xml:space="preserve">(all required fields) </w:t>
      </w:r>
      <w:r>
        <w:t>for:</w:t>
      </w:r>
    </w:p>
    <w:p w:rsidR="000C3340" w:rsidP="000C3340" w14:paraId="0D8B430F" w14:textId="77777777"/>
    <w:p w:rsidR="000C3340" w:rsidP="000C3340" w14:paraId="32984CA0" w14:textId="77777777">
      <w:pPr>
        <w:pStyle w:val="ListParagraph"/>
        <w:numPr>
          <w:ilvl w:val="0"/>
          <w:numId w:val="2"/>
        </w:numPr>
        <w:contextualSpacing/>
        <w:rPr>
          <w:rFonts w:eastAsia="Times New Roman"/>
        </w:rPr>
      </w:pPr>
      <w:r>
        <w:rPr>
          <w:rFonts w:eastAsia="Times New Roman"/>
        </w:rPr>
        <w:t>Practice (i.e. procedure or way of doing of something)</w:t>
      </w:r>
    </w:p>
    <w:p w:rsidR="000C3340" w:rsidP="000C3340" w14:paraId="17C0561E" w14:textId="77777777">
      <w:pPr>
        <w:pStyle w:val="ListParagraph"/>
        <w:numPr>
          <w:ilvl w:val="0"/>
          <w:numId w:val="2"/>
        </w:numPr>
        <w:contextualSpacing/>
        <w:rPr>
          <w:rFonts w:eastAsia="Times New Roman"/>
        </w:rPr>
      </w:pPr>
      <w:r>
        <w:rPr>
          <w:rFonts w:eastAsia="Times New Roman"/>
        </w:rPr>
        <w:t>Result (i.e. positive or negative outcome of the practice)</w:t>
      </w:r>
    </w:p>
    <w:p w:rsidR="000C3340" w:rsidP="000C3340" w14:paraId="48B47505" w14:textId="77777777">
      <w:pPr>
        <w:pStyle w:val="ListParagraph"/>
        <w:numPr>
          <w:ilvl w:val="0"/>
          <w:numId w:val="2"/>
        </w:numPr>
        <w:contextualSpacing/>
        <w:rPr>
          <w:rFonts w:eastAsia="Times New Roman"/>
        </w:rPr>
      </w:pPr>
      <w:r>
        <w:rPr>
          <w:rFonts w:eastAsia="Times New Roman"/>
        </w:rPr>
        <w:t xml:space="preserve">Lesson learned (i.e. recommendations for future behavior based on past experience) </w:t>
      </w:r>
    </w:p>
    <w:p w:rsidR="00B52710" w:rsidP="00B52710" w14:paraId="38A4862C" w14:textId="77777777">
      <w:pPr>
        <w:contextualSpacing/>
        <w:rPr>
          <w:rFonts w:eastAsia="Times New Roman"/>
        </w:rPr>
      </w:pPr>
    </w:p>
    <w:p w:rsidR="00871F19" w:rsidRPr="00871F19" w:rsidP="00871F19" w14:paraId="13B60B43" w14:textId="7D0224EF">
      <w:pPr>
        <w:rPr>
          <w:rFonts w:ascii="Times New Roman" w:eastAsia="Times New Roman" w:hAnsi="Times New Roman" w:cs="Times New Roman"/>
          <w:sz w:val="24"/>
          <w:szCs w:val="24"/>
          <w14:ligatures w14:val="none"/>
        </w:rPr>
      </w:pPr>
      <w:r w:rsidRPr="00871F19">
        <w:rPr>
          <w:rFonts w:eastAsia="Times New Roman"/>
          <w:noProof/>
        </w:rPr>
        <w:drawing>
          <wp:inline distT="0" distB="0" distL="0" distR="0">
            <wp:extent cx="5879753" cy="25146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01601" cy="2523944"/>
                    </a:xfrm>
                    <a:prstGeom prst="rect">
                      <a:avLst/>
                    </a:prstGeom>
                    <a:noFill/>
                    <a:ln>
                      <a:noFill/>
                    </a:ln>
                  </pic:spPr>
                </pic:pic>
              </a:graphicData>
            </a:graphic>
          </wp:inline>
        </w:drawing>
      </w:r>
    </w:p>
    <w:p w:rsidR="002740BA" w:rsidP="002F5BFD" w14:paraId="2765DDB4" w14:textId="77777777">
      <w:pPr>
        <w:contextualSpacing/>
        <w:rPr>
          <w:rFonts w:eastAsia="Times New Roman"/>
          <w:u w:val="single"/>
        </w:rPr>
      </w:pPr>
    </w:p>
    <w:p w:rsidR="002740BA" w:rsidP="002F5BFD" w14:paraId="047BD143" w14:textId="51F7B84A">
      <w:pPr>
        <w:contextualSpacing/>
        <w:rPr>
          <w:rFonts w:eastAsia="Times New Roman"/>
        </w:rPr>
      </w:pPr>
      <w:r w:rsidRPr="002F5BFD">
        <w:rPr>
          <w:rFonts w:eastAsia="Times New Roman"/>
          <w:u w:val="single"/>
        </w:rPr>
        <w:t>Calculations</w:t>
      </w:r>
      <w:r w:rsidRPr="002F5BFD">
        <w:rPr>
          <w:rFonts w:eastAsia="Times New Roman"/>
        </w:rPr>
        <w:t>: </w:t>
      </w:r>
    </w:p>
    <w:p w:rsidR="002740BA" w:rsidP="002F5BFD" w14:paraId="2EF591A0" w14:textId="77777777">
      <w:pPr>
        <w:contextualSpacing/>
        <w:rPr>
          <w:rFonts w:eastAsia="Times New Roman"/>
        </w:rPr>
      </w:pPr>
    </w:p>
    <w:p w:rsidR="006C36F4" w:rsidP="002F5BFD" w14:paraId="4414F6C1" w14:textId="10D70C92">
      <w:pPr>
        <w:contextualSpacing/>
        <w:rPr>
          <w:rFonts w:eastAsia="Times New Roman"/>
        </w:rPr>
      </w:pPr>
      <w:r>
        <w:rPr>
          <w:rFonts w:eastAsia="Times New Roman"/>
        </w:rPr>
        <w:t>Stakeholders have provided feedback through other means in the past, allowing FAA to estimate the volume of feedback that this collection will yield.</w:t>
      </w:r>
    </w:p>
    <w:p w:rsidR="006C36F4" w:rsidP="002F5BFD" w14:paraId="25E2AB7A" w14:textId="77777777">
      <w:pPr>
        <w:contextualSpacing/>
        <w:rPr>
          <w:rFonts w:eastAsia="Times New Roman"/>
        </w:rPr>
      </w:pPr>
    </w:p>
    <w:p w:rsidR="002F5BFD" w:rsidP="002F5BFD" w14:paraId="1B66913F" w14:textId="734B2BF8">
      <w:pPr>
        <w:contextualSpacing/>
        <w:rPr>
          <w:rFonts w:eastAsia="Times New Roman"/>
        </w:rPr>
      </w:pPr>
      <w:r w:rsidRPr="002F5BFD">
        <w:rPr>
          <w:rFonts w:eastAsia="Times New Roman"/>
        </w:rPr>
        <w:t>BEYOND has 8 Lead Participants who report 2 times a year on Lessons Learned. We're estimating based on the history of BEYOND to receive approximately 10 lessons learned a year from each Lead Participant. We're adding an additional buffer of 20 submissions for any future BEYOND Lead Participants who may be added to the program. </w:t>
      </w:r>
    </w:p>
    <w:p w:rsidR="00D833EA" w:rsidP="002F5BFD" w14:paraId="7984773D" w14:textId="77777777">
      <w:pPr>
        <w:contextualSpacing/>
        <w:rPr>
          <w:rFonts w:eastAsia="Times New Roman"/>
        </w:rPr>
      </w:pPr>
    </w:p>
    <w:p w:rsidR="00F94A97" w14:paraId="6FE7D352" w14:textId="750C4A71">
      <w:pPr>
        <w:contextualSpacing/>
        <w:rPr>
          <w:rStyle w:val="ui-provider"/>
        </w:rPr>
      </w:pPr>
      <w:r>
        <w:rPr>
          <w:rStyle w:val="ui-provider"/>
        </w:rPr>
        <w:t>Part 107 Waivers: We took the past 3 years’ worth of total submitted Part 107 waivers. FY24 (estimated</w:t>
      </w:r>
      <w:r w:rsidR="002A38E0">
        <w:rPr>
          <w:rStyle w:val="ui-provider"/>
        </w:rPr>
        <w:t xml:space="preserve"> based on first 3 quarters of the year submissions</w:t>
      </w:r>
      <w:r>
        <w:rPr>
          <w:rStyle w:val="ui-provider"/>
        </w:rPr>
        <w:t xml:space="preserve">) - 2693, FY23 </w:t>
      </w:r>
      <w:r w:rsidR="002A38E0">
        <w:rPr>
          <w:rStyle w:val="ui-provider"/>
        </w:rPr>
        <w:t xml:space="preserve">- </w:t>
      </w:r>
      <w:r>
        <w:rPr>
          <w:rStyle w:val="ui-provider"/>
        </w:rPr>
        <w:t xml:space="preserve">2761, FY22 - 2534, and averaged them to get </w:t>
      </w:r>
      <w:r w:rsidR="002A38E0">
        <w:rPr>
          <w:rStyle w:val="ui-provider"/>
        </w:rPr>
        <w:t xml:space="preserve">an average </w:t>
      </w:r>
      <w:r>
        <w:rPr>
          <w:rStyle w:val="ui-provider"/>
        </w:rPr>
        <w:t>of 2662</w:t>
      </w:r>
      <w:r w:rsidR="002A38E0">
        <w:rPr>
          <w:rStyle w:val="ui-provider"/>
        </w:rPr>
        <w:t xml:space="preserve"> waiver submissions per year</w:t>
      </w:r>
      <w:r>
        <w:rPr>
          <w:rStyle w:val="ui-provider"/>
        </w:rPr>
        <w:t>. We then determined that approximately 15% of part 107 waiver applicants may choose to provide the FAA with feedback on lessons learned resulting in 399.3 (rounded up to the nearest whole number, 400). </w:t>
      </w:r>
    </w:p>
    <w:p w:rsidR="00016609" w14:paraId="464AC631" w14:textId="77777777">
      <w:pPr>
        <w:contextualSpacing/>
        <w:rPr>
          <w:rStyle w:val="ui-provider"/>
        </w:rPr>
      </w:pPr>
    </w:p>
    <w:p w:rsidR="00016609" w:rsidRPr="00016609" w:rsidP="00016609" w14:paraId="294B9A63" w14:textId="3630C2A5">
      <w:pPr>
        <w:contextualSpacing/>
        <w:rPr>
          <w:rFonts w:eastAsia="Times New Roman" w:asciiTheme="minorHAnsi" w:hAnsiTheme="minorHAnsi" w:cstheme="minorHAnsi"/>
          <w14:ligatures w14:val="none"/>
        </w:rPr>
      </w:pPr>
      <w:r w:rsidRPr="00016609">
        <w:rPr>
          <w:rStyle w:val="ui-provider"/>
          <w:rFonts w:asciiTheme="minorHAnsi" w:hAnsiTheme="minorHAnsi" w:cstheme="minorHAnsi"/>
        </w:rPr>
        <w:t xml:space="preserve">To find a median hourly wage for drone operators we used the </w:t>
      </w:r>
      <w:r w:rsidRPr="00016609">
        <w:rPr>
          <w:rFonts w:eastAsia="Times New Roman" w:asciiTheme="minorHAnsi" w:hAnsiTheme="minorHAnsi" w:cstheme="minorHAnsi"/>
          <w14:ligatures w14:val="none"/>
        </w:rPr>
        <w:t>Standard Occupational Classification (SOC) code 17-3024 Electro-Mechanical and Mechatronics Technologists and Technicians.</w:t>
      </w:r>
      <w:r>
        <w:rPr>
          <w:rFonts w:eastAsia="Times New Roman" w:asciiTheme="minorHAnsi" w:hAnsiTheme="minorHAnsi" w:cstheme="minorHAnsi"/>
          <w14:ligatures w14:val="none"/>
        </w:rPr>
        <w:t xml:space="preserve"> We added </w:t>
      </w:r>
      <w:r w:rsidRPr="00016609">
        <w:rPr>
          <w:rFonts w:eastAsia="Times New Roman" w:asciiTheme="minorHAnsi" w:hAnsiTheme="minorHAnsi" w:cstheme="minorHAnsi"/>
          <w14:ligatures w14:val="none"/>
        </w:rPr>
        <w:t>30% to the wage to reflect benefits so that the wage is fully loaded.</w:t>
      </w:r>
      <w:r>
        <w:rPr>
          <w:rFonts w:eastAsia="Times New Roman" w:asciiTheme="minorHAnsi" w:hAnsiTheme="minorHAnsi" w:cstheme="minorHAnsi"/>
          <w14:ligatures w14:val="none"/>
        </w:rPr>
        <w:t xml:space="preserve"> This resulted in a mean hourly wage of $45.27. Then multiplied by 66.7 hours a year resulted in a yearly cost of $3,019.51 for the external stakeholders.</w:t>
      </w:r>
    </w:p>
    <w:p w:rsidR="00B52710" w:rsidRPr="00016609" w:rsidP="00016609" w14:paraId="78A57929" w14:textId="704AE841">
      <w:pPr>
        <w:spacing w:before="100" w:beforeAutospacing="1" w:after="100" w:afterAutospacing="1"/>
        <w:rPr>
          <w:rFonts w:eastAsia="Times New Roman" w:asciiTheme="minorHAnsi" w:hAnsiTheme="minorHAnsi" w:cstheme="minorHAnsi"/>
          <w14:ligatures w14:val="none"/>
        </w:rPr>
      </w:pPr>
      <w:r w:rsidRPr="00016609">
        <w:rPr>
          <w:rFonts w:asciiTheme="minorHAnsi" w:hAnsiTheme="minorHAnsi" w:cstheme="minorHAnsi"/>
          <w:noProof/>
        </w:rPr>
        <w:drawing>
          <wp:inline distT="0" distB="0" distL="0" distR="0">
            <wp:extent cx="5943600" cy="112903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age"/>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129030"/>
                    </a:xfrm>
                    <a:prstGeom prst="rect">
                      <a:avLst/>
                    </a:prstGeom>
                    <a:noFill/>
                    <a:ln>
                      <a:noFill/>
                    </a:ln>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0E6EE5"/>
    <w:multiLevelType w:val="multilevel"/>
    <w:tmpl w:val="0E4025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3415100"/>
    <w:multiLevelType w:val="hybridMultilevel"/>
    <w:tmpl w:val="A352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758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103803">
    <w:abstractNumId w:val="0"/>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40"/>
    <w:rsid w:val="00016609"/>
    <w:rsid w:val="000C3340"/>
    <w:rsid w:val="002560F1"/>
    <w:rsid w:val="002740BA"/>
    <w:rsid w:val="002A38E0"/>
    <w:rsid w:val="002E1C66"/>
    <w:rsid w:val="002F5BFD"/>
    <w:rsid w:val="004B2C79"/>
    <w:rsid w:val="004E16CA"/>
    <w:rsid w:val="004F7228"/>
    <w:rsid w:val="006C36F4"/>
    <w:rsid w:val="006F01DC"/>
    <w:rsid w:val="00817325"/>
    <w:rsid w:val="00871F19"/>
    <w:rsid w:val="00B52710"/>
    <w:rsid w:val="00BC1B37"/>
    <w:rsid w:val="00C54488"/>
    <w:rsid w:val="00CC1529"/>
    <w:rsid w:val="00D163A0"/>
    <w:rsid w:val="00D833EA"/>
    <w:rsid w:val="00D9635A"/>
    <w:rsid w:val="00F069CE"/>
    <w:rsid w:val="00F94A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E9ED3"/>
  <w15:chartTrackingRefBased/>
  <w15:docId w15:val="{283E3131-9C13-466B-83FE-B30824D7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340"/>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340"/>
    <w:pPr>
      <w:ind w:left="720"/>
    </w:pPr>
    <w:rPr>
      <w14:ligatures w14:val="none"/>
    </w:rPr>
  </w:style>
  <w:style w:type="character" w:customStyle="1" w:styleId="ui-provider">
    <w:name w:val="ui-provider"/>
    <w:basedOn w:val="DefaultParagraphFont"/>
    <w:rsid w:val="002E1C66"/>
  </w:style>
  <w:style w:type="paragraph" w:styleId="NormalWeb">
    <w:name w:val="Normal (Web)"/>
    <w:basedOn w:val="Normal"/>
    <w:uiPriority w:val="99"/>
    <w:semiHidden/>
    <w:unhideWhenUsed/>
    <w:rsid w:val="00016609"/>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016609"/>
    <w:rPr>
      <w:color w:val="0000FF"/>
      <w:u w:val="single"/>
    </w:rPr>
  </w:style>
  <w:style w:type="paragraph" w:styleId="Revision">
    <w:name w:val="Revision"/>
    <w:hidden/>
    <w:uiPriority w:val="99"/>
    <w:semiHidden/>
    <w:rsid w:val="002A38E0"/>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Morgenthaler, Alexis M (FAA)</dc:creator>
  <cp:lastModifiedBy>Merchant, Kim (FAA)</cp:lastModifiedBy>
  <cp:revision>2</cp:revision>
  <dcterms:created xsi:type="dcterms:W3CDTF">2024-07-26T17:31:00Z</dcterms:created>
  <dcterms:modified xsi:type="dcterms:W3CDTF">2024-07-26T17:31:00Z</dcterms:modified>
</cp:coreProperties>
</file>