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110DC4" w:rsidP="0015188A" w14:paraId="7F70E9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8"/>
        </w:rPr>
      </w:pPr>
      <w:r w:rsidRPr="00110DC4">
        <w:rPr>
          <w:rFonts w:ascii="Helvetica" w:hAnsi="Helvetica"/>
          <w:b/>
          <w:color w:val="000000" w:themeColor="text1"/>
          <w:sz w:val="28"/>
        </w:rPr>
        <w:t>Supporting Statement for Paperwork Reduction Act Submissions</w:t>
      </w:r>
    </w:p>
    <w:p w:rsidR="009E118C" w:rsidRPr="00110DC4" w:rsidP="00FA2F70" w14:paraId="29BE90EA" w14:textId="77777777">
      <w:pPr>
        <w:pStyle w:val="Heading1"/>
        <w:spacing w:before="0" w:line="240" w:lineRule="auto"/>
        <w:jc w:val="center"/>
        <w:rPr>
          <w:color w:val="000000" w:themeColor="text1"/>
        </w:rPr>
      </w:pPr>
      <w:r w:rsidRPr="00110DC4">
        <w:rPr>
          <w:color w:val="000000" w:themeColor="text1"/>
        </w:rPr>
        <w:t xml:space="preserve">Personal Financial and Credit Statement </w:t>
      </w:r>
    </w:p>
    <w:p w:rsidR="009E118C" w:rsidRPr="00110DC4" w:rsidP="00FA2F70" w14:paraId="0ECA1E14" w14:textId="77777777">
      <w:pPr>
        <w:pBdr>
          <w:bottom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4"/>
        </w:rPr>
      </w:pPr>
      <w:r w:rsidRPr="00110DC4">
        <w:rPr>
          <w:rFonts w:ascii="Helvetica" w:hAnsi="Helvetica"/>
          <w:b/>
          <w:color w:val="000000" w:themeColor="text1"/>
          <w:sz w:val="24"/>
        </w:rPr>
        <w:t>OMB Control Number 2502-</w:t>
      </w:r>
      <w:r w:rsidRPr="00110DC4" w:rsidR="00E37F1B">
        <w:rPr>
          <w:rFonts w:ascii="Helvetica" w:hAnsi="Helvetica"/>
          <w:b/>
          <w:color w:val="000000" w:themeColor="text1"/>
          <w:sz w:val="24"/>
        </w:rPr>
        <w:t>00</w:t>
      </w:r>
      <w:r w:rsidRPr="00110DC4" w:rsidR="0015188A">
        <w:rPr>
          <w:rFonts w:ascii="Helvetica" w:hAnsi="Helvetica"/>
          <w:b/>
          <w:color w:val="000000" w:themeColor="text1"/>
          <w:sz w:val="24"/>
        </w:rPr>
        <w:t>01</w:t>
      </w:r>
    </w:p>
    <w:p w:rsidR="0015188A" w:rsidRPr="00110DC4" w:rsidP="00FA2F70" w14:paraId="7AF09A29" w14:textId="77777777">
      <w:pPr>
        <w:pBdr>
          <w:bottom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4"/>
        </w:rPr>
      </w:pPr>
      <w:r w:rsidRPr="00110DC4">
        <w:rPr>
          <w:rFonts w:ascii="Helvetica" w:hAnsi="Helvetica"/>
          <w:b/>
          <w:color w:val="000000" w:themeColor="text1"/>
          <w:sz w:val="24"/>
        </w:rPr>
        <w:t>HUD-92417</w:t>
      </w:r>
    </w:p>
    <w:p w:rsidR="009E118C" w:rsidRPr="00110DC4" w:rsidP="00FA2F70" w14:paraId="7B57203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r w:rsidRPr="00110DC4">
        <w:rPr>
          <w:rFonts w:ascii="Helvetica" w:hAnsi="Helvetica"/>
          <w:b/>
          <w:color w:val="000000" w:themeColor="text1"/>
          <w:sz w:val="24"/>
        </w:rPr>
        <w:t xml:space="preserve">A. </w:t>
      </w:r>
      <w:r w:rsidRPr="00110DC4">
        <w:rPr>
          <w:rFonts w:ascii="Helvetica" w:hAnsi="Helvetica"/>
          <w:b/>
          <w:color w:val="000000" w:themeColor="text1"/>
          <w:sz w:val="24"/>
        </w:rPr>
        <w:tab/>
        <w:t>Justification</w:t>
      </w:r>
    </w:p>
    <w:p w:rsidR="00FA2F70" w:rsidRPr="00110DC4" w:rsidP="00FA2F70" w14:paraId="587C9C0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tblPr>
      <w:tblGrid>
        <w:gridCol w:w="9252"/>
      </w:tblGrid>
      <w:tr w14:paraId="5CEF9F06" w14:textId="77777777" w:rsidTr="00D35DDB">
        <w:tblPrEx>
          <w:tblW w:w="0" w:type="auto"/>
          <w:tblInd w:w="108" w:type="dxa"/>
          <w:tblLook w:val="04A0"/>
        </w:tblPrEx>
        <w:tc>
          <w:tcPr>
            <w:tcW w:w="9360" w:type="dxa"/>
            <w:shd w:val="clear" w:color="auto" w:fill="auto"/>
          </w:tcPr>
          <w:p w:rsidR="00FA2F70" w:rsidRPr="00CB4A4D" w:rsidP="001B4FB5" w14:paraId="3F7B7B1C" w14:textId="6E8B9C4A">
            <w:pPr>
              <w:spacing w:after="0" w:line="240" w:lineRule="auto"/>
              <w:rPr>
                <w:rFonts w:ascii="Times New Roman" w:hAnsi="Times New Roman"/>
                <w:b/>
                <w:color w:val="000000" w:themeColor="text1"/>
              </w:rPr>
            </w:pPr>
            <w:r w:rsidRPr="00CB4A4D">
              <w:rPr>
                <w:rFonts w:ascii="Times New Roman" w:hAnsi="Times New Roman"/>
                <w:b/>
                <w:color w:val="000000" w:themeColor="text1"/>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B4A4D" w:rsidR="00A352F3">
              <w:rPr>
                <w:rFonts w:ascii="Times New Roman" w:hAnsi="Times New Roman"/>
                <w:b/>
                <w:color w:val="000000" w:themeColor="text1"/>
              </w:rPr>
              <w:t xml:space="preserve"> Include a statement regarding the changes for this submission. (Example:  The changes for this submittal </w:t>
            </w:r>
            <w:r w:rsidRPr="00CB4A4D" w:rsidR="009C049E">
              <w:rPr>
                <w:rFonts w:ascii="Times New Roman" w:hAnsi="Times New Roman"/>
                <w:b/>
                <w:color w:val="000000" w:themeColor="text1"/>
              </w:rPr>
              <w:t>are</w:t>
            </w:r>
            <w:r w:rsidRPr="00CB4A4D" w:rsidR="00A352F3">
              <w:rPr>
                <w:rFonts w:ascii="Times New Roman" w:hAnsi="Times New Roman"/>
                <w:b/>
                <w:color w:val="000000" w:themeColor="text1"/>
              </w:rPr>
              <w:t xml:space="preserve"> as follows or the difference between this submission and the last is as follows....)</w:t>
            </w:r>
          </w:p>
          <w:p w:rsidR="0015188A" w:rsidRPr="00CB4A4D" w:rsidP="0015188A" w14:paraId="7F2EB995" w14:textId="77777777">
            <w:pPr>
              <w:spacing w:after="0" w:line="240" w:lineRule="auto"/>
              <w:ind w:left="-110"/>
              <w:rPr>
                <w:rFonts w:ascii="Times New Roman" w:hAnsi="Times New Roman"/>
                <w:b/>
                <w:color w:val="000000" w:themeColor="text1"/>
              </w:rPr>
            </w:pPr>
          </w:p>
          <w:p w:rsidR="00FA2F70" w:rsidRPr="00CB4A4D" w:rsidP="00BE7067" w14:paraId="3E929638" w14:textId="77777777">
            <w:pPr>
              <w:pStyle w:val="BodyTextIndent2"/>
              <w:rPr>
                <w:color w:val="000000" w:themeColor="text1"/>
                <w:sz w:val="22"/>
                <w:szCs w:val="22"/>
              </w:rPr>
            </w:pPr>
            <w:r w:rsidRPr="00CB4A4D">
              <w:rPr>
                <w:color w:val="000000" w:themeColor="text1"/>
                <w:sz w:val="22"/>
                <w:szCs w:val="22"/>
              </w:rPr>
              <w:t xml:space="preserve">      </w:t>
            </w:r>
            <w:r w:rsidRPr="00CB4A4D" w:rsidR="0015188A">
              <w:rPr>
                <w:color w:val="000000" w:themeColor="text1"/>
                <w:sz w:val="22"/>
                <w:szCs w:val="22"/>
              </w:rPr>
              <w:t xml:space="preserve">Under Section 207 (b)(1) and (2) of the National Housing Act (Public Law 479, 48 Stat. 1246, 12 U.S.C. 1713 et seq.) the applicable portion of which are attached for references, the Secretary is authorized to insure mortgages on property held by (1) Federal or State instrumentalities, municipal corporate instrumentalities of one or more States, or limited dividend or redevelopment or housing corporations restricted by Federal or State laws or regulations of State banking or insurance departments as to rents, charges, capital structure, rate of return, or methods of operations; or (2) any mortgagor approved by the Secretary.  The Secretary may at her or his discretion, require any such mortgagor to be regulated or restricted as to rents, sales, charges, capital structure, rate of return, and methods of operation </w:t>
            </w:r>
            <w:r w:rsidRPr="00CB4A4D" w:rsidR="00BE7067">
              <w:rPr>
                <w:color w:val="000000" w:themeColor="text1"/>
                <w:sz w:val="22"/>
                <w:szCs w:val="22"/>
              </w:rPr>
              <w:t>to</w:t>
            </w:r>
            <w:r w:rsidRPr="00CB4A4D" w:rsidR="0015188A">
              <w:rPr>
                <w:color w:val="000000" w:themeColor="text1"/>
                <w:sz w:val="22"/>
                <w:szCs w:val="22"/>
              </w:rPr>
              <w:t xml:space="preserve"> provide reasonable rentals to tenants and a reasonable return on investment.</w:t>
            </w:r>
          </w:p>
          <w:p w:rsidR="00BE7067" w:rsidRPr="00CB4A4D" w:rsidP="00BE7067" w14:paraId="1899BD62" w14:textId="77777777">
            <w:pPr>
              <w:pStyle w:val="BodyTextIndent"/>
              <w:overflowPunct w:val="0"/>
              <w:autoSpaceDE w:val="0"/>
              <w:autoSpaceDN w:val="0"/>
              <w:adjustRightInd w:val="0"/>
              <w:textAlignment w:val="baseline"/>
              <w:rPr>
                <w:rFonts w:ascii="Times New Roman" w:hAnsi="Times New Roman"/>
                <w:color w:val="000000" w:themeColor="text1"/>
              </w:rPr>
            </w:pPr>
            <w:r w:rsidRPr="00CB4A4D">
              <w:rPr>
                <w:rFonts w:ascii="Times New Roman" w:hAnsi="Times New Roman"/>
                <w:color w:val="000000" w:themeColor="text1"/>
              </w:rPr>
              <w:t xml:space="preserve">The Department is legally required to collect information to evaluate the character, ability, and capital of the sponsor, mortgagor, and general contractor for mortgage insurance.  The financial analysis of the project’s principal participants is an integral part of the underwriting process.  The development of a multifamily rental property is subject to certain inherent risks that the Department must assess.  A project may be subject to costly construction delays, incompetent management, and a probability that income will not cover project expenditures if a comprehensive credit analysis is not conducted.  The Department, in accordance with regulations cited in 24 CFR 207.1, which are eligibility requirements set forth in 24 CFR part 200, subpart A, apply to multifamily project mortgages insured under section of the National Housing Act (12 U.S.C. 1713), as amended.   Therefore, the Department is legally obligated to review the mortgagor’s financial capacity to minimize the risk to the insurance fund.  </w:t>
            </w:r>
          </w:p>
          <w:p w:rsidR="00E6366B" w:rsidRPr="00CB4A4D" w:rsidP="003F4ADD" w14:paraId="5D0326AD" w14:textId="77777777">
            <w:pPr>
              <w:pStyle w:val="BodyTextIndent"/>
              <w:overflowPunct w:val="0"/>
              <w:autoSpaceDE w:val="0"/>
              <w:autoSpaceDN w:val="0"/>
              <w:adjustRightInd w:val="0"/>
              <w:ind w:left="0"/>
              <w:textAlignment w:val="baseline"/>
              <w:rPr>
                <w:rFonts w:ascii="Times New Roman" w:hAnsi="Times New Roman"/>
                <w:color w:val="000000" w:themeColor="text1"/>
              </w:rPr>
            </w:pPr>
            <w:r w:rsidRPr="00CB4A4D">
              <w:rPr>
                <w:rFonts w:ascii="Times New Roman" w:hAnsi="Times New Roman"/>
                <w:color w:val="000000" w:themeColor="text1"/>
              </w:rPr>
              <w:t xml:space="preserve">2.    Indicate how, by whom, and for what purpose the information is to be used.  </w:t>
            </w:r>
            <w:r w:rsidRPr="00CB4A4D">
              <w:rPr>
                <w:rFonts w:ascii="Times New Roman" w:hAnsi="Times New Roman"/>
                <w:i/>
                <w:iCs/>
                <w:color w:val="000000" w:themeColor="text1"/>
              </w:rPr>
              <w:t>Except for a new</w:t>
            </w:r>
            <w:r w:rsidRPr="00CB4A4D">
              <w:rPr>
                <w:rFonts w:ascii="Times New Roman" w:hAnsi="Times New Roman"/>
                <w:color w:val="000000" w:themeColor="text1"/>
              </w:rPr>
              <w:t xml:space="preserve">       </w:t>
            </w:r>
            <w:r w:rsidRPr="00CB4A4D" w:rsidR="003F4ADD">
              <w:rPr>
                <w:rFonts w:ascii="Times New Roman" w:hAnsi="Times New Roman"/>
                <w:color w:val="000000" w:themeColor="text1"/>
              </w:rPr>
              <w:t xml:space="preserve">            </w:t>
            </w:r>
            <w:r w:rsidRPr="00CB4A4D">
              <w:rPr>
                <w:rFonts w:ascii="Times New Roman" w:hAnsi="Times New Roman"/>
                <w:i/>
                <w:iCs/>
                <w:color w:val="000000" w:themeColor="text1"/>
              </w:rPr>
              <w:t>collection</w:t>
            </w:r>
            <w:r w:rsidRPr="00CB4A4D">
              <w:rPr>
                <w:rFonts w:ascii="Times New Roman" w:hAnsi="Times New Roman"/>
                <w:color w:val="000000" w:themeColor="text1"/>
              </w:rPr>
              <w:t xml:space="preserve">, indicate the actual use the agency has made of the information received from the current collection.  </w:t>
            </w:r>
          </w:p>
        </w:tc>
      </w:tr>
      <w:tr w14:paraId="0D6336CC" w14:textId="77777777" w:rsidTr="00D35DDB">
        <w:tblPrEx>
          <w:tblW w:w="0" w:type="auto"/>
          <w:tblInd w:w="108" w:type="dxa"/>
          <w:tblLook w:val="04A0"/>
        </w:tblPrEx>
        <w:tc>
          <w:tcPr>
            <w:tcW w:w="9360" w:type="dxa"/>
            <w:shd w:val="clear" w:color="auto" w:fill="auto"/>
          </w:tcPr>
          <w:p w:rsidR="00E6366B" w:rsidRPr="00CB4A4D" w:rsidP="00E6366B" w14:paraId="6FB4A3C3" w14:textId="4ABB6BA1">
            <w:pPr>
              <w:overflowPunct w:val="0"/>
              <w:autoSpaceDE w:val="0"/>
              <w:autoSpaceDN w:val="0"/>
              <w:adjustRightInd w:val="0"/>
              <w:spacing w:after="0" w:line="240" w:lineRule="auto"/>
              <w:ind w:left="360" w:hanging="360"/>
              <w:textAlignment w:val="baseline"/>
              <w:rPr>
                <w:rFonts w:ascii="Times New Roman" w:hAnsi="Times New Roman"/>
                <w:b/>
                <w:bCs/>
                <w:i/>
                <w:iCs/>
                <w:color w:val="000000" w:themeColor="text1"/>
              </w:rPr>
            </w:pPr>
            <w:r w:rsidRPr="00CB4A4D">
              <w:rPr>
                <w:rFonts w:ascii="Times New Roman" w:hAnsi="Times New Roman"/>
                <w:color w:val="000000" w:themeColor="text1"/>
              </w:rPr>
              <w:t xml:space="preserve">      Form HUD-92417, Personal and Financial Credit Statement, is a part of the credit </w:t>
            </w:r>
            <w:r w:rsidRPr="00CB4A4D" w:rsidR="005102F5">
              <w:rPr>
                <w:rFonts w:ascii="Times New Roman" w:hAnsi="Times New Roman"/>
                <w:color w:val="000000" w:themeColor="text1"/>
              </w:rPr>
              <w:t xml:space="preserve">and financial </w:t>
            </w:r>
            <w:r w:rsidRPr="00CB4A4D">
              <w:rPr>
                <w:rFonts w:ascii="Times New Roman" w:hAnsi="Times New Roman"/>
                <w:color w:val="000000" w:themeColor="text1"/>
              </w:rPr>
              <w:t xml:space="preserve">investigation </w:t>
            </w:r>
            <w:r w:rsidRPr="00CB4A4D" w:rsidR="00525C20">
              <w:rPr>
                <w:rFonts w:ascii="Times New Roman" w:hAnsi="Times New Roman"/>
                <w:color w:val="000000" w:themeColor="text1"/>
              </w:rPr>
              <w:t xml:space="preserve">conducted </w:t>
            </w:r>
            <w:r w:rsidRPr="00CB4A4D" w:rsidR="00CB10B8">
              <w:rPr>
                <w:rFonts w:ascii="Times New Roman" w:hAnsi="Times New Roman"/>
                <w:color w:val="000000" w:themeColor="text1"/>
              </w:rPr>
              <w:t>on individual</w:t>
            </w:r>
            <w:r w:rsidRPr="00CB4A4D" w:rsidR="00B66D93">
              <w:rPr>
                <w:rFonts w:ascii="Times New Roman" w:hAnsi="Times New Roman"/>
                <w:color w:val="000000" w:themeColor="text1"/>
              </w:rPr>
              <w:t>s as</w:t>
            </w:r>
            <w:r w:rsidRPr="00CB4A4D" w:rsidR="00CB10B8">
              <w:rPr>
                <w:rFonts w:ascii="Times New Roman" w:hAnsi="Times New Roman"/>
                <w:color w:val="000000" w:themeColor="text1"/>
              </w:rPr>
              <w:t xml:space="preserve"> </w:t>
            </w:r>
            <w:r w:rsidRPr="00CB4A4D">
              <w:rPr>
                <w:rFonts w:ascii="Times New Roman" w:hAnsi="Times New Roman"/>
                <w:color w:val="000000" w:themeColor="text1"/>
              </w:rPr>
              <w:t xml:space="preserve">principals of </w:t>
            </w:r>
            <w:r w:rsidRPr="00CB4A4D" w:rsidR="009F4381">
              <w:rPr>
                <w:rFonts w:ascii="Times New Roman" w:hAnsi="Times New Roman"/>
                <w:color w:val="000000" w:themeColor="text1"/>
              </w:rPr>
              <w:t>a</w:t>
            </w:r>
            <w:r w:rsidRPr="00CB4A4D">
              <w:rPr>
                <w:rFonts w:ascii="Times New Roman" w:hAnsi="Times New Roman"/>
                <w:color w:val="000000" w:themeColor="text1"/>
              </w:rPr>
              <w:t xml:space="preserve"> mortgagor entity.  FHA-approved lenders and HUD personnel use the information to analyze the financial capacity, reputation, experience, and the ability of the project sponsor to develop a successful project, and to determine if the sponsor has sufficient financial resources to complete and maintain the property.  </w:t>
            </w:r>
          </w:p>
          <w:p w:rsidR="00E6366B" w:rsidRPr="00CB4A4D" w:rsidP="00E6366B" w14:paraId="7FFB4FF8" w14:textId="32C98DB1">
            <w:pPr>
              <w:tabs>
                <w:tab w:val="left" w:pos="360"/>
              </w:tabs>
              <w:overflowPunct w:val="0"/>
              <w:autoSpaceDE w:val="0"/>
              <w:autoSpaceDN w:val="0"/>
              <w:adjustRightInd w:val="0"/>
              <w:spacing w:after="0" w:line="240" w:lineRule="auto"/>
              <w:ind w:left="360" w:hanging="360"/>
              <w:textAlignment w:val="baseline"/>
              <w:rPr>
                <w:rFonts w:ascii="Times New Roman" w:hAnsi="Times New Roman"/>
                <w:color w:val="000000" w:themeColor="text1"/>
              </w:rPr>
            </w:pPr>
            <w:r w:rsidRPr="00CB4A4D">
              <w:rPr>
                <w:rFonts w:ascii="Times New Roman" w:hAnsi="Times New Roman"/>
                <w:color w:val="000000" w:themeColor="text1"/>
              </w:rPr>
              <w:tab/>
              <w:t>Form HUD-92417 is used only for individuals and is completed in conjunction with the basic application form, HUD-92013 (OMB Control Number 2502-0029) as a required exhibit.  The information obtained is the minimum required to decide</w:t>
            </w:r>
            <w:r w:rsidRPr="00CB4A4D" w:rsidR="006373F1">
              <w:rPr>
                <w:rFonts w:ascii="Times New Roman" w:hAnsi="Times New Roman"/>
                <w:color w:val="000000" w:themeColor="text1"/>
              </w:rPr>
              <w:t xml:space="preserve"> </w:t>
            </w:r>
            <w:r w:rsidRPr="00CB4A4D">
              <w:rPr>
                <w:rFonts w:ascii="Times New Roman" w:hAnsi="Times New Roman"/>
                <w:color w:val="000000" w:themeColor="text1"/>
              </w:rPr>
              <w:t xml:space="preserve">the financial and credit </w:t>
            </w:r>
            <w:r w:rsidRPr="00CB4A4D" w:rsidR="00D43F44">
              <w:rPr>
                <w:rFonts w:ascii="Times New Roman" w:hAnsi="Times New Roman"/>
                <w:color w:val="000000" w:themeColor="text1"/>
              </w:rPr>
              <w:t xml:space="preserve">worthiness </w:t>
            </w:r>
            <w:r w:rsidRPr="00CB4A4D">
              <w:rPr>
                <w:rFonts w:ascii="Times New Roman" w:hAnsi="Times New Roman"/>
                <w:color w:val="000000" w:themeColor="text1"/>
              </w:rPr>
              <w:t xml:space="preserve">of the respondent.  The respondents are individuals of business entities, non-profit entities, corporations, and general contractors.  The Privacy Act Notice Statement, therefore, is applicable.  Corporate or partnership mortgagors do not use the form and are not a part of this information collection.  Corporate or partnership mortgagors submit balance sheets, income and expense statements, and other financial reports to demonstrate credit worthiness (OMB control number 2502-0029).  </w:t>
            </w:r>
          </w:p>
          <w:p w:rsidR="00FA2F70" w:rsidRPr="00CB4A4D" w:rsidP="001B4FB5" w14:paraId="6737DF1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rPr>
            </w:pPr>
          </w:p>
          <w:p w:rsidR="00E6366B" w:rsidRPr="00CB4A4D" w:rsidP="001B4FB5" w14:paraId="65767B4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rPr>
            </w:pPr>
          </w:p>
        </w:tc>
      </w:tr>
    </w:tbl>
    <w:p w:rsidR="00FA2F70" w:rsidRPr="00110DC4" w:rsidP="00FA2F70" w14:paraId="3239DCD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tblPr>
      <w:tblGrid>
        <w:gridCol w:w="9252"/>
      </w:tblGrid>
      <w:tr w14:paraId="205F9321" w14:textId="77777777" w:rsidTr="00D35DDB">
        <w:tblPrEx>
          <w:tblW w:w="0" w:type="auto"/>
          <w:tblInd w:w="108" w:type="dxa"/>
          <w:tblLook w:val="04A0"/>
        </w:tblPrEx>
        <w:tc>
          <w:tcPr>
            <w:tcW w:w="9360" w:type="dxa"/>
            <w:shd w:val="clear" w:color="auto" w:fill="auto"/>
          </w:tcPr>
          <w:p w:rsidR="004D3B6C" w:rsidRPr="00CB4A4D" w:rsidP="004D3B6C" w14:paraId="70DA0ECD" w14:textId="77777777">
            <w:pPr>
              <w:spacing w:after="0" w:line="240" w:lineRule="auto"/>
              <w:rPr>
                <w:rFonts w:ascii="Times New Roman" w:hAnsi="Times New Roman"/>
                <w:b/>
              </w:rPr>
            </w:pPr>
            <w:r w:rsidRPr="00CB4A4D">
              <w:rPr>
                <w:rFonts w:ascii="Times New Roman" w:hAnsi="Times New Roman"/>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4D3B6C" w:rsidRPr="00CB4A4D" w:rsidP="004D3B6C" w14:paraId="7876C17C" w14:textId="77777777">
            <w:pPr>
              <w:pStyle w:val="xmsolistparagraph"/>
              <w:ind w:left="0"/>
              <w:rPr>
                <w:rFonts w:ascii="Times New Roman" w:eastAsia="Times New Roman" w:hAnsi="Times New Roman" w:cs="Times New Roman"/>
              </w:rPr>
            </w:pPr>
          </w:p>
          <w:p w:rsidR="00BC21AA" w:rsidRPr="00CB4A4D" w:rsidP="004D3B6C" w14:paraId="0598DE8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i/>
                <w:iCs/>
              </w:rPr>
            </w:pPr>
            <w:r w:rsidRPr="00CB4A4D">
              <w:rPr>
                <w:rFonts w:ascii="Times New Roman" w:hAnsi="Times New Roman"/>
                <w:i/>
                <w:iCs/>
              </w:rPr>
              <w:t>Multifamily is in the process of developing a new system and end-to-end solution for FHA Multifamily loan production – PLUS, the Multifamily Portal and Loan Underwriting System, is being developed in stages, and will</w:t>
            </w:r>
            <w:r w:rsidRPr="00CB4A4D">
              <w:rPr>
                <w:rFonts w:ascii="Times New Roman" w:hAnsi="Times New Roman"/>
                <w:i/>
                <w:iCs/>
              </w:rPr>
              <w:t>:</w:t>
            </w:r>
          </w:p>
          <w:p w:rsidR="00BC21AA" w:rsidRPr="00CB4A4D" w:rsidP="00807BB8" w14:paraId="51C40D3C" w14:textId="3E619D3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60"/>
              <w:rPr>
                <w:rFonts w:ascii="Times New Roman" w:hAnsi="Times New Roman"/>
                <w:i/>
                <w:iCs/>
              </w:rPr>
            </w:pPr>
            <w:r w:rsidRPr="00CB4A4D">
              <w:rPr>
                <w:rFonts w:ascii="Times New Roman" w:hAnsi="Times New Roman"/>
                <w:i/>
                <w:iCs/>
              </w:rPr>
              <w:t xml:space="preserve">1) </w:t>
            </w:r>
            <w:r w:rsidRPr="00CB4A4D">
              <w:rPr>
                <w:rFonts w:ascii="Times New Roman" w:hAnsi="Times New Roman"/>
                <w:i/>
                <w:iCs/>
              </w:rPr>
              <w:t>R</w:t>
            </w:r>
            <w:r w:rsidRPr="00CB4A4D">
              <w:rPr>
                <w:rFonts w:ascii="Times New Roman" w:hAnsi="Times New Roman"/>
                <w:i/>
                <w:iCs/>
              </w:rPr>
              <w:t>eplace the legacy internal Development Application Processing (DAP) system with a modern, cloud-based system (starting with PLUS Phase 1), and 2) provide a custom lender portal and tools for FHA Multifamily lenders to do business with FHA (beginning in PLUS Phase</w:t>
            </w:r>
            <w:r w:rsidRPr="00CB4A4D">
              <w:rPr>
                <w:rFonts w:ascii="Times New Roman" w:hAnsi="Times New Roman"/>
                <w:i/>
                <w:iCs/>
              </w:rPr>
              <w:t>.</w:t>
            </w:r>
          </w:p>
          <w:p w:rsidR="00C3730B" w:rsidRPr="00CB4A4D" w:rsidP="00807BB8" w14:paraId="4E1E7E6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60"/>
              <w:rPr>
                <w:rFonts w:ascii="Times New Roman" w:hAnsi="Times New Roman"/>
                <w:i/>
                <w:iCs/>
              </w:rPr>
            </w:pPr>
            <w:r w:rsidRPr="00CB4A4D">
              <w:rPr>
                <w:rFonts w:ascii="Times New Roman" w:hAnsi="Times New Roman"/>
                <w:i/>
                <w:iCs/>
              </w:rPr>
              <w:t>2)  Phase 1a (internal DAP replacement) is expected to be released and implemented in summer 2024.  Document management capabilities, additional reporting capabilities, and performance dashboards will be added in Phase 1b-c, hopefully in late 2024.</w:t>
            </w:r>
          </w:p>
          <w:p w:rsidR="00C3730B" w:rsidRPr="00CB4A4D" w:rsidP="004D3B6C" w14:paraId="6C14070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i/>
                <w:iCs/>
              </w:rPr>
            </w:pPr>
          </w:p>
          <w:p w:rsidR="00C3730B" w:rsidRPr="00CB4A4D" w:rsidP="004D3B6C" w14:paraId="0989DE7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i/>
                <w:iCs/>
              </w:rPr>
            </w:pPr>
            <w:r w:rsidRPr="00CB4A4D">
              <w:rPr>
                <w:rFonts w:ascii="Times New Roman" w:hAnsi="Times New Roman"/>
                <w:i/>
                <w:iCs/>
              </w:rPr>
              <w:t>Phase 2a will make the system external-facing and give lenders the ability to request FHA Project Numbers through the system and view the real-time status of their applications and related details on dashboards – Phase 2a is also targeted for late 2024.</w:t>
            </w:r>
          </w:p>
          <w:p w:rsidR="00C3730B" w:rsidRPr="00CB4A4D" w:rsidP="004D3B6C" w14:paraId="666C3DB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i/>
                <w:iCs/>
              </w:rPr>
            </w:pPr>
          </w:p>
          <w:p w:rsidR="00C3730B" w:rsidRPr="00CB4A4D" w:rsidP="004D3B6C" w14:paraId="43D7B88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i/>
                <w:iCs/>
              </w:rPr>
            </w:pPr>
            <w:r w:rsidRPr="00CB4A4D">
              <w:rPr>
                <w:rFonts w:ascii="Times New Roman" w:hAnsi="Times New Roman"/>
                <w:i/>
                <w:iCs/>
              </w:rPr>
              <w:t>Phase 2b will introduce the ability for lenders to electronically submit applications and related documents through PLUS – Phase 2b is targeted for early 2025.  Lenders are currently submitting electronic applications to HUD through the FHA Catalyst: Multifamily Applications Module, a separate system, but this function will be transitioned to the new portal in PLUS once it is complete and available.</w:t>
            </w:r>
          </w:p>
          <w:p w:rsidR="00C3730B" w:rsidRPr="00CB4A4D" w:rsidP="004D3B6C" w14:paraId="55BD867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i/>
                <w:iCs/>
              </w:rPr>
            </w:pPr>
          </w:p>
          <w:p w:rsidR="00C3730B" w:rsidRPr="00CB4A4D" w:rsidP="004D3B6C" w14:paraId="6E04A7A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i/>
                <w:iCs/>
              </w:rPr>
            </w:pPr>
            <w:r w:rsidRPr="00CB4A4D">
              <w:rPr>
                <w:rFonts w:ascii="Times New Roman" w:hAnsi="Times New Roman"/>
                <w:i/>
                <w:iCs/>
              </w:rPr>
              <w:t>Phase 2c (mid-2025) will make portal functionalities available to lenders’ third parties for the loan closing process and will add tools for lenders to communicate with HUD staff.  In subsequent phases, PLUS will interface with other HUD and Multifamily systems, and other features and functionalities will be introduced (digitized applications, APIs for customer data input, additional business workflows, and greater data analytics).</w:t>
            </w:r>
          </w:p>
          <w:p w:rsidR="00C3730B" w:rsidRPr="00CB4A4D" w:rsidP="004D3B6C" w14:paraId="3584B00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i/>
                <w:iCs/>
              </w:rPr>
            </w:pPr>
          </w:p>
          <w:p w:rsidR="004D3B6C" w:rsidRPr="00CB4A4D" w:rsidP="004D3B6C" w14:paraId="655F9EE5" w14:textId="0992EE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rPr>
            </w:pPr>
            <w:r w:rsidRPr="00CB4A4D">
              <w:rPr>
                <w:rFonts w:ascii="Times New Roman" w:hAnsi="Times New Roman"/>
                <w:i/>
                <w:iCs/>
              </w:rPr>
              <w:t>PLUS</w:t>
            </w:r>
            <w:r w:rsidRPr="00CB4A4D" w:rsidR="00807BB8">
              <w:rPr>
                <w:rFonts w:ascii="Times New Roman" w:hAnsi="Times New Roman"/>
                <w:i/>
                <w:iCs/>
              </w:rPr>
              <w:t>,</w:t>
            </w:r>
            <w:r w:rsidRPr="00CB4A4D">
              <w:rPr>
                <w:rFonts w:ascii="Times New Roman" w:hAnsi="Times New Roman"/>
                <w:i/>
                <w:iCs/>
              </w:rPr>
              <w:t xml:space="preserve"> will improve the customer experience, increase transparency, streamline the application and closing processes, improve FHA’s overall performance, and result in cost savings, efficiencies, and reduced burden for Multifamily lenders</w:t>
            </w:r>
            <w:r w:rsidRPr="00CB4A4D">
              <w:rPr>
                <w:rFonts w:ascii="Times New Roman" w:hAnsi="Times New Roman"/>
              </w:rPr>
              <w:t xml:space="preserve">. </w:t>
            </w:r>
          </w:p>
        </w:tc>
      </w:tr>
      <w:tr w14:paraId="3B9BE918" w14:textId="77777777" w:rsidTr="00D35DDB">
        <w:tblPrEx>
          <w:tblW w:w="0" w:type="auto"/>
          <w:tblInd w:w="108" w:type="dxa"/>
          <w:tblLook w:val="04A0"/>
        </w:tblPrEx>
        <w:tc>
          <w:tcPr>
            <w:tcW w:w="9360" w:type="dxa"/>
            <w:shd w:val="clear" w:color="auto" w:fill="auto"/>
          </w:tcPr>
          <w:p w:rsidR="004D3B6C" w:rsidRPr="00807BB8" w:rsidP="004D3B6C" w14:paraId="0D9C2DF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610"/>
              <w:rPr>
                <w:rFonts w:ascii="Courier" w:hAnsi="Courier"/>
                <w:sz w:val="24"/>
              </w:rPr>
            </w:pPr>
          </w:p>
        </w:tc>
      </w:tr>
      <w:tr w14:paraId="204B7C90" w14:textId="77777777" w:rsidTr="00D35DDB">
        <w:tblPrEx>
          <w:tblW w:w="0" w:type="auto"/>
          <w:tblInd w:w="108" w:type="dxa"/>
          <w:tblLook w:val="04A0"/>
        </w:tblPrEx>
        <w:tc>
          <w:tcPr>
            <w:tcW w:w="9360" w:type="dxa"/>
            <w:shd w:val="clear" w:color="auto" w:fill="auto"/>
          </w:tcPr>
          <w:p w:rsidR="00FA2F70" w:rsidRPr="00110DC4" w:rsidP="00E33306" w14:paraId="674A166F" w14:textId="77777777">
            <w:pPr>
              <w:pStyle w:val="xmsolistparagraph"/>
              <w:ind w:left="0"/>
              <w:rPr>
                <w:rFonts w:ascii="Times New Roman" w:hAnsi="Times New Roman"/>
                <w:b/>
                <w:color w:val="000000" w:themeColor="text1"/>
                <w:sz w:val="24"/>
                <w:szCs w:val="24"/>
              </w:rPr>
            </w:pPr>
          </w:p>
        </w:tc>
      </w:tr>
      <w:tr w14:paraId="2A6BB65A" w14:textId="77777777" w:rsidTr="00D35DDB">
        <w:tblPrEx>
          <w:tblW w:w="0" w:type="auto"/>
          <w:tblInd w:w="108" w:type="dxa"/>
          <w:tblLook w:val="04A0"/>
        </w:tblPrEx>
        <w:tc>
          <w:tcPr>
            <w:tcW w:w="9360" w:type="dxa"/>
            <w:shd w:val="clear" w:color="auto" w:fill="auto"/>
          </w:tcPr>
          <w:p w:rsidR="00FA2F70" w:rsidRPr="00110DC4" w:rsidP="001B4FB5" w14:paraId="0AF66ACB" w14:textId="77777777">
            <w:pPr>
              <w:spacing w:after="0" w:line="240" w:lineRule="auto"/>
              <w:rPr>
                <w:rFonts w:ascii="Times New Roman" w:hAnsi="Times New Roman"/>
                <w:b/>
                <w:color w:val="000000" w:themeColor="text1"/>
                <w:sz w:val="24"/>
                <w:szCs w:val="24"/>
              </w:rPr>
            </w:pPr>
          </w:p>
        </w:tc>
      </w:tr>
      <w:tr w14:paraId="78DE26D3" w14:textId="77777777" w:rsidTr="00D35DDB">
        <w:tblPrEx>
          <w:tblW w:w="0" w:type="auto"/>
          <w:tblInd w:w="108" w:type="dxa"/>
          <w:tblLook w:val="04A0"/>
        </w:tblPrEx>
        <w:tc>
          <w:tcPr>
            <w:tcW w:w="9360" w:type="dxa"/>
            <w:shd w:val="clear" w:color="auto" w:fill="auto"/>
          </w:tcPr>
          <w:p w:rsidR="00FA2F70" w:rsidRPr="00CB4A4D" w:rsidP="001B4FB5" w14:paraId="013F74EA" w14:textId="77777777">
            <w:pPr>
              <w:spacing w:after="0" w:line="240" w:lineRule="auto"/>
              <w:rPr>
                <w:rFonts w:ascii="Times New Roman" w:hAnsi="Times New Roman"/>
                <w:b/>
                <w:color w:val="000000" w:themeColor="text1"/>
              </w:rPr>
            </w:pPr>
            <w:r w:rsidRPr="00CB4A4D">
              <w:rPr>
                <w:rFonts w:ascii="Times New Roman" w:hAnsi="Times New Roman"/>
                <w:b/>
                <w:color w:val="000000" w:themeColor="text1"/>
              </w:rPr>
              <w:t xml:space="preserve">4. </w:t>
            </w:r>
            <w:r w:rsidRPr="00CB4A4D">
              <w:rPr>
                <w:rFonts w:ascii="Times New Roman" w:hAnsi="Times New Roman"/>
                <w:b/>
                <w:color w:val="000000" w:themeColor="text1"/>
              </w:rPr>
              <w:t xml:space="preserve"> Describe efforts to identify duplication. Show specifically why any similar information already available cannot be used or modified for use for the purposes described in Item 2 above. </w:t>
            </w:r>
          </w:p>
          <w:p w:rsidR="009B6ABF" w:rsidRPr="00CB4A4D" w:rsidP="001B4FB5" w14:paraId="7A74DCCB" w14:textId="77777777">
            <w:pPr>
              <w:spacing w:after="0" w:line="240" w:lineRule="auto"/>
              <w:rPr>
                <w:rFonts w:ascii="Times New Roman" w:hAnsi="Times New Roman"/>
                <w:b/>
                <w:color w:val="000000" w:themeColor="text1"/>
              </w:rPr>
            </w:pPr>
          </w:p>
          <w:p w:rsidR="00FA2F70" w:rsidRPr="00CB4A4D" w:rsidP="00FB31D9" w14:paraId="704742E4" w14:textId="77777777">
            <w:pPr>
              <w:pStyle w:val="ListParagraph"/>
              <w:overflowPunct w:val="0"/>
              <w:autoSpaceDE w:val="0"/>
              <w:autoSpaceDN w:val="0"/>
              <w:adjustRightInd w:val="0"/>
              <w:spacing w:after="0" w:line="240" w:lineRule="auto"/>
              <w:ind w:left="0"/>
              <w:textAlignment w:val="baseline"/>
              <w:rPr>
                <w:rFonts w:ascii="Times New Roman" w:eastAsia="Times New Roman" w:hAnsi="Times New Roman"/>
                <w:color w:val="000000" w:themeColor="text1"/>
              </w:rPr>
            </w:pPr>
            <w:r w:rsidRPr="00CB4A4D">
              <w:rPr>
                <w:rFonts w:ascii="Times New Roman" w:eastAsia="Times New Roman" w:hAnsi="Times New Roman"/>
                <w:color w:val="000000" w:themeColor="text1"/>
              </w:rPr>
              <w:t>This information is not collected elsewhere.  A review of Multifamily Housing information collections confirms that no other information collection provides this information.</w:t>
            </w:r>
            <w:r w:rsidRPr="00CB4A4D" w:rsidR="004D3B6C">
              <w:rPr>
                <w:rFonts w:ascii="Times New Roman" w:eastAsia="Times New Roman" w:hAnsi="Times New Roman"/>
                <w:color w:val="000000" w:themeColor="text1"/>
              </w:rPr>
              <w:t xml:space="preserve"> There are no known methods to reduce the collection burden; this form is only submitted once unless there is a change in the mortgagor’s financial status.   Mortgagors/sponsors are required to submit information regarding their financial capacity and credit worthiness during the initial application stage.  </w:t>
            </w:r>
          </w:p>
        </w:tc>
      </w:tr>
      <w:tr w14:paraId="5D2B557A" w14:textId="77777777" w:rsidTr="00D35DDB">
        <w:tblPrEx>
          <w:tblW w:w="0" w:type="auto"/>
          <w:tblInd w:w="108" w:type="dxa"/>
          <w:tblLook w:val="04A0"/>
        </w:tblPrEx>
        <w:tc>
          <w:tcPr>
            <w:tcW w:w="9360" w:type="dxa"/>
            <w:shd w:val="clear" w:color="auto" w:fill="auto"/>
          </w:tcPr>
          <w:p w:rsidR="00FA2F70" w:rsidRPr="00110DC4" w:rsidP="001B4FB5" w14:paraId="7D84728C" w14:textId="77777777">
            <w:pPr>
              <w:spacing w:after="0" w:line="240" w:lineRule="auto"/>
              <w:rPr>
                <w:rFonts w:ascii="Times New Roman" w:hAnsi="Times New Roman"/>
                <w:b/>
                <w:color w:val="000000" w:themeColor="text1"/>
                <w:sz w:val="24"/>
                <w:szCs w:val="24"/>
              </w:rPr>
            </w:pPr>
          </w:p>
        </w:tc>
      </w:tr>
    </w:tbl>
    <w:p w:rsidR="00FA2F70" w:rsidRPr="00110DC4" w:rsidP="00FA2F70" w14:paraId="627B0375" w14:textId="77777777">
      <w:pPr>
        <w:spacing w:after="0" w:line="240" w:lineRule="auto"/>
        <w:rPr>
          <w:rFonts w:ascii="Times New Roman" w:hAnsi="Times New Roman"/>
          <w:b/>
          <w:color w:val="000000" w:themeColor="text1"/>
          <w:sz w:val="24"/>
          <w:szCs w:val="24"/>
        </w:rPr>
      </w:pPr>
    </w:p>
    <w:tbl>
      <w:tblPr>
        <w:tblW w:w="0" w:type="auto"/>
        <w:tblInd w:w="108" w:type="dxa"/>
        <w:tblLook w:val="04A0"/>
      </w:tblPr>
      <w:tblGrid>
        <w:gridCol w:w="9252"/>
      </w:tblGrid>
      <w:tr w14:paraId="712ABFA5" w14:textId="77777777" w:rsidTr="00D35DDB">
        <w:tblPrEx>
          <w:tblW w:w="0" w:type="auto"/>
          <w:tblInd w:w="108" w:type="dxa"/>
          <w:tblLook w:val="04A0"/>
        </w:tblPrEx>
        <w:tc>
          <w:tcPr>
            <w:tcW w:w="9360" w:type="dxa"/>
            <w:shd w:val="clear" w:color="auto" w:fill="auto"/>
          </w:tcPr>
          <w:p w:rsidR="00FA2F70" w:rsidRPr="00CB4A4D" w:rsidP="001B4FB5" w14:paraId="24408D0D" w14:textId="77777777">
            <w:pPr>
              <w:spacing w:after="0" w:line="240" w:lineRule="auto"/>
              <w:rPr>
                <w:rFonts w:ascii="Times New Roman" w:hAnsi="Times New Roman"/>
                <w:b/>
                <w:color w:val="000000" w:themeColor="text1"/>
              </w:rPr>
            </w:pPr>
            <w:r w:rsidRPr="00CB4A4D">
              <w:rPr>
                <w:rFonts w:ascii="Times New Roman" w:hAnsi="Times New Roman"/>
                <w:b/>
                <w:color w:val="000000" w:themeColor="text1"/>
              </w:rPr>
              <w:t xml:space="preserve">5. If the collection of information impacts small businesses or other small entities (Item 5 of OMB Form 83-I), describe any methods used to minimize burden. </w:t>
            </w:r>
          </w:p>
          <w:p w:rsidR="009B6ABF" w:rsidRPr="00CB4A4D" w:rsidP="001B4FB5" w14:paraId="5B6FF4A0" w14:textId="77777777">
            <w:pPr>
              <w:spacing w:after="0" w:line="240" w:lineRule="auto"/>
              <w:rPr>
                <w:rFonts w:ascii="Times New Roman" w:hAnsi="Times New Roman"/>
                <w:b/>
                <w:color w:val="000000" w:themeColor="text1"/>
              </w:rPr>
            </w:pPr>
          </w:p>
          <w:p w:rsidR="00FA2F70" w:rsidRPr="00CB4A4D" w:rsidP="001B4FB5" w14:paraId="71089436" w14:textId="77777777">
            <w:pPr>
              <w:spacing w:after="0" w:line="240" w:lineRule="auto"/>
              <w:rPr>
                <w:rFonts w:ascii="Times New Roman" w:hAnsi="Times New Roman"/>
                <w:b/>
                <w:color w:val="000000" w:themeColor="text1"/>
              </w:rPr>
            </w:pPr>
            <w:r w:rsidRPr="00CB4A4D">
              <w:rPr>
                <w:rFonts w:ascii="Times New Roman" w:hAnsi="Times New Roman"/>
                <w:color w:val="000000" w:themeColor="text1"/>
              </w:rPr>
              <w:t xml:space="preserve">This collection of information will not have a significant impact on small business or other small entities.  </w:t>
            </w:r>
            <w:r w:rsidRPr="00CB4A4D" w:rsidR="00C80AC7">
              <w:rPr>
                <w:rFonts w:ascii="Times New Roman" w:hAnsi="Times New Roman"/>
                <w:color w:val="000000" w:themeColor="text1"/>
              </w:rPr>
              <w:t xml:space="preserve">The Department minimizes the burden on small businesses or other small entities since information is only collected once, unless there is change in the Mortgagor’s financial status. </w:t>
            </w:r>
          </w:p>
        </w:tc>
      </w:tr>
      <w:tr w14:paraId="790A87CF" w14:textId="77777777" w:rsidTr="00D35DDB">
        <w:tblPrEx>
          <w:tblW w:w="0" w:type="auto"/>
          <w:tblInd w:w="108" w:type="dxa"/>
          <w:tblLook w:val="04A0"/>
        </w:tblPrEx>
        <w:tc>
          <w:tcPr>
            <w:tcW w:w="9360" w:type="dxa"/>
            <w:shd w:val="clear" w:color="auto" w:fill="auto"/>
          </w:tcPr>
          <w:p w:rsidR="00FA2F70" w:rsidRPr="00CB4A4D" w:rsidP="001B4FB5" w14:paraId="100709AA" w14:textId="77777777">
            <w:pPr>
              <w:spacing w:after="0" w:line="240" w:lineRule="auto"/>
              <w:rPr>
                <w:rFonts w:ascii="Times New Roman" w:hAnsi="Times New Roman"/>
                <w:b/>
                <w:color w:val="000000" w:themeColor="text1"/>
              </w:rPr>
            </w:pPr>
          </w:p>
        </w:tc>
      </w:tr>
    </w:tbl>
    <w:p w:rsidR="00FA2F70" w:rsidRPr="00CB4A4D" w:rsidP="00FA2F70" w14:paraId="2409143A" w14:textId="77777777">
      <w:pPr>
        <w:spacing w:after="0" w:line="240" w:lineRule="auto"/>
        <w:rPr>
          <w:rFonts w:ascii="Times New Roman" w:hAnsi="Times New Roman"/>
          <w:b/>
          <w:color w:val="000000" w:themeColor="text1"/>
        </w:rPr>
      </w:pPr>
    </w:p>
    <w:tbl>
      <w:tblPr>
        <w:tblW w:w="0" w:type="auto"/>
        <w:tblInd w:w="108" w:type="dxa"/>
        <w:tblLook w:val="04A0"/>
      </w:tblPr>
      <w:tblGrid>
        <w:gridCol w:w="9252"/>
      </w:tblGrid>
      <w:tr w14:paraId="286ECB54" w14:textId="77777777" w:rsidTr="00D35DDB">
        <w:tblPrEx>
          <w:tblW w:w="0" w:type="auto"/>
          <w:tblInd w:w="108" w:type="dxa"/>
          <w:tblLook w:val="04A0"/>
        </w:tblPrEx>
        <w:tc>
          <w:tcPr>
            <w:tcW w:w="9360" w:type="dxa"/>
            <w:shd w:val="clear" w:color="auto" w:fill="auto"/>
          </w:tcPr>
          <w:p w:rsidR="00E6366B" w:rsidRPr="00CB4A4D" w:rsidP="001B4FB5" w14:paraId="0B59AAA6" w14:textId="77777777">
            <w:pPr>
              <w:spacing w:after="0" w:line="240" w:lineRule="auto"/>
              <w:rPr>
                <w:rFonts w:ascii="Times New Roman" w:hAnsi="Times New Roman"/>
                <w:b/>
                <w:color w:val="000000" w:themeColor="text1"/>
              </w:rPr>
            </w:pPr>
          </w:p>
          <w:p w:rsidR="00FA2F70" w:rsidRPr="00CB4A4D" w:rsidP="001B4FB5" w14:paraId="09F450EA" w14:textId="77777777">
            <w:pPr>
              <w:spacing w:after="0" w:line="240" w:lineRule="auto"/>
              <w:rPr>
                <w:rFonts w:ascii="Times New Roman" w:hAnsi="Times New Roman"/>
                <w:b/>
                <w:color w:val="000000" w:themeColor="text1"/>
              </w:rPr>
            </w:pPr>
            <w:r w:rsidRPr="00CB4A4D">
              <w:rPr>
                <w:rFonts w:ascii="Times New Roman" w:hAnsi="Times New Roman"/>
                <w:b/>
                <w:color w:val="000000" w:themeColor="text1"/>
              </w:rPr>
              <w:t xml:space="preserve">6. Describe the consequence to Federal program or policy activities if the collection is not conducted or is conducted less frequently, as well as any technical or legal obstacles to reducing burden. </w:t>
            </w:r>
          </w:p>
          <w:p w:rsidR="009B6ABF" w:rsidRPr="00CB4A4D" w:rsidP="001B4FB5" w14:paraId="7CD0D3BB" w14:textId="77777777">
            <w:pPr>
              <w:spacing w:after="0" w:line="240" w:lineRule="auto"/>
              <w:rPr>
                <w:rFonts w:ascii="Times New Roman" w:hAnsi="Times New Roman"/>
                <w:b/>
                <w:color w:val="000000" w:themeColor="text1"/>
              </w:rPr>
            </w:pPr>
          </w:p>
          <w:p w:rsidR="00FA2F70" w:rsidRPr="00CB4A4D" w:rsidP="009B6ABF" w14:paraId="7257AC02" w14:textId="77777777">
            <w:pPr>
              <w:overflowPunct w:val="0"/>
              <w:autoSpaceDE w:val="0"/>
              <w:autoSpaceDN w:val="0"/>
              <w:adjustRightInd w:val="0"/>
              <w:spacing w:after="0" w:line="240" w:lineRule="auto"/>
              <w:textAlignment w:val="baseline"/>
              <w:rPr>
                <w:rFonts w:ascii="Times New Roman" w:hAnsi="Times New Roman"/>
                <w:bCs/>
                <w:color w:val="000000" w:themeColor="text1"/>
              </w:rPr>
            </w:pPr>
            <w:r w:rsidRPr="00CB4A4D">
              <w:rPr>
                <w:rFonts w:ascii="Times New Roman" w:hAnsi="Times New Roman"/>
                <w:bCs/>
                <w:color w:val="000000" w:themeColor="text1"/>
              </w:rPr>
              <w:t xml:space="preserve">If the collections were conducted less frequently, the Department would be exposed to increased risk in fraud, waste, and mismanagement.  The consequence of less frequent collection would inhibit the Department from making sound conclusions and the ability to obtain adequate information regarding the character, ability and capital of the sponsor, mortgagor, and the general contractor.  </w:t>
            </w:r>
          </w:p>
        </w:tc>
      </w:tr>
      <w:tr w14:paraId="378A221D" w14:textId="77777777" w:rsidTr="00D35DDB">
        <w:tblPrEx>
          <w:tblW w:w="0" w:type="auto"/>
          <w:tblInd w:w="108" w:type="dxa"/>
          <w:tblLook w:val="04A0"/>
        </w:tblPrEx>
        <w:tc>
          <w:tcPr>
            <w:tcW w:w="9360" w:type="dxa"/>
            <w:shd w:val="clear" w:color="auto" w:fill="auto"/>
          </w:tcPr>
          <w:p w:rsidR="00FA2F70" w:rsidRPr="00CB4A4D" w:rsidP="001B4FB5" w14:paraId="3D7B2012" w14:textId="77777777">
            <w:pPr>
              <w:spacing w:after="0" w:line="240" w:lineRule="auto"/>
              <w:rPr>
                <w:rFonts w:ascii="Times New Roman" w:hAnsi="Times New Roman"/>
                <w:b/>
                <w:color w:val="000000" w:themeColor="text1"/>
              </w:rPr>
            </w:pPr>
          </w:p>
        </w:tc>
      </w:tr>
    </w:tbl>
    <w:p w:rsidR="00FA2F70" w:rsidRPr="00CB4A4D" w:rsidP="00FA2F70" w14:paraId="494B88A1" w14:textId="77777777">
      <w:pPr>
        <w:spacing w:after="0" w:line="240" w:lineRule="auto"/>
        <w:rPr>
          <w:rFonts w:ascii="Times New Roman" w:hAnsi="Times New Roman"/>
          <w:b/>
          <w:color w:val="000000" w:themeColor="text1"/>
        </w:rPr>
      </w:pPr>
    </w:p>
    <w:tbl>
      <w:tblPr>
        <w:tblW w:w="0" w:type="auto"/>
        <w:tblInd w:w="108" w:type="dxa"/>
        <w:tblLook w:val="04A0"/>
      </w:tblPr>
      <w:tblGrid>
        <w:gridCol w:w="9252"/>
      </w:tblGrid>
      <w:tr w14:paraId="1F677DCC" w14:textId="77777777" w:rsidTr="00D35DDB">
        <w:tblPrEx>
          <w:tblW w:w="0" w:type="auto"/>
          <w:tblInd w:w="108" w:type="dxa"/>
          <w:tblLook w:val="04A0"/>
        </w:tblPrEx>
        <w:tc>
          <w:tcPr>
            <w:tcW w:w="9360" w:type="dxa"/>
            <w:shd w:val="clear" w:color="auto" w:fill="auto"/>
          </w:tcPr>
          <w:p w:rsidR="00FA2F70" w:rsidRPr="00CB4A4D" w:rsidP="001B4FB5" w14:paraId="71C55703" w14:textId="77777777">
            <w:pPr>
              <w:spacing w:after="0" w:line="240" w:lineRule="auto"/>
              <w:rPr>
                <w:rFonts w:ascii="Times New Roman" w:hAnsi="Times New Roman"/>
                <w:b/>
                <w:color w:val="000000" w:themeColor="text1"/>
              </w:rPr>
            </w:pPr>
            <w:r w:rsidRPr="00CB4A4D">
              <w:rPr>
                <w:rFonts w:ascii="Times New Roman" w:hAnsi="Times New Roman"/>
                <w:b/>
                <w:color w:val="000000" w:themeColor="text1"/>
              </w:rPr>
              <w:t xml:space="preserve">7. Explain any special circumstances that would cause an information collection to be conducted in a manner: </w:t>
            </w:r>
          </w:p>
          <w:p w:rsidR="00FA2F70" w:rsidRPr="00CB4A4D" w:rsidP="001B4FB5" w14:paraId="3AA7F5B7" w14:textId="77777777">
            <w:pPr>
              <w:spacing w:after="0" w:line="240" w:lineRule="auto"/>
              <w:rPr>
                <w:rFonts w:ascii="Times New Roman" w:hAnsi="Times New Roman"/>
                <w:b/>
                <w:color w:val="000000" w:themeColor="text1"/>
              </w:rPr>
            </w:pPr>
          </w:p>
          <w:p w:rsidR="00FA2F70" w:rsidRPr="00CB4A4D" w:rsidP="001B4FB5" w14:paraId="588A4F69"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 requiring respondents to report information to the agency more often than quarterly; </w:t>
            </w:r>
          </w:p>
          <w:p w:rsidR="00D35DDB" w:rsidRPr="00CB4A4D" w:rsidP="00246C9E" w14:paraId="4D15587E" w14:textId="77777777">
            <w:pPr>
              <w:overflowPunct w:val="0"/>
              <w:autoSpaceDE w:val="0"/>
              <w:autoSpaceDN w:val="0"/>
              <w:adjustRightInd w:val="0"/>
              <w:spacing w:after="0" w:line="240" w:lineRule="auto"/>
              <w:textAlignment w:val="baseline"/>
              <w:rPr>
                <w:rFonts w:ascii="Times New Roman" w:hAnsi="Times New Roman"/>
                <w:color w:val="000000" w:themeColor="text1"/>
              </w:rPr>
            </w:pPr>
            <w:r w:rsidRPr="00CB4A4D">
              <w:rPr>
                <w:rFonts w:ascii="Times New Roman" w:hAnsi="Times New Roman"/>
                <w:color w:val="000000" w:themeColor="text1"/>
              </w:rPr>
              <w:t>There are no requirements for respondents to report information more often than quarterly.</w:t>
            </w:r>
            <w:r w:rsidRPr="00CB4A4D" w:rsidR="00E6366B">
              <w:rPr>
                <w:rFonts w:ascii="Times New Roman" w:hAnsi="Times New Roman"/>
                <w:color w:val="000000" w:themeColor="text1"/>
              </w:rPr>
              <w:t xml:space="preserve"> The information is collected only once unless mortgagor’s financial status change.</w:t>
            </w:r>
            <w:r w:rsidRPr="00CB4A4D">
              <w:rPr>
                <w:rFonts w:ascii="Times New Roman" w:hAnsi="Times New Roman"/>
                <w:color w:val="000000" w:themeColor="text1"/>
              </w:rPr>
              <w:t xml:space="preserve">  </w:t>
            </w:r>
          </w:p>
          <w:p w:rsidR="00FA2F70" w:rsidRPr="00CB4A4D" w:rsidP="001B4FB5" w14:paraId="46F0C273"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 requiring respondents to prepare a written response to a collection of information in fewer than 30 days after receipt of it; </w:t>
            </w:r>
          </w:p>
          <w:p w:rsidR="00D35DDB" w:rsidRPr="00CB4A4D" w:rsidP="001B4FB5" w14:paraId="1D60861A"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Respondents are not required to prepare a written response to a collection in fewer than 30 days.</w:t>
            </w:r>
          </w:p>
          <w:p w:rsidR="007450FC" w:rsidRPr="00CB4A4D" w:rsidP="001B4FB5" w14:paraId="1B05627F"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 requiring respondents to submit more than an original and two copies of any document; </w:t>
            </w:r>
          </w:p>
          <w:p w:rsidR="007450FC" w:rsidRPr="00CB4A4D" w:rsidP="001B4FB5" w14:paraId="38A06DD1"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There is no requirement for respondents to submit more than an original and two copies of any document.   </w:t>
            </w:r>
          </w:p>
          <w:p w:rsidR="00FA2F70" w:rsidRPr="00CB4A4D" w:rsidP="001B4FB5" w14:paraId="7DA1AFEE"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 requiring respondents to retain records, other than health, medical, government contract, grant-in-aid, or tax records, for more than three years; </w:t>
            </w:r>
          </w:p>
          <w:p w:rsidR="009A2F7E" w:rsidRPr="00CB4A4D" w:rsidP="009A2F7E" w14:paraId="3EE748D4" w14:textId="77777777">
            <w:pPr>
              <w:overflowPunct w:val="0"/>
              <w:autoSpaceDE w:val="0"/>
              <w:autoSpaceDN w:val="0"/>
              <w:adjustRightInd w:val="0"/>
              <w:spacing w:after="0" w:line="240" w:lineRule="auto"/>
              <w:ind w:left="-18"/>
              <w:textAlignment w:val="baseline"/>
              <w:rPr>
                <w:rFonts w:ascii="Times New Roman" w:hAnsi="Times New Roman"/>
                <w:color w:val="000000" w:themeColor="text1"/>
              </w:rPr>
            </w:pPr>
            <w:r w:rsidRPr="00CB4A4D">
              <w:rPr>
                <w:rFonts w:ascii="Times New Roman" w:hAnsi="Times New Roman"/>
                <w:color w:val="000000" w:themeColor="text1"/>
              </w:rPr>
              <w:t xml:space="preserve">HUD </w:t>
            </w:r>
            <w:r w:rsidRPr="00CB4A4D" w:rsidR="00E6366B">
              <w:rPr>
                <w:rFonts w:ascii="Times New Roman" w:hAnsi="Times New Roman"/>
                <w:color w:val="000000" w:themeColor="text1"/>
              </w:rPr>
              <w:t xml:space="preserve">does not require </w:t>
            </w:r>
            <w:r w:rsidRPr="00CB4A4D" w:rsidR="00D200CA">
              <w:rPr>
                <w:rFonts w:ascii="Times New Roman" w:hAnsi="Times New Roman"/>
                <w:color w:val="000000" w:themeColor="text1"/>
              </w:rPr>
              <w:t>respondents to</w:t>
            </w:r>
            <w:r w:rsidRPr="00CB4A4D" w:rsidR="00E6366B">
              <w:rPr>
                <w:rFonts w:ascii="Times New Roman" w:hAnsi="Times New Roman"/>
                <w:color w:val="000000" w:themeColor="text1"/>
              </w:rPr>
              <w:t xml:space="preserve"> retain records other than health, medical, government contract, grant-in-aid, or tax records, for more than three years.  </w:t>
            </w:r>
            <w:r w:rsidRPr="00CB4A4D">
              <w:rPr>
                <w:rFonts w:ascii="Times New Roman" w:hAnsi="Times New Roman"/>
                <w:color w:val="000000" w:themeColor="text1"/>
              </w:rPr>
              <w:t xml:space="preserve">  </w:t>
            </w:r>
          </w:p>
          <w:p w:rsidR="00FA2F70" w:rsidRPr="00CB4A4D" w:rsidP="001B4FB5" w14:paraId="49E1C129"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 in connection with a statistical survey, that is not designed to produce valid and reliable results that can be generalized to the universe of study; </w:t>
            </w:r>
          </w:p>
          <w:p w:rsidR="00123347" w:rsidRPr="00CB4A4D" w:rsidP="001B4FB5" w14:paraId="74BC1B0E"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This collection is not designed or used in connection with a statistical survey. </w:t>
            </w:r>
          </w:p>
          <w:p w:rsidR="00FA2F70" w:rsidRPr="00CB4A4D" w:rsidP="001B4FB5" w14:paraId="6F66EE21"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 requiring the use of a statistical data classification that has not been reviewed and approved by OMB; </w:t>
            </w:r>
          </w:p>
          <w:p w:rsidR="00D35DDB" w:rsidRPr="00CB4A4D" w:rsidP="001B4FB5" w14:paraId="5ACA668A"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This collection does not make use of a statistical data classification </w:t>
            </w:r>
          </w:p>
          <w:p w:rsidR="00FA2F70" w:rsidRPr="00CB4A4D" w:rsidP="001B4FB5" w14:paraId="21CCB465"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D35DDB" w:rsidRPr="00CB4A4D" w:rsidP="001B4FB5" w14:paraId="45314E9F"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There is no requirement for a pledge of confidentiality that is not supported by authority established in HUD’s statute and regulation.</w:t>
            </w:r>
          </w:p>
          <w:p w:rsidR="00FA2F70" w:rsidRPr="00CB4A4D" w:rsidP="001B4FB5" w14:paraId="0FA211FE"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FA2F70" w:rsidRPr="00CB4A4D" w:rsidP="001B4FB5" w14:paraId="5798E3C9" w14:textId="77777777">
            <w:pPr>
              <w:spacing w:after="0" w:line="240" w:lineRule="auto"/>
              <w:rPr>
                <w:rFonts w:ascii="Times New Roman" w:hAnsi="Times New Roman"/>
                <w:bCs/>
                <w:color w:val="000000" w:themeColor="text1"/>
              </w:rPr>
            </w:pPr>
            <w:r w:rsidRPr="00CB4A4D">
              <w:rPr>
                <w:rFonts w:ascii="Times New Roman" w:hAnsi="Times New Roman"/>
                <w:bCs/>
                <w:color w:val="000000" w:themeColor="text1"/>
              </w:rPr>
              <w:t xml:space="preserve">There are no requirements by the respondents to submit proprietary trade secrets, or other confidential information unless the agency can demonstrate that it has instituted procedures to protect the information’s </w:t>
            </w:r>
            <w:r w:rsidRPr="00CB4A4D" w:rsidR="00866EEF">
              <w:rPr>
                <w:rFonts w:ascii="Times New Roman" w:hAnsi="Times New Roman"/>
                <w:bCs/>
                <w:color w:val="000000" w:themeColor="text1"/>
              </w:rPr>
              <w:t>confidential to the extent permitted by law.</w:t>
            </w:r>
          </w:p>
        </w:tc>
      </w:tr>
      <w:tr w14:paraId="3BEDBC46" w14:textId="77777777" w:rsidTr="00D35DDB">
        <w:tblPrEx>
          <w:tblW w:w="0" w:type="auto"/>
          <w:tblInd w:w="108" w:type="dxa"/>
          <w:tblLook w:val="04A0"/>
        </w:tblPrEx>
        <w:tc>
          <w:tcPr>
            <w:tcW w:w="9360" w:type="dxa"/>
            <w:shd w:val="clear" w:color="auto" w:fill="auto"/>
          </w:tcPr>
          <w:p w:rsidR="00FA2F70" w:rsidRPr="00CB4A4D" w:rsidP="001B4FB5" w14:paraId="6051C48A" w14:textId="77777777">
            <w:pPr>
              <w:spacing w:after="0" w:line="240" w:lineRule="auto"/>
              <w:rPr>
                <w:rFonts w:ascii="Times New Roman" w:hAnsi="Times New Roman"/>
                <w:b/>
                <w:color w:val="000000" w:themeColor="text1"/>
              </w:rPr>
            </w:pPr>
          </w:p>
        </w:tc>
      </w:tr>
    </w:tbl>
    <w:p w:rsidR="00FA2F70" w:rsidRPr="00CB4A4D" w:rsidP="00FA2F70" w14:paraId="2A5C909D" w14:textId="77777777">
      <w:pPr>
        <w:spacing w:after="0" w:line="240" w:lineRule="auto"/>
        <w:rPr>
          <w:rFonts w:ascii="Times New Roman" w:hAnsi="Times New Roman"/>
          <w:b/>
          <w:color w:val="000000" w:themeColor="text1"/>
        </w:rPr>
      </w:pPr>
    </w:p>
    <w:tbl>
      <w:tblPr>
        <w:tblW w:w="0" w:type="auto"/>
        <w:tblInd w:w="108" w:type="dxa"/>
        <w:tblLook w:val="04A0"/>
      </w:tblPr>
      <w:tblGrid>
        <w:gridCol w:w="9252"/>
      </w:tblGrid>
      <w:tr w14:paraId="172CAB37" w14:textId="77777777" w:rsidTr="00B4509A">
        <w:tblPrEx>
          <w:tblW w:w="0" w:type="auto"/>
          <w:tblInd w:w="108" w:type="dxa"/>
          <w:tblLook w:val="04A0"/>
        </w:tblPrEx>
        <w:tc>
          <w:tcPr>
            <w:tcW w:w="9252" w:type="dxa"/>
            <w:shd w:val="clear" w:color="auto" w:fill="auto"/>
          </w:tcPr>
          <w:p w:rsidR="00E6366B" w:rsidRPr="00CB4A4D" w:rsidP="001B4FB5" w14:paraId="3C249FF1" w14:textId="77777777">
            <w:pPr>
              <w:spacing w:after="0" w:line="240" w:lineRule="auto"/>
              <w:rPr>
                <w:rFonts w:ascii="Times New Roman" w:hAnsi="Times New Roman"/>
                <w:b/>
                <w:color w:val="000000" w:themeColor="text1"/>
              </w:rPr>
            </w:pPr>
          </w:p>
          <w:p w:rsidR="0021340A" w:rsidRPr="00CB4A4D" w:rsidP="001B4FB5" w14:paraId="6418B046" w14:textId="77777777">
            <w:pPr>
              <w:spacing w:after="0" w:line="240" w:lineRule="auto"/>
              <w:rPr>
                <w:rFonts w:ascii="Times New Roman" w:hAnsi="Times New Roman"/>
                <w:b/>
                <w:color w:val="000000" w:themeColor="text1"/>
              </w:rPr>
            </w:pPr>
            <w:r w:rsidRPr="00CB4A4D">
              <w:rPr>
                <w:rFonts w:ascii="Times New Roman" w:hAnsi="Times New Roman"/>
                <w:b/>
                <w:color w:val="000000" w:themeColor="text1"/>
              </w:rPr>
              <w:t xml:space="preserve">8. If applicable, provide a copy and identify the date and page number of </w:t>
            </w:r>
            <w:r w:rsidRPr="00CB4A4D" w:rsidR="009A2F7E">
              <w:rPr>
                <w:rFonts w:ascii="Times New Roman" w:hAnsi="Times New Roman"/>
                <w:b/>
                <w:color w:val="000000" w:themeColor="text1"/>
              </w:rPr>
              <w:t>publications</w:t>
            </w:r>
            <w:r w:rsidRPr="00CB4A4D">
              <w:rPr>
                <w:rFonts w:ascii="Times New Roman" w:hAnsi="Times New Roman"/>
                <w:b/>
                <w:color w:val="000000" w:themeColor="text1"/>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RPr="00CB4A4D" w:rsidP="009B0365" w14:paraId="222F5176" w14:textId="77777777">
            <w:pPr>
              <w:spacing w:after="0" w:line="240" w:lineRule="auto"/>
              <w:rPr>
                <w:rFonts w:ascii="Times New Roman" w:hAnsi="Times New Roman"/>
                <w:color w:val="000000" w:themeColor="text1"/>
              </w:rPr>
            </w:pPr>
          </w:p>
          <w:p w:rsidR="00B41BA4" w:rsidRPr="00B41BA4" w:rsidP="00B41BA4" w14:paraId="13D22FDD" w14:textId="6C03B3FB">
            <w:pPr>
              <w:spacing w:after="0" w:line="240" w:lineRule="auto"/>
              <w:rPr>
                <w:rFonts w:ascii="Times New Roman" w:hAnsi="Times New Roman"/>
                <w:sz w:val="24"/>
                <w:szCs w:val="24"/>
              </w:rPr>
            </w:pPr>
            <w:bookmarkStart w:id="0" w:name="_Hlk508795324"/>
            <w:r w:rsidRPr="00B41BA4">
              <w:rPr>
                <w:rFonts w:ascii="Times New Roman" w:hAnsi="Times New Roman"/>
                <w:sz w:val="24"/>
                <w:szCs w:val="24"/>
              </w:rPr>
              <w:t xml:space="preserve">In accordance with 5CFR 1320.8(d), this information collection soliciting public comments was announced in the </w:t>
            </w:r>
            <w:r w:rsidRPr="00B41BA4">
              <w:rPr>
                <w:rFonts w:ascii="Times New Roman" w:hAnsi="Times New Roman"/>
                <w:i/>
                <w:sz w:val="24"/>
                <w:szCs w:val="24"/>
              </w:rPr>
              <w:t>Federal Register</w:t>
            </w:r>
            <w:r w:rsidRPr="00B41BA4">
              <w:rPr>
                <w:rFonts w:ascii="Times New Roman" w:hAnsi="Times New Roman"/>
                <w:sz w:val="24"/>
                <w:szCs w:val="24"/>
              </w:rPr>
              <w:t xml:space="preserve"> on </w:t>
            </w:r>
            <w:r>
              <w:rPr>
                <w:rFonts w:ascii="Times New Roman" w:hAnsi="Times New Roman"/>
                <w:b/>
                <w:sz w:val="24"/>
                <w:szCs w:val="24"/>
              </w:rPr>
              <w:t>June 28</w:t>
            </w:r>
            <w:r w:rsidRPr="00B41BA4">
              <w:rPr>
                <w:rFonts w:ascii="Times New Roman" w:hAnsi="Times New Roman"/>
                <w:b/>
                <w:sz w:val="24"/>
                <w:szCs w:val="24"/>
              </w:rPr>
              <w:t>, 202</w:t>
            </w:r>
            <w:r>
              <w:rPr>
                <w:rFonts w:ascii="Times New Roman" w:hAnsi="Times New Roman"/>
                <w:b/>
                <w:sz w:val="24"/>
                <w:szCs w:val="24"/>
              </w:rPr>
              <w:t>4</w:t>
            </w:r>
            <w:r w:rsidRPr="00B41BA4">
              <w:rPr>
                <w:rFonts w:ascii="Times New Roman" w:hAnsi="Times New Roman"/>
                <w:sz w:val="24"/>
                <w:szCs w:val="24"/>
              </w:rPr>
              <w:t xml:space="preserve">, Volume </w:t>
            </w:r>
            <w:r w:rsidRPr="00B41BA4">
              <w:rPr>
                <w:rFonts w:ascii="Times New Roman" w:hAnsi="Times New Roman"/>
                <w:b/>
                <w:sz w:val="24"/>
                <w:szCs w:val="24"/>
              </w:rPr>
              <w:t>8</w:t>
            </w:r>
            <w:r>
              <w:rPr>
                <w:rFonts w:ascii="Times New Roman" w:hAnsi="Times New Roman"/>
                <w:b/>
                <w:sz w:val="24"/>
                <w:szCs w:val="24"/>
              </w:rPr>
              <w:t>9</w:t>
            </w:r>
            <w:r w:rsidRPr="00B41BA4">
              <w:rPr>
                <w:rFonts w:ascii="Times New Roman" w:hAnsi="Times New Roman"/>
                <w:sz w:val="24"/>
                <w:szCs w:val="24"/>
              </w:rPr>
              <w:t xml:space="preserve">, No. </w:t>
            </w:r>
            <w:r w:rsidR="00F304FB">
              <w:rPr>
                <w:rFonts w:ascii="Times New Roman" w:hAnsi="Times New Roman"/>
                <w:b/>
                <w:sz w:val="24"/>
                <w:szCs w:val="24"/>
              </w:rPr>
              <w:t>125</w:t>
            </w:r>
            <w:r w:rsidRPr="00B41BA4">
              <w:rPr>
                <w:rFonts w:ascii="Times New Roman" w:hAnsi="Times New Roman"/>
                <w:sz w:val="24"/>
                <w:szCs w:val="24"/>
              </w:rPr>
              <w:t xml:space="preserve">, Pages </w:t>
            </w:r>
            <w:r w:rsidR="00F304FB">
              <w:rPr>
                <w:rFonts w:ascii="Times New Roman" w:hAnsi="Times New Roman"/>
                <w:b/>
                <w:sz w:val="24"/>
                <w:szCs w:val="24"/>
              </w:rPr>
              <w:t>54028</w:t>
            </w:r>
            <w:r w:rsidRPr="00B41BA4">
              <w:rPr>
                <w:rFonts w:ascii="Times New Roman" w:hAnsi="Times New Roman"/>
                <w:sz w:val="24"/>
                <w:szCs w:val="24"/>
              </w:rPr>
              <w:t>.  (0) Comments received.</w:t>
            </w:r>
          </w:p>
          <w:bookmarkEnd w:id="0"/>
          <w:p w:rsidR="00FA2F70" w:rsidRPr="00CB4A4D" w:rsidP="001431A7" w14:paraId="2B312387" w14:textId="77777777">
            <w:pPr>
              <w:spacing w:after="0" w:line="240" w:lineRule="auto"/>
              <w:rPr>
                <w:rFonts w:ascii="Times New Roman" w:hAnsi="Times New Roman"/>
                <w:b/>
                <w:color w:val="000000" w:themeColor="text1"/>
              </w:rPr>
            </w:pPr>
          </w:p>
        </w:tc>
      </w:tr>
    </w:tbl>
    <w:p w:rsidR="00FA2F70" w:rsidRPr="00CB4A4D" w:rsidP="00FA2F70" w14:paraId="4EA32E9C" w14:textId="77777777">
      <w:pPr>
        <w:spacing w:after="0" w:line="240" w:lineRule="auto"/>
        <w:rPr>
          <w:rFonts w:ascii="Times New Roman" w:hAnsi="Times New Roman"/>
          <w:b/>
          <w:color w:val="000000" w:themeColor="text1"/>
        </w:rPr>
      </w:pPr>
    </w:p>
    <w:tbl>
      <w:tblPr>
        <w:tblW w:w="0" w:type="auto"/>
        <w:tblInd w:w="108" w:type="dxa"/>
        <w:tblLook w:val="04A0"/>
      </w:tblPr>
      <w:tblGrid>
        <w:gridCol w:w="9252"/>
      </w:tblGrid>
      <w:tr w14:paraId="39ED4DF9" w14:textId="77777777" w:rsidTr="00D35DDB">
        <w:tblPrEx>
          <w:tblW w:w="0" w:type="auto"/>
          <w:tblInd w:w="108" w:type="dxa"/>
          <w:tblLook w:val="04A0"/>
        </w:tblPrEx>
        <w:tc>
          <w:tcPr>
            <w:tcW w:w="9360" w:type="dxa"/>
            <w:shd w:val="clear" w:color="auto" w:fill="auto"/>
          </w:tcPr>
          <w:p w:rsidR="0021340A" w:rsidRPr="00CB4A4D" w:rsidP="001B4FB5" w14:paraId="653FE352" w14:textId="77777777">
            <w:pPr>
              <w:spacing w:after="0" w:line="240" w:lineRule="auto"/>
              <w:rPr>
                <w:rFonts w:ascii="Times New Roman" w:hAnsi="Times New Roman"/>
                <w:b/>
                <w:color w:val="000000" w:themeColor="text1"/>
              </w:rPr>
            </w:pPr>
            <w:r w:rsidRPr="00CB4A4D">
              <w:rPr>
                <w:rFonts w:ascii="Times New Roman" w:hAnsi="Times New Roman"/>
                <w:b/>
                <w:color w:val="000000" w:themeColor="text1"/>
              </w:rPr>
              <w:t xml:space="preserve">9. Explain any decision to provide any payment or gift to respondents, other than </w:t>
            </w:r>
            <w:r w:rsidRPr="00CB4A4D" w:rsidR="00866EEF">
              <w:rPr>
                <w:rFonts w:ascii="Times New Roman" w:hAnsi="Times New Roman"/>
                <w:b/>
                <w:color w:val="000000" w:themeColor="text1"/>
              </w:rPr>
              <w:t>renumeration</w:t>
            </w:r>
            <w:r w:rsidRPr="00CB4A4D">
              <w:rPr>
                <w:rFonts w:ascii="Times New Roman" w:hAnsi="Times New Roman"/>
                <w:b/>
                <w:color w:val="000000" w:themeColor="text1"/>
              </w:rPr>
              <w:t xml:space="preserve"> of contractors or grantees. </w:t>
            </w:r>
          </w:p>
          <w:p w:rsidR="0021340A" w:rsidRPr="00CB4A4D" w:rsidP="00866EEF" w14:paraId="5F00BA05" w14:textId="77777777">
            <w:pPr>
              <w:overflowPunct w:val="0"/>
              <w:autoSpaceDE w:val="0"/>
              <w:autoSpaceDN w:val="0"/>
              <w:adjustRightInd w:val="0"/>
              <w:spacing w:after="0" w:line="240" w:lineRule="auto"/>
              <w:textAlignment w:val="baseline"/>
              <w:rPr>
                <w:rFonts w:ascii="Times New Roman" w:hAnsi="Times New Roman"/>
                <w:color w:val="000000" w:themeColor="text1"/>
              </w:rPr>
            </w:pPr>
            <w:r w:rsidRPr="00CB4A4D">
              <w:rPr>
                <w:rFonts w:ascii="Times New Roman" w:hAnsi="Times New Roman"/>
                <w:color w:val="000000" w:themeColor="text1"/>
              </w:rPr>
              <w:t>No payments or gifts of any kind are provided to respondents.</w:t>
            </w:r>
          </w:p>
        </w:tc>
      </w:tr>
      <w:tr w14:paraId="0E984DB5" w14:textId="77777777" w:rsidTr="00D35DDB">
        <w:tblPrEx>
          <w:tblW w:w="0" w:type="auto"/>
          <w:tblInd w:w="108" w:type="dxa"/>
          <w:tblLook w:val="04A0"/>
        </w:tblPrEx>
        <w:tc>
          <w:tcPr>
            <w:tcW w:w="9360" w:type="dxa"/>
            <w:shd w:val="clear" w:color="auto" w:fill="auto"/>
          </w:tcPr>
          <w:p w:rsidR="0021340A" w:rsidRPr="00CB4A4D" w:rsidP="001B4FB5" w14:paraId="5FD52278" w14:textId="77777777">
            <w:pPr>
              <w:spacing w:after="0" w:line="240" w:lineRule="auto"/>
              <w:rPr>
                <w:rFonts w:ascii="Times New Roman" w:hAnsi="Times New Roman"/>
                <w:color w:val="000000" w:themeColor="text1"/>
              </w:rPr>
            </w:pPr>
          </w:p>
        </w:tc>
      </w:tr>
    </w:tbl>
    <w:p w:rsidR="00FA2F70" w:rsidRPr="00CB4A4D" w:rsidP="00FA2F70" w14:paraId="03E9D2C1" w14:textId="77777777">
      <w:pPr>
        <w:spacing w:after="0" w:line="240" w:lineRule="auto"/>
        <w:rPr>
          <w:rFonts w:ascii="Times New Roman" w:hAnsi="Times New Roman"/>
          <w:b/>
          <w:color w:val="000000" w:themeColor="text1"/>
        </w:rPr>
      </w:pPr>
    </w:p>
    <w:tbl>
      <w:tblPr>
        <w:tblW w:w="0" w:type="auto"/>
        <w:tblInd w:w="108" w:type="dxa"/>
        <w:tblLook w:val="04A0"/>
      </w:tblPr>
      <w:tblGrid>
        <w:gridCol w:w="9252"/>
      </w:tblGrid>
      <w:tr w14:paraId="50E8F8F8" w14:textId="77777777" w:rsidTr="00D35DDB">
        <w:tblPrEx>
          <w:tblW w:w="0" w:type="auto"/>
          <w:tblInd w:w="108" w:type="dxa"/>
          <w:tblLook w:val="04A0"/>
        </w:tblPrEx>
        <w:tc>
          <w:tcPr>
            <w:tcW w:w="9360" w:type="dxa"/>
            <w:shd w:val="clear" w:color="auto" w:fill="auto"/>
          </w:tcPr>
          <w:p w:rsidR="0021340A" w:rsidRPr="00CB4A4D" w:rsidP="001B4FB5" w14:paraId="3C46D9DB" w14:textId="77777777">
            <w:pPr>
              <w:spacing w:after="0" w:line="240" w:lineRule="auto"/>
              <w:rPr>
                <w:rFonts w:ascii="Times New Roman" w:hAnsi="Times New Roman"/>
                <w:b/>
                <w:color w:val="000000" w:themeColor="text1"/>
              </w:rPr>
            </w:pPr>
            <w:r w:rsidRPr="00CB4A4D">
              <w:rPr>
                <w:rFonts w:ascii="Times New Roman" w:hAnsi="Times New Roman"/>
                <w:b/>
                <w:color w:val="000000" w:themeColor="text1"/>
              </w:rPr>
              <w:t xml:space="preserve">10. Describe any assurance of confidentiality provided to respondents and the basis for the assurance in statute, regulation, or agency policy. </w:t>
            </w:r>
          </w:p>
          <w:p w:rsidR="00866EEF" w:rsidRPr="00CB4A4D" w:rsidP="00866EEF" w14:paraId="052072B1" w14:textId="77777777">
            <w:pPr>
              <w:overflowPunct w:val="0"/>
              <w:autoSpaceDE w:val="0"/>
              <w:autoSpaceDN w:val="0"/>
              <w:adjustRightInd w:val="0"/>
              <w:spacing w:after="0" w:line="240" w:lineRule="auto"/>
              <w:textAlignment w:val="baseline"/>
              <w:rPr>
                <w:rFonts w:ascii="Times New Roman" w:hAnsi="Times New Roman"/>
                <w:color w:val="000000" w:themeColor="text1"/>
              </w:rPr>
            </w:pPr>
            <w:r w:rsidRPr="00CB4A4D">
              <w:rPr>
                <w:rFonts w:ascii="Times New Roman" w:hAnsi="Times New Roman"/>
                <w:color w:val="000000" w:themeColor="text1"/>
              </w:rPr>
              <w:t xml:space="preserve">Each respondent who completes the form will read the Privacy Act Statement.  The Department’s policy requires the collection of information, and failure to do so will result in disapproval of participation in the HUD program and/or delayed action on the proposal.  </w:t>
            </w:r>
            <w:r w:rsidRPr="00CB4A4D">
              <w:rPr>
                <w:rFonts w:ascii="Times New Roman" w:hAnsi="Times New Roman"/>
                <w:color w:val="000000" w:themeColor="text1"/>
              </w:rPr>
              <w:t xml:space="preserve">A Privacy Act Notice is printed on the appropriate forms (shown below).  HUD assures confidentiality to respondents on other information collected if it would result in competitive harm in accord with the Freedom of Information Act (FOIA) provisions or if it could impact on the ability of the Department’s mission to provide housing units under the various Sections of the Housing Legislation. </w:t>
            </w:r>
          </w:p>
          <w:p w:rsidR="00866EEF" w:rsidRPr="00CB4A4D" w:rsidP="00866EEF" w14:paraId="48DC9265" w14:textId="77777777">
            <w:pPr>
              <w:overflowPunct w:val="0"/>
              <w:autoSpaceDE w:val="0"/>
              <w:autoSpaceDN w:val="0"/>
              <w:adjustRightInd w:val="0"/>
              <w:spacing w:after="0" w:line="240" w:lineRule="auto"/>
              <w:textAlignment w:val="baseline"/>
              <w:rPr>
                <w:rFonts w:ascii="Times New Roman" w:hAnsi="Times New Roman"/>
                <w:b/>
                <w:color w:val="000000" w:themeColor="text1"/>
              </w:rPr>
            </w:pPr>
            <w:r w:rsidRPr="00CB4A4D">
              <w:rPr>
                <w:rFonts w:ascii="Times New Roman" w:hAnsi="Times New Roman"/>
                <w:b/>
                <w:i/>
                <w:color w:val="000000" w:themeColor="text1"/>
              </w:rPr>
              <w:t>Privacy Act Notice</w:t>
            </w:r>
            <w:r w:rsidRPr="00CB4A4D">
              <w:rPr>
                <w:rFonts w:ascii="Times New Roman" w:hAnsi="Times New Roman"/>
                <w:color w:val="000000" w:themeColor="text1"/>
              </w:rPr>
              <w:t>: The United States Department of Housing and Urban Development, Federal Housing Administration, is authorized to solicit the information requested in the form by virtue of Title 12, United States Code, Section 1701 et seq., and regulations promulgated thereunder at Title 12, Code of Federal Regulations. While no assurance of confidentiality is pledged to respondents, HUD generally discloses this data only in response to a Freedom of Information Act request.</w:t>
            </w:r>
          </w:p>
        </w:tc>
      </w:tr>
      <w:tr w14:paraId="764C3771" w14:textId="77777777" w:rsidTr="00D35DDB">
        <w:tblPrEx>
          <w:tblW w:w="0" w:type="auto"/>
          <w:tblInd w:w="108" w:type="dxa"/>
          <w:tblLook w:val="04A0"/>
        </w:tblPrEx>
        <w:tc>
          <w:tcPr>
            <w:tcW w:w="9360" w:type="dxa"/>
            <w:shd w:val="clear" w:color="auto" w:fill="auto"/>
          </w:tcPr>
          <w:p w:rsidR="0021340A" w:rsidRPr="00CB4A4D" w:rsidP="001B4FB5" w14:paraId="14A4187D" w14:textId="77777777">
            <w:pPr>
              <w:spacing w:after="0" w:line="240" w:lineRule="auto"/>
              <w:rPr>
                <w:rFonts w:ascii="Times New Roman" w:hAnsi="Times New Roman"/>
                <w:b/>
                <w:color w:val="000000" w:themeColor="text1"/>
              </w:rPr>
            </w:pPr>
          </w:p>
        </w:tc>
      </w:tr>
    </w:tbl>
    <w:p w:rsidR="00FA2F70" w:rsidRPr="00CB4A4D" w:rsidP="00FA2F70" w14:paraId="64F7E78E" w14:textId="77777777">
      <w:pPr>
        <w:spacing w:after="0" w:line="240" w:lineRule="auto"/>
        <w:rPr>
          <w:rFonts w:ascii="Times New Roman" w:hAnsi="Times New Roman"/>
          <w:b/>
          <w:color w:val="000000" w:themeColor="text1"/>
        </w:rPr>
      </w:pPr>
    </w:p>
    <w:tbl>
      <w:tblPr>
        <w:tblW w:w="0" w:type="auto"/>
        <w:tblInd w:w="108" w:type="dxa"/>
        <w:tblLook w:val="04A0"/>
      </w:tblPr>
      <w:tblGrid>
        <w:gridCol w:w="9252"/>
      </w:tblGrid>
      <w:tr w14:paraId="6348BBAE" w14:textId="77777777" w:rsidTr="00D35DDB">
        <w:tblPrEx>
          <w:tblW w:w="0" w:type="auto"/>
          <w:tblInd w:w="108" w:type="dxa"/>
          <w:tblLook w:val="04A0"/>
        </w:tblPrEx>
        <w:tc>
          <w:tcPr>
            <w:tcW w:w="9360" w:type="dxa"/>
            <w:shd w:val="clear" w:color="auto" w:fill="auto"/>
          </w:tcPr>
          <w:p w:rsidR="0021340A" w:rsidRPr="00CB4A4D" w:rsidP="001B4FB5" w14:paraId="157B1605" w14:textId="77777777">
            <w:pPr>
              <w:spacing w:after="0" w:line="240" w:lineRule="auto"/>
              <w:rPr>
                <w:rFonts w:ascii="Times New Roman" w:hAnsi="Times New Roman"/>
                <w:b/>
                <w:color w:val="000000" w:themeColor="text1"/>
              </w:rPr>
            </w:pPr>
            <w:r w:rsidRPr="00CB4A4D">
              <w:rPr>
                <w:rFonts w:ascii="Times New Roman" w:hAnsi="Times New Roman"/>
                <w:b/>
                <w:color w:val="000000" w:themeColor="text1"/>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66EEF" w:rsidRPr="00CB4A4D" w:rsidP="001B4FB5" w14:paraId="2E0872B8" w14:textId="77777777">
            <w:pPr>
              <w:spacing w:after="0" w:line="240" w:lineRule="auto"/>
              <w:rPr>
                <w:rFonts w:ascii="Times New Roman" w:hAnsi="Times New Roman"/>
                <w:bCs/>
                <w:color w:val="000000" w:themeColor="text1"/>
              </w:rPr>
            </w:pPr>
            <w:r w:rsidRPr="00CB4A4D">
              <w:rPr>
                <w:rFonts w:ascii="Times New Roman" w:hAnsi="Times New Roman"/>
                <w:bCs/>
                <w:color w:val="000000" w:themeColor="text1"/>
              </w:rPr>
              <w:t xml:space="preserve">The respondents are not asked questions of a sensitive nature, such as sexual behavior </w:t>
            </w:r>
            <w:r w:rsidRPr="00CB4A4D" w:rsidR="00636024">
              <w:rPr>
                <w:rFonts w:ascii="Times New Roman" w:hAnsi="Times New Roman"/>
                <w:bCs/>
                <w:color w:val="000000" w:themeColor="text1"/>
              </w:rPr>
              <w:t xml:space="preserve">and attitudes, religious beliefs, and other matters that are commonly considered private.  </w:t>
            </w:r>
          </w:p>
          <w:p w:rsidR="0021340A" w:rsidRPr="00CB4A4D" w:rsidP="001B4FB5" w14:paraId="1525B977" w14:textId="77777777">
            <w:pPr>
              <w:spacing w:after="0" w:line="240" w:lineRule="auto"/>
              <w:rPr>
                <w:rFonts w:ascii="Times New Roman" w:hAnsi="Times New Roman"/>
                <w:b/>
                <w:color w:val="000000" w:themeColor="text1"/>
              </w:rPr>
            </w:pPr>
          </w:p>
        </w:tc>
      </w:tr>
      <w:tr w14:paraId="6F9DF5F0" w14:textId="77777777" w:rsidTr="00D35DDB">
        <w:tblPrEx>
          <w:tblW w:w="0" w:type="auto"/>
          <w:tblInd w:w="108" w:type="dxa"/>
          <w:tblLook w:val="04A0"/>
        </w:tblPrEx>
        <w:tc>
          <w:tcPr>
            <w:tcW w:w="9360" w:type="dxa"/>
            <w:shd w:val="clear" w:color="auto" w:fill="auto"/>
          </w:tcPr>
          <w:p w:rsidR="0021340A" w:rsidRPr="00CB4A4D" w:rsidP="001B4FB5" w14:paraId="7854FDEA" w14:textId="77777777">
            <w:pPr>
              <w:spacing w:after="0" w:line="240" w:lineRule="auto"/>
              <w:rPr>
                <w:rFonts w:ascii="Times New Roman" w:hAnsi="Times New Roman"/>
                <w:b/>
                <w:color w:val="000000" w:themeColor="text1"/>
              </w:rPr>
            </w:pPr>
          </w:p>
        </w:tc>
      </w:tr>
    </w:tbl>
    <w:p w:rsidR="00FA2F70" w:rsidRPr="00CB4A4D" w:rsidP="00FA2F70" w14:paraId="19F0E2D0" w14:textId="77777777">
      <w:pPr>
        <w:spacing w:after="0" w:line="240" w:lineRule="auto"/>
        <w:rPr>
          <w:rFonts w:ascii="Times New Roman" w:hAnsi="Times New Roman"/>
          <w:b/>
          <w:color w:val="000000" w:themeColor="text1"/>
        </w:rPr>
      </w:pPr>
    </w:p>
    <w:tbl>
      <w:tblPr>
        <w:tblW w:w="0" w:type="auto"/>
        <w:tblInd w:w="108" w:type="dxa"/>
        <w:tblLook w:val="04A0"/>
      </w:tblPr>
      <w:tblGrid>
        <w:gridCol w:w="9252"/>
      </w:tblGrid>
      <w:tr w14:paraId="6BF22A95" w14:textId="77777777" w:rsidTr="00D35DDB">
        <w:tblPrEx>
          <w:tblW w:w="0" w:type="auto"/>
          <w:tblInd w:w="108" w:type="dxa"/>
          <w:tblLook w:val="04A0"/>
        </w:tblPrEx>
        <w:tc>
          <w:tcPr>
            <w:tcW w:w="9360" w:type="dxa"/>
            <w:shd w:val="clear" w:color="auto" w:fill="auto"/>
          </w:tcPr>
          <w:p w:rsidR="0021340A" w:rsidRPr="00CB4A4D" w:rsidP="001B4FB5" w14:paraId="493A0B52" w14:textId="77777777">
            <w:pPr>
              <w:spacing w:after="0" w:line="240" w:lineRule="auto"/>
              <w:rPr>
                <w:rFonts w:ascii="Times New Roman" w:hAnsi="Times New Roman"/>
                <w:b/>
                <w:color w:val="000000" w:themeColor="text1"/>
              </w:rPr>
            </w:pPr>
            <w:r w:rsidRPr="00CB4A4D">
              <w:rPr>
                <w:rFonts w:ascii="Times New Roman" w:hAnsi="Times New Roman"/>
                <w:b/>
                <w:color w:val="000000" w:themeColor="text1"/>
              </w:rPr>
              <w:t xml:space="preserve">12. Provide estimates of the hour burden of the collection of information. The statement should: </w:t>
            </w:r>
          </w:p>
          <w:p w:rsidR="0021340A" w:rsidRPr="00CB4A4D" w:rsidP="001B4FB5" w14:paraId="52D126C0" w14:textId="77777777">
            <w:pPr>
              <w:spacing w:after="0" w:line="240" w:lineRule="auto"/>
              <w:rPr>
                <w:rFonts w:ascii="Times New Roman" w:hAnsi="Times New Roman"/>
                <w:b/>
                <w:color w:val="000000" w:themeColor="text1"/>
              </w:rPr>
            </w:pPr>
          </w:p>
          <w:p w:rsidR="0021340A" w:rsidRPr="00CB4A4D" w:rsidP="001B4FB5" w14:paraId="3CC8650C"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w:t>
            </w:r>
            <w:r w:rsidRPr="00CB4A4D">
              <w:rPr>
                <w:rFonts w:ascii="Times New Roman" w:hAnsi="Times New Roman"/>
                <w:color w:val="000000" w:themeColor="text1"/>
              </w:rPr>
              <w:t xml:space="preserve">(fewer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D35DDB" w:rsidRPr="00CB4A4D" w:rsidP="001B4FB5" w14:paraId="6ED95A45" w14:textId="77777777">
            <w:pPr>
              <w:spacing w:after="0" w:line="240" w:lineRule="auto"/>
              <w:rPr>
                <w:rFonts w:ascii="Times New Roman" w:hAnsi="Times New Roman"/>
                <w:color w:val="000000" w:themeColor="text1"/>
              </w:rPr>
            </w:pPr>
          </w:p>
          <w:p w:rsidR="0021340A" w:rsidRPr="00CB4A4D" w:rsidP="001B4FB5" w14:paraId="2368EBE6"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 If this request for approval covers more than one form, provide separate hour burden estimates for each form and aggregate the hour burdens in Item 13 of OMB Form 83-I. </w:t>
            </w:r>
          </w:p>
          <w:p w:rsidR="00D35DDB" w:rsidRPr="00CB4A4D" w:rsidP="001B4FB5" w14:paraId="0B2EA083" w14:textId="77777777">
            <w:pPr>
              <w:spacing w:after="0" w:line="240" w:lineRule="auto"/>
              <w:rPr>
                <w:rFonts w:ascii="Times New Roman" w:hAnsi="Times New Roman"/>
                <w:color w:val="000000" w:themeColor="text1"/>
              </w:rPr>
            </w:pPr>
          </w:p>
          <w:p w:rsidR="0021340A" w:rsidRPr="00CB4A4D" w:rsidP="001B4FB5" w14:paraId="16D07FC8"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21340A" w:rsidRPr="00CB4A4D" w:rsidP="001B4FB5" w14:paraId="57C2EC5A" w14:textId="77777777">
            <w:pPr>
              <w:spacing w:after="0" w:line="240" w:lineRule="auto"/>
              <w:rPr>
                <w:rFonts w:ascii="Times New Roman" w:hAnsi="Times New Roman"/>
                <w:b/>
                <w:color w:val="000000" w:themeColor="text1"/>
              </w:rPr>
            </w:pPr>
          </w:p>
        </w:tc>
      </w:tr>
    </w:tbl>
    <w:p w:rsidR="00EA4BDD" w:rsidRPr="00CB4A4D" w:rsidP="00EA4BDD" w14:paraId="445899EE" w14:textId="77777777">
      <w:pPr>
        <w:keepNext/>
        <w:overflowPunct w:val="0"/>
        <w:autoSpaceDE w:val="0"/>
        <w:autoSpaceDN w:val="0"/>
        <w:adjustRightInd w:val="0"/>
        <w:spacing w:after="0" w:line="240" w:lineRule="auto"/>
        <w:textAlignment w:val="baseline"/>
        <w:rPr>
          <w:rFonts w:ascii="Times New Roman" w:hAnsi="Times New Roman"/>
          <w:color w:val="000000" w:themeColor="text1"/>
        </w:rPr>
      </w:pPr>
      <w:r w:rsidRPr="00CB4A4D">
        <w:rPr>
          <w:rFonts w:ascii="Times New Roman" w:hAnsi="Times New Roman"/>
          <w:color w:val="000000" w:themeColor="text1"/>
        </w:rPr>
        <w:t xml:space="preserve"> Estimated burden hours and costs to the respondents:</w:t>
      </w:r>
    </w:p>
    <w:p w:rsidR="007876EC" w:rsidRPr="00CB4A4D" w:rsidP="00EA4BDD" w14:paraId="1616066C" w14:textId="77777777">
      <w:pPr>
        <w:keepNext/>
        <w:overflowPunct w:val="0"/>
        <w:autoSpaceDE w:val="0"/>
        <w:autoSpaceDN w:val="0"/>
        <w:adjustRightInd w:val="0"/>
        <w:spacing w:after="0" w:line="240" w:lineRule="auto"/>
        <w:textAlignment w:val="baseline"/>
        <w:rPr>
          <w:rFonts w:ascii="Times New Roman" w:hAnsi="Times New Roman"/>
          <w:color w:val="000000" w:themeColor="text1"/>
        </w:rPr>
      </w:pPr>
    </w:p>
    <w:tbl>
      <w:tblPr>
        <w:tblW w:w="94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tblPr>
      <w:tblGrid>
        <w:gridCol w:w="1170"/>
        <w:gridCol w:w="1260"/>
        <w:gridCol w:w="1260"/>
        <w:gridCol w:w="1170"/>
        <w:gridCol w:w="934"/>
        <w:gridCol w:w="1341"/>
        <w:gridCol w:w="1055"/>
        <w:gridCol w:w="1268"/>
      </w:tblGrid>
      <w:tr w14:paraId="7EA01F77" w14:textId="77777777" w:rsidTr="00F304FB">
        <w:tblPrEx>
          <w:tblW w:w="94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tblPrEx>
        <w:tc>
          <w:tcPr>
            <w:tcW w:w="1170" w:type="dxa"/>
            <w:vAlign w:val="center"/>
          </w:tcPr>
          <w:p w:rsidR="003F4ADD" w:rsidRPr="00CB4A4D" w:rsidP="00C47DD2" w14:paraId="6601113C" w14:textId="77777777">
            <w:pPr>
              <w:jc w:val="center"/>
              <w:rPr>
                <w:rFonts w:ascii="Times New Roman" w:hAnsi="Times New Roman"/>
                <w:color w:val="000000" w:themeColor="text1"/>
              </w:rPr>
            </w:pPr>
            <w:r w:rsidRPr="00CB4A4D">
              <w:rPr>
                <w:rFonts w:ascii="Times New Roman" w:hAnsi="Times New Roman"/>
                <w:color w:val="000000" w:themeColor="text1"/>
              </w:rPr>
              <w:t>Information Collection</w:t>
            </w:r>
          </w:p>
        </w:tc>
        <w:tc>
          <w:tcPr>
            <w:tcW w:w="1260" w:type="dxa"/>
            <w:vAlign w:val="center"/>
          </w:tcPr>
          <w:p w:rsidR="003F4ADD" w:rsidRPr="00CB4A4D" w:rsidP="00C47DD2" w14:paraId="51FF06E2" w14:textId="77777777">
            <w:pPr>
              <w:jc w:val="center"/>
              <w:rPr>
                <w:rFonts w:ascii="Times New Roman" w:hAnsi="Times New Roman"/>
                <w:color w:val="000000" w:themeColor="text1"/>
              </w:rPr>
            </w:pPr>
            <w:r w:rsidRPr="00CB4A4D">
              <w:rPr>
                <w:rFonts w:ascii="Times New Roman" w:hAnsi="Times New Roman"/>
                <w:color w:val="000000" w:themeColor="text1"/>
              </w:rPr>
              <w:t>Number of Respondents</w:t>
            </w:r>
          </w:p>
        </w:tc>
        <w:tc>
          <w:tcPr>
            <w:tcW w:w="1260" w:type="dxa"/>
            <w:vAlign w:val="center"/>
          </w:tcPr>
          <w:p w:rsidR="003F4ADD" w:rsidRPr="00CB4A4D" w:rsidP="00C47DD2" w14:paraId="3FB7EF02" w14:textId="77777777">
            <w:pPr>
              <w:jc w:val="center"/>
              <w:rPr>
                <w:rFonts w:ascii="Times New Roman" w:hAnsi="Times New Roman"/>
                <w:color w:val="000000" w:themeColor="text1"/>
              </w:rPr>
            </w:pPr>
            <w:r w:rsidRPr="00CB4A4D">
              <w:rPr>
                <w:rFonts w:ascii="Times New Roman" w:hAnsi="Times New Roman"/>
                <w:color w:val="000000" w:themeColor="text1"/>
              </w:rPr>
              <w:t>Frequency of Response</w:t>
            </w:r>
          </w:p>
        </w:tc>
        <w:tc>
          <w:tcPr>
            <w:tcW w:w="1170" w:type="dxa"/>
            <w:vAlign w:val="center"/>
          </w:tcPr>
          <w:p w:rsidR="003F4ADD" w:rsidRPr="00CB4A4D" w:rsidP="00C47DD2" w14:paraId="0E58F094" w14:textId="77777777">
            <w:pPr>
              <w:jc w:val="center"/>
              <w:rPr>
                <w:rFonts w:ascii="Times New Roman" w:hAnsi="Times New Roman"/>
                <w:color w:val="000000" w:themeColor="text1"/>
              </w:rPr>
            </w:pPr>
            <w:r w:rsidRPr="00CB4A4D">
              <w:rPr>
                <w:rFonts w:ascii="Times New Roman" w:hAnsi="Times New Roman"/>
                <w:color w:val="000000" w:themeColor="text1"/>
              </w:rPr>
              <w:t>Responses Per Annum</w:t>
            </w:r>
          </w:p>
        </w:tc>
        <w:tc>
          <w:tcPr>
            <w:tcW w:w="934" w:type="dxa"/>
            <w:vAlign w:val="center"/>
          </w:tcPr>
          <w:p w:rsidR="003F4ADD" w:rsidRPr="00CB4A4D" w:rsidP="00C47DD2" w14:paraId="051210DF" w14:textId="77777777">
            <w:pPr>
              <w:jc w:val="center"/>
              <w:rPr>
                <w:rFonts w:ascii="Times New Roman" w:hAnsi="Times New Roman"/>
                <w:color w:val="000000" w:themeColor="text1"/>
              </w:rPr>
            </w:pPr>
            <w:r w:rsidRPr="00CB4A4D">
              <w:rPr>
                <w:rFonts w:ascii="Times New Roman" w:hAnsi="Times New Roman"/>
                <w:color w:val="000000" w:themeColor="text1"/>
              </w:rPr>
              <w:t>Burden Hour Per Response</w:t>
            </w:r>
          </w:p>
        </w:tc>
        <w:tc>
          <w:tcPr>
            <w:tcW w:w="1341" w:type="dxa"/>
            <w:vAlign w:val="center"/>
          </w:tcPr>
          <w:p w:rsidR="003F4ADD" w:rsidRPr="00CB4A4D" w:rsidP="00C47DD2" w14:paraId="211DE9D8" w14:textId="77777777">
            <w:pPr>
              <w:jc w:val="center"/>
              <w:rPr>
                <w:rFonts w:ascii="Times New Roman" w:hAnsi="Times New Roman"/>
                <w:color w:val="000000" w:themeColor="text1"/>
              </w:rPr>
            </w:pPr>
            <w:r w:rsidRPr="00CB4A4D">
              <w:rPr>
                <w:rFonts w:ascii="Times New Roman" w:hAnsi="Times New Roman"/>
                <w:color w:val="000000" w:themeColor="text1"/>
              </w:rPr>
              <w:t>Annual Burden Hours</w:t>
            </w:r>
          </w:p>
        </w:tc>
        <w:tc>
          <w:tcPr>
            <w:tcW w:w="1055" w:type="dxa"/>
            <w:vAlign w:val="center"/>
          </w:tcPr>
          <w:p w:rsidR="003F4ADD" w:rsidRPr="00CB4A4D" w:rsidP="00C47DD2" w14:paraId="13A0CB1A" w14:textId="77777777">
            <w:pPr>
              <w:jc w:val="center"/>
              <w:rPr>
                <w:rFonts w:ascii="Times New Roman" w:hAnsi="Times New Roman"/>
                <w:color w:val="000000" w:themeColor="text1"/>
              </w:rPr>
            </w:pPr>
            <w:r w:rsidRPr="00CB4A4D">
              <w:rPr>
                <w:rFonts w:ascii="Times New Roman" w:hAnsi="Times New Roman"/>
                <w:color w:val="000000" w:themeColor="text1"/>
              </w:rPr>
              <w:t>Hourly Cost</w:t>
            </w:r>
          </w:p>
        </w:tc>
        <w:tc>
          <w:tcPr>
            <w:tcW w:w="1268" w:type="dxa"/>
            <w:vAlign w:val="center"/>
          </w:tcPr>
          <w:p w:rsidR="003F4ADD" w:rsidRPr="00CB4A4D" w:rsidP="00C47DD2" w14:paraId="1A9C70CD" w14:textId="77777777">
            <w:pPr>
              <w:jc w:val="center"/>
              <w:rPr>
                <w:rFonts w:ascii="Times New Roman" w:hAnsi="Times New Roman"/>
                <w:color w:val="000000" w:themeColor="text1"/>
              </w:rPr>
            </w:pPr>
            <w:r w:rsidRPr="00CB4A4D">
              <w:rPr>
                <w:rFonts w:ascii="Times New Roman" w:hAnsi="Times New Roman"/>
                <w:color w:val="000000" w:themeColor="text1"/>
              </w:rPr>
              <w:t>Annual Cost</w:t>
            </w:r>
          </w:p>
        </w:tc>
      </w:tr>
      <w:tr w14:paraId="3EA050F7" w14:textId="77777777" w:rsidTr="00F304FB">
        <w:tblPrEx>
          <w:tblW w:w="9458" w:type="dxa"/>
          <w:tblInd w:w="85" w:type="dxa"/>
          <w:tblLayout w:type="fixed"/>
          <w:tblCellMar>
            <w:left w:w="43" w:type="dxa"/>
            <w:right w:w="43" w:type="dxa"/>
          </w:tblCellMar>
          <w:tblLook w:val="0000"/>
        </w:tblPrEx>
        <w:tc>
          <w:tcPr>
            <w:tcW w:w="1170" w:type="dxa"/>
          </w:tcPr>
          <w:p w:rsidR="003F4ADD" w:rsidRPr="00CB4A4D" w:rsidP="00C47DD2" w14:paraId="5FE424DF" w14:textId="77777777">
            <w:pPr>
              <w:rPr>
                <w:rFonts w:ascii="Times New Roman" w:hAnsi="Times New Roman"/>
                <w:color w:val="000000" w:themeColor="text1"/>
              </w:rPr>
            </w:pPr>
            <w:r w:rsidRPr="00CB4A4D">
              <w:rPr>
                <w:rFonts w:ascii="Times New Roman" w:hAnsi="Times New Roman"/>
                <w:color w:val="000000" w:themeColor="text1"/>
              </w:rPr>
              <w:t>HUD-92417</w:t>
            </w:r>
          </w:p>
        </w:tc>
        <w:tc>
          <w:tcPr>
            <w:tcW w:w="1260" w:type="dxa"/>
          </w:tcPr>
          <w:p w:rsidR="003F4ADD" w:rsidRPr="00CB4A4D" w:rsidP="00C47DD2" w14:paraId="4E67569A" w14:textId="05E018A9">
            <w:pPr>
              <w:jc w:val="center"/>
              <w:rPr>
                <w:rFonts w:ascii="Times New Roman" w:hAnsi="Times New Roman"/>
                <w:color w:val="000000" w:themeColor="text1"/>
              </w:rPr>
            </w:pPr>
            <w:r>
              <w:rPr>
                <w:rFonts w:ascii="Times New Roman" w:hAnsi="Times New Roman"/>
                <w:color w:val="000000" w:themeColor="text1"/>
              </w:rPr>
              <w:t>1230</w:t>
            </w:r>
          </w:p>
        </w:tc>
        <w:tc>
          <w:tcPr>
            <w:tcW w:w="1260" w:type="dxa"/>
          </w:tcPr>
          <w:p w:rsidR="003F4ADD" w:rsidRPr="00CB4A4D" w:rsidP="00C47DD2" w14:paraId="6D7238BF" w14:textId="77777777">
            <w:pPr>
              <w:jc w:val="center"/>
              <w:rPr>
                <w:rFonts w:ascii="Times New Roman" w:hAnsi="Times New Roman"/>
                <w:color w:val="000000" w:themeColor="text1"/>
              </w:rPr>
            </w:pPr>
            <w:r w:rsidRPr="00CB4A4D">
              <w:rPr>
                <w:rFonts w:ascii="Times New Roman" w:hAnsi="Times New Roman"/>
                <w:color w:val="000000" w:themeColor="text1"/>
              </w:rPr>
              <w:t>1</w:t>
            </w:r>
          </w:p>
        </w:tc>
        <w:tc>
          <w:tcPr>
            <w:tcW w:w="1170" w:type="dxa"/>
          </w:tcPr>
          <w:p w:rsidR="003F4ADD" w:rsidRPr="00CB4A4D" w:rsidP="00C47DD2" w14:paraId="51F7D951" w14:textId="77777777">
            <w:pPr>
              <w:jc w:val="center"/>
              <w:rPr>
                <w:rFonts w:ascii="Times New Roman" w:hAnsi="Times New Roman"/>
                <w:color w:val="000000" w:themeColor="text1"/>
              </w:rPr>
            </w:pPr>
            <w:r w:rsidRPr="00CB4A4D">
              <w:rPr>
                <w:rFonts w:ascii="Times New Roman" w:hAnsi="Times New Roman"/>
                <w:color w:val="000000" w:themeColor="text1"/>
              </w:rPr>
              <w:t>1,824</w:t>
            </w:r>
          </w:p>
        </w:tc>
        <w:tc>
          <w:tcPr>
            <w:tcW w:w="934" w:type="dxa"/>
          </w:tcPr>
          <w:p w:rsidR="003F4ADD" w:rsidRPr="00CB4A4D" w:rsidP="00C47DD2" w14:paraId="2C58E1DA" w14:textId="77777777">
            <w:pPr>
              <w:jc w:val="center"/>
              <w:rPr>
                <w:rFonts w:ascii="Times New Roman" w:hAnsi="Times New Roman"/>
                <w:color w:val="000000" w:themeColor="text1"/>
              </w:rPr>
            </w:pPr>
            <w:r w:rsidRPr="00CB4A4D">
              <w:rPr>
                <w:rFonts w:ascii="Times New Roman" w:hAnsi="Times New Roman"/>
                <w:color w:val="000000" w:themeColor="text1"/>
              </w:rPr>
              <w:t>8</w:t>
            </w:r>
          </w:p>
        </w:tc>
        <w:tc>
          <w:tcPr>
            <w:tcW w:w="1341" w:type="dxa"/>
          </w:tcPr>
          <w:p w:rsidR="003F4ADD" w:rsidRPr="00CB4A4D" w:rsidP="00C47DD2" w14:paraId="68DD3179" w14:textId="6E2A06C0">
            <w:pPr>
              <w:rPr>
                <w:rFonts w:ascii="Times New Roman" w:hAnsi="Times New Roman"/>
                <w:color w:val="000000" w:themeColor="text1"/>
              </w:rPr>
            </w:pPr>
            <w:r w:rsidRPr="00CB4A4D">
              <w:rPr>
                <w:rFonts w:ascii="Times New Roman" w:hAnsi="Times New Roman"/>
                <w:color w:val="000000" w:themeColor="text1"/>
              </w:rPr>
              <w:t xml:space="preserve">    </w:t>
            </w:r>
            <w:r w:rsidR="00C734ED">
              <w:rPr>
                <w:rFonts w:ascii="Times New Roman" w:hAnsi="Times New Roman"/>
                <w:color w:val="000000" w:themeColor="text1"/>
              </w:rPr>
              <w:t>9840</w:t>
            </w:r>
          </w:p>
        </w:tc>
        <w:tc>
          <w:tcPr>
            <w:tcW w:w="1055" w:type="dxa"/>
          </w:tcPr>
          <w:p w:rsidR="003F4ADD" w:rsidRPr="00CB4A4D" w:rsidP="00C47DD2" w14:paraId="08BFE187" w14:textId="77777777">
            <w:pPr>
              <w:jc w:val="right"/>
              <w:rPr>
                <w:rFonts w:ascii="Times New Roman" w:hAnsi="Times New Roman"/>
                <w:color w:val="000000" w:themeColor="text1"/>
              </w:rPr>
            </w:pPr>
            <w:r w:rsidRPr="00CB4A4D">
              <w:rPr>
                <w:rFonts w:ascii="Times New Roman" w:hAnsi="Times New Roman"/>
                <w:color w:val="000000" w:themeColor="text1"/>
              </w:rPr>
              <w:t>$32.83</w:t>
            </w:r>
          </w:p>
        </w:tc>
        <w:tc>
          <w:tcPr>
            <w:tcW w:w="1268" w:type="dxa"/>
          </w:tcPr>
          <w:p w:rsidR="003F4ADD" w:rsidRPr="00CB4A4D" w:rsidP="003F4ADD" w14:paraId="443BA11B" w14:textId="77777777">
            <w:pPr>
              <w:rPr>
                <w:rFonts w:ascii="Times New Roman" w:hAnsi="Times New Roman"/>
                <w:color w:val="000000" w:themeColor="text1"/>
              </w:rPr>
            </w:pPr>
            <w:r w:rsidRPr="00CB4A4D">
              <w:rPr>
                <w:rFonts w:ascii="Times New Roman" w:hAnsi="Times New Roman"/>
                <w:color w:val="000000" w:themeColor="text1"/>
              </w:rPr>
              <w:t>$479,055.36</w:t>
            </w:r>
          </w:p>
        </w:tc>
      </w:tr>
    </w:tbl>
    <w:p w:rsidR="007876EC" w:rsidRPr="00CB4A4D" w:rsidP="001F5ECF" w14:paraId="274EEA80" w14:textId="77777777">
      <w:pPr>
        <w:pStyle w:val="BodyText2"/>
        <w:spacing w:line="240" w:lineRule="auto"/>
        <w:ind w:left="360"/>
        <w:rPr>
          <w:rFonts w:ascii="Times New Roman" w:hAnsi="Times New Roman"/>
          <w:color w:val="000000" w:themeColor="text1"/>
        </w:rPr>
      </w:pPr>
      <w:r w:rsidRPr="00CB4A4D">
        <w:rPr>
          <w:rFonts w:ascii="Times New Roman" w:hAnsi="Times New Roman"/>
          <w:color w:val="000000" w:themeColor="text1"/>
        </w:rPr>
        <w:t>The estimated median hourly rate for financial analyst annual salary of $</w:t>
      </w:r>
      <w:r w:rsidRPr="00CB4A4D" w:rsidR="001F5ECF">
        <w:rPr>
          <w:rFonts w:ascii="Times New Roman" w:hAnsi="Times New Roman"/>
          <w:color w:val="000000" w:themeColor="text1"/>
        </w:rPr>
        <w:t>68,288.20 (</w:t>
      </w:r>
      <w:r w:rsidRPr="00CB4A4D">
        <w:rPr>
          <w:rFonts w:ascii="Times New Roman" w:hAnsi="Times New Roman"/>
          <w:color w:val="000000" w:themeColor="text1"/>
        </w:rPr>
        <w:t xml:space="preserve">Source: Bureau of Labor </w:t>
      </w:r>
      <w:r w:rsidRPr="00CB4A4D" w:rsidR="001F5ECF">
        <w:rPr>
          <w:rFonts w:ascii="Times New Roman" w:hAnsi="Times New Roman"/>
          <w:color w:val="000000" w:themeColor="text1"/>
        </w:rPr>
        <w:t xml:space="preserve">  </w:t>
      </w:r>
      <w:r w:rsidRPr="00CB4A4D">
        <w:rPr>
          <w:rFonts w:ascii="Times New Roman" w:hAnsi="Times New Roman"/>
          <w:color w:val="000000" w:themeColor="text1"/>
        </w:rPr>
        <w:t>Statistics</w:t>
      </w:r>
      <w:r w:rsidRPr="00CB4A4D" w:rsidR="001F5ECF">
        <w:rPr>
          <w:rFonts w:ascii="Times New Roman" w:hAnsi="Times New Roman"/>
          <w:color w:val="000000" w:themeColor="text1"/>
        </w:rPr>
        <w:t>)</w:t>
      </w:r>
      <w:r w:rsidRPr="00CB4A4D">
        <w:rPr>
          <w:rFonts w:ascii="Times New Roman" w:hAnsi="Times New Roman"/>
          <w:color w:val="000000" w:themeColor="text1"/>
        </w:rPr>
        <w:tab/>
        <w:t xml:space="preserve">     </w:t>
      </w:r>
    </w:p>
    <w:p w:rsidR="007876EC" w:rsidRPr="00CB4A4D" w:rsidP="00EA4BDD" w14:paraId="1986F104" w14:textId="77777777">
      <w:pPr>
        <w:keepNext/>
        <w:overflowPunct w:val="0"/>
        <w:autoSpaceDE w:val="0"/>
        <w:autoSpaceDN w:val="0"/>
        <w:adjustRightInd w:val="0"/>
        <w:spacing w:after="0" w:line="240" w:lineRule="auto"/>
        <w:textAlignment w:val="baseline"/>
        <w:rPr>
          <w:rFonts w:ascii="Times New Roman" w:hAnsi="Times New Roman"/>
          <w:color w:val="000000" w:themeColor="text1"/>
        </w:rPr>
      </w:pPr>
    </w:p>
    <w:tbl>
      <w:tblPr>
        <w:tblW w:w="0" w:type="auto"/>
        <w:tblInd w:w="108" w:type="dxa"/>
        <w:tblLook w:val="04A0"/>
      </w:tblPr>
      <w:tblGrid>
        <w:gridCol w:w="9252"/>
      </w:tblGrid>
      <w:tr w14:paraId="0CFB1079" w14:textId="77777777" w:rsidTr="00C47DD2">
        <w:tblPrEx>
          <w:tblW w:w="0" w:type="auto"/>
          <w:tblInd w:w="108" w:type="dxa"/>
          <w:tblLook w:val="04A0"/>
        </w:tblPrEx>
        <w:tc>
          <w:tcPr>
            <w:tcW w:w="9360" w:type="dxa"/>
            <w:shd w:val="clear" w:color="auto" w:fill="auto"/>
          </w:tcPr>
          <w:p w:rsidR="001F5ECF" w:rsidRPr="00CB4A4D" w:rsidP="00C47DD2" w14:paraId="68D8E8FD" w14:textId="77777777">
            <w:pPr>
              <w:spacing w:after="0" w:line="240" w:lineRule="auto"/>
              <w:rPr>
                <w:rFonts w:ascii="Times New Roman" w:hAnsi="Times New Roman"/>
                <w:b/>
                <w:color w:val="000000" w:themeColor="text1"/>
              </w:rPr>
            </w:pPr>
            <w:r w:rsidRPr="00CB4A4D">
              <w:rPr>
                <w:rFonts w:ascii="Times New Roman" w:hAnsi="Times New Roman"/>
                <w:b/>
                <w:color w:val="000000" w:themeColor="text1"/>
              </w:rPr>
              <w:t xml:space="preserve">13. Provide an estimate for the total annual cost burden to respondents or recordkeepers resulting from the collection of information. (Do not include the cost of any hour burden shown in Items 12 and 14). </w:t>
            </w:r>
          </w:p>
          <w:p w:rsidR="001F5ECF" w:rsidRPr="00CB4A4D" w:rsidP="00C47DD2" w14:paraId="646F1723" w14:textId="77777777">
            <w:pPr>
              <w:spacing w:after="0" w:line="240" w:lineRule="auto"/>
              <w:rPr>
                <w:rFonts w:ascii="Times New Roman" w:hAnsi="Times New Roman"/>
                <w:b/>
                <w:color w:val="000000" w:themeColor="text1"/>
              </w:rPr>
            </w:pPr>
          </w:p>
          <w:p w:rsidR="001F5ECF" w:rsidRPr="00CB4A4D" w:rsidP="00C47DD2" w14:paraId="14D782C4" w14:textId="77777777">
            <w:pPr>
              <w:spacing w:after="0" w:line="240" w:lineRule="auto"/>
              <w:rPr>
                <w:rFonts w:ascii="Times New Roman" w:hAnsi="Times New Roman"/>
                <w:i/>
                <w:iCs/>
                <w:color w:val="000000" w:themeColor="text1"/>
              </w:rPr>
            </w:pPr>
            <w:r w:rsidRPr="00CB4A4D">
              <w:rPr>
                <w:rFonts w:ascii="Times New Roman" w:hAnsi="Times New Roman"/>
                <w:i/>
                <w:iCs/>
                <w:color w:val="000000" w:themeColor="text1"/>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1F5ECF" w:rsidRPr="00CB4A4D" w:rsidP="00C47DD2" w14:paraId="2AC06602" w14:textId="4CFE8F94">
            <w:pPr>
              <w:spacing w:after="0" w:line="240" w:lineRule="auto"/>
              <w:rPr>
                <w:rFonts w:ascii="Times New Roman" w:hAnsi="Times New Roman"/>
                <w:i/>
                <w:iCs/>
                <w:color w:val="000000" w:themeColor="text1"/>
              </w:rPr>
            </w:pPr>
          </w:p>
          <w:p w:rsidR="00A72514" w:rsidRPr="00CB4A4D" w:rsidP="00C47DD2" w14:paraId="4EE72BBE" w14:textId="77777777">
            <w:pPr>
              <w:spacing w:after="0" w:line="240" w:lineRule="auto"/>
              <w:rPr>
                <w:rFonts w:ascii="Times New Roman" w:hAnsi="Times New Roman"/>
                <w:i/>
                <w:iCs/>
                <w:color w:val="000000" w:themeColor="text1"/>
              </w:rPr>
            </w:pPr>
          </w:p>
          <w:p w:rsidR="001F5ECF" w:rsidRPr="00CB4A4D" w:rsidP="00C47DD2" w14:paraId="3216152C" w14:textId="77777777">
            <w:pPr>
              <w:spacing w:after="0" w:line="240" w:lineRule="auto"/>
              <w:rPr>
                <w:rFonts w:ascii="Times New Roman" w:hAnsi="Times New Roman"/>
                <w:i/>
                <w:iCs/>
                <w:color w:val="000000" w:themeColor="text1"/>
              </w:rPr>
            </w:pPr>
            <w:r w:rsidRPr="00CB4A4D">
              <w:rPr>
                <w:rFonts w:ascii="Times New Roman" w:hAnsi="Times New Roman"/>
                <w:i/>
                <w:iCs/>
                <w:color w:val="000000" w:themeColor="text1"/>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1F5ECF" w:rsidRPr="00CB4A4D" w:rsidP="00C47DD2" w14:paraId="1437068A" w14:textId="77777777">
            <w:pPr>
              <w:spacing w:after="0" w:line="240" w:lineRule="auto"/>
              <w:rPr>
                <w:rFonts w:ascii="Times New Roman" w:hAnsi="Times New Roman"/>
                <w:i/>
                <w:iCs/>
                <w:color w:val="000000" w:themeColor="text1"/>
              </w:rPr>
            </w:pPr>
          </w:p>
          <w:p w:rsidR="001F5ECF" w:rsidRPr="00CB4A4D" w:rsidP="00C47DD2" w14:paraId="1E028F89" w14:textId="77777777">
            <w:pPr>
              <w:spacing w:after="0" w:line="240" w:lineRule="auto"/>
              <w:rPr>
                <w:rFonts w:ascii="Times New Roman" w:hAnsi="Times New Roman"/>
                <w:i/>
                <w:iCs/>
                <w:color w:val="000000" w:themeColor="text1"/>
              </w:rPr>
            </w:pPr>
            <w:r w:rsidRPr="00CB4A4D">
              <w:rPr>
                <w:rFonts w:ascii="Times New Roman" w:hAnsi="Times New Roman"/>
                <w:i/>
                <w:iCs/>
                <w:color w:val="000000" w:themeColor="text1"/>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1F5ECF" w:rsidRPr="00CB4A4D" w:rsidP="00C47DD2" w14:paraId="63494579" w14:textId="77777777">
            <w:pPr>
              <w:spacing w:after="0" w:line="240" w:lineRule="auto"/>
              <w:rPr>
                <w:rFonts w:ascii="Times New Roman" w:hAnsi="Times New Roman"/>
                <w:b/>
                <w:color w:val="000000" w:themeColor="text1"/>
              </w:rPr>
            </w:pPr>
          </w:p>
        </w:tc>
      </w:tr>
      <w:tr w14:paraId="031279B1" w14:textId="77777777" w:rsidTr="00C47DD2">
        <w:tblPrEx>
          <w:tblW w:w="0" w:type="auto"/>
          <w:tblInd w:w="108" w:type="dxa"/>
          <w:tblLook w:val="04A0"/>
        </w:tblPrEx>
        <w:tc>
          <w:tcPr>
            <w:tcW w:w="9360" w:type="dxa"/>
            <w:shd w:val="clear" w:color="auto" w:fill="auto"/>
          </w:tcPr>
          <w:p w:rsidR="001F5ECF" w:rsidRPr="00CB4A4D" w:rsidP="00982B31" w14:paraId="16B39972" w14:textId="7C6ECDBB">
            <w:pPr>
              <w:spacing w:after="0" w:line="240" w:lineRule="auto"/>
              <w:rPr>
                <w:rFonts w:ascii="Times New Roman" w:hAnsi="Times New Roman"/>
                <w:b/>
                <w:color w:val="000000" w:themeColor="text1"/>
              </w:rPr>
            </w:pPr>
            <w:r w:rsidRPr="00CB4A4D">
              <w:rPr>
                <w:rFonts w:ascii="Times New Roman" w:hAnsi="Times New Roman"/>
                <w:color w:val="000000" w:themeColor="text1"/>
              </w:rPr>
              <w:t>HUD Response: HUD does not require a total capital and start-up cost component for the use of this Form.</w:t>
            </w:r>
          </w:p>
        </w:tc>
      </w:tr>
    </w:tbl>
    <w:p w:rsidR="001F5ECF" w:rsidRPr="00CB4A4D" w:rsidP="001F5ECF" w14:paraId="76D33584" w14:textId="77777777">
      <w:pPr>
        <w:spacing w:after="0" w:line="240" w:lineRule="auto"/>
        <w:rPr>
          <w:rFonts w:ascii="Times New Roman" w:hAnsi="Times New Roman"/>
          <w:b/>
          <w:color w:val="000000" w:themeColor="text1"/>
        </w:rPr>
      </w:pPr>
    </w:p>
    <w:tbl>
      <w:tblPr>
        <w:tblW w:w="10152"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10152"/>
      </w:tblGrid>
      <w:tr w14:paraId="332727E8" w14:textId="77777777" w:rsidTr="00D048A8">
        <w:tblPrEx>
          <w:tblW w:w="10152"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10152" w:type="dxa"/>
            <w:tcBorders>
              <w:top w:val="nil"/>
              <w:left w:val="nil"/>
              <w:bottom w:val="nil"/>
              <w:right w:val="nil"/>
            </w:tcBorders>
            <w:shd w:val="clear" w:color="auto" w:fill="auto"/>
          </w:tcPr>
          <w:p w:rsidR="001F5ECF" w:rsidRPr="00CB4A4D" w:rsidP="00C47DD2" w14:paraId="1FB90E55" w14:textId="77777777">
            <w:pPr>
              <w:spacing w:after="0" w:line="240" w:lineRule="auto"/>
              <w:rPr>
                <w:rFonts w:ascii="Times New Roman" w:hAnsi="Times New Roman"/>
                <w:b/>
                <w:color w:val="000000" w:themeColor="text1"/>
              </w:rPr>
            </w:pPr>
            <w:r w:rsidRPr="00CB4A4D">
              <w:rPr>
                <w:rFonts w:ascii="Times New Roman" w:hAnsi="Times New Roman"/>
                <w:b/>
                <w:color w:val="000000" w:themeColor="text1"/>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1F5ECF" w:rsidRPr="00CB4A4D" w:rsidP="00FC64E2" w14:paraId="1967835C" w14:textId="77777777">
            <w:pPr>
              <w:rPr>
                <w:rFonts w:ascii="Times New Roman" w:hAnsi="Times New Roman"/>
                <w:color w:val="000000" w:themeColor="text1"/>
              </w:rPr>
            </w:pPr>
          </w:p>
        </w:tc>
      </w:tr>
    </w:tbl>
    <w:p w:rsidR="00485119" w:rsidRPr="00CB4A4D" w:rsidP="00485119" w14:paraId="0032ADB3" w14:textId="77777777">
      <w:pPr>
        <w:spacing w:after="0"/>
        <w:rPr>
          <w:rFonts w:ascii="Times New Roman" w:hAnsi="Times New Roman"/>
          <w:vanish/>
          <w:color w:val="000000" w:themeColor="text1"/>
        </w:rPr>
      </w:pPr>
    </w:p>
    <w:tbl>
      <w:tblPr>
        <w:tblpPr w:leftFromText="180" w:rightFromText="180" w:vertAnchor="text" w:horzAnchor="margin" w:tblpX="-635" w:tblpY="545"/>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tblPr>
      <w:tblGrid>
        <w:gridCol w:w="1315"/>
        <w:gridCol w:w="1518"/>
        <w:gridCol w:w="1152"/>
        <w:gridCol w:w="1260"/>
        <w:gridCol w:w="1449"/>
        <w:gridCol w:w="1341"/>
        <w:gridCol w:w="810"/>
        <w:gridCol w:w="1500"/>
      </w:tblGrid>
      <w:tr w14:paraId="6D083E47" w14:textId="77777777" w:rsidTr="00D048A8">
        <w:tblPrEx>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tblPrEx>
        <w:tc>
          <w:tcPr>
            <w:tcW w:w="1315" w:type="dxa"/>
            <w:vAlign w:val="center"/>
          </w:tcPr>
          <w:p w:rsidR="00FC64E2" w:rsidRPr="00CB4A4D" w:rsidP="00D048A8" w14:paraId="333E6B45" w14:textId="77777777">
            <w:pPr>
              <w:jc w:val="center"/>
              <w:rPr>
                <w:rFonts w:ascii="Times New Roman" w:hAnsi="Times New Roman"/>
                <w:color w:val="000000" w:themeColor="text1"/>
              </w:rPr>
            </w:pPr>
            <w:r w:rsidRPr="00CB4A4D">
              <w:rPr>
                <w:rFonts w:ascii="Times New Roman" w:hAnsi="Times New Roman"/>
                <w:color w:val="000000" w:themeColor="text1"/>
              </w:rPr>
              <w:t>Information Collection</w:t>
            </w:r>
          </w:p>
        </w:tc>
        <w:tc>
          <w:tcPr>
            <w:tcW w:w="1518" w:type="dxa"/>
            <w:vAlign w:val="center"/>
          </w:tcPr>
          <w:p w:rsidR="00FC64E2" w:rsidRPr="00CB4A4D" w:rsidP="00D048A8" w14:paraId="7CA5F53B" w14:textId="77777777">
            <w:pPr>
              <w:jc w:val="center"/>
              <w:rPr>
                <w:rFonts w:ascii="Times New Roman" w:hAnsi="Times New Roman"/>
                <w:color w:val="000000" w:themeColor="text1"/>
              </w:rPr>
            </w:pPr>
            <w:r w:rsidRPr="00CB4A4D">
              <w:rPr>
                <w:rFonts w:ascii="Times New Roman" w:hAnsi="Times New Roman"/>
                <w:color w:val="000000" w:themeColor="text1"/>
              </w:rPr>
              <w:t>Number of Respondents</w:t>
            </w:r>
          </w:p>
        </w:tc>
        <w:tc>
          <w:tcPr>
            <w:tcW w:w="1152" w:type="dxa"/>
            <w:vAlign w:val="center"/>
          </w:tcPr>
          <w:p w:rsidR="00FC64E2" w:rsidRPr="00CB4A4D" w:rsidP="00D048A8" w14:paraId="05BDC562" w14:textId="77777777">
            <w:pPr>
              <w:jc w:val="center"/>
              <w:rPr>
                <w:rFonts w:ascii="Times New Roman" w:hAnsi="Times New Roman"/>
                <w:color w:val="000000" w:themeColor="text1"/>
              </w:rPr>
            </w:pPr>
            <w:r w:rsidRPr="00CB4A4D">
              <w:rPr>
                <w:rFonts w:ascii="Times New Roman" w:hAnsi="Times New Roman"/>
                <w:color w:val="000000" w:themeColor="text1"/>
              </w:rPr>
              <w:t>Frequency of Response</w:t>
            </w:r>
          </w:p>
        </w:tc>
        <w:tc>
          <w:tcPr>
            <w:tcW w:w="1260" w:type="dxa"/>
            <w:vAlign w:val="center"/>
          </w:tcPr>
          <w:p w:rsidR="00FC64E2" w:rsidRPr="00CB4A4D" w:rsidP="00D048A8" w14:paraId="5C49F846" w14:textId="77777777">
            <w:pPr>
              <w:jc w:val="center"/>
              <w:rPr>
                <w:rFonts w:ascii="Times New Roman" w:hAnsi="Times New Roman"/>
                <w:color w:val="000000" w:themeColor="text1"/>
              </w:rPr>
            </w:pPr>
            <w:r w:rsidRPr="00CB4A4D">
              <w:rPr>
                <w:rFonts w:ascii="Times New Roman" w:hAnsi="Times New Roman"/>
                <w:color w:val="000000" w:themeColor="text1"/>
              </w:rPr>
              <w:t>Responses Per Annum</w:t>
            </w:r>
          </w:p>
        </w:tc>
        <w:tc>
          <w:tcPr>
            <w:tcW w:w="1449" w:type="dxa"/>
            <w:vAlign w:val="center"/>
          </w:tcPr>
          <w:p w:rsidR="00FC64E2" w:rsidRPr="00CB4A4D" w:rsidP="00D048A8" w14:paraId="1CC66DB3" w14:textId="77777777">
            <w:pPr>
              <w:jc w:val="center"/>
              <w:rPr>
                <w:rFonts w:ascii="Times New Roman" w:hAnsi="Times New Roman"/>
                <w:color w:val="000000" w:themeColor="text1"/>
              </w:rPr>
            </w:pPr>
            <w:r w:rsidRPr="00CB4A4D">
              <w:rPr>
                <w:rFonts w:ascii="Times New Roman" w:hAnsi="Times New Roman"/>
                <w:color w:val="000000" w:themeColor="text1"/>
              </w:rPr>
              <w:t>Burden Hour Per Response</w:t>
            </w:r>
          </w:p>
        </w:tc>
        <w:tc>
          <w:tcPr>
            <w:tcW w:w="1341" w:type="dxa"/>
            <w:vAlign w:val="center"/>
          </w:tcPr>
          <w:p w:rsidR="00FC64E2" w:rsidRPr="00CB4A4D" w:rsidP="00D048A8" w14:paraId="036B1E75" w14:textId="77777777">
            <w:pPr>
              <w:jc w:val="center"/>
              <w:rPr>
                <w:rFonts w:ascii="Times New Roman" w:hAnsi="Times New Roman"/>
                <w:color w:val="000000" w:themeColor="text1"/>
              </w:rPr>
            </w:pPr>
            <w:r w:rsidRPr="00CB4A4D">
              <w:rPr>
                <w:rFonts w:ascii="Times New Roman" w:hAnsi="Times New Roman"/>
                <w:color w:val="000000" w:themeColor="text1"/>
              </w:rPr>
              <w:t>Annual Burden Hours</w:t>
            </w:r>
          </w:p>
        </w:tc>
        <w:tc>
          <w:tcPr>
            <w:tcW w:w="810" w:type="dxa"/>
            <w:vAlign w:val="center"/>
          </w:tcPr>
          <w:p w:rsidR="00FC64E2" w:rsidRPr="00CB4A4D" w:rsidP="00D048A8" w14:paraId="3F7C2B59" w14:textId="77777777">
            <w:pPr>
              <w:jc w:val="center"/>
              <w:rPr>
                <w:rFonts w:ascii="Times New Roman" w:hAnsi="Times New Roman"/>
                <w:color w:val="000000" w:themeColor="text1"/>
              </w:rPr>
            </w:pPr>
            <w:r w:rsidRPr="00CB4A4D">
              <w:rPr>
                <w:rFonts w:ascii="Times New Roman" w:hAnsi="Times New Roman"/>
                <w:color w:val="000000" w:themeColor="text1"/>
              </w:rPr>
              <w:t>Hourly Cost</w:t>
            </w:r>
          </w:p>
        </w:tc>
        <w:tc>
          <w:tcPr>
            <w:tcW w:w="1500" w:type="dxa"/>
            <w:vAlign w:val="center"/>
          </w:tcPr>
          <w:p w:rsidR="00FC64E2" w:rsidRPr="00CB4A4D" w:rsidP="00D048A8" w14:paraId="1997BBB1" w14:textId="77777777">
            <w:pPr>
              <w:jc w:val="center"/>
              <w:rPr>
                <w:rFonts w:ascii="Times New Roman" w:hAnsi="Times New Roman"/>
                <w:color w:val="000000" w:themeColor="text1"/>
              </w:rPr>
            </w:pPr>
            <w:r w:rsidRPr="00CB4A4D">
              <w:rPr>
                <w:rFonts w:ascii="Times New Roman" w:hAnsi="Times New Roman"/>
                <w:color w:val="000000" w:themeColor="text1"/>
              </w:rPr>
              <w:t>Annual Cost</w:t>
            </w:r>
          </w:p>
        </w:tc>
      </w:tr>
      <w:tr w14:paraId="64F85F91" w14:textId="77777777" w:rsidTr="00D048A8">
        <w:tblPrEx>
          <w:tblW w:w="10345" w:type="dxa"/>
          <w:tblLayout w:type="fixed"/>
          <w:tblCellMar>
            <w:left w:w="43" w:type="dxa"/>
            <w:right w:w="43" w:type="dxa"/>
          </w:tblCellMar>
          <w:tblLook w:val="0000"/>
        </w:tblPrEx>
        <w:tc>
          <w:tcPr>
            <w:tcW w:w="1315" w:type="dxa"/>
          </w:tcPr>
          <w:p w:rsidR="00FC64E2" w:rsidRPr="00CB4A4D" w:rsidP="00D048A8" w14:paraId="704A26D8" w14:textId="77777777">
            <w:pPr>
              <w:rPr>
                <w:rFonts w:ascii="Times New Roman" w:hAnsi="Times New Roman"/>
                <w:color w:val="000000" w:themeColor="text1"/>
              </w:rPr>
            </w:pPr>
            <w:r w:rsidRPr="00CB4A4D">
              <w:rPr>
                <w:rFonts w:ascii="Times New Roman" w:hAnsi="Times New Roman"/>
                <w:color w:val="000000" w:themeColor="text1"/>
              </w:rPr>
              <w:t>HUD-92417</w:t>
            </w:r>
          </w:p>
        </w:tc>
        <w:tc>
          <w:tcPr>
            <w:tcW w:w="1518" w:type="dxa"/>
          </w:tcPr>
          <w:p w:rsidR="00FC64E2" w:rsidRPr="00CB4A4D" w:rsidP="00D048A8" w14:paraId="67C132D0" w14:textId="2F249607">
            <w:pPr>
              <w:jc w:val="center"/>
              <w:rPr>
                <w:rFonts w:ascii="Times New Roman" w:hAnsi="Times New Roman"/>
                <w:color w:val="000000" w:themeColor="text1"/>
              </w:rPr>
            </w:pPr>
            <w:r w:rsidRPr="00C734ED">
              <w:rPr>
                <w:rFonts w:ascii="Times New Roman" w:hAnsi="Times New Roman"/>
                <w:color w:val="000000" w:themeColor="text1"/>
              </w:rPr>
              <w:t>1230</w:t>
            </w:r>
          </w:p>
        </w:tc>
        <w:tc>
          <w:tcPr>
            <w:tcW w:w="1152" w:type="dxa"/>
          </w:tcPr>
          <w:p w:rsidR="00FC64E2" w:rsidRPr="00CB4A4D" w:rsidP="00D048A8" w14:paraId="79C749A0" w14:textId="77777777">
            <w:pPr>
              <w:jc w:val="center"/>
              <w:rPr>
                <w:rFonts w:ascii="Times New Roman" w:hAnsi="Times New Roman"/>
                <w:color w:val="000000" w:themeColor="text1"/>
              </w:rPr>
            </w:pPr>
            <w:r w:rsidRPr="00CB4A4D">
              <w:rPr>
                <w:rFonts w:ascii="Times New Roman" w:hAnsi="Times New Roman"/>
                <w:color w:val="000000" w:themeColor="text1"/>
              </w:rPr>
              <w:t>1</w:t>
            </w:r>
          </w:p>
        </w:tc>
        <w:tc>
          <w:tcPr>
            <w:tcW w:w="1260" w:type="dxa"/>
          </w:tcPr>
          <w:p w:rsidR="00FC64E2" w:rsidRPr="00CB4A4D" w:rsidP="00D048A8" w14:paraId="6D6066D3" w14:textId="77777777">
            <w:pPr>
              <w:jc w:val="center"/>
              <w:rPr>
                <w:rFonts w:ascii="Times New Roman" w:hAnsi="Times New Roman"/>
                <w:color w:val="000000" w:themeColor="text1"/>
              </w:rPr>
            </w:pPr>
            <w:r w:rsidRPr="00CB4A4D">
              <w:rPr>
                <w:rFonts w:ascii="Times New Roman" w:hAnsi="Times New Roman"/>
                <w:color w:val="000000" w:themeColor="text1"/>
              </w:rPr>
              <w:t>1,824</w:t>
            </w:r>
          </w:p>
        </w:tc>
        <w:tc>
          <w:tcPr>
            <w:tcW w:w="1449" w:type="dxa"/>
          </w:tcPr>
          <w:p w:rsidR="00FC64E2" w:rsidRPr="00CB4A4D" w:rsidP="00D048A8" w14:paraId="2655957B" w14:textId="77777777">
            <w:pPr>
              <w:jc w:val="center"/>
              <w:rPr>
                <w:rFonts w:ascii="Times New Roman" w:hAnsi="Times New Roman"/>
                <w:color w:val="000000" w:themeColor="text1"/>
              </w:rPr>
            </w:pPr>
            <w:r w:rsidRPr="00CB4A4D">
              <w:rPr>
                <w:rFonts w:ascii="Times New Roman" w:hAnsi="Times New Roman"/>
                <w:color w:val="000000" w:themeColor="text1"/>
              </w:rPr>
              <w:t>8</w:t>
            </w:r>
          </w:p>
        </w:tc>
        <w:tc>
          <w:tcPr>
            <w:tcW w:w="1341" w:type="dxa"/>
          </w:tcPr>
          <w:p w:rsidR="00FC64E2" w:rsidRPr="00CB4A4D" w:rsidP="00D048A8" w14:paraId="3C5447A8" w14:textId="77777777">
            <w:pPr>
              <w:jc w:val="center"/>
              <w:rPr>
                <w:rFonts w:ascii="Times New Roman" w:hAnsi="Times New Roman"/>
                <w:color w:val="000000" w:themeColor="text1"/>
              </w:rPr>
            </w:pPr>
            <w:r w:rsidRPr="00CB4A4D">
              <w:rPr>
                <w:rFonts w:ascii="Times New Roman" w:hAnsi="Times New Roman"/>
                <w:color w:val="000000" w:themeColor="text1"/>
              </w:rPr>
              <w:t>14,592</w:t>
            </w:r>
          </w:p>
        </w:tc>
        <w:tc>
          <w:tcPr>
            <w:tcW w:w="810" w:type="dxa"/>
          </w:tcPr>
          <w:p w:rsidR="00FC64E2" w:rsidRPr="00CB4A4D" w:rsidP="00D048A8" w14:paraId="084DC5CF" w14:textId="77777777">
            <w:pPr>
              <w:jc w:val="right"/>
              <w:rPr>
                <w:rFonts w:ascii="Times New Roman" w:hAnsi="Times New Roman"/>
                <w:color w:val="000000" w:themeColor="text1"/>
              </w:rPr>
            </w:pPr>
            <w:r w:rsidRPr="00CB4A4D">
              <w:rPr>
                <w:rFonts w:ascii="Times New Roman" w:hAnsi="Times New Roman"/>
                <w:color w:val="000000" w:themeColor="text1"/>
              </w:rPr>
              <w:t xml:space="preserve">$36.41 </w:t>
            </w:r>
          </w:p>
        </w:tc>
        <w:tc>
          <w:tcPr>
            <w:tcW w:w="1500" w:type="dxa"/>
          </w:tcPr>
          <w:p w:rsidR="00FC64E2" w:rsidRPr="00CB4A4D" w:rsidP="00D048A8" w14:paraId="2AAA5E82" w14:textId="2C570614">
            <w:pPr>
              <w:rPr>
                <w:rFonts w:ascii="Times New Roman" w:hAnsi="Times New Roman"/>
                <w:color w:val="000000" w:themeColor="text1"/>
              </w:rPr>
            </w:pPr>
            <w:r w:rsidRPr="00CB4A4D">
              <w:rPr>
                <w:rFonts w:ascii="Times New Roman" w:hAnsi="Times New Roman"/>
                <w:color w:val="000000" w:themeColor="text1"/>
              </w:rPr>
              <w:t xml:space="preserve"> </w:t>
            </w:r>
            <w:r w:rsidR="00C734ED">
              <w:t xml:space="preserve"> </w:t>
            </w:r>
            <w:r w:rsidRPr="00C734ED" w:rsidR="00C734ED">
              <w:rPr>
                <w:rFonts w:ascii="Times New Roman" w:hAnsi="Times New Roman"/>
                <w:color w:val="000000" w:themeColor="text1"/>
              </w:rPr>
              <w:t>$</w:t>
            </w:r>
            <w:r w:rsidRPr="00C734ED" w:rsidR="00C734ED">
              <w:rPr>
                <w:rFonts w:ascii="Times New Roman" w:hAnsi="Times New Roman"/>
                <w:color w:val="000000" w:themeColor="text1"/>
              </w:rPr>
              <w:t>24,507</w:t>
            </w:r>
          </w:p>
        </w:tc>
      </w:tr>
    </w:tbl>
    <w:p w:rsidR="00FC64E2" w:rsidRPr="00CB4A4D" w:rsidP="00FC64E2" w14:paraId="27771C50" w14:textId="77777777">
      <w:pPr>
        <w:rPr>
          <w:rFonts w:ascii="Times New Roman" w:hAnsi="Times New Roman"/>
          <w:color w:val="000000" w:themeColor="text1"/>
        </w:rPr>
      </w:pPr>
      <w:r w:rsidRPr="00CB4A4D">
        <w:rPr>
          <w:rFonts w:ascii="Times New Roman" w:hAnsi="Times New Roman"/>
          <w:color w:val="000000" w:themeColor="text1"/>
        </w:rPr>
        <w:t>Estimate Annualized costs to the Federal government:</w:t>
      </w:r>
    </w:p>
    <w:p w:rsidR="00807A65" w:rsidRPr="00CB4A4D" w:rsidP="00FC64E2" w14:paraId="1F85EC5A" w14:textId="77777777">
      <w:pPr>
        <w:rPr>
          <w:rFonts w:ascii="Times New Roman" w:hAnsi="Times New Roman"/>
          <w:color w:val="000000" w:themeColor="text1"/>
        </w:rPr>
      </w:pPr>
      <w:r w:rsidRPr="00CB4A4D">
        <w:rPr>
          <w:rFonts w:ascii="Times New Roman" w:hAnsi="Times New Roman"/>
          <w:color w:val="000000" w:themeColor="text1"/>
        </w:rPr>
        <w:t>T</w:t>
      </w:r>
      <w:r w:rsidRPr="00CB4A4D" w:rsidR="00D5122F">
        <w:rPr>
          <w:rFonts w:ascii="Times New Roman" w:hAnsi="Times New Roman"/>
          <w:color w:val="000000" w:themeColor="text1"/>
        </w:rPr>
        <w:t xml:space="preserve">he hourly </w:t>
      </w:r>
      <w:r w:rsidRPr="00CB4A4D" w:rsidR="00B807E6">
        <w:rPr>
          <w:rFonts w:ascii="Times New Roman" w:hAnsi="Times New Roman"/>
          <w:color w:val="000000" w:themeColor="text1"/>
        </w:rPr>
        <w:t xml:space="preserve">cost for the Government </w:t>
      </w:r>
      <w:r w:rsidRPr="00CB4A4D" w:rsidR="00D5122F">
        <w:rPr>
          <w:rFonts w:ascii="Times New Roman" w:hAnsi="Times New Roman"/>
          <w:color w:val="000000" w:themeColor="text1"/>
        </w:rPr>
        <w:t xml:space="preserve">is based on </w:t>
      </w:r>
      <w:r w:rsidRPr="00CB4A4D" w:rsidR="00B807E6">
        <w:rPr>
          <w:rFonts w:ascii="Times New Roman" w:hAnsi="Times New Roman"/>
          <w:color w:val="000000" w:themeColor="text1"/>
        </w:rPr>
        <w:t>a s</w:t>
      </w:r>
      <w:r w:rsidRPr="00CB4A4D" w:rsidR="00D5122F">
        <w:rPr>
          <w:rFonts w:ascii="Times New Roman" w:hAnsi="Times New Roman"/>
          <w:color w:val="000000" w:themeColor="text1"/>
        </w:rPr>
        <w:t>alary of $</w:t>
      </w:r>
      <w:r w:rsidRPr="00CB4A4D" w:rsidR="00B807E6">
        <w:rPr>
          <w:rFonts w:ascii="Times New Roman" w:hAnsi="Times New Roman"/>
          <w:color w:val="000000" w:themeColor="text1"/>
        </w:rPr>
        <w:t xml:space="preserve">75,741.12 </w:t>
      </w:r>
      <w:r w:rsidRPr="00CB4A4D" w:rsidR="00D200CA">
        <w:rPr>
          <w:rFonts w:ascii="Times New Roman" w:hAnsi="Times New Roman"/>
          <w:color w:val="000000" w:themeColor="text1"/>
        </w:rPr>
        <w:t>(</w:t>
      </w:r>
      <w:r w:rsidRPr="00CB4A4D" w:rsidR="00D5122F">
        <w:rPr>
          <w:rFonts w:ascii="Times New Roman" w:hAnsi="Times New Roman"/>
          <w:color w:val="000000" w:themeColor="text1"/>
        </w:rPr>
        <w:t xml:space="preserve">GS </w:t>
      </w:r>
      <w:r w:rsidRPr="00CB4A4D" w:rsidR="00A05ADC">
        <w:rPr>
          <w:rFonts w:ascii="Times New Roman" w:hAnsi="Times New Roman"/>
          <w:color w:val="000000" w:themeColor="text1"/>
        </w:rPr>
        <w:t>1</w:t>
      </w:r>
      <w:r w:rsidRPr="00CB4A4D" w:rsidR="00D5122F">
        <w:rPr>
          <w:rFonts w:ascii="Times New Roman" w:hAnsi="Times New Roman"/>
          <w:color w:val="000000" w:themeColor="text1"/>
        </w:rPr>
        <w:t xml:space="preserve">2, step </w:t>
      </w:r>
      <w:r w:rsidRPr="00CB4A4D" w:rsidR="00A05ADC">
        <w:rPr>
          <w:rFonts w:ascii="Times New Roman" w:hAnsi="Times New Roman"/>
          <w:color w:val="000000" w:themeColor="text1"/>
        </w:rPr>
        <w:t>5</w:t>
      </w:r>
      <w:r w:rsidRPr="00CB4A4D" w:rsidR="00D200CA">
        <w:rPr>
          <w:rFonts w:ascii="Times New Roman" w:hAnsi="Times New Roman"/>
          <w:color w:val="000000" w:themeColor="text1"/>
        </w:rPr>
        <w:t>)</w:t>
      </w:r>
    </w:p>
    <w:p w:rsidR="00D35DDB" w:rsidRPr="00CB4A4D" w:rsidP="00FA2F70" w14:paraId="6FC8F084" w14:textId="77777777">
      <w:pPr>
        <w:spacing w:after="0" w:line="240" w:lineRule="auto"/>
        <w:rPr>
          <w:rFonts w:ascii="Times New Roman" w:hAnsi="Times New Roman"/>
          <w:color w:val="000000" w:themeColor="text1"/>
        </w:rPr>
      </w:pPr>
    </w:p>
    <w:p w:rsidR="00D35DDB" w:rsidRPr="00CB4A4D" w:rsidP="00FA2F70" w14:paraId="0ABFDE29" w14:textId="77777777">
      <w:pPr>
        <w:spacing w:after="0" w:line="240" w:lineRule="auto"/>
        <w:rPr>
          <w:rFonts w:ascii="Times New Roman" w:hAnsi="Times New Roman"/>
          <w:color w:val="000000" w:themeColor="text1"/>
        </w:rPr>
      </w:pPr>
    </w:p>
    <w:tbl>
      <w:tblPr>
        <w:tblW w:w="0" w:type="auto"/>
        <w:tblInd w:w="108" w:type="dxa"/>
        <w:tblLook w:val="04A0"/>
      </w:tblPr>
      <w:tblGrid>
        <w:gridCol w:w="9252"/>
      </w:tblGrid>
      <w:tr w14:paraId="76539E2B" w14:textId="77777777" w:rsidTr="006F475C">
        <w:tblPrEx>
          <w:tblW w:w="0" w:type="auto"/>
          <w:tblInd w:w="108" w:type="dxa"/>
          <w:tblLook w:val="04A0"/>
        </w:tblPrEx>
        <w:tc>
          <w:tcPr>
            <w:tcW w:w="9252" w:type="dxa"/>
            <w:shd w:val="clear" w:color="auto" w:fill="auto"/>
          </w:tcPr>
          <w:p w:rsidR="0021340A" w:rsidRPr="00CB4A4D" w:rsidP="001B4FB5" w14:paraId="7DBA7513" w14:textId="77777777">
            <w:pPr>
              <w:spacing w:after="0" w:line="240" w:lineRule="auto"/>
              <w:rPr>
                <w:rFonts w:ascii="Times New Roman" w:hAnsi="Times New Roman"/>
                <w:b/>
                <w:color w:val="000000" w:themeColor="text1"/>
              </w:rPr>
            </w:pPr>
            <w:r w:rsidRPr="00CB4A4D">
              <w:rPr>
                <w:rFonts w:ascii="Times New Roman" w:hAnsi="Times New Roman"/>
                <w:b/>
                <w:color w:val="000000" w:themeColor="text1"/>
              </w:rPr>
              <w:t xml:space="preserve">15. Explain the reasons for any program changes or adjustments reported in Items 13 or 14 of the OMB Form 83-I. </w:t>
            </w:r>
          </w:p>
          <w:p w:rsidR="00560E48" w:rsidRPr="00CB4A4D" w:rsidP="001B4FB5" w14:paraId="752A6438" w14:textId="77777777">
            <w:pPr>
              <w:spacing w:after="0" w:line="240" w:lineRule="auto"/>
              <w:rPr>
                <w:rFonts w:ascii="Times New Roman" w:hAnsi="Times New Roman"/>
                <w:color w:val="000000" w:themeColor="text1"/>
              </w:rPr>
            </w:pPr>
          </w:p>
        </w:tc>
      </w:tr>
    </w:tbl>
    <w:p w:rsidR="004873EB" w:rsidRPr="00CB4A4D" w:rsidP="00131914" w14:paraId="1EBC38BA" w14:textId="750001DF">
      <w:pPr>
        <w:tabs>
          <w:tab w:val="left" w:pos="480"/>
          <w:tab w:val="left" w:pos="720"/>
        </w:tabs>
        <w:overflowPunct w:val="0"/>
        <w:autoSpaceDE w:val="0"/>
        <w:autoSpaceDN w:val="0"/>
        <w:adjustRightInd w:val="0"/>
        <w:spacing w:after="0" w:line="240" w:lineRule="auto"/>
        <w:ind w:left="240"/>
        <w:textAlignment w:val="baseline"/>
        <w:rPr>
          <w:rFonts w:ascii="Times New Roman" w:hAnsi="Times New Roman"/>
        </w:rPr>
      </w:pPr>
      <w:r w:rsidRPr="00CB4A4D">
        <w:rPr>
          <w:rFonts w:ascii="Times New Roman" w:hAnsi="Times New Roman"/>
          <w:color w:val="000000" w:themeColor="text1"/>
        </w:rPr>
        <w:t>This is a</w:t>
      </w:r>
      <w:r w:rsidRPr="00CB4A4D" w:rsidR="00801284">
        <w:rPr>
          <w:rFonts w:ascii="Times New Roman" w:hAnsi="Times New Roman"/>
          <w:color w:val="000000" w:themeColor="text1"/>
        </w:rPr>
        <w:t xml:space="preserve"> </w:t>
      </w:r>
      <w:r w:rsidRPr="00CB4A4D" w:rsidR="00B1792B">
        <w:rPr>
          <w:rFonts w:ascii="Times New Roman" w:hAnsi="Times New Roman"/>
          <w:color w:val="000000" w:themeColor="text1"/>
        </w:rPr>
        <w:t>r</w:t>
      </w:r>
      <w:r w:rsidRPr="00CB4A4D" w:rsidR="00357863">
        <w:rPr>
          <w:rFonts w:ascii="Times New Roman" w:hAnsi="Times New Roman"/>
        </w:rPr>
        <w:t xml:space="preserve">einstatement of </w:t>
      </w:r>
      <w:r w:rsidRPr="00CB4A4D" w:rsidR="00B1792B">
        <w:rPr>
          <w:rFonts w:ascii="Times New Roman" w:hAnsi="Times New Roman"/>
        </w:rPr>
        <w:t xml:space="preserve">a </w:t>
      </w:r>
      <w:r w:rsidRPr="00CB4A4D" w:rsidR="00357863">
        <w:rPr>
          <w:rFonts w:ascii="Times New Roman" w:hAnsi="Times New Roman"/>
        </w:rPr>
        <w:t>previously approved collection for which approval has expired</w:t>
      </w:r>
      <w:r w:rsidRPr="00CB4A4D">
        <w:rPr>
          <w:rFonts w:ascii="Times New Roman" w:hAnsi="Times New Roman"/>
          <w:color w:val="000000" w:themeColor="text1"/>
        </w:rPr>
        <w:t xml:space="preserve">. </w:t>
      </w:r>
      <w:r w:rsidRPr="00CB4A4D" w:rsidR="00BD73C6">
        <w:rPr>
          <w:rFonts w:ascii="Times New Roman" w:hAnsi="Times New Roman"/>
          <w:color w:val="000000" w:themeColor="text1"/>
        </w:rPr>
        <w:t xml:space="preserve"> </w:t>
      </w:r>
      <w:r w:rsidR="00F304FB">
        <w:rPr>
          <w:rFonts w:ascii="Times New Roman" w:hAnsi="Times New Roman"/>
          <w:color w:val="000000" w:themeColor="text1"/>
        </w:rPr>
        <w:t xml:space="preserve">This collection is being reinstated to move forward to discontinue.  Upon approval, </w:t>
      </w:r>
      <w:r w:rsidRPr="00CB4A4D" w:rsidR="001F68B5">
        <w:rPr>
          <w:rFonts w:ascii="Times New Roman" w:hAnsi="Times New Roman"/>
        </w:rPr>
        <w:t xml:space="preserve">HUD </w:t>
      </w:r>
      <w:r w:rsidR="00F304FB">
        <w:rPr>
          <w:rFonts w:ascii="Times New Roman" w:hAnsi="Times New Roman"/>
        </w:rPr>
        <w:t xml:space="preserve">intends to </w:t>
      </w:r>
      <w:r w:rsidRPr="00CB4A4D" w:rsidR="005714AE">
        <w:rPr>
          <w:rFonts w:ascii="Times New Roman" w:hAnsi="Times New Roman"/>
        </w:rPr>
        <w:t>move the HUD-92417 to another collection</w:t>
      </w:r>
      <w:r w:rsidR="00F304FB">
        <w:rPr>
          <w:rFonts w:ascii="Times New Roman" w:hAnsi="Times New Roman"/>
        </w:rPr>
        <w:t>,</w:t>
      </w:r>
      <w:r w:rsidRPr="00CB4A4D" w:rsidR="00200BFE">
        <w:rPr>
          <w:rFonts w:ascii="Times New Roman" w:hAnsi="Times New Roman"/>
        </w:rPr>
        <w:t xml:space="preserve"> 2502-0029 and </w:t>
      </w:r>
      <w:r w:rsidR="00F304FB">
        <w:rPr>
          <w:rFonts w:ascii="Times New Roman" w:hAnsi="Times New Roman"/>
        </w:rPr>
        <w:t xml:space="preserve">plan to </w:t>
      </w:r>
      <w:r w:rsidRPr="00CB4A4D" w:rsidR="00200BFE">
        <w:rPr>
          <w:rFonts w:ascii="Times New Roman" w:hAnsi="Times New Roman"/>
        </w:rPr>
        <w:t>discontinue 2502-0001.</w:t>
      </w:r>
    </w:p>
    <w:p w:rsidR="004873EB" w:rsidRPr="00CB4A4D" w:rsidP="00FA2F70" w14:paraId="35D8F0AB" w14:textId="77777777">
      <w:pPr>
        <w:spacing w:after="0" w:line="240" w:lineRule="auto"/>
        <w:rPr>
          <w:rFonts w:ascii="Times New Roman" w:hAnsi="Times New Roman"/>
          <w:color w:val="000000" w:themeColor="text1"/>
        </w:rPr>
      </w:pPr>
    </w:p>
    <w:p w:rsidR="00FA2F70" w:rsidRPr="00CB4A4D" w:rsidP="00FA2F70" w14:paraId="5E959355"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 </w:t>
      </w:r>
    </w:p>
    <w:tbl>
      <w:tblPr>
        <w:tblW w:w="0" w:type="auto"/>
        <w:tblInd w:w="108" w:type="dxa"/>
        <w:tblLook w:val="04A0"/>
      </w:tblPr>
      <w:tblGrid>
        <w:gridCol w:w="9252"/>
      </w:tblGrid>
      <w:tr w14:paraId="559D202B" w14:textId="77777777" w:rsidTr="00D35DDB">
        <w:tblPrEx>
          <w:tblW w:w="0" w:type="auto"/>
          <w:tblInd w:w="108" w:type="dxa"/>
          <w:tblLook w:val="04A0"/>
        </w:tblPrEx>
        <w:tc>
          <w:tcPr>
            <w:tcW w:w="9360" w:type="dxa"/>
            <w:shd w:val="clear" w:color="auto" w:fill="auto"/>
          </w:tcPr>
          <w:p w:rsidR="0021340A" w:rsidRPr="00CB4A4D" w:rsidP="001B4FB5" w14:paraId="2B41FB19" w14:textId="77777777">
            <w:pPr>
              <w:spacing w:after="0" w:line="240" w:lineRule="auto"/>
              <w:rPr>
                <w:rFonts w:ascii="Times New Roman" w:hAnsi="Times New Roman"/>
                <w:b/>
                <w:color w:val="000000" w:themeColor="text1"/>
              </w:rPr>
            </w:pPr>
            <w:r w:rsidRPr="00CB4A4D">
              <w:rPr>
                <w:rFonts w:ascii="Times New Roman" w:hAnsi="Times New Roman"/>
                <w:b/>
                <w:color w:val="000000" w:themeColor="text1"/>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21340A" w:rsidRPr="00CB4A4D" w:rsidP="001B4FB5" w14:paraId="1D4AB20B" w14:textId="77777777">
            <w:pPr>
              <w:spacing w:after="0" w:line="240" w:lineRule="auto"/>
              <w:rPr>
                <w:rFonts w:ascii="Times New Roman" w:hAnsi="Times New Roman"/>
                <w:b/>
                <w:color w:val="000000" w:themeColor="text1"/>
              </w:rPr>
            </w:pPr>
          </w:p>
        </w:tc>
      </w:tr>
      <w:tr w14:paraId="694C0800" w14:textId="77777777" w:rsidTr="00D35DDB">
        <w:tblPrEx>
          <w:tblW w:w="0" w:type="auto"/>
          <w:tblInd w:w="108" w:type="dxa"/>
          <w:tblLook w:val="04A0"/>
        </w:tblPrEx>
        <w:tc>
          <w:tcPr>
            <w:tcW w:w="9360" w:type="dxa"/>
            <w:shd w:val="clear" w:color="auto" w:fill="auto"/>
          </w:tcPr>
          <w:p w:rsidR="0021340A" w:rsidRPr="00CB4A4D" w:rsidP="001B4FB5" w14:paraId="07E7F91A" w14:textId="77777777">
            <w:pPr>
              <w:spacing w:after="0" w:line="240" w:lineRule="auto"/>
              <w:rPr>
                <w:rFonts w:ascii="Times New Roman" w:hAnsi="Times New Roman"/>
                <w:bCs/>
                <w:color w:val="000000" w:themeColor="text1"/>
              </w:rPr>
            </w:pPr>
            <w:r w:rsidRPr="00CB4A4D">
              <w:rPr>
                <w:rFonts w:ascii="Times New Roman" w:hAnsi="Times New Roman"/>
                <w:bCs/>
                <w:color w:val="000000" w:themeColor="text1"/>
              </w:rPr>
              <w:t xml:space="preserve">Collection of this information will not be published.  Each form will be maintained with the HUD Program Office in individual case files.  </w:t>
            </w:r>
          </w:p>
        </w:tc>
      </w:tr>
    </w:tbl>
    <w:p w:rsidR="00FA2F70" w:rsidRPr="00CB4A4D" w:rsidP="00FA2F70" w14:paraId="24DBD2A0" w14:textId="77777777">
      <w:pPr>
        <w:spacing w:after="0" w:line="240" w:lineRule="auto"/>
        <w:rPr>
          <w:rFonts w:ascii="Times New Roman" w:hAnsi="Times New Roman"/>
          <w:b/>
          <w:color w:val="000000" w:themeColor="text1"/>
        </w:rPr>
      </w:pPr>
    </w:p>
    <w:tbl>
      <w:tblPr>
        <w:tblW w:w="0" w:type="auto"/>
        <w:tblInd w:w="108" w:type="dxa"/>
        <w:tblLook w:val="04A0"/>
      </w:tblPr>
      <w:tblGrid>
        <w:gridCol w:w="9252"/>
      </w:tblGrid>
      <w:tr w14:paraId="78E32A37" w14:textId="77777777" w:rsidTr="00D35DDB">
        <w:tblPrEx>
          <w:tblW w:w="0" w:type="auto"/>
          <w:tblInd w:w="108" w:type="dxa"/>
          <w:tblLook w:val="04A0"/>
        </w:tblPrEx>
        <w:tc>
          <w:tcPr>
            <w:tcW w:w="9360" w:type="dxa"/>
            <w:shd w:val="clear" w:color="auto" w:fill="auto"/>
          </w:tcPr>
          <w:p w:rsidR="0021340A" w:rsidRPr="00CB4A4D" w:rsidP="001B4FB5" w14:paraId="202C09D0" w14:textId="77777777">
            <w:pPr>
              <w:spacing w:after="0" w:line="240" w:lineRule="auto"/>
              <w:rPr>
                <w:rFonts w:ascii="Times New Roman" w:hAnsi="Times New Roman"/>
                <w:b/>
                <w:color w:val="000000" w:themeColor="text1"/>
              </w:rPr>
            </w:pPr>
            <w:r w:rsidRPr="00CB4A4D">
              <w:rPr>
                <w:rFonts w:ascii="Times New Roman" w:hAnsi="Times New Roman"/>
                <w:b/>
                <w:color w:val="000000" w:themeColor="text1"/>
              </w:rPr>
              <w:t xml:space="preserve">17. If seeking approval to not display the expiration date for OMB approval of the information collection, explain the reasons that display would be inappropriate. </w:t>
            </w:r>
          </w:p>
          <w:p w:rsidR="0021340A" w:rsidRPr="00CB4A4D" w:rsidP="001B4FB5" w14:paraId="54812131"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HUD is not seeking approval to avoid displaying the OMB expiration date. </w:t>
            </w:r>
            <w:r w:rsidRPr="00CB4A4D" w:rsidR="00BD73C6">
              <w:rPr>
                <w:rFonts w:ascii="Times New Roman" w:hAnsi="Times New Roman"/>
                <w:color w:val="000000" w:themeColor="text1"/>
              </w:rPr>
              <w:t xml:space="preserve"> </w:t>
            </w:r>
          </w:p>
        </w:tc>
      </w:tr>
      <w:tr w14:paraId="0FC4D82B" w14:textId="77777777" w:rsidTr="00D35DDB">
        <w:tblPrEx>
          <w:tblW w:w="0" w:type="auto"/>
          <w:tblInd w:w="108" w:type="dxa"/>
          <w:tblLook w:val="04A0"/>
        </w:tblPrEx>
        <w:tc>
          <w:tcPr>
            <w:tcW w:w="9360" w:type="dxa"/>
            <w:shd w:val="clear" w:color="auto" w:fill="auto"/>
          </w:tcPr>
          <w:p w:rsidR="0021340A" w:rsidRPr="00CB4A4D" w:rsidP="001B4FB5" w14:paraId="3DD782E1" w14:textId="77777777">
            <w:pPr>
              <w:spacing w:after="0" w:line="240" w:lineRule="auto"/>
              <w:rPr>
                <w:rFonts w:ascii="Times New Roman" w:hAnsi="Times New Roman"/>
                <w:color w:val="000000" w:themeColor="text1"/>
              </w:rPr>
            </w:pPr>
          </w:p>
        </w:tc>
      </w:tr>
    </w:tbl>
    <w:p w:rsidR="00FA2F70" w:rsidRPr="00CB4A4D" w:rsidP="00FA2F70" w14:paraId="0DA5A8B7"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  </w:t>
      </w:r>
    </w:p>
    <w:tbl>
      <w:tblPr>
        <w:tblW w:w="0" w:type="auto"/>
        <w:tblInd w:w="108" w:type="dxa"/>
        <w:tblLook w:val="04A0"/>
      </w:tblPr>
      <w:tblGrid>
        <w:gridCol w:w="9252"/>
      </w:tblGrid>
      <w:tr w14:paraId="23F46485" w14:textId="77777777" w:rsidTr="00D35DDB">
        <w:tblPrEx>
          <w:tblW w:w="0" w:type="auto"/>
          <w:tblInd w:w="108" w:type="dxa"/>
          <w:tblLook w:val="04A0"/>
        </w:tblPrEx>
        <w:tc>
          <w:tcPr>
            <w:tcW w:w="9360" w:type="dxa"/>
            <w:shd w:val="clear" w:color="auto" w:fill="auto"/>
          </w:tcPr>
          <w:p w:rsidR="0021340A" w:rsidRPr="00CB4A4D" w:rsidP="001B4FB5" w14:paraId="274625B6" w14:textId="77777777">
            <w:pPr>
              <w:spacing w:after="0" w:line="240" w:lineRule="auto"/>
              <w:rPr>
                <w:rFonts w:ascii="Times New Roman" w:hAnsi="Times New Roman"/>
                <w:b/>
                <w:color w:val="000000" w:themeColor="text1"/>
              </w:rPr>
            </w:pPr>
            <w:r w:rsidRPr="00CB4A4D">
              <w:rPr>
                <w:rFonts w:ascii="Times New Roman" w:hAnsi="Times New Roman"/>
                <w:b/>
                <w:color w:val="000000" w:themeColor="text1"/>
              </w:rPr>
              <w:t xml:space="preserve">18. Explain each exception to the certification statement identified in Item 19, "Certification for Paperwork Reduction Act Submissions," of OMB Form 83-I. </w:t>
            </w:r>
          </w:p>
          <w:p w:rsidR="0021340A" w:rsidRPr="00CB4A4D" w:rsidP="001B4FB5" w14:paraId="4921778E" w14:textId="77777777">
            <w:pPr>
              <w:spacing w:after="0" w:line="240" w:lineRule="auto"/>
              <w:rPr>
                <w:rFonts w:ascii="Times New Roman" w:hAnsi="Times New Roman"/>
                <w:bCs/>
                <w:color w:val="000000" w:themeColor="text1"/>
              </w:rPr>
            </w:pPr>
            <w:r w:rsidRPr="00CB4A4D">
              <w:rPr>
                <w:rFonts w:ascii="Times New Roman" w:hAnsi="Times New Roman"/>
                <w:bCs/>
                <w:color w:val="000000" w:themeColor="text1"/>
              </w:rPr>
              <w:t>There are no exceptions to the “Certification for Paperwork Reduction Act Submission”, item 19 of the OMB 83-I.</w:t>
            </w:r>
          </w:p>
        </w:tc>
      </w:tr>
      <w:tr w14:paraId="14F543A7" w14:textId="77777777" w:rsidTr="00D35DDB">
        <w:tblPrEx>
          <w:tblW w:w="0" w:type="auto"/>
          <w:tblInd w:w="108" w:type="dxa"/>
          <w:tblLook w:val="04A0"/>
        </w:tblPrEx>
        <w:tc>
          <w:tcPr>
            <w:tcW w:w="9360" w:type="dxa"/>
            <w:shd w:val="clear" w:color="auto" w:fill="auto"/>
          </w:tcPr>
          <w:p w:rsidR="0021340A" w:rsidRPr="00CB4A4D" w:rsidP="001B4FB5" w14:paraId="71C1054D" w14:textId="77777777">
            <w:pPr>
              <w:spacing w:after="0" w:line="240" w:lineRule="auto"/>
              <w:rPr>
                <w:rFonts w:ascii="Times New Roman" w:hAnsi="Times New Roman"/>
                <w:b/>
                <w:color w:val="000000" w:themeColor="text1"/>
              </w:rPr>
            </w:pPr>
          </w:p>
        </w:tc>
      </w:tr>
    </w:tbl>
    <w:p w:rsidR="00075224" w:rsidRPr="00CB4A4D" w:rsidP="00FA2F70" w14:paraId="203107B4" w14:textId="77777777">
      <w:pPr>
        <w:spacing w:after="0" w:line="240" w:lineRule="auto"/>
        <w:rPr>
          <w:rFonts w:ascii="Times New Roman" w:hAnsi="Times New Roman"/>
          <w:color w:val="000000" w:themeColor="text1"/>
        </w:rPr>
      </w:pPr>
    </w:p>
    <w:p w:rsidR="00FA2F70" w:rsidRPr="00CB4A4D" w:rsidP="00FA2F70" w14:paraId="14015A69" w14:textId="77777777">
      <w:pPr>
        <w:spacing w:after="0" w:line="240" w:lineRule="auto"/>
        <w:rPr>
          <w:rFonts w:ascii="Times New Roman" w:hAnsi="Times New Roman"/>
          <w:color w:val="000000" w:themeColor="text1"/>
        </w:rPr>
      </w:pPr>
    </w:p>
    <w:p w:rsidR="00075224" w:rsidRPr="00CB4A4D" w:rsidP="00FA2F70" w14:paraId="12F635B4" w14:textId="77777777">
      <w:pPr>
        <w:spacing w:after="0" w:line="240" w:lineRule="auto"/>
        <w:rPr>
          <w:rFonts w:ascii="Times New Roman" w:hAnsi="Times New Roman"/>
          <w:b/>
          <w:bCs/>
          <w:color w:val="000000" w:themeColor="text1"/>
        </w:rPr>
      </w:pPr>
      <w:r w:rsidRPr="00CB4A4D">
        <w:rPr>
          <w:rFonts w:ascii="Times New Roman" w:hAnsi="Times New Roman"/>
          <w:b/>
          <w:bCs/>
          <w:color w:val="000000" w:themeColor="text1"/>
        </w:rPr>
        <w:t xml:space="preserve">B. Collections of Information Employing Statistical Methods </w:t>
      </w:r>
    </w:p>
    <w:p w:rsidR="00FA2F70" w:rsidRPr="00CB4A4D" w:rsidP="00FA2F70" w14:paraId="0A76FFC7" w14:textId="77777777">
      <w:pPr>
        <w:spacing w:after="0" w:line="240" w:lineRule="auto"/>
        <w:rPr>
          <w:rFonts w:ascii="Times New Roman" w:hAnsi="Times New Roman"/>
          <w:color w:val="000000" w:themeColor="text1"/>
        </w:rPr>
      </w:pPr>
    </w:p>
    <w:p w:rsidR="00075224" w:rsidRPr="00CB4A4D" w:rsidP="00FA2F70" w14:paraId="123F306A"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 </w:t>
      </w:r>
    </w:p>
    <w:p w:rsidR="00FA2F70" w:rsidRPr="00CB4A4D" w:rsidP="00FA2F70" w14:paraId="1D31120D" w14:textId="77777777">
      <w:pPr>
        <w:spacing w:after="0" w:line="240" w:lineRule="auto"/>
        <w:rPr>
          <w:rFonts w:ascii="Times New Roman" w:hAnsi="Times New Roman"/>
          <w:color w:val="000000" w:themeColor="text1"/>
        </w:rPr>
      </w:pPr>
    </w:p>
    <w:p w:rsidR="00075224" w:rsidRPr="00CB4A4D" w:rsidP="00FA2F70" w14:paraId="7E8E3165"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FA2F70" w:rsidRPr="00CB4A4D" w:rsidP="00FA2F70" w14:paraId="3009E422" w14:textId="77777777">
      <w:pPr>
        <w:spacing w:after="0" w:line="240" w:lineRule="auto"/>
        <w:rPr>
          <w:rFonts w:ascii="Times New Roman" w:hAnsi="Times New Roman"/>
          <w:color w:val="000000" w:themeColor="text1"/>
        </w:rPr>
      </w:pPr>
    </w:p>
    <w:p w:rsidR="00075224" w:rsidRPr="00CB4A4D" w:rsidP="00FA2F70" w14:paraId="0681AA52"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2. Describe the procedures for the collection of information including: </w:t>
      </w:r>
    </w:p>
    <w:p w:rsidR="00075224" w:rsidRPr="00CB4A4D" w:rsidP="00FA2F70" w14:paraId="376FC795"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 Statistical methodology for stratification and sample selection, </w:t>
      </w:r>
    </w:p>
    <w:p w:rsidR="00075224" w:rsidRPr="00CB4A4D" w:rsidP="00FA2F70" w14:paraId="56487705"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 Estimation procedure, </w:t>
      </w:r>
    </w:p>
    <w:p w:rsidR="00075224" w:rsidRPr="00CB4A4D" w:rsidP="00FA2F70" w14:paraId="350AD721"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 Degree of accuracy needed for the purpose described in the justification, </w:t>
      </w:r>
    </w:p>
    <w:p w:rsidR="00075224" w:rsidRPr="00CB4A4D" w:rsidP="00FA2F70" w14:paraId="7BEBDE6F"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 Unusual problems requiring specialized sampling procedures, and </w:t>
      </w:r>
    </w:p>
    <w:p w:rsidR="00075224" w:rsidRPr="00CB4A4D" w:rsidP="00FA2F70" w14:paraId="22C1332D"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 Any use of periodic (less frequent than annual) data collection cycles to reduce burden. </w:t>
      </w:r>
    </w:p>
    <w:p w:rsidR="00FA2F70" w:rsidRPr="00CB4A4D" w:rsidP="00FA2F70" w14:paraId="68D4F9B8" w14:textId="77777777">
      <w:pPr>
        <w:spacing w:after="0" w:line="240" w:lineRule="auto"/>
        <w:rPr>
          <w:rFonts w:ascii="Times New Roman" w:hAnsi="Times New Roman"/>
          <w:color w:val="000000" w:themeColor="text1"/>
        </w:rPr>
      </w:pPr>
    </w:p>
    <w:p w:rsidR="00075224" w:rsidRPr="00CB4A4D" w:rsidP="00FA2F70" w14:paraId="4D7D06C6"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FA2F70" w:rsidRPr="00CB4A4D" w:rsidP="00FA2F70" w14:paraId="5079A83B" w14:textId="77777777">
      <w:pPr>
        <w:spacing w:after="0" w:line="240" w:lineRule="auto"/>
        <w:rPr>
          <w:rFonts w:ascii="Times New Roman" w:hAnsi="Times New Roman"/>
          <w:color w:val="000000" w:themeColor="text1"/>
        </w:rPr>
      </w:pPr>
    </w:p>
    <w:p w:rsidR="00075224" w:rsidRPr="00CB4A4D" w:rsidP="00FA2F70" w14:paraId="6637B227"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 </w:t>
      </w:r>
    </w:p>
    <w:p w:rsidR="00FA2F70" w:rsidRPr="00CB4A4D" w:rsidP="00FA2F70" w14:paraId="01BA7064" w14:textId="77777777">
      <w:pPr>
        <w:spacing w:after="0" w:line="240" w:lineRule="auto"/>
        <w:rPr>
          <w:rFonts w:ascii="Times New Roman" w:hAnsi="Times New Roman"/>
          <w:color w:val="000000" w:themeColor="text1"/>
        </w:rPr>
      </w:pPr>
    </w:p>
    <w:p w:rsidR="00075224" w:rsidRPr="00CB4A4D" w:rsidP="00FA2F70" w14:paraId="68766738" w14:textId="77777777">
      <w:pPr>
        <w:spacing w:after="0" w:line="240" w:lineRule="auto"/>
        <w:rPr>
          <w:rFonts w:ascii="Times New Roman" w:hAnsi="Times New Roman"/>
          <w:color w:val="000000" w:themeColor="text1"/>
        </w:rPr>
      </w:pPr>
      <w:r w:rsidRPr="00CB4A4D">
        <w:rPr>
          <w:rFonts w:ascii="Times New Roman" w:hAnsi="Times New Roman"/>
          <w:color w:val="000000" w:themeColor="text1"/>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rsidR="0066398E" w:rsidRPr="00CB4A4D" w:rsidP="00FA2F70" w14:paraId="2162C6B6" w14:textId="77777777">
      <w:pPr>
        <w:spacing w:after="0" w:line="240" w:lineRule="auto"/>
        <w:rPr>
          <w:rFonts w:ascii="Times New Roman" w:hAnsi="Times New Roman"/>
          <w:color w:val="000000" w:themeColor="text1"/>
        </w:rPr>
      </w:pPr>
    </w:p>
    <w:p w:rsidR="00BE0459" w:rsidRPr="00CB4A4D" w:rsidP="00FA2F70" w14:paraId="56038731" w14:textId="1955A3A1">
      <w:pPr>
        <w:spacing w:after="0" w:line="240" w:lineRule="auto"/>
        <w:rPr>
          <w:rFonts w:ascii="Times New Roman" w:hAnsi="Times New Roman"/>
          <w:color w:val="000000" w:themeColor="text1"/>
        </w:rPr>
      </w:pPr>
      <w:r w:rsidRPr="00CB4A4D">
        <w:rPr>
          <w:rFonts w:ascii="Times New Roman" w:hAnsi="Times New Roman"/>
          <w:color w:val="000000" w:themeColor="text1"/>
        </w:rPr>
        <w:t>HUD Response: No Statistical Methods.</w:t>
      </w:r>
    </w:p>
    <w:sectPr w:rsidSect="00075224">
      <w:footerReference w:type="even" r:id="rId8"/>
      <w:footerReference w:type="default" r:id="rId9"/>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16B41FDF"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Pr>
        <w:rStyle w:val="PageNumber"/>
      </w:rPr>
      <w:fldChar w:fldCharType="end"/>
    </w:r>
  </w:p>
  <w:p w:rsidR="0066398E" w14:paraId="17377E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54FE74B4"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1431A7">
      <w:rPr>
        <w:rStyle w:val="PageNumber"/>
        <w:noProof/>
      </w:rPr>
      <w:t>3</w:t>
    </w:r>
    <w:r>
      <w:rPr>
        <w:rStyle w:val="PageNumber"/>
      </w:rPr>
      <w:fldChar w:fldCharType="end"/>
    </w:r>
  </w:p>
  <w:p w:rsidR="0066398E" w:rsidP="00EA4BDD" w14:paraId="40D00983" w14:textId="77777777">
    <w:pPr>
      <w:pStyle w:val="Footer"/>
      <w:pBdr>
        <w:top w:val="single" w:sz="6" w:space="3" w:color="auto"/>
      </w:pBdr>
      <w:tabs>
        <w:tab w:val="clear" w:pos="4320"/>
        <w:tab w:val="left" w:pos="8640"/>
        <w:tab w:val="right" w:pos="10920"/>
      </w:tabs>
      <w:ind w:left="-12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47883"/>
    <w:multiLevelType w:val="multilevel"/>
    <w:tmpl w:val="E1005CC0"/>
    <w:lvl w:ilvl="0">
      <w:start w:val="1"/>
      <w:numFmt w:val="decimal"/>
      <w:lvlText w:val="%1."/>
      <w:lvlJc w:val="left"/>
      <w:pPr>
        <w:tabs>
          <w:tab w:val="num" w:pos="450"/>
        </w:tabs>
        <w:ind w:left="450" w:hanging="360"/>
      </w:pPr>
      <w:rPr>
        <w:rFonts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13402662"/>
    <w:multiLevelType w:val="hybridMultilevel"/>
    <w:tmpl w:val="B4C0BCA0"/>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440"/>
        </w:tabs>
        <w:ind w:left="1440" w:hanging="360"/>
      </w:pPr>
    </w:lvl>
    <w:lvl w:ilvl="2">
      <w:start w:val="17"/>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8C20FED"/>
    <w:multiLevelType w:val="multilevel"/>
    <w:tmpl w:val="E1005CC0"/>
    <w:lvl w:ilvl="0">
      <w:start w:val="1"/>
      <w:numFmt w:val="decimal"/>
      <w:lvlText w:val="%1."/>
      <w:lvlJc w:val="left"/>
      <w:pPr>
        <w:tabs>
          <w:tab w:val="num" w:pos="450"/>
        </w:tabs>
        <w:ind w:left="450" w:hanging="360"/>
      </w:pPr>
      <w:rPr>
        <w:rFonts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5">
    <w:nsid w:val="25486F99"/>
    <w:multiLevelType w:val="multilevel"/>
    <w:tmpl w:val="E1005CC0"/>
    <w:lvl w:ilvl="0">
      <w:start w:val="1"/>
      <w:numFmt w:val="decimal"/>
      <w:lvlText w:val="%1."/>
      <w:lvlJc w:val="left"/>
      <w:pPr>
        <w:tabs>
          <w:tab w:val="num" w:pos="450"/>
        </w:tabs>
        <w:ind w:left="450" w:hanging="360"/>
      </w:pPr>
      <w:rPr>
        <w:rFonts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6">
    <w:nsid w:val="294919CD"/>
    <w:multiLevelType w:val="hybridMultilevel"/>
    <w:tmpl w:val="BB6C927E"/>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7DC272A"/>
    <w:multiLevelType w:val="hybridMultilevel"/>
    <w:tmpl w:val="E88AB4A2"/>
    <w:lvl w:ilvl="0">
      <w:start w:val="10"/>
      <w:numFmt w:val="upperLetter"/>
      <w:lvlText w:val="%1."/>
      <w:lvlJc w:val="left"/>
      <w:pPr>
        <w:ind w:left="1080" w:hanging="360"/>
      </w:pPr>
      <w:rPr>
        <w:rFonts w:hint="default"/>
        <w:b/>
        <w:color w:val="auto"/>
        <w:u w:val="single"/>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DA81E59"/>
    <w:multiLevelType w:val="hybridMultilevel"/>
    <w:tmpl w:val="CFFCB556"/>
    <w:lvl w:ilvl="0">
      <w:start w:val="13"/>
      <w:numFmt w:val="decimal"/>
      <w:lvlText w:val="%1."/>
      <w:lvlJc w:val="left"/>
      <w:pPr>
        <w:tabs>
          <w:tab w:val="num" w:pos="360"/>
        </w:tabs>
        <w:ind w:left="360" w:hanging="360"/>
      </w:pPr>
      <w:rPr>
        <w:rFonts w:hint="default"/>
        <w:b w:val="0"/>
        <w:i w:val="0"/>
      </w:rPr>
    </w:lvl>
    <w:lvl w:ilvl="1">
      <w:start w:val="15"/>
      <w:numFmt w:val="decimal"/>
      <w:lvlText w:val="%2."/>
      <w:lvlJc w:val="left"/>
      <w:pPr>
        <w:tabs>
          <w:tab w:val="num" w:pos="1440"/>
        </w:tabs>
        <w:ind w:left="1440" w:hanging="360"/>
      </w:pPr>
      <w:rPr>
        <w:rFonts w:ascii="Times New Roman" w:hAnsi="Times New Roman" w:hint="default"/>
        <w:b w:val="0"/>
        <w:i w:val="0"/>
        <w:sz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AFC5749"/>
    <w:multiLevelType w:val="singleLevel"/>
    <w:tmpl w:val="A62684E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0">
    <w:nsid w:val="6E1D0BBB"/>
    <w:multiLevelType w:val="hybridMultilevel"/>
    <w:tmpl w:val="920A1A88"/>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011377755">
    <w:abstractNumId w:val="2"/>
  </w:num>
  <w:num w:numId="2" w16cid:durableId="91586467">
    <w:abstractNumId w:val="13"/>
  </w:num>
  <w:num w:numId="3" w16cid:durableId="918977715">
    <w:abstractNumId w:val="1"/>
  </w:num>
  <w:num w:numId="4" w16cid:durableId="497698823">
    <w:abstractNumId w:val="12"/>
  </w:num>
  <w:num w:numId="5" w16cid:durableId="154423271">
    <w:abstractNumId w:val="11"/>
  </w:num>
  <w:num w:numId="6" w16cid:durableId="1111050726">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67115709">
    <w:abstractNumId w:val="0"/>
  </w:num>
  <w:num w:numId="8" w16cid:durableId="1667974704">
    <w:abstractNumId w:val="3"/>
  </w:num>
  <w:num w:numId="9" w16cid:durableId="831604684">
    <w:abstractNumId w:val="10"/>
  </w:num>
  <w:num w:numId="10" w16cid:durableId="2002344276">
    <w:abstractNumId w:val="8"/>
  </w:num>
  <w:num w:numId="11" w16cid:durableId="159194987">
    <w:abstractNumId w:val="6"/>
  </w:num>
  <w:num w:numId="12" w16cid:durableId="1913588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4932538">
    <w:abstractNumId w:val="4"/>
  </w:num>
  <w:num w:numId="14" w16cid:durableId="1775246497">
    <w:abstractNumId w:val="5"/>
  </w:num>
  <w:num w:numId="15" w16cid:durableId="186023886">
    <w:abstractNumId w:val="7"/>
  </w:num>
  <w:num w:numId="16" w16cid:durableId="2684373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1F00"/>
    <w:rsid w:val="0002453F"/>
    <w:rsid w:val="000301EA"/>
    <w:rsid w:val="00043457"/>
    <w:rsid w:val="00053B8F"/>
    <w:rsid w:val="00075224"/>
    <w:rsid w:val="000A4273"/>
    <w:rsid w:val="000B4874"/>
    <w:rsid w:val="000C62BB"/>
    <w:rsid w:val="000C67D5"/>
    <w:rsid w:val="000D7FD0"/>
    <w:rsid w:val="00110DC4"/>
    <w:rsid w:val="00115B9A"/>
    <w:rsid w:val="00123347"/>
    <w:rsid w:val="00131914"/>
    <w:rsid w:val="001431A7"/>
    <w:rsid w:val="0015188A"/>
    <w:rsid w:val="00163A36"/>
    <w:rsid w:val="00164BAE"/>
    <w:rsid w:val="00167FD2"/>
    <w:rsid w:val="00174045"/>
    <w:rsid w:val="001B4FB5"/>
    <w:rsid w:val="001C6560"/>
    <w:rsid w:val="001D76F4"/>
    <w:rsid w:val="001E70FC"/>
    <w:rsid w:val="001F5ECF"/>
    <w:rsid w:val="001F68B5"/>
    <w:rsid w:val="0020005A"/>
    <w:rsid w:val="00200BFE"/>
    <w:rsid w:val="00210AC3"/>
    <w:rsid w:val="0021340A"/>
    <w:rsid w:val="00234A16"/>
    <w:rsid w:val="00237F99"/>
    <w:rsid w:val="00246C9E"/>
    <w:rsid w:val="0026043B"/>
    <w:rsid w:val="00276A7E"/>
    <w:rsid w:val="0029110D"/>
    <w:rsid w:val="00296DF2"/>
    <w:rsid w:val="002A2EE4"/>
    <w:rsid w:val="002B56E9"/>
    <w:rsid w:val="002C793B"/>
    <w:rsid w:val="002E59B4"/>
    <w:rsid w:val="00317AA3"/>
    <w:rsid w:val="00320358"/>
    <w:rsid w:val="00332783"/>
    <w:rsid w:val="00345F8D"/>
    <w:rsid w:val="00357863"/>
    <w:rsid w:val="00397DF1"/>
    <w:rsid w:val="003B5A87"/>
    <w:rsid w:val="003B7F3D"/>
    <w:rsid w:val="003C400F"/>
    <w:rsid w:val="003D3048"/>
    <w:rsid w:val="003F4ADD"/>
    <w:rsid w:val="003F4D24"/>
    <w:rsid w:val="00413641"/>
    <w:rsid w:val="0045315C"/>
    <w:rsid w:val="004773F6"/>
    <w:rsid w:val="00485119"/>
    <w:rsid w:val="004873EB"/>
    <w:rsid w:val="004939BF"/>
    <w:rsid w:val="00496EAB"/>
    <w:rsid w:val="004B72A7"/>
    <w:rsid w:val="004C478E"/>
    <w:rsid w:val="004D0297"/>
    <w:rsid w:val="004D0A64"/>
    <w:rsid w:val="004D3B6C"/>
    <w:rsid w:val="0050120C"/>
    <w:rsid w:val="005102F5"/>
    <w:rsid w:val="00525C20"/>
    <w:rsid w:val="00560E48"/>
    <w:rsid w:val="005714AE"/>
    <w:rsid w:val="005A6EB8"/>
    <w:rsid w:val="005D21A4"/>
    <w:rsid w:val="005F6B79"/>
    <w:rsid w:val="005F703B"/>
    <w:rsid w:val="00613F91"/>
    <w:rsid w:val="00636024"/>
    <w:rsid w:val="006373F1"/>
    <w:rsid w:val="0066398E"/>
    <w:rsid w:val="00666CF0"/>
    <w:rsid w:val="006717F4"/>
    <w:rsid w:val="006A21D9"/>
    <w:rsid w:val="006F475C"/>
    <w:rsid w:val="00711F61"/>
    <w:rsid w:val="00741B05"/>
    <w:rsid w:val="007450FC"/>
    <w:rsid w:val="0074699B"/>
    <w:rsid w:val="0075410C"/>
    <w:rsid w:val="00760CC6"/>
    <w:rsid w:val="00785442"/>
    <w:rsid w:val="007876EC"/>
    <w:rsid w:val="00797FB9"/>
    <w:rsid w:val="007A11B8"/>
    <w:rsid w:val="007B3C8D"/>
    <w:rsid w:val="007C28E2"/>
    <w:rsid w:val="007D7491"/>
    <w:rsid w:val="007F6BEC"/>
    <w:rsid w:val="00801284"/>
    <w:rsid w:val="00807A65"/>
    <w:rsid w:val="00807BB8"/>
    <w:rsid w:val="00825C55"/>
    <w:rsid w:val="00866EEF"/>
    <w:rsid w:val="00885220"/>
    <w:rsid w:val="008A23C7"/>
    <w:rsid w:val="008D4EC9"/>
    <w:rsid w:val="008F6F99"/>
    <w:rsid w:val="00903170"/>
    <w:rsid w:val="00922458"/>
    <w:rsid w:val="00934001"/>
    <w:rsid w:val="009419D6"/>
    <w:rsid w:val="00945C6A"/>
    <w:rsid w:val="00952F92"/>
    <w:rsid w:val="00980105"/>
    <w:rsid w:val="009814CB"/>
    <w:rsid w:val="00982371"/>
    <w:rsid w:val="00982B31"/>
    <w:rsid w:val="009A1068"/>
    <w:rsid w:val="009A2284"/>
    <w:rsid w:val="009A2F7E"/>
    <w:rsid w:val="009A3A5E"/>
    <w:rsid w:val="009B0365"/>
    <w:rsid w:val="009B6ABF"/>
    <w:rsid w:val="009C049E"/>
    <w:rsid w:val="009D3193"/>
    <w:rsid w:val="009E118C"/>
    <w:rsid w:val="009F4381"/>
    <w:rsid w:val="00A05ADC"/>
    <w:rsid w:val="00A33DED"/>
    <w:rsid w:val="00A352F3"/>
    <w:rsid w:val="00A6656E"/>
    <w:rsid w:val="00A72514"/>
    <w:rsid w:val="00A80199"/>
    <w:rsid w:val="00AA04EA"/>
    <w:rsid w:val="00AE2E96"/>
    <w:rsid w:val="00AE3323"/>
    <w:rsid w:val="00B004A7"/>
    <w:rsid w:val="00B106EA"/>
    <w:rsid w:val="00B175EB"/>
    <w:rsid w:val="00B1792B"/>
    <w:rsid w:val="00B41BA4"/>
    <w:rsid w:val="00B41DBA"/>
    <w:rsid w:val="00B4509A"/>
    <w:rsid w:val="00B66D93"/>
    <w:rsid w:val="00B70B2B"/>
    <w:rsid w:val="00B7253E"/>
    <w:rsid w:val="00B807E6"/>
    <w:rsid w:val="00BB17AD"/>
    <w:rsid w:val="00BC21AA"/>
    <w:rsid w:val="00BD3C43"/>
    <w:rsid w:val="00BD73C6"/>
    <w:rsid w:val="00BE0459"/>
    <w:rsid w:val="00BE0636"/>
    <w:rsid w:val="00BE7067"/>
    <w:rsid w:val="00C242E7"/>
    <w:rsid w:val="00C3730B"/>
    <w:rsid w:val="00C47DD2"/>
    <w:rsid w:val="00C63C79"/>
    <w:rsid w:val="00C734ED"/>
    <w:rsid w:val="00C80AC7"/>
    <w:rsid w:val="00CB10B8"/>
    <w:rsid w:val="00CB45ED"/>
    <w:rsid w:val="00CB4A4D"/>
    <w:rsid w:val="00CE394E"/>
    <w:rsid w:val="00D048A8"/>
    <w:rsid w:val="00D127E8"/>
    <w:rsid w:val="00D200CA"/>
    <w:rsid w:val="00D228BB"/>
    <w:rsid w:val="00D2657C"/>
    <w:rsid w:val="00D35DDB"/>
    <w:rsid w:val="00D41A71"/>
    <w:rsid w:val="00D43F44"/>
    <w:rsid w:val="00D5122F"/>
    <w:rsid w:val="00D65A13"/>
    <w:rsid w:val="00D720B2"/>
    <w:rsid w:val="00DC13B7"/>
    <w:rsid w:val="00DC1E6C"/>
    <w:rsid w:val="00DF2C79"/>
    <w:rsid w:val="00E33306"/>
    <w:rsid w:val="00E37F1B"/>
    <w:rsid w:val="00E442E6"/>
    <w:rsid w:val="00E53DE7"/>
    <w:rsid w:val="00E6366B"/>
    <w:rsid w:val="00EA4BDD"/>
    <w:rsid w:val="00EA7C8E"/>
    <w:rsid w:val="00EB0296"/>
    <w:rsid w:val="00EB0633"/>
    <w:rsid w:val="00EC60E2"/>
    <w:rsid w:val="00ED1603"/>
    <w:rsid w:val="00ED23E1"/>
    <w:rsid w:val="00ED5B45"/>
    <w:rsid w:val="00F17541"/>
    <w:rsid w:val="00F235A0"/>
    <w:rsid w:val="00F304FB"/>
    <w:rsid w:val="00F5411E"/>
    <w:rsid w:val="00F64C15"/>
    <w:rsid w:val="00F81AC9"/>
    <w:rsid w:val="00F85593"/>
    <w:rsid w:val="00FA2F70"/>
    <w:rsid w:val="00FA4728"/>
    <w:rsid w:val="00FA5861"/>
    <w:rsid w:val="00FB31D9"/>
    <w:rsid w:val="00FB4959"/>
    <w:rsid w:val="00FC1948"/>
    <w:rsid w:val="00FC64E2"/>
    <w:rsid w:val="00FE1C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C328E7"/>
  <w15:chartTrackingRefBased/>
  <w15:docId w15:val="{65A6913D-CE49-4CAE-93C2-3DFE4673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F1B"/>
    <w:pPr>
      <w:ind w:left="720"/>
      <w:contextualSpacing/>
    </w:pPr>
    <w:rPr>
      <w:rFonts w:eastAsia="Calibri"/>
    </w:rPr>
  </w:style>
  <w:style w:type="paragraph" w:customStyle="1" w:styleId="xmsolistparagraph">
    <w:name w:val="x_msolistparagraph"/>
    <w:basedOn w:val="Normal"/>
    <w:rsid w:val="00E33306"/>
    <w:pPr>
      <w:spacing w:after="0" w:line="240" w:lineRule="auto"/>
      <w:ind w:left="720"/>
    </w:pPr>
    <w:rPr>
      <w:rFonts w:eastAsia="Calibri" w:cs="Calibri"/>
    </w:rPr>
  </w:style>
  <w:style w:type="paragraph" w:styleId="BodyTextIndent2">
    <w:name w:val="Body Text Indent 2"/>
    <w:basedOn w:val="Normal"/>
    <w:link w:val="BodyTextIndent2Char"/>
    <w:semiHidden/>
    <w:rsid w:val="0015188A"/>
    <w:pPr>
      <w:overflowPunct w:val="0"/>
      <w:autoSpaceDE w:val="0"/>
      <w:autoSpaceDN w:val="0"/>
      <w:adjustRightInd w:val="0"/>
      <w:spacing w:after="0" w:line="240" w:lineRule="auto"/>
      <w:ind w:left="360" w:hanging="360"/>
      <w:textAlignment w:val="baseline"/>
    </w:pPr>
    <w:rPr>
      <w:rFonts w:ascii="Times New Roman" w:hAnsi="Times New Roman"/>
      <w:sz w:val="24"/>
      <w:szCs w:val="20"/>
    </w:rPr>
  </w:style>
  <w:style w:type="character" w:customStyle="1" w:styleId="BodyTextIndent2Char">
    <w:name w:val="Body Text Indent 2 Char"/>
    <w:link w:val="BodyTextIndent2"/>
    <w:semiHidden/>
    <w:rsid w:val="0015188A"/>
    <w:rPr>
      <w:rFonts w:ascii="Times New Roman" w:hAnsi="Times New Roman"/>
      <w:sz w:val="24"/>
    </w:rPr>
  </w:style>
  <w:style w:type="paragraph" w:styleId="BodyTextIndent">
    <w:name w:val="Body Text Indent"/>
    <w:basedOn w:val="Normal"/>
    <w:link w:val="BodyTextIndentChar"/>
    <w:uiPriority w:val="99"/>
    <w:unhideWhenUsed/>
    <w:rsid w:val="00BE7067"/>
    <w:pPr>
      <w:spacing w:after="120"/>
      <w:ind w:left="360"/>
    </w:pPr>
  </w:style>
  <w:style w:type="character" w:customStyle="1" w:styleId="BodyTextIndentChar">
    <w:name w:val="Body Text Indent Char"/>
    <w:link w:val="BodyTextIndent"/>
    <w:uiPriority w:val="99"/>
    <w:rsid w:val="00BE7067"/>
    <w:rPr>
      <w:sz w:val="22"/>
      <w:szCs w:val="22"/>
    </w:rPr>
  </w:style>
  <w:style w:type="paragraph" w:styleId="BodyText2">
    <w:name w:val="Body Text 2"/>
    <w:basedOn w:val="Normal"/>
    <w:link w:val="BodyText2Char"/>
    <w:uiPriority w:val="99"/>
    <w:semiHidden/>
    <w:unhideWhenUsed/>
    <w:rsid w:val="007876EC"/>
    <w:pPr>
      <w:spacing w:after="120" w:line="480" w:lineRule="auto"/>
    </w:pPr>
  </w:style>
  <w:style w:type="character" w:customStyle="1" w:styleId="BodyText2Char">
    <w:name w:val="Body Text 2 Char"/>
    <w:link w:val="BodyText2"/>
    <w:uiPriority w:val="99"/>
    <w:semiHidden/>
    <w:rsid w:val="007876E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earance xmlns="ae2a2941-2dbe-4eaa-9281-19e6e20101f1">2879</Clearanc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3532C4-9821-4FFF-999B-942B96342E57}">
  <ds:schemaRefs>
    <ds:schemaRef ds:uri="http://schemas.microsoft.com/sharepoint/v3/contenttype/forms"/>
  </ds:schemaRefs>
</ds:datastoreItem>
</file>

<file path=customXml/itemProps2.xml><?xml version="1.0" encoding="utf-8"?>
<ds:datastoreItem xmlns:ds="http://schemas.openxmlformats.org/officeDocument/2006/customXml" ds:itemID="{6A611FC6-ADFB-4A7E-8B0F-5FA62A256049}">
  <ds:schemaRefs>
    <ds:schemaRef ds:uri="http://schemas.microsoft.com/office/2006/metadata/properties"/>
    <ds:schemaRef ds:uri="http://schemas.microsoft.com/office/infopath/2007/PartnerControls"/>
    <ds:schemaRef ds:uri="ae2a2941-2dbe-4eaa-9281-19e6e20101f1"/>
  </ds:schemaRefs>
</ds:datastoreItem>
</file>

<file path=customXml/itemProps3.xml><?xml version="1.0" encoding="utf-8"?>
<ds:datastoreItem xmlns:ds="http://schemas.openxmlformats.org/officeDocument/2006/customXml" ds:itemID="{37939924-07B4-43DA-9B0B-B1E91C6C1E80}">
  <ds:schemaRefs>
    <ds:schemaRef ds:uri="http://schemas.microsoft.com/sharepoint/events"/>
  </ds:schemaRefs>
</ds:datastoreItem>
</file>

<file path=customXml/itemProps4.xml><?xml version="1.0" encoding="utf-8"?>
<ds:datastoreItem xmlns:ds="http://schemas.openxmlformats.org/officeDocument/2006/customXml" ds:itemID="{A763FD92-522E-44D2-9D02-828D295BC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3387</Words>
  <Characters>19310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Herring, Vivian M</cp:lastModifiedBy>
  <cp:revision>3</cp:revision>
  <cp:lastPrinted>2021-10-26T01:38:00Z</cp:lastPrinted>
  <dcterms:created xsi:type="dcterms:W3CDTF">2024-10-08T21:41:00Z</dcterms:created>
  <dcterms:modified xsi:type="dcterms:W3CDTF">2024-10-08T21:47:00Z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ies>
</file>