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6EF1" w:rsidP="00531BE7" w14:paraId="1DE56CBF" w14:textId="77777777">
      <w:pPr>
        <w:jc w:val="center"/>
        <w:rPr>
          <w:b/>
        </w:rPr>
      </w:pPr>
      <w:r>
        <w:rPr>
          <w:b/>
        </w:rPr>
        <w:t xml:space="preserve">    </w:t>
      </w:r>
    </w:p>
    <w:p w:rsidR="00531BE7" w:rsidP="00531BE7" w14:paraId="05899F5A" w14:textId="77777777">
      <w:pPr>
        <w:jc w:val="center"/>
        <w:rPr>
          <w:b/>
        </w:rPr>
      </w:pPr>
      <w:r w:rsidRPr="00531BE7">
        <w:rPr>
          <w:b/>
        </w:rPr>
        <w:t>SUPPORTING STATEMENT</w:t>
      </w:r>
    </w:p>
    <w:p w:rsidR="00531BE7" w:rsidP="00531BE7" w14:paraId="0BB2E982" w14:textId="77777777">
      <w:pPr>
        <w:jc w:val="center"/>
        <w:rPr>
          <w:b/>
        </w:rPr>
      </w:pPr>
    </w:p>
    <w:p w:rsidR="00531BE7" w:rsidRPr="00531BE7" w:rsidP="00531BE7" w14:paraId="69B4E156" w14:textId="77777777">
      <w:pPr>
        <w:jc w:val="center"/>
        <w:rPr>
          <w:b/>
        </w:rPr>
      </w:pPr>
    </w:p>
    <w:p w:rsidR="00687F9E" w:rsidRPr="00E67EA5" w:rsidP="00687F9E" w14:paraId="5B359A86" w14:textId="77777777">
      <w:pPr>
        <w:rPr>
          <w:b/>
          <w:u w:val="single"/>
        </w:rPr>
      </w:pPr>
      <w:r w:rsidRPr="00E67EA5">
        <w:rPr>
          <w:b/>
          <w:u w:val="single"/>
        </w:rPr>
        <w:t>A.  Justification</w:t>
      </w:r>
      <w:r w:rsidR="00E67EA5">
        <w:rPr>
          <w:b/>
          <w:u w:val="single"/>
        </w:rPr>
        <w:t>:</w:t>
      </w:r>
    </w:p>
    <w:p w:rsidR="00687F9E" w:rsidP="00687F9E" w14:paraId="3275F14E" w14:textId="77777777"/>
    <w:p w:rsidR="00736FA6" w:rsidP="0002226B" w14:paraId="71B70304" w14:textId="77777777">
      <w:pPr>
        <w:autoSpaceDE w:val="0"/>
        <w:autoSpaceDN w:val="0"/>
        <w:adjustRightInd w:val="0"/>
        <w:ind w:left="360" w:hanging="360"/>
      </w:pPr>
      <w:r>
        <w:t xml:space="preserve">1.   </w:t>
      </w:r>
      <w:r w:rsidRPr="0047509B" w:rsidR="0047509B">
        <w:t xml:space="preserve">The Alternative Broadcast Inspection Program (ABIP) is a series of agreements between the </w:t>
      </w:r>
      <w:r w:rsidR="00A93085">
        <w:t xml:space="preserve">Federal Communications Commission’s (FCC) </w:t>
      </w:r>
      <w:r w:rsidRPr="0047509B" w:rsidR="0047509B">
        <w:t xml:space="preserve">Enforcement Bureau and a private entity, usually a state broadcast association, whereby the private entity agrees to facilitate inspections (and re-inspections, where appropriate) of participating broadcast stations to determine station compliance with FCC regulations.  </w:t>
      </w:r>
    </w:p>
    <w:p w:rsidR="00736FA6" w:rsidP="00DE742C" w14:paraId="14FBADD0" w14:textId="77777777">
      <w:pPr>
        <w:autoSpaceDE w:val="0"/>
        <w:autoSpaceDN w:val="0"/>
        <w:adjustRightInd w:val="0"/>
        <w:ind w:left="360" w:hanging="360"/>
      </w:pPr>
    </w:p>
    <w:p w:rsidR="00736FA6" w:rsidP="00736FA6" w14:paraId="1647B3B2" w14:textId="77777777">
      <w:pPr>
        <w:autoSpaceDE w:val="0"/>
        <w:autoSpaceDN w:val="0"/>
        <w:adjustRightInd w:val="0"/>
        <w:ind w:left="360"/>
      </w:pPr>
      <w:r>
        <w:t xml:space="preserve">Broadcast stations participate in ABIP on a voluntary basis.  </w:t>
      </w:r>
    </w:p>
    <w:p w:rsidR="00736FA6" w:rsidP="00736FA6" w14:paraId="57C570CE" w14:textId="77777777">
      <w:pPr>
        <w:autoSpaceDE w:val="0"/>
        <w:autoSpaceDN w:val="0"/>
        <w:adjustRightInd w:val="0"/>
        <w:ind w:left="360"/>
      </w:pPr>
    </w:p>
    <w:p w:rsidR="00736FA6" w:rsidP="00736FA6" w14:paraId="4C857111" w14:textId="77777777">
      <w:pPr>
        <w:autoSpaceDE w:val="0"/>
        <w:autoSpaceDN w:val="0"/>
        <w:adjustRightInd w:val="0"/>
        <w:ind w:left="360"/>
      </w:pPr>
      <w:r>
        <w:t>T</w:t>
      </w:r>
      <w:r w:rsidR="00CE540D">
        <w:t xml:space="preserve">he </w:t>
      </w:r>
      <w:r>
        <w:t xml:space="preserve">private </w:t>
      </w:r>
      <w:r w:rsidR="00CE540D">
        <w:t xml:space="preserve">entities </w:t>
      </w:r>
      <w:r w:rsidR="00687F9E">
        <w:t xml:space="preserve">notify </w:t>
      </w:r>
      <w:r w:rsidRPr="007C06FF" w:rsidR="00687F9E">
        <w:t>the</w:t>
      </w:r>
      <w:r w:rsidRPr="007C06FF" w:rsidR="00AF3D41">
        <w:t>ir local</w:t>
      </w:r>
      <w:r w:rsidRPr="007C06FF" w:rsidR="005B1ADD">
        <w:t xml:space="preserve"> </w:t>
      </w:r>
      <w:r w:rsidRPr="007C06FF" w:rsidR="00687F9E">
        <w:t xml:space="preserve">FCC </w:t>
      </w:r>
      <w:r w:rsidRPr="007C06FF" w:rsidR="00513582">
        <w:t>Field</w:t>
      </w:r>
      <w:r w:rsidRPr="007C06FF" w:rsidR="00FD6EED">
        <w:t xml:space="preserve"> </w:t>
      </w:r>
      <w:r w:rsidRPr="007C06FF" w:rsidR="00687F9E">
        <w:t>Office</w:t>
      </w:r>
      <w:r w:rsidR="004E299F">
        <w:t xml:space="preserve"> </w:t>
      </w:r>
      <w:r w:rsidR="00687F9E">
        <w:t>in writing of those stations that pass the ABIP inspection</w:t>
      </w:r>
      <w:r w:rsidR="00F95114">
        <w:t xml:space="preserve"> and have been </w:t>
      </w:r>
      <w:r w:rsidR="00DD583C">
        <w:t>issued</w:t>
      </w:r>
      <w:r w:rsidR="00F95114">
        <w:t xml:space="preserve"> a Certificate of Compliance</w:t>
      </w:r>
      <w:r w:rsidR="00DD583C">
        <w:t xml:space="preserve"> by the ABIP inspector</w:t>
      </w:r>
      <w:r w:rsidR="00F95114">
        <w:t>.</w:t>
      </w:r>
      <w:r w:rsidR="00ED4D46">
        <w:t xml:space="preserve">  </w:t>
      </w:r>
    </w:p>
    <w:p w:rsidR="00736FA6" w:rsidP="00736FA6" w14:paraId="364F7809" w14:textId="77777777">
      <w:pPr>
        <w:autoSpaceDE w:val="0"/>
        <w:autoSpaceDN w:val="0"/>
        <w:adjustRightInd w:val="0"/>
        <w:ind w:left="360"/>
      </w:pPr>
    </w:p>
    <w:p w:rsidR="00687F9E" w:rsidP="00736FA6" w14:paraId="21BCC976" w14:textId="77777777">
      <w:pPr>
        <w:autoSpaceDE w:val="0"/>
        <w:autoSpaceDN w:val="0"/>
        <w:adjustRightInd w:val="0"/>
        <w:ind w:left="360"/>
      </w:pPr>
      <w:r>
        <w:t xml:space="preserve">The FCC uses this information to determine which broadcast stations have been certified in compliance with FCC Rules and will not be subject to certain </w:t>
      </w:r>
      <w:r w:rsidR="00DD583C">
        <w:t xml:space="preserve">random FCC </w:t>
      </w:r>
      <w:r>
        <w:t xml:space="preserve">inspections.  </w:t>
      </w:r>
    </w:p>
    <w:p w:rsidR="00654EB8" w:rsidP="00736FA6" w14:paraId="628985B0" w14:textId="77777777">
      <w:pPr>
        <w:autoSpaceDE w:val="0"/>
        <w:autoSpaceDN w:val="0"/>
        <w:adjustRightInd w:val="0"/>
        <w:ind w:left="360"/>
      </w:pPr>
    </w:p>
    <w:p w:rsidR="00654EB8" w:rsidP="00B63FF7" w14:paraId="50DA9843" w14:textId="77777777">
      <w:pPr>
        <w:ind w:left="360"/>
        <w:rPr>
          <w:noProof/>
          <w:szCs w:val="24"/>
        </w:rPr>
      </w:pPr>
      <w:r>
        <w:rPr>
          <w:noProof/>
          <w:szCs w:val="24"/>
        </w:rPr>
        <w:t xml:space="preserve">The Commission is submitting this information collection as an extension under Delegated Authoritiy to the Office of Management and Budget (OMB) in order to obtain the full three year clearance. </w:t>
      </w:r>
    </w:p>
    <w:p w:rsidR="00ED4D46" w:rsidP="000C0B77" w14:paraId="6D102EAF" w14:textId="77777777">
      <w:pPr>
        <w:autoSpaceDE w:val="0"/>
        <w:autoSpaceDN w:val="0"/>
        <w:adjustRightInd w:val="0"/>
      </w:pPr>
    </w:p>
    <w:p w:rsidR="006E72E0" w:rsidP="006E72E0" w14:paraId="20DBE271" w14:textId="77777777">
      <w:pPr>
        <w:ind w:left="360" w:hanging="360"/>
      </w:pPr>
      <w:r>
        <w:tab/>
        <w:t>This information collection does not affect individuals or households.</w:t>
      </w:r>
    </w:p>
    <w:p w:rsidR="006E72E0" w:rsidP="000C0B77" w14:paraId="2E8ACE10" w14:textId="77777777">
      <w:pPr>
        <w:autoSpaceDE w:val="0"/>
        <w:autoSpaceDN w:val="0"/>
        <w:adjustRightInd w:val="0"/>
      </w:pPr>
    </w:p>
    <w:p w:rsidR="00A17248" w:rsidP="00DE742C" w14:paraId="1E0FFA74" w14:textId="77777777">
      <w:pPr>
        <w:ind w:left="360"/>
      </w:pPr>
      <w:r>
        <w:t>Legal authority for this collection of information is contained in 47 U.S.C. 303(n) and 47 C.F.R.</w:t>
      </w:r>
      <w:r w:rsidR="006E0A36">
        <w:t xml:space="preserve"> §</w:t>
      </w:r>
      <w:r>
        <w:t xml:space="preserve"> 73.1225.</w:t>
      </w:r>
    </w:p>
    <w:p w:rsidR="002F71C5" w:rsidP="00DE742C" w14:paraId="66080848" w14:textId="77777777">
      <w:pPr>
        <w:ind w:left="360" w:hanging="360"/>
      </w:pPr>
    </w:p>
    <w:p w:rsidR="00687F9E" w:rsidP="00DE742C" w14:paraId="5D32B1AF" w14:textId="77777777">
      <w:pPr>
        <w:ind w:left="360" w:hanging="360"/>
      </w:pPr>
      <w:r>
        <w:t xml:space="preserve">2.  </w:t>
      </w:r>
      <w:r w:rsidR="00EB70E9">
        <w:t>The FCC</w:t>
      </w:r>
      <w:r w:rsidR="002E047C">
        <w:t>’s Enforcement Bureau regularly</w:t>
      </w:r>
      <w:r w:rsidR="00EB70E9">
        <w:t xml:space="preserve"> uses this information to determine which broadcast stations have been certified in compliance with FCC Rules and will not be subject to certain</w:t>
      </w:r>
      <w:r w:rsidR="002E047C">
        <w:t xml:space="preserve"> random</w:t>
      </w:r>
      <w:r w:rsidR="00EB70E9">
        <w:t xml:space="preserve"> inspections conducted by the FCC.  </w:t>
      </w:r>
    </w:p>
    <w:p w:rsidR="00687F9E" w:rsidP="00DE742C" w14:paraId="7CD76641" w14:textId="77777777">
      <w:pPr>
        <w:ind w:left="360" w:hanging="360"/>
      </w:pPr>
    </w:p>
    <w:p w:rsidR="00687F9E" w:rsidP="00DE742C" w14:paraId="6E7ACA17" w14:textId="77777777">
      <w:pPr>
        <w:ind w:left="360" w:hanging="360"/>
      </w:pPr>
      <w:r>
        <w:t xml:space="preserve">3.  </w:t>
      </w:r>
      <w:r w:rsidR="002E047C">
        <w:t xml:space="preserve">The FCC accepts these submissions electronically or by mail.  </w:t>
      </w:r>
    </w:p>
    <w:p w:rsidR="00687F9E" w:rsidP="00DE742C" w14:paraId="77A7C592" w14:textId="77777777">
      <w:pPr>
        <w:ind w:left="360" w:hanging="360"/>
      </w:pPr>
    </w:p>
    <w:p w:rsidR="00687F9E" w:rsidP="00DE742C" w14:paraId="7A535D8F" w14:textId="77777777">
      <w:pPr>
        <w:ind w:left="360" w:hanging="360"/>
      </w:pPr>
      <w:r>
        <w:t xml:space="preserve">4.  </w:t>
      </w:r>
      <w:r>
        <w:t>This is a unique collection</w:t>
      </w:r>
      <w:r w:rsidR="00AF1172">
        <w:t>,</w:t>
      </w:r>
      <w:r>
        <w:t xml:space="preserve"> and there is no duplication.</w:t>
      </w:r>
    </w:p>
    <w:p w:rsidR="00687F9E" w:rsidP="00DE742C" w14:paraId="6B3929F6" w14:textId="77777777">
      <w:pPr>
        <w:ind w:left="360" w:hanging="360"/>
      </w:pPr>
    </w:p>
    <w:p w:rsidR="00944A9D" w:rsidP="00E430DE" w14:paraId="0B0BBBAE" w14:textId="77777777">
      <w:pPr>
        <w:ind w:left="360" w:hanging="360"/>
      </w:pPr>
      <w:r>
        <w:t xml:space="preserve">5.  </w:t>
      </w:r>
      <w:r w:rsidR="00687F9E">
        <w:t xml:space="preserve">This collection has no </w:t>
      </w:r>
      <w:r w:rsidR="00805048">
        <w:t xml:space="preserve">significant </w:t>
      </w:r>
      <w:r w:rsidR="00687F9E">
        <w:t>impact on small businesses or other small entities.</w:t>
      </w:r>
      <w:r w:rsidR="00ED4D46">
        <w:t xml:space="preserve">  </w:t>
      </w:r>
      <w:r w:rsidR="00687F9E">
        <w:t xml:space="preserve">In compliance with the Paperwork Reduction Act of 1995, FCC </w:t>
      </w:r>
      <w:r w:rsidR="00805048">
        <w:t>has</w:t>
      </w:r>
      <w:r w:rsidR="00687F9E">
        <w:t xml:space="preserve"> ma</w:t>
      </w:r>
      <w:r w:rsidR="00805048">
        <w:t>de</w:t>
      </w:r>
      <w:r w:rsidR="00687F9E">
        <w:t xml:space="preserve"> effort</w:t>
      </w:r>
      <w:r w:rsidR="00805048">
        <w:t>s</w:t>
      </w:r>
      <w:r w:rsidR="00687F9E">
        <w:t xml:space="preserve"> to minimize the burden on all respondents, regardless of size.  </w:t>
      </w:r>
    </w:p>
    <w:p w:rsidR="00944A9D" w:rsidP="00E430DE" w14:paraId="5C2BB8AF" w14:textId="77777777">
      <w:pPr>
        <w:ind w:left="360" w:hanging="360"/>
      </w:pPr>
    </w:p>
    <w:p w:rsidR="00687F9E" w:rsidP="00944A9D" w14:paraId="1458ED70" w14:textId="77777777">
      <w:pPr>
        <w:ind w:left="360"/>
      </w:pPr>
      <w:r>
        <w:t xml:space="preserve">The Enforcement Bureau </w:t>
      </w:r>
      <w:r>
        <w:t xml:space="preserve">has limited the notification requirement to that which is absolutely necessary for evaluating </w:t>
      </w:r>
      <w:r>
        <w:t xml:space="preserve">a station’s </w:t>
      </w:r>
      <w:r>
        <w:t xml:space="preserve">compliance </w:t>
      </w:r>
      <w:r w:rsidR="005D2F4A">
        <w:t xml:space="preserve">under the ABIP </w:t>
      </w:r>
      <w:r>
        <w:t>and to deter against possible abuse.</w:t>
      </w:r>
    </w:p>
    <w:p w:rsidR="00687F9E" w:rsidP="00E430DE" w14:paraId="3299AFB0" w14:textId="77777777">
      <w:pPr>
        <w:ind w:left="360" w:hanging="360"/>
      </w:pPr>
    </w:p>
    <w:p w:rsidR="00A33CA7" w:rsidRPr="00B63FF7" w:rsidP="00B63FF7" w14:paraId="4CF5D026" w14:textId="77777777">
      <w:pPr>
        <w:ind w:left="360" w:hanging="360"/>
        <w:rPr>
          <w:b/>
          <w:bCs/>
        </w:rPr>
      </w:pPr>
      <w:r>
        <w:t>6</w:t>
      </w:r>
      <w:r w:rsidR="00A17248">
        <w:t xml:space="preserve">.  </w:t>
      </w:r>
      <w:r w:rsidR="00D03523">
        <w:t>If the Certificates of Compliance are not collected</w:t>
      </w:r>
      <w:r w:rsidR="00E43546">
        <w:t xml:space="preserve"> or are collected less frequently</w:t>
      </w:r>
      <w:r w:rsidR="00D03523">
        <w:t xml:space="preserve">, the FCC would </w:t>
      </w:r>
      <w:r w:rsidR="00D01EEF">
        <w:t xml:space="preserve">be unaware as to which broadcast stations have been certified in compliance with FCC Rules and are not subject to certain random FCC inspections.  </w:t>
      </w:r>
    </w:p>
    <w:p w:rsidR="00A33CA7" w:rsidP="00CD1065" w14:paraId="0D3F1A26" w14:textId="77777777">
      <w:pPr>
        <w:ind w:left="360" w:hanging="360"/>
      </w:pPr>
    </w:p>
    <w:p w:rsidR="00CD1065" w:rsidP="00CD1065" w14:paraId="48DADD33" w14:textId="77777777">
      <w:pPr>
        <w:ind w:left="360" w:hanging="360"/>
      </w:pPr>
      <w:r>
        <w:t>7</w:t>
      </w:r>
      <w:r w:rsidR="00D632BA">
        <w:t xml:space="preserve">.  </w:t>
      </w:r>
      <w:r w:rsidR="00506D38">
        <w:t xml:space="preserve">This collection of information is consistent with the </w:t>
      </w:r>
      <w:r w:rsidRPr="008120FE" w:rsidR="00506D38">
        <w:t>guidelines contained in</w:t>
      </w:r>
      <w:r w:rsidR="006E0A36">
        <w:t xml:space="preserve"> </w:t>
      </w:r>
      <w:r>
        <w:t xml:space="preserve">5 C.F.R. § 1320.5(d)(2). </w:t>
      </w:r>
    </w:p>
    <w:p w:rsidR="00ED4D46" w:rsidP="00CD1065" w14:paraId="0F64CC9D" w14:textId="77777777">
      <w:pPr>
        <w:ind w:left="360" w:hanging="360"/>
      </w:pPr>
    </w:p>
    <w:p w:rsidR="00506D38" w:rsidP="00995404" w14:paraId="290A69C5" w14:textId="4FEC337B">
      <w:pPr>
        <w:ind w:left="360" w:hanging="360"/>
        <w:rPr>
          <w:bCs/>
        </w:rPr>
      </w:pPr>
      <w:r>
        <w:t xml:space="preserve">8.  </w:t>
      </w:r>
      <w:r w:rsidRPr="00ED4D46" w:rsidR="00D70561">
        <w:rPr>
          <w:bCs/>
        </w:rPr>
        <w:t xml:space="preserve">The </w:t>
      </w:r>
      <w:r w:rsidR="0063799F">
        <w:rPr>
          <w:bCs/>
        </w:rPr>
        <w:t>F</w:t>
      </w:r>
      <w:r w:rsidRPr="00ED4D46" w:rsidR="00D70561">
        <w:rPr>
          <w:bCs/>
        </w:rPr>
        <w:t>C</w:t>
      </w:r>
      <w:r w:rsidR="0063799F">
        <w:rPr>
          <w:bCs/>
        </w:rPr>
        <w:t>C</w:t>
      </w:r>
      <w:r w:rsidRPr="00ED4D46" w:rsidR="00D70561">
        <w:rPr>
          <w:bCs/>
        </w:rPr>
        <w:t xml:space="preserve"> published a notice in the </w:t>
      </w:r>
      <w:r w:rsidRPr="00736FA6" w:rsidR="00D70561">
        <w:rPr>
          <w:bCs/>
          <w:i/>
        </w:rPr>
        <w:t>Federal Register</w:t>
      </w:r>
      <w:r w:rsidRPr="00ED4D46" w:rsidR="00D70561">
        <w:rPr>
          <w:bCs/>
        </w:rPr>
        <w:t xml:space="preserve"> initiating a 60-day comment period</w:t>
      </w:r>
      <w:r w:rsidR="00882A53">
        <w:rPr>
          <w:bCs/>
        </w:rPr>
        <w:t>,</w:t>
      </w:r>
      <w:r w:rsidRPr="00ED4D46" w:rsidR="00D70561">
        <w:rPr>
          <w:bCs/>
        </w:rPr>
        <w:t xml:space="preserve"> </w:t>
      </w:r>
      <w:r w:rsidR="00670BD2">
        <w:rPr>
          <w:bCs/>
        </w:rPr>
        <w:t>8</w:t>
      </w:r>
      <w:r w:rsidR="002D5DBE">
        <w:rPr>
          <w:bCs/>
        </w:rPr>
        <w:t>7</w:t>
      </w:r>
      <w:r w:rsidRPr="00D66287" w:rsidR="00F1322A">
        <w:rPr>
          <w:bCs/>
        </w:rPr>
        <w:t xml:space="preserve"> </w:t>
      </w:r>
      <w:r w:rsidRPr="00D66287" w:rsidR="00E40670">
        <w:rPr>
          <w:bCs/>
        </w:rPr>
        <w:t xml:space="preserve">FR </w:t>
      </w:r>
      <w:r w:rsidR="002D5DBE">
        <w:rPr>
          <w:bCs/>
        </w:rPr>
        <w:t>56948, on September 16</w:t>
      </w:r>
      <w:r w:rsidR="00B63FF7">
        <w:rPr>
          <w:bCs/>
        </w:rPr>
        <w:t xml:space="preserve">, </w:t>
      </w:r>
      <w:r w:rsidR="008F1C86">
        <w:rPr>
          <w:bCs/>
        </w:rPr>
        <w:t>2022</w:t>
      </w:r>
      <w:r w:rsidRPr="00D66287" w:rsidR="00E40670">
        <w:rPr>
          <w:bCs/>
        </w:rPr>
        <w:t>.</w:t>
      </w:r>
      <w:r w:rsidR="002D5DBE">
        <w:rPr>
          <w:bCs/>
        </w:rPr>
        <w:t xml:space="preserve"> No comments were received as a result of this notice. </w:t>
      </w:r>
      <w:r w:rsidR="00E40670">
        <w:rPr>
          <w:bCs/>
        </w:rPr>
        <w:t xml:space="preserve"> </w:t>
      </w:r>
      <w:r>
        <w:rPr>
          <w:bCs/>
        </w:rPr>
        <w:t xml:space="preserve"> </w:t>
      </w:r>
    </w:p>
    <w:p w:rsidR="00196D05" w:rsidP="00196D05" w14:paraId="0F887007" w14:textId="77777777"/>
    <w:p w:rsidR="00506D38" w:rsidP="00196D05" w14:paraId="003E7EA2" w14:textId="77777777">
      <w:r>
        <w:t xml:space="preserve">9.  </w:t>
      </w:r>
      <w:r>
        <w:t>No gifts or payments will be given to respondent for this collection.</w:t>
      </w:r>
    </w:p>
    <w:p w:rsidR="00196D05" w:rsidP="00196D05" w14:paraId="788CC844" w14:textId="77777777"/>
    <w:p w:rsidR="00506D38" w:rsidP="00196D05" w14:paraId="4BEBDA7B" w14:textId="77777777">
      <w:r>
        <w:t xml:space="preserve">10.  </w:t>
      </w:r>
      <w:r w:rsidR="00D66287">
        <w:t xml:space="preserve">Parties seeking confidential treatment </w:t>
      </w:r>
      <w:r w:rsidR="009D2CE0">
        <w:t xml:space="preserve">of materials or information submitted to the FCC </w:t>
      </w:r>
      <w:r w:rsidR="00196D05">
        <w:t xml:space="preserve">                    </w:t>
      </w:r>
      <w:r w:rsidR="009D2CE0">
        <w:t>should</w:t>
      </w:r>
      <w:r w:rsidR="00D66287">
        <w:t xml:space="preserve"> make a request </w:t>
      </w:r>
      <w:r w:rsidR="009D2CE0">
        <w:t xml:space="preserve">pursuant to 47 C.F.R. </w:t>
      </w:r>
      <w:r w:rsidR="006E0A36">
        <w:t>§</w:t>
      </w:r>
      <w:r w:rsidR="009D2CE0">
        <w:t xml:space="preserve"> 0.459.</w:t>
      </w:r>
    </w:p>
    <w:p w:rsidR="00506D38" w:rsidP="00995404" w14:paraId="322979A0" w14:textId="77777777">
      <w:pPr>
        <w:ind w:left="360" w:hanging="360"/>
      </w:pPr>
    </w:p>
    <w:p w:rsidR="00506D38" w:rsidP="00995404" w14:paraId="7C2BB9E6" w14:textId="77777777">
      <w:pPr>
        <w:ind w:left="360" w:hanging="360"/>
      </w:pPr>
      <w:r>
        <w:t xml:space="preserve">11.  </w:t>
      </w:r>
      <w:r>
        <w:t>This collection does not address any private matters of a sensitive nature.</w:t>
      </w:r>
    </w:p>
    <w:p w:rsidR="00506D38" w:rsidP="00995404" w14:paraId="3487B766" w14:textId="77777777">
      <w:pPr>
        <w:ind w:left="360" w:hanging="360"/>
      </w:pPr>
    </w:p>
    <w:p w:rsidR="00507116" w:rsidP="00995404" w14:paraId="55938DDC" w14:textId="77777777">
      <w:pPr>
        <w:ind w:left="360" w:hanging="360"/>
      </w:pPr>
      <w:r>
        <w:t xml:space="preserve">12.  </w:t>
      </w:r>
      <w:r w:rsidR="000C0B77">
        <w:t xml:space="preserve">The Enforcement Bureau </w:t>
      </w:r>
      <w:r w:rsidR="00A74CB1">
        <w:t>estimates</w:t>
      </w:r>
      <w:r>
        <w:t>:</w:t>
      </w:r>
    </w:p>
    <w:p w:rsidR="00507116" w:rsidP="00995404" w14:paraId="18B6078B" w14:textId="77777777">
      <w:pPr>
        <w:ind w:left="360" w:hanging="360"/>
      </w:pPr>
    </w:p>
    <w:p w:rsidR="00507116" w:rsidP="00507116" w14:paraId="1A4C1213" w14:textId="77777777">
      <w:pPr>
        <w:ind w:left="720" w:hanging="360"/>
      </w:pPr>
      <w:r>
        <w:t>(a)</w:t>
      </w:r>
      <w:r w:rsidR="00A74CB1">
        <w:t xml:space="preserve"> there will be 5</w:t>
      </w:r>
      <w:r w:rsidR="000C0B77">
        <w:t>3</w:t>
      </w:r>
      <w:r w:rsidR="00A74CB1">
        <w:t xml:space="preserve"> </w:t>
      </w:r>
      <w:r w:rsidR="00907B35">
        <w:t xml:space="preserve">private </w:t>
      </w:r>
      <w:r w:rsidR="00A74CB1">
        <w:t>entities providing information (</w:t>
      </w:r>
      <w:r w:rsidR="00F94D11">
        <w:t xml:space="preserve">approximately </w:t>
      </w:r>
      <w:r w:rsidR="00A74CB1">
        <w:t>one for each state</w:t>
      </w:r>
      <w:r w:rsidR="000C0B77">
        <w:t xml:space="preserve"> and territory</w:t>
      </w:r>
      <w:r w:rsidR="00A74CB1">
        <w:t>)</w:t>
      </w:r>
      <w:r>
        <w:t xml:space="preserve">; </w:t>
      </w:r>
      <w:r w:rsidR="00A74CB1">
        <w:t xml:space="preserve"> </w:t>
      </w:r>
    </w:p>
    <w:p w:rsidR="00507116" w:rsidP="00507116" w14:paraId="735E2DAE" w14:textId="77777777">
      <w:pPr>
        <w:ind w:left="720" w:hanging="360"/>
      </w:pPr>
    </w:p>
    <w:p w:rsidR="00507116" w:rsidP="00507116" w14:paraId="7F0B50B0" w14:textId="77777777">
      <w:pPr>
        <w:ind w:left="720" w:hanging="360"/>
      </w:pPr>
      <w:r>
        <w:t xml:space="preserve">(b) </w:t>
      </w:r>
      <w:r w:rsidR="00A74CB1">
        <w:t xml:space="preserve">each </w:t>
      </w:r>
      <w:r w:rsidR="00907B35">
        <w:t xml:space="preserve">private </w:t>
      </w:r>
      <w:r w:rsidR="00A74CB1">
        <w:t>entity will conduct approximately 50 inspections a year, resulting in a maximum of 2,</w:t>
      </w:r>
      <w:r w:rsidR="00BD0F58">
        <w:t>6</w:t>
      </w:r>
      <w:r w:rsidR="00A74CB1">
        <w:t>50 notifications</w:t>
      </w:r>
      <w:r w:rsidR="0052033F">
        <w:t>:</w:t>
      </w:r>
      <w:r w:rsidR="00A74CB1">
        <w:t xml:space="preserve">  </w:t>
      </w:r>
    </w:p>
    <w:p w:rsidR="00507116" w:rsidP="00507116" w14:paraId="7023601A" w14:textId="77777777">
      <w:pPr>
        <w:ind w:left="720" w:hanging="360"/>
      </w:pPr>
    </w:p>
    <w:p w:rsidR="00507116" w:rsidP="00507116" w14:paraId="182AC281" w14:textId="77777777">
      <w:pPr>
        <w:ind w:left="720" w:hanging="360"/>
      </w:pPr>
      <w:r>
        <w:tab/>
        <w:t xml:space="preserve">53 </w:t>
      </w:r>
      <w:r w:rsidR="00907B35">
        <w:t xml:space="preserve">private </w:t>
      </w:r>
      <w:r>
        <w:t>entitie</w:t>
      </w:r>
      <w:r w:rsidR="00AF1172">
        <w:t>s</w:t>
      </w:r>
      <w:r>
        <w:t xml:space="preserve"> x 50 inspections/annum = 2,650 notifications/annum</w:t>
      </w:r>
    </w:p>
    <w:p w:rsidR="00507116" w:rsidP="00507116" w14:paraId="3B74887C" w14:textId="77777777">
      <w:pPr>
        <w:ind w:left="720" w:hanging="360"/>
      </w:pPr>
    </w:p>
    <w:p w:rsidR="00506D38" w:rsidP="00507116" w14:paraId="00A4CAAD" w14:textId="743B7DBB">
      <w:pPr>
        <w:ind w:left="720" w:hanging="360"/>
      </w:pPr>
      <w:r>
        <w:t>(c)</w:t>
      </w:r>
      <w:r>
        <w:tab/>
      </w:r>
      <w:r w:rsidR="00A07EDE">
        <w:t xml:space="preserve">the private entities will </w:t>
      </w:r>
      <w:r w:rsidR="00A74CB1">
        <w:t>notif</w:t>
      </w:r>
      <w:r w:rsidR="00A07EDE">
        <w:t xml:space="preserve">y </w:t>
      </w:r>
      <w:r w:rsidRPr="007C06FF" w:rsidR="00A07EDE">
        <w:t>the</w:t>
      </w:r>
      <w:r w:rsidRPr="007C06FF" w:rsidR="00926B62">
        <w:t>ir local</w:t>
      </w:r>
      <w:r w:rsidRPr="007C06FF" w:rsidR="00A07EDE">
        <w:t xml:space="preserve"> FCC </w:t>
      </w:r>
      <w:r w:rsidRPr="007C06FF" w:rsidR="00AF3D41">
        <w:t>Field</w:t>
      </w:r>
      <w:r w:rsidRPr="007C06FF" w:rsidR="00FD6EED">
        <w:t xml:space="preserve"> </w:t>
      </w:r>
      <w:r w:rsidRPr="007C06FF" w:rsidR="00A07EDE">
        <w:t>Office,</w:t>
      </w:r>
      <w:r w:rsidR="00A07EDE">
        <w:t xml:space="preserve"> which </w:t>
      </w:r>
      <w:r w:rsidR="00A74CB1">
        <w:t xml:space="preserve">should take </w:t>
      </w:r>
      <w:r w:rsidR="00AE0C4B">
        <w:t>approximately</w:t>
      </w:r>
      <w:r w:rsidR="00A74CB1">
        <w:t xml:space="preserve"> </w:t>
      </w:r>
      <w:r w:rsidR="00FA70CD">
        <w:t>0</w:t>
      </w:r>
      <w:r w:rsidR="00A74CB1">
        <w:t>.0</w:t>
      </w:r>
      <w:r w:rsidR="00AE0C4B">
        <w:t>84</w:t>
      </w:r>
      <w:r w:rsidR="00A74CB1">
        <w:t xml:space="preserve"> hours (5 mins</w:t>
      </w:r>
      <w:r w:rsidR="00AE0C4B">
        <w:t>)</w:t>
      </w:r>
      <w:r w:rsidR="00A07EDE">
        <w:t xml:space="preserve"> each, which is a 3</w:t>
      </w:r>
      <w:r w:rsidRPr="00A07EDE" w:rsidR="00A07EDE">
        <w:rPr>
          <w:vertAlign w:val="superscript"/>
        </w:rPr>
        <w:t>rd</w:t>
      </w:r>
      <w:r w:rsidR="00A07EDE">
        <w:t xml:space="preserve"> party disclosure</w:t>
      </w:r>
      <w:r w:rsidR="002D5DBE">
        <w:t xml:space="preserve"> requirement</w:t>
      </w:r>
      <w:r w:rsidR="00907B35">
        <w:t>:</w:t>
      </w:r>
    </w:p>
    <w:p w:rsidR="00A74CB1" w:rsidP="00995404" w14:paraId="4D000937" w14:textId="77777777">
      <w:pPr>
        <w:ind w:left="360" w:hanging="360"/>
      </w:pPr>
    </w:p>
    <w:p w:rsidR="009027B7" w:rsidP="00507116" w14:paraId="156E6FEE" w14:textId="77777777">
      <w:pPr>
        <w:ind w:left="360" w:firstLine="360"/>
      </w:pPr>
      <w:r>
        <w:t>53</w:t>
      </w:r>
      <w:r w:rsidR="00A74CB1">
        <w:t xml:space="preserve"> x 50 x </w:t>
      </w:r>
      <w:r w:rsidR="004A078D">
        <w:t>0</w:t>
      </w:r>
      <w:r w:rsidR="00A74CB1">
        <w:t>.08</w:t>
      </w:r>
      <w:r w:rsidR="00E40670">
        <w:t>4</w:t>
      </w:r>
      <w:r w:rsidR="00A74CB1">
        <w:t xml:space="preserve"> hours</w:t>
      </w:r>
      <w:r w:rsidR="00A07EDE">
        <w:t xml:space="preserve"> (5 mins)</w:t>
      </w:r>
      <w:r w:rsidR="00A74CB1">
        <w:t xml:space="preserve"> = 2</w:t>
      </w:r>
      <w:r>
        <w:t>2</w:t>
      </w:r>
      <w:r w:rsidR="00E40670">
        <w:t>3</w:t>
      </w:r>
      <w:r w:rsidR="00A74CB1">
        <w:t xml:space="preserve"> hours </w:t>
      </w:r>
    </w:p>
    <w:p w:rsidR="00A07EDE" w:rsidP="00995404" w14:paraId="48C8C072" w14:textId="77777777">
      <w:pPr>
        <w:ind w:left="360" w:hanging="360"/>
      </w:pPr>
    </w:p>
    <w:p w:rsidR="00AE0C4B" w:rsidP="00995404" w14:paraId="588BBE16" w14:textId="0484F210">
      <w:pPr>
        <w:ind w:left="360" w:hanging="360"/>
      </w:pPr>
      <w:r>
        <w:tab/>
        <w:t>Total Annual Hourly Burden</w:t>
      </w:r>
      <w:r w:rsidR="00A07EDE">
        <w:t xml:space="preserve"> (3</w:t>
      </w:r>
      <w:r w:rsidRPr="00A07EDE" w:rsidR="00A07EDE">
        <w:rPr>
          <w:vertAlign w:val="superscript"/>
        </w:rPr>
        <w:t>rd</w:t>
      </w:r>
      <w:r w:rsidR="00A07EDE">
        <w:t xml:space="preserve"> Party Disclosure</w:t>
      </w:r>
      <w:r w:rsidR="002D5DBE">
        <w:t xml:space="preserve"> Requirement</w:t>
      </w:r>
      <w:r w:rsidR="00A07EDE">
        <w:t>): 223 h</w:t>
      </w:r>
      <w:r w:rsidR="002D5DBE">
        <w:t>ours</w:t>
      </w:r>
    </w:p>
    <w:p w:rsidR="00AE0C4B" w:rsidP="00995404" w14:paraId="040848AF" w14:textId="77777777">
      <w:pPr>
        <w:ind w:left="360" w:hanging="360"/>
      </w:pPr>
    </w:p>
    <w:p w:rsidR="00A74CB1" w:rsidP="00995404" w14:paraId="4CD90A43" w14:textId="77777777">
      <w:pPr>
        <w:ind w:left="360" w:hanging="360"/>
      </w:pPr>
      <w:r>
        <w:t xml:space="preserve">13.  </w:t>
      </w:r>
      <w:r>
        <w:t>There is no cost burden to re</w:t>
      </w:r>
      <w:r w:rsidR="00BD0F58">
        <w:t xml:space="preserve">spondents </w:t>
      </w:r>
      <w:r>
        <w:t>resulting from the collection of information.</w:t>
      </w:r>
    </w:p>
    <w:p w:rsidR="00A74CB1" w:rsidP="00995404" w14:paraId="3D6B7805" w14:textId="77777777">
      <w:pPr>
        <w:ind w:left="360" w:hanging="360"/>
      </w:pPr>
    </w:p>
    <w:p w:rsidR="00A74CB1" w:rsidP="00A33CA7" w14:paraId="5EE81CD3" w14:textId="25806992">
      <w:r>
        <w:t xml:space="preserve">14.  </w:t>
      </w:r>
      <w:r>
        <w:t>Cost to the Federal Government:  The FCC will use GS-</w:t>
      </w:r>
      <w:r w:rsidR="006D166C">
        <w:t>1</w:t>
      </w:r>
      <w:r w:rsidR="007532A2">
        <w:t>5</w:t>
      </w:r>
      <w:r w:rsidR="006D166C">
        <w:t xml:space="preserve"> </w:t>
      </w:r>
      <w:r w:rsidR="00FD6EED">
        <w:t xml:space="preserve">Regional </w:t>
      </w:r>
      <w:r w:rsidR="007532A2">
        <w:t>Directors</w:t>
      </w:r>
      <w:r w:rsidR="006D166C">
        <w:t xml:space="preserve"> and GS-14</w:t>
      </w:r>
      <w:r w:rsidR="008E316B">
        <w:t xml:space="preserve"> </w:t>
      </w:r>
      <w:r w:rsidR="00A33CA7">
        <w:t xml:space="preserve">         </w:t>
      </w:r>
      <w:r w:rsidR="00CD1065">
        <w:t>Field</w:t>
      </w:r>
      <w:r w:rsidR="006D166C">
        <w:t xml:space="preserve"> Agents to evaluate and process the notifications</w:t>
      </w:r>
      <w:r w:rsidR="00F94D11">
        <w:t>,</w:t>
      </w:r>
      <w:r w:rsidR="006D166C">
        <w:t xml:space="preserve"> and </w:t>
      </w:r>
      <w:r w:rsidR="00F94D11">
        <w:t xml:space="preserve">will use </w:t>
      </w:r>
      <w:r w:rsidR="006D166C">
        <w:t>GS-8</w:t>
      </w:r>
      <w:r w:rsidR="008E316B">
        <w:t xml:space="preserve"> </w:t>
      </w:r>
      <w:r w:rsidR="006D166C">
        <w:t xml:space="preserve">office assistants to </w:t>
      </w:r>
      <w:r>
        <w:t>file the notifications</w:t>
      </w:r>
      <w:r w:rsidR="00CB4295">
        <w:t xml:space="preserve"> (3</w:t>
      </w:r>
      <w:r w:rsidRPr="00CB4295" w:rsidR="00CB4295">
        <w:rPr>
          <w:vertAlign w:val="superscript"/>
        </w:rPr>
        <w:t>rd</w:t>
      </w:r>
      <w:r w:rsidR="00CB4295">
        <w:t xml:space="preserve"> party disclosure</w:t>
      </w:r>
      <w:r w:rsidR="002D5DBE">
        <w:t xml:space="preserve"> requirement</w:t>
      </w:r>
      <w:r w:rsidR="00CB4295">
        <w:t>)</w:t>
      </w:r>
      <w:r>
        <w:t>.</w:t>
      </w:r>
    </w:p>
    <w:p w:rsidR="00BD0F58" w:rsidP="00995404" w14:paraId="09A6AFA9" w14:textId="77777777">
      <w:pPr>
        <w:ind w:left="360" w:hanging="360"/>
      </w:pPr>
      <w:r>
        <w:tab/>
      </w:r>
    </w:p>
    <w:p w:rsidR="004A078D" w:rsidRPr="00CF5A5E" w:rsidP="004A078D" w14:paraId="5AAD942D" w14:textId="77777777">
      <w:pPr>
        <w:ind w:left="720" w:hanging="360"/>
      </w:pPr>
      <w:r w:rsidRPr="00CF5A5E">
        <w:t xml:space="preserve">(a) </w:t>
      </w:r>
      <w:r w:rsidRPr="00CF5A5E" w:rsidR="00DA1850">
        <w:t>1,325 notifications revi</w:t>
      </w:r>
      <w:r w:rsidRPr="00CF5A5E" w:rsidR="006C58E8">
        <w:t>e</w:t>
      </w:r>
      <w:r w:rsidRPr="00CF5A5E" w:rsidR="00DA1850">
        <w:t xml:space="preserve">wed by </w:t>
      </w:r>
      <w:r w:rsidRPr="00CF5A5E" w:rsidR="001622CF">
        <w:t xml:space="preserve">GS-15 </w:t>
      </w:r>
      <w:r w:rsidRPr="00CF5A5E" w:rsidR="00FD6EED">
        <w:t xml:space="preserve">Regional </w:t>
      </w:r>
      <w:r w:rsidRPr="00CF5A5E" w:rsidR="001622CF">
        <w:t>Directors</w:t>
      </w:r>
      <w:r w:rsidRPr="00CF5A5E" w:rsidR="00DA1850">
        <w:t>:</w:t>
      </w:r>
      <w:r w:rsidRPr="00CF5A5E" w:rsidR="001622CF">
        <w:t xml:space="preserve"> </w:t>
      </w:r>
    </w:p>
    <w:p w:rsidR="004A078D" w:rsidRPr="00CF5A5E" w:rsidP="00995404" w14:paraId="501A5B83" w14:textId="77777777">
      <w:pPr>
        <w:ind w:left="360"/>
      </w:pPr>
    </w:p>
    <w:p w:rsidR="001622CF" w:rsidRPr="00B63FF7" w:rsidP="00B63FF7" w14:paraId="1E359047" w14:textId="77777777">
      <w:r>
        <w:tab/>
      </w:r>
      <w:r w:rsidRPr="00B63FF7" w:rsidR="00DA1850">
        <w:t>1</w:t>
      </w:r>
      <w:r w:rsidRPr="00B63FF7">
        <w:t>,</w:t>
      </w:r>
      <w:r w:rsidRPr="00B63FF7" w:rsidR="00DA1850">
        <w:t>325</w:t>
      </w:r>
      <w:r w:rsidRPr="00B63FF7">
        <w:t xml:space="preserve"> notifications x </w:t>
      </w:r>
      <w:r w:rsidRPr="00B63FF7" w:rsidR="00D24991">
        <w:t>0</w:t>
      </w:r>
      <w:r w:rsidRPr="00B63FF7">
        <w:t>.084 hours x $</w:t>
      </w:r>
      <w:r w:rsidR="00796C1E">
        <w:t>71.24</w:t>
      </w:r>
      <w:r w:rsidRPr="00B63FF7">
        <w:t>/hour</w:t>
      </w:r>
      <w:bookmarkStart w:id="0" w:name="_Ref466982865"/>
      <w:r>
        <w:rPr>
          <w:rStyle w:val="FootnoteReference"/>
        </w:rPr>
        <w:footnoteReference w:id="2"/>
      </w:r>
      <w:bookmarkEnd w:id="0"/>
      <w:r w:rsidRPr="00B63FF7">
        <w:t xml:space="preserve"> = $</w:t>
      </w:r>
      <w:r w:rsidR="00796C1E">
        <w:t>7,929.01</w:t>
      </w:r>
    </w:p>
    <w:p w:rsidR="00995404" w:rsidRPr="00B63FF7" w:rsidP="00995404" w14:paraId="07ECA58D" w14:textId="77777777">
      <w:pPr>
        <w:ind w:left="360"/>
      </w:pPr>
    </w:p>
    <w:p w:rsidR="004A078D" w:rsidRPr="00B63FF7" w:rsidP="00995404" w14:paraId="1C97B6B7" w14:textId="77777777">
      <w:pPr>
        <w:ind w:left="360"/>
      </w:pPr>
      <w:r w:rsidRPr="00B63FF7">
        <w:t>(b)</w:t>
      </w:r>
      <w:r w:rsidRPr="00B63FF7">
        <w:tab/>
      </w:r>
      <w:r w:rsidRPr="00B63FF7" w:rsidR="00DA1850">
        <w:t>1,325 notifications reviewed by</w:t>
      </w:r>
      <w:r w:rsidRPr="00B63FF7" w:rsidR="00627E38">
        <w:t xml:space="preserve"> GS-14 </w:t>
      </w:r>
      <w:r w:rsidRPr="00B63FF7" w:rsidR="00C8718B">
        <w:t>Field</w:t>
      </w:r>
      <w:r w:rsidRPr="00B63FF7" w:rsidR="00627E38">
        <w:t xml:space="preserve"> Agents</w:t>
      </w:r>
      <w:r w:rsidRPr="00B63FF7" w:rsidR="00DA1850">
        <w:t>:</w:t>
      </w:r>
      <w:r w:rsidRPr="00B63FF7" w:rsidR="00627E38">
        <w:t xml:space="preserve"> </w:t>
      </w:r>
    </w:p>
    <w:p w:rsidR="004A078D" w:rsidRPr="00B63FF7" w:rsidP="00995404" w14:paraId="03494F92" w14:textId="77777777">
      <w:pPr>
        <w:ind w:left="360"/>
      </w:pPr>
    </w:p>
    <w:p w:rsidR="00995404" w:rsidRPr="00B63FF7" w:rsidP="00DE483C" w14:paraId="2E7E3349" w14:textId="77777777">
      <w:pPr>
        <w:ind w:left="360" w:firstLine="360"/>
      </w:pPr>
      <w:r w:rsidRPr="00B63FF7">
        <w:t>1</w:t>
      </w:r>
      <w:r w:rsidRPr="00B63FF7" w:rsidR="00831F20">
        <w:t>,</w:t>
      </w:r>
      <w:r w:rsidRPr="00B63FF7">
        <w:t>325</w:t>
      </w:r>
      <w:r w:rsidRPr="00B63FF7" w:rsidR="00627E38">
        <w:t xml:space="preserve"> notifications x </w:t>
      </w:r>
      <w:r w:rsidRPr="00B63FF7" w:rsidR="00D24991">
        <w:t>0</w:t>
      </w:r>
      <w:r w:rsidRPr="00B63FF7" w:rsidR="00627E38">
        <w:t>.08</w:t>
      </w:r>
      <w:r w:rsidRPr="00B63FF7" w:rsidR="00E40670">
        <w:t>4</w:t>
      </w:r>
      <w:r w:rsidRPr="00B63FF7" w:rsidR="00627E38">
        <w:t xml:space="preserve"> hours x $</w:t>
      </w:r>
      <w:r w:rsidR="00796C1E">
        <w:t>60.56</w:t>
      </w:r>
      <w:r w:rsidRPr="00B63FF7" w:rsidR="00627E38">
        <w:t>/hour</w:t>
      </w:r>
      <w:r w:rsidRPr="00B63FF7" w:rsidR="008F6DF3">
        <w:fldChar w:fldCharType="begin"/>
      </w:r>
      <w:r w:rsidRPr="00B63FF7" w:rsidR="008F6DF3">
        <w:instrText xml:space="preserve"> NOTEREF _Ref466982865 \f \h </w:instrText>
      </w:r>
      <w:r w:rsidRPr="00B63FF7" w:rsidR="006B13CE">
        <w:instrText xml:space="preserve"> \* MERGEFORMAT </w:instrText>
      </w:r>
      <w:r w:rsidRPr="00B63FF7" w:rsidR="008F6DF3">
        <w:fldChar w:fldCharType="separate"/>
      </w:r>
      <w:r w:rsidRPr="00B63FF7" w:rsidR="008F6DF3">
        <w:rPr>
          <w:rStyle w:val="FootnoteReference"/>
        </w:rPr>
        <w:t>1</w:t>
      </w:r>
      <w:r w:rsidRPr="00B63FF7" w:rsidR="008F6DF3">
        <w:fldChar w:fldCharType="end"/>
      </w:r>
      <w:r w:rsidRPr="00B63FF7" w:rsidR="00627E38">
        <w:t xml:space="preserve"> = $</w:t>
      </w:r>
      <w:r w:rsidR="00796C1E">
        <w:t>6,740.33</w:t>
      </w:r>
    </w:p>
    <w:p w:rsidR="00DE483C" w:rsidRPr="00B63FF7" w:rsidP="00995404" w14:paraId="3A82478C" w14:textId="77777777">
      <w:pPr>
        <w:ind w:left="360"/>
      </w:pPr>
    </w:p>
    <w:p w:rsidR="004A078D" w:rsidRPr="00B63FF7" w:rsidP="00995404" w14:paraId="32FF900A" w14:textId="77777777">
      <w:pPr>
        <w:ind w:left="360" w:right="-180"/>
      </w:pPr>
      <w:r w:rsidRPr="00B63FF7">
        <w:t>(c)</w:t>
      </w:r>
      <w:r w:rsidRPr="00B63FF7">
        <w:tab/>
      </w:r>
      <w:r w:rsidRPr="00B63FF7" w:rsidR="0014096C">
        <w:t>N</w:t>
      </w:r>
      <w:r w:rsidRPr="00B63FF7" w:rsidR="006C58E8">
        <w:t xml:space="preserve">otifications </w:t>
      </w:r>
      <w:r w:rsidRPr="00B63FF7" w:rsidR="00F1171D">
        <w:t>fil</w:t>
      </w:r>
      <w:r w:rsidRPr="00B63FF7" w:rsidR="006C58E8">
        <w:t xml:space="preserve">ed by </w:t>
      </w:r>
      <w:r w:rsidRPr="00B63FF7" w:rsidR="00627E38">
        <w:t>GS-8 Office Assistant</w:t>
      </w:r>
      <w:r w:rsidRPr="00B63FF7" w:rsidR="006C58E8">
        <w:t>:</w:t>
      </w:r>
      <w:r w:rsidRPr="00B63FF7" w:rsidR="00627E38">
        <w:t xml:space="preserve"> </w:t>
      </w:r>
    </w:p>
    <w:p w:rsidR="004A078D" w:rsidRPr="00B63FF7" w:rsidP="00995404" w14:paraId="1145A2BB" w14:textId="77777777">
      <w:pPr>
        <w:ind w:left="360" w:right="-180"/>
      </w:pPr>
    </w:p>
    <w:p w:rsidR="00627E38" w:rsidRPr="00B63FF7" w:rsidP="004A078D" w14:paraId="3780A445" w14:textId="77777777">
      <w:pPr>
        <w:ind w:left="360" w:right="-180" w:firstLine="360"/>
      </w:pPr>
      <w:r w:rsidRPr="00B63FF7">
        <w:t xml:space="preserve">2,650 </w:t>
      </w:r>
      <w:r w:rsidRPr="00B63FF7">
        <w:t xml:space="preserve">notifications x </w:t>
      </w:r>
      <w:r w:rsidRPr="00B63FF7" w:rsidR="00D24991">
        <w:t>0</w:t>
      </w:r>
      <w:r w:rsidRPr="00B63FF7">
        <w:t>.08</w:t>
      </w:r>
      <w:r w:rsidRPr="00B63FF7" w:rsidR="00E40670">
        <w:t>4</w:t>
      </w:r>
      <w:r w:rsidRPr="00B63FF7">
        <w:t xml:space="preserve"> hours x $</w:t>
      </w:r>
      <w:r w:rsidRPr="00B63FF7" w:rsidR="009D14EE">
        <w:t>2</w:t>
      </w:r>
      <w:r w:rsidRPr="00B63FF7" w:rsidR="00C8718B">
        <w:t>6</w:t>
      </w:r>
      <w:r w:rsidRPr="00B63FF7" w:rsidR="009D14EE">
        <w:t>.</w:t>
      </w:r>
      <w:r w:rsidR="00796C1E">
        <w:t>91</w:t>
      </w:r>
      <w:r w:rsidRPr="00B63FF7">
        <w:t>/hour</w:t>
      </w:r>
      <w:r w:rsidRPr="00B63FF7" w:rsidR="008F6DF3">
        <w:fldChar w:fldCharType="begin"/>
      </w:r>
      <w:r w:rsidRPr="00B63FF7" w:rsidR="008F6DF3">
        <w:instrText xml:space="preserve"> NOTEREF _Ref466982865 \f \h </w:instrText>
      </w:r>
      <w:r w:rsidRPr="00B63FF7" w:rsidR="00654EB8">
        <w:instrText xml:space="preserve"> \* MERGEFORMAT </w:instrText>
      </w:r>
      <w:r w:rsidRPr="00B63FF7" w:rsidR="008F6DF3">
        <w:fldChar w:fldCharType="separate"/>
      </w:r>
      <w:r w:rsidRPr="00B63FF7" w:rsidR="008F6DF3">
        <w:rPr>
          <w:rStyle w:val="FootnoteReference"/>
        </w:rPr>
        <w:t>1</w:t>
      </w:r>
      <w:r w:rsidRPr="00B63FF7" w:rsidR="008F6DF3">
        <w:fldChar w:fldCharType="end"/>
      </w:r>
      <w:r w:rsidRPr="00B63FF7">
        <w:t xml:space="preserve"> = $</w:t>
      </w:r>
      <w:r w:rsidR="002F13F4">
        <w:t>5,990.17</w:t>
      </w:r>
    </w:p>
    <w:p w:rsidR="00995404" w:rsidRPr="00B63FF7" w:rsidP="00995404" w14:paraId="5D2AB7B7" w14:textId="77777777">
      <w:pPr>
        <w:ind w:left="360" w:right="-180"/>
      </w:pPr>
    </w:p>
    <w:p w:rsidR="00D9517E" w:rsidRPr="00627816" w:rsidP="00E1450D" w14:paraId="4AD6E0B7" w14:textId="77777777">
      <w:pPr>
        <w:ind w:left="360"/>
        <w:rPr>
          <w:b/>
          <w:color w:val="FFFF00"/>
        </w:rPr>
      </w:pPr>
      <w:r w:rsidRPr="00B63FF7">
        <w:t>Total Cost to the Federal Government: $</w:t>
      </w:r>
      <w:r w:rsidR="002F13F4">
        <w:t>7,929.01</w:t>
      </w:r>
      <w:r w:rsidRPr="00B63FF7">
        <w:t xml:space="preserve"> + $</w:t>
      </w:r>
      <w:r w:rsidR="002F13F4">
        <w:t>6,740.33</w:t>
      </w:r>
      <w:r w:rsidRPr="00B63FF7">
        <w:t xml:space="preserve"> +$</w:t>
      </w:r>
      <w:r w:rsidR="002F13F4">
        <w:t>5,990.17</w:t>
      </w:r>
      <w:r w:rsidRPr="00B63FF7">
        <w:t xml:space="preserve"> = </w:t>
      </w:r>
      <w:r w:rsidRPr="00B63FF7">
        <w:rPr>
          <w:b/>
        </w:rPr>
        <w:t>$20,</w:t>
      </w:r>
      <w:r w:rsidR="002F13F4">
        <w:rPr>
          <w:b/>
        </w:rPr>
        <w:t>659.51</w:t>
      </w:r>
    </w:p>
    <w:p w:rsidR="00D9517E" w:rsidP="00E1450D" w14:paraId="3077A246" w14:textId="77777777">
      <w:pPr>
        <w:ind w:left="360"/>
      </w:pPr>
    </w:p>
    <w:p w:rsidR="00A74CB1" w:rsidP="00995404" w14:paraId="78993071" w14:textId="77777777">
      <w:pPr>
        <w:ind w:left="360" w:hanging="360"/>
      </w:pPr>
    </w:p>
    <w:p w:rsidR="006515D8" w:rsidP="00627816" w14:paraId="27E4572A" w14:textId="77777777">
      <w:r>
        <w:t>15.</w:t>
      </w:r>
      <w:r>
        <w:t>There are no program changes or adjustments</w:t>
      </w:r>
      <w:r w:rsidR="008E316B">
        <w:t xml:space="preserve"> to this information collection</w:t>
      </w:r>
      <w:r>
        <w:t xml:space="preserve">.    </w:t>
      </w:r>
    </w:p>
    <w:p w:rsidR="0097067E" w:rsidP="00627816" w14:paraId="7DF0A053" w14:textId="77777777"/>
    <w:p w:rsidR="00A74CB1" w:rsidP="00995404" w14:paraId="13438797" w14:textId="77777777">
      <w:pPr>
        <w:suppressAutoHyphens/>
        <w:ind w:left="360" w:hanging="360"/>
        <w:jc w:val="both"/>
        <w:rPr>
          <w:spacing w:val="-3"/>
        </w:rPr>
      </w:pPr>
      <w:r>
        <w:rPr>
          <w:spacing w:val="-3"/>
        </w:rPr>
        <w:t>1</w:t>
      </w:r>
      <w:r w:rsidR="0097067E">
        <w:rPr>
          <w:spacing w:val="-3"/>
        </w:rPr>
        <w:t>6</w:t>
      </w:r>
      <w:r w:rsidR="00196D05">
        <w:rPr>
          <w:spacing w:val="-3"/>
        </w:rPr>
        <w:t>.</w:t>
      </w:r>
      <w:r w:rsidR="00196D05">
        <w:rPr>
          <w:spacing w:val="-3"/>
        </w:rPr>
        <w:tab/>
      </w:r>
      <w:r>
        <w:rPr>
          <w:spacing w:val="-3"/>
        </w:rPr>
        <w:t xml:space="preserve">The </w:t>
      </w:r>
      <w:r w:rsidR="00D32241">
        <w:rPr>
          <w:spacing w:val="-3"/>
        </w:rPr>
        <w:t>results of the collection</w:t>
      </w:r>
      <w:r>
        <w:rPr>
          <w:spacing w:val="-3"/>
        </w:rPr>
        <w:t xml:space="preserve"> will not be published.  </w:t>
      </w:r>
    </w:p>
    <w:p w:rsidR="00A74CB1" w:rsidP="00995404" w14:paraId="20B57403" w14:textId="77777777">
      <w:pPr>
        <w:suppressAutoHyphens/>
        <w:ind w:left="360" w:hanging="360"/>
        <w:jc w:val="both"/>
        <w:rPr>
          <w:spacing w:val="-3"/>
        </w:rPr>
      </w:pPr>
    </w:p>
    <w:p w:rsidR="00A74CB1" w:rsidP="00995404" w14:paraId="6C306DDB" w14:textId="77777777">
      <w:pPr>
        <w:suppressAutoHyphens/>
        <w:ind w:left="360" w:hanging="360"/>
        <w:jc w:val="both"/>
        <w:rPr>
          <w:spacing w:val="-3"/>
        </w:rPr>
      </w:pPr>
      <w:r>
        <w:rPr>
          <w:spacing w:val="-3"/>
        </w:rPr>
        <w:t>1</w:t>
      </w:r>
      <w:r w:rsidR="0097067E">
        <w:rPr>
          <w:spacing w:val="-3"/>
        </w:rPr>
        <w:t>7</w:t>
      </w:r>
      <w:r w:rsidR="00196D05">
        <w:rPr>
          <w:spacing w:val="-3"/>
        </w:rPr>
        <w:t xml:space="preserve">. </w:t>
      </w:r>
      <w:r w:rsidR="00196D05">
        <w:rPr>
          <w:spacing w:val="-3"/>
        </w:rPr>
        <w:tab/>
      </w:r>
      <w:r>
        <w:rPr>
          <w:spacing w:val="-3"/>
        </w:rPr>
        <w:t xml:space="preserve">OMB approval of the expiration date of the information collection will be displayed </w:t>
      </w:r>
      <w:r w:rsidRPr="00677EA7">
        <w:rPr>
          <w:spacing w:val="-3"/>
        </w:rPr>
        <w:t xml:space="preserve">at 47 C.F.R. </w:t>
      </w:r>
      <w:r w:rsidR="006E0A36">
        <w:rPr>
          <w:spacing w:val="-3"/>
        </w:rPr>
        <w:t>§</w:t>
      </w:r>
      <w:r w:rsidRPr="00677EA7">
        <w:rPr>
          <w:spacing w:val="-3"/>
        </w:rPr>
        <w:t xml:space="preserve"> 0.408.</w:t>
      </w:r>
    </w:p>
    <w:p w:rsidR="00A74CB1" w:rsidP="00995404" w14:paraId="18F35170" w14:textId="77777777">
      <w:pPr>
        <w:suppressAutoHyphens/>
        <w:ind w:left="360" w:hanging="360"/>
        <w:jc w:val="both"/>
        <w:rPr>
          <w:spacing w:val="-3"/>
        </w:rPr>
      </w:pPr>
    </w:p>
    <w:p w:rsidR="0097067E" w:rsidP="006D02AD" w14:paraId="4987F84C" w14:textId="77777777">
      <w:pPr>
        <w:suppressAutoHyphens/>
        <w:ind w:left="360" w:hanging="360"/>
        <w:rPr>
          <w:spacing w:val="-3"/>
        </w:rPr>
      </w:pPr>
      <w:r>
        <w:rPr>
          <w:spacing w:val="-3"/>
        </w:rPr>
        <w:t>18.</w:t>
      </w:r>
      <w:r w:rsidR="006D02AD">
        <w:rPr>
          <w:spacing w:val="-3"/>
        </w:rPr>
        <w:t xml:space="preserve"> </w:t>
      </w:r>
      <w:r>
        <w:rPr>
          <w:spacing w:val="-3"/>
        </w:rPr>
        <w:t xml:space="preserve">There are no exceptions to the </w:t>
      </w:r>
      <w:r w:rsidR="00B63FF7">
        <w:rPr>
          <w:spacing w:val="-3"/>
        </w:rPr>
        <w:t>C</w:t>
      </w:r>
      <w:r>
        <w:rPr>
          <w:spacing w:val="-3"/>
        </w:rPr>
        <w:t xml:space="preserve">ertification </w:t>
      </w:r>
      <w:r w:rsidR="00B63FF7">
        <w:rPr>
          <w:spacing w:val="-3"/>
        </w:rPr>
        <w:t>S</w:t>
      </w:r>
      <w:r>
        <w:rPr>
          <w:spacing w:val="-3"/>
        </w:rPr>
        <w:t>tatement</w:t>
      </w:r>
      <w:r w:rsidR="00DE483C">
        <w:rPr>
          <w:spacing w:val="-3"/>
        </w:rPr>
        <w:t>.</w:t>
      </w:r>
      <w:r>
        <w:rPr>
          <w:spacing w:val="-3"/>
        </w:rPr>
        <w:t xml:space="preserve"> </w:t>
      </w:r>
    </w:p>
    <w:p w:rsidR="00995404" w:rsidP="006D02AD" w14:paraId="004D67CF" w14:textId="77777777">
      <w:pPr>
        <w:suppressAutoHyphens/>
        <w:rPr>
          <w:spacing w:val="-3"/>
        </w:rPr>
      </w:pPr>
    </w:p>
    <w:p w:rsidR="00995404" w:rsidP="00A74CB1" w14:paraId="34942EC4" w14:textId="77777777">
      <w:pPr>
        <w:suppressAutoHyphens/>
        <w:jc w:val="both"/>
        <w:rPr>
          <w:spacing w:val="-3"/>
        </w:rPr>
      </w:pPr>
    </w:p>
    <w:p w:rsidR="00A74CB1" w:rsidRPr="00E67EA5" w:rsidP="00A74CB1" w14:paraId="33D2E262" w14:textId="77777777">
      <w:pPr>
        <w:suppressAutoHyphens/>
        <w:jc w:val="both"/>
        <w:rPr>
          <w:b/>
          <w:spacing w:val="-3"/>
          <w:u w:val="single"/>
        </w:rPr>
      </w:pPr>
      <w:r w:rsidRPr="00E67EA5">
        <w:rPr>
          <w:b/>
          <w:spacing w:val="-3"/>
          <w:u w:val="single"/>
        </w:rPr>
        <w:t>B.  Collections of Information Employing Statistical Methods</w:t>
      </w:r>
      <w:r w:rsidR="00E67EA5">
        <w:rPr>
          <w:b/>
          <w:spacing w:val="-3"/>
          <w:u w:val="single"/>
        </w:rPr>
        <w:t>:</w:t>
      </w:r>
    </w:p>
    <w:p w:rsidR="00995404" w:rsidP="00A74CB1" w14:paraId="3C438EE9" w14:textId="77777777">
      <w:pPr>
        <w:suppressAutoHyphens/>
        <w:jc w:val="both"/>
        <w:rPr>
          <w:spacing w:val="-3"/>
        </w:rPr>
      </w:pPr>
    </w:p>
    <w:p w:rsidR="00A74CB1" w:rsidP="00A74CB1" w14:paraId="06CE5B29" w14:textId="77777777">
      <w:pPr>
        <w:suppressAutoHyphens/>
        <w:jc w:val="both"/>
        <w:rPr>
          <w:spacing w:val="-3"/>
        </w:rPr>
      </w:pPr>
      <w:r>
        <w:rPr>
          <w:spacing w:val="-3"/>
        </w:rPr>
        <w:t xml:space="preserve">     No statistical methods are employed.</w:t>
      </w:r>
    </w:p>
    <w:p w:rsidR="00687F9E" w:rsidP="00687F9E" w14:paraId="358BF78E" w14:textId="77777777">
      <w:pPr>
        <w:ind w:left="360"/>
      </w:pPr>
    </w:p>
    <w:sectPr w:rsidSect="00627816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B58" w14:paraId="7E33349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C7B58" w14:paraId="0D758C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1960" w14:paraId="0824FD2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406">
      <w:rPr>
        <w:noProof/>
      </w:rPr>
      <w:t>1</w:t>
    </w:r>
    <w:r>
      <w:rPr>
        <w:noProof/>
      </w:rPr>
      <w:fldChar w:fldCharType="end"/>
    </w:r>
  </w:p>
  <w:p w:rsidR="001B44D7" w:rsidP="004B0B49" w14:paraId="0E108C06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0DDB" w14:paraId="2CCA015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960">
      <w:rPr>
        <w:noProof/>
      </w:rPr>
      <w:t>1</w:t>
    </w:r>
    <w:r>
      <w:rPr>
        <w:noProof/>
      </w:rPr>
      <w:fldChar w:fldCharType="end"/>
    </w:r>
  </w:p>
  <w:p w:rsidR="00FA0DDB" w14:paraId="5CA12A1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2798F" w14:paraId="30C8B1D9" w14:textId="77777777">
      <w:r>
        <w:separator/>
      </w:r>
    </w:p>
  </w:footnote>
  <w:footnote w:type="continuationSeparator" w:id="1">
    <w:p w:rsidR="00B2798F" w14:paraId="3CB923F6" w14:textId="77777777">
      <w:r>
        <w:continuationSeparator/>
      </w:r>
    </w:p>
  </w:footnote>
  <w:footnote w:id="2">
    <w:p w:rsidR="008F6DF3" w14:paraId="0137AC8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C32A8">
        <w:t xml:space="preserve">The </w:t>
      </w:r>
      <w:r>
        <w:t xml:space="preserve">Regional </w:t>
      </w:r>
      <w:r w:rsidR="005C32A8">
        <w:t>Directors, F</w:t>
      </w:r>
      <w:r w:rsidR="00742E2D">
        <w:t>i</w:t>
      </w:r>
      <w:r>
        <w:t xml:space="preserve">eld </w:t>
      </w:r>
      <w:r w:rsidR="005C32A8">
        <w:t>A</w:t>
      </w:r>
      <w:r>
        <w:t xml:space="preserve">gents, and </w:t>
      </w:r>
      <w:r w:rsidR="005C32A8">
        <w:t>O</w:t>
      </w:r>
      <w:r>
        <w:t xml:space="preserve">ffice </w:t>
      </w:r>
      <w:r w:rsidR="005C32A8">
        <w:t>A</w:t>
      </w:r>
      <w:r>
        <w:t xml:space="preserve">ssistants are located in various areas in the U.S., therefore, </w:t>
      </w:r>
      <w:r w:rsidR="005C32A8">
        <w:t xml:space="preserve">each </w:t>
      </w:r>
      <w:r>
        <w:t>hourly salar</w:t>
      </w:r>
      <w:r w:rsidR="005C32A8">
        <w:t>y may differ slightly due to locality.  Due to this, estimates are provided for the hourly salaries.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44D7" w:rsidP="004B0B49" w14:paraId="7C5F7720" w14:textId="6636C7B0">
    <w:pPr>
      <w:pStyle w:val="Header"/>
      <w:tabs>
        <w:tab w:val="clear" w:pos="4320"/>
        <w:tab w:val="center" w:pos="4457"/>
        <w:tab w:val="clear" w:pos="8640"/>
      </w:tabs>
      <w:rPr>
        <w:b/>
        <w:sz w:val="22"/>
        <w:szCs w:val="22"/>
      </w:rPr>
    </w:pPr>
    <w:r>
      <w:rPr>
        <w:b/>
        <w:sz w:val="22"/>
        <w:szCs w:val="22"/>
      </w:rPr>
      <w:t xml:space="preserve">Alternative Broadcast Inspection </w:t>
    </w:r>
    <w:r>
      <w:rPr>
        <w:b/>
        <w:sz w:val="22"/>
        <w:szCs w:val="22"/>
      </w:rPr>
      <w:t>Pro</w:t>
    </w:r>
    <w:r w:rsidR="004B0B49">
      <w:rPr>
        <w:b/>
        <w:sz w:val="22"/>
        <w:szCs w:val="22"/>
      </w:rPr>
      <w:tab/>
    </w:r>
    <w:r>
      <w:rPr>
        <w:b/>
        <w:sz w:val="22"/>
        <w:szCs w:val="22"/>
      </w:rPr>
      <w:t>gram</w:t>
    </w:r>
    <w:r>
      <w:rPr>
        <w:b/>
        <w:sz w:val="22"/>
        <w:szCs w:val="22"/>
      </w:rPr>
      <w:t xml:space="preserve"> (ABIP) Compliance Notification</w:t>
    </w:r>
    <w:r w:rsidR="004B0B49">
      <w:rPr>
        <w:b/>
        <w:sz w:val="22"/>
        <w:szCs w:val="22"/>
      </w:rPr>
      <w:tab/>
    </w:r>
    <w:r w:rsidR="00FA0DDB">
      <w:rPr>
        <w:b/>
        <w:sz w:val="22"/>
        <w:szCs w:val="22"/>
      </w:rPr>
      <w:tab/>
    </w:r>
    <w:r w:rsidR="00B63FF7">
      <w:rPr>
        <w:b/>
        <w:sz w:val="22"/>
        <w:szCs w:val="22"/>
      </w:rPr>
      <w:t xml:space="preserve">        </w:t>
    </w:r>
    <w:r>
      <w:rPr>
        <w:b/>
        <w:sz w:val="22"/>
        <w:szCs w:val="22"/>
      </w:rPr>
      <w:t>3060-0713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4B0B49">
      <w:rPr>
        <w:b/>
        <w:sz w:val="22"/>
        <w:szCs w:val="22"/>
      </w:rPr>
      <w:t xml:space="preserve">                      </w:t>
    </w:r>
    <w:r w:rsidR="00FA0DDB">
      <w:rPr>
        <w:b/>
        <w:sz w:val="22"/>
        <w:szCs w:val="22"/>
      </w:rPr>
      <w:t xml:space="preserve">                              </w:t>
    </w:r>
    <w:r w:rsidR="00B63FF7">
      <w:rPr>
        <w:b/>
        <w:sz w:val="22"/>
        <w:szCs w:val="22"/>
      </w:rPr>
      <w:t xml:space="preserve">                                                                                           </w:t>
    </w:r>
    <w:r w:rsidR="002D5DBE">
      <w:rPr>
        <w:b/>
        <w:sz w:val="22"/>
        <w:szCs w:val="22"/>
      </w:rPr>
      <w:t>November</w:t>
    </w:r>
    <w:r w:rsidR="00B63FF7">
      <w:rPr>
        <w:b/>
        <w:sz w:val="22"/>
        <w:szCs w:val="22"/>
      </w:rPr>
      <w:t xml:space="preserve"> </w:t>
    </w:r>
    <w:r w:rsidR="00B2262E">
      <w:rPr>
        <w:b/>
        <w:sz w:val="22"/>
        <w:szCs w:val="22"/>
      </w:rPr>
      <w:t xml:space="preserve">2022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E718D"/>
    <w:multiLevelType w:val="hybridMultilevel"/>
    <w:tmpl w:val="67EE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84288"/>
    <w:multiLevelType w:val="multilevel"/>
    <w:tmpl w:val="5F942CA0"/>
    <w:lvl w:ilvl="0">
      <w:start w:val="3060"/>
      <w:numFmt w:val="decimal"/>
      <w:lvlText w:val="%1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1">
      <w:start w:val="713"/>
      <w:numFmt w:val="decimalZero"/>
      <w:lvlText w:val="%1-%2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00"/>
        </w:tabs>
        <w:ind w:left="7500" w:hanging="7500"/>
      </w:pPr>
      <w:rPr>
        <w:rFonts w:hint="default"/>
      </w:rPr>
    </w:lvl>
  </w:abstractNum>
  <w:abstractNum w:abstractNumId="2">
    <w:nsid w:val="1A107C94"/>
    <w:multiLevelType w:val="hybridMultilevel"/>
    <w:tmpl w:val="23364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961675"/>
    <w:multiLevelType w:val="multilevel"/>
    <w:tmpl w:val="56FA31EC"/>
    <w:lvl w:ilvl="0">
      <w:start w:val="306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713"/>
      <w:numFmt w:val="decimalZero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5C7493F"/>
    <w:multiLevelType w:val="hybridMultilevel"/>
    <w:tmpl w:val="86ACD8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01CF2"/>
    <w:multiLevelType w:val="hybridMultilevel"/>
    <w:tmpl w:val="5986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15B2E"/>
    <w:multiLevelType w:val="hybridMultilevel"/>
    <w:tmpl w:val="AE6C0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C2268"/>
    <w:multiLevelType w:val="hybridMultilevel"/>
    <w:tmpl w:val="526C52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F4451C"/>
    <w:multiLevelType w:val="hybridMultilevel"/>
    <w:tmpl w:val="C2FAAC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510023730">
    <w:abstractNumId w:val="7"/>
  </w:num>
  <w:num w:numId="2" w16cid:durableId="1120145359">
    <w:abstractNumId w:val="0"/>
  </w:num>
  <w:num w:numId="3" w16cid:durableId="804007521">
    <w:abstractNumId w:val="5"/>
  </w:num>
  <w:num w:numId="4" w16cid:durableId="1917475331">
    <w:abstractNumId w:val="2"/>
  </w:num>
  <w:num w:numId="5" w16cid:durableId="1996034449">
    <w:abstractNumId w:val="8"/>
  </w:num>
  <w:num w:numId="6" w16cid:durableId="254636659">
    <w:abstractNumId w:val="6"/>
  </w:num>
  <w:num w:numId="7" w16cid:durableId="4409945">
    <w:abstractNumId w:val="4"/>
  </w:num>
  <w:num w:numId="8" w16cid:durableId="1889565461">
    <w:abstractNumId w:val="1"/>
  </w:num>
  <w:num w:numId="9" w16cid:durableId="89597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9E"/>
    <w:rsid w:val="00000F5D"/>
    <w:rsid w:val="0002226B"/>
    <w:rsid w:val="000541B4"/>
    <w:rsid w:val="000802F9"/>
    <w:rsid w:val="000B448E"/>
    <w:rsid w:val="000C0B77"/>
    <w:rsid w:val="000D7BFE"/>
    <w:rsid w:val="000F34FA"/>
    <w:rsid w:val="000F47FA"/>
    <w:rsid w:val="000F71F4"/>
    <w:rsid w:val="00106822"/>
    <w:rsid w:val="00130E48"/>
    <w:rsid w:val="0013147F"/>
    <w:rsid w:val="0013769C"/>
    <w:rsid w:val="0014096C"/>
    <w:rsid w:val="001500DD"/>
    <w:rsid w:val="001622CF"/>
    <w:rsid w:val="00163406"/>
    <w:rsid w:val="0017748D"/>
    <w:rsid w:val="00187A2B"/>
    <w:rsid w:val="00196D05"/>
    <w:rsid w:val="001B3982"/>
    <w:rsid w:val="001B44D7"/>
    <w:rsid w:val="001E2FF8"/>
    <w:rsid w:val="001E64F6"/>
    <w:rsid w:val="001F138B"/>
    <w:rsid w:val="001F66E0"/>
    <w:rsid w:val="00223CEA"/>
    <w:rsid w:val="002249C2"/>
    <w:rsid w:val="00233A0A"/>
    <w:rsid w:val="00236A08"/>
    <w:rsid w:val="00240A6A"/>
    <w:rsid w:val="002507DC"/>
    <w:rsid w:val="00267B84"/>
    <w:rsid w:val="0028524C"/>
    <w:rsid w:val="002D5074"/>
    <w:rsid w:val="002D539F"/>
    <w:rsid w:val="002D5DBE"/>
    <w:rsid w:val="002E047C"/>
    <w:rsid w:val="002E72C0"/>
    <w:rsid w:val="002F13F4"/>
    <w:rsid w:val="002F5113"/>
    <w:rsid w:val="002F71C5"/>
    <w:rsid w:val="003026E0"/>
    <w:rsid w:val="00336020"/>
    <w:rsid w:val="00350BA5"/>
    <w:rsid w:val="00362A6D"/>
    <w:rsid w:val="003645E0"/>
    <w:rsid w:val="003701E8"/>
    <w:rsid w:val="00373312"/>
    <w:rsid w:val="003D659A"/>
    <w:rsid w:val="003F057F"/>
    <w:rsid w:val="00423910"/>
    <w:rsid w:val="004337D7"/>
    <w:rsid w:val="00455451"/>
    <w:rsid w:val="0047509B"/>
    <w:rsid w:val="004A078D"/>
    <w:rsid w:val="004B0B49"/>
    <w:rsid w:val="004B6E73"/>
    <w:rsid w:val="004C5CD0"/>
    <w:rsid w:val="004D52E6"/>
    <w:rsid w:val="004E299F"/>
    <w:rsid w:val="004F59B5"/>
    <w:rsid w:val="00501CAD"/>
    <w:rsid w:val="00506D38"/>
    <w:rsid w:val="00507116"/>
    <w:rsid w:val="00513582"/>
    <w:rsid w:val="0052033F"/>
    <w:rsid w:val="00520B95"/>
    <w:rsid w:val="00521B21"/>
    <w:rsid w:val="00531BE7"/>
    <w:rsid w:val="00532E4F"/>
    <w:rsid w:val="00552B79"/>
    <w:rsid w:val="005712CA"/>
    <w:rsid w:val="0058124B"/>
    <w:rsid w:val="00587955"/>
    <w:rsid w:val="005900D0"/>
    <w:rsid w:val="005B1ADD"/>
    <w:rsid w:val="005C32A8"/>
    <w:rsid w:val="005C3331"/>
    <w:rsid w:val="005C3842"/>
    <w:rsid w:val="005D2F4A"/>
    <w:rsid w:val="005E00E7"/>
    <w:rsid w:val="005E4E54"/>
    <w:rsid w:val="005F7474"/>
    <w:rsid w:val="00600A2A"/>
    <w:rsid w:val="00617C53"/>
    <w:rsid w:val="0062321E"/>
    <w:rsid w:val="00623563"/>
    <w:rsid w:val="00627816"/>
    <w:rsid w:val="00627E38"/>
    <w:rsid w:val="0063799F"/>
    <w:rsid w:val="00647834"/>
    <w:rsid w:val="006515D8"/>
    <w:rsid w:val="00654EB8"/>
    <w:rsid w:val="0066628F"/>
    <w:rsid w:val="00670BD2"/>
    <w:rsid w:val="00677EA7"/>
    <w:rsid w:val="006862F9"/>
    <w:rsid w:val="00687F9E"/>
    <w:rsid w:val="0069476D"/>
    <w:rsid w:val="006B13CE"/>
    <w:rsid w:val="006C27B4"/>
    <w:rsid w:val="006C58E8"/>
    <w:rsid w:val="006C625A"/>
    <w:rsid w:val="006D02AD"/>
    <w:rsid w:val="006D166C"/>
    <w:rsid w:val="006D4CE4"/>
    <w:rsid w:val="006D500C"/>
    <w:rsid w:val="006D54CB"/>
    <w:rsid w:val="006E0A36"/>
    <w:rsid w:val="006E72E0"/>
    <w:rsid w:val="00707720"/>
    <w:rsid w:val="0072050F"/>
    <w:rsid w:val="00723A9D"/>
    <w:rsid w:val="00736FA6"/>
    <w:rsid w:val="00742E2D"/>
    <w:rsid w:val="0074646F"/>
    <w:rsid w:val="007532A2"/>
    <w:rsid w:val="00794ABB"/>
    <w:rsid w:val="00796C1E"/>
    <w:rsid w:val="007C06FF"/>
    <w:rsid w:val="007D72DE"/>
    <w:rsid w:val="007F0A74"/>
    <w:rsid w:val="007F6C59"/>
    <w:rsid w:val="00801C31"/>
    <w:rsid w:val="00805048"/>
    <w:rsid w:val="008120FE"/>
    <w:rsid w:val="008253C4"/>
    <w:rsid w:val="00826012"/>
    <w:rsid w:val="00831B44"/>
    <w:rsid w:val="00831F20"/>
    <w:rsid w:val="00861653"/>
    <w:rsid w:val="008622CD"/>
    <w:rsid w:val="00870EBD"/>
    <w:rsid w:val="00875636"/>
    <w:rsid w:val="00882A53"/>
    <w:rsid w:val="00894A18"/>
    <w:rsid w:val="00895794"/>
    <w:rsid w:val="008B07AE"/>
    <w:rsid w:val="008E316B"/>
    <w:rsid w:val="008E4221"/>
    <w:rsid w:val="008F1C86"/>
    <w:rsid w:val="008F3AAF"/>
    <w:rsid w:val="008F6DF3"/>
    <w:rsid w:val="009027B7"/>
    <w:rsid w:val="00907B35"/>
    <w:rsid w:val="00912DE9"/>
    <w:rsid w:val="00926B62"/>
    <w:rsid w:val="009428DC"/>
    <w:rsid w:val="0094432F"/>
    <w:rsid w:val="00944A9D"/>
    <w:rsid w:val="009534BC"/>
    <w:rsid w:val="00953726"/>
    <w:rsid w:val="0097067E"/>
    <w:rsid w:val="00971928"/>
    <w:rsid w:val="009719AA"/>
    <w:rsid w:val="00983F5B"/>
    <w:rsid w:val="00995404"/>
    <w:rsid w:val="0099662E"/>
    <w:rsid w:val="009C11BA"/>
    <w:rsid w:val="009D14EE"/>
    <w:rsid w:val="009D2CE0"/>
    <w:rsid w:val="009E7325"/>
    <w:rsid w:val="009F44CC"/>
    <w:rsid w:val="00A01BAB"/>
    <w:rsid w:val="00A06352"/>
    <w:rsid w:val="00A07EDE"/>
    <w:rsid w:val="00A12CCA"/>
    <w:rsid w:val="00A17248"/>
    <w:rsid w:val="00A300B4"/>
    <w:rsid w:val="00A313DF"/>
    <w:rsid w:val="00A33CA7"/>
    <w:rsid w:val="00A36C49"/>
    <w:rsid w:val="00A42D80"/>
    <w:rsid w:val="00A74CB1"/>
    <w:rsid w:val="00A93085"/>
    <w:rsid w:val="00A94A6A"/>
    <w:rsid w:val="00A94E7C"/>
    <w:rsid w:val="00AC2345"/>
    <w:rsid w:val="00AC57D2"/>
    <w:rsid w:val="00AD2292"/>
    <w:rsid w:val="00AE0C4B"/>
    <w:rsid w:val="00AF1172"/>
    <w:rsid w:val="00AF3D41"/>
    <w:rsid w:val="00B01B35"/>
    <w:rsid w:val="00B2262E"/>
    <w:rsid w:val="00B24AFD"/>
    <w:rsid w:val="00B270FA"/>
    <w:rsid w:val="00B27277"/>
    <w:rsid w:val="00B2798F"/>
    <w:rsid w:val="00B538E3"/>
    <w:rsid w:val="00B57200"/>
    <w:rsid w:val="00B63FF7"/>
    <w:rsid w:val="00B64801"/>
    <w:rsid w:val="00B6709D"/>
    <w:rsid w:val="00BA0B34"/>
    <w:rsid w:val="00BA0CD4"/>
    <w:rsid w:val="00BB7543"/>
    <w:rsid w:val="00BD0589"/>
    <w:rsid w:val="00BD0F58"/>
    <w:rsid w:val="00BE4F45"/>
    <w:rsid w:val="00BF468F"/>
    <w:rsid w:val="00C11672"/>
    <w:rsid w:val="00C26EF1"/>
    <w:rsid w:val="00C32B21"/>
    <w:rsid w:val="00C53B31"/>
    <w:rsid w:val="00C6418A"/>
    <w:rsid w:val="00C6579E"/>
    <w:rsid w:val="00C77F46"/>
    <w:rsid w:val="00C8076E"/>
    <w:rsid w:val="00C8718B"/>
    <w:rsid w:val="00CB4295"/>
    <w:rsid w:val="00CC542E"/>
    <w:rsid w:val="00CC7B58"/>
    <w:rsid w:val="00CD1065"/>
    <w:rsid w:val="00CE2EF2"/>
    <w:rsid w:val="00CE540D"/>
    <w:rsid w:val="00CF0512"/>
    <w:rsid w:val="00CF2831"/>
    <w:rsid w:val="00CF37D0"/>
    <w:rsid w:val="00CF5A5E"/>
    <w:rsid w:val="00D01EEF"/>
    <w:rsid w:val="00D03523"/>
    <w:rsid w:val="00D176E3"/>
    <w:rsid w:val="00D24991"/>
    <w:rsid w:val="00D32241"/>
    <w:rsid w:val="00D550D1"/>
    <w:rsid w:val="00D632BA"/>
    <w:rsid w:val="00D66287"/>
    <w:rsid w:val="00D70561"/>
    <w:rsid w:val="00D77B4F"/>
    <w:rsid w:val="00D77D35"/>
    <w:rsid w:val="00D9517E"/>
    <w:rsid w:val="00DA0C1D"/>
    <w:rsid w:val="00DA1850"/>
    <w:rsid w:val="00DA36B3"/>
    <w:rsid w:val="00DA3724"/>
    <w:rsid w:val="00DC417C"/>
    <w:rsid w:val="00DC5170"/>
    <w:rsid w:val="00DD0656"/>
    <w:rsid w:val="00DD4C7A"/>
    <w:rsid w:val="00DD583C"/>
    <w:rsid w:val="00DE483C"/>
    <w:rsid w:val="00DE50B2"/>
    <w:rsid w:val="00DE742C"/>
    <w:rsid w:val="00DF35CC"/>
    <w:rsid w:val="00E058D3"/>
    <w:rsid w:val="00E1010D"/>
    <w:rsid w:val="00E1450D"/>
    <w:rsid w:val="00E17310"/>
    <w:rsid w:val="00E40670"/>
    <w:rsid w:val="00E42DB9"/>
    <w:rsid w:val="00E430DE"/>
    <w:rsid w:val="00E43546"/>
    <w:rsid w:val="00E53B55"/>
    <w:rsid w:val="00E67EA5"/>
    <w:rsid w:val="00E730D6"/>
    <w:rsid w:val="00E819C3"/>
    <w:rsid w:val="00E90ABB"/>
    <w:rsid w:val="00E91449"/>
    <w:rsid w:val="00EB05C1"/>
    <w:rsid w:val="00EB70E9"/>
    <w:rsid w:val="00EC05A0"/>
    <w:rsid w:val="00ED4D46"/>
    <w:rsid w:val="00EF0628"/>
    <w:rsid w:val="00EF1960"/>
    <w:rsid w:val="00F1171D"/>
    <w:rsid w:val="00F1322A"/>
    <w:rsid w:val="00F32466"/>
    <w:rsid w:val="00F41C84"/>
    <w:rsid w:val="00F550F8"/>
    <w:rsid w:val="00F90751"/>
    <w:rsid w:val="00F94D11"/>
    <w:rsid w:val="00F95114"/>
    <w:rsid w:val="00FA0DDB"/>
    <w:rsid w:val="00FA70CD"/>
    <w:rsid w:val="00FC07D3"/>
    <w:rsid w:val="00FC39C1"/>
    <w:rsid w:val="00FC6F24"/>
    <w:rsid w:val="00FC71B4"/>
    <w:rsid w:val="00FD6EED"/>
    <w:rsid w:val="00FF440D"/>
    <w:rsid w:val="00FF47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18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F71F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047C"/>
    <w:rPr>
      <w:sz w:val="16"/>
      <w:szCs w:val="16"/>
    </w:rPr>
  </w:style>
  <w:style w:type="paragraph" w:styleId="CommentText">
    <w:name w:val="annotation text"/>
    <w:basedOn w:val="Normal"/>
    <w:semiHidden/>
    <w:rsid w:val="002E047C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047C"/>
    <w:rPr>
      <w:b/>
      <w:bCs/>
    </w:rPr>
  </w:style>
  <w:style w:type="paragraph" w:styleId="Header">
    <w:name w:val="header"/>
    <w:basedOn w:val="Normal"/>
    <w:rsid w:val="00531B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1B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1BE7"/>
  </w:style>
  <w:style w:type="paragraph" w:styleId="FootnoteText">
    <w:name w:val="footnote text"/>
    <w:basedOn w:val="Normal"/>
    <w:link w:val="FootnoteTextChar"/>
    <w:rsid w:val="008F6D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6DF3"/>
  </w:style>
  <w:style w:type="character" w:styleId="FootnoteReference">
    <w:name w:val="footnote reference"/>
    <w:rsid w:val="008F6DF3"/>
    <w:rPr>
      <w:vertAlign w:val="superscript"/>
    </w:rPr>
  </w:style>
  <w:style w:type="paragraph" w:styleId="Revision">
    <w:name w:val="Revision"/>
    <w:hidden/>
    <w:uiPriority w:val="99"/>
    <w:semiHidden/>
    <w:rsid w:val="00DE483C"/>
    <w:rPr>
      <w:sz w:val="24"/>
    </w:rPr>
  </w:style>
  <w:style w:type="character" w:customStyle="1" w:styleId="FooterChar">
    <w:name w:val="Footer Char"/>
    <w:link w:val="Footer"/>
    <w:uiPriority w:val="99"/>
    <w:rsid w:val="004B0B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17F197AF496468778D3AE75DF6235" ma:contentTypeVersion="9" ma:contentTypeDescription="Create a new document." ma:contentTypeScope="" ma:versionID="7add6e1b81ce0f586ecd0e526659ed6a">
  <xsd:schema xmlns:xsd="http://www.w3.org/2001/XMLSchema" xmlns:xs="http://www.w3.org/2001/XMLSchema" xmlns:p="http://schemas.microsoft.com/office/2006/metadata/properties" xmlns:ns3="40be8c06-eb4c-4be5-b4ce-f259999f4503" xmlns:ns4="794fa9d4-8068-4c99-b108-795ab3339e93" targetNamespace="http://schemas.microsoft.com/office/2006/metadata/properties" ma:root="true" ma:fieldsID="c981cd2149d867e803c11b4ff27009eb" ns3:_="" ns4:_="">
    <xsd:import namespace="40be8c06-eb4c-4be5-b4ce-f259999f4503"/>
    <xsd:import namespace="794fa9d4-8068-4c99-b108-795ab3339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8c06-eb4c-4be5-b4ce-f259999f4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fa9d4-8068-4c99-b108-795ab3339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1FA45-55D2-49E2-B1AC-9CB96CDB7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e8c06-eb4c-4be5-b4ce-f259999f4503"/>
    <ds:schemaRef ds:uri="794fa9d4-8068-4c99-b108-795ab3339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ECDB5-C8E4-4D99-B927-59961D35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ACFFF-A12E-48BD-9265-2C05E9BB6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AF2595-DD76-4742-A13A-2FDDD8B58B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2011-04-08T18:15:00Z</cp:lastPrinted>
  <dcterms:created xsi:type="dcterms:W3CDTF">2022-11-16T13:46:00Z</dcterms:created>
  <dcterms:modified xsi:type="dcterms:W3CDTF">2022-11-16T13:46:00Z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0x010100D4317F197AF496468778D3AE75DF6235</vt:lpwstr>
  </property>
</Properties>
</file>