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3197" w:rsidP="00DD3197" w14:paraId="51750D13" w14:textId="5F519C48">
      <w:pPr>
        <w:tabs>
          <w:tab w:val="left" w:pos="540"/>
        </w:tabs>
        <w:jc w:val="center"/>
        <w:rPr>
          <w:b/>
        </w:rPr>
      </w:pPr>
      <w:r w:rsidRPr="00AA25C7">
        <w:rPr>
          <w:b/>
        </w:rPr>
        <w:t>STATEMENT</w:t>
      </w:r>
      <w:r w:rsidR="00FD0EFA">
        <w:rPr>
          <w:b/>
        </w:rPr>
        <w:t xml:space="preserve"> A</w:t>
      </w:r>
      <w:r w:rsidRPr="00AA25C7">
        <w:rPr>
          <w:b/>
        </w:rPr>
        <w:t xml:space="preserve"> FOR</w:t>
      </w:r>
      <w:r>
        <w:rPr>
          <w:b/>
        </w:rPr>
        <w:t xml:space="preserve"> THE</w:t>
      </w:r>
    </w:p>
    <w:p w:rsidR="004F392C" w:rsidP="00DD3197" w14:paraId="128380E0" w14:textId="77777777">
      <w:pPr>
        <w:tabs>
          <w:tab w:val="left" w:pos="540"/>
        </w:tabs>
        <w:jc w:val="center"/>
        <w:rPr>
          <w:b/>
        </w:rPr>
      </w:pPr>
      <w:r>
        <w:rPr>
          <w:b/>
        </w:rPr>
        <w:t>DECLARATION FOR FEDERAL EMPLOYMENT</w:t>
      </w:r>
      <w:r>
        <w:rPr>
          <w:b/>
        </w:rPr>
        <w:t xml:space="preserve">, </w:t>
      </w:r>
    </w:p>
    <w:p w:rsidR="00023E91" w:rsidP="00DD3197" w14:paraId="59F3C539" w14:textId="77777777">
      <w:pPr>
        <w:tabs>
          <w:tab w:val="left" w:pos="540"/>
        </w:tabs>
        <w:jc w:val="center"/>
        <w:rPr>
          <w:b/>
        </w:rPr>
      </w:pPr>
      <w:r>
        <w:rPr>
          <w:b/>
        </w:rPr>
        <w:t xml:space="preserve">OPTIONAL </w:t>
      </w:r>
      <w:r w:rsidR="004F392C">
        <w:rPr>
          <w:b/>
        </w:rPr>
        <w:t xml:space="preserve">FORM </w:t>
      </w:r>
      <w:r>
        <w:rPr>
          <w:b/>
        </w:rPr>
        <w:t xml:space="preserve">306 </w:t>
      </w:r>
      <w:r w:rsidR="004F392C">
        <w:rPr>
          <w:b/>
        </w:rPr>
        <w:t>(</w:t>
      </w:r>
      <w:r>
        <w:rPr>
          <w:b/>
        </w:rPr>
        <w:t>OF 306</w:t>
      </w:r>
      <w:r w:rsidR="007D47A9">
        <w:rPr>
          <w:b/>
        </w:rPr>
        <w:t>)</w:t>
      </w:r>
    </w:p>
    <w:p w:rsidR="002245D4" w:rsidRPr="00AA25C7" w:rsidP="00DD3197" w14:paraId="77E21038" w14:textId="77777777">
      <w:pPr>
        <w:jc w:val="center"/>
        <w:rPr>
          <w:b/>
        </w:rPr>
      </w:pPr>
      <w:r>
        <w:rPr>
          <w:b/>
        </w:rPr>
        <w:t>OMB #</w:t>
      </w:r>
      <w:r w:rsidRPr="00857921" w:rsidR="003C72A5">
        <w:rPr>
          <w:b/>
        </w:rPr>
        <w:t>3206-0182</w:t>
      </w:r>
    </w:p>
    <w:p w:rsidR="00023E91" w:rsidRPr="00AA25C7" w14:paraId="36951F7E" w14:textId="77777777"/>
    <w:p w:rsidR="00023E91" w:rsidRPr="00AA25C7" w14:paraId="11E5F506" w14:textId="77777777"/>
    <w:p w:rsidR="006D2A21" w:rsidRPr="00AA25C7" w:rsidP="006D2A21" w14:paraId="3DF5AF43" w14:textId="77777777">
      <w:r w:rsidRPr="00AA25C7">
        <w:t>Justification:</w:t>
      </w:r>
    </w:p>
    <w:p w:rsidR="006D2A21" w:rsidRPr="00AA25C7" w:rsidP="006D2A21" w14:paraId="15516D24" w14:textId="77777777"/>
    <w:p w:rsidR="00023E91" w:rsidRPr="00AA25C7" w:rsidP="009439A5" w14:paraId="6FD4C2B6" w14:textId="77777777">
      <w:pPr>
        <w:numPr>
          <w:ilvl w:val="0"/>
          <w:numId w:val="17"/>
        </w:numPr>
        <w:rPr>
          <w:u w:val="single"/>
        </w:rPr>
      </w:pPr>
      <w:r w:rsidRPr="00AA25C7">
        <w:rPr>
          <w:b/>
          <w:u w:val="single"/>
        </w:rPr>
        <w:t xml:space="preserve">Explain the circumstances that make the collection of information necessary. Identify any legal or administrative requirements that necessitate the collection. </w:t>
      </w:r>
    </w:p>
    <w:p w:rsidR="006D2A21" w:rsidRPr="00AA25C7" w:rsidP="006D2A21" w14:paraId="503EA8A4" w14:textId="77777777">
      <w:pPr>
        <w:pStyle w:val="NormalWeb"/>
        <w:tabs>
          <w:tab w:val="left" w:pos="990"/>
          <w:tab w:val="left" w:pos="1440"/>
          <w:tab w:val="left" w:pos="1710"/>
          <w:tab w:val="left" w:pos="2520"/>
        </w:tabs>
        <w:spacing w:before="0" w:beforeAutospacing="0" w:after="0" w:afterAutospacing="0"/>
      </w:pPr>
    </w:p>
    <w:p w:rsidR="00023E91" w:rsidP="008C3DDF" w14:paraId="0ED88468" w14:textId="00972769">
      <w:pPr>
        <w:ind w:left="360"/>
      </w:pPr>
      <w:r>
        <w:t>The information collected on this form is used to determine acceptability for Federal and Federal contract employment.  The U.S. Office of Personnel Management (OPM) is authorized to request this information under</w:t>
      </w:r>
      <w:r w:rsidR="0068774E">
        <w:t xml:space="preserve"> Exe</w:t>
      </w:r>
      <w:r w:rsidR="00E537B8">
        <w:t>cutive Order</w:t>
      </w:r>
      <w:r w:rsidR="0068774E">
        <w:t xml:space="preserve"> </w:t>
      </w:r>
      <w:r w:rsidR="003C72A5">
        <w:t>13467, as amended</w:t>
      </w:r>
      <w:r w:rsidR="0068774E">
        <w:t xml:space="preserve">; </w:t>
      </w:r>
      <w:r>
        <w:t xml:space="preserve">sections </w:t>
      </w:r>
      <w:r w:rsidR="003C72A5">
        <w:t>1103</w:t>
      </w:r>
      <w:r>
        <w:t xml:space="preserve"> of title 5,</w:t>
      </w:r>
      <w:r w:rsidR="0068774E">
        <w:t xml:space="preserve"> United States Code (</w:t>
      </w:r>
      <w:r>
        <w:t>U.S.C.</w:t>
      </w:r>
      <w:r w:rsidR="0068774E">
        <w:t xml:space="preserve">); and </w:t>
      </w:r>
      <w:r w:rsidRPr="00FA3959" w:rsidR="00FA3959">
        <w:t xml:space="preserve">parts 2, 5, 731, and </w:t>
      </w:r>
      <w:r w:rsidR="0068774E">
        <w:t>736 of title 5, Code of Federal Regulations (CFR)</w:t>
      </w:r>
      <w:r w:rsidR="003C72A5">
        <w:t>.</w:t>
      </w:r>
      <w:r w:rsidRPr="003C72A5" w:rsidR="003C72A5">
        <w:t xml:space="preserve"> </w:t>
      </w:r>
      <w:r w:rsidR="003C72A5">
        <w:t xml:space="preserve"> Section 1104 of title 5 allows OPM to delegate personnel management functions to other Federal agencies</w:t>
      </w:r>
      <w:r w:rsidR="00824687">
        <w:t>.</w:t>
      </w:r>
    </w:p>
    <w:p w:rsidR="008C3DDF" w:rsidRPr="00AA25C7" w:rsidP="008C3DDF" w14:paraId="235C41AE" w14:textId="77777777">
      <w:pPr>
        <w:ind w:left="360"/>
      </w:pPr>
    </w:p>
    <w:p w:rsidR="00023E91" w:rsidRPr="00AA25C7" w:rsidP="009439A5" w14:paraId="25507705" w14:textId="77777777">
      <w:pPr>
        <w:numPr>
          <w:ilvl w:val="0"/>
          <w:numId w:val="17"/>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00023E91" w:rsidRPr="00AA25C7" w14:paraId="1AF2C73F" w14:textId="77777777"/>
    <w:p w:rsidR="003C72A5" w:rsidRPr="0013772B" w:rsidP="003C72A5" w14:paraId="6ED279DA" w14:textId="77777777">
      <w:pPr>
        <w:ind w:left="360"/>
      </w:pPr>
      <w:r w:rsidRPr="0013772B">
        <w:t>The Optional Form (OF) 306 is completed by individual applicants during the hiring process.  It is a fillable form that collects information about an applicant’s selective service registration, military service, and general background.  The information collected on this form is mainly used to determine a person’s acceptability for Federal and Federal contract employment</w:t>
      </w:r>
      <w:r>
        <w:t>.  T</w:t>
      </w:r>
      <w:r w:rsidRPr="0013772B">
        <w:t xml:space="preserve">he information on this form may be used in conducting an investigation to determine a person’s suitability or ability to hold a </w:t>
      </w:r>
      <w:r>
        <w:t>security</w:t>
      </w:r>
      <w:r w:rsidRPr="0013772B">
        <w:t xml:space="preserve"> clearance, and it may be disclosed to authorized officials making similar, subsequent determinations.  </w:t>
      </w:r>
    </w:p>
    <w:p w:rsidR="003C72A5" w:rsidRPr="0013772B" w:rsidP="003C72A5" w14:paraId="1B99825B" w14:textId="77777777">
      <w:pPr>
        <w:ind w:left="720" w:firstLine="720"/>
      </w:pPr>
      <w:r w:rsidRPr="0013772B">
        <w:t> </w:t>
      </w:r>
    </w:p>
    <w:p w:rsidR="003C72A5" w:rsidRPr="0013772B" w:rsidP="003C72A5" w14:paraId="6B2A8EBC" w14:textId="77777777">
      <w:pPr>
        <w:ind w:left="360"/>
      </w:pPr>
      <w:r w:rsidRPr="0013772B">
        <w:t>This information is collected by human resources professionals during the hiring process.</w:t>
      </w:r>
    </w:p>
    <w:p w:rsidR="00411DF1" w:rsidRPr="00AA25C7" w:rsidP="003824EE" w14:paraId="5AB2AC8B" w14:textId="77777777">
      <w:pPr>
        <w:ind w:left="1440"/>
      </w:pPr>
      <w:r w:rsidRPr="0013772B">
        <w:t> </w:t>
      </w:r>
    </w:p>
    <w:p w:rsidR="00023E91" w:rsidRPr="00AA25C7" w:rsidP="009439A5" w14:paraId="13924038" w14:textId="77777777">
      <w:pPr>
        <w:numPr>
          <w:ilvl w:val="0"/>
          <w:numId w:val="17"/>
        </w:numPr>
        <w:rPr>
          <w:u w:val="single"/>
        </w:rPr>
      </w:pPr>
      <w:r w:rsidRPr="00AA25C7">
        <w:rPr>
          <w:b/>
          <w:u w:val="single"/>
        </w:rPr>
        <w:t xml:space="preserve">Describe whether, and to what extent, the collection of information involves the use of automated, electronic, mechanical, or other technological collection </w:t>
      </w:r>
      <w:r w:rsidRPr="00AA25C7">
        <w:rPr>
          <w:b/>
          <w:u w:val="single"/>
        </w:rPr>
        <w:t>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00023E91" w:rsidRPr="00AA25C7" w14:paraId="6CB65126" w14:textId="77777777"/>
    <w:p w:rsidR="00857921" w:rsidRPr="0013772B" w:rsidP="00857921" w14:paraId="29541079" w14:textId="41CF8DBC">
      <w:pPr>
        <w:ind w:left="360"/>
      </w:pPr>
      <w:r w:rsidRPr="00B4218D">
        <w:t> </w:t>
      </w:r>
      <w:r>
        <w:t>The OF</w:t>
      </w:r>
      <w:r w:rsidR="00824687">
        <w:t xml:space="preserve"> </w:t>
      </w:r>
      <w:r>
        <w:t>306 is available as a pdf on the web.</w:t>
      </w:r>
      <w:r w:rsidRPr="00D75757">
        <w:t xml:space="preserve"> </w:t>
      </w:r>
      <w:r w:rsidR="009C06AD">
        <w:t xml:space="preserve"> It is also incorporated into the onboarding functionality of USA Staffing, a system that allows for electronic collection of information necessary to onboard an individual for federal service.</w:t>
      </w:r>
      <w:r w:rsidRPr="008625A9" w:rsidR="008625A9">
        <w:t xml:space="preserve"> Agencies also create versions in their own automated systems.  For example, IRS uses one.  When they do so, their system must meet the requirements in OPM’s Entrance on Duty Manual</w:t>
      </w:r>
      <w:r w:rsidR="008625A9">
        <w:t xml:space="preserve"> available at </w:t>
      </w:r>
      <w:hyperlink r:id="rId5" w:history="1">
        <w:r w:rsidRPr="008625A9" w:rsidR="008625A9">
          <w:rPr>
            <w:rStyle w:val="Hyperlink"/>
          </w:rPr>
          <w:t>https://eopf.opm.gov/eOPFToolkit/Documents/EOD%20RequirementsAndSystemCertification%20v2.3.pdf</w:t>
        </w:r>
      </w:hyperlink>
    </w:p>
    <w:p w:rsidR="00BE2C30" w:rsidRPr="00B4218D" w:rsidP="00BE2C30" w14:paraId="1908BA91" w14:textId="77777777"/>
    <w:p w:rsidR="00F43207" w:rsidRPr="00AA25C7" w14:paraId="72230931" w14:textId="2F39BFE5">
      <w:r w:rsidRPr="00B4218D">
        <w:t> </w:t>
      </w:r>
    </w:p>
    <w:p w:rsidR="00023E91" w:rsidRPr="00AA25C7" w:rsidP="009439A5" w14:paraId="45248806" w14:textId="77777777">
      <w:pPr>
        <w:numPr>
          <w:ilvl w:val="0"/>
          <w:numId w:val="17"/>
        </w:numPr>
        <w:rPr>
          <w:b/>
          <w:u w:val="single"/>
        </w:rPr>
      </w:pPr>
      <w:r w:rsidRPr="00AA25C7">
        <w:rPr>
          <w:b/>
          <w:u w:val="single"/>
        </w:rPr>
        <w:t>Describe efforts to identify duplication.</w:t>
      </w:r>
      <w:r w:rsidR="002346EC">
        <w:rPr>
          <w:b/>
          <w:u w:val="single"/>
        </w:rPr>
        <w:t xml:space="preserve">  Show specifically why any similar information already available cannot be used or modified for use for the purposes described in Item 2 above.</w:t>
      </w:r>
      <w:r w:rsidRPr="00AA25C7">
        <w:rPr>
          <w:b/>
          <w:u w:val="single"/>
        </w:rPr>
        <w:t xml:space="preserve"> </w:t>
      </w:r>
    </w:p>
    <w:p w:rsidR="00023E91" w14:paraId="25832553" w14:textId="77777777"/>
    <w:p w:rsidR="00857921" w:rsidP="00857921" w14:paraId="333B9E25" w14:textId="6149554E">
      <w:pPr>
        <w:ind w:left="360"/>
      </w:pPr>
      <w:r w:rsidRPr="0013772B">
        <w:t>Information collected on the OF 306 about a person’s selective service information, military service and general background information is used to determine the acceptability for Federal employment.  Other forms, specifically the SF-85</w:t>
      </w:r>
      <w:r>
        <w:t>P</w:t>
      </w:r>
      <w:r w:rsidRPr="0013772B">
        <w:t xml:space="preserve"> and SF-86, may request </w:t>
      </w:r>
      <w:r>
        <w:t>similar</w:t>
      </w:r>
      <w:r w:rsidRPr="0013772B">
        <w:t xml:space="preserve"> information, but these information collections are for the purpose </w:t>
      </w:r>
      <w:r w:rsidR="00824687">
        <w:t xml:space="preserve">of </w:t>
      </w:r>
      <w:r w:rsidRPr="0013772B">
        <w:t xml:space="preserve">determining an eligible employee’s suitability for a position of trust or </w:t>
      </w:r>
      <w:r>
        <w:t xml:space="preserve">eligibility to occupy a sensitive position or have </w:t>
      </w:r>
      <w:r w:rsidRPr="0013772B">
        <w:t>access to National Security information</w:t>
      </w:r>
      <w:r w:rsidR="009C06AD">
        <w:t xml:space="preserve">. </w:t>
      </w:r>
      <w:r w:rsidR="00435539">
        <w:t xml:space="preserve"> </w:t>
      </w:r>
      <w:r w:rsidR="009C06AD">
        <w:t>These collections may occur at a later point in time during the onboarding process</w:t>
      </w:r>
      <w:r w:rsidRPr="0013772B">
        <w:t>.</w:t>
      </w:r>
      <w:r w:rsidR="009C06AD">
        <w:t xml:space="preserve">  Efforts are underway to examine the feasibility of electronically transferring certain points of information collected on the OF 306 into background investigation systems, when appropriate.  The background investigation systems are currently being rebuilt and are not yet mature enough to accommodate such an interface at present.</w:t>
      </w:r>
      <w:r w:rsidRPr="0013772B">
        <w:t xml:space="preserve">  </w:t>
      </w:r>
    </w:p>
    <w:p w:rsidR="00F43207" w:rsidRPr="00AA25C7" w14:paraId="112EC5BD" w14:textId="77777777"/>
    <w:p w:rsidR="00023E91" w:rsidRPr="00AA25C7" w:rsidP="009439A5" w14:paraId="4A64A466" w14:textId="77777777">
      <w:pPr>
        <w:numPr>
          <w:ilvl w:val="0"/>
          <w:numId w:val="17"/>
        </w:numPr>
        <w:rPr>
          <w:b/>
          <w:u w:val="single"/>
        </w:rPr>
      </w:pPr>
      <w:r w:rsidRPr="00AA25C7">
        <w:rPr>
          <w:b/>
          <w:u w:val="single"/>
        </w:rPr>
        <w:t xml:space="preserve">If the collection of information impacts small businesses or other small entities (Item 5 of OMB Form 83-I), describe any methods used to minimize burden. </w:t>
      </w:r>
    </w:p>
    <w:p w:rsidR="00023E91" w:rsidRPr="00AA25C7" w14:paraId="1203B480" w14:textId="77777777">
      <w:pPr>
        <w:rPr>
          <w:b/>
        </w:rPr>
      </w:pPr>
    </w:p>
    <w:p w:rsidR="00023E91" w:rsidRPr="00AA25C7" w:rsidP="009439A5" w14:paraId="33304501" w14:textId="77777777">
      <w:pPr>
        <w:ind w:left="360"/>
      </w:pPr>
      <w:r w:rsidRPr="00AA25C7">
        <w:t>Not applicable.  This collection of information does not affect small businesses or other small entities.</w:t>
      </w:r>
    </w:p>
    <w:p w:rsidR="00023E91" w:rsidRPr="00AA25C7" w14:paraId="5DD3FB2C" w14:textId="77777777"/>
    <w:p w:rsidR="00023E91" w:rsidRPr="00AA25C7" w:rsidP="00A124DA" w14:paraId="2857AF96" w14:textId="77777777">
      <w:pPr>
        <w:numPr>
          <w:ilvl w:val="0"/>
          <w:numId w:val="17"/>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00023E91" w:rsidRPr="00AA25C7" w14:paraId="46F7D6D9" w14:textId="77777777"/>
    <w:p w:rsidR="00857921" w:rsidRPr="00844FBC" w:rsidP="00857921" w14:paraId="2CFA1601" w14:textId="6CB6A74B">
      <w:pPr>
        <w:pStyle w:val="HTMLPreformatted"/>
        <w:ind w:left="360"/>
        <w:rPr>
          <w:rFonts w:ascii="Times New Roman" w:hAnsi="Times New Roman" w:cs="Times New Roman"/>
          <w:sz w:val="24"/>
          <w:szCs w:val="24"/>
        </w:rPr>
      </w:pPr>
      <w:r w:rsidRPr="00844FBC">
        <w:rPr>
          <w:rFonts w:ascii="Times New Roman" w:hAnsi="Times New Roman"/>
          <w:sz w:val="24"/>
          <w:szCs w:val="24"/>
        </w:rPr>
        <w:t>The OF 306 is completed by applicants who are under consideration for Federal or Federal contract employment.  The OF 306 requests that the applicant provide personal identifying data, including convictions, imprisonments, probations, paroles or military court martial in the past 10 years, delinquency on a Federal debt, Selective Service Registration, United States military service</w:t>
      </w:r>
      <w:r w:rsidR="00DD686A">
        <w:rPr>
          <w:rFonts w:ascii="Times New Roman" w:hAnsi="Times New Roman"/>
          <w:sz w:val="24"/>
          <w:szCs w:val="24"/>
        </w:rPr>
        <w:t>,</w:t>
      </w:r>
      <w:r w:rsidRPr="00844FBC">
        <w:rPr>
          <w:rFonts w:ascii="Times New Roman" w:hAnsi="Times New Roman"/>
          <w:sz w:val="24"/>
          <w:szCs w:val="24"/>
        </w:rPr>
        <w:t xml:space="preserve"> and Federal civilian or military retirement pay or pension received or applied for.</w:t>
      </w:r>
    </w:p>
    <w:p w:rsidR="00857921" w:rsidP="00857921" w14:paraId="112AEFAB" w14:textId="77777777">
      <w:pPr>
        <w:pStyle w:val="HTMLPreformatted"/>
        <w:ind w:left="360"/>
        <w:rPr>
          <w:rFonts w:ascii="Times New Roman" w:hAnsi="Times New Roman" w:cs="Times New Roman"/>
          <w:sz w:val="24"/>
          <w:szCs w:val="24"/>
        </w:rPr>
      </w:pPr>
    </w:p>
    <w:p w:rsidR="00857921" w:rsidP="00857921" w14:paraId="37393BA7" w14:textId="5616367D">
      <w:pPr>
        <w:ind w:left="360"/>
      </w:pPr>
      <w:r w:rsidRPr="00AA25C7">
        <w:t>If this information is not collected,</w:t>
      </w:r>
      <w:r>
        <w:t xml:space="preserve"> OPM would be neglecting authorization to request this information under sections 1302, 3301, 3304, 3328, and 8716 of title 5</w:t>
      </w:r>
      <w:r w:rsidR="00824687">
        <w:t>.</w:t>
      </w:r>
      <w:r>
        <w:t xml:space="preserve"> U.S.C. Section 1104 of title 5 allows OPM to delegate personnel management functions to other Federal agencies.</w:t>
      </w:r>
    </w:p>
    <w:p w:rsidR="00F16F17" w:rsidRPr="00AA25C7" w:rsidP="00857921" w14:paraId="29B248EA" w14:textId="77777777">
      <w:pPr>
        <w:pStyle w:val="HTMLPreformatted"/>
      </w:pPr>
    </w:p>
    <w:p w:rsidR="00023E91" w:rsidRPr="00AA25C7" w:rsidP="00A124DA" w14:paraId="37A40B48"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Explain any special circumstances that would cause an information collect</w:t>
      </w:r>
      <w:r w:rsidRPr="00AA25C7" w:rsidR="00A124DA">
        <w:rPr>
          <w:rFonts w:ascii="Times New Roman" w:hAnsi="Times New Roman" w:cs="Times New Roman"/>
          <w:b/>
          <w:u w:val="single"/>
        </w:rPr>
        <w:t>ion to be conducted in a manner inconsistent with the guidelines in 5 CFR 1320.6.</w:t>
      </w:r>
      <w:r w:rsidRPr="00AA25C7">
        <w:rPr>
          <w:rFonts w:ascii="Times New Roman" w:hAnsi="Times New Roman" w:cs="Times New Roman"/>
          <w:b/>
          <w:u w:val="single"/>
        </w:rPr>
        <w:t xml:space="preserve"> </w:t>
      </w:r>
    </w:p>
    <w:p w:rsidR="00A124DA" w:rsidRPr="00AA25C7" w14:paraId="2B518D91" w14:textId="77777777"/>
    <w:p w:rsidR="00023E91" w:rsidRPr="00AA25C7" w:rsidP="00AD2E3C" w14:paraId="72B0C74B" w14:textId="77777777">
      <w:pPr>
        <w:ind w:left="360"/>
      </w:pPr>
      <w:r w:rsidRPr="00AA25C7">
        <w:t>Not applicable.  This information collection is in compliance with 5 CFR 1320</w:t>
      </w:r>
      <w:r w:rsidR="00AD2E3C">
        <w:t xml:space="preserve">.6.  </w:t>
      </w:r>
    </w:p>
    <w:p w:rsidR="00023E91" w:rsidRPr="00AA25C7" w14:paraId="02DA7D5D" w14:textId="77777777"/>
    <w:p w:rsidR="00023E91" w:rsidP="00A124DA" w14:paraId="130808AB" w14:textId="77777777">
      <w:pPr>
        <w:numPr>
          <w:ilvl w:val="0"/>
          <w:numId w:val="17"/>
        </w:numPr>
        <w:rPr>
          <w:b/>
          <w:u w:val="single"/>
        </w:rPr>
      </w:pPr>
      <w:r w:rsidRPr="00AA25C7">
        <w:rPr>
          <w:b/>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w:t>
      </w:r>
      <w:r w:rsidRPr="00AA25C7">
        <w:rPr>
          <w:b/>
          <w:u w:val="single"/>
        </w:rPr>
        <w:t xml:space="preserve">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r w:rsidR="00870AE4">
        <w:rPr>
          <w:b/>
          <w:u w:val="single"/>
        </w:rPr>
        <w:t xml:space="preserve">  </w:t>
      </w:r>
    </w:p>
    <w:p w:rsidR="00F47F88" w:rsidP="00870AE4" w14:paraId="36413E39" w14:textId="77777777">
      <w:pPr>
        <w:ind w:left="360"/>
      </w:pPr>
    </w:p>
    <w:p w:rsidR="006D0909" w:rsidRPr="008A2A52" w:rsidP="006D0909" w14:paraId="7FFCE0BA" w14:textId="76EA32D5">
      <w:pPr>
        <w:ind w:left="360"/>
        <w:rPr>
          <w:rFonts w:ascii="Segoe UI" w:hAnsi="Segoe UI" w:cs="Segoe UI"/>
          <w:sz w:val="18"/>
          <w:szCs w:val="18"/>
        </w:rPr>
      </w:pPr>
      <w:r w:rsidRPr="008A2A52">
        <w:t xml:space="preserve">OPM previously solicited comments for this collection, with a 60-day public comment period, at </w:t>
      </w:r>
      <w:r w:rsidRPr="008A2A52">
        <w:t xml:space="preserve">87 FR 24885 </w:t>
      </w:r>
      <w:r w:rsidRPr="008A2A52">
        <w:t>(</w:t>
      </w:r>
      <w:r w:rsidRPr="008A2A52">
        <w:t>April</w:t>
      </w:r>
      <w:r w:rsidRPr="008A2A52">
        <w:t xml:space="preserve"> 2</w:t>
      </w:r>
      <w:r w:rsidRPr="008A2A52">
        <w:t>1</w:t>
      </w:r>
      <w:r w:rsidRPr="008A2A52">
        <w:t>, 20</w:t>
      </w:r>
      <w:r w:rsidRPr="008A2A52">
        <w:t>22</w:t>
      </w:r>
      <w:r w:rsidRPr="008A2A52">
        <w:t xml:space="preserve">).  </w:t>
      </w:r>
      <w:r w:rsidRPr="008A2A52">
        <w:rPr>
          <w:rStyle w:val="normaltextrun"/>
        </w:rPr>
        <w:t xml:space="preserve">In response to the invitation to comment on the OF 306, OPM received </w:t>
      </w:r>
      <w:r w:rsidR="00B514C4">
        <w:rPr>
          <w:rStyle w:val="normaltextrun"/>
        </w:rPr>
        <w:t>f</w:t>
      </w:r>
      <w:r w:rsidR="006E7F00">
        <w:rPr>
          <w:rStyle w:val="normaltextrun"/>
        </w:rPr>
        <w:t>ive</w:t>
      </w:r>
      <w:r w:rsidR="00B514C4">
        <w:rPr>
          <w:rStyle w:val="normaltextrun"/>
        </w:rPr>
        <w:t xml:space="preserve"> </w:t>
      </w:r>
      <w:r w:rsidRPr="008A2A52">
        <w:rPr>
          <w:rStyle w:val="normaltextrun"/>
        </w:rPr>
        <w:t>comments addressing how the form is used and recommendations for changes to the form’s content.</w:t>
      </w:r>
      <w:r w:rsidRPr="008A2A52">
        <w:rPr>
          <w:rStyle w:val="eop"/>
        </w:rPr>
        <w:t> </w:t>
      </w:r>
      <w:r w:rsidRPr="00B514C4" w:rsidR="00B514C4">
        <w:t xml:space="preserve"> </w:t>
      </w:r>
    </w:p>
    <w:p w:rsidR="006D0909" w:rsidRPr="008A2A52" w:rsidP="006D0909" w14:paraId="23463F7A" w14:textId="77777777">
      <w:pPr>
        <w:pStyle w:val="paragraph"/>
        <w:spacing w:before="0" w:beforeAutospacing="0" w:after="0" w:afterAutospacing="0"/>
        <w:ind w:left="360" w:firstLine="720"/>
        <w:textAlignment w:val="baseline"/>
        <w:rPr>
          <w:rStyle w:val="normaltextrun"/>
        </w:rPr>
      </w:pPr>
    </w:p>
    <w:p w:rsidR="00162B65" w:rsidRPr="008A2A52" w:rsidP="00162B65" w14:paraId="73A167B1" w14:textId="6BB43807">
      <w:pPr>
        <w:pStyle w:val="paragraph"/>
        <w:spacing w:before="0" w:beforeAutospacing="0" w:after="0" w:afterAutospacing="0"/>
        <w:ind w:left="360"/>
        <w:textAlignment w:val="baseline"/>
        <w:rPr>
          <w:rFonts w:ascii="Segoe UI" w:hAnsi="Segoe UI" w:cs="Segoe UI"/>
          <w:sz w:val="18"/>
          <w:szCs w:val="18"/>
        </w:rPr>
      </w:pPr>
      <w:r>
        <w:rPr>
          <w:rStyle w:val="normaltextrun"/>
        </w:rPr>
        <w:t>One</w:t>
      </w:r>
      <w:r w:rsidRPr="008A2A52">
        <w:rPr>
          <w:rStyle w:val="normaltextrun"/>
        </w:rPr>
        <w:t xml:space="preserve"> agency described the process for processing selectees in the USA Staffing system by which the selectee enters information which then populates onto the applicable forms, including the OF 306.  The agency opined t</w:t>
      </w:r>
      <w:r w:rsidR="00B557C5">
        <w:rPr>
          <w:rStyle w:val="normaltextrun"/>
        </w:rPr>
        <w:t>hat t</w:t>
      </w:r>
      <w:r w:rsidRPr="008A2A52">
        <w:rPr>
          <w:rStyle w:val="normaltextrun"/>
        </w:rPr>
        <w:t>his process is efficient and the information collection is necessary in order for the proper completion of all of the forms requested by the agency. </w:t>
      </w:r>
      <w:r>
        <w:rPr>
          <w:rStyle w:val="normaltextrun"/>
        </w:rPr>
        <w:t xml:space="preserve"> </w:t>
      </w:r>
      <w:r w:rsidRPr="008A2A52">
        <w:rPr>
          <w:rStyle w:val="normaltextrun"/>
        </w:rPr>
        <w:t>OPM agrees that USA Staffing is an efficient process for collecting the information.</w:t>
      </w:r>
    </w:p>
    <w:p w:rsidR="00162B65" w:rsidRPr="008A2A52" w:rsidP="00162B65" w14:paraId="1213E18C" w14:textId="77777777">
      <w:pPr>
        <w:pStyle w:val="paragraph"/>
        <w:spacing w:before="0" w:beforeAutospacing="0" w:after="0" w:afterAutospacing="0"/>
        <w:ind w:left="360"/>
        <w:textAlignment w:val="baseline"/>
        <w:rPr>
          <w:rFonts w:ascii="Segoe UI" w:hAnsi="Segoe UI" w:cs="Segoe UI"/>
          <w:sz w:val="18"/>
          <w:szCs w:val="18"/>
        </w:rPr>
      </w:pPr>
      <w:r w:rsidRPr="008A2A52">
        <w:rPr>
          <w:rStyle w:val="eop"/>
        </w:rPr>
        <w:t> </w:t>
      </w:r>
    </w:p>
    <w:p w:rsidR="00162B65" w:rsidP="00162B65" w14:paraId="1FC06F3C" w14:textId="68BB4B9F">
      <w:pPr>
        <w:pStyle w:val="paragraph"/>
        <w:spacing w:before="0" w:beforeAutospacing="0" w:after="0" w:afterAutospacing="0"/>
        <w:ind w:left="360"/>
        <w:textAlignment w:val="baseline"/>
      </w:pPr>
      <w:r w:rsidRPr="008A2A52">
        <w:rPr>
          <w:rStyle w:val="normaltextrun"/>
        </w:rPr>
        <w:t>An</w:t>
      </w:r>
      <w:r>
        <w:rPr>
          <w:rStyle w:val="normaltextrun"/>
        </w:rPr>
        <w:t>other</w:t>
      </w:r>
      <w:r w:rsidRPr="008A2A52">
        <w:rPr>
          <w:rStyle w:val="normaltextrun"/>
        </w:rPr>
        <w:t xml:space="preserve"> agency suggested OPM align the description of what is requested in the Military Service section of the form to the manner in which it is provided on the DD214.  OPM is not recommending changes to the OF 306 in response to this suggestion as not all of the information in the DD214 is necessary for the purposes of the OF 306.</w:t>
      </w:r>
      <w:r w:rsidRPr="00B514C4">
        <w:rPr>
          <w:rFonts w:ascii="Roboto" w:hAnsi="Roboto"/>
          <w:color w:val="000000"/>
        </w:rPr>
        <w:t xml:space="preserve"> </w:t>
      </w:r>
      <w:r>
        <w:rPr>
          <w:rFonts w:ascii="Roboto" w:hAnsi="Roboto"/>
          <w:color w:val="000000"/>
        </w:rPr>
        <w:t xml:space="preserve"> </w:t>
      </w:r>
      <w:r>
        <w:t>A veteran should be able to use the</w:t>
      </w:r>
      <w:r w:rsidRPr="00B514C4">
        <w:t xml:space="preserve"> DD-214</w:t>
      </w:r>
      <w:r>
        <w:t xml:space="preserve"> issued to them</w:t>
      </w:r>
      <w:r w:rsidRPr="00B514C4">
        <w:t xml:space="preserve"> </w:t>
      </w:r>
      <w:r>
        <w:t>to identify their</w:t>
      </w:r>
      <w:r w:rsidRPr="00B514C4">
        <w:t xml:space="preserve"> condition of discharge</w:t>
      </w:r>
      <w:r>
        <w:t xml:space="preserve"> and provide it on the OF 306.</w:t>
      </w:r>
    </w:p>
    <w:p w:rsidR="00162B65" w:rsidP="00162B65" w14:paraId="7450EF38" w14:textId="5FF63D17">
      <w:pPr>
        <w:pStyle w:val="paragraph"/>
        <w:spacing w:before="0" w:beforeAutospacing="0" w:after="0" w:afterAutospacing="0"/>
        <w:ind w:left="360"/>
        <w:textAlignment w:val="baseline"/>
      </w:pPr>
    </w:p>
    <w:p w:rsidR="00162B65" w:rsidP="00162B65" w14:paraId="04927E0A" w14:textId="1E9DBF53">
      <w:pPr>
        <w:pStyle w:val="paragraph"/>
        <w:spacing w:before="0" w:beforeAutospacing="0" w:after="0" w:afterAutospacing="0"/>
        <w:ind w:left="360"/>
        <w:textAlignment w:val="baseline"/>
      </w:pPr>
      <w:r>
        <w:t>Several commenters offered views regarding the timing of when agencies ask applicants to complete the OF 306.</w:t>
      </w:r>
    </w:p>
    <w:p w:rsidR="00162B65" w:rsidRPr="008A2A52" w:rsidP="00162B65" w14:paraId="0666537E" w14:textId="77777777">
      <w:pPr>
        <w:pStyle w:val="paragraph"/>
        <w:spacing w:before="0" w:beforeAutospacing="0" w:after="0" w:afterAutospacing="0"/>
        <w:ind w:left="360"/>
        <w:textAlignment w:val="baseline"/>
        <w:rPr>
          <w:rFonts w:ascii="Segoe UI" w:hAnsi="Segoe UI" w:cs="Segoe UI"/>
          <w:sz w:val="18"/>
          <w:szCs w:val="18"/>
        </w:rPr>
      </w:pPr>
    </w:p>
    <w:p w:rsidR="006E7F00" w:rsidP="008B5708" w14:paraId="25ACB426" w14:textId="0336A495">
      <w:pPr>
        <w:pStyle w:val="paragraph"/>
        <w:numPr>
          <w:ilvl w:val="0"/>
          <w:numId w:val="44"/>
        </w:numPr>
        <w:spacing w:before="0" w:beforeAutospacing="0" w:after="0" w:afterAutospacing="0"/>
        <w:textAlignment w:val="baseline"/>
        <w:rPr>
          <w:rStyle w:val="normaltextrun"/>
        </w:rPr>
      </w:pPr>
      <w:r w:rsidRPr="008A2A52">
        <w:rPr>
          <w:rStyle w:val="normaltextrun"/>
        </w:rPr>
        <w:t xml:space="preserve">One agency offered that they are already in compliance </w:t>
      </w:r>
      <w:r w:rsidR="00162B65">
        <w:rPr>
          <w:rStyle w:val="normaltextrun"/>
        </w:rPr>
        <w:t xml:space="preserve">with the federal government’s “ban the box” policy </w:t>
      </w:r>
      <w:r w:rsidRPr="008A2A52">
        <w:rPr>
          <w:rStyle w:val="normaltextrun"/>
        </w:rPr>
        <w:t>by not asking for criminal history information ahead of conditional offer</w:t>
      </w:r>
      <w:r w:rsidR="00824687">
        <w:rPr>
          <w:rStyle w:val="normaltextrun"/>
        </w:rPr>
        <w:t xml:space="preserve">; the agency </w:t>
      </w:r>
      <w:r w:rsidR="00824687">
        <w:rPr>
          <w:rStyle w:val="normaltextrun"/>
        </w:rPr>
        <w:t>does not collect the OF 306 or the background investigation form until after</w:t>
      </w:r>
      <w:r w:rsidR="005049C0">
        <w:rPr>
          <w:rStyle w:val="normaltextrun"/>
        </w:rPr>
        <w:t xml:space="preserve"> </w:t>
      </w:r>
      <w:r w:rsidR="00824687">
        <w:rPr>
          <w:rStyle w:val="normaltextrun"/>
        </w:rPr>
        <w:t>an</w:t>
      </w:r>
      <w:r w:rsidRPr="008A2A52">
        <w:rPr>
          <w:rStyle w:val="normaltextrun"/>
        </w:rPr>
        <w:t xml:space="preserve"> offer is made. </w:t>
      </w:r>
    </w:p>
    <w:p w:rsidR="006E7F00" w:rsidP="008625A9" w14:paraId="0ECE4EFC" w14:textId="77777777">
      <w:pPr>
        <w:pStyle w:val="paragraph"/>
        <w:spacing w:before="0" w:beforeAutospacing="0" w:after="0" w:afterAutospacing="0"/>
        <w:ind w:left="360"/>
        <w:textAlignment w:val="baseline"/>
        <w:rPr>
          <w:rStyle w:val="normaltextrun"/>
        </w:rPr>
      </w:pPr>
    </w:p>
    <w:p w:rsidR="006E7F00" w:rsidP="008B5708" w14:paraId="1C8FA5FE" w14:textId="20D63D3E">
      <w:pPr>
        <w:pStyle w:val="paragraph"/>
        <w:numPr>
          <w:ilvl w:val="0"/>
          <w:numId w:val="44"/>
        </w:numPr>
        <w:spacing w:before="0" w:beforeAutospacing="0" w:after="0" w:afterAutospacing="0"/>
        <w:textAlignment w:val="baseline"/>
        <w:rPr>
          <w:rStyle w:val="normaltextrun"/>
        </w:rPr>
      </w:pPr>
      <w:r>
        <w:rPr>
          <w:rStyle w:val="normaltextrun"/>
        </w:rPr>
        <w:t>Another</w:t>
      </w:r>
      <w:r w:rsidRPr="008A2A52">
        <w:rPr>
          <w:rStyle w:val="normaltextrun"/>
        </w:rPr>
        <w:t xml:space="preserve"> </w:t>
      </w:r>
      <w:r w:rsidRPr="008A2A52" w:rsidR="006D0909">
        <w:rPr>
          <w:rStyle w:val="normaltextrun"/>
        </w:rPr>
        <w:t xml:space="preserve">agency offered that the OF 306 along with an agency specific addendum should be collected only when an applicant self-discloses a criminal record, employment issues, or financial delinquencies, and in this case, the agency offers due process.  OPM will not make a revision to the OF 306 based on this comment.  As is explained in this notice, unless the position is exempt from the provisions of the Fair Chance Act or a position specific exception has been granted, criminal history or credit information of the nature sought on the OF 306 may not be requested prior to conditional job offer. </w:t>
      </w:r>
      <w:r w:rsidR="00407E7A">
        <w:rPr>
          <w:rStyle w:val="normaltextrun"/>
        </w:rPr>
        <w:t xml:space="preserve"> </w:t>
      </w:r>
      <w:r w:rsidRPr="008A2A52" w:rsidR="006D0909">
        <w:rPr>
          <w:rStyle w:val="normaltextrun"/>
        </w:rPr>
        <w:t xml:space="preserve">Once a conditional offer of employment has been made, the information collection is necessary to determine acceptability for Federal and Federal contract employment.  </w:t>
      </w:r>
    </w:p>
    <w:p w:rsidR="006E7F00" w:rsidP="008625A9" w14:paraId="19F23DC1" w14:textId="77777777">
      <w:pPr>
        <w:pStyle w:val="paragraph"/>
        <w:spacing w:before="0" w:beforeAutospacing="0" w:after="0" w:afterAutospacing="0"/>
        <w:ind w:left="360"/>
        <w:textAlignment w:val="baseline"/>
        <w:rPr>
          <w:rStyle w:val="normaltextrun"/>
        </w:rPr>
      </w:pPr>
    </w:p>
    <w:p w:rsidR="008625A9" w:rsidP="008625A9" w14:paraId="16027F10" w14:textId="77777777">
      <w:pPr>
        <w:pStyle w:val="paragraph"/>
        <w:spacing w:before="0" w:beforeAutospacing="0" w:after="0" w:afterAutospacing="0"/>
        <w:ind w:left="360"/>
        <w:textAlignment w:val="baseline"/>
        <w:rPr>
          <w:rStyle w:val="normaltextrun"/>
        </w:rPr>
      </w:pPr>
    </w:p>
    <w:p w:rsidR="00EE1483" w:rsidP="00EE1483" w14:paraId="47FCB0B8" w14:textId="2B274E11">
      <w:pPr>
        <w:pStyle w:val="paragraph"/>
        <w:numPr>
          <w:ilvl w:val="0"/>
          <w:numId w:val="45"/>
        </w:numPr>
        <w:spacing w:before="0" w:beforeAutospacing="0" w:after="0" w:afterAutospacing="0"/>
        <w:textAlignment w:val="baseline"/>
        <w:rPr>
          <w:rStyle w:val="eop"/>
        </w:rPr>
      </w:pPr>
      <w:bookmarkStart w:id="0" w:name="_Hlk115257803"/>
      <w:r w:rsidRPr="008A2A52">
        <w:rPr>
          <w:rStyle w:val="normaltextrun"/>
        </w:rPr>
        <w:t xml:space="preserve">An advocacy organization, on behalf of </w:t>
      </w:r>
      <w:r w:rsidR="005049C0">
        <w:rPr>
          <w:rStyle w:val="normaltextrun"/>
        </w:rPr>
        <w:t xml:space="preserve">it and </w:t>
      </w:r>
      <w:r w:rsidRPr="008A2A52">
        <w:rPr>
          <w:rStyle w:val="normaltextrun"/>
        </w:rPr>
        <w:t xml:space="preserve">other organizations, recommended that the OF 306 be revised to remove questions 9 and 11 from the form.  These questions ask about criminal convictions, imprisonment, or probation as well as about pending criminal charges.  The basis offered for the recommendation is that the expectation of self-disclosure is misguided and undermines fair chance hiring by distracting from other matters, namely competence, qualifications, and experience.  The organization suggests that </w:t>
      </w:r>
      <w:r w:rsidR="005049C0">
        <w:rPr>
          <w:rStyle w:val="normaltextrun"/>
        </w:rPr>
        <w:t>providing criminal history information</w:t>
      </w:r>
      <w:r w:rsidRPr="008A2A52">
        <w:rPr>
          <w:rStyle w:val="normaltextrun"/>
        </w:rPr>
        <w:t xml:space="preserve"> causes a high level of anxiety in job applicants with records</w:t>
      </w:r>
      <w:r w:rsidR="005049C0">
        <w:rPr>
          <w:rStyle w:val="normaltextrun"/>
        </w:rPr>
        <w:t xml:space="preserve"> and</w:t>
      </w:r>
      <w:r w:rsidRPr="005049C0">
        <w:rPr>
          <w:rStyle w:val="normaltextrun"/>
        </w:rPr>
        <w:t xml:space="preserve"> </w:t>
      </w:r>
      <w:r w:rsidR="005049C0">
        <w:rPr>
          <w:rStyle w:val="normaltextrun"/>
        </w:rPr>
        <w:t xml:space="preserve">that </w:t>
      </w:r>
      <w:r w:rsidRPr="005049C0">
        <w:rPr>
          <w:rStyle w:val="normaltextrun"/>
        </w:rPr>
        <w:t xml:space="preserve">self-disclosure </w:t>
      </w:r>
      <w:r w:rsidR="005049C0">
        <w:rPr>
          <w:rStyle w:val="normaltextrun"/>
        </w:rPr>
        <w:t xml:space="preserve">does not serve a purpose, but instead </w:t>
      </w:r>
      <w:r w:rsidRPr="005049C0">
        <w:rPr>
          <w:rStyle w:val="normaltextrun"/>
        </w:rPr>
        <w:t xml:space="preserve">tests whether the individual understands and has memorized their </w:t>
      </w:r>
      <w:r w:rsidR="005049C0">
        <w:rPr>
          <w:rStyle w:val="normaltextrun"/>
        </w:rPr>
        <w:t>criminal history</w:t>
      </w:r>
      <w:r w:rsidRPr="005049C0">
        <w:rPr>
          <w:rStyle w:val="normaltextrun"/>
        </w:rPr>
        <w:t xml:space="preserve"> details. </w:t>
      </w:r>
      <w:bookmarkEnd w:id="0"/>
      <w:r w:rsidR="002B7A3B">
        <w:rPr>
          <w:rStyle w:val="normaltextrun"/>
        </w:rPr>
        <w:t xml:space="preserve"> </w:t>
      </w:r>
      <w:r w:rsidRPr="00EE1483" w:rsidR="008A18EC">
        <w:rPr>
          <w:rStyle w:val="normaltextrun"/>
        </w:rPr>
        <w:t>The organization suggest</w:t>
      </w:r>
      <w:r w:rsidR="005049C0">
        <w:rPr>
          <w:rStyle w:val="normaltextrun"/>
        </w:rPr>
        <w:t>s</w:t>
      </w:r>
      <w:r w:rsidRPr="00EE1483" w:rsidR="008A18EC">
        <w:rPr>
          <w:rStyle w:val="normaltextrun"/>
        </w:rPr>
        <w:t xml:space="preserve"> a</w:t>
      </w:r>
      <w:r w:rsidRPr="00EE1483" w:rsidR="008A18EC">
        <w:t xml:space="preserve"> better way to determine the content of the candidate’s record is to skip asking them to self-disclose and instead simply conduct the required background check at the appropriate point in the hiring process and then confirm its content with the applicant.</w:t>
      </w:r>
      <w:r w:rsidRPr="005049C0" w:rsidR="008A18EC">
        <w:t xml:space="preserve"> </w:t>
      </w:r>
      <w:r>
        <w:t xml:space="preserve"> </w:t>
      </w:r>
      <w:r w:rsidRPr="005049C0">
        <w:rPr>
          <w:rStyle w:val="normaltextrun"/>
        </w:rPr>
        <w:t xml:space="preserve">OPM will not </w:t>
      </w:r>
      <w:r w:rsidR="005049C0">
        <w:rPr>
          <w:rStyle w:val="normaltextrun"/>
        </w:rPr>
        <w:t>eliminate questions 9 and 11 on</w:t>
      </w:r>
      <w:r w:rsidRPr="005049C0">
        <w:rPr>
          <w:rStyle w:val="normaltextrun"/>
        </w:rPr>
        <w:t xml:space="preserve"> the OF 306 based on this </w:t>
      </w:r>
      <w:r w:rsidRPr="005049C0">
        <w:rPr>
          <w:rStyle w:val="normaltextrun"/>
        </w:rPr>
        <w:t>comment.  Job applicants</w:t>
      </w:r>
      <w:r w:rsidRPr="008A2A52">
        <w:rPr>
          <w:rStyle w:val="normaltextrun"/>
        </w:rPr>
        <w:t xml:space="preserve"> are generally not asked to disclose criminal history information until after a conditional offer of employment has been made.  For those positions exempted from the requirements of the Fair Chance Act or that have been excepted by OPM, collection of criminal history information prior to conditional offer of employment is justified by business necessity due to the nature of the position.  Further, providing the individual with the opportunity to provide information regarding their personal history that will be used in a background investigation is consistent with the requirement of the Privacy Act of 1974 that information be collected directly from the individual to the greatest extent practicable.</w:t>
      </w:r>
      <w:r w:rsidRPr="008A2A52">
        <w:rPr>
          <w:rStyle w:val="eop"/>
        </w:rPr>
        <w:t> </w:t>
      </w:r>
      <w:r w:rsidR="004C0374">
        <w:rPr>
          <w:rStyle w:val="eop"/>
        </w:rPr>
        <w:t xml:space="preserve"> </w:t>
      </w:r>
      <w:r w:rsidR="006E7F00">
        <w:rPr>
          <w:rStyle w:val="eop"/>
        </w:rPr>
        <w:t xml:space="preserve">Individuals have an opportunity to provide the details regarding </w:t>
      </w:r>
      <w:r w:rsidR="008A18EC">
        <w:rPr>
          <w:rStyle w:val="eop"/>
        </w:rPr>
        <w:t>their answers using the continuation space provided in number 16 on the OF 306.  Given that criminal conduct is one factor that is assessed when considering the suitability of an individual for a position, collection of the information from the individual assists the Government by providing relevant information.</w:t>
      </w:r>
      <w:r w:rsidR="006E7F00">
        <w:rPr>
          <w:rStyle w:val="eop"/>
        </w:rPr>
        <w:t xml:space="preserve"> </w:t>
      </w:r>
    </w:p>
    <w:p w:rsidR="00EE1483" w:rsidP="00EE1483" w14:paraId="370DFE2C" w14:textId="2EDCA312">
      <w:pPr>
        <w:pStyle w:val="paragraph"/>
        <w:spacing w:before="0" w:beforeAutospacing="0" w:after="0" w:afterAutospacing="0"/>
        <w:textAlignment w:val="baseline"/>
        <w:rPr>
          <w:rStyle w:val="eop"/>
        </w:rPr>
      </w:pPr>
    </w:p>
    <w:p w:rsidR="00EE1483" w:rsidP="00EE1483" w14:paraId="6168AF25" w14:textId="32A9A7B8">
      <w:pPr>
        <w:pStyle w:val="paragraph"/>
        <w:spacing w:before="0" w:beforeAutospacing="0" w:after="0" w:afterAutospacing="0"/>
        <w:textAlignment w:val="baseline"/>
        <w:rPr>
          <w:rStyle w:val="eop"/>
        </w:rPr>
      </w:pPr>
      <w:r>
        <w:rPr>
          <w:rStyle w:val="eop"/>
        </w:rPr>
        <w:t xml:space="preserve">In response to these three sets of comments regarding the timing of asking applicants about any criminal history, OPM is adding the following language to the OF 306 in an attempt to clarify the timing requirements: “Most applicants are asked to complete this form after a tentative offer of employment has been made; however, depending on your position, you may be asked to complete this form earlier during the hiring process.”  </w:t>
      </w:r>
    </w:p>
    <w:p w:rsidR="00162B65" w:rsidP="008625A9" w14:paraId="6E62115B" w14:textId="2D450B6C">
      <w:pPr>
        <w:pStyle w:val="paragraph"/>
        <w:spacing w:before="0" w:beforeAutospacing="0" w:after="0" w:afterAutospacing="0"/>
        <w:ind w:left="360"/>
        <w:textAlignment w:val="baseline"/>
        <w:rPr>
          <w:rFonts w:ascii="Segoe UI" w:hAnsi="Segoe UI" w:cs="Segoe UI"/>
          <w:sz w:val="18"/>
          <w:szCs w:val="18"/>
        </w:rPr>
      </w:pPr>
    </w:p>
    <w:p w:rsidR="0016158D" w:rsidP="0016158D" w14:paraId="54378F1C" w14:textId="77777777">
      <w:pPr>
        <w:pStyle w:val="NoSpacing"/>
      </w:pPr>
    </w:p>
    <w:p w:rsidR="00023E91" w:rsidRPr="00AA25C7" w:rsidP="00A124DA" w14:paraId="727A05C0"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00023E91" w:rsidRPr="00AA25C7" w14:paraId="4E3B9C1F" w14:textId="77777777"/>
    <w:p w:rsidR="00023E91" w:rsidRPr="003824EE" w:rsidP="003824EE" w14:paraId="5FE13763" w14:textId="1AF55538">
      <w:pPr>
        <w:ind w:left="360"/>
      </w:pPr>
      <w:r>
        <w:t>No payments are given to respondents.</w:t>
      </w:r>
    </w:p>
    <w:p w:rsidR="004D1CC4" w:rsidRPr="00AA25C7" w14:paraId="5E16C0E8" w14:textId="77777777">
      <w:pPr>
        <w:rPr>
          <w:u w:val="single"/>
        </w:rPr>
      </w:pPr>
    </w:p>
    <w:p w:rsidR="00023E91" w:rsidRPr="00AA25C7" w:rsidP="00A124DA" w14:paraId="29F36C5C" w14:textId="77777777">
      <w:pPr>
        <w:numPr>
          <w:ilvl w:val="0"/>
          <w:numId w:val="17"/>
        </w:numPr>
        <w:rPr>
          <w:b/>
          <w:u w:val="single"/>
        </w:rPr>
      </w:pPr>
      <w:r w:rsidRPr="00AA25C7">
        <w:rPr>
          <w:b/>
          <w:u w:val="single"/>
        </w:rPr>
        <w:t xml:space="preserve">Describe any assurance of confidentiality provided to respondents and the basis for the assurance in statute, regulation, or agency policy. </w:t>
      </w:r>
    </w:p>
    <w:p w:rsidR="00023E91" w:rsidRPr="00AA25C7" w14:paraId="7A90C45C" w14:textId="77777777">
      <w:pPr>
        <w:rPr>
          <w:b/>
        </w:rPr>
      </w:pPr>
    </w:p>
    <w:p w:rsidR="00857921" w:rsidRPr="00AA25C7" w:rsidP="00857921" w14:paraId="1EC9ED71" w14:textId="77777777">
      <w:pPr>
        <w:ind w:left="360"/>
      </w:pPr>
      <w:r w:rsidRPr="00AA25C7">
        <w:t>The</w:t>
      </w:r>
      <w:r>
        <w:t xml:space="preserve"> OF 306 contains a Privacy Act Statement, as required by 5 U.S.C 552a.  The U.S. Office of Personnel Management (OPM) is authorized to request this </w:t>
      </w:r>
      <w:r>
        <w:t>information under sections 1302, 3301, 3304, 3328, and 8716 of title 5, U.S.C. Section 1104 of title 5 allows OPM to delegate personnel management functions to other Federal agencies.  Any disclosure of this record or information in this record is in accordance with routine uses found in System Notice OPM/GOVT-1, General Personnel Records.</w:t>
      </w:r>
    </w:p>
    <w:p w:rsidR="00786A52" w:rsidRPr="00AA25C7" w:rsidP="00A2551A" w14:paraId="43A6D0CE" w14:textId="77777777">
      <w:pPr>
        <w:ind w:left="360"/>
      </w:pPr>
    </w:p>
    <w:p w:rsidR="00023E91" w:rsidRPr="00AA25C7" w14:paraId="71A556FC" w14:textId="77777777">
      <w:pPr>
        <w:rPr>
          <w:b/>
        </w:rPr>
      </w:pPr>
    </w:p>
    <w:p w:rsidR="00023E91" w:rsidRPr="00AA25C7" w:rsidP="00A124DA" w14:paraId="6F06EDD1" w14:textId="77777777">
      <w:pPr>
        <w:numPr>
          <w:ilvl w:val="0"/>
          <w:numId w:val="17"/>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23E91" w:rsidRPr="00AA25C7" w14:paraId="77DE56E5" w14:textId="77777777">
      <w:pPr>
        <w:rPr>
          <w:b/>
        </w:rPr>
      </w:pPr>
    </w:p>
    <w:p w:rsidR="00857921" w:rsidP="00857921" w14:paraId="27B885A8" w14:textId="77777777">
      <w:pPr>
        <w:ind w:left="360"/>
      </w:pPr>
      <w:r w:rsidRPr="00AA25C7">
        <w:t xml:space="preserve">Not applicable.  The questions are not of a sensitive nature, such as sexual behavior and attitudes, religious beliefs, and other matters that are commonly considered private. </w:t>
      </w:r>
    </w:p>
    <w:p w:rsidR="00C61FEA" w:rsidRPr="00AA25C7" w:rsidP="00857921" w14:paraId="6CEC3840" w14:textId="77777777">
      <w:pPr>
        <w:ind w:left="360"/>
        <w:rPr>
          <w:b/>
        </w:rPr>
      </w:pPr>
    </w:p>
    <w:p w:rsidR="00023E91" w:rsidRPr="00AA25C7" w:rsidP="00A124DA" w14:paraId="3D36CE42"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the hour burden of the collection of inform</w:t>
      </w:r>
      <w:r w:rsidRPr="00AA25C7" w:rsidR="00A124DA">
        <w:rPr>
          <w:rFonts w:ascii="Times New Roman" w:hAnsi="Times New Roman" w:cs="Times New Roman"/>
          <w:b/>
          <w:u w:val="single"/>
        </w:rPr>
        <w:t xml:space="preserve">ation. </w:t>
      </w:r>
    </w:p>
    <w:p w:rsidR="00770214" w:rsidP="00770214" w14:paraId="7A93A01A" w14:textId="77777777">
      <w:pPr>
        <w:spacing w:before="240"/>
        <w:ind w:left="360"/>
      </w:pPr>
    </w:p>
    <w:p w:rsidR="00770214" w:rsidP="00770214" w14:paraId="0C71F564" w14:textId="77777777">
      <w:pPr>
        <w:pStyle w:val="ListParagraph"/>
        <w:shd w:val="pct25" w:color="auto" w:fill="FFFFFF"/>
        <w:tabs>
          <w:tab w:val="left" w:pos="-720"/>
        </w:tabs>
        <w:suppressAutoHyphens/>
        <w:ind w:left="360"/>
      </w:pPr>
      <w:r w:rsidRPr="00741061">
        <w:t xml:space="preserve">12. Provide estimates of the hour burden of the collection of information.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881"/>
        <w:gridCol w:w="1230"/>
        <w:gridCol w:w="1150"/>
        <w:gridCol w:w="1015"/>
        <w:gridCol w:w="843"/>
        <w:gridCol w:w="903"/>
        <w:gridCol w:w="1150"/>
      </w:tblGrid>
      <w:tr w14:paraId="3133FF09" w14:textId="77777777" w:rsidTr="00536B44">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2" w:type="dxa"/>
            <w:shd w:val="clear" w:color="auto" w:fill="D9D9D9"/>
          </w:tcPr>
          <w:p w:rsidR="00770214" w:rsidRPr="00536B44" w:rsidP="00536B44" w14:paraId="0ADFBF32" w14:textId="77777777">
            <w:pPr>
              <w:spacing w:before="240"/>
              <w:rPr>
                <w:rFonts w:ascii="Arial" w:hAnsi="Arial" w:cs="Arial"/>
                <w:b/>
                <w:sz w:val="16"/>
                <w:szCs w:val="16"/>
              </w:rPr>
            </w:pPr>
            <w:r w:rsidRPr="00536B44">
              <w:rPr>
                <w:rFonts w:ascii="Arial" w:hAnsi="Arial" w:cs="Arial"/>
                <w:b/>
                <w:sz w:val="16"/>
                <w:szCs w:val="16"/>
              </w:rPr>
              <w:t>Form Name</w:t>
            </w:r>
          </w:p>
        </w:tc>
        <w:tc>
          <w:tcPr>
            <w:tcW w:w="1015" w:type="dxa"/>
            <w:shd w:val="clear" w:color="auto" w:fill="D9D9D9"/>
          </w:tcPr>
          <w:p w:rsidR="00770214" w:rsidRPr="00536B44" w:rsidP="00536B44" w14:paraId="44B687AD" w14:textId="77777777">
            <w:pPr>
              <w:spacing w:before="240"/>
              <w:rPr>
                <w:rFonts w:ascii="Arial" w:hAnsi="Arial" w:cs="Arial"/>
                <w:b/>
                <w:sz w:val="16"/>
                <w:szCs w:val="16"/>
              </w:rPr>
            </w:pPr>
            <w:r w:rsidRPr="00536B44">
              <w:rPr>
                <w:rFonts w:ascii="Arial" w:hAnsi="Arial" w:cs="Arial"/>
                <w:b/>
                <w:sz w:val="16"/>
                <w:szCs w:val="16"/>
              </w:rPr>
              <w:t>Form Number</w:t>
            </w:r>
          </w:p>
        </w:tc>
        <w:tc>
          <w:tcPr>
            <w:tcW w:w="1230" w:type="dxa"/>
            <w:shd w:val="clear" w:color="auto" w:fill="D9D9D9"/>
          </w:tcPr>
          <w:p w:rsidR="00770214" w:rsidRPr="00536B44" w:rsidP="00536B44" w14:paraId="297FDFA0" w14:textId="77777777">
            <w:pPr>
              <w:spacing w:before="240"/>
              <w:rPr>
                <w:rFonts w:ascii="Arial" w:hAnsi="Arial" w:cs="Arial"/>
                <w:b/>
                <w:sz w:val="16"/>
                <w:szCs w:val="16"/>
              </w:rPr>
            </w:pPr>
            <w:r w:rsidRPr="00536B44">
              <w:rPr>
                <w:rFonts w:ascii="Arial" w:hAnsi="Arial" w:cs="Arial"/>
                <w:b/>
                <w:sz w:val="16"/>
                <w:szCs w:val="16"/>
              </w:rPr>
              <w:t>No. of Respondents</w:t>
            </w:r>
          </w:p>
        </w:tc>
        <w:tc>
          <w:tcPr>
            <w:tcW w:w="1170" w:type="dxa"/>
            <w:shd w:val="clear" w:color="auto" w:fill="D9D9D9"/>
          </w:tcPr>
          <w:p w:rsidR="00770214" w:rsidRPr="00536B44" w:rsidP="00536B44" w14:paraId="29B2C68E" w14:textId="77777777">
            <w:pPr>
              <w:spacing w:before="240"/>
              <w:rPr>
                <w:rFonts w:ascii="Arial" w:hAnsi="Arial" w:cs="Arial"/>
                <w:b/>
                <w:sz w:val="16"/>
                <w:szCs w:val="16"/>
              </w:rPr>
            </w:pPr>
            <w:r w:rsidRPr="00536B44">
              <w:rPr>
                <w:rFonts w:ascii="Arial" w:hAnsi="Arial" w:cs="Arial"/>
                <w:b/>
                <w:sz w:val="16"/>
                <w:szCs w:val="16"/>
              </w:rPr>
              <w:t>No. of Responses per Respondent</w:t>
            </w:r>
          </w:p>
        </w:tc>
        <w:tc>
          <w:tcPr>
            <w:tcW w:w="1092" w:type="dxa"/>
            <w:shd w:val="clear" w:color="auto" w:fill="D9D9D9"/>
          </w:tcPr>
          <w:p w:rsidR="00770214" w:rsidRPr="00536B44" w:rsidP="00536B44" w14:paraId="4A780FB9" w14:textId="77777777">
            <w:pPr>
              <w:spacing w:before="240"/>
              <w:rPr>
                <w:rFonts w:ascii="Arial" w:hAnsi="Arial" w:cs="Arial"/>
                <w:b/>
                <w:sz w:val="16"/>
                <w:szCs w:val="16"/>
              </w:rPr>
            </w:pPr>
            <w:r w:rsidRPr="00536B44">
              <w:rPr>
                <w:rFonts w:ascii="Arial" w:hAnsi="Arial" w:cs="Arial"/>
                <w:b/>
                <w:sz w:val="16"/>
                <w:szCs w:val="16"/>
              </w:rPr>
              <w:t>Average Burden per Response (in hours)</w:t>
            </w:r>
          </w:p>
        </w:tc>
        <w:tc>
          <w:tcPr>
            <w:tcW w:w="993" w:type="dxa"/>
            <w:shd w:val="clear" w:color="auto" w:fill="D9D9D9"/>
          </w:tcPr>
          <w:p w:rsidR="00770214" w:rsidRPr="00536B44" w:rsidP="00536B44" w14:paraId="7B0019C0" w14:textId="77777777">
            <w:pPr>
              <w:spacing w:before="240"/>
              <w:rPr>
                <w:rFonts w:ascii="Arial" w:hAnsi="Arial" w:cs="Arial"/>
                <w:b/>
                <w:sz w:val="16"/>
                <w:szCs w:val="16"/>
              </w:rPr>
            </w:pPr>
            <w:r w:rsidRPr="00536B44">
              <w:rPr>
                <w:rFonts w:ascii="Arial" w:hAnsi="Arial" w:cs="Arial"/>
                <w:b/>
                <w:sz w:val="16"/>
                <w:szCs w:val="16"/>
              </w:rPr>
              <w:t>Total Annual Burden (in hours)</w:t>
            </w:r>
          </w:p>
        </w:tc>
        <w:tc>
          <w:tcPr>
            <w:tcW w:w="1028" w:type="dxa"/>
            <w:shd w:val="clear" w:color="auto" w:fill="D9D9D9"/>
          </w:tcPr>
          <w:p w:rsidR="00770214" w:rsidRPr="00536B44" w:rsidP="00536B44" w14:paraId="4DE8CA05" w14:textId="77777777">
            <w:pPr>
              <w:spacing w:before="240"/>
              <w:rPr>
                <w:rFonts w:ascii="Arial" w:hAnsi="Arial" w:cs="Arial"/>
                <w:b/>
                <w:sz w:val="16"/>
                <w:szCs w:val="16"/>
              </w:rPr>
            </w:pPr>
            <w:r w:rsidRPr="00536B44">
              <w:rPr>
                <w:rFonts w:ascii="Arial" w:hAnsi="Arial" w:cs="Arial"/>
                <w:b/>
                <w:sz w:val="16"/>
                <w:szCs w:val="16"/>
              </w:rPr>
              <w:t>Average Hourly Wage Rate</w:t>
            </w:r>
          </w:p>
        </w:tc>
        <w:tc>
          <w:tcPr>
            <w:tcW w:w="1170" w:type="dxa"/>
            <w:shd w:val="clear" w:color="auto" w:fill="D9D9D9"/>
          </w:tcPr>
          <w:p w:rsidR="00770214" w:rsidRPr="00536B44" w:rsidP="00536B44" w14:paraId="769AF19D" w14:textId="77777777">
            <w:pPr>
              <w:spacing w:before="240"/>
              <w:rPr>
                <w:rFonts w:ascii="Arial" w:hAnsi="Arial" w:cs="Arial"/>
                <w:b/>
                <w:sz w:val="16"/>
                <w:szCs w:val="16"/>
              </w:rPr>
            </w:pPr>
            <w:r w:rsidRPr="00536B44">
              <w:rPr>
                <w:rFonts w:ascii="Arial" w:hAnsi="Arial" w:cs="Arial"/>
                <w:b/>
                <w:sz w:val="16"/>
                <w:szCs w:val="16"/>
              </w:rPr>
              <w:t>Total Annual Respondent Cost</w:t>
            </w:r>
          </w:p>
        </w:tc>
      </w:tr>
      <w:tr w14:paraId="1DF463EC" w14:textId="77777777" w:rsidTr="00536B44">
        <w:tblPrEx>
          <w:tblW w:w="0" w:type="auto"/>
          <w:tblInd w:w="720" w:type="dxa"/>
          <w:tblLook w:val="04A0"/>
        </w:tblPrEx>
        <w:tc>
          <w:tcPr>
            <w:tcW w:w="932" w:type="dxa"/>
            <w:shd w:val="clear" w:color="auto" w:fill="auto"/>
          </w:tcPr>
          <w:p w:rsidR="00770214" w:rsidRPr="00536B44" w:rsidP="00536B44" w14:paraId="32CBBE6F" w14:textId="77777777">
            <w:pPr>
              <w:spacing w:before="240"/>
              <w:rPr>
                <w:sz w:val="18"/>
                <w:szCs w:val="18"/>
              </w:rPr>
            </w:pPr>
            <w:r>
              <w:rPr>
                <w:sz w:val="18"/>
                <w:szCs w:val="18"/>
              </w:rPr>
              <w:t>OF 306</w:t>
            </w:r>
          </w:p>
        </w:tc>
        <w:tc>
          <w:tcPr>
            <w:tcW w:w="1015" w:type="dxa"/>
            <w:shd w:val="clear" w:color="auto" w:fill="auto"/>
          </w:tcPr>
          <w:p w:rsidR="00770214" w:rsidRPr="00536B44" w:rsidP="00536B44" w14:paraId="4D556AB6" w14:textId="77777777">
            <w:pPr>
              <w:spacing w:before="240"/>
              <w:rPr>
                <w:sz w:val="18"/>
                <w:szCs w:val="18"/>
              </w:rPr>
            </w:pPr>
            <w:r w:rsidRPr="000C68D0">
              <w:rPr>
                <w:sz w:val="18"/>
                <w:szCs w:val="18"/>
              </w:rPr>
              <w:t>3206-0182</w:t>
            </w:r>
          </w:p>
        </w:tc>
        <w:tc>
          <w:tcPr>
            <w:tcW w:w="1230" w:type="dxa"/>
            <w:shd w:val="clear" w:color="auto" w:fill="auto"/>
          </w:tcPr>
          <w:p w:rsidR="00770214" w:rsidRPr="00536B44" w:rsidP="00536B44" w14:paraId="60EB9F68" w14:textId="77777777">
            <w:pPr>
              <w:spacing w:before="240"/>
              <w:jc w:val="right"/>
              <w:rPr>
                <w:sz w:val="18"/>
                <w:szCs w:val="18"/>
              </w:rPr>
            </w:pPr>
            <w:r>
              <w:rPr>
                <w:sz w:val="18"/>
                <w:szCs w:val="18"/>
              </w:rPr>
              <w:t>315,478</w:t>
            </w:r>
          </w:p>
        </w:tc>
        <w:tc>
          <w:tcPr>
            <w:tcW w:w="1170" w:type="dxa"/>
            <w:shd w:val="clear" w:color="auto" w:fill="auto"/>
          </w:tcPr>
          <w:p w:rsidR="00770214" w:rsidRPr="00536B44" w:rsidP="00536B44" w14:paraId="4A4F4A13" w14:textId="77777777">
            <w:pPr>
              <w:spacing w:before="240"/>
              <w:jc w:val="right"/>
              <w:rPr>
                <w:sz w:val="18"/>
                <w:szCs w:val="18"/>
              </w:rPr>
            </w:pPr>
            <w:r>
              <w:rPr>
                <w:sz w:val="18"/>
                <w:szCs w:val="18"/>
              </w:rPr>
              <w:t>1</w:t>
            </w:r>
          </w:p>
        </w:tc>
        <w:tc>
          <w:tcPr>
            <w:tcW w:w="1092" w:type="dxa"/>
            <w:shd w:val="clear" w:color="auto" w:fill="auto"/>
          </w:tcPr>
          <w:p w:rsidR="00770214" w:rsidRPr="00536B44" w:rsidP="00536B44" w14:paraId="5ED986F4" w14:textId="77777777">
            <w:pPr>
              <w:spacing w:before="240"/>
              <w:jc w:val="right"/>
              <w:rPr>
                <w:sz w:val="18"/>
                <w:szCs w:val="18"/>
              </w:rPr>
            </w:pPr>
            <w:r>
              <w:rPr>
                <w:sz w:val="18"/>
                <w:szCs w:val="18"/>
              </w:rPr>
              <w:t>.25</w:t>
            </w:r>
          </w:p>
        </w:tc>
        <w:tc>
          <w:tcPr>
            <w:tcW w:w="993" w:type="dxa"/>
            <w:shd w:val="clear" w:color="auto" w:fill="auto"/>
          </w:tcPr>
          <w:p w:rsidR="00770214" w:rsidRPr="00536B44" w:rsidP="00536B44" w14:paraId="5A1B267D" w14:textId="77777777">
            <w:pPr>
              <w:spacing w:before="240"/>
              <w:jc w:val="right"/>
              <w:rPr>
                <w:sz w:val="18"/>
                <w:szCs w:val="18"/>
              </w:rPr>
            </w:pPr>
            <w:r>
              <w:rPr>
                <w:sz w:val="18"/>
                <w:szCs w:val="18"/>
              </w:rPr>
              <w:t>78,870</w:t>
            </w:r>
          </w:p>
        </w:tc>
        <w:tc>
          <w:tcPr>
            <w:tcW w:w="1028" w:type="dxa"/>
            <w:shd w:val="clear" w:color="auto" w:fill="auto"/>
          </w:tcPr>
          <w:p w:rsidR="00770214" w:rsidRPr="00536B44" w:rsidP="00536B44" w14:paraId="5EA0802C" w14:textId="77777777">
            <w:pPr>
              <w:spacing w:before="240"/>
              <w:jc w:val="center"/>
              <w:rPr>
                <w:sz w:val="18"/>
                <w:szCs w:val="18"/>
              </w:rPr>
            </w:pPr>
            <w:r>
              <w:rPr>
                <w:sz w:val="18"/>
                <w:szCs w:val="18"/>
              </w:rPr>
              <w:t>$</w:t>
            </w:r>
            <w:r w:rsidR="006D0909">
              <w:rPr>
                <w:sz w:val="18"/>
                <w:szCs w:val="18"/>
              </w:rPr>
              <w:t>22.00</w:t>
            </w:r>
          </w:p>
        </w:tc>
        <w:tc>
          <w:tcPr>
            <w:tcW w:w="1170" w:type="dxa"/>
            <w:shd w:val="clear" w:color="auto" w:fill="auto"/>
          </w:tcPr>
          <w:p w:rsidR="00770214" w:rsidRPr="00536B44" w:rsidP="00536B44" w14:paraId="4E61EE00" w14:textId="77777777">
            <w:pPr>
              <w:spacing w:before="240"/>
              <w:jc w:val="center"/>
              <w:rPr>
                <w:sz w:val="18"/>
                <w:szCs w:val="18"/>
              </w:rPr>
            </w:pPr>
            <w:r>
              <w:rPr>
                <w:sz w:val="18"/>
                <w:szCs w:val="18"/>
              </w:rPr>
              <w:t>$</w:t>
            </w:r>
            <w:r w:rsidR="006D0909">
              <w:rPr>
                <w:sz w:val="18"/>
                <w:szCs w:val="18"/>
              </w:rPr>
              <w:t>433,785</w:t>
            </w:r>
          </w:p>
        </w:tc>
      </w:tr>
      <w:tr w14:paraId="16680812" w14:textId="77777777" w:rsidTr="00536B44">
        <w:tblPrEx>
          <w:tblW w:w="0" w:type="auto"/>
          <w:tblInd w:w="720" w:type="dxa"/>
          <w:tblLook w:val="04A0"/>
        </w:tblPrEx>
        <w:tc>
          <w:tcPr>
            <w:tcW w:w="932" w:type="dxa"/>
            <w:shd w:val="clear" w:color="auto" w:fill="auto"/>
          </w:tcPr>
          <w:p w:rsidR="00770214" w:rsidRPr="00536B44" w:rsidP="00536B44" w14:paraId="43AA1A1E" w14:textId="77777777">
            <w:pPr>
              <w:spacing w:before="240"/>
              <w:rPr>
                <w:sz w:val="18"/>
                <w:szCs w:val="18"/>
              </w:rPr>
            </w:pPr>
          </w:p>
        </w:tc>
        <w:tc>
          <w:tcPr>
            <w:tcW w:w="1015" w:type="dxa"/>
            <w:shd w:val="clear" w:color="auto" w:fill="auto"/>
          </w:tcPr>
          <w:p w:rsidR="00770214" w:rsidRPr="00536B44" w:rsidP="00536B44" w14:paraId="6FB8D261" w14:textId="77777777">
            <w:pPr>
              <w:spacing w:before="240"/>
              <w:rPr>
                <w:sz w:val="18"/>
                <w:szCs w:val="18"/>
              </w:rPr>
            </w:pPr>
          </w:p>
        </w:tc>
        <w:tc>
          <w:tcPr>
            <w:tcW w:w="1230" w:type="dxa"/>
            <w:shd w:val="clear" w:color="auto" w:fill="auto"/>
          </w:tcPr>
          <w:p w:rsidR="00770214" w:rsidRPr="00536B44" w:rsidP="00536B44" w14:paraId="206BB925" w14:textId="77777777">
            <w:pPr>
              <w:spacing w:before="240"/>
              <w:jc w:val="right"/>
              <w:rPr>
                <w:sz w:val="18"/>
                <w:szCs w:val="18"/>
              </w:rPr>
            </w:pPr>
          </w:p>
        </w:tc>
        <w:tc>
          <w:tcPr>
            <w:tcW w:w="1170" w:type="dxa"/>
            <w:shd w:val="clear" w:color="auto" w:fill="auto"/>
          </w:tcPr>
          <w:p w:rsidR="00770214" w:rsidRPr="00536B44" w:rsidP="00536B44" w14:paraId="5FAA751D" w14:textId="77777777">
            <w:pPr>
              <w:spacing w:before="240"/>
              <w:jc w:val="right"/>
              <w:rPr>
                <w:sz w:val="18"/>
                <w:szCs w:val="18"/>
              </w:rPr>
            </w:pPr>
          </w:p>
        </w:tc>
        <w:tc>
          <w:tcPr>
            <w:tcW w:w="1092" w:type="dxa"/>
            <w:shd w:val="clear" w:color="auto" w:fill="auto"/>
          </w:tcPr>
          <w:p w:rsidR="00770214" w:rsidRPr="00536B44" w:rsidP="00536B44" w14:paraId="295BCDFA" w14:textId="77777777">
            <w:pPr>
              <w:spacing w:before="240"/>
              <w:jc w:val="right"/>
              <w:rPr>
                <w:sz w:val="18"/>
                <w:szCs w:val="18"/>
              </w:rPr>
            </w:pPr>
          </w:p>
        </w:tc>
        <w:tc>
          <w:tcPr>
            <w:tcW w:w="993" w:type="dxa"/>
            <w:shd w:val="clear" w:color="auto" w:fill="auto"/>
          </w:tcPr>
          <w:p w:rsidR="00770214" w:rsidRPr="00536B44" w:rsidP="00536B44" w14:paraId="41F9ADA3" w14:textId="77777777">
            <w:pPr>
              <w:spacing w:before="240"/>
              <w:jc w:val="right"/>
              <w:rPr>
                <w:sz w:val="18"/>
                <w:szCs w:val="18"/>
              </w:rPr>
            </w:pPr>
          </w:p>
        </w:tc>
        <w:tc>
          <w:tcPr>
            <w:tcW w:w="1028" w:type="dxa"/>
            <w:shd w:val="clear" w:color="auto" w:fill="auto"/>
          </w:tcPr>
          <w:p w:rsidR="00770214" w:rsidRPr="00536B44" w:rsidP="00536B44" w14:paraId="22871A70" w14:textId="77777777">
            <w:pPr>
              <w:spacing w:before="240"/>
              <w:jc w:val="center"/>
              <w:rPr>
                <w:sz w:val="18"/>
                <w:szCs w:val="18"/>
              </w:rPr>
            </w:pPr>
          </w:p>
        </w:tc>
        <w:tc>
          <w:tcPr>
            <w:tcW w:w="1170" w:type="dxa"/>
            <w:shd w:val="clear" w:color="auto" w:fill="auto"/>
          </w:tcPr>
          <w:p w:rsidR="00770214" w:rsidRPr="00536B44" w:rsidP="00536B44" w14:paraId="340DF475" w14:textId="77777777">
            <w:pPr>
              <w:spacing w:before="240"/>
              <w:jc w:val="center"/>
              <w:rPr>
                <w:sz w:val="18"/>
                <w:szCs w:val="18"/>
              </w:rPr>
            </w:pPr>
          </w:p>
        </w:tc>
      </w:tr>
      <w:tr w14:paraId="3B350C94" w14:textId="77777777" w:rsidTr="00536B44">
        <w:tblPrEx>
          <w:tblW w:w="0" w:type="auto"/>
          <w:tblInd w:w="720" w:type="dxa"/>
          <w:tblLook w:val="04A0"/>
        </w:tblPrEx>
        <w:tc>
          <w:tcPr>
            <w:tcW w:w="932" w:type="dxa"/>
            <w:shd w:val="clear" w:color="auto" w:fill="auto"/>
          </w:tcPr>
          <w:p w:rsidR="00770214" w:rsidRPr="00536B44" w:rsidP="00536B44" w14:paraId="300A4CAB" w14:textId="77777777">
            <w:pPr>
              <w:spacing w:before="240"/>
              <w:rPr>
                <w:sz w:val="18"/>
                <w:szCs w:val="18"/>
              </w:rPr>
            </w:pPr>
          </w:p>
        </w:tc>
        <w:tc>
          <w:tcPr>
            <w:tcW w:w="1015" w:type="dxa"/>
            <w:shd w:val="clear" w:color="auto" w:fill="auto"/>
          </w:tcPr>
          <w:p w:rsidR="00770214" w:rsidRPr="00536B44" w:rsidP="00536B44" w14:paraId="162C0375" w14:textId="77777777">
            <w:pPr>
              <w:spacing w:before="240"/>
              <w:rPr>
                <w:sz w:val="18"/>
                <w:szCs w:val="18"/>
              </w:rPr>
            </w:pPr>
          </w:p>
        </w:tc>
        <w:tc>
          <w:tcPr>
            <w:tcW w:w="1230" w:type="dxa"/>
            <w:shd w:val="clear" w:color="auto" w:fill="auto"/>
          </w:tcPr>
          <w:p w:rsidR="00770214" w:rsidRPr="00536B44" w:rsidP="00536B44" w14:paraId="318D4FFC" w14:textId="77777777">
            <w:pPr>
              <w:spacing w:before="240"/>
              <w:jc w:val="right"/>
              <w:rPr>
                <w:sz w:val="18"/>
                <w:szCs w:val="18"/>
              </w:rPr>
            </w:pPr>
          </w:p>
        </w:tc>
        <w:tc>
          <w:tcPr>
            <w:tcW w:w="1170" w:type="dxa"/>
            <w:shd w:val="clear" w:color="auto" w:fill="auto"/>
          </w:tcPr>
          <w:p w:rsidR="00770214" w:rsidRPr="00536B44" w:rsidP="00536B44" w14:paraId="15423E08" w14:textId="77777777">
            <w:pPr>
              <w:spacing w:before="240"/>
              <w:jc w:val="right"/>
              <w:rPr>
                <w:sz w:val="18"/>
                <w:szCs w:val="18"/>
              </w:rPr>
            </w:pPr>
          </w:p>
        </w:tc>
        <w:tc>
          <w:tcPr>
            <w:tcW w:w="1092" w:type="dxa"/>
            <w:shd w:val="clear" w:color="auto" w:fill="auto"/>
          </w:tcPr>
          <w:p w:rsidR="00770214" w:rsidRPr="00536B44" w:rsidP="00536B44" w14:paraId="29527753" w14:textId="77777777">
            <w:pPr>
              <w:spacing w:before="240"/>
              <w:jc w:val="right"/>
              <w:rPr>
                <w:sz w:val="18"/>
                <w:szCs w:val="18"/>
              </w:rPr>
            </w:pPr>
          </w:p>
        </w:tc>
        <w:tc>
          <w:tcPr>
            <w:tcW w:w="993" w:type="dxa"/>
            <w:shd w:val="clear" w:color="auto" w:fill="auto"/>
          </w:tcPr>
          <w:p w:rsidR="00770214" w:rsidRPr="00536B44" w:rsidP="00536B44" w14:paraId="5BB86A64" w14:textId="77777777">
            <w:pPr>
              <w:spacing w:before="240"/>
              <w:jc w:val="right"/>
              <w:rPr>
                <w:sz w:val="18"/>
                <w:szCs w:val="18"/>
              </w:rPr>
            </w:pPr>
          </w:p>
        </w:tc>
        <w:tc>
          <w:tcPr>
            <w:tcW w:w="1028" w:type="dxa"/>
            <w:shd w:val="clear" w:color="auto" w:fill="auto"/>
          </w:tcPr>
          <w:p w:rsidR="00770214" w:rsidRPr="00536B44" w:rsidP="00536B44" w14:paraId="4CD663DB" w14:textId="77777777">
            <w:pPr>
              <w:spacing w:before="240"/>
              <w:jc w:val="center"/>
              <w:rPr>
                <w:sz w:val="18"/>
                <w:szCs w:val="18"/>
              </w:rPr>
            </w:pPr>
          </w:p>
        </w:tc>
        <w:tc>
          <w:tcPr>
            <w:tcW w:w="1170" w:type="dxa"/>
            <w:shd w:val="clear" w:color="auto" w:fill="auto"/>
          </w:tcPr>
          <w:p w:rsidR="00770214" w:rsidRPr="00536B44" w:rsidP="00536B44" w14:paraId="57C1A71E" w14:textId="77777777">
            <w:pPr>
              <w:spacing w:before="240"/>
              <w:jc w:val="center"/>
              <w:rPr>
                <w:sz w:val="18"/>
                <w:szCs w:val="18"/>
              </w:rPr>
            </w:pPr>
          </w:p>
        </w:tc>
      </w:tr>
      <w:tr w14:paraId="1F7D6037" w14:textId="77777777" w:rsidTr="00536B44">
        <w:tblPrEx>
          <w:tblW w:w="0" w:type="auto"/>
          <w:tblInd w:w="720" w:type="dxa"/>
          <w:tblLook w:val="04A0"/>
        </w:tblPrEx>
        <w:tc>
          <w:tcPr>
            <w:tcW w:w="932" w:type="dxa"/>
            <w:shd w:val="clear" w:color="auto" w:fill="auto"/>
          </w:tcPr>
          <w:p w:rsidR="00770214" w:rsidRPr="00536B44" w:rsidP="00536B44" w14:paraId="7D306C11" w14:textId="77777777">
            <w:pPr>
              <w:spacing w:before="240"/>
              <w:rPr>
                <w:b/>
                <w:sz w:val="18"/>
                <w:szCs w:val="18"/>
              </w:rPr>
            </w:pPr>
            <w:r w:rsidRPr="00536B44">
              <w:rPr>
                <w:b/>
                <w:sz w:val="18"/>
                <w:szCs w:val="18"/>
              </w:rPr>
              <w:t>Total</w:t>
            </w:r>
          </w:p>
        </w:tc>
        <w:tc>
          <w:tcPr>
            <w:tcW w:w="1015" w:type="dxa"/>
            <w:shd w:val="clear" w:color="auto" w:fill="auto"/>
          </w:tcPr>
          <w:p w:rsidR="00770214" w:rsidRPr="00536B44" w:rsidP="00536B44" w14:paraId="45AED45E" w14:textId="77777777">
            <w:pPr>
              <w:spacing w:before="240"/>
              <w:rPr>
                <w:b/>
                <w:sz w:val="18"/>
                <w:szCs w:val="18"/>
              </w:rPr>
            </w:pPr>
          </w:p>
        </w:tc>
        <w:tc>
          <w:tcPr>
            <w:tcW w:w="1230" w:type="dxa"/>
            <w:shd w:val="clear" w:color="auto" w:fill="auto"/>
          </w:tcPr>
          <w:p w:rsidR="00770214" w:rsidRPr="00536B44" w:rsidP="00536B44" w14:paraId="5F15EE4B" w14:textId="77777777">
            <w:pPr>
              <w:spacing w:before="240"/>
              <w:jc w:val="right"/>
              <w:rPr>
                <w:b/>
                <w:sz w:val="18"/>
                <w:szCs w:val="18"/>
              </w:rPr>
            </w:pPr>
            <w:r>
              <w:rPr>
                <w:b/>
                <w:sz w:val="18"/>
                <w:szCs w:val="18"/>
              </w:rPr>
              <w:t>315,478</w:t>
            </w:r>
          </w:p>
        </w:tc>
        <w:tc>
          <w:tcPr>
            <w:tcW w:w="1170" w:type="dxa"/>
            <w:shd w:val="clear" w:color="auto" w:fill="auto"/>
          </w:tcPr>
          <w:p w:rsidR="00770214" w:rsidRPr="00536B44" w:rsidP="00536B44" w14:paraId="67638C69" w14:textId="77777777">
            <w:pPr>
              <w:spacing w:before="240"/>
              <w:jc w:val="right"/>
              <w:rPr>
                <w:b/>
                <w:sz w:val="18"/>
                <w:szCs w:val="18"/>
              </w:rPr>
            </w:pPr>
            <w:r>
              <w:rPr>
                <w:b/>
                <w:sz w:val="18"/>
                <w:szCs w:val="18"/>
              </w:rPr>
              <w:t>1</w:t>
            </w:r>
          </w:p>
        </w:tc>
        <w:tc>
          <w:tcPr>
            <w:tcW w:w="1092" w:type="dxa"/>
            <w:shd w:val="clear" w:color="auto" w:fill="auto"/>
          </w:tcPr>
          <w:p w:rsidR="00770214" w:rsidRPr="00536B44" w:rsidP="00536B44" w14:paraId="710E77D3" w14:textId="77777777">
            <w:pPr>
              <w:spacing w:before="240"/>
              <w:jc w:val="right"/>
              <w:rPr>
                <w:b/>
                <w:sz w:val="18"/>
                <w:szCs w:val="18"/>
              </w:rPr>
            </w:pPr>
            <w:r>
              <w:rPr>
                <w:b/>
                <w:sz w:val="18"/>
                <w:szCs w:val="18"/>
              </w:rPr>
              <w:t>.25</w:t>
            </w:r>
          </w:p>
        </w:tc>
        <w:tc>
          <w:tcPr>
            <w:tcW w:w="993" w:type="dxa"/>
            <w:shd w:val="clear" w:color="auto" w:fill="auto"/>
          </w:tcPr>
          <w:p w:rsidR="00770214" w:rsidRPr="00536B44" w:rsidP="00536B44" w14:paraId="5317D821" w14:textId="77777777">
            <w:pPr>
              <w:spacing w:before="240"/>
              <w:jc w:val="right"/>
              <w:rPr>
                <w:b/>
                <w:sz w:val="18"/>
                <w:szCs w:val="18"/>
              </w:rPr>
            </w:pPr>
            <w:r>
              <w:rPr>
                <w:b/>
                <w:sz w:val="18"/>
                <w:szCs w:val="18"/>
              </w:rPr>
              <w:t>78,870</w:t>
            </w:r>
          </w:p>
        </w:tc>
        <w:tc>
          <w:tcPr>
            <w:tcW w:w="1028" w:type="dxa"/>
            <w:shd w:val="clear" w:color="auto" w:fill="auto"/>
          </w:tcPr>
          <w:p w:rsidR="00770214" w:rsidRPr="00536B44" w:rsidP="00536B44" w14:paraId="54CB5B34" w14:textId="77777777">
            <w:pPr>
              <w:spacing w:before="240"/>
              <w:jc w:val="center"/>
              <w:rPr>
                <w:b/>
                <w:sz w:val="18"/>
                <w:szCs w:val="18"/>
              </w:rPr>
            </w:pPr>
            <w:r>
              <w:rPr>
                <w:b/>
                <w:sz w:val="18"/>
                <w:szCs w:val="18"/>
              </w:rPr>
              <w:t>$</w:t>
            </w:r>
            <w:r w:rsidR="006D0909">
              <w:rPr>
                <w:b/>
                <w:sz w:val="18"/>
                <w:szCs w:val="18"/>
              </w:rPr>
              <w:t>22.00</w:t>
            </w:r>
          </w:p>
        </w:tc>
        <w:tc>
          <w:tcPr>
            <w:tcW w:w="1170" w:type="dxa"/>
            <w:shd w:val="clear" w:color="auto" w:fill="auto"/>
          </w:tcPr>
          <w:p w:rsidR="00770214" w:rsidRPr="00536B44" w:rsidP="00536B44" w14:paraId="1876C557" w14:textId="77777777">
            <w:pPr>
              <w:spacing w:before="240"/>
              <w:jc w:val="center"/>
              <w:rPr>
                <w:b/>
                <w:sz w:val="18"/>
                <w:szCs w:val="18"/>
              </w:rPr>
            </w:pPr>
            <w:r w:rsidRPr="006D0909">
              <w:rPr>
                <w:b/>
                <w:sz w:val="18"/>
                <w:szCs w:val="18"/>
              </w:rPr>
              <w:t>$433,785</w:t>
            </w:r>
          </w:p>
        </w:tc>
      </w:tr>
    </w:tbl>
    <w:p w:rsidR="00023E91" w:rsidRPr="00AA25C7" w14:paraId="27E0EE01" w14:textId="77777777"/>
    <w:p w:rsidR="00023E91" w:rsidRPr="00A70C87" w:rsidP="00857921" w14:paraId="7B1775E6" w14:textId="77777777">
      <w:pPr>
        <w:ind w:left="360"/>
      </w:pPr>
      <w:r w:rsidRPr="00AA25C7">
        <w:t xml:space="preserve">Each </w:t>
      </w:r>
      <w:r>
        <w:t>OF 306</w:t>
      </w:r>
      <w:r w:rsidRPr="00AA25C7">
        <w:t xml:space="preserve"> form takes an estimated </w:t>
      </w:r>
      <w:r>
        <w:t>1</w:t>
      </w:r>
      <w:r w:rsidRPr="00AA25C7">
        <w:t xml:space="preserve">5 minutes to complete.  </w:t>
      </w:r>
    </w:p>
    <w:p w:rsidR="00023E91" w14:paraId="4E12FB14" w14:textId="77777777"/>
    <w:p w:rsidR="00857921" w:rsidRPr="003824EE" w:rsidP="00857921" w14:paraId="4937184A" w14:textId="589C38FF">
      <w:pPr>
        <w:ind w:left="360"/>
        <w:rPr>
          <w:u w:val="single"/>
        </w:rPr>
      </w:pPr>
      <w:r w:rsidRPr="00AA25C7">
        <w:t>It is estimated that the tota</w:t>
      </w:r>
      <w:r>
        <w:t>l number of respondents for the OF 306 is 315,478</w:t>
      </w:r>
      <w:r w:rsidRPr="00AA25C7">
        <w:t xml:space="preserve"> </w:t>
      </w:r>
      <w:r>
        <w:t xml:space="preserve">annually.  </w:t>
      </w:r>
      <w:r w:rsidRPr="00AA25C7">
        <w:t>Accordingly, the estim</w:t>
      </w:r>
      <w:r>
        <w:t>ated annual burden is 78,870</w:t>
      </w:r>
      <w:r w:rsidRPr="00AA25C7">
        <w:t xml:space="preserve"> hours. </w:t>
      </w:r>
    </w:p>
    <w:p w:rsidR="002D05A4" w:rsidRPr="00AA25C7" w14:paraId="61ABA98B" w14:textId="77777777"/>
    <w:p w:rsidR="00023E91" w:rsidRPr="00AA25C7" w:rsidP="00A124DA" w14:paraId="11943176"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an estimate for the total annual cost burden to respondents or record</w:t>
      </w:r>
      <w:r w:rsidRPr="00AA25C7" w:rsidR="00A124DA">
        <w:rPr>
          <w:rFonts w:ascii="Times New Roman" w:hAnsi="Times New Roman" w:cs="Times New Roman"/>
          <w:b/>
          <w:u w:val="single"/>
        </w:rPr>
        <w:t xml:space="preserve"> </w:t>
      </w:r>
      <w:r w:rsidRPr="00AA25C7">
        <w:rPr>
          <w:rFonts w:ascii="Times New Roman" w:hAnsi="Times New Roman" w:cs="Times New Roman"/>
          <w:b/>
          <w:u w:val="single"/>
        </w:rPr>
        <w:t xml:space="preserve">keepers resulting from the collection of information. </w:t>
      </w:r>
    </w:p>
    <w:p w:rsidR="00023E91" w:rsidRPr="00AA25C7" w14:paraId="7D3A27EC" w14:textId="77777777"/>
    <w:p w:rsidR="00023E91" w:rsidRPr="00AA25C7" w:rsidP="00AA37AA" w14:paraId="3B1A8172" w14:textId="6AD66F75">
      <w:pPr>
        <w:ind w:left="360"/>
      </w:pPr>
      <w:r w:rsidRPr="00AA25C7">
        <w:t xml:space="preserve">There is no </w:t>
      </w:r>
      <w:r w:rsidR="00045439">
        <w:t>fee</w:t>
      </w:r>
      <w:r w:rsidR="00407E7A">
        <w:t xml:space="preserve"> or financial</w:t>
      </w:r>
      <w:r w:rsidR="00045439">
        <w:t xml:space="preserve"> cost</w:t>
      </w:r>
      <w:r w:rsidRPr="00AA25C7">
        <w:t xml:space="preserve"> to individual respondents.</w:t>
      </w:r>
      <w:r w:rsidR="00045439">
        <w:t xml:space="preserve"> </w:t>
      </w:r>
      <w:r w:rsidR="00495981">
        <w:t xml:space="preserve"> </w:t>
      </w:r>
      <w:r w:rsidR="00045439">
        <w:t>However, OPM has converted the hour burden to cost to individual in the question above.</w:t>
      </w:r>
    </w:p>
    <w:p w:rsidR="00023E91" w:rsidRPr="00AA25C7" w14:paraId="02E4BDDF" w14:textId="77777777"/>
    <w:p w:rsidR="00023E91" w:rsidRPr="00AA25C7" w:rsidP="00A124DA" w14:paraId="1C54C41E"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CE0D32" w:rsidRPr="008244EC" w:rsidP="0016672C" w14:paraId="7AF47DE7" w14:textId="77777777"/>
    <w:p w:rsidR="00DF2802" w:rsidP="004450AC" w14:paraId="447E4803" w14:textId="3A697B4A">
      <w:pPr>
        <w:ind w:left="360"/>
      </w:pPr>
      <w:r>
        <w:t xml:space="preserve">OPM estimates that </w:t>
      </w:r>
      <w:r w:rsidRPr="00DF2802">
        <w:t>5 minutes a case is likely the average</w:t>
      </w:r>
      <w:r>
        <w:t xml:space="preserve"> review time</w:t>
      </w:r>
      <w:r w:rsidRPr="00DF2802">
        <w:t xml:space="preserve"> as the review should occur in comparison with other information provided by the individual to look for discrepancies as well as to make sure the information is complete.  </w:t>
      </w:r>
    </w:p>
    <w:p w:rsidR="00495981" w:rsidP="006C7D9D" w14:paraId="7D83A5BE" w14:textId="77777777">
      <w:pPr>
        <w:ind w:left="360"/>
      </w:pPr>
    </w:p>
    <w:p w:rsidR="006C7D9D" w:rsidP="006C7D9D" w14:paraId="56BE284A" w14:textId="3E7A6E59">
      <w:pPr>
        <w:ind w:left="360"/>
      </w:pPr>
      <w:r>
        <w:t xml:space="preserve">In addition, OPM estimates that the average person processing the form is a GS-12, Step 5 who make about $37.09 an hour which will break down to $3.09 for 5 minutes. </w:t>
      </w:r>
      <w:r w:rsidRPr="00DF2802">
        <w:t>Therefore, if the responses are 315,478/year</w:t>
      </w:r>
      <w:r>
        <w:t xml:space="preserve"> and</w:t>
      </w:r>
      <w:r w:rsidRPr="00DF2802">
        <w:t xml:space="preserve"> the cost of staff time to review </w:t>
      </w:r>
      <w:r>
        <w:t>is</w:t>
      </w:r>
      <w:r w:rsidRPr="00DF2802">
        <w:t xml:space="preserve"> $3.09</w:t>
      </w:r>
      <w:r>
        <w:t xml:space="preserve">, the total annual cost is estimated to be </w:t>
      </w:r>
      <w:r w:rsidRPr="00DF2802">
        <w:t xml:space="preserve">$974,827.02. </w:t>
      </w:r>
      <w:r w:rsidR="00495981">
        <w:t xml:space="preserve"> </w:t>
      </w:r>
      <w:r>
        <w:t xml:space="preserve">As the form is provided electronically, OPM does not expect to incur any printing cost. </w:t>
      </w:r>
      <w:r w:rsidRPr="00DF2802">
        <w:t xml:space="preserve"> </w:t>
      </w:r>
    </w:p>
    <w:p w:rsidR="008625A9" w:rsidRPr="00AA25C7" w:rsidP="006C7D9D" w14:paraId="7768C8DC" w14:textId="77777777">
      <w:pPr>
        <w:ind w:left="360"/>
      </w:pPr>
    </w:p>
    <w:p w:rsidR="00023E91" w:rsidRPr="00AA25C7" w:rsidP="00A124DA" w14:paraId="581C7772"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in Items 13 or 14 of the OMB Form 83-I. </w:t>
      </w:r>
    </w:p>
    <w:p w:rsidR="00495981" w:rsidP="00857921" w14:paraId="58CB4624" w14:textId="77777777">
      <w:pPr>
        <w:ind w:left="360"/>
      </w:pPr>
    </w:p>
    <w:p w:rsidR="00857921" w:rsidP="00857921" w14:paraId="571F4514" w14:textId="0FD49190">
      <w:pPr>
        <w:ind w:left="360"/>
      </w:pPr>
      <w:r>
        <w:t>No explanation require as OMB Form 83I is not being used.</w:t>
      </w:r>
      <w:r>
        <w:t xml:space="preserve">.  </w:t>
      </w:r>
    </w:p>
    <w:p w:rsidR="000815B8" w:rsidP="0016158D" w14:paraId="65A9E2FC" w14:textId="77777777"/>
    <w:p w:rsidR="00023E91" w:rsidRPr="00AA25C7" w:rsidP="00A124DA" w14:paraId="4175CBC4"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For collections of information whose results will be published, outline plans for tabulat</w:t>
      </w:r>
      <w:r w:rsidRPr="00AA25C7" w:rsidR="004E36FE">
        <w:rPr>
          <w:rFonts w:ascii="Times New Roman" w:hAnsi="Times New Roman" w:cs="Times New Roman"/>
          <w:b/>
          <w:u w:val="single"/>
        </w:rPr>
        <w:t xml:space="preserve">ion and publication.  Address any complex analytical techniques that will be used.  Provide the time schedule for the entire project, including beginning and ending dates of the collection of information, completion of report, publication dates, and other actions.  </w:t>
      </w:r>
      <w:r w:rsidRPr="00AA25C7">
        <w:rPr>
          <w:rFonts w:ascii="Times New Roman" w:hAnsi="Times New Roman" w:cs="Times New Roman"/>
          <w:b/>
          <w:u w:val="single"/>
        </w:rPr>
        <w:t xml:space="preserve"> </w:t>
      </w:r>
    </w:p>
    <w:p w:rsidR="00023E91" w:rsidRPr="00AA25C7" w14:paraId="5F16FF75" w14:textId="77777777">
      <w:r w:rsidRPr="00AA25C7">
        <w:t xml:space="preserve"> </w:t>
      </w:r>
    </w:p>
    <w:p w:rsidR="00F84D83" w:rsidP="000815B8" w14:paraId="105322DE" w14:textId="77777777">
      <w:pPr>
        <w:ind w:firstLine="360"/>
      </w:pPr>
      <w:r w:rsidRPr="00AA25C7">
        <w:t>Not applicable.  Information collected on the forms will not be published.</w:t>
      </w:r>
    </w:p>
    <w:p w:rsidR="00F84D83" w:rsidRPr="00AA25C7" w14:paraId="606D5FAF" w14:textId="77777777"/>
    <w:p w:rsidR="00023E91" w:rsidRPr="00AA25C7" w:rsidP="004E5D26" w14:paraId="5EFCAFE3"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00023E91" w:rsidRPr="00AA25C7" w14:paraId="1EF48636" w14:textId="77777777"/>
    <w:p w:rsidR="00023E91" w:rsidRPr="00AA25C7" w14:paraId="5957809C" w14:textId="4C6B4AB3">
      <w:r>
        <w:tab/>
        <w:t>Not seeking approval for not displaying OMB approval number</w:t>
      </w:r>
    </w:p>
    <w:p w:rsidR="00023E91" w:rsidRPr="00AA25C7" w:rsidP="004E5D26" w14:paraId="0CEDCAB3"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each exception to the certification statement identified in Item 19, "Certification for Paperwork Reduction Act Submissions," of OMB Form 83-I. </w:t>
      </w:r>
    </w:p>
    <w:p w:rsidR="00023E91" w:rsidRPr="00AA25C7" w14:paraId="1985E954" w14:textId="77777777"/>
    <w:p w:rsidR="00023E91" w:rsidRPr="00AA25C7" w:rsidP="004E5D26" w14:paraId="41550D1D" w14:textId="77777777">
      <w:pPr>
        <w:ind w:firstLine="360"/>
      </w:pPr>
      <w:r w:rsidRPr="00AA25C7">
        <w:t xml:space="preserve">Not </w:t>
      </w:r>
      <w:r w:rsidRPr="00AA25C7">
        <w:t>applicable</w:t>
      </w:r>
      <w:r w:rsidRPr="00AA25C7">
        <w:t xml:space="preserve">.  </w:t>
      </w:r>
    </w:p>
    <w:sectPr w:rsidSect="00D32D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80626E"/>
    <w:multiLevelType w:val="hybridMultilevel"/>
    <w:tmpl w:val="C270D71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AF116C"/>
    <w:multiLevelType w:val="hybridMultilevel"/>
    <w:tmpl w:val="3C145C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4234E7"/>
    <w:multiLevelType w:val="multilevel"/>
    <w:tmpl w:val="6F86EBAC"/>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59261C0"/>
    <w:multiLevelType w:val="hybridMultilevel"/>
    <w:tmpl w:val="FF8C455C"/>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B118AF"/>
    <w:multiLevelType w:val="hybridMultilevel"/>
    <w:tmpl w:val="A00C84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7912A2"/>
    <w:multiLevelType w:val="hybridMultilevel"/>
    <w:tmpl w:val="B1C6A3B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182E79"/>
    <w:multiLevelType w:val="hybridMultilevel"/>
    <w:tmpl w:val="722C8F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EB027C"/>
    <w:multiLevelType w:val="hybridMultilevel"/>
    <w:tmpl w:val="0774333A"/>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775719"/>
    <w:multiLevelType w:val="hybridMultilevel"/>
    <w:tmpl w:val="0434AC16"/>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0CF5F48"/>
    <w:multiLevelType w:val="hybridMultilevel"/>
    <w:tmpl w:val="1262AC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B60276"/>
    <w:multiLevelType w:val="hybridMultilevel"/>
    <w:tmpl w:val="A6BC20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AA53C6"/>
    <w:multiLevelType w:val="hybridMultilevel"/>
    <w:tmpl w:val="1EE813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8906193"/>
    <w:multiLevelType w:val="hybridMultilevel"/>
    <w:tmpl w:val="F634AB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D218D7"/>
    <w:multiLevelType w:val="hybridMultilevel"/>
    <w:tmpl w:val="E49E21E6"/>
    <w:lvl w:ilvl="0">
      <w:start w:val="1"/>
      <w:numFmt w:val="lowerLetter"/>
      <w:lvlText w:val="%1."/>
      <w:lvlJc w:val="left"/>
      <w:pPr>
        <w:ind w:left="1080" w:hanging="360"/>
      </w:pPr>
      <w:rPr>
        <w:rFonts w:ascii="Times New Roman" w:eastAsia="Times New Roman"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062548B"/>
    <w:multiLevelType w:val="hybridMultilevel"/>
    <w:tmpl w:val="08ACF0E6"/>
    <w:lvl w:ilvl="0">
      <w:start w:val="1"/>
      <w:numFmt w:val="lowerLetter"/>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54112B"/>
    <w:multiLevelType w:val="hybridMultilevel"/>
    <w:tmpl w:val="9E34A6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322627EA"/>
    <w:multiLevelType w:val="hybridMultilevel"/>
    <w:tmpl w:val="A3183F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27B5C22"/>
    <w:multiLevelType w:val="hybridMultilevel"/>
    <w:tmpl w:val="AF5872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33A75BC"/>
    <w:multiLevelType w:val="hybridMultilevel"/>
    <w:tmpl w:val="1032C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0222E2"/>
    <w:multiLevelType w:val="hybridMultilevel"/>
    <w:tmpl w:val="EB1ADD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850A3F"/>
    <w:multiLevelType w:val="multilevel"/>
    <w:tmpl w:val="A1DCDCE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1">
    <w:nsid w:val="3FEF072B"/>
    <w:multiLevelType w:val="hybridMultilevel"/>
    <w:tmpl w:val="7AF6D21E"/>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22">
    <w:nsid w:val="42561A4C"/>
    <w:multiLevelType w:val="hybridMultilevel"/>
    <w:tmpl w:val="1130B10E"/>
    <w:lvl w:ilvl="0">
      <w:start w:val="1"/>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2B6235"/>
    <w:multiLevelType w:val="multilevel"/>
    <w:tmpl w:val="C3485744"/>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51BC67E8"/>
    <w:multiLevelType w:val="hybridMultilevel"/>
    <w:tmpl w:val="320E9B78"/>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0A10CD"/>
    <w:multiLevelType w:val="hybridMultilevel"/>
    <w:tmpl w:val="47E6C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9F0B40"/>
    <w:multiLevelType w:val="hybridMultilevel"/>
    <w:tmpl w:val="0E22A25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63646F"/>
    <w:multiLevelType w:val="hybridMultilevel"/>
    <w:tmpl w:val="7ACE8C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022164"/>
    <w:multiLevelType w:val="hybridMultilevel"/>
    <w:tmpl w:val="582CE5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D1F275A"/>
    <w:multiLevelType w:val="hybridMultilevel"/>
    <w:tmpl w:val="81DC39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EA76464"/>
    <w:multiLevelType w:val="hybridMultilevel"/>
    <w:tmpl w:val="29B43B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01831AE"/>
    <w:multiLevelType w:val="hybridMultilevel"/>
    <w:tmpl w:val="4DB0EB8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0D76A7"/>
    <w:multiLevelType w:val="hybridMultilevel"/>
    <w:tmpl w:val="8B629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857A9E"/>
    <w:multiLevelType w:val="multilevel"/>
    <w:tmpl w:val="A8820DA0"/>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63A634C3"/>
    <w:multiLevelType w:val="hybridMultilevel"/>
    <w:tmpl w:val="873EEB5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5CB5D47"/>
    <w:multiLevelType w:val="hybridMultilevel"/>
    <w:tmpl w:val="4F2CD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8A0924"/>
    <w:multiLevelType w:val="hybridMultilevel"/>
    <w:tmpl w:val="B19C4FBA"/>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7626835"/>
    <w:multiLevelType w:val="multilevel"/>
    <w:tmpl w:val="2B7C8D9E"/>
    <w:lvl w:ilvl="0">
      <w:start w:val="1"/>
      <w:numFmt w:val="upperLetter"/>
      <w:lvlText w:val="%1."/>
      <w:lvlJc w:val="left"/>
      <w:pPr>
        <w:tabs>
          <w:tab w:val="num" w:pos="720"/>
        </w:tabs>
        <w:ind w:left="720" w:hanging="360"/>
      </w:pPr>
    </w:lvl>
    <w:lvl w:ilvl="1">
      <w:start w:val="1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D867E6E"/>
    <w:multiLevelType w:val="multilevel"/>
    <w:tmpl w:val="2CECD494"/>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6F072E9B"/>
    <w:multiLevelType w:val="hybridMultilevel"/>
    <w:tmpl w:val="6D56FE1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0374ECF"/>
    <w:multiLevelType w:val="hybridMultilevel"/>
    <w:tmpl w:val="8CD663B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49B20AD"/>
    <w:multiLevelType w:val="hybridMultilevel"/>
    <w:tmpl w:val="A26E07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765B07"/>
    <w:multiLevelType w:val="hybridMultilevel"/>
    <w:tmpl w:val="70C2643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0B361F"/>
    <w:multiLevelType w:val="multilevel"/>
    <w:tmpl w:val="E744C74A"/>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AEC0174"/>
    <w:multiLevelType w:val="hybridMultilevel"/>
    <w:tmpl w:val="7C8201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4"/>
  </w:num>
  <w:num w:numId="3">
    <w:abstractNumId w:val="26"/>
  </w:num>
  <w:num w:numId="4">
    <w:abstractNumId w:val="0"/>
  </w:num>
  <w:num w:numId="5">
    <w:abstractNumId w:val="7"/>
  </w:num>
  <w:num w:numId="6">
    <w:abstractNumId w:val="29"/>
  </w:num>
  <w:num w:numId="7">
    <w:abstractNumId w:val="24"/>
  </w:num>
  <w:num w:numId="8">
    <w:abstractNumId w:val="3"/>
  </w:num>
  <w:num w:numId="9">
    <w:abstractNumId w:val="40"/>
  </w:num>
  <w:num w:numId="10">
    <w:abstractNumId w:val="21"/>
  </w:num>
  <w:num w:numId="11">
    <w:abstractNumId w:val="36"/>
  </w:num>
  <w:num w:numId="12">
    <w:abstractNumId w:val="32"/>
  </w:num>
  <w:num w:numId="13">
    <w:abstractNumId w:val="8"/>
  </w:num>
  <w:num w:numId="14">
    <w:abstractNumId w:val="22"/>
  </w:num>
  <w:num w:numId="15">
    <w:abstractNumId w:val="5"/>
  </w:num>
  <w:num w:numId="16">
    <w:abstractNumId w:val="27"/>
  </w:num>
  <w:num w:numId="17">
    <w:abstractNumId w:val="9"/>
  </w:num>
  <w:num w:numId="18">
    <w:abstractNumId w:val="10"/>
  </w:num>
  <w:num w:numId="19">
    <w:abstractNumId w:val="2"/>
  </w:num>
  <w:num w:numId="20">
    <w:abstractNumId w:val="33"/>
  </w:num>
  <w:num w:numId="21">
    <w:abstractNumId w:val="43"/>
  </w:num>
  <w:num w:numId="22">
    <w:abstractNumId w:val="23"/>
  </w:num>
  <w:num w:numId="23">
    <w:abstractNumId w:val="30"/>
  </w:num>
  <w:num w:numId="24">
    <w:abstractNumId w:val="15"/>
  </w:num>
  <w:num w:numId="25">
    <w:abstractNumId w:val="34"/>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7"/>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42"/>
  </w:num>
  <w:num w:numId="32">
    <w:abstractNumId w:val="14"/>
  </w:num>
  <w:num w:numId="33">
    <w:abstractNumId w:val="39"/>
  </w:num>
  <w:num w:numId="34">
    <w:abstractNumId w:val="44"/>
  </w:num>
  <w:num w:numId="35">
    <w:abstractNumId w:val="6"/>
  </w:num>
  <w:num w:numId="36">
    <w:abstractNumId w:val="18"/>
  </w:num>
  <w:num w:numId="37">
    <w:abstractNumId w:val="12"/>
  </w:num>
  <w:num w:numId="38">
    <w:abstractNumId w:val="25"/>
  </w:num>
  <w:num w:numId="39">
    <w:abstractNumId w:val="31"/>
  </w:num>
  <w:num w:numId="40">
    <w:abstractNumId w:val="41"/>
  </w:num>
  <w:num w:numId="41">
    <w:abstractNumId w:val="19"/>
  </w:num>
  <w:num w:numId="42">
    <w:abstractNumId w:val="35"/>
  </w:num>
  <w:num w:numId="43">
    <w:abstractNumId w:val="17"/>
  </w:num>
  <w:num w:numId="44">
    <w:abstractNumId w:val="16"/>
  </w:num>
  <w:num w:numId="4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emetrius Jones">
    <w15:presenceInfo w15:providerId="AD" w15:userId="S::Demetrius.Jones@opm.gov::8a75091d-5dec-4d28-aa78-701c4721b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91"/>
    <w:rsid w:val="000055D3"/>
    <w:rsid w:val="000104A3"/>
    <w:rsid w:val="0001360D"/>
    <w:rsid w:val="00017909"/>
    <w:rsid w:val="00020244"/>
    <w:rsid w:val="00023E91"/>
    <w:rsid w:val="000245A0"/>
    <w:rsid w:val="00032F38"/>
    <w:rsid w:val="00036D84"/>
    <w:rsid w:val="0004319B"/>
    <w:rsid w:val="00045439"/>
    <w:rsid w:val="00046033"/>
    <w:rsid w:val="00060E18"/>
    <w:rsid w:val="00063525"/>
    <w:rsid w:val="00070C6A"/>
    <w:rsid w:val="00071930"/>
    <w:rsid w:val="000814A4"/>
    <w:rsid w:val="000815B8"/>
    <w:rsid w:val="000868A4"/>
    <w:rsid w:val="000962E5"/>
    <w:rsid w:val="000A2EBA"/>
    <w:rsid w:val="000A3D85"/>
    <w:rsid w:val="000B3B04"/>
    <w:rsid w:val="000C0668"/>
    <w:rsid w:val="000C68D0"/>
    <w:rsid w:val="000E0E3A"/>
    <w:rsid w:val="000E6C66"/>
    <w:rsid w:val="000F17ED"/>
    <w:rsid w:val="000F2BE9"/>
    <w:rsid w:val="000F3DF7"/>
    <w:rsid w:val="00103D3B"/>
    <w:rsid w:val="001210E9"/>
    <w:rsid w:val="00123610"/>
    <w:rsid w:val="00123AD2"/>
    <w:rsid w:val="0012486D"/>
    <w:rsid w:val="001303C0"/>
    <w:rsid w:val="00135B1F"/>
    <w:rsid w:val="0013772B"/>
    <w:rsid w:val="00140699"/>
    <w:rsid w:val="00150778"/>
    <w:rsid w:val="0016158D"/>
    <w:rsid w:val="00162B65"/>
    <w:rsid w:val="00164D66"/>
    <w:rsid w:val="0016672C"/>
    <w:rsid w:val="001726F7"/>
    <w:rsid w:val="00186C0A"/>
    <w:rsid w:val="001A27D4"/>
    <w:rsid w:val="001A55BD"/>
    <w:rsid w:val="001A5B13"/>
    <w:rsid w:val="001B04D0"/>
    <w:rsid w:val="001B075D"/>
    <w:rsid w:val="001B5AB8"/>
    <w:rsid w:val="001C3000"/>
    <w:rsid w:val="001D0552"/>
    <w:rsid w:val="001D2B4A"/>
    <w:rsid w:val="001E3399"/>
    <w:rsid w:val="001F02BF"/>
    <w:rsid w:val="00200C34"/>
    <w:rsid w:val="002245D4"/>
    <w:rsid w:val="002250A8"/>
    <w:rsid w:val="002326FD"/>
    <w:rsid w:val="00232F87"/>
    <w:rsid w:val="002346EC"/>
    <w:rsid w:val="0024708B"/>
    <w:rsid w:val="002501D5"/>
    <w:rsid w:val="00273C7D"/>
    <w:rsid w:val="0028349F"/>
    <w:rsid w:val="00290D3A"/>
    <w:rsid w:val="00291813"/>
    <w:rsid w:val="002929CD"/>
    <w:rsid w:val="002A471C"/>
    <w:rsid w:val="002A4A5E"/>
    <w:rsid w:val="002A4FC5"/>
    <w:rsid w:val="002A7711"/>
    <w:rsid w:val="002B4EE4"/>
    <w:rsid w:val="002B7A3B"/>
    <w:rsid w:val="002C002F"/>
    <w:rsid w:val="002C482B"/>
    <w:rsid w:val="002D05A4"/>
    <w:rsid w:val="002D3770"/>
    <w:rsid w:val="002F5956"/>
    <w:rsid w:val="0030092B"/>
    <w:rsid w:val="00305411"/>
    <w:rsid w:val="003109FE"/>
    <w:rsid w:val="003140B6"/>
    <w:rsid w:val="0031413A"/>
    <w:rsid w:val="00317A02"/>
    <w:rsid w:val="003278AF"/>
    <w:rsid w:val="00342880"/>
    <w:rsid w:val="00347FAF"/>
    <w:rsid w:val="003824EE"/>
    <w:rsid w:val="003901BB"/>
    <w:rsid w:val="003916B3"/>
    <w:rsid w:val="003923C9"/>
    <w:rsid w:val="00394EBC"/>
    <w:rsid w:val="003B0A11"/>
    <w:rsid w:val="003B42A6"/>
    <w:rsid w:val="003B4C93"/>
    <w:rsid w:val="003B5F8F"/>
    <w:rsid w:val="003C30B4"/>
    <w:rsid w:val="003C5E78"/>
    <w:rsid w:val="003C719B"/>
    <w:rsid w:val="003C72A5"/>
    <w:rsid w:val="003D3ACB"/>
    <w:rsid w:val="003D413F"/>
    <w:rsid w:val="003D4E07"/>
    <w:rsid w:val="003F3AAB"/>
    <w:rsid w:val="00407E7A"/>
    <w:rsid w:val="0041047A"/>
    <w:rsid w:val="00411DF1"/>
    <w:rsid w:val="00413096"/>
    <w:rsid w:val="00417C90"/>
    <w:rsid w:val="00420FC9"/>
    <w:rsid w:val="00427CFC"/>
    <w:rsid w:val="004302B3"/>
    <w:rsid w:val="00435539"/>
    <w:rsid w:val="00443DA3"/>
    <w:rsid w:val="004450AC"/>
    <w:rsid w:val="004468B5"/>
    <w:rsid w:val="004521F8"/>
    <w:rsid w:val="004547E0"/>
    <w:rsid w:val="00473122"/>
    <w:rsid w:val="00486078"/>
    <w:rsid w:val="00495981"/>
    <w:rsid w:val="004A67F5"/>
    <w:rsid w:val="004A7591"/>
    <w:rsid w:val="004C0374"/>
    <w:rsid w:val="004C62B4"/>
    <w:rsid w:val="004D1CC4"/>
    <w:rsid w:val="004D3D6A"/>
    <w:rsid w:val="004E18AA"/>
    <w:rsid w:val="004E36FE"/>
    <w:rsid w:val="004E5D26"/>
    <w:rsid w:val="004F11E4"/>
    <w:rsid w:val="004F392C"/>
    <w:rsid w:val="004F4912"/>
    <w:rsid w:val="004F4B8E"/>
    <w:rsid w:val="004F5C52"/>
    <w:rsid w:val="005049C0"/>
    <w:rsid w:val="00505906"/>
    <w:rsid w:val="00530B04"/>
    <w:rsid w:val="0053110F"/>
    <w:rsid w:val="00532E8A"/>
    <w:rsid w:val="005351ED"/>
    <w:rsid w:val="00536B44"/>
    <w:rsid w:val="00564F79"/>
    <w:rsid w:val="0057165A"/>
    <w:rsid w:val="005747A6"/>
    <w:rsid w:val="00585852"/>
    <w:rsid w:val="00595378"/>
    <w:rsid w:val="005A4DC9"/>
    <w:rsid w:val="005E5E76"/>
    <w:rsid w:val="005F4D2A"/>
    <w:rsid w:val="005F6C9E"/>
    <w:rsid w:val="0060230D"/>
    <w:rsid w:val="006101A4"/>
    <w:rsid w:val="00610CF9"/>
    <w:rsid w:val="006240CF"/>
    <w:rsid w:val="00625A2E"/>
    <w:rsid w:val="00627975"/>
    <w:rsid w:val="006327CE"/>
    <w:rsid w:val="006404DF"/>
    <w:rsid w:val="00640D5B"/>
    <w:rsid w:val="00640E97"/>
    <w:rsid w:val="00663054"/>
    <w:rsid w:val="006716F3"/>
    <w:rsid w:val="00673185"/>
    <w:rsid w:val="00682DF3"/>
    <w:rsid w:val="006847B2"/>
    <w:rsid w:val="00684EDB"/>
    <w:rsid w:val="00686F4B"/>
    <w:rsid w:val="0068774E"/>
    <w:rsid w:val="00692FF8"/>
    <w:rsid w:val="00693462"/>
    <w:rsid w:val="00697817"/>
    <w:rsid w:val="006A3C05"/>
    <w:rsid w:val="006B625F"/>
    <w:rsid w:val="006C1A3A"/>
    <w:rsid w:val="006C7D9D"/>
    <w:rsid w:val="006D0909"/>
    <w:rsid w:val="006D2A21"/>
    <w:rsid w:val="006D2E5C"/>
    <w:rsid w:val="006D7657"/>
    <w:rsid w:val="006E5C59"/>
    <w:rsid w:val="006E67A6"/>
    <w:rsid w:val="006E7F00"/>
    <w:rsid w:val="006F3B51"/>
    <w:rsid w:val="006F59B1"/>
    <w:rsid w:val="007022F8"/>
    <w:rsid w:val="00711807"/>
    <w:rsid w:val="00711A58"/>
    <w:rsid w:val="007128AC"/>
    <w:rsid w:val="007209DF"/>
    <w:rsid w:val="007321F9"/>
    <w:rsid w:val="00741061"/>
    <w:rsid w:val="00750B36"/>
    <w:rsid w:val="00753D6F"/>
    <w:rsid w:val="00770214"/>
    <w:rsid w:val="007714E2"/>
    <w:rsid w:val="00774E1A"/>
    <w:rsid w:val="00776DFF"/>
    <w:rsid w:val="00786A52"/>
    <w:rsid w:val="00791E05"/>
    <w:rsid w:val="007971A4"/>
    <w:rsid w:val="007B11E6"/>
    <w:rsid w:val="007B245C"/>
    <w:rsid w:val="007B330B"/>
    <w:rsid w:val="007C5FB3"/>
    <w:rsid w:val="007D0BDA"/>
    <w:rsid w:val="007D200F"/>
    <w:rsid w:val="007D4569"/>
    <w:rsid w:val="007D47A9"/>
    <w:rsid w:val="007D5E5C"/>
    <w:rsid w:val="007D6ADD"/>
    <w:rsid w:val="007D7530"/>
    <w:rsid w:val="007E1103"/>
    <w:rsid w:val="007F3C7E"/>
    <w:rsid w:val="00807161"/>
    <w:rsid w:val="00815E03"/>
    <w:rsid w:val="008244EC"/>
    <w:rsid w:val="00824687"/>
    <w:rsid w:val="0083060C"/>
    <w:rsid w:val="00832985"/>
    <w:rsid w:val="008336F2"/>
    <w:rsid w:val="008407EC"/>
    <w:rsid w:val="008447CA"/>
    <w:rsid w:val="00844FBC"/>
    <w:rsid w:val="0085568B"/>
    <w:rsid w:val="00857921"/>
    <w:rsid w:val="00861EFE"/>
    <w:rsid w:val="008625A9"/>
    <w:rsid w:val="008676CA"/>
    <w:rsid w:val="00870AE4"/>
    <w:rsid w:val="008814BA"/>
    <w:rsid w:val="008953F8"/>
    <w:rsid w:val="008A18EC"/>
    <w:rsid w:val="008A2A52"/>
    <w:rsid w:val="008A47C8"/>
    <w:rsid w:val="008A75ED"/>
    <w:rsid w:val="008B5708"/>
    <w:rsid w:val="008B67EE"/>
    <w:rsid w:val="008C095C"/>
    <w:rsid w:val="008C3DDF"/>
    <w:rsid w:val="008C62BE"/>
    <w:rsid w:val="008D5998"/>
    <w:rsid w:val="008D68A0"/>
    <w:rsid w:val="008D6BB1"/>
    <w:rsid w:val="008E091B"/>
    <w:rsid w:val="008E22E6"/>
    <w:rsid w:val="008F11B2"/>
    <w:rsid w:val="00902D01"/>
    <w:rsid w:val="00921D51"/>
    <w:rsid w:val="00942948"/>
    <w:rsid w:val="009439A5"/>
    <w:rsid w:val="0097698A"/>
    <w:rsid w:val="009769F4"/>
    <w:rsid w:val="00980194"/>
    <w:rsid w:val="009B2DCB"/>
    <w:rsid w:val="009C06AD"/>
    <w:rsid w:val="009C6196"/>
    <w:rsid w:val="009C7CD3"/>
    <w:rsid w:val="009D140E"/>
    <w:rsid w:val="009D1C8D"/>
    <w:rsid w:val="009D229A"/>
    <w:rsid w:val="009D5233"/>
    <w:rsid w:val="009F148F"/>
    <w:rsid w:val="009F6A8A"/>
    <w:rsid w:val="00A124DA"/>
    <w:rsid w:val="00A14565"/>
    <w:rsid w:val="00A20F41"/>
    <w:rsid w:val="00A2551A"/>
    <w:rsid w:val="00A26C92"/>
    <w:rsid w:val="00A36BCB"/>
    <w:rsid w:val="00A374A4"/>
    <w:rsid w:val="00A43CC2"/>
    <w:rsid w:val="00A5116C"/>
    <w:rsid w:val="00A6150C"/>
    <w:rsid w:val="00A70C87"/>
    <w:rsid w:val="00A768FE"/>
    <w:rsid w:val="00A77683"/>
    <w:rsid w:val="00A84BA9"/>
    <w:rsid w:val="00A859DB"/>
    <w:rsid w:val="00A9118B"/>
    <w:rsid w:val="00A96A63"/>
    <w:rsid w:val="00AA25C7"/>
    <w:rsid w:val="00AA37AA"/>
    <w:rsid w:val="00AA3BDE"/>
    <w:rsid w:val="00AA660E"/>
    <w:rsid w:val="00AB2FBE"/>
    <w:rsid w:val="00AC0119"/>
    <w:rsid w:val="00AD2E3C"/>
    <w:rsid w:val="00AE0833"/>
    <w:rsid w:val="00AE1725"/>
    <w:rsid w:val="00AE380A"/>
    <w:rsid w:val="00AE59C9"/>
    <w:rsid w:val="00AF2848"/>
    <w:rsid w:val="00AF3888"/>
    <w:rsid w:val="00AF5F71"/>
    <w:rsid w:val="00B00ACE"/>
    <w:rsid w:val="00B153AE"/>
    <w:rsid w:val="00B239DD"/>
    <w:rsid w:val="00B272D1"/>
    <w:rsid w:val="00B3155A"/>
    <w:rsid w:val="00B323BC"/>
    <w:rsid w:val="00B33953"/>
    <w:rsid w:val="00B34C9A"/>
    <w:rsid w:val="00B4177C"/>
    <w:rsid w:val="00B4218D"/>
    <w:rsid w:val="00B44D63"/>
    <w:rsid w:val="00B514C4"/>
    <w:rsid w:val="00B557C5"/>
    <w:rsid w:val="00B5689F"/>
    <w:rsid w:val="00B65D8B"/>
    <w:rsid w:val="00B73242"/>
    <w:rsid w:val="00B86247"/>
    <w:rsid w:val="00BA2B19"/>
    <w:rsid w:val="00BA7951"/>
    <w:rsid w:val="00BA7EC3"/>
    <w:rsid w:val="00BC6F57"/>
    <w:rsid w:val="00BD44D0"/>
    <w:rsid w:val="00BD6322"/>
    <w:rsid w:val="00BD7DD7"/>
    <w:rsid w:val="00BE092F"/>
    <w:rsid w:val="00BE2C06"/>
    <w:rsid w:val="00BE2C30"/>
    <w:rsid w:val="00BE2E58"/>
    <w:rsid w:val="00BE40A7"/>
    <w:rsid w:val="00C176C3"/>
    <w:rsid w:val="00C178AC"/>
    <w:rsid w:val="00C25639"/>
    <w:rsid w:val="00C272CA"/>
    <w:rsid w:val="00C32AF4"/>
    <w:rsid w:val="00C33D74"/>
    <w:rsid w:val="00C4038C"/>
    <w:rsid w:val="00C40AAC"/>
    <w:rsid w:val="00C42801"/>
    <w:rsid w:val="00C4765B"/>
    <w:rsid w:val="00C513AA"/>
    <w:rsid w:val="00C61FEA"/>
    <w:rsid w:val="00C62D65"/>
    <w:rsid w:val="00C63031"/>
    <w:rsid w:val="00C67373"/>
    <w:rsid w:val="00C73A35"/>
    <w:rsid w:val="00C770B4"/>
    <w:rsid w:val="00C93609"/>
    <w:rsid w:val="00CA3C2E"/>
    <w:rsid w:val="00CB3E2C"/>
    <w:rsid w:val="00CB585C"/>
    <w:rsid w:val="00CC1BF3"/>
    <w:rsid w:val="00CC5DF9"/>
    <w:rsid w:val="00CD7B41"/>
    <w:rsid w:val="00CE0D32"/>
    <w:rsid w:val="00CE40D8"/>
    <w:rsid w:val="00CF245B"/>
    <w:rsid w:val="00CF300F"/>
    <w:rsid w:val="00CF5B6E"/>
    <w:rsid w:val="00D027A8"/>
    <w:rsid w:val="00D02E63"/>
    <w:rsid w:val="00D0509A"/>
    <w:rsid w:val="00D156B1"/>
    <w:rsid w:val="00D15EB6"/>
    <w:rsid w:val="00D25D1A"/>
    <w:rsid w:val="00D32DF1"/>
    <w:rsid w:val="00D550A9"/>
    <w:rsid w:val="00D66266"/>
    <w:rsid w:val="00D703A4"/>
    <w:rsid w:val="00D729FC"/>
    <w:rsid w:val="00D74B6A"/>
    <w:rsid w:val="00D75757"/>
    <w:rsid w:val="00D7619E"/>
    <w:rsid w:val="00D778C3"/>
    <w:rsid w:val="00D8374B"/>
    <w:rsid w:val="00D85E95"/>
    <w:rsid w:val="00D913F1"/>
    <w:rsid w:val="00D91B5A"/>
    <w:rsid w:val="00D92918"/>
    <w:rsid w:val="00DA2000"/>
    <w:rsid w:val="00DC6CEA"/>
    <w:rsid w:val="00DD008C"/>
    <w:rsid w:val="00DD3197"/>
    <w:rsid w:val="00DD330C"/>
    <w:rsid w:val="00DD686A"/>
    <w:rsid w:val="00DE1183"/>
    <w:rsid w:val="00DE1ABD"/>
    <w:rsid w:val="00DE57C9"/>
    <w:rsid w:val="00DF2802"/>
    <w:rsid w:val="00E07666"/>
    <w:rsid w:val="00E07DCD"/>
    <w:rsid w:val="00E2526A"/>
    <w:rsid w:val="00E30028"/>
    <w:rsid w:val="00E339AF"/>
    <w:rsid w:val="00E36E67"/>
    <w:rsid w:val="00E537B8"/>
    <w:rsid w:val="00E565AC"/>
    <w:rsid w:val="00E65747"/>
    <w:rsid w:val="00E750BD"/>
    <w:rsid w:val="00E95170"/>
    <w:rsid w:val="00EA59B1"/>
    <w:rsid w:val="00EB263B"/>
    <w:rsid w:val="00ED2AA9"/>
    <w:rsid w:val="00ED4AB1"/>
    <w:rsid w:val="00EE1483"/>
    <w:rsid w:val="00EE3940"/>
    <w:rsid w:val="00EF452B"/>
    <w:rsid w:val="00F10CF7"/>
    <w:rsid w:val="00F14E7C"/>
    <w:rsid w:val="00F158E4"/>
    <w:rsid w:val="00F16BE0"/>
    <w:rsid w:val="00F16F17"/>
    <w:rsid w:val="00F17401"/>
    <w:rsid w:val="00F43207"/>
    <w:rsid w:val="00F47F88"/>
    <w:rsid w:val="00F628CB"/>
    <w:rsid w:val="00F84D83"/>
    <w:rsid w:val="00F85444"/>
    <w:rsid w:val="00F90173"/>
    <w:rsid w:val="00FA3959"/>
    <w:rsid w:val="00FA39F4"/>
    <w:rsid w:val="00FB3CD9"/>
    <w:rsid w:val="00FB6A13"/>
    <w:rsid w:val="00FC2B1B"/>
    <w:rsid w:val="00FC7511"/>
    <w:rsid w:val="00FD0EFA"/>
    <w:rsid w:val="00FE1FB3"/>
    <w:rsid w:val="00FE32AD"/>
    <w:rsid w:val="00FE54E4"/>
    <w:rsid w:val="00FF010C"/>
    <w:rsid w:val="00FF5925"/>
    <w:rsid w:val="00FF6832"/>
    <w:rsid w:val="00FF7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08297F"/>
  <w15:chartTrackingRefBased/>
  <w15:docId w15:val="{448CBB89-1E4A-484E-AB99-F7B1BDB5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2DF1"/>
    <w:pPr>
      <w:spacing w:before="100" w:beforeAutospacing="1" w:after="100" w:afterAutospacing="1"/>
    </w:pPr>
  </w:style>
  <w:style w:type="character" w:styleId="Hyperlink">
    <w:name w:val="Hyperlink"/>
    <w:rsid w:val="00D32DF1"/>
    <w:rPr>
      <w:color w:val="800000"/>
      <w:u w:val="single"/>
    </w:rPr>
  </w:style>
  <w:style w:type="paragraph" w:styleId="BalloonText">
    <w:name w:val="Balloon Text"/>
    <w:basedOn w:val="Normal"/>
    <w:semiHidden/>
    <w:rsid w:val="00D32DF1"/>
    <w:rPr>
      <w:rFonts w:ascii="Tahoma" w:hAnsi="Tahoma" w:cs="Tahoma"/>
      <w:sz w:val="16"/>
      <w:szCs w:val="16"/>
    </w:rPr>
  </w:style>
  <w:style w:type="paragraph" w:customStyle="1" w:styleId="CM19">
    <w:name w:val="CM19"/>
    <w:basedOn w:val="Normal"/>
    <w:next w:val="Normal"/>
    <w:rsid w:val="00D32DF1"/>
    <w:pPr>
      <w:autoSpaceDE w:val="0"/>
      <w:autoSpaceDN w:val="0"/>
      <w:adjustRightInd w:val="0"/>
      <w:spacing w:after="128"/>
    </w:pPr>
    <w:rPr>
      <w:rFonts w:ascii="Garamond" w:hAnsi="Garamond"/>
    </w:rPr>
  </w:style>
  <w:style w:type="paragraph" w:customStyle="1" w:styleId="CM17">
    <w:name w:val="CM17"/>
    <w:basedOn w:val="Normal"/>
    <w:next w:val="Normal"/>
    <w:rsid w:val="00D32DF1"/>
    <w:pPr>
      <w:autoSpaceDE w:val="0"/>
      <w:autoSpaceDN w:val="0"/>
      <w:adjustRightInd w:val="0"/>
      <w:spacing w:after="238"/>
    </w:pPr>
    <w:rPr>
      <w:rFonts w:ascii="Garamond" w:hAnsi="Garamond"/>
    </w:rPr>
  </w:style>
  <w:style w:type="paragraph" w:customStyle="1" w:styleId="Default">
    <w:name w:val="Default"/>
    <w:rsid w:val="00D32DF1"/>
    <w:pPr>
      <w:autoSpaceDE w:val="0"/>
      <w:autoSpaceDN w:val="0"/>
      <w:adjustRightInd w:val="0"/>
    </w:pPr>
    <w:rPr>
      <w:rFonts w:ascii="Garamond" w:hAnsi="Garamond" w:cs="Garamond"/>
      <w:color w:val="000000"/>
      <w:sz w:val="24"/>
      <w:szCs w:val="24"/>
    </w:rPr>
  </w:style>
  <w:style w:type="paragraph" w:customStyle="1" w:styleId="CM4">
    <w:name w:val="CM4"/>
    <w:basedOn w:val="Default"/>
    <w:next w:val="Default"/>
    <w:rsid w:val="00D32DF1"/>
    <w:pPr>
      <w:spacing w:line="248" w:lineRule="atLeast"/>
    </w:pPr>
    <w:rPr>
      <w:rFonts w:cs="Times New Roman"/>
      <w:color w:val="auto"/>
    </w:rPr>
  </w:style>
  <w:style w:type="paragraph" w:customStyle="1" w:styleId="cm190">
    <w:name w:val="cm19"/>
    <w:basedOn w:val="Normal"/>
    <w:rsid w:val="00D32DF1"/>
    <w:pPr>
      <w:spacing w:after="128"/>
    </w:pPr>
    <w:rPr>
      <w:rFonts w:ascii="Garamond" w:hAnsi="Garamond"/>
    </w:rPr>
  </w:style>
  <w:style w:type="paragraph" w:customStyle="1" w:styleId="default0">
    <w:name w:val="default"/>
    <w:basedOn w:val="Normal"/>
    <w:rsid w:val="00D32DF1"/>
    <w:rPr>
      <w:rFonts w:ascii="Garamond" w:hAnsi="Garamond"/>
      <w:color w:val="000000"/>
    </w:rPr>
  </w:style>
  <w:style w:type="character" w:customStyle="1" w:styleId="EmailStyle241">
    <w:name w:val="EmailStyle241"/>
    <w:semiHidden/>
    <w:rsid w:val="00D32DF1"/>
    <w:rPr>
      <w:rFonts w:ascii="Arial" w:hAnsi="Arial" w:cs="Arial" w:hint="default"/>
      <w:color w:val="auto"/>
      <w:sz w:val="20"/>
      <w:szCs w:val="20"/>
    </w:rPr>
  </w:style>
  <w:style w:type="paragraph" w:styleId="HTMLPreformatted">
    <w:name w:val="HTML Preformatted"/>
    <w:basedOn w:val="Normal"/>
    <w:rsid w:val="00D3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B3CD9"/>
    <w:pPr>
      <w:ind w:left="720"/>
    </w:pPr>
  </w:style>
  <w:style w:type="paragraph" w:styleId="PlainText">
    <w:name w:val="Plain Text"/>
    <w:basedOn w:val="Normal"/>
    <w:link w:val="PlainTextChar"/>
    <w:uiPriority w:val="99"/>
    <w:unhideWhenUsed/>
    <w:rsid w:val="00443DA3"/>
    <w:rPr>
      <w:rFonts w:ascii="Consolas" w:eastAsia="Calibri" w:hAnsi="Consolas"/>
      <w:sz w:val="21"/>
      <w:szCs w:val="21"/>
      <w:lang w:val="x-none" w:eastAsia="x-none"/>
    </w:rPr>
  </w:style>
  <w:style w:type="character" w:customStyle="1" w:styleId="PlainTextChar">
    <w:name w:val="Plain Text Char"/>
    <w:link w:val="PlainText"/>
    <w:uiPriority w:val="99"/>
    <w:rsid w:val="00443DA3"/>
    <w:rPr>
      <w:rFonts w:ascii="Consolas" w:eastAsia="Calibri" w:hAnsi="Consolas" w:cs="Times New Roman"/>
      <w:sz w:val="21"/>
      <w:szCs w:val="21"/>
    </w:rPr>
  </w:style>
  <w:style w:type="paragraph" w:styleId="FootnoteText">
    <w:name w:val="footnote text"/>
    <w:basedOn w:val="Normal"/>
    <w:link w:val="FootnoteTextChar"/>
    <w:semiHidden/>
    <w:rsid w:val="007B11E6"/>
    <w:rPr>
      <w:rFonts w:eastAsia="Batang"/>
      <w:sz w:val="20"/>
      <w:szCs w:val="20"/>
      <w:lang w:val="x-none" w:eastAsia="ko-KR"/>
    </w:rPr>
  </w:style>
  <w:style w:type="character" w:customStyle="1" w:styleId="FootnoteTextChar">
    <w:name w:val="Footnote Text Char"/>
    <w:link w:val="FootnoteText"/>
    <w:semiHidden/>
    <w:rsid w:val="007B11E6"/>
    <w:rPr>
      <w:rFonts w:eastAsia="Batang"/>
      <w:lang w:eastAsia="ko-KR"/>
    </w:rPr>
  </w:style>
  <w:style w:type="character" w:styleId="FootnoteReference">
    <w:name w:val="footnote reference"/>
    <w:semiHidden/>
    <w:rsid w:val="007B11E6"/>
    <w:rPr>
      <w:vertAlign w:val="superscript"/>
    </w:rPr>
  </w:style>
  <w:style w:type="paragraph" w:styleId="NoSpacing">
    <w:name w:val="No Spacing"/>
    <w:uiPriority w:val="1"/>
    <w:qFormat/>
    <w:rsid w:val="0016158D"/>
    <w:rPr>
      <w:sz w:val="24"/>
      <w:szCs w:val="24"/>
    </w:rPr>
  </w:style>
  <w:style w:type="character" w:styleId="CommentReference">
    <w:name w:val="annotation reference"/>
    <w:uiPriority w:val="99"/>
    <w:semiHidden/>
    <w:unhideWhenUsed/>
    <w:rsid w:val="00DE1183"/>
    <w:rPr>
      <w:sz w:val="16"/>
      <w:szCs w:val="16"/>
    </w:rPr>
  </w:style>
  <w:style w:type="paragraph" w:styleId="CommentText">
    <w:name w:val="annotation text"/>
    <w:basedOn w:val="Normal"/>
    <w:link w:val="CommentTextChar"/>
    <w:uiPriority w:val="99"/>
    <w:semiHidden/>
    <w:unhideWhenUsed/>
    <w:rsid w:val="00DE1183"/>
    <w:rPr>
      <w:sz w:val="20"/>
      <w:szCs w:val="20"/>
    </w:rPr>
  </w:style>
  <w:style w:type="character" w:customStyle="1" w:styleId="CommentTextChar">
    <w:name w:val="Comment Text Char"/>
    <w:basedOn w:val="DefaultParagraphFont"/>
    <w:link w:val="CommentText"/>
    <w:uiPriority w:val="99"/>
    <w:semiHidden/>
    <w:rsid w:val="00DE1183"/>
  </w:style>
  <w:style w:type="paragraph" w:styleId="CommentSubject">
    <w:name w:val="annotation subject"/>
    <w:basedOn w:val="CommentText"/>
    <w:next w:val="CommentText"/>
    <w:link w:val="CommentSubjectChar"/>
    <w:uiPriority w:val="99"/>
    <w:semiHidden/>
    <w:unhideWhenUsed/>
    <w:rsid w:val="00DE1183"/>
    <w:rPr>
      <w:b/>
      <w:bCs/>
    </w:rPr>
  </w:style>
  <w:style w:type="character" w:customStyle="1" w:styleId="CommentSubjectChar">
    <w:name w:val="Comment Subject Char"/>
    <w:link w:val="CommentSubject"/>
    <w:uiPriority w:val="99"/>
    <w:semiHidden/>
    <w:rsid w:val="00DE1183"/>
    <w:rPr>
      <w:b/>
      <w:bCs/>
    </w:rPr>
  </w:style>
  <w:style w:type="table" w:styleId="TableGrid">
    <w:name w:val="Table Grid"/>
    <w:basedOn w:val="TableNormal"/>
    <w:uiPriority w:val="59"/>
    <w:rsid w:val="00770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C68D0"/>
    <w:rPr>
      <w:color w:val="954F72"/>
      <w:u w:val="single"/>
    </w:rPr>
  </w:style>
  <w:style w:type="paragraph" w:customStyle="1" w:styleId="paragraph">
    <w:name w:val="paragraph"/>
    <w:basedOn w:val="Normal"/>
    <w:rsid w:val="006D0909"/>
    <w:pPr>
      <w:spacing w:before="100" w:beforeAutospacing="1" w:after="100" w:afterAutospacing="1"/>
    </w:pPr>
  </w:style>
  <w:style w:type="character" w:customStyle="1" w:styleId="normaltextrun">
    <w:name w:val="normaltextrun"/>
    <w:basedOn w:val="DefaultParagraphFont"/>
    <w:rsid w:val="006D0909"/>
  </w:style>
  <w:style w:type="character" w:customStyle="1" w:styleId="eop">
    <w:name w:val="eop"/>
    <w:basedOn w:val="DefaultParagraphFont"/>
    <w:rsid w:val="006D0909"/>
  </w:style>
  <w:style w:type="character" w:styleId="UnresolvedMention">
    <w:name w:val="Unresolved Mention"/>
    <w:basedOn w:val="DefaultParagraphFont"/>
    <w:uiPriority w:val="99"/>
    <w:semiHidden/>
    <w:unhideWhenUsed/>
    <w:rsid w:val="0014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opf.opm.gov/eOPFToolkit/Documents/EOD%20RequirementsAndSystemCertification%20v2.3.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6806-4E2B-4882-82E5-B425EC2D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GLiddy</dc:creator>
  <cp:lastModifiedBy>Jones, Demetrius H.</cp:lastModifiedBy>
  <cp:revision>2</cp:revision>
  <cp:lastPrinted>2017-12-19T19:46:00Z</cp:lastPrinted>
  <dcterms:created xsi:type="dcterms:W3CDTF">2022-10-24T19:46:00Z</dcterms:created>
  <dcterms:modified xsi:type="dcterms:W3CDTF">2022-10-24T19:46:00Z</dcterms:modified>
</cp:coreProperties>
</file>