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53CD" w:rsidP="00BC5298" w14:paraId="462E7D73" w14:textId="77777777">
      <w:pPr>
        <w:jc w:val="center"/>
      </w:pPr>
    </w:p>
    <w:p w:rsidR="009A4D6A" w:rsidP="00BC5298" w14:paraId="008F836A" w14:textId="77777777">
      <w:pPr>
        <w:jc w:val="center"/>
      </w:pPr>
      <w:r>
        <w:t>OMB SUPPORTING STATEMENT</w:t>
      </w:r>
    </w:p>
    <w:p w:rsidR="00BC5298" w14:paraId="1CB13CCC" w14:textId="77777777"/>
    <w:p w:rsidR="00174A80" w14:paraId="567615EE" w14:textId="77777777"/>
    <w:p w:rsidR="00BC5298" w14:paraId="0B343D2B" w14:textId="0A33155C">
      <w:r>
        <w:t>R</w:t>
      </w:r>
      <w:r w:rsidR="00355E21">
        <w:t>I 25-15, Survey of Student’s Eligibility to Receive Benefits</w:t>
      </w:r>
    </w:p>
    <w:p w:rsidR="00174A80" w14:paraId="6E1B536A" w14:textId="77777777"/>
    <w:p w:rsidR="00BC5298" w14:paraId="295BFD93" w14:textId="77777777">
      <w:r>
        <w:t xml:space="preserve">A. </w:t>
      </w:r>
      <w:r w:rsidRPr="00BC5298">
        <w:rPr>
          <w:u w:val="single"/>
        </w:rPr>
        <w:t>Justification</w:t>
      </w:r>
    </w:p>
    <w:p w:rsidR="00BC5298" w14:paraId="491BB1D1" w14:textId="77777777"/>
    <w:p w:rsidR="004F2EDD" w:rsidRPr="00741061" w:rsidP="004F2EDD" w14:paraId="4681685B" w14:textId="77777777">
      <w:pPr>
        <w:pStyle w:val="ListParagraph"/>
        <w:numPr>
          <w:ilvl w:val="0"/>
          <w:numId w:val="1"/>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4F2EDD" w14:paraId="6D8D4532" w14:textId="77777777"/>
    <w:p w:rsidR="006216BD" w:rsidP="00AC4BFD" w14:paraId="53192911" w14:textId="75A196B6">
      <w:pPr>
        <w:ind w:left="720"/>
      </w:pPr>
      <w:r>
        <w:t xml:space="preserve">Title 5, U. S. Code, Chapter 83, Section 8341(a)(4) and Chapter 84, Section 8441(4) provide that the Office of Personnel Management (OPM) shall determine the continuing eligibility of unmarried, dependent student children between the ages of 18 and 22 to receive survivor annuity benefits.  RI 25-15 is used in February and October of each year to collect information from students regarding marital status, current and </w:t>
      </w:r>
      <w:r w:rsidR="006128ED">
        <w:t>future</w:t>
      </w:r>
      <w:r>
        <w:t xml:space="preserve"> for full-time school attendance and to verify that the student has continued the school attendance previously certified to OPM on RI 25-14, Self-Certification of Full-Time School Attendance (3602-0032).  Only individuals whose benefits should stop are requested to return the form.</w:t>
      </w:r>
    </w:p>
    <w:p w:rsidR="004F2EDD" w:rsidP="00BC5298" w14:paraId="07495BE1" w14:textId="77777777">
      <w:pPr>
        <w:ind w:left="720" w:hanging="420"/>
      </w:pPr>
    </w:p>
    <w:p w:rsidR="004F2EDD" w:rsidRPr="00741061" w:rsidP="004F2EDD" w14:paraId="24566D07" w14:textId="77777777">
      <w:pPr>
        <w:pStyle w:val="ListParagraph"/>
        <w:numPr>
          <w:ilvl w:val="0"/>
          <w:numId w:val="1"/>
        </w:numPr>
        <w:shd w:val="pct25" w:color="auto" w:fill="auto"/>
        <w:tabs>
          <w:tab w:val="left" w:pos="-720"/>
        </w:tabs>
        <w:suppressAutoHyphens/>
      </w:pPr>
      <w:r w:rsidRPr="00741061">
        <w:t xml:space="preserve">Indicate how, by whom, and for what purpose the information is to be used.  Except for a new collection, indicate the actual use the agency has made of the information received from the current collection. </w:t>
      </w:r>
    </w:p>
    <w:p w:rsidR="006216BD" w:rsidP="00BC5298" w14:paraId="22A1786A" w14:textId="77777777">
      <w:pPr>
        <w:ind w:left="720" w:hanging="420"/>
      </w:pPr>
    </w:p>
    <w:p w:rsidR="00014433" w:rsidP="004F2EDD" w14:paraId="2795504D" w14:textId="394745DA">
      <w:pPr>
        <w:ind w:left="720"/>
      </w:pPr>
      <w:r>
        <w:t xml:space="preserve">RI 25-15 is designed to give students an opportunity to inform OPM if they are not or will not be entitled to continue to receive survivor benefits.  If this information were </w:t>
      </w:r>
      <w:r w:rsidR="00E10457">
        <w:br/>
      </w:r>
      <w:r>
        <w:t xml:space="preserve">not collected, we might continue to pay benefits to persons who are no longer entitled. </w:t>
      </w:r>
      <w:r w:rsidR="00E10457">
        <w:br/>
        <w:t xml:space="preserve">There is a minor edit to this form with instructions for the Hearing Impaired </w:t>
      </w:r>
      <w:r w:rsidR="00E10457">
        <w:br/>
        <w:t>on contacting OPM</w:t>
      </w:r>
      <w:r>
        <w:rPr>
          <w:sz w:val="22"/>
          <w:szCs w:val="22"/>
        </w:rPr>
        <w:t>.</w:t>
      </w:r>
      <w:r>
        <w:t xml:space="preserve"> The Public Burden Statement meets the requirements of 5 CFR 1320.8(b)(3).</w:t>
      </w:r>
    </w:p>
    <w:p w:rsidR="00C14728" w:rsidP="005F05CA" w14:paraId="263672FD" w14:textId="77777777">
      <w:pPr>
        <w:ind w:left="720"/>
      </w:pPr>
    </w:p>
    <w:p w:rsidR="00C14728" w:rsidRPr="00741061" w:rsidP="00C14728" w14:paraId="11E625A9" w14:textId="77777777">
      <w:pPr>
        <w:pStyle w:val="ListParagraph"/>
        <w:numPr>
          <w:ilvl w:val="0"/>
          <w:numId w:val="1"/>
        </w:numPr>
        <w:shd w:val="pct25" w:color="auto" w:fill="auto"/>
        <w:tabs>
          <w:tab w:val="left" w:pos="-720"/>
        </w:tabs>
        <w:suppressAutoHyphens/>
      </w:pP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A030B3" w:rsidP="00BC5298" w14:paraId="453F7E64" w14:textId="77777777">
      <w:pPr>
        <w:ind w:left="720" w:hanging="420"/>
      </w:pPr>
    </w:p>
    <w:p w:rsidR="00014433" w:rsidP="00BC5298" w14:paraId="2FE08C6F" w14:textId="40F1D15F">
      <w:pPr>
        <w:ind w:left="720" w:hanging="420"/>
      </w:pPr>
      <w:r>
        <w:tab/>
      </w:r>
      <w:r w:rsidR="00022EA5">
        <w:t>The information collected is specific and can only be obtained from the respondents.  New methods of information technology would do little to reduce the burden on the respondents; they must sign certifying the truth of their statements, under penalty of law.  The form is available in a PDF fillable format on our website and meets our Government Paperwork Elimination Act requirements.</w:t>
      </w:r>
      <w:r w:rsidR="00EE365B">
        <w:t xml:space="preserve"> </w:t>
      </w:r>
    </w:p>
    <w:p w:rsidR="00C14728" w:rsidP="00BC5298" w14:paraId="54784A73" w14:textId="531FC418">
      <w:pPr>
        <w:ind w:left="720" w:hanging="420"/>
      </w:pPr>
    </w:p>
    <w:p w:rsidR="006128ED" w:rsidP="00BC5298" w14:paraId="04B2AFDA" w14:textId="77777777">
      <w:pPr>
        <w:ind w:left="720" w:hanging="420"/>
      </w:pPr>
    </w:p>
    <w:p w:rsidR="00C14728" w:rsidRPr="00741061" w:rsidP="00C14728" w14:paraId="25CD0C99" w14:textId="77777777">
      <w:pPr>
        <w:pStyle w:val="ListParagraph"/>
        <w:numPr>
          <w:ilvl w:val="0"/>
          <w:numId w:val="1"/>
        </w:numPr>
        <w:shd w:val="pct25" w:color="auto" w:fill="auto"/>
        <w:tabs>
          <w:tab w:val="left" w:pos="-720"/>
        </w:tabs>
        <w:suppressAutoHyphens/>
      </w:pPr>
      <w:r w:rsidRPr="00741061">
        <w:t xml:space="preserve">Describe efforts to identify duplication.   Show specifically why any similar information already available cannot be used or modified for use for the purposes described in Item 2 above. </w:t>
      </w:r>
    </w:p>
    <w:p w:rsidR="00F349F0" w:rsidP="00BC5298" w14:paraId="466915DC" w14:textId="77777777">
      <w:pPr>
        <w:ind w:left="720" w:hanging="420"/>
      </w:pPr>
    </w:p>
    <w:p w:rsidR="0027216F" w:rsidP="0027216F" w14:paraId="42B26CB3" w14:textId="77777777">
      <w:pPr>
        <w:ind w:left="300" w:firstLine="420"/>
      </w:pPr>
      <w:r>
        <w:t xml:space="preserve">Every effort is made to identify and avoid duplication. The information is collected       </w:t>
      </w:r>
    </w:p>
    <w:p w:rsidR="00014433" w:rsidP="0027216F" w14:paraId="4F533A76" w14:textId="5200F860">
      <w:pPr>
        <w:ind w:left="720"/>
      </w:pPr>
      <w:r>
        <w:t>individually. There is no other way to obtain this information.</w:t>
      </w:r>
    </w:p>
    <w:p w:rsidR="00C14728" w:rsidP="00A032AA" w14:paraId="46F69802" w14:textId="77777777">
      <w:pPr>
        <w:ind w:left="720"/>
      </w:pPr>
    </w:p>
    <w:p w:rsidR="00C14728" w:rsidRPr="00741061" w:rsidP="00C14728" w14:paraId="7D326814" w14:textId="77777777">
      <w:pPr>
        <w:pStyle w:val="ListParagraph"/>
        <w:numPr>
          <w:ilvl w:val="0"/>
          <w:numId w:val="1"/>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C14728" w:rsidP="00C14728" w14:paraId="11CFC1ED" w14:textId="77777777"/>
    <w:p w:rsidR="00014433" w:rsidP="005F05CA" w14:paraId="6A4F61E9" w14:textId="77777777">
      <w:pPr>
        <w:ind w:left="720"/>
      </w:pPr>
      <w:r>
        <w:t>This information collection request has no impact on small businesses and organizations.</w:t>
      </w:r>
    </w:p>
    <w:p w:rsidR="005F05CA" w:rsidP="005F05CA" w14:paraId="026C060F" w14:textId="77777777">
      <w:pPr>
        <w:ind w:left="720"/>
      </w:pPr>
    </w:p>
    <w:p w:rsidR="005F05CA" w:rsidRPr="00741061" w:rsidP="005F05CA" w14:paraId="05311BD5" w14:textId="77777777">
      <w:pPr>
        <w:pStyle w:val="ListParagraph"/>
        <w:numPr>
          <w:ilvl w:val="0"/>
          <w:numId w:val="1"/>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5F05CA" w:rsidP="005F05CA" w14:paraId="48057E91" w14:textId="77777777"/>
    <w:p w:rsidR="00014433" w:rsidP="005F05CA" w14:paraId="15D55663" w14:textId="6D350C65">
      <w:pPr>
        <w:ind w:left="720"/>
      </w:pPr>
      <w:r>
        <w:t xml:space="preserve">If this information is not collected, OPM may pay persons who are no longer eligible. </w:t>
      </w:r>
      <w:r w:rsidR="00A030B3">
        <w:t xml:space="preserve">The </w:t>
      </w:r>
      <w:r w:rsidR="00CD2791">
        <w:t xml:space="preserve">collection of this </w:t>
      </w:r>
      <w:r w:rsidR="006573D6">
        <w:t>informa</w:t>
      </w:r>
      <w:r>
        <w:t xml:space="preserve">tion </w:t>
      </w:r>
      <w:r w:rsidR="00A030B3">
        <w:t xml:space="preserve">is </w:t>
      </w:r>
      <w:r w:rsidR="00CD2791">
        <w:t>performed biannually</w:t>
      </w:r>
      <w:r>
        <w:t>.</w:t>
      </w:r>
    </w:p>
    <w:p w:rsidR="005F05CA" w:rsidP="005F05CA" w14:paraId="345FD6BA" w14:textId="77777777">
      <w:pPr>
        <w:ind w:left="720"/>
      </w:pPr>
    </w:p>
    <w:p w:rsidR="005F05CA" w:rsidP="005F05CA" w14:paraId="5BBD7157" w14:textId="77777777">
      <w:pPr>
        <w:pStyle w:val="ListParagraph"/>
        <w:numPr>
          <w:ilvl w:val="0"/>
          <w:numId w:val="1"/>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F05CA" w:rsidP="005F05CA" w14:paraId="0DB1F34C" w14:textId="77777777">
      <w:pPr>
        <w:pStyle w:val="ListParagraph"/>
        <w:shd w:val="pct25" w:color="auto" w:fill="auto"/>
        <w:tabs>
          <w:tab w:val="left" w:pos="-720"/>
        </w:tabs>
        <w:suppressAutoHyphens/>
      </w:pPr>
      <w:r>
        <w:t xml:space="preserve">• requiring respondents to report information to the agency more often than quarterly; </w:t>
      </w:r>
    </w:p>
    <w:p w:rsidR="005F05CA" w:rsidP="005F05CA" w14:paraId="7ECF522B" w14:textId="77777777">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5F05CA" w:rsidP="005F05CA" w14:paraId="72903839" w14:textId="77777777">
      <w:pPr>
        <w:pStyle w:val="ListParagraph"/>
        <w:shd w:val="pct25" w:color="auto" w:fill="auto"/>
        <w:tabs>
          <w:tab w:val="left" w:pos="-720"/>
        </w:tabs>
        <w:suppressAutoHyphens/>
      </w:pPr>
      <w:r>
        <w:t xml:space="preserve">•requiring respondents to submit more than an original and two copies of any document; </w:t>
      </w:r>
    </w:p>
    <w:p w:rsidR="005F05CA" w:rsidP="005F05CA" w14:paraId="21C9E59C" w14:textId="77777777">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5F05CA" w:rsidP="005F05CA" w14:paraId="597A51BC" w14:textId="77777777">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5F05CA" w:rsidP="005F05CA" w14:paraId="449E7EC0" w14:textId="77777777">
      <w:pPr>
        <w:pStyle w:val="ListParagraph"/>
        <w:shd w:val="pct25" w:color="auto" w:fill="auto"/>
        <w:tabs>
          <w:tab w:val="left" w:pos="-720"/>
        </w:tabs>
        <w:suppressAutoHyphens/>
      </w:pPr>
      <w:r>
        <w:t xml:space="preserve">• requiring the use of a statistical data classification that has not been reviewed and approved by OMB; </w:t>
      </w:r>
    </w:p>
    <w:p w:rsidR="005F05CA" w:rsidP="005F05CA" w14:paraId="0F716358" w14:textId="77777777">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F05CA" w:rsidP="005F05CA" w14:paraId="0BFCE769" w14:textId="77777777">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5F05CA" w:rsidP="005F05CA" w14:paraId="004662B7" w14:textId="77777777">
      <w:pPr>
        <w:ind w:left="720"/>
      </w:pPr>
    </w:p>
    <w:p w:rsidR="005F05CA" w:rsidP="005F05CA" w14:paraId="2745C978" w14:textId="77777777">
      <w:pPr>
        <w:ind w:left="720"/>
      </w:pPr>
      <w:r>
        <w:t>There are no special circumstances involved in the collection of this information.</w:t>
      </w:r>
    </w:p>
    <w:p w:rsidR="005F05CA" w:rsidP="005F05CA" w14:paraId="3B4EC2E8" w14:textId="77777777">
      <w:pPr>
        <w:ind w:left="720"/>
      </w:pPr>
    </w:p>
    <w:p w:rsidR="005F05CA" w:rsidP="009D0E7A" w14:paraId="0010431C" w14:textId="77777777"/>
    <w:p w:rsidR="005F05CA" w:rsidRPr="00741061" w:rsidP="005F05CA" w14:paraId="0AEB4964" w14:textId="77777777">
      <w:pPr>
        <w:pStyle w:val="ListParagraph"/>
        <w:numPr>
          <w:ilvl w:val="0"/>
          <w:numId w:val="1"/>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Pr="00741061">
        <w:t>publication</w:t>
      </w:r>
      <w:r w:rsidRPr="00741061">
        <w:t xml:space="preserve"> in the Federal Register of the agency’s notice soliciting comments on the information collection prior to submission to OMB</w:t>
      </w:r>
    </w:p>
    <w:p w:rsidR="00F349F0" w:rsidP="00BC5298" w14:paraId="7F6B337D" w14:textId="77777777">
      <w:pPr>
        <w:ind w:left="720" w:hanging="420"/>
      </w:pPr>
    </w:p>
    <w:p w:rsidR="00014433" w:rsidP="005F05CA" w14:paraId="4EA331EE" w14:textId="56CF0C40">
      <w:pPr>
        <w:ind w:left="720"/>
      </w:pPr>
      <w:r>
        <w:t>O</w:t>
      </w:r>
      <w:r w:rsidR="00CA53EA">
        <w:t xml:space="preserve">n </w:t>
      </w:r>
      <w:r w:rsidR="004C22A8">
        <w:t>Ma</w:t>
      </w:r>
      <w:r w:rsidR="00E25D8D">
        <w:t>y</w:t>
      </w:r>
      <w:r w:rsidR="00AE7945">
        <w:t xml:space="preserve"> </w:t>
      </w:r>
      <w:r w:rsidR="00E25D8D">
        <w:t>2</w:t>
      </w:r>
      <w:r w:rsidR="004C22A8">
        <w:t>0</w:t>
      </w:r>
      <w:r w:rsidR="00CA53EA">
        <w:t>, 20</w:t>
      </w:r>
      <w:r w:rsidR="00E25D8D">
        <w:t>22</w:t>
      </w:r>
      <w:r>
        <w:t>, a 60 Day Federal Register Notice was published at 8</w:t>
      </w:r>
      <w:r w:rsidR="00E25D8D">
        <w:t>7</w:t>
      </w:r>
      <w:r>
        <w:t xml:space="preserve"> FR </w:t>
      </w:r>
      <w:r w:rsidR="004C22A8">
        <w:t>31006</w:t>
      </w:r>
      <w:r w:rsidR="00CE32D7">
        <w:t xml:space="preserve"> requesting comment. </w:t>
      </w:r>
      <w:r w:rsidR="006573D6">
        <w:t>No comments were received.</w:t>
      </w:r>
      <w:r w:rsidR="005F05CA">
        <w:br/>
      </w:r>
    </w:p>
    <w:p w:rsidR="005F05CA" w:rsidRPr="00741061" w:rsidP="005F05CA" w14:paraId="65BF6395" w14:textId="77777777">
      <w:pPr>
        <w:pStyle w:val="ListParagraph"/>
        <w:numPr>
          <w:ilvl w:val="0"/>
          <w:numId w:val="1"/>
        </w:numPr>
        <w:shd w:val="pct25" w:color="auto" w:fill="auto"/>
        <w:tabs>
          <w:tab w:val="left" w:pos="-720"/>
        </w:tabs>
        <w:suppressAutoHyphens/>
        <w:ind w:right="-288"/>
      </w:pPr>
      <w:r w:rsidRPr="00741061">
        <w:t>Explain any decision to provide any payment or gift to respondents, other than remuneration of contractors or grantees.</w:t>
      </w:r>
    </w:p>
    <w:p w:rsidR="00CA53EA" w:rsidP="00BC5298" w14:paraId="7A5C2916" w14:textId="77777777">
      <w:pPr>
        <w:ind w:left="720" w:hanging="420"/>
      </w:pPr>
    </w:p>
    <w:p w:rsidR="002C42D9" w:rsidP="00F349F0" w14:paraId="3CA128A7" w14:textId="77777777">
      <w:pPr>
        <w:pStyle w:val="ListParagraph"/>
        <w:tabs>
          <w:tab w:val="left" w:pos="-720"/>
        </w:tabs>
        <w:suppressAutoHyphens/>
        <w:ind w:right="-288" w:hanging="720"/>
      </w:pPr>
      <w:r>
        <w:t xml:space="preserve">      </w:t>
      </w:r>
      <w:r w:rsidR="005F05CA">
        <w:tab/>
      </w:r>
      <w:r w:rsidR="00F349F0">
        <w:t>No payment or gift is provided to the respondents based on return of this collection.</w:t>
      </w:r>
    </w:p>
    <w:p w:rsidR="005F05CA" w:rsidP="00F349F0" w14:paraId="0DA16BA8" w14:textId="77777777">
      <w:pPr>
        <w:pStyle w:val="ListParagraph"/>
        <w:tabs>
          <w:tab w:val="left" w:pos="-720"/>
        </w:tabs>
        <w:suppressAutoHyphens/>
        <w:ind w:right="-288" w:hanging="720"/>
      </w:pPr>
    </w:p>
    <w:p w:rsidR="005F05CA" w:rsidRPr="00741061" w:rsidP="005F05CA" w14:paraId="04ABCF78" w14:textId="77777777">
      <w:pPr>
        <w:pStyle w:val="ListParagraph"/>
        <w:numPr>
          <w:ilvl w:val="0"/>
          <w:numId w:val="1"/>
        </w:numPr>
        <w:shd w:val="pct25" w:color="auto" w:fill="auto"/>
        <w:tabs>
          <w:tab w:val="left" w:pos="-720"/>
        </w:tabs>
        <w:suppressAutoHyphens/>
        <w:ind w:right="-288"/>
      </w:pPr>
      <w:r w:rsidRPr="00741061">
        <w:t xml:space="preserve">Describe any assurance of confidentiality provided to respondents and the basis for the assurance in statute, regulation, or agency policy.  </w:t>
      </w:r>
    </w:p>
    <w:p w:rsidR="005F05CA" w:rsidP="00F349F0" w14:paraId="4E42F45A" w14:textId="77777777">
      <w:pPr>
        <w:pStyle w:val="ListParagraph"/>
        <w:tabs>
          <w:tab w:val="left" w:pos="-720"/>
        </w:tabs>
        <w:suppressAutoHyphens/>
        <w:ind w:right="-288" w:hanging="720"/>
      </w:pPr>
    </w:p>
    <w:p w:rsidR="00CA53EA" w:rsidP="005F05CA" w14:paraId="79A4FEA7" w14:textId="77777777">
      <w:pPr>
        <w:ind w:left="720"/>
      </w:pPr>
      <w:r>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F53904">
        <w:t>73</w:t>
      </w:r>
      <w:r w:rsidR="00836802">
        <w:t xml:space="preserve"> FR </w:t>
      </w:r>
      <w:r w:rsidR="004D6EEE">
        <w:t>15013</w:t>
      </w:r>
      <w:r w:rsidR="00836802">
        <w:t xml:space="preserve">, </w:t>
      </w:r>
      <w:r w:rsidRPr="00836802" w:rsidR="00836802">
        <w:rPr>
          <w:i/>
        </w:rPr>
        <w:t>et seq</w:t>
      </w:r>
      <w:r w:rsidR="00836802">
        <w:t xml:space="preserve">., </w:t>
      </w:r>
      <w:r w:rsidR="004D6EEE">
        <w:t>March 20,</w:t>
      </w:r>
      <w:r w:rsidR="00836802">
        <w:t xml:space="preserve"> </w:t>
      </w:r>
      <w:r w:rsidR="004D6EEE">
        <w:t>2008</w:t>
      </w:r>
      <w:r w:rsidR="00836802">
        <w:t>).</w:t>
      </w:r>
    </w:p>
    <w:p w:rsidR="005F05CA" w:rsidP="005F05CA" w14:paraId="49CA4454" w14:textId="77777777">
      <w:pPr>
        <w:ind w:left="720"/>
      </w:pPr>
    </w:p>
    <w:p w:rsidR="005F05CA" w:rsidRPr="00741061" w:rsidP="005F05CA" w14:paraId="6FAC2780" w14:textId="77777777">
      <w:pPr>
        <w:pStyle w:val="ListParagraph"/>
        <w:numPr>
          <w:ilvl w:val="0"/>
          <w:numId w:val="1"/>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36802" w:rsidP="00BC5298" w14:paraId="3A74434D" w14:textId="77777777">
      <w:pPr>
        <w:ind w:left="720" w:hanging="420"/>
      </w:pPr>
    </w:p>
    <w:p w:rsidR="00836802" w:rsidP="005F05CA" w14:paraId="1946A6BC" w14:textId="77777777">
      <w:pPr>
        <w:ind w:left="720"/>
      </w:pPr>
      <w:r>
        <w:t>This information collection does not include questions of a sensitive nature, such as sexual behavior and attitudes, religious beliefs, and other matters that are commonly considered private.</w:t>
      </w:r>
    </w:p>
    <w:p w:rsidR="005F05CA" w:rsidP="005F05CA" w14:paraId="467731E5" w14:textId="77777777"/>
    <w:p w:rsidR="005F05CA" w:rsidRPr="00741061" w:rsidP="005F05CA" w14:paraId="65C1EF7D" w14:textId="77777777">
      <w:pPr>
        <w:pStyle w:val="ListParagraph"/>
        <w:shd w:val="pct25" w:color="auto" w:fill="FFFFFF"/>
        <w:tabs>
          <w:tab w:val="left" w:pos="-720"/>
        </w:tabs>
        <w:suppressAutoHyphens/>
        <w:ind w:left="360"/>
      </w:pPr>
      <w:r w:rsidRPr="00741061">
        <w:t>12. Provide estimates of the hour burden of the collection of information.  The statement should:</w:t>
      </w:r>
    </w:p>
    <w:p w:rsidR="005F05CA" w:rsidRPr="00741061" w:rsidP="005F05CA" w14:paraId="5C0D6B52" w14:textId="77777777">
      <w:pPr>
        <w:pStyle w:val="ListParagraph"/>
        <w:tabs>
          <w:tab w:val="left" w:pos="-720"/>
        </w:tabs>
        <w:suppressAutoHyphens/>
        <w:ind w:left="360"/>
      </w:pPr>
    </w:p>
    <w:p w:rsidR="005F05CA" w:rsidP="005F05CA" w14:paraId="09DB0BA0" w14:textId="77777777">
      <w:pPr>
        <w:pStyle w:val="ListParagraph"/>
        <w:shd w:val="pct25" w:color="auto" w:fill="auto"/>
        <w:tabs>
          <w:tab w:val="left" w:pos="-720"/>
        </w:tabs>
        <w:suppressAutoHyphens/>
        <w:ind w:left="360"/>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5F05CA" w:rsidP="005F05CA" w14:paraId="33599CA4" w14:textId="77777777">
      <w:pPr>
        <w:pStyle w:val="ListParagraph"/>
        <w:shd w:val="pct25" w:color="auto" w:fill="auto"/>
        <w:tabs>
          <w:tab w:val="left" w:pos="-720"/>
        </w:tabs>
        <w:suppressAutoHyphens/>
        <w:ind w:left="360"/>
      </w:pPr>
      <w:r w:rsidRPr="00741061">
        <w:t xml:space="preserve">b.  If this request for approval covers more than one form, provide separate hour burden estimates for each </w:t>
      </w:r>
      <w:r w:rsidRPr="00741061">
        <w:t>form</w:t>
      </w:r>
      <w:r w:rsidRPr="00741061">
        <w:t xml:space="preserve"> and aggregate the hour burdens in Item 13 of OMB Form 83-I.</w:t>
      </w:r>
      <w:r>
        <w:t xml:space="preserve"> </w:t>
      </w:r>
    </w:p>
    <w:p w:rsidR="005F05CA" w:rsidRPr="00741061" w:rsidP="005F05CA" w14:paraId="0FDB1D2B" w14:textId="77777777">
      <w:pPr>
        <w:pStyle w:val="ListParagraph"/>
        <w:shd w:val="pct25" w:color="auto" w:fill="auto"/>
        <w:tabs>
          <w:tab w:val="left" w:pos="-720"/>
        </w:tabs>
        <w:suppressAutoHyphens/>
        <w:ind w:left="360"/>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836802" w:rsidP="00BC5298" w14:paraId="63FAA913" w14:textId="77777777">
      <w:pPr>
        <w:ind w:left="720" w:hanging="420"/>
      </w:pPr>
    </w:p>
    <w:p w:rsidR="00836802" w:rsidP="00BC5298" w14:paraId="22352F6C" w14:textId="0F0531A2">
      <w:pPr>
        <w:ind w:left="720" w:hanging="420"/>
      </w:pPr>
      <w:r>
        <w:tab/>
      </w:r>
      <w:r w:rsidR="009644BB">
        <w:t>A</w:t>
      </w:r>
      <w:r w:rsidR="00FC5E56">
        <w:t xml:space="preserve">pproximately </w:t>
      </w:r>
      <w:r w:rsidR="009644BB">
        <w:t>2</w:t>
      </w:r>
      <w:r w:rsidR="00FC5E56">
        <w:t>,</w:t>
      </w:r>
      <w:r w:rsidR="009644BB">
        <w:t>5</w:t>
      </w:r>
      <w:r w:rsidR="00FC5E56">
        <w:t>00</w:t>
      </w:r>
      <w:r w:rsidR="009644BB">
        <w:t xml:space="preserve"> will be processed annually</w:t>
      </w:r>
      <w:r w:rsidR="00FC5E56">
        <w:t xml:space="preserve">. </w:t>
      </w:r>
      <w:r w:rsidR="009644BB">
        <w:t>RI 25-15 requires approximately 20 minutes to complete the form</w:t>
      </w:r>
      <w:r w:rsidR="00FC5E56">
        <w:t>. T</w:t>
      </w:r>
      <w:r w:rsidR="007A6C6A">
        <w:t xml:space="preserve">he annual burden is </w:t>
      </w:r>
      <w:r w:rsidR="009644BB">
        <w:t>835</w:t>
      </w:r>
      <w:r w:rsidR="007A6C6A">
        <w:t xml:space="preserve"> hours</w:t>
      </w:r>
      <w:r w:rsidR="009644BB">
        <w:t>. A response is needed only if the student’s status has or will change</w:t>
      </w:r>
      <w:r w:rsidR="007A6C6A">
        <w:t>.</w:t>
      </w:r>
    </w:p>
    <w:p w:rsidR="00AC3699" w:rsidP="00BC5298" w14:paraId="6D68FCD3" w14:textId="77777777">
      <w:pPr>
        <w:ind w:left="720" w:hanging="4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1"/>
        <w:gridCol w:w="949"/>
        <w:gridCol w:w="1240"/>
        <w:gridCol w:w="1168"/>
        <w:gridCol w:w="1059"/>
        <w:gridCol w:w="918"/>
        <w:gridCol w:w="968"/>
        <w:gridCol w:w="1169"/>
      </w:tblGrid>
      <w:tr w14:paraId="5E49ACC8" w14:textId="77777777" w:rsidTr="005E399C">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38"/>
        </w:trPr>
        <w:tc>
          <w:tcPr>
            <w:tcW w:w="1086" w:type="dxa"/>
            <w:shd w:val="clear" w:color="auto" w:fill="D9D9D9"/>
          </w:tcPr>
          <w:p w:rsidR="00AC3699" w:rsidRPr="005E399C" w:rsidP="005E399C" w14:paraId="6FB82C80" w14:textId="77777777">
            <w:pPr>
              <w:spacing w:before="240"/>
              <w:rPr>
                <w:rFonts w:ascii="Arial" w:hAnsi="Arial" w:cs="Arial"/>
                <w:b/>
                <w:sz w:val="16"/>
                <w:szCs w:val="16"/>
              </w:rPr>
            </w:pPr>
            <w:r w:rsidRPr="005E399C">
              <w:rPr>
                <w:rFonts w:ascii="Arial" w:hAnsi="Arial" w:cs="Arial"/>
                <w:b/>
                <w:sz w:val="16"/>
                <w:szCs w:val="16"/>
              </w:rPr>
              <w:t>Form Name</w:t>
            </w:r>
          </w:p>
        </w:tc>
        <w:tc>
          <w:tcPr>
            <w:tcW w:w="995" w:type="dxa"/>
            <w:shd w:val="clear" w:color="auto" w:fill="D9D9D9"/>
          </w:tcPr>
          <w:p w:rsidR="00AC3699" w:rsidRPr="005E399C" w:rsidP="005E399C" w14:paraId="07902277" w14:textId="77777777">
            <w:pPr>
              <w:spacing w:before="240"/>
              <w:rPr>
                <w:rFonts w:ascii="Arial" w:hAnsi="Arial" w:cs="Arial"/>
                <w:b/>
                <w:sz w:val="16"/>
                <w:szCs w:val="16"/>
              </w:rPr>
            </w:pPr>
            <w:r w:rsidRPr="005E399C">
              <w:rPr>
                <w:rFonts w:ascii="Arial" w:hAnsi="Arial" w:cs="Arial"/>
                <w:b/>
                <w:sz w:val="16"/>
                <w:szCs w:val="16"/>
              </w:rPr>
              <w:t>Form Number</w:t>
            </w:r>
          </w:p>
        </w:tc>
        <w:tc>
          <w:tcPr>
            <w:tcW w:w="1244" w:type="dxa"/>
            <w:shd w:val="clear" w:color="auto" w:fill="D9D9D9"/>
          </w:tcPr>
          <w:p w:rsidR="00AC3699" w:rsidRPr="005E399C" w:rsidP="005E399C" w14:paraId="3F86DB5D" w14:textId="77777777">
            <w:pPr>
              <w:spacing w:before="240"/>
              <w:rPr>
                <w:rFonts w:ascii="Arial" w:hAnsi="Arial" w:cs="Arial"/>
                <w:b/>
                <w:sz w:val="16"/>
                <w:szCs w:val="16"/>
              </w:rPr>
            </w:pPr>
            <w:r w:rsidRPr="005E399C">
              <w:rPr>
                <w:rFonts w:ascii="Arial" w:hAnsi="Arial" w:cs="Arial"/>
                <w:b/>
                <w:sz w:val="16"/>
                <w:szCs w:val="16"/>
              </w:rPr>
              <w:t>No. of Respondents</w:t>
            </w:r>
          </w:p>
        </w:tc>
        <w:tc>
          <w:tcPr>
            <w:tcW w:w="1178" w:type="dxa"/>
            <w:shd w:val="clear" w:color="auto" w:fill="D9D9D9"/>
          </w:tcPr>
          <w:p w:rsidR="00AC3699" w:rsidRPr="005E399C" w:rsidP="005E399C" w14:paraId="339A581A" w14:textId="77777777">
            <w:pPr>
              <w:spacing w:before="240"/>
              <w:rPr>
                <w:rFonts w:ascii="Arial" w:hAnsi="Arial" w:cs="Arial"/>
                <w:b/>
                <w:sz w:val="16"/>
                <w:szCs w:val="16"/>
              </w:rPr>
            </w:pPr>
            <w:r w:rsidRPr="005E399C">
              <w:rPr>
                <w:rFonts w:ascii="Arial" w:hAnsi="Arial" w:cs="Arial"/>
                <w:b/>
                <w:sz w:val="16"/>
                <w:szCs w:val="16"/>
              </w:rPr>
              <w:t>No. of Responses per Respondent</w:t>
            </w:r>
          </w:p>
        </w:tc>
        <w:tc>
          <w:tcPr>
            <w:tcW w:w="1087" w:type="dxa"/>
            <w:shd w:val="clear" w:color="auto" w:fill="D9D9D9"/>
          </w:tcPr>
          <w:p w:rsidR="00AC3699" w:rsidRPr="005E399C" w:rsidP="005E399C" w14:paraId="4332A4B4"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969" w:type="dxa"/>
            <w:shd w:val="clear" w:color="auto" w:fill="D9D9D9"/>
          </w:tcPr>
          <w:p w:rsidR="00AC3699" w:rsidRPr="005E399C" w:rsidP="005E399C" w14:paraId="08E55D45" w14:textId="77777777">
            <w:pPr>
              <w:spacing w:before="240"/>
              <w:rPr>
                <w:rFonts w:ascii="Arial" w:hAnsi="Arial" w:cs="Arial"/>
                <w:b/>
                <w:sz w:val="16"/>
                <w:szCs w:val="16"/>
              </w:rPr>
            </w:pPr>
            <w:r w:rsidRPr="005E399C">
              <w:rPr>
                <w:rFonts w:ascii="Arial" w:hAnsi="Arial" w:cs="Arial"/>
                <w:b/>
                <w:sz w:val="16"/>
                <w:szCs w:val="16"/>
              </w:rPr>
              <w:t>Total Annual Burden (in hours)</w:t>
            </w:r>
          </w:p>
        </w:tc>
        <w:tc>
          <w:tcPr>
            <w:tcW w:w="1010" w:type="dxa"/>
            <w:shd w:val="clear" w:color="auto" w:fill="D9D9D9"/>
          </w:tcPr>
          <w:p w:rsidR="00AC3699" w:rsidRPr="005E399C" w:rsidP="005E399C" w14:paraId="6237C54E" w14:textId="77777777">
            <w:pPr>
              <w:spacing w:before="240"/>
              <w:rPr>
                <w:rFonts w:ascii="Arial" w:hAnsi="Arial" w:cs="Arial"/>
                <w:b/>
                <w:sz w:val="16"/>
                <w:szCs w:val="16"/>
              </w:rPr>
            </w:pPr>
            <w:r w:rsidRPr="005E399C">
              <w:rPr>
                <w:rFonts w:ascii="Arial" w:hAnsi="Arial" w:cs="Arial"/>
                <w:b/>
                <w:sz w:val="16"/>
                <w:szCs w:val="16"/>
              </w:rPr>
              <w:t>Average Hourly Wage Rate</w:t>
            </w:r>
          </w:p>
        </w:tc>
        <w:tc>
          <w:tcPr>
            <w:tcW w:w="1179" w:type="dxa"/>
            <w:shd w:val="clear" w:color="auto" w:fill="D9D9D9"/>
          </w:tcPr>
          <w:p w:rsidR="00AC3699" w:rsidRPr="005E399C" w:rsidP="005E399C" w14:paraId="109925BE" w14:textId="77777777">
            <w:pPr>
              <w:spacing w:before="240"/>
              <w:rPr>
                <w:rFonts w:ascii="Arial" w:hAnsi="Arial" w:cs="Arial"/>
                <w:b/>
                <w:sz w:val="16"/>
                <w:szCs w:val="16"/>
              </w:rPr>
            </w:pPr>
            <w:r w:rsidRPr="005E399C">
              <w:rPr>
                <w:rFonts w:ascii="Arial" w:hAnsi="Arial" w:cs="Arial"/>
                <w:b/>
                <w:sz w:val="16"/>
                <w:szCs w:val="16"/>
              </w:rPr>
              <w:t>Total Annual Respondent Cost</w:t>
            </w:r>
          </w:p>
        </w:tc>
      </w:tr>
      <w:tr w14:paraId="7DAD4B6C" w14:textId="77777777" w:rsidTr="005E399C">
        <w:tblPrEx>
          <w:tblW w:w="0" w:type="auto"/>
          <w:tblInd w:w="828" w:type="dxa"/>
          <w:tblLook w:val="04A0"/>
        </w:tblPrEx>
        <w:trPr>
          <w:trHeight w:val="1024"/>
        </w:trPr>
        <w:tc>
          <w:tcPr>
            <w:tcW w:w="1086" w:type="dxa"/>
            <w:shd w:val="clear" w:color="auto" w:fill="auto"/>
          </w:tcPr>
          <w:p w:rsidR="00AC3699" w:rsidRPr="005E399C" w:rsidP="005E399C" w14:paraId="4B766ECA" w14:textId="42E5A1C6">
            <w:pPr>
              <w:spacing w:before="240"/>
              <w:rPr>
                <w:sz w:val="18"/>
                <w:szCs w:val="18"/>
              </w:rPr>
            </w:pPr>
            <w:r>
              <w:rPr>
                <w:sz w:val="18"/>
                <w:szCs w:val="18"/>
              </w:rPr>
              <w:t>Survey of Student’s Eligibility to Receive Benefits</w:t>
            </w:r>
          </w:p>
        </w:tc>
        <w:tc>
          <w:tcPr>
            <w:tcW w:w="995" w:type="dxa"/>
            <w:shd w:val="clear" w:color="auto" w:fill="auto"/>
          </w:tcPr>
          <w:p w:rsidR="00AC3699" w:rsidRPr="005E399C" w:rsidP="005E399C" w14:paraId="19851812" w14:textId="0FA40387">
            <w:pPr>
              <w:spacing w:before="240"/>
              <w:rPr>
                <w:sz w:val="18"/>
                <w:szCs w:val="18"/>
              </w:rPr>
            </w:pPr>
            <w:r>
              <w:rPr>
                <w:sz w:val="18"/>
                <w:szCs w:val="18"/>
              </w:rPr>
              <w:t>RI 25-15</w:t>
            </w:r>
          </w:p>
        </w:tc>
        <w:tc>
          <w:tcPr>
            <w:tcW w:w="1244" w:type="dxa"/>
            <w:shd w:val="clear" w:color="auto" w:fill="auto"/>
          </w:tcPr>
          <w:p w:rsidR="00AC3699" w:rsidRPr="005E399C" w:rsidP="005E399C" w14:paraId="21F93877" w14:textId="1AEA476C">
            <w:pPr>
              <w:spacing w:before="240"/>
              <w:jc w:val="right"/>
              <w:rPr>
                <w:sz w:val="18"/>
                <w:szCs w:val="18"/>
              </w:rPr>
            </w:pPr>
            <w:r>
              <w:rPr>
                <w:sz w:val="18"/>
                <w:szCs w:val="18"/>
              </w:rPr>
              <w:t>2,5</w:t>
            </w:r>
            <w:r w:rsidRPr="005E399C">
              <w:rPr>
                <w:sz w:val="18"/>
                <w:szCs w:val="18"/>
              </w:rPr>
              <w:t>00</w:t>
            </w:r>
          </w:p>
          <w:p w:rsidR="00AC3699" w:rsidRPr="005E399C" w:rsidP="005E399C" w14:paraId="70F80378" w14:textId="77777777">
            <w:pPr>
              <w:jc w:val="right"/>
              <w:rPr>
                <w:sz w:val="18"/>
                <w:szCs w:val="18"/>
              </w:rPr>
            </w:pPr>
          </w:p>
        </w:tc>
        <w:tc>
          <w:tcPr>
            <w:tcW w:w="1178" w:type="dxa"/>
            <w:shd w:val="clear" w:color="auto" w:fill="auto"/>
          </w:tcPr>
          <w:p w:rsidR="00AC3699" w:rsidRPr="005E399C" w:rsidP="005E399C" w14:paraId="75AA156A" w14:textId="77777777">
            <w:pPr>
              <w:spacing w:before="240"/>
              <w:jc w:val="right"/>
              <w:rPr>
                <w:sz w:val="18"/>
                <w:szCs w:val="18"/>
              </w:rPr>
            </w:pPr>
            <w:r w:rsidRPr="005E399C">
              <w:rPr>
                <w:sz w:val="18"/>
                <w:szCs w:val="18"/>
              </w:rPr>
              <w:t>1</w:t>
            </w:r>
          </w:p>
          <w:p w:rsidR="00AC3699" w:rsidRPr="005E399C" w:rsidP="005E399C" w14:paraId="19048968" w14:textId="77777777">
            <w:pPr>
              <w:jc w:val="right"/>
              <w:rPr>
                <w:sz w:val="18"/>
                <w:szCs w:val="18"/>
              </w:rPr>
            </w:pPr>
          </w:p>
        </w:tc>
        <w:tc>
          <w:tcPr>
            <w:tcW w:w="1087" w:type="dxa"/>
            <w:shd w:val="clear" w:color="auto" w:fill="auto"/>
          </w:tcPr>
          <w:p w:rsidR="00AC3699" w:rsidRPr="005E399C" w:rsidP="005E399C" w14:paraId="5E182509" w14:textId="15A99106">
            <w:pPr>
              <w:spacing w:before="240"/>
              <w:jc w:val="right"/>
              <w:rPr>
                <w:sz w:val="18"/>
                <w:szCs w:val="18"/>
              </w:rPr>
            </w:pPr>
            <w:r>
              <w:rPr>
                <w:sz w:val="18"/>
                <w:szCs w:val="18"/>
              </w:rPr>
              <w:t>.</w:t>
            </w:r>
            <w:r w:rsidR="009644BB">
              <w:rPr>
                <w:sz w:val="18"/>
                <w:szCs w:val="18"/>
              </w:rPr>
              <w:t>3</w:t>
            </w:r>
            <w:r>
              <w:rPr>
                <w:sz w:val="18"/>
                <w:szCs w:val="18"/>
              </w:rPr>
              <w:t>333</w:t>
            </w:r>
            <w:r w:rsidRPr="005E399C">
              <w:rPr>
                <w:sz w:val="18"/>
                <w:szCs w:val="18"/>
              </w:rPr>
              <w:br/>
            </w:r>
          </w:p>
        </w:tc>
        <w:tc>
          <w:tcPr>
            <w:tcW w:w="969" w:type="dxa"/>
            <w:shd w:val="clear" w:color="auto" w:fill="auto"/>
          </w:tcPr>
          <w:p w:rsidR="00AC3699" w:rsidRPr="005E399C" w:rsidP="005E399C" w14:paraId="5F51A455" w14:textId="53095187">
            <w:pPr>
              <w:spacing w:before="240"/>
              <w:jc w:val="right"/>
              <w:rPr>
                <w:sz w:val="18"/>
                <w:szCs w:val="18"/>
              </w:rPr>
            </w:pPr>
            <w:r>
              <w:rPr>
                <w:sz w:val="18"/>
                <w:szCs w:val="18"/>
              </w:rPr>
              <w:t>835</w:t>
            </w:r>
          </w:p>
          <w:p w:rsidR="00AC3699" w:rsidRPr="005E399C" w:rsidP="005E399C" w14:paraId="5A1A3774" w14:textId="77777777">
            <w:pPr>
              <w:jc w:val="right"/>
              <w:rPr>
                <w:sz w:val="18"/>
                <w:szCs w:val="18"/>
              </w:rPr>
            </w:pPr>
          </w:p>
        </w:tc>
        <w:tc>
          <w:tcPr>
            <w:tcW w:w="1010" w:type="dxa"/>
            <w:shd w:val="clear" w:color="auto" w:fill="auto"/>
          </w:tcPr>
          <w:p w:rsidR="00AC3699" w:rsidRPr="005E399C" w:rsidP="005E399C" w14:paraId="3ACE5088" w14:textId="4F2799E0">
            <w:pPr>
              <w:spacing w:before="240"/>
              <w:jc w:val="center"/>
              <w:rPr>
                <w:sz w:val="18"/>
                <w:szCs w:val="18"/>
              </w:rPr>
            </w:pPr>
            <w:r>
              <w:rPr>
                <w:sz w:val="18"/>
                <w:szCs w:val="18"/>
              </w:rPr>
              <w:t>$</w:t>
            </w:r>
            <w:r w:rsidR="00FD704C">
              <w:rPr>
                <w:sz w:val="18"/>
                <w:szCs w:val="18"/>
              </w:rPr>
              <w:t>7</w:t>
            </w:r>
            <w:r w:rsidR="009644BB">
              <w:rPr>
                <w:sz w:val="18"/>
                <w:szCs w:val="18"/>
              </w:rPr>
              <w:t>.</w:t>
            </w:r>
            <w:r w:rsidR="00FD704C">
              <w:rPr>
                <w:sz w:val="18"/>
                <w:szCs w:val="18"/>
              </w:rPr>
              <w:t>17</w:t>
            </w:r>
          </w:p>
          <w:p w:rsidR="00AC3699" w:rsidRPr="005E399C" w:rsidP="005E399C" w14:paraId="17F440C2" w14:textId="77777777">
            <w:pPr>
              <w:jc w:val="center"/>
              <w:rPr>
                <w:sz w:val="18"/>
                <w:szCs w:val="18"/>
              </w:rPr>
            </w:pPr>
          </w:p>
        </w:tc>
        <w:tc>
          <w:tcPr>
            <w:tcW w:w="1179" w:type="dxa"/>
            <w:shd w:val="clear" w:color="auto" w:fill="auto"/>
          </w:tcPr>
          <w:p w:rsidR="00AC3699" w:rsidRPr="005E399C" w:rsidP="005E399C" w14:paraId="106513AB" w14:textId="13C57311">
            <w:pPr>
              <w:spacing w:before="240"/>
              <w:jc w:val="center"/>
              <w:rPr>
                <w:sz w:val="18"/>
                <w:szCs w:val="18"/>
              </w:rPr>
            </w:pPr>
            <w:r>
              <w:rPr>
                <w:sz w:val="18"/>
                <w:szCs w:val="18"/>
              </w:rPr>
              <w:t>$</w:t>
            </w:r>
            <w:r w:rsidR="00FD704C">
              <w:rPr>
                <w:sz w:val="18"/>
                <w:szCs w:val="18"/>
              </w:rPr>
              <w:t>18,821.25</w:t>
            </w:r>
          </w:p>
          <w:p w:rsidR="00AC3699" w:rsidRPr="005E399C" w:rsidP="005E399C" w14:paraId="10B03BA6" w14:textId="77777777">
            <w:pPr>
              <w:jc w:val="center"/>
              <w:rPr>
                <w:sz w:val="18"/>
                <w:szCs w:val="18"/>
              </w:rPr>
            </w:pPr>
          </w:p>
          <w:p w:rsidR="00AC3699" w:rsidRPr="005E399C" w:rsidP="005E399C" w14:paraId="53ED0F71" w14:textId="77777777">
            <w:pPr>
              <w:jc w:val="center"/>
              <w:rPr>
                <w:sz w:val="18"/>
                <w:szCs w:val="18"/>
              </w:rPr>
            </w:pPr>
          </w:p>
          <w:p w:rsidR="00AC3699" w:rsidRPr="005E399C" w:rsidP="005E399C" w14:paraId="48764E79" w14:textId="77777777">
            <w:pPr>
              <w:rPr>
                <w:sz w:val="18"/>
                <w:szCs w:val="18"/>
              </w:rPr>
            </w:pPr>
          </w:p>
        </w:tc>
      </w:tr>
    </w:tbl>
    <w:p w:rsidR="00AC3699" w:rsidP="00BC5298" w14:paraId="7C337BC5" w14:textId="77777777">
      <w:pPr>
        <w:ind w:left="720" w:hanging="420"/>
      </w:pPr>
    </w:p>
    <w:p w:rsidR="00390F60" w:rsidP="00BC5298" w14:paraId="5E20396A" w14:textId="77777777">
      <w:pPr>
        <w:ind w:left="720" w:hanging="420"/>
      </w:pPr>
    </w:p>
    <w:p w:rsidR="00390F60" w:rsidP="00BC5298" w14:paraId="1547734C" w14:textId="0D399D1F">
      <w:pPr>
        <w:ind w:left="720" w:hanging="420"/>
      </w:pPr>
      <w:r>
        <w:tab/>
      </w:r>
      <w:r w:rsidR="0053786D">
        <w:t xml:space="preserve">The </w:t>
      </w:r>
      <w:r w:rsidR="00417563">
        <w:t>Total Annual Respondent Cost</w:t>
      </w:r>
      <w:r w:rsidR="0053786D">
        <w:t xml:space="preserve"> is $</w:t>
      </w:r>
      <w:r w:rsidR="00FD704C">
        <w:t>1</w:t>
      </w:r>
      <w:r w:rsidR="008C1187">
        <w:t>8,</w:t>
      </w:r>
      <w:r w:rsidR="00FD704C">
        <w:t>821.25</w:t>
      </w:r>
      <w:r w:rsidR="0053786D">
        <w:t>.</w:t>
      </w:r>
    </w:p>
    <w:p w:rsidR="005F05CA" w:rsidP="00BC5298" w14:paraId="711EF1A4" w14:textId="77777777">
      <w:pPr>
        <w:ind w:left="720" w:hanging="420"/>
      </w:pPr>
    </w:p>
    <w:p w:rsidR="005F05CA" w:rsidRPr="00741061" w:rsidP="005F05CA" w14:paraId="4B2901E9" w14:textId="77777777">
      <w:pPr>
        <w:pStyle w:val="ListParagraph"/>
        <w:shd w:val="pct25" w:color="auto" w:fill="auto"/>
        <w:tabs>
          <w:tab w:val="left" w:pos="-720"/>
        </w:tabs>
        <w:suppressAutoHyphens/>
        <w:ind w:left="0"/>
      </w:pPr>
      <w:r w:rsidRPr="00741061">
        <w:t>13.   Provide an estimate of the total annual cost burden to respondents or record</w:t>
      </w:r>
      <w:r>
        <w:t xml:space="preserve"> </w:t>
      </w:r>
      <w:r w:rsidRPr="00741061">
        <w:t>keepers resulting from the collection of information.  (Do not include the cost of any hour burden shown in Items 12 and 14.)</w:t>
      </w:r>
    </w:p>
    <w:p w:rsidR="005F05CA" w:rsidRPr="00741061" w:rsidP="005F05CA" w14:paraId="7F3B1FAF" w14:textId="77777777">
      <w:pPr>
        <w:pStyle w:val="ListParagraph"/>
        <w:shd w:val="pct25" w:color="auto" w:fill="auto"/>
        <w:tabs>
          <w:tab w:val="left" w:pos="-720"/>
        </w:tabs>
        <w:suppressAutoHyphens/>
        <w:ind w:left="0"/>
      </w:pPr>
    </w:p>
    <w:p w:rsidR="005F05CA" w:rsidRPr="00741061" w:rsidP="005F05CA" w14:paraId="1A3B66D3" w14:textId="6C13EC4F">
      <w:pPr>
        <w:pStyle w:val="ListParagraph"/>
        <w:shd w:val="pct25" w:color="auto" w:fill="auto"/>
        <w:tabs>
          <w:tab w:val="left" w:pos="-720"/>
          <w:tab w:val="left" w:pos="810"/>
        </w:tabs>
        <w:suppressAutoHyphens/>
        <w:ind w:left="0"/>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r w:rsidRPr="00741061" w:rsidR="00F36EBF">
        <w:t>consider</w:t>
      </w:r>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741061" w:rsidR="00F36EBF">
        <w:t>time</w:t>
      </w:r>
      <w:r w:rsidRPr="00741061">
        <w:t xml:space="preserve"> over which costs will be incurred.  Capital and start-up costs include, among other items, preparations for collecting information such as purchasing computers and software; monitoring, sampling, </w:t>
      </w:r>
      <w:r w:rsidRPr="00741061" w:rsidR="00F36EBF">
        <w:t>drilling,</w:t>
      </w:r>
      <w:r w:rsidRPr="00741061">
        <w:t xml:space="preserve"> and testing equipment; and record storage facilities.</w:t>
      </w:r>
    </w:p>
    <w:p w:rsidR="005F05CA" w:rsidRPr="00741061" w:rsidP="005F05CA" w14:paraId="73E47601" w14:textId="77777777">
      <w:pPr>
        <w:pStyle w:val="ListParagraph"/>
        <w:shd w:val="pct25" w:color="auto" w:fill="FFFFFF"/>
        <w:tabs>
          <w:tab w:val="left" w:pos="-720"/>
        </w:tabs>
        <w:suppressAutoHyphens/>
        <w:ind w:left="0"/>
      </w:pPr>
    </w:p>
    <w:p w:rsidR="005F05CA" w:rsidRPr="00741061" w:rsidP="005F05CA" w14:paraId="1E8FFDE6" w14:textId="77777777">
      <w:pPr>
        <w:pStyle w:val="ListParagraph"/>
        <w:shd w:val="pct25" w:color="auto" w:fill="FFFFFF"/>
        <w:tabs>
          <w:tab w:val="left" w:pos="-720"/>
        </w:tabs>
        <w:suppressAutoHyphens/>
        <w:ind w:left="0"/>
      </w:pPr>
      <w:r w:rsidRPr="0074106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741061">
        <w:t>process</w:t>
      </w:r>
      <w:r w:rsidRPr="00741061">
        <w:t xml:space="preserve"> and use existing economic or regulatory impact analysis associated with the rulemaking containing the information collection as appropriate.</w:t>
      </w:r>
    </w:p>
    <w:p w:rsidR="005F05CA" w:rsidRPr="00741061" w:rsidP="005F05CA" w14:paraId="150C2C03" w14:textId="77777777">
      <w:pPr>
        <w:pStyle w:val="ListParagraph"/>
        <w:shd w:val="pct25" w:color="auto" w:fill="FFFFFF"/>
        <w:tabs>
          <w:tab w:val="left" w:pos="-720"/>
        </w:tabs>
        <w:suppressAutoHyphens/>
        <w:ind w:left="0"/>
      </w:pPr>
    </w:p>
    <w:p w:rsidR="005F05CA" w:rsidRPr="00741061" w:rsidP="005F05CA" w14:paraId="0F011F32" w14:textId="6A342212">
      <w:pPr>
        <w:pStyle w:val="ListParagraph"/>
        <w:shd w:val="pct25" w:color="auto" w:fill="FFFFFF"/>
        <w:tabs>
          <w:tab w:val="left" w:pos="-720"/>
        </w:tabs>
        <w:suppressAutoHyphens/>
        <w:ind w:left="0"/>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5F05CA" w:rsidP="00BC5298" w14:paraId="39168C2B" w14:textId="77777777">
      <w:pPr>
        <w:ind w:left="720" w:hanging="420"/>
      </w:pPr>
    </w:p>
    <w:p w:rsidR="00F349F0" w:rsidP="005F05CA" w14:paraId="310C20A5" w14:textId="77777777">
      <w:pPr>
        <w:ind w:firstLine="300"/>
      </w:pPr>
      <w:r>
        <w:t xml:space="preserve"> There is no change in the respondent burden. </w:t>
      </w:r>
    </w:p>
    <w:p w:rsidR="005F05CA" w:rsidP="005F05CA" w14:paraId="394D174F" w14:textId="77777777">
      <w:pPr>
        <w:ind w:firstLine="300"/>
      </w:pPr>
    </w:p>
    <w:p w:rsidR="005F05CA" w:rsidP="005F05CA" w14:paraId="5D840278" w14:textId="77777777">
      <w:pPr>
        <w:ind w:firstLine="300"/>
      </w:pPr>
    </w:p>
    <w:p w:rsidR="005F05CA" w:rsidP="005F05CA" w14:paraId="2C5FAE74" w14:textId="77777777">
      <w:pPr>
        <w:ind w:firstLine="300"/>
      </w:pPr>
    </w:p>
    <w:p w:rsidR="005F05CA" w:rsidP="005F05CA" w14:paraId="6DB47174" w14:textId="77777777">
      <w:pPr>
        <w:shd w:val="pct25" w:color="auto" w:fill="auto"/>
        <w:tabs>
          <w:tab w:val="left" w:pos="-720"/>
        </w:tabs>
        <w:suppressAutoHyphens/>
      </w:pPr>
      <w:r w:rsidRPr="00741061">
        <w:t xml:space="preserve">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5F05CA" w:rsidP="005F05CA" w14:paraId="3E715CC3" w14:textId="77777777">
      <w:pPr>
        <w:ind w:firstLine="300"/>
      </w:pPr>
    </w:p>
    <w:p w:rsidR="00351640" w:rsidP="00351640" w14:paraId="1E0074CA" w14:textId="385684DF">
      <w:pPr>
        <w:ind w:left="300"/>
      </w:pPr>
      <w:r>
        <w:t>The annualized cost to the Federal government is $</w:t>
      </w:r>
      <w:r w:rsidR="001D6CED">
        <w:t>43,900</w:t>
      </w:r>
      <w:r>
        <w:t xml:space="preserve">. This cost </w:t>
      </w:r>
      <w:r w:rsidR="001D6CED">
        <w:t xml:space="preserve">is derived from employee salaries, staff hours required to process the forms and the cost of publishing, </w:t>
      </w:r>
      <w:r w:rsidR="00F36EBF">
        <w:t>storing,</w:t>
      </w:r>
      <w:r w:rsidR="001D6CED">
        <w:t xml:space="preserve"> and shipping forms</w:t>
      </w:r>
      <w:r>
        <w:t>.</w:t>
      </w:r>
    </w:p>
    <w:p w:rsidR="00D34F55" w:rsidP="00D34F55" w14:paraId="128D3BF5" w14:textId="77777777">
      <w:pPr>
        <w:ind w:left="300"/>
      </w:pPr>
    </w:p>
    <w:p w:rsidR="00D34F55" w:rsidRPr="00741061" w:rsidP="00D34F55" w14:paraId="4F41DFEC" w14:textId="77777777">
      <w:pPr>
        <w:pStyle w:val="ListParagraph"/>
        <w:shd w:val="pct25" w:color="auto" w:fill="auto"/>
        <w:tabs>
          <w:tab w:val="left" w:pos="-720"/>
        </w:tabs>
        <w:suppressAutoHyphens/>
        <w:ind w:left="0"/>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A6C6A" w:rsidP="00BC5298" w14:paraId="2D384A3C" w14:textId="77777777">
      <w:pPr>
        <w:ind w:left="720" w:hanging="420"/>
      </w:pPr>
    </w:p>
    <w:p w:rsidR="000C53CD" w:rsidP="00BC5298" w14:paraId="6384B00B" w14:textId="77777777">
      <w:pPr>
        <w:ind w:left="720" w:hanging="420"/>
      </w:pPr>
      <w:r>
        <w:t xml:space="preserve">  There are no changes.</w:t>
      </w:r>
    </w:p>
    <w:p w:rsidR="00D34F55" w:rsidRPr="00741061" w:rsidP="00D34F55" w14:paraId="74628470" w14:textId="77777777">
      <w:pPr>
        <w:pStyle w:val="ListParagraph"/>
        <w:tabs>
          <w:tab w:val="left" w:pos="-720"/>
        </w:tabs>
        <w:suppressAutoHyphens/>
        <w:ind w:left="0"/>
      </w:pPr>
    </w:p>
    <w:p w:rsidR="00D34F55" w:rsidRPr="00741061" w:rsidP="00D34F55" w14:paraId="027FB2DA" w14:textId="77777777">
      <w:pPr>
        <w:pStyle w:val="ListParagraph"/>
        <w:shd w:val="pct25" w:color="auto" w:fill="auto"/>
        <w:tabs>
          <w:tab w:val="left" w:pos="-720"/>
        </w:tabs>
        <w:suppressAutoHyphens/>
        <w:ind w:left="0"/>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D34F55" w:rsidP="00D34F55" w14:paraId="77FD19E7" w14:textId="77777777">
      <w:pPr>
        <w:ind w:firstLine="300"/>
      </w:pPr>
    </w:p>
    <w:p w:rsidR="000C53CD" w:rsidP="00D34F55" w14:paraId="43D7A26A" w14:textId="77777777">
      <w:pPr>
        <w:ind w:firstLine="300"/>
      </w:pPr>
      <w:r>
        <w:t>The results of this information collection are not published.</w:t>
      </w:r>
    </w:p>
    <w:p w:rsidR="00D34F55" w:rsidP="00D34F55" w14:paraId="427E91DA" w14:textId="77777777">
      <w:pPr>
        <w:ind w:firstLine="300"/>
      </w:pPr>
    </w:p>
    <w:p w:rsidR="00D34F55" w:rsidRPr="00741061" w:rsidP="00D34F55" w14:paraId="0CAE2DC4" w14:textId="77777777">
      <w:pPr>
        <w:pStyle w:val="ListParagraph"/>
        <w:shd w:val="pct25" w:color="auto" w:fill="auto"/>
        <w:tabs>
          <w:tab w:val="left" w:pos="-720"/>
        </w:tabs>
        <w:suppressAutoHyphens/>
        <w:ind w:left="0"/>
      </w:pPr>
      <w:r w:rsidRPr="00741061">
        <w:t>17.  If seeking approval to not display the expiration date for OMB approval of the information collection, explain reasons that display would be inappropriate.</w:t>
      </w:r>
    </w:p>
    <w:p w:rsidR="000C53CD" w:rsidP="00BC5298" w14:paraId="111E7C51" w14:textId="77777777">
      <w:pPr>
        <w:ind w:left="720" w:hanging="420"/>
      </w:pPr>
    </w:p>
    <w:p w:rsidR="000A50D8" w:rsidP="00D34F55" w14:paraId="5993E72C" w14:textId="2332DADF">
      <w:pPr>
        <w:ind w:left="300"/>
      </w:pPr>
      <w:r>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were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r w:rsidRPr="000A50D8">
        <w:t>.</w:t>
      </w:r>
    </w:p>
    <w:p w:rsidR="00D34F55" w:rsidP="00D34F55" w14:paraId="1A186239" w14:textId="77777777">
      <w:pPr>
        <w:ind w:left="300"/>
      </w:pPr>
    </w:p>
    <w:p w:rsidR="00D34F55" w:rsidRPr="00741061" w:rsidP="00D34F55" w14:paraId="347CD304" w14:textId="77777777">
      <w:pPr>
        <w:pStyle w:val="ListParagraph"/>
        <w:shd w:val="pct25" w:color="auto" w:fill="auto"/>
        <w:tabs>
          <w:tab w:val="left" w:pos="-720"/>
        </w:tabs>
        <w:suppressAutoHyphens/>
        <w:ind w:left="0"/>
      </w:pPr>
      <w:r w:rsidRPr="00741061">
        <w:t>18.  Explain each exception to the certification statement identified in Item 19 “Certification for Paperwork Reduction Act Submissions,” of OMB Form 83-I.</w:t>
      </w:r>
    </w:p>
    <w:p w:rsidR="00D34F55" w:rsidP="00D34F55" w14:paraId="33B7FDAC" w14:textId="77777777">
      <w:pPr>
        <w:ind w:left="300"/>
      </w:pPr>
    </w:p>
    <w:p w:rsidR="000C53CD" w:rsidP="00D34F55" w14:paraId="348B7252" w14:textId="77777777">
      <w:pPr>
        <w:ind w:left="720" w:hanging="420"/>
      </w:pPr>
      <w:r>
        <w:t>There are no exceptions to the certification statement.</w:t>
      </w:r>
    </w:p>
    <w:p w:rsidR="000C53CD" w:rsidP="000C53CD" w14:paraId="64AD8E86" w14:textId="77777777"/>
    <w:p w:rsidR="000C53CD" w:rsidP="000C53CD" w14:paraId="7141A99B" w14:textId="77777777"/>
    <w:sectPr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BC875AC"/>
    <w:multiLevelType w:val="singleLevel"/>
    <w:tmpl w:val="57722588"/>
    <w:lvl w:ilvl="0">
      <w:start w:val="1"/>
      <w:numFmt w:val="decimal"/>
      <w:lvlText w:val="%1."/>
      <w:lvlJc w:val="left"/>
      <w:pPr>
        <w:tabs>
          <w:tab w:val="num" w:pos="720"/>
        </w:tabs>
        <w:ind w:left="720" w:hanging="360"/>
      </w:pPr>
      <w:rPr>
        <w:rFonts w:hint="default"/>
      </w:rPr>
    </w:lvl>
  </w:abstractNum>
  <w:abstractNum w:abstractNumId="1">
    <w:nsid w:val="1DF97DA7"/>
    <w:multiLevelType w:val="singleLevel"/>
    <w:tmpl w:val="57722588"/>
    <w:lvl w:ilvl="0">
      <w:start w:val="1"/>
      <w:numFmt w:val="decimal"/>
      <w:lvlText w:val="%1."/>
      <w:lvlJc w:val="left"/>
      <w:pPr>
        <w:tabs>
          <w:tab w:val="num" w:pos="720"/>
        </w:tabs>
        <w:ind w:left="720" w:hanging="360"/>
      </w:pPr>
      <w:rPr>
        <w:rFonts w:hint="default"/>
      </w:rPr>
    </w:lvl>
  </w:abstractNum>
  <w:abstractNum w:abstractNumId="2">
    <w:nsid w:val="2CA610D6"/>
    <w:multiLevelType w:val="singleLevel"/>
    <w:tmpl w:val="57722588"/>
    <w:lvl w:ilvl="0">
      <w:start w:val="1"/>
      <w:numFmt w:val="decimal"/>
      <w:lvlText w:val="%1."/>
      <w:lvlJc w:val="left"/>
      <w:pPr>
        <w:tabs>
          <w:tab w:val="num" w:pos="720"/>
        </w:tabs>
        <w:ind w:left="720" w:hanging="360"/>
      </w:pPr>
      <w:rPr>
        <w:rFonts w:hint="default"/>
      </w:rPr>
    </w:lvl>
  </w:abstractNum>
  <w:abstractNum w:abstractNumId="3">
    <w:nsid w:val="61571BAC"/>
    <w:multiLevelType w:val="singleLevel"/>
    <w:tmpl w:val="57722588"/>
    <w:lvl w:ilvl="0">
      <w:start w:val="1"/>
      <w:numFmt w:val="decimal"/>
      <w:lvlText w:val="%1."/>
      <w:lvlJc w:val="left"/>
      <w:pPr>
        <w:tabs>
          <w:tab w:val="num" w:pos="720"/>
        </w:tabs>
        <w:ind w:left="720" w:hanging="360"/>
      </w:pPr>
      <w:rPr>
        <w:rFonts w:hint="default"/>
      </w:rPr>
    </w:lvl>
  </w:abstractNum>
  <w:abstractNum w:abstractNumId="4">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14433"/>
    <w:rsid w:val="00022EA5"/>
    <w:rsid w:val="0003069F"/>
    <w:rsid w:val="000A50D8"/>
    <w:rsid w:val="000C53CD"/>
    <w:rsid w:val="001517E9"/>
    <w:rsid w:val="00174A80"/>
    <w:rsid w:val="001B266F"/>
    <w:rsid w:val="001D6CED"/>
    <w:rsid w:val="00263F91"/>
    <w:rsid w:val="0027216F"/>
    <w:rsid w:val="002A30F3"/>
    <w:rsid w:val="002C42D9"/>
    <w:rsid w:val="00314D03"/>
    <w:rsid w:val="00351640"/>
    <w:rsid w:val="00355E21"/>
    <w:rsid w:val="003778B8"/>
    <w:rsid w:val="00390F60"/>
    <w:rsid w:val="003B6808"/>
    <w:rsid w:val="003D20E8"/>
    <w:rsid w:val="00417563"/>
    <w:rsid w:val="00443119"/>
    <w:rsid w:val="004502DC"/>
    <w:rsid w:val="004C22A8"/>
    <w:rsid w:val="004D6EEE"/>
    <w:rsid w:val="004F2EDD"/>
    <w:rsid w:val="0053786D"/>
    <w:rsid w:val="005464C6"/>
    <w:rsid w:val="005D4F0A"/>
    <w:rsid w:val="005D507F"/>
    <w:rsid w:val="005D597B"/>
    <w:rsid w:val="005E399C"/>
    <w:rsid w:val="005F05CA"/>
    <w:rsid w:val="00607CD8"/>
    <w:rsid w:val="006128ED"/>
    <w:rsid w:val="006216BD"/>
    <w:rsid w:val="00627841"/>
    <w:rsid w:val="006573D6"/>
    <w:rsid w:val="0068082F"/>
    <w:rsid w:val="006E6EC9"/>
    <w:rsid w:val="00741061"/>
    <w:rsid w:val="00781FEF"/>
    <w:rsid w:val="00790267"/>
    <w:rsid w:val="007A6C6A"/>
    <w:rsid w:val="007F645F"/>
    <w:rsid w:val="00836802"/>
    <w:rsid w:val="008A51E5"/>
    <w:rsid w:val="008C1187"/>
    <w:rsid w:val="00931BD8"/>
    <w:rsid w:val="009644BB"/>
    <w:rsid w:val="009A4D6A"/>
    <w:rsid w:val="009B7453"/>
    <w:rsid w:val="009D0E7A"/>
    <w:rsid w:val="00A030B3"/>
    <w:rsid w:val="00A032AA"/>
    <w:rsid w:val="00A10BE7"/>
    <w:rsid w:val="00AC3699"/>
    <w:rsid w:val="00AC4BFD"/>
    <w:rsid w:val="00AE404A"/>
    <w:rsid w:val="00AE7945"/>
    <w:rsid w:val="00B22986"/>
    <w:rsid w:val="00B772A0"/>
    <w:rsid w:val="00BA4B50"/>
    <w:rsid w:val="00BC5298"/>
    <w:rsid w:val="00BD5B38"/>
    <w:rsid w:val="00BF1F01"/>
    <w:rsid w:val="00BF5236"/>
    <w:rsid w:val="00C14728"/>
    <w:rsid w:val="00CA53EA"/>
    <w:rsid w:val="00CD2791"/>
    <w:rsid w:val="00CE3184"/>
    <w:rsid w:val="00CE32D7"/>
    <w:rsid w:val="00D34F55"/>
    <w:rsid w:val="00D359C3"/>
    <w:rsid w:val="00D600E6"/>
    <w:rsid w:val="00DD3549"/>
    <w:rsid w:val="00E10457"/>
    <w:rsid w:val="00E25D8D"/>
    <w:rsid w:val="00E95301"/>
    <w:rsid w:val="00EE365B"/>
    <w:rsid w:val="00F26AFA"/>
    <w:rsid w:val="00F349F0"/>
    <w:rsid w:val="00F36EBF"/>
    <w:rsid w:val="00F53904"/>
    <w:rsid w:val="00F57933"/>
    <w:rsid w:val="00F97E86"/>
    <w:rsid w:val="00FC5E56"/>
    <w:rsid w:val="00FD70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7D8A40"/>
  <w15:chartTrackingRefBased/>
  <w15:docId w15:val="{4AC38E93-96DB-45E7-9FDC-6FDC5778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26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7CD8"/>
    <w:rPr>
      <w:color w:val="0000FF"/>
      <w:u w:val="single"/>
    </w:rPr>
  </w:style>
  <w:style w:type="paragraph" w:styleId="BalloonText">
    <w:name w:val="Balloon Text"/>
    <w:basedOn w:val="Normal"/>
    <w:semiHidden/>
    <w:rsid w:val="006573D6"/>
    <w:rPr>
      <w:rFonts w:ascii="Tahoma" w:hAnsi="Tahoma" w:cs="Tahoma"/>
      <w:sz w:val="16"/>
      <w:szCs w:val="16"/>
    </w:rPr>
  </w:style>
  <w:style w:type="character" w:styleId="FollowedHyperlink">
    <w:name w:val="FollowedHyperlink"/>
    <w:uiPriority w:val="99"/>
    <w:semiHidden/>
    <w:unhideWhenUsed/>
    <w:rsid w:val="00AE7945"/>
    <w:rPr>
      <w:color w:val="800080"/>
      <w:u w:val="single"/>
    </w:rPr>
  </w:style>
  <w:style w:type="paragraph" w:styleId="ListParagraph">
    <w:name w:val="List Paragraph"/>
    <w:basedOn w:val="Normal"/>
    <w:uiPriority w:val="34"/>
    <w:qFormat/>
    <w:rsid w:val="00CE32D7"/>
    <w:pPr>
      <w:ind w:left="720"/>
      <w:contextualSpacing/>
    </w:pPr>
    <w:rPr>
      <w:szCs w:val="20"/>
    </w:rPr>
  </w:style>
  <w:style w:type="table" w:styleId="TableGrid">
    <w:name w:val="Table Grid"/>
    <w:basedOn w:val="TableNormal"/>
    <w:uiPriority w:val="59"/>
    <w:rsid w:val="00AC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2169</Words>
  <Characters>12191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14332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2</cp:revision>
  <cp:lastPrinted>2022-08-08T12:14:00Z</cp:lastPrinted>
  <dcterms:created xsi:type="dcterms:W3CDTF">2022-10-27T11:31:00Z</dcterms:created>
  <dcterms:modified xsi:type="dcterms:W3CDTF">2022-10-27T11:31:00Z</dcterms:modified>
</cp:coreProperties>
</file>