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63CF" w:rsidRPr="00A55C95" w:rsidP="00A55C95">
      <w:pPr>
        <w:widowControl/>
        <w:tabs>
          <w:tab w:val="center" w:pos="4680"/>
        </w:tabs>
        <w:jc w:val="center"/>
        <w:rPr>
          <w:rFonts w:ascii="Times New Roman" w:hAnsi="Times New Roman"/>
          <w:b/>
          <w:bCs/>
          <w:sz w:val="30"/>
        </w:rPr>
      </w:pPr>
      <w:smartTag w:uri="urn:schemas-microsoft-com:office:smarttags" w:element="place">
        <w:smartTag w:uri="urn:schemas-microsoft-com:office:smarttags" w:element="country-region">
          <w:r w:rsidRPr="00A55C95">
            <w:rPr>
              <w:rFonts w:ascii="Times New Roman" w:hAnsi="Times New Roman"/>
              <w:b/>
              <w:bCs/>
              <w:sz w:val="30"/>
            </w:rPr>
            <w:t>U.S.</w:t>
          </w:r>
        </w:smartTag>
      </w:smartTag>
      <w:r w:rsidRPr="00A55C95">
        <w:rPr>
          <w:rFonts w:ascii="Times New Roman" w:hAnsi="Times New Roman"/>
          <w:b/>
          <w:bCs/>
          <w:sz w:val="30"/>
        </w:rPr>
        <w:t xml:space="preserve"> Office of Government Ethics</w:t>
      </w:r>
    </w:p>
    <w:p w:rsidR="009B5B16" w:rsidRPr="00A55C95" w:rsidP="00A55C95">
      <w:pPr>
        <w:widowControl/>
        <w:tabs>
          <w:tab w:val="center" w:pos="4680"/>
        </w:tabs>
        <w:jc w:val="center"/>
        <w:rPr>
          <w:rFonts w:ascii="Times New Roman" w:hAnsi="Times New Roman"/>
          <w:b/>
          <w:bCs/>
          <w:sz w:val="30"/>
        </w:rPr>
      </w:pPr>
      <w:r>
        <w:rPr>
          <w:rFonts w:ascii="Times New Roman" w:hAnsi="Times New Roman"/>
          <w:b/>
          <w:bCs/>
          <w:sz w:val="30"/>
        </w:rPr>
        <w:t>Supporting Statement</w:t>
      </w:r>
      <w:r w:rsidR="00A55C95">
        <w:rPr>
          <w:rFonts w:ascii="Times New Roman" w:hAnsi="Times New Roman"/>
          <w:b/>
          <w:bCs/>
          <w:sz w:val="30"/>
        </w:rPr>
        <w:t xml:space="preserve"> for the </w:t>
      </w:r>
      <w:r w:rsidRPr="00A55C95" w:rsidR="00A55C95">
        <w:rPr>
          <w:rFonts w:ascii="Times New Roman" w:hAnsi="Times New Roman"/>
          <w:b/>
          <w:bCs/>
          <w:sz w:val="30"/>
        </w:rPr>
        <w:t>Executive Branch Qualified Trust Model Certificates and Model Trust Documents</w:t>
      </w:r>
    </w:p>
    <w:p w:rsidR="00A55C95" w:rsidRPr="00A55C95" w:rsidP="00A55C95">
      <w:pPr>
        <w:widowControl/>
        <w:tabs>
          <w:tab w:val="center" w:pos="4680"/>
        </w:tabs>
        <w:jc w:val="center"/>
        <w:rPr>
          <w:rFonts w:ascii="Times New Roman" w:hAnsi="Times New Roman"/>
          <w:b/>
          <w:bCs/>
          <w:sz w:val="30"/>
        </w:rPr>
      </w:pPr>
      <w:r>
        <w:rPr>
          <w:rFonts w:ascii="Times New Roman" w:hAnsi="Times New Roman"/>
          <w:b/>
          <w:bCs/>
          <w:sz w:val="30"/>
        </w:rPr>
        <w:t>October 2022</w:t>
      </w:r>
    </w:p>
    <w:p w:rsidR="009B5B16" w:rsidRPr="001063CF" w:rsidP="00A55C95">
      <w:pPr>
        <w:widowControl/>
        <w:spacing w:after="240" w:line="276" w:lineRule="auto"/>
        <w:rPr>
          <w:rFonts w:ascii="Times New Roman" w:hAnsi="Times New Roman"/>
        </w:rPr>
      </w:pPr>
      <w:r w:rsidRPr="001063CF">
        <w:rPr>
          <w:rFonts w:ascii="Times New Roman" w:hAnsi="Times New Roman"/>
          <w:b/>
          <w:bCs/>
        </w:rPr>
        <w:t>A. Justification</w:t>
      </w:r>
    </w:p>
    <w:p w:rsidR="00A55C95" w:rsidP="00A55C95">
      <w:pPr>
        <w:widowControl/>
        <w:spacing w:after="240" w:line="276" w:lineRule="auto"/>
        <w:ind w:firstLine="720"/>
        <w:rPr>
          <w:rFonts w:ascii="Times New Roman" w:hAnsi="Times New Roman"/>
          <w:b/>
          <w:bCs/>
        </w:rPr>
      </w:pPr>
      <w:r w:rsidRPr="00A55C95">
        <w:rPr>
          <w:rFonts w:ascii="Times New Roman" w:hAnsi="Times New Roman"/>
          <w:b/>
          <w:bCs/>
        </w:rPr>
        <w:t>1.-2. Explain the circumstances that make the collection of information necessary. Indicate how, by whom, and for what purpose the information is to be used. Except for a new collection, indicate the actual use the agency has made of the information received from the current collection.</w:t>
      </w:r>
    </w:p>
    <w:p w:rsidR="00A55C95" w:rsidP="00A55C95">
      <w:pPr>
        <w:widowControl/>
        <w:spacing w:after="240" w:line="276" w:lineRule="auto"/>
        <w:ind w:firstLine="720"/>
        <w:rPr>
          <w:rFonts w:ascii="Times New Roman" w:hAnsi="Times New Roman"/>
        </w:rPr>
      </w:pPr>
      <w:r>
        <w:rPr>
          <w:rFonts w:ascii="Times New Roman" w:hAnsi="Times New Roman"/>
        </w:rPr>
        <w:t>The U.S. Office of Government Ethics (</w:t>
      </w:r>
      <w:r w:rsidRPr="00A55C95">
        <w:rPr>
          <w:rFonts w:ascii="Times New Roman" w:hAnsi="Times New Roman"/>
        </w:rPr>
        <w:t>OGE</w:t>
      </w:r>
      <w:r>
        <w:rPr>
          <w:rFonts w:ascii="Times New Roman" w:hAnsi="Times New Roman"/>
        </w:rPr>
        <w:t>)</w:t>
      </w:r>
      <w:r w:rsidRPr="00A55C95">
        <w:rPr>
          <w:rFonts w:ascii="Times New Roman" w:hAnsi="Times New Roman"/>
        </w:rPr>
        <w:t xml:space="preserve"> is the supervising ethics office for the executive branch under the Ethics in Government Act of 1978 (EIGA). Accordingly, OGE administers the qualified trust program for the executive branch. Presidential nominees to executive branch positions subject to Senate confirmation and any other executive branch officials may seek OGE approval for EIGA-qualified blind or diversified trusts as one means to be used to avoid conflicts of interest. The requirements for EIGA-qualified blind and diversified trusts are set forth in section 102(f) of the Ethics in Government Act, 5 U.S.C. app. § 102(f), and OGE’s implementing financial disclosure regulations at subpart D of 5 CFR part 2634.</w:t>
      </w:r>
    </w:p>
    <w:p w:rsidR="009B5B16" w:rsidRPr="001063CF" w:rsidP="00A55C95">
      <w:pPr>
        <w:widowControl/>
        <w:spacing w:after="240" w:line="276" w:lineRule="auto"/>
        <w:ind w:firstLine="720"/>
        <w:rPr>
          <w:rFonts w:ascii="Times New Roman" w:hAnsi="Times New Roman"/>
        </w:rPr>
      </w:pPr>
      <w:r w:rsidRPr="00A55C95">
        <w:rPr>
          <w:rFonts w:ascii="Times New Roman" w:hAnsi="Times New Roman"/>
        </w:rPr>
        <w:t xml:space="preserve">In order to ensure that all applicable requirements are met, OGE is the sponsoring agency for 12 model certificates and model trust documents for qualified blind and diversified trusts. See 5 CFR §§ 2634.402(e)(3), 2634.402(f)(3), 2634.404(e)-(g), 2634.405(d)(2), 2634.407(a); 2634.408(b)(1)-(3), 2634.408(d)(4), 2634.409, and 2634.414. The various model certificates and model trust documents are utilized by settlors, trustees, and other fiduciaries in establishing and administering these qualified trusts. </w:t>
      </w:r>
    </w:p>
    <w:p w:rsidR="00A55C95" w:rsidP="00A55C95">
      <w:pPr>
        <w:widowControl/>
        <w:spacing w:line="480" w:lineRule="auto"/>
        <w:ind w:firstLine="720"/>
        <w:rPr>
          <w:rFonts w:ascii="Times New Roman" w:hAnsi="Times New Roman"/>
        </w:rPr>
      </w:pPr>
      <w:r w:rsidRPr="00341A24">
        <w:rPr>
          <w:rFonts w:ascii="Times New Roman" w:hAnsi="Times New Roman"/>
        </w:rPr>
        <w:t>The</w:t>
      </w:r>
      <w:r>
        <w:rPr>
          <w:rFonts w:ascii="Times New Roman" w:hAnsi="Times New Roman"/>
        </w:rPr>
        <w:t xml:space="preserve"> 12 model documents, along with their burden estimates, are as</w:t>
      </w:r>
      <w:r w:rsidRPr="00341A24">
        <w:rPr>
          <w:rFonts w:ascii="Times New Roman" w:hAnsi="Times New Roman"/>
        </w:rPr>
        <w:t xml:space="preserve"> follows: </w:t>
      </w:r>
    </w:p>
    <w:p w:rsidR="00A55C95" w:rsidP="00A55C95">
      <w:pPr>
        <w:widowControl/>
        <w:autoSpaceDE/>
        <w:autoSpaceDN/>
        <w:adjustRightInd/>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5"/>
        <w:gridCol w:w="2340"/>
      </w:tblGrid>
      <w:tr w:rsidTr="00A55C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05" w:type="dxa"/>
            <w:shd w:val="clear" w:color="auto" w:fill="auto"/>
            <w:vAlign w:val="bottom"/>
          </w:tcPr>
          <w:p w:rsidR="00A55C95" w:rsidRPr="00A55C95" w:rsidP="00A55C95">
            <w:pPr>
              <w:widowControl/>
              <w:spacing w:before="240"/>
              <w:rPr>
                <w:rFonts w:ascii="Times New Roman" w:hAnsi="Times New Roman"/>
                <w:b/>
              </w:rPr>
            </w:pPr>
            <w:r w:rsidRPr="00A55C95">
              <w:rPr>
                <w:rFonts w:ascii="Times New Roman" w:hAnsi="Times New Roman"/>
                <w:b/>
              </w:rPr>
              <w:t>Model Qualified Trust Documents</w:t>
            </w:r>
          </w:p>
        </w:tc>
        <w:tc>
          <w:tcPr>
            <w:tcW w:w="2340" w:type="dxa"/>
            <w:shd w:val="clear" w:color="auto" w:fill="auto"/>
            <w:vAlign w:val="bottom"/>
          </w:tcPr>
          <w:p w:rsidR="00A55C95" w:rsidRPr="00A55C95" w:rsidP="00A55C95">
            <w:pPr>
              <w:widowControl/>
              <w:spacing w:before="240"/>
              <w:rPr>
                <w:rFonts w:ascii="Times New Roman" w:hAnsi="Times New Roman"/>
                <w:b/>
              </w:rPr>
            </w:pPr>
            <w:r w:rsidRPr="00A55C95">
              <w:rPr>
                <w:rFonts w:ascii="Times New Roman" w:hAnsi="Times New Roman"/>
                <w:b/>
              </w:rPr>
              <w:t>Estimated Burden</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(A) Blind Trust Communications (Expedited Procedure for Securing Approval of Proposed Communications)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20 minutes per communication</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(B) Model Qualified Blind Trust Provisions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(C) Model Qualified Diversified Trust Provisions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(D) Model Qualified Diversified Trust Provisions (F</w:t>
            </w:r>
            <w:bookmarkStart w:id="0" w:name="QuickMark"/>
            <w:bookmarkEnd w:id="0"/>
            <w:r w:rsidRPr="00A55C95">
              <w:rPr>
                <w:rFonts w:ascii="Times New Roman" w:hAnsi="Times New Roman"/>
              </w:rPr>
              <w:t>or Use in the Case of Multiple Fiduciaries)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(E) Model Qualified Blind Trust Provisions (For Use in the Case of an Irrevocable Pre-Existing Trust)</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(F) Hybrid Version of the Model Qualified Diversified Trust Provisions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(G) Model Qualified Blind Trust Provisions (For Use in the Case of Multiple Fiduciaries)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(H) Model Qualified Diversified Trust Provisions (For Use in the Case of an Irrevocable Pre-Existing Trust)</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100 hours per model</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(I) Model Confidentiality Agreement Provisions (For Use in the Case of a Privately Owned Business)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2 hours per agreement</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(J) Model Confidentiality Agreement Provisions (For Use in the Case of Investment Management Activities)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2 hours per agreement</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b/>
              </w:rPr>
              <w:t>Model Trust Certificates</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b/>
              </w:rPr>
              <w:t>Estimated Burden</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(K) Certificate of Independence</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20 minutes per certificate</w:t>
            </w:r>
          </w:p>
        </w:tc>
      </w:tr>
      <w:tr w:rsidTr="00A55C95">
        <w:tblPrEx>
          <w:tblW w:w="0" w:type="auto"/>
          <w:tblLook w:val="04A0"/>
        </w:tblPrEx>
        <w:tc>
          <w:tcPr>
            <w:tcW w:w="6205"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(L) Certificate of Compliance</w:t>
            </w:r>
          </w:p>
        </w:tc>
        <w:tc>
          <w:tcPr>
            <w:tcW w:w="2340" w:type="dxa"/>
            <w:shd w:val="clear" w:color="auto" w:fill="auto"/>
            <w:vAlign w:val="bottom"/>
          </w:tcPr>
          <w:p w:rsidR="00A55C95" w:rsidRPr="00A55C95" w:rsidP="00A55C95">
            <w:pPr>
              <w:widowControl/>
              <w:spacing w:before="240"/>
              <w:rPr>
                <w:rFonts w:ascii="Times New Roman" w:hAnsi="Times New Roman"/>
              </w:rPr>
            </w:pPr>
            <w:r w:rsidRPr="00A55C95">
              <w:rPr>
                <w:rFonts w:ascii="Times New Roman" w:hAnsi="Times New Roman"/>
              </w:rPr>
              <w:t>20 minutes per certificate</w:t>
            </w:r>
          </w:p>
        </w:tc>
      </w:tr>
    </w:tbl>
    <w:p w:rsidR="00A55C95" w:rsidP="00A55C95">
      <w:pPr>
        <w:widowControl/>
        <w:spacing w:line="480" w:lineRule="auto"/>
        <w:ind w:firstLine="720"/>
        <w:rPr>
          <w:rFonts w:ascii="Times New Roman" w:hAnsi="Times New Roman"/>
        </w:rPr>
      </w:pPr>
    </w:p>
    <w:p w:rsidR="00492D7F" w:rsidRPr="00492D7F" w:rsidP="00492D7F">
      <w:pPr>
        <w:widowControl/>
        <w:spacing w:after="240" w:line="276" w:lineRule="auto"/>
        <w:ind w:firstLine="720"/>
        <w:rPr>
          <w:rFonts w:ascii="Times New Roman" w:hAnsi="Times New Roman"/>
        </w:rPr>
      </w:pPr>
      <w:r>
        <w:rPr>
          <w:rFonts w:ascii="Times New Roman" w:hAnsi="Times New Roman"/>
        </w:rPr>
        <w:t xml:space="preserve">OGE is submitting </w:t>
      </w:r>
      <w:r w:rsidRPr="00341A24">
        <w:rPr>
          <w:rFonts w:ascii="Times New Roman" w:hAnsi="Times New Roman"/>
        </w:rPr>
        <w:t xml:space="preserve">all </w:t>
      </w:r>
      <w:r>
        <w:rPr>
          <w:rFonts w:ascii="Times New Roman" w:hAnsi="Times New Roman"/>
        </w:rPr>
        <w:t>12</w:t>
      </w:r>
      <w:r w:rsidRPr="00341A24">
        <w:rPr>
          <w:rFonts w:ascii="Times New Roman" w:hAnsi="Times New Roman"/>
        </w:rPr>
        <w:t xml:space="preserve"> qualified trust model certificates and model documents described </w:t>
      </w:r>
      <w:r>
        <w:rPr>
          <w:rFonts w:ascii="Times New Roman" w:hAnsi="Times New Roman"/>
        </w:rPr>
        <w:t>above</w:t>
      </w:r>
      <w:r w:rsidRPr="00341A24">
        <w:rPr>
          <w:rFonts w:ascii="Times New Roman" w:hAnsi="Times New Roman"/>
        </w:rPr>
        <w:t xml:space="preserve"> (all of which are included under OMB paperwork control number 3209-0007) for a three-year extension of approval</w:t>
      </w:r>
      <w:r>
        <w:rPr>
          <w:rFonts w:ascii="Times New Roman" w:hAnsi="Times New Roman"/>
        </w:rPr>
        <w:t xml:space="preserve">. </w:t>
      </w:r>
      <w:r w:rsidRPr="00492D7F">
        <w:rPr>
          <w:rFonts w:ascii="Times New Roman" w:hAnsi="Times New Roman"/>
        </w:rPr>
        <w:t xml:space="preserve">In seeking an extension of approval, OGE is proposing several nonsubstantive changes to the 12 qualified trust certificates and model documents. </w:t>
      </w:r>
    </w:p>
    <w:p w:rsidR="00492D7F" w:rsidRPr="00492D7F" w:rsidP="00492D7F">
      <w:pPr>
        <w:widowControl/>
        <w:spacing w:after="240" w:line="276" w:lineRule="auto"/>
        <w:ind w:firstLine="720"/>
        <w:rPr>
          <w:rFonts w:ascii="Times New Roman" w:hAnsi="Times New Roman"/>
        </w:rPr>
      </w:pPr>
      <w:r w:rsidRPr="00492D7F">
        <w:rPr>
          <w:rFonts w:ascii="Times New Roman" w:hAnsi="Times New Roman"/>
        </w:rPr>
        <w:t xml:space="preserve">First, OGE proposes updating the dates in Document A (Blind Trust Communications) to make them more contemporary. </w:t>
      </w:r>
    </w:p>
    <w:p w:rsidR="00492D7F" w:rsidRPr="00492D7F" w:rsidP="00492D7F">
      <w:pPr>
        <w:widowControl/>
        <w:spacing w:after="240" w:line="276" w:lineRule="auto"/>
        <w:ind w:firstLine="720"/>
        <w:rPr>
          <w:rFonts w:ascii="Times New Roman" w:hAnsi="Times New Roman"/>
        </w:rPr>
      </w:pPr>
      <w:r w:rsidRPr="00492D7F">
        <w:rPr>
          <w:rFonts w:ascii="Times New Roman" w:hAnsi="Times New Roman"/>
        </w:rPr>
        <w:t>Second, OGE proposes replacing “OGE” and “the Office” with “the U.S. Office of Government Ethics” to make references to the agency consistent with that of the actual model trust language.</w:t>
      </w:r>
    </w:p>
    <w:p w:rsidR="00492D7F" w:rsidRPr="00492D7F" w:rsidP="00492D7F">
      <w:pPr>
        <w:widowControl/>
        <w:spacing w:after="240" w:line="276" w:lineRule="auto"/>
        <w:ind w:firstLine="720"/>
        <w:rPr>
          <w:rFonts w:ascii="Times New Roman" w:hAnsi="Times New Roman"/>
        </w:rPr>
      </w:pPr>
      <w:r w:rsidRPr="00492D7F">
        <w:rPr>
          <w:rFonts w:ascii="Times New Roman" w:hAnsi="Times New Roman"/>
        </w:rPr>
        <w:t>Third, OGE proposes replacing references to the Ethics in Government Act of 1978 as “the Ethics Act” with “the Act” in order to maintain consistency.</w:t>
      </w:r>
    </w:p>
    <w:p w:rsidR="00441090" w:rsidRPr="001063CF" w:rsidP="00492D7F">
      <w:pPr>
        <w:widowControl/>
        <w:spacing w:after="240" w:line="276" w:lineRule="auto"/>
        <w:ind w:firstLine="720"/>
        <w:rPr>
          <w:rFonts w:ascii="Times New Roman" w:hAnsi="Times New Roman"/>
        </w:rPr>
      </w:pPr>
      <w:r w:rsidRPr="00492D7F">
        <w:rPr>
          <w:rFonts w:ascii="Times New Roman" w:hAnsi="Times New Roman"/>
        </w:rPr>
        <w:t>Fourth, OGE proposes fixing a typo by removing the period (.) following the “NW” in OGE’s address.</w:t>
      </w:r>
      <w:r>
        <w:rPr>
          <w:rFonts w:ascii="Times New Roman" w:hAnsi="Times New Roman"/>
        </w:rPr>
        <w:t xml:space="preserve"> </w:t>
      </w:r>
    </w:p>
    <w:p w:rsidR="00A55C95" w:rsidP="00A55C95">
      <w:pPr>
        <w:widowControl/>
        <w:spacing w:after="240" w:line="276" w:lineRule="auto"/>
        <w:ind w:firstLine="720"/>
        <w:rPr>
          <w:rFonts w:ascii="Times New Roman" w:hAnsi="Times New Roman"/>
        </w:rPr>
      </w:pPr>
      <w:r w:rsidRPr="001063CF">
        <w:rPr>
          <w:rFonts w:ascii="Times New Roman" w:hAnsi="Times New Roman"/>
          <w:b/>
          <w:bCs/>
        </w:rPr>
        <w:t>3.</w:t>
      </w:r>
      <w:r w:rsidRPr="001063CF">
        <w:rPr>
          <w:rFonts w:ascii="Times New Roman" w:hAnsi="Times New Roman"/>
        </w:rPr>
        <w:t xml:space="preserve">  </w:t>
      </w:r>
      <w:r w:rsidRPr="00A55C95">
        <w:rPr>
          <w:rFonts w:ascii="Times New Roman" w:hAnsi="Times New Roman"/>
          <w:b/>
        </w:rPr>
        <w:t>Describe whether, and to what extent, the collection of information involves the use of automated, electronic, mechanical, or other technological collection techniques or other forms of information technology.</w:t>
      </w:r>
    </w:p>
    <w:p w:rsidR="009B5B16" w:rsidRPr="001063CF" w:rsidP="00A55C95">
      <w:pPr>
        <w:widowControl/>
        <w:spacing w:after="240" w:line="276" w:lineRule="auto"/>
        <w:ind w:firstLine="720"/>
        <w:rPr>
          <w:rFonts w:ascii="Times New Roman" w:hAnsi="Times New Roman"/>
        </w:rPr>
      </w:pPr>
      <w:r w:rsidRPr="001063CF">
        <w:rPr>
          <w:rFonts w:ascii="Times New Roman" w:hAnsi="Times New Roman"/>
        </w:rPr>
        <w:t>These</w:t>
      </w:r>
      <w:r w:rsidR="000F6582">
        <w:rPr>
          <w:rFonts w:ascii="Times New Roman" w:hAnsi="Times New Roman"/>
        </w:rPr>
        <w:t xml:space="preserve"> documents </w:t>
      </w:r>
      <w:r w:rsidRPr="001063CF">
        <w:rPr>
          <w:rFonts w:ascii="Times New Roman" w:hAnsi="Times New Roman"/>
        </w:rPr>
        <w:t>serve as model</w:t>
      </w:r>
      <w:r w:rsidR="000F6582">
        <w:rPr>
          <w:rFonts w:ascii="Times New Roman" w:hAnsi="Times New Roman"/>
        </w:rPr>
        <w:t xml:space="preserve">s </w:t>
      </w:r>
      <w:r w:rsidRPr="001063CF">
        <w:rPr>
          <w:rFonts w:ascii="Times New Roman" w:hAnsi="Times New Roman"/>
        </w:rPr>
        <w:t>and are redrafted and tailored by particular users. They are submitted to OGE in hardcopy</w:t>
      </w:r>
      <w:r w:rsidR="003F30AA">
        <w:rPr>
          <w:rFonts w:ascii="Times New Roman" w:hAnsi="Times New Roman"/>
        </w:rPr>
        <w:t xml:space="preserve"> or portable document format (PDF)</w:t>
      </w:r>
      <w:r w:rsidRPr="001063CF">
        <w:rPr>
          <w:rFonts w:ascii="Times New Roman" w:hAnsi="Times New Roman"/>
        </w:rPr>
        <w:t xml:space="preserve">.  </w:t>
      </w:r>
    </w:p>
    <w:p w:rsidR="000F6582" w:rsidP="00A55C95">
      <w:pPr>
        <w:widowControl/>
        <w:spacing w:after="240" w:line="276" w:lineRule="auto"/>
        <w:ind w:firstLine="720"/>
        <w:rPr>
          <w:rFonts w:ascii="Times New Roman" w:hAnsi="Times New Roman"/>
          <w:b/>
          <w:bCs/>
        </w:rPr>
      </w:pPr>
      <w:r w:rsidRPr="000F6582">
        <w:rPr>
          <w:rFonts w:ascii="Times New Roman" w:hAnsi="Times New Roman"/>
          <w:b/>
          <w:bCs/>
        </w:rPr>
        <w:t>4.  Describe efforts to identify duplication. Show specifically why any similar information already available cannot be used or modified for use for the purposes described in item 2 above.</w:t>
      </w:r>
    </w:p>
    <w:p w:rsidR="009B5B16" w:rsidRPr="001063CF" w:rsidP="00A55C95">
      <w:pPr>
        <w:widowControl/>
        <w:spacing w:after="240" w:line="276" w:lineRule="auto"/>
        <w:ind w:firstLine="720"/>
        <w:rPr>
          <w:rFonts w:ascii="Times New Roman" w:hAnsi="Times New Roman"/>
        </w:rPr>
      </w:pPr>
      <w:r>
        <w:rPr>
          <w:rFonts w:ascii="Times New Roman" w:hAnsi="Times New Roman"/>
          <w:bCs/>
        </w:rPr>
        <w:t xml:space="preserve">As the supervising ethics office for the executive branch, OGE would be aware of any duplication regarding these model documents. They are the only </w:t>
      </w:r>
      <w:r w:rsidRPr="001063CF">
        <w:rPr>
          <w:rFonts w:ascii="Times New Roman" w:hAnsi="Times New Roman"/>
        </w:rPr>
        <w:t xml:space="preserve">source of information concerning </w:t>
      </w:r>
      <w:r>
        <w:rPr>
          <w:rFonts w:ascii="Times New Roman" w:hAnsi="Times New Roman"/>
        </w:rPr>
        <w:t xml:space="preserve">executive branch </w:t>
      </w:r>
      <w:r w:rsidRPr="001063CF">
        <w:rPr>
          <w:rFonts w:ascii="Times New Roman" w:hAnsi="Times New Roman"/>
        </w:rPr>
        <w:t>officials</w:t>
      </w:r>
      <w:r>
        <w:rPr>
          <w:rFonts w:ascii="Times New Roman" w:hAnsi="Times New Roman"/>
        </w:rPr>
        <w:t>’</w:t>
      </w:r>
      <w:r w:rsidRPr="001063CF">
        <w:rPr>
          <w:rFonts w:ascii="Times New Roman" w:hAnsi="Times New Roman"/>
        </w:rPr>
        <w:t xml:space="preserve"> qualified trust interests for the purpose of </w:t>
      </w:r>
      <w:r>
        <w:rPr>
          <w:rFonts w:ascii="Times New Roman" w:hAnsi="Times New Roman"/>
        </w:rPr>
        <w:t>the reviewing and approving EIGA-qualified blind or diversified trusts</w:t>
      </w:r>
      <w:r w:rsidRPr="001063CF">
        <w:rPr>
          <w:rFonts w:ascii="Times New Roman" w:hAnsi="Times New Roman"/>
        </w:rPr>
        <w:t>.</w:t>
      </w:r>
    </w:p>
    <w:p w:rsidR="000F6582" w:rsidP="00A55C95">
      <w:pPr>
        <w:widowControl/>
        <w:spacing w:after="240" w:line="276" w:lineRule="auto"/>
        <w:ind w:firstLine="720"/>
        <w:rPr>
          <w:rFonts w:ascii="Times New Roman" w:hAnsi="Times New Roman"/>
          <w:b/>
          <w:bCs/>
        </w:rPr>
      </w:pPr>
      <w:r w:rsidRPr="000F6582">
        <w:rPr>
          <w:rFonts w:ascii="Times New Roman" w:hAnsi="Times New Roman"/>
          <w:b/>
          <w:bCs/>
        </w:rPr>
        <w:t>5.  If the collection of information impacts small businesses or other small entities, describe any methods used to minimize burden.</w:t>
      </w:r>
    </w:p>
    <w:p w:rsidR="009B5B16" w:rsidRPr="001063CF" w:rsidP="00A55C95">
      <w:pPr>
        <w:widowControl/>
        <w:spacing w:after="240" w:line="276" w:lineRule="auto"/>
        <w:ind w:firstLine="720"/>
        <w:rPr>
          <w:rFonts w:ascii="Times New Roman" w:hAnsi="Times New Roman"/>
        </w:rPr>
      </w:pPr>
      <w:r w:rsidRPr="001063CF">
        <w:rPr>
          <w:rFonts w:ascii="Times New Roman" w:hAnsi="Times New Roman"/>
        </w:rPr>
        <w:t xml:space="preserve">These documents do not have a significant impact </w:t>
      </w:r>
      <w:r w:rsidR="005455C5">
        <w:rPr>
          <w:rFonts w:ascii="Times New Roman" w:hAnsi="Times New Roman"/>
        </w:rPr>
        <w:t xml:space="preserve">upon </w:t>
      </w:r>
      <w:r w:rsidRPr="001063CF">
        <w:rPr>
          <w:rFonts w:ascii="Times New Roman" w:hAnsi="Times New Roman"/>
        </w:rPr>
        <w:t>small businesses or other small entities.</w:t>
      </w:r>
    </w:p>
    <w:p w:rsidR="000F6582" w:rsidP="00A55C95">
      <w:pPr>
        <w:widowControl/>
        <w:spacing w:after="240" w:line="276" w:lineRule="auto"/>
        <w:ind w:firstLine="720"/>
        <w:rPr>
          <w:rFonts w:ascii="Times New Roman" w:hAnsi="Times New Roman"/>
          <w:b/>
          <w:bCs/>
        </w:rPr>
      </w:pPr>
      <w:r w:rsidRPr="000F6582">
        <w:rPr>
          <w:rFonts w:ascii="Times New Roman" w:hAnsi="Times New Roman"/>
          <w:b/>
          <w:bCs/>
        </w:rPr>
        <w:t>6.  Describe the consequence to Federal program or policy activities if the collection is not conducted or is conducted less frequently, as well as any technical or legal obstacles to reducing the burden.</w:t>
      </w:r>
    </w:p>
    <w:p w:rsidR="009B5B16" w:rsidRPr="001063CF" w:rsidP="00A55C95">
      <w:pPr>
        <w:widowControl/>
        <w:spacing w:after="240" w:line="276" w:lineRule="auto"/>
        <w:ind w:firstLine="720"/>
        <w:rPr>
          <w:rFonts w:ascii="Times New Roman" w:hAnsi="Times New Roman"/>
        </w:rPr>
      </w:pPr>
      <w:r>
        <w:rPr>
          <w:rFonts w:ascii="Times New Roman" w:hAnsi="Times New Roman"/>
        </w:rPr>
        <w:t>All of the information</w:t>
      </w:r>
      <w:r w:rsidRPr="001063CF">
        <w:rPr>
          <w:rFonts w:ascii="Times New Roman" w:hAnsi="Times New Roman"/>
        </w:rPr>
        <w:t xml:space="preserve"> is mandated by law or </w:t>
      </w:r>
      <w:r>
        <w:rPr>
          <w:rFonts w:ascii="Times New Roman" w:hAnsi="Times New Roman"/>
        </w:rPr>
        <w:t>by</w:t>
      </w:r>
      <w:r w:rsidRPr="001063CF">
        <w:rPr>
          <w:rFonts w:ascii="Times New Roman" w:hAnsi="Times New Roman"/>
        </w:rPr>
        <w:t xml:space="preserve"> OGE regulation and is necessary for proper reporting and review of qualified trust arrangements. See also item</w:t>
      </w:r>
      <w:r>
        <w:rPr>
          <w:rFonts w:ascii="Times New Roman" w:hAnsi="Times New Roman"/>
        </w:rPr>
        <w:t>s 1</w:t>
      </w:r>
      <w:r w:rsidRPr="001063CF">
        <w:rPr>
          <w:rFonts w:ascii="Times New Roman" w:hAnsi="Times New Roman"/>
        </w:rPr>
        <w:t>-2</w:t>
      </w:r>
      <w:r>
        <w:rPr>
          <w:rFonts w:ascii="Times New Roman" w:hAnsi="Times New Roman"/>
        </w:rPr>
        <w:t>,</w:t>
      </w:r>
      <w:r w:rsidRPr="001063CF">
        <w:rPr>
          <w:rFonts w:ascii="Times New Roman" w:hAnsi="Times New Roman"/>
        </w:rPr>
        <w:t xml:space="preserve"> above.</w:t>
      </w:r>
    </w:p>
    <w:p w:rsidR="000F6582" w:rsidRPr="000F6582" w:rsidP="000F6582">
      <w:pPr>
        <w:widowControl/>
        <w:spacing w:after="240" w:line="276" w:lineRule="auto"/>
        <w:ind w:firstLine="720"/>
        <w:rPr>
          <w:rFonts w:ascii="Times New Roman" w:hAnsi="Times New Roman"/>
          <w:b/>
          <w:bCs/>
        </w:rPr>
      </w:pPr>
      <w:r w:rsidRPr="000F6582">
        <w:rPr>
          <w:rFonts w:ascii="Times New Roman" w:hAnsi="Times New Roman"/>
          <w:b/>
          <w:bCs/>
        </w:rPr>
        <w:t>7.  Explain any special circumstances that would cause an information collection to be conducted in a manner:</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Requiring respondents to report information to the agency more often than quarterly;</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Requiring respondents to prepare a written response to a collection of information in fewer than 30 days after receipt of it;</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Requiring respondents to submit more than an original and two copies of any document;</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Requiring respondents to retain records, other than health, medical, government contract, grant-in-aid, or tax records, for more than 3 years;</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In connection with a statistical survey, that is not designed to produce valid and reliable results that can be generalized to the universe of study;</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Requiring the use of a statistical data classification that has not been reviewed and approved by OMB; </w:t>
      </w:r>
    </w:p>
    <w:p w:rsidR="000F6582" w:rsidRPr="000F6582" w:rsidP="00441090">
      <w:pPr>
        <w:widowControl/>
        <w:spacing w:after="240" w:line="276" w:lineRule="auto"/>
        <w:ind w:left="720" w:firstLine="720"/>
        <w:rPr>
          <w:rFonts w:ascii="Times New Roman" w:hAnsi="Times New Roman"/>
          <w:b/>
          <w:bCs/>
        </w:rPr>
      </w:pPr>
      <w:r w:rsidRPr="000F6582">
        <w:rPr>
          <w:rFonts w:ascii="Times New Roman" w:hAnsi="Times New Roman"/>
          <w:b/>
          <w:bCs/>
        </w:rPr>
        <w:t>•</w:t>
      </w:r>
      <w:r w:rsidRPr="000F6582">
        <w:rPr>
          <w:rFonts w:ascii="Times New Roman" w:hAnsi="Times New Roman"/>
          <w:b/>
          <w:bCs/>
        </w:rPr>
        <w:tab/>
        <w:t xml:space="preserve">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 </w:t>
      </w:r>
    </w:p>
    <w:p w:rsidR="000F6582" w:rsidP="00441090">
      <w:pPr>
        <w:widowControl/>
        <w:spacing w:after="240" w:line="276" w:lineRule="auto"/>
        <w:ind w:left="720" w:firstLine="720"/>
        <w:rPr>
          <w:rFonts w:ascii="Times New Roman" w:hAnsi="Times New Roman"/>
        </w:rPr>
      </w:pPr>
      <w:r w:rsidRPr="000F6582">
        <w:rPr>
          <w:rFonts w:ascii="Times New Roman" w:hAnsi="Times New Roman"/>
          <w:b/>
          <w:bCs/>
        </w:rPr>
        <w:t>•</w:t>
      </w:r>
      <w:r w:rsidRPr="000F6582">
        <w:rPr>
          <w:rFonts w:ascii="Times New Roman" w:hAnsi="Times New Roman"/>
          <w:b/>
          <w:bCs/>
        </w:rPr>
        <w:tab/>
        <w:t>Requiring respondents to submit proprietary trade secrets or other confidential information unless the agency can demonstrate that it has instituted procedures to protect the information's confidentiality to the extent permitted by law.</w:t>
      </w:r>
      <w:r w:rsidRPr="001063CF" w:rsidR="009B5B16">
        <w:rPr>
          <w:rFonts w:ascii="Times New Roman" w:hAnsi="Times New Roman"/>
        </w:rPr>
        <w:t xml:space="preserve"> </w:t>
      </w:r>
    </w:p>
    <w:p w:rsidR="009B5B16" w:rsidRPr="001063CF" w:rsidP="000F6582">
      <w:pPr>
        <w:widowControl/>
        <w:spacing w:after="240" w:line="276" w:lineRule="auto"/>
        <w:ind w:firstLine="720"/>
        <w:rPr>
          <w:rFonts w:ascii="Times New Roman" w:hAnsi="Times New Roman"/>
        </w:rPr>
      </w:pPr>
      <w:r w:rsidRPr="001063CF">
        <w:rPr>
          <w:rFonts w:ascii="Times New Roman" w:hAnsi="Times New Roman"/>
        </w:rPr>
        <w:t xml:space="preserve">No </w:t>
      </w:r>
      <w:r w:rsidR="00441090">
        <w:rPr>
          <w:rFonts w:ascii="Times New Roman" w:hAnsi="Times New Roman"/>
        </w:rPr>
        <w:t xml:space="preserve">such </w:t>
      </w:r>
      <w:r w:rsidRPr="001063CF">
        <w:rPr>
          <w:rFonts w:ascii="Times New Roman" w:hAnsi="Times New Roman"/>
        </w:rPr>
        <w:t>special circumstances exist.</w:t>
      </w:r>
    </w:p>
    <w:p w:rsidR="00441090" w:rsidP="00A55C95">
      <w:pPr>
        <w:widowControl/>
        <w:spacing w:after="240" w:line="276" w:lineRule="auto"/>
        <w:ind w:firstLine="720"/>
        <w:rPr>
          <w:rFonts w:ascii="Times New Roman" w:hAnsi="Times New Roman"/>
        </w:rPr>
      </w:pPr>
      <w:r w:rsidRPr="00441090">
        <w:rPr>
          <w:rFonts w:ascii="Times New Roman" w:hAnsi="Times New Roman"/>
          <w:b/>
          <w:bCs/>
        </w:rPr>
        <w:t xml:space="preserve">8.  If applicable, provide a copy and identify the date and page number of publication in the </w:t>
      </w:r>
      <w:r w:rsidRPr="00441090">
        <w:rPr>
          <w:rFonts w:ascii="Times New Roman" w:hAnsi="Times New Roman"/>
          <w:b/>
          <w:bCs/>
          <w:i/>
        </w:rPr>
        <w:t>Federal Register</w:t>
      </w:r>
      <w:r w:rsidRPr="00441090">
        <w:rPr>
          <w:rFonts w:ascii="Times New Roman" w:hAnsi="Times New Roman"/>
          <w:b/>
          <w:bCs/>
        </w:rPr>
        <w:t xml:space="preserve"> of the agency's notice, required by 5 CFR 1320.8(d), soliciting comments on the information collection prior to submission to OMB.</w:t>
      </w:r>
      <w:r w:rsidRPr="001063CF" w:rsidR="009B5B16">
        <w:rPr>
          <w:rFonts w:ascii="Times New Roman" w:hAnsi="Times New Roman"/>
        </w:rPr>
        <w:t xml:space="preserve"> </w:t>
      </w:r>
    </w:p>
    <w:p w:rsidR="00492D7F" w:rsidP="00A55C95">
      <w:pPr>
        <w:widowControl/>
        <w:spacing w:after="240" w:line="276" w:lineRule="auto"/>
        <w:ind w:firstLine="720"/>
        <w:rPr>
          <w:rFonts w:ascii="Times New Roman" w:hAnsi="Times New Roman"/>
        </w:rPr>
      </w:pPr>
      <w:r w:rsidRPr="00492D7F">
        <w:rPr>
          <w:rFonts w:ascii="Times New Roman" w:hAnsi="Times New Roman"/>
        </w:rPr>
        <w:t>A Federal Register Notice with a 60-day comment period soliciting comments on this information collection was published on July 22, 2022 (87 FR 43855). OGE did not receive any comments in response.</w:t>
      </w:r>
    </w:p>
    <w:p w:rsidR="00F74A1C" w:rsidP="00A55C95">
      <w:pPr>
        <w:widowControl/>
        <w:spacing w:after="240" w:line="276" w:lineRule="auto"/>
        <w:ind w:firstLine="720"/>
        <w:rPr>
          <w:rFonts w:ascii="Times New Roman" w:hAnsi="Times New Roman"/>
        </w:rPr>
      </w:pPr>
      <w:r w:rsidRPr="001063CF">
        <w:rPr>
          <w:rFonts w:ascii="Times New Roman" w:hAnsi="Times New Roman"/>
        </w:rPr>
        <w:t>OGE again s</w:t>
      </w:r>
      <w:r w:rsidR="00DF1C4F">
        <w:rPr>
          <w:rFonts w:ascii="Times New Roman" w:hAnsi="Times New Roman"/>
        </w:rPr>
        <w:t>ought</w:t>
      </w:r>
      <w:r w:rsidRPr="001063CF">
        <w:rPr>
          <w:rFonts w:ascii="Times New Roman" w:hAnsi="Times New Roman"/>
        </w:rPr>
        <w:t xml:space="preserve"> public comment in the second round </w:t>
      </w:r>
      <w:r w:rsidRPr="00465149">
        <w:rPr>
          <w:rFonts w:ascii="Times New Roman" w:hAnsi="Times New Roman"/>
          <w:i/>
        </w:rPr>
        <w:t>Federal Register</w:t>
      </w:r>
      <w:r w:rsidRPr="001063CF">
        <w:rPr>
          <w:rFonts w:ascii="Times New Roman" w:hAnsi="Times New Roman"/>
        </w:rPr>
        <w:t xml:space="preserve"> notice</w:t>
      </w:r>
      <w:r w:rsidR="00441090">
        <w:rPr>
          <w:rFonts w:ascii="Times New Roman" w:hAnsi="Times New Roman"/>
        </w:rPr>
        <w:t xml:space="preserve"> on </w:t>
      </w:r>
      <w:r w:rsidR="00492D7F">
        <w:rPr>
          <w:rFonts w:ascii="Times New Roman" w:hAnsi="Times New Roman"/>
        </w:rPr>
        <w:t xml:space="preserve">October </w:t>
      </w:r>
      <w:r w:rsidR="00F37ADB">
        <w:rPr>
          <w:rFonts w:ascii="Times New Roman" w:hAnsi="Times New Roman"/>
        </w:rPr>
        <w:t>18</w:t>
      </w:r>
      <w:r w:rsidR="00A773B9">
        <w:rPr>
          <w:rFonts w:ascii="Times New Roman" w:hAnsi="Times New Roman"/>
        </w:rPr>
        <w:t>, 20</w:t>
      </w:r>
      <w:r w:rsidR="00492D7F">
        <w:rPr>
          <w:rFonts w:ascii="Times New Roman" w:hAnsi="Times New Roman"/>
        </w:rPr>
        <w:t>22</w:t>
      </w:r>
      <w:r w:rsidR="004C61DB">
        <w:rPr>
          <w:rFonts w:ascii="Times New Roman" w:hAnsi="Times New Roman"/>
        </w:rPr>
        <w:t xml:space="preserve">. See </w:t>
      </w:r>
      <w:r w:rsidR="00F37ADB">
        <w:rPr>
          <w:rFonts w:ascii="Times New Roman" w:hAnsi="Times New Roman"/>
        </w:rPr>
        <w:t>87</w:t>
      </w:r>
      <w:r w:rsidR="004147FE">
        <w:rPr>
          <w:rFonts w:ascii="Times New Roman" w:hAnsi="Times New Roman"/>
        </w:rPr>
        <w:t> </w:t>
      </w:r>
      <w:r w:rsidR="004C61DB">
        <w:rPr>
          <w:rFonts w:ascii="Times New Roman" w:hAnsi="Times New Roman"/>
        </w:rPr>
        <w:t>FR</w:t>
      </w:r>
      <w:r w:rsidR="00A773B9">
        <w:rPr>
          <w:rFonts w:ascii="Times New Roman" w:hAnsi="Times New Roman"/>
        </w:rPr>
        <w:t xml:space="preserve"> </w:t>
      </w:r>
      <w:r w:rsidR="00F37ADB">
        <w:rPr>
          <w:rFonts w:ascii="Times New Roman" w:hAnsi="Times New Roman"/>
        </w:rPr>
        <w:t>63073</w:t>
      </w:r>
      <w:bookmarkStart w:id="1" w:name="_GoBack"/>
      <w:bookmarkEnd w:id="1"/>
      <w:r w:rsidR="00014CF4">
        <w:rPr>
          <w:rFonts w:ascii="Times New Roman" w:hAnsi="Times New Roman"/>
        </w:rPr>
        <w:t>.</w:t>
      </w:r>
      <w:r w:rsidR="00DF1C4F">
        <w:rPr>
          <w:rFonts w:ascii="Times New Roman" w:hAnsi="Times New Roman"/>
        </w:rPr>
        <w:t xml:space="preserve"> </w:t>
      </w:r>
      <w:r w:rsidR="00441090">
        <w:rPr>
          <w:rFonts w:ascii="Times New Roman" w:hAnsi="Times New Roman"/>
        </w:rPr>
        <w:t>Commenters were directed to send comments directly to OMB.</w:t>
      </w:r>
    </w:p>
    <w:p w:rsidR="00441090" w:rsidP="00A55C95">
      <w:pPr>
        <w:widowControl/>
        <w:spacing w:after="240" w:line="276" w:lineRule="auto"/>
        <w:ind w:firstLine="720"/>
        <w:rPr>
          <w:rFonts w:ascii="Times New Roman" w:hAnsi="Times New Roman"/>
        </w:rPr>
      </w:pPr>
      <w:r w:rsidRPr="00441090">
        <w:rPr>
          <w:rFonts w:ascii="Times New Roman" w:hAnsi="Times New Roman"/>
        </w:rPr>
        <w:t xml:space="preserve">OGE continually seeks comments from persons outside the agency concerning the impact of its information collection instruments upon filers and agency ethics programs. OGE provides opportunities for comment at ethics symposia and other events. OGE routinely alerts professionals in the ethics community to recently published OGE </w:t>
      </w:r>
      <w:r w:rsidRPr="00441090">
        <w:rPr>
          <w:rFonts w:ascii="Times New Roman" w:hAnsi="Times New Roman"/>
          <w:i/>
        </w:rPr>
        <w:t>Federal Register</w:t>
      </w:r>
      <w:r w:rsidRPr="00441090">
        <w:rPr>
          <w:rFonts w:ascii="Times New Roman" w:hAnsi="Times New Roman"/>
        </w:rPr>
        <w:t xml:space="preserve"> notices via its listserv, various social media applications, and Advisory </w:t>
      </w:r>
      <w:r>
        <w:rPr>
          <w:rFonts w:ascii="Times New Roman" w:hAnsi="Times New Roman"/>
        </w:rPr>
        <w:t>Memoranda. Visitors to the OGE w</w:t>
      </w:r>
      <w:r w:rsidRPr="00441090">
        <w:rPr>
          <w:rFonts w:ascii="Times New Roman" w:hAnsi="Times New Roman"/>
        </w:rPr>
        <w:t xml:space="preserve">ebsite are provided the opportunity to contact OGE with comments or suggestions. Any </w:t>
      </w:r>
      <w:r>
        <w:rPr>
          <w:rFonts w:ascii="Times New Roman" w:hAnsi="Times New Roman"/>
        </w:rPr>
        <w:t xml:space="preserve">future </w:t>
      </w:r>
      <w:r w:rsidRPr="00441090">
        <w:rPr>
          <w:rFonts w:ascii="Times New Roman" w:hAnsi="Times New Roman"/>
        </w:rPr>
        <w:t xml:space="preserve">comments received by OGE as a result of these various means will be considered for </w:t>
      </w:r>
      <w:r>
        <w:rPr>
          <w:rFonts w:ascii="Times New Roman" w:hAnsi="Times New Roman"/>
        </w:rPr>
        <w:t>a future modification.</w:t>
      </w:r>
    </w:p>
    <w:p w:rsidR="00441090" w:rsidP="00A55C95">
      <w:pPr>
        <w:widowControl/>
        <w:spacing w:after="240" w:line="276" w:lineRule="auto"/>
        <w:ind w:firstLine="720"/>
        <w:rPr>
          <w:rFonts w:ascii="Times New Roman" w:hAnsi="Times New Roman"/>
        </w:rPr>
      </w:pPr>
      <w:r w:rsidRPr="00441090">
        <w:rPr>
          <w:rFonts w:ascii="Times New Roman" w:hAnsi="Times New Roman"/>
          <w:b/>
          <w:bCs/>
        </w:rPr>
        <w:t>9.  Explain any decision to provide any payment or gift to respondents, other than remuneration of contractors or grantees.</w:t>
      </w:r>
      <w:r w:rsidRPr="001063CF" w:rsidR="009B5B16">
        <w:rPr>
          <w:rFonts w:ascii="Times New Roman" w:hAnsi="Times New Roman"/>
        </w:rPr>
        <w:t xml:space="preserve"> </w:t>
      </w:r>
    </w:p>
    <w:p w:rsidR="009B5B16" w:rsidP="00A55C95">
      <w:pPr>
        <w:widowControl/>
        <w:spacing w:after="240" w:line="276" w:lineRule="auto"/>
        <w:ind w:firstLine="720"/>
        <w:rPr>
          <w:rFonts w:ascii="Times New Roman" w:hAnsi="Times New Roman"/>
        </w:rPr>
      </w:pPr>
      <w:r w:rsidRPr="001063CF">
        <w:rPr>
          <w:rFonts w:ascii="Times New Roman" w:hAnsi="Times New Roman"/>
        </w:rPr>
        <w:t>Not applicable.</w:t>
      </w:r>
    </w:p>
    <w:p w:rsidR="00441090" w:rsidP="00A55C95">
      <w:pPr>
        <w:widowControl/>
        <w:spacing w:after="240" w:line="276" w:lineRule="auto"/>
        <w:ind w:firstLine="720"/>
        <w:rPr>
          <w:rFonts w:ascii="Times New Roman" w:hAnsi="Times New Roman"/>
          <w:b/>
          <w:bCs/>
        </w:rPr>
      </w:pPr>
      <w:r w:rsidRPr="00441090">
        <w:rPr>
          <w:rFonts w:ascii="Times New Roman" w:hAnsi="Times New Roman"/>
          <w:b/>
          <w:bCs/>
        </w:rPr>
        <w:t>10.  Describe any assurance of confidentiality provided to respondents and the basis for the assurance in statute, regulation, or agency policy.</w:t>
      </w:r>
    </w:p>
    <w:p w:rsidR="009B5B16" w:rsidP="00A55C95">
      <w:pPr>
        <w:widowControl/>
        <w:spacing w:after="240" w:line="276" w:lineRule="auto"/>
        <w:ind w:firstLine="720"/>
        <w:rPr>
          <w:rFonts w:ascii="Times New Roman" w:hAnsi="Times New Roman"/>
        </w:rPr>
      </w:pPr>
      <w:r>
        <w:rPr>
          <w:rFonts w:ascii="Times New Roman" w:hAnsi="Times New Roman"/>
        </w:rPr>
        <w:t xml:space="preserve">Not applicable. </w:t>
      </w:r>
    </w:p>
    <w:p w:rsidR="0070745D" w:rsidP="00A55C95">
      <w:pPr>
        <w:widowControl/>
        <w:spacing w:after="240" w:line="276" w:lineRule="auto"/>
        <w:ind w:firstLine="720"/>
        <w:rPr>
          <w:rFonts w:ascii="Times New Roman" w:hAnsi="Times New Roman"/>
          <w:b/>
          <w:bCs/>
        </w:rPr>
      </w:pPr>
      <w:r w:rsidRPr="0070745D">
        <w:rPr>
          <w:rFonts w:ascii="Times New Roman" w:hAnsi="Times New Roman"/>
          <w:b/>
          <w:bCs/>
        </w:rPr>
        <w:t>11.  Provide additional justification for any questions of a sensitive nature, such as sexual behavior and attitudes, religious beliefs, and other matters that are commonly considered private.</w:t>
      </w:r>
    </w:p>
    <w:p w:rsidR="008E2980" w:rsidRPr="001063CF" w:rsidP="00A55C95">
      <w:pPr>
        <w:widowControl/>
        <w:spacing w:after="240" w:line="276" w:lineRule="auto"/>
        <w:ind w:firstLine="720"/>
        <w:rPr>
          <w:rFonts w:ascii="Times New Roman" w:hAnsi="Times New Roman"/>
        </w:rPr>
      </w:pPr>
      <w:r w:rsidRPr="001063CF">
        <w:rPr>
          <w:rFonts w:ascii="Times New Roman" w:hAnsi="Times New Roman"/>
        </w:rPr>
        <w:t xml:space="preserve">There are no sensitive questions on these documents. </w:t>
      </w:r>
      <w:r w:rsidR="0070745D">
        <w:rPr>
          <w:rFonts w:ascii="Times New Roman" w:hAnsi="Times New Roman"/>
        </w:rPr>
        <w:t>All of the information</w:t>
      </w:r>
      <w:r w:rsidRPr="001063CF" w:rsidR="0070745D">
        <w:rPr>
          <w:rFonts w:ascii="Times New Roman" w:hAnsi="Times New Roman"/>
        </w:rPr>
        <w:t xml:space="preserve"> is mandated by law or </w:t>
      </w:r>
      <w:r w:rsidR="0070745D">
        <w:rPr>
          <w:rFonts w:ascii="Times New Roman" w:hAnsi="Times New Roman"/>
        </w:rPr>
        <w:t>by</w:t>
      </w:r>
      <w:r w:rsidRPr="001063CF" w:rsidR="0070745D">
        <w:rPr>
          <w:rFonts w:ascii="Times New Roman" w:hAnsi="Times New Roman"/>
        </w:rPr>
        <w:t xml:space="preserve"> OGE regulation and is necessary for proper reporting and review of qualified trust arrangements.</w:t>
      </w:r>
    </w:p>
    <w:p w:rsidR="00713687" w:rsidP="007042E1">
      <w:pPr>
        <w:widowControl/>
        <w:spacing w:after="240" w:line="276" w:lineRule="auto"/>
        <w:ind w:firstLine="720"/>
        <w:rPr>
          <w:rFonts w:ascii="Times New Roman" w:hAnsi="Times New Roman"/>
          <w:b/>
          <w:bCs/>
        </w:rPr>
      </w:pPr>
      <w:r w:rsidRPr="00713687">
        <w:rPr>
          <w:rFonts w:ascii="Times New Roman" w:hAnsi="Times New Roman"/>
          <w:b/>
          <w:bCs/>
        </w:rPr>
        <w:t>12.</w:t>
      </w:r>
      <w:r w:rsidR="007042E1">
        <w:rPr>
          <w:rFonts w:ascii="Times New Roman" w:hAnsi="Times New Roman"/>
          <w:b/>
          <w:bCs/>
        </w:rPr>
        <w:t>-13.</w:t>
      </w:r>
      <w:r w:rsidRPr="00713687">
        <w:rPr>
          <w:rFonts w:ascii="Times New Roman" w:hAnsi="Times New Roman"/>
          <w:b/>
          <w:bCs/>
        </w:rPr>
        <w:t xml:space="preserve">  Provide estimates of the hour burden of the collection of information.</w:t>
      </w:r>
      <w:r w:rsidR="007042E1">
        <w:rPr>
          <w:rFonts w:ascii="Times New Roman" w:hAnsi="Times New Roman"/>
          <w:b/>
          <w:bCs/>
        </w:rPr>
        <w:t xml:space="preserve"> </w:t>
      </w:r>
      <w:r w:rsidRPr="007042E1" w:rsidR="007042E1">
        <w:rPr>
          <w:rFonts w:ascii="Times New Roman" w:hAnsi="Times New Roman"/>
          <w:b/>
          <w:bCs/>
        </w:rPr>
        <w:t>Provide an estimate for the total annual cost burden to respondents or record-keepers resulting from the collection of information.</w:t>
      </w:r>
    </w:p>
    <w:p w:rsidR="007042E1" w:rsidP="007042E1">
      <w:pPr>
        <w:widowControl/>
        <w:spacing w:after="240" w:line="276" w:lineRule="auto"/>
        <w:ind w:firstLine="720"/>
        <w:rPr>
          <w:rFonts w:ascii="Times New Roman" w:hAnsi="Times New Roman"/>
        </w:rPr>
      </w:pPr>
      <w:r>
        <w:rPr>
          <w:rFonts w:ascii="Times New Roman" w:hAnsi="Times New Roman"/>
        </w:rPr>
        <w:t>The estimated burden for each document is provided in the table above, in response to items 1-2. T</w:t>
      </w:r>
      <w:r w:rsidRPr="00341A24">
        <w:rPr>
          <w:rFonts w:ascii="Times New Roman" w:hAnsi="Times New Roman"/>
        </w:rPr>
        <w:t>he</w:t>
      </w:r>
      <w:r>
        <w:rPr>
          <w:rFonts w:ascii="Times New Roman" w:hAnsi="Times New Roman"/>
        </w:rPr>
        <w:t>se</w:t>
      </w:r>
      <w:r w:rsidRPr="00341A24">
        <w:rPr>
          <w:rFonts w:ascii="Times New Roman" w:hAnsi="Times New Roman"/>
        </w:rPr>
        <w:t xml:space="preserve"> estimate</w:t>
      </w:r>
      <w:r>
        <w:rPr>
          <w:rFonts w:ascii="Times New Roman" w:hAnsi="Times New Roman"/>
        </w:rPr>
        <w:t>s are</w:t>
      </w:r>
      <w:r w:rsidRPr="00341A24">
        <w:rPr>
          <w:rFonts w:ascii="Times New Roman" w:hAnsi="Times New Roman"/>
        </w:rPr>
        <w:t xml:space="preserve"> based on the amount of time imposed on </w:t>
      </w:r>
      <w:r>
        <w:rPr>
          <w:rFonts w:ascii="Times New Roman" w:hAnsi="Times New Roman"/>
        </w:rPr>
        <w:t xml:space="preserve">professional </w:t>
      </w:r>
      <w:r w:rsidRPr="00341A24">
        <w:rPr>
          <w:rFonts w:ascii="Times New Roman" w:hAnsi="Times New Roman"/>
        </w:rPr>
        <w:t>trust administra</w:t>
      </w:r>
      <w:r>
        <w:rPr>
          <w:rFonts w:ascii="Times New Roman" w:hAnsi="Times New Roman"/>
        </w:rPr>
        <w:t>tors or private representatives. OGE notes that only one set of the various model trust provisions (items (B) through (H)) will be prepared for a single qualified trust, and only prior to the establishment of that qualified trust. Likewise, other model documents listed above are used in connection with establishing the qualified trust (items (I), (J), and (K)). The remaining model documents are used after the trust’s creation (items (A) and (L)). Accordingly, OGE notes that the majority of the time burden for any given trust is imposed during the creation of the trust.</w:t>
      </w:r>
    </w:p>
    <w:p w:rsidR="007042E1" w:rsidP="007042E1">
      <w:pPr>
        <w:widowControl/>
        <w:spacing w:after="240" w:line="276" w:lineRule="auto"/>
        <w:ind w:firstLine="720"/>
        <w:rPr>
          <w:rFonts w:ascii="Times New Roman" w:hAnsi="Times New Roman"/>
        </w:rPr>
      </w:pPr>
      <w:r w:rsidRPr="00341A24">
        <w:rPr>
          <w:rFonts w:ascii="Times New Roman" w:hAnsi="Times New Roman"/>
        </w:rPr>
        <w:t xml:space="preserve">At the present time, there are no </w:t>
      </w:r>
      <w:r>
        <w:rPr>
          <w:rFonts w:ascii="Times New Roman" w:hAnsi="Times New Roman"/>
        </w:rPr>
        <w:t xml:space="preserve">active qualified trusts in the executive branch. However, OGE anticipates possible limited use of these model documents </w:t>
      </w:r>
      <w:r w:rsidRPr="00EF0F99">
        <w:rPr>
          <w:rFonts w:ascii="Times New Roman" w:hAnsi="Times New Roman"/>
        </w:rPr>
        <w:t>during the forthcoming three-year</w:t>
      </w:r>
      <w:r>
        <w:rPr>
          <w:rFonts w:ascii="Times New Roman" w:hAnsi="Times New Roman"/>
        </w:rPr>
        <w:t xml:space="preserve"> period</w:t>
      </w:r>
      <w:r w:rsidRPr="00EF0F99">
        <w:rPr>
          <w:rFonts w:ascii="Times New Roman" w:hAnsi="Times New Roman"/>
        </w:rPr>
        <w:t>.</w:t>
      </w:r>
      <w:r>
        <w:rPr>
          <w:rFonts w:ascii="Times New Roman" w:hAnsi="Times New Roman"/>
        </w:rPr>
        <w:t xml:space="preserve"> OGE estimates that there may be an average of one individual per year who initiates a qualified trust using these model documents during calendar years 202</w:t>
      </w:r>
      <w:r w:rsidR="00492D7F">
        <w:rPr>
          <w:rFonts w:ascii="Times New Roman" w:hAnsi="Times New Roman"/>
        </w:rPr>
        <w:t>3</w:t>
      </w:r>
      <w:r>
        <w:rPr>
          <w:rFonts w:ascii="Times New Roman" w:hAnsi="Times New Roman"/>
        </w:rPr>
        <w:t xml:space="preserve"> through 202</w:t>
      </w:r>
      <w:r w:rsidR="00492D7F">
        <w:rPr>
          <w:rFonts w:ascii="Times New Roman" w:hAnsi="Times New Roman"/>
        </w:rPr>
        <w:t>5</w:t>
      </w:r>
      <w:r>
        <w:rPr>
          <w:rFonts w:ascii="Times New Roman" w:hAnsi="Times New Roman"/>
        </w:rPr>
        <w:t xml:space="preserve">. OGE has accordingly estimated the average annual number of respondents to be two, which represents one respondent establishing a qualified trust and one respondent maintaining a previously established qualified trust. Based on the above, OGE estimates an average annual time burden during the next three years of 120 hours. Using an estimated rate of $300 per hour for the services of a professional </w:t>
      </w:r>
      <w:r w:rsidRPr="00341A24">
        <w:rPr>
          <w:rFonts w:ascii="Times New Roman" w:hAnsi="Times New Roman"/>
        </w:rPr>
        <w:t>trust administra</w:t>
      </w:r>
      <w:r>
        <w:rPr>
          <w:rFonts w:ascii="Times New Roman" w:hAnsi="Times New Roman"/>
        </w:rPr>
        <w:t xml:space="preserve">tor or private representative, the estimated annual cost burden is $36,000. </w:t>
      </w:r>
    </w:p>
    <w:p w:rsidR="009B5B16" w:rsidRPr="001063CF" w:rsidP="007042E1">
      <w:pPr>
        <w:widowControl/>
        <w:spacing w:after="240" w:line="276" w:lineRule="auto"/>
        <w:ind w:firstLine="720"/>
        <w:rPr>
          <w:rFonts w:ascii="Times New Roman" w:hAnsi="Times New Roman"/>
        </w:rPr>
      </w:pPr>
      <w:r>
        <w:rPr>
          <w:rFonts w:ascii="Times New Roman" w:hAnsi="Times New Roman"/>
        </w:rPr>
        <w:t>U</w:t>
      </w:r>
      <w:r w:rsidRPr="00341A24">
        <w:rPr>
          <w:rFonts w:ascii="Times New Roman" w:hAnsi="Times New Roman"/>
        </w:rPr>
        <w:t>nder OMB’s implementing regulations for the Paperwork Reduction Act, any recordkeeping, reporting</w:t>
      </w:r>
      <w:r>
        <w:rPr>
          <w:rFonts w:ascii="Times New Roman" w:hAnsi="Times New Roman"/>
        </w:rPr>
        <w:t>,</w:t>
      </w:r>
      <w:r w:rsidRPr="00341A24">
        <w:rPr>
          <w:rFonts w:ascii="Times New Roman" w:hAnsi="Times New Roman"/>
        </w:rPr>
        <w:t xml:space="preserve"> or disclosure requirement contained in a rule of general applicability is </w:t>
      </w:r>
      <w:r w:rsidRPr="00341A24">
        <w:rPr>
          <w:rFonts w:ascii="Times New Roman" w:hAnsi="Times New Roman"/>
        </w:rPr>
        <w:t xml:space="preserve">deemed to </w:t>
      </w:r>
      <w:r>
        <w:rPr>
          <w:rFonts w:ascii="Times New Roman" w:hAnsi="Times New Roman"/>
        </w:rPr>
        <w:t>involve</w:t>
      </w:r>
      <w:r w:rsidRPr="00341A24">
        <w:rPr>
          <w:rFonts w:ascii="Times New Roman" w:hAnsi="Times New Roman"/>
        </w:rPr>
        <w:t xml:space="preserve"> ten or more persons. </w:t>
      </w:r>
      <w:r>
        <w:rPr>
          <w:rFonts w:ascii="Times New Roman" w:hAnsi="Times New Roman"/>
        </w:rPr>
        <w:t xml:space="preserve">See 5 CFR § 1320.3(c)(4)(i). The model documents are required by OGE’s regulation at </w:t>
      </w:r>
      <w:r w:rsidRPr="00341A24">
        <w:rPr>
          <w:rFonts w:ascii="Times New Roman" w:hAnsi="Times New Roman"/>
        </w:rPr>
        <w:t>5 CFR part 2634</w:t>
      </w:r>
      <w:r>
        <w:rPr>
          <w:rFonts w:ascii="Times New Roman" w:hAnsi="Times New Roman"/>
        </w:rPr>
        <w:t>, subpart D.</w:t>
      </w:r>
    </w:p>
    <w:p w:rsidR="00073024" w:rsidP="00A55C95">
      <w:pPr>
        <w:widowControl/>
        <w:spacing w:after="240" w:line="276" w:lineRule="auto"/>
        <w:rPr>
          <w:rFonts w:ascii="Times New Roman" w:hAnsi="Times New Roman"/>
        </w:rPr>
      </w:pPr>
      <w:r w:rsidRPr="001063CF">
        <w:rPr>
          <w:rFonts w:ascii="Times New Roman" w:hAnsi="Times New Roman"/>
          <w:b/>
          <w:bCs/>
        </w:rPr>
        <w:tab/>
      </w:r>
      <w:r w:rsidRPr="00073024">
        <w:rPr>
          <w:rFonts w:ascii="Times New Roman" w:hAnsi="Times New Roman"/>
          <w:b/>
        </w:rPr>
        <w:t>14.-15.  Provide estimates of annualized costs to the Federal Government. Explain the reasons for any program changes or adjustments reported on the burden worksheet.</w:t>
      </w:r>
    </w:p>
    <w:p w:rsidR="00616F27" w:rsidP="00073024">
      <w:pPr>
        <w:widowControl/>
        <w:spacing w:after="240" w:line="276" w:lineRule="auto"/>
        <w:ind w:firstLine="720"/>
        <w:rPr>
          <w:rFonts w:ascii="Times New Roman" w:hAnsi="Times New Roman"/>
        </w:rPr>
      </w:pPr>
      <w:r w:rsidRPr="001063CF">
        <w:rPr>
          <w:rFonts w:ascii="Times New Roman" w:hAnsi="Times New Roman"/>
        </w:rPr>
        <w:t xml:space="preserve">The estimate of annualized costs to the </w:t>
      </w:r>
      <w:r>
        <w:rPr>
          <w:rFonts w:ascii="Times New Roman" w:hAnsi="Times New Roman"/>
        </w:rPr>
        <w:t xml:space="preserve">Federal </w:t>
      </w:r>
      <w:r w:rsidR="00D335A5">
        <w:rPr>
          <w:rFonts w:ascii="Times New Roman" w:hAnsi="Times New Roman"/>
        </w:rPr>
        <w:t xml:space="preserve">Government </w:t>
      </w:r>
      <w:r>
        <w:rPr>
          <w:rFonts w:ascii="Times New Roman" w:hAnsi="Times New Roman"/>
        </w:rPr>
        <w:t xml:space="preserve">is </w:t>
      </w:r>
      <w:r w:rsidRPr="001063CF">
        <w:rPr>
          <w:rFonts w:ascii="Times New Roman" w:hAnsi="Times New Roman"/>
        </w:rPr>
        <w:t>$</w:t>
      </w:r>
      <w:r w:rsidR="00F86F98">
        <w:rPr>
          <w:rFonts w:ascii="Times New Roman" w:hAnsi="Times New Roman"/>
        </w:rPr>
        <w:t>1</w:t>
      </w:r>
      <w:r w:rsidR="00492D7F">
        <w:rPr>
          <w:rFonts w:ascii="Times New Roman" w:hAnsi="Times New Roman"/>
        </w:rPr>
        <w:t>9</w:t>
      </w:r>
      <w:r w:rsidRPr="001063CF">
        <w:rPr>
          <w:rFonts w:ascii="Times New Roman" w:hAnsi="Times New Roman"/>
        </w:rPr>
        <w:t>,</w:t>
      </w:r>
      <w:r w:rsidR="00492D7F">
        <w:rPr>
          <w:rFonts w:ascii="Times New Roman" w:hAnsi="Times New Roman"/>
        </w:rPr>
        <w:t>200</w:t>
      </w:r>
      <w:r w:rsidRPr="001063CF">
        <w:rPr>
          <w:rFonts w:ascii="Times New Roman" w:hAnsi="Times New Roman"/>
        </w:rPr>
        <w:t>.</w:t>
      </w:r>
      <w:r>
        <w:rPr>
          <w:rFonts w:ascii="Times New Roman" w:hAnsi="Times New Roman"/>
        </w:rPr>
        <w:t xml:space="preserve"> </w:t>
      </w:r>
      <w:r w:rsidR="007A79BF">
        <w:rPr>
          <w:rFonts w:ascii="Times New Roman" w:hAnsi="Times New Roman"/>
        </w:rPr>
        <w:t xml:space="preserve">The primary cost to the government </w:t>
      </w:r>
      <w:r w:rsidRPr="001063CF">
        <w:rPr>
          <w:rFonts w:ascii="Times New Roman" w:hAnsi="Times New Roman"/>
        </w:rPr>
        <w:t>are labor costs associated with OGE employees reviewing the documents.</w:t>
      </w:r>
      <w:r w:rsidR="007A79BF">
        <w:rPr>
          <w:rFonts w:ascii="Times New Roman" w:hAnsi="Times New Roman"/>
        </w:rPr>
        <w:t xml:space="preserve"> Although this estimate has </w:t>
      </w:r>
      <w:r w:rsidR="00492D7F">
        <w:rPr>
          <w:rFonts w:ascii="Times New Roman" w:hAnsi="Times New Roman"/>
        </w:rPr>
        <w:t xml:space="preserve">increased </w:t>
      </w:r>
      <w:r w:rsidR="007A79BF">
        <w:rPr>
          <w:rFonts w:ascii="Times New Roman" w:hAnsi="Times New Roman"/>
        </w:rPr>
        <w:t xml:space="preserve">since the last submission three years ago, it is not based on any program changes. It is based on </w:t>
      </w:r>
      <w:r w:rsidR="00F86F98">
        <w:rPr>
          <w:rFonts w:ascii="Times New Roman" w:hAnsi="Times New Roman"/>
        </w:rPr>
        <w:t xml:space="preserve">the </w:t>
      </w:r>
      <w:r w:rsidR="00492D7F">
        <w:rPr>
          <w:rFonts w:ascii="Times New Roman" w:hAnsi="Times New Roman"/>
        </w:rPr>
        <w:t>changes to the Federal Government pay scales.</w:t>
      </w:r>
    </w:p>
    <w:p w:rsidR="00073024" w:rsidP="00A55C95">
      <w:pPr>
        <w:widowControl/>
        <w:spacing w:after="240" w:line="276" w:lineRule="auto"/>
        <w:ind w:firstLine="720"/>
        <w:rPr>
          <w:rFonts w:ascii="Times New Roman" w:hAnsi="Times New Roman"/>
          <w:b/>
          <w:bCs/>
        </w:rPr>
      </w:pPr>
      <w:r w:rsidRPr="00073024">
        <w:rPr>
          <w:rFonts w:ascii="Times New Roman" w:hAnsi="Times New Roman"/>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B5B16" w:rsidRPr="001063CF" w:rsidP="00A55C95">
      <w:pPr>
        <w:widowControl/>
        <w:spacing w:after="240" w:line="276" w:lineRule="auto"/>
        <w:ind w:firstLine="720"/>
        <w:rPr>
          <w:rFonts w:ascii="Times New Roman" w:hAnsi="Times New Roman"/>
        </w:rPr>
      </w:pPr>
      <w:r w:rsidRPr="001063CF">
        <w:rPr>
          <w:rFonts w:ascii="Times New Roman" w:hAnsi="Times New Roman"/>
        </w:rPr>
        <w:t>Not applicable.</w:t>
      </w:r>
    </w:p>
    <w:p w:rsidR="00073024" w:rsidP="00A55C95">
      <w:pPr>
        <w:widowControl/>
        <w:spacing w:after="240" w:line="276" w:lineRule="auto"/>
        <w:ind w:firstLine="720"/>
        <w:rPr>
          <w:rFonts w:ascii="Times New Roman" w:hAnsi="Times New Roman"/>
          <w:b/>
          <w:bCs/>
        </w:rPr>
      </w:pPr>
      <w:r w:rsidRPr="00073024">
        <w:rPr>
          <w:rFonts w:ascii="Times New Roman" w:hAnsi="Times New Roman"/>
          <w:b/>
          <w:bCs/>
        </w:rPr>
        <w:t>17.  If you are seeking approval to not display the expiration date for OMB approval of the information collection, explain the reasons that display would be inappropriate.</w:t>
      </w:r>
    </w:p>
    <w:p w:rsidR="00006358" w:rsidRPr="001063CF" w:rsidP="00A55C95">
      <w:pPr>
        <w:widowControl/>
        <w:spacing w:after="240" w:line="276" w:lineRule="auto"/>
        <w:ind w:firstLine="720"/>
        <w:rPr>
          <w:rFonts w:ascii="Times New Roman" w:hAnsi="Times New Roman"/>
        </w:rPr>
      </w:pPr>
      <w:r>
        <w:rPr>
          <w:rFonts w:ascii="Times New Roman" w:hAnsi="Times New Roman"/>
        </w:rPr>
        <w:t>Not applicable.</w:t>
      </w:r>
    </w:p>
    <w:p w:rsidR="00073024" w:rsidP="00A55C95">
      <w:pPr>
        <w:widowControl/>
        <w:spacing w:after="240" w:line="276" w:lineRule="auto"/>
        <w:ind w:firstLine="720"/>
        <w:rPr>
          <w:rFonts w:ascii="Times New Roman" w:hAnsi="Times New Roman"/>
          <w:b/>
          <w:bCs/>
        </w:rPr>
      </w:pPr>
      <w:r w:rsidRPr="00073024">
        <w:rPr>
          <w:rFonts w:ascii="Times New Roman" w:hAnsi="Times New Roman"/>
          <w:b/>
          <w:bCs/>
        </w:rPr>
        <w:t>18.  Explain each exception to the topics of the certification statement identified in Certification for Paperwork Reduction Act Submissions.</w:t>
      </w:r>
    </w:p>
    <w:p w:rsidR="009B5B16" w:rsidRPr="001063CF" w:rsidP="00A55C95">
      <w:pPr>
        <w:widowControl/>
        <w:spacing w:after="240" w:line="276" w:lineRule="auto"/>
        <w:ind w:firstLine="720"/>
        <w:rPr>
          <w:rFonts w:ascii="Times New Roman" w:hAnsi="Times New Roman"/>
        </w:rPr>
      </w:pPr>
      <w:r>
        <w:rPr>
          <w:rFonts w:ascii="Times New Roman" w:hAnsi="Times New Roman"/>
        </w:rPr>
        <w:t>Certification items (c), (f) and (i) are not applicable to this information collection.</w:t>
      </w:r>
    </w:p>
    <w:p w:rsidR="009B5B16" w:rsidRPr="001063CF" w:rsidP="00A55C95">
      <w:pPr>
        <w:widowControl/>
        <w:spacing w:after="240" w:line="276" w:lineRule="auto"/>
        <w:rPr>
          <w:rFonts w:ascii="Times New Roman" w:hAnsi="Times New Roman"/>
          <w:b/>
          <w:bCs/>
        </w:rPr>
      </w:pPr>
      <w:r w:rsidRPr="001063CF">
        <w:rPr>
          <w:rFonts w:ascii="Times New Roman" w:hAnsi="Times New Roman"/>
          <w:b/>
          <w:bCs/>
        </w:rPr>
        <w:t>B.  Collection of Information Employing Statistical Methods</w:t>
      </w:r>
    </w:p>
    <w:p w:rsidR="009B5B16" w:rsidRPr="001063CF" w:rsidP="00A55C95">
      <w:pPr>
        <w:widowControl/>
        <w:spacing w:after="240" w:line="276" w:lineRule="auto"/>
        <w:ind w:firstLine="720"/>
        <w:rPr>
          <w:rFonts w:ascii="Times New Roman" w:hAnsi="Times New Roman"/>
        </w:rPr>
      </w:pPr>
      <w:r w:rsidRPr="001063CF">
        <w:rPr>
          <w:rFonts w:ascii="Times New Roman" w:hAnsi="Times New Roman"/>
          <w:bCs/>
        </w:rPr>
        <w:t>Not applicable. This collection does not employ statistical methods.</w:t>
      </w:r>
    </w:p>
    <w:p w:rsidR="00C82578" w:rsidRPr="001063CF" w:rsidP="00A55C95">
      <w:pPr>
        <w:spacing w:after="240" w:line="276" w:lineRule="auto"/>
        <w:rPr>
          <w:rFonts w:ascii="Times New Roman" w:hAnsi="Times New Roman"/>
        </w:rPr>
      </w:pPr>
    </w:p>
    <w:sectPr w:rsidSect="009B5B16">
      <w:headerReference w:type="default" r:id="rId5"/>
      <w:footerReference w:type="even" r:id="rId6"/>
      <w:footerReference w:type="default" r:id="rId7"/>
      <w:footerReference w:type="first" r:id="rId8"/>
      <w:pgSz w:w="12240" w:h="15840"/>
      <w:pgMar w:top="1440" w:right="1440" w:bottom="1152" w:left="1440" w:header="1440" w:footer="1152"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EAF" w:rsidP="009B5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B5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EAF" w:rsidP="009B5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06F">
      <w:rPr>
        <w:rStyle w:val="PageNumber"/>
        <w:noProof/>
      </w:rPr>
      <w:t>5</w:t>
    </w:r>
    <w:r>
      <w:rPr>
        <w:rStyle w:val="PageNumber"/>
      </w:rPr>
      <w:fldChar w:fldCharType="end"/>
    </w:r>
  </w:p>
  <w:p w:rsidR="003B5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5C95" w:rsidRPr="00A55C95">
    <w:pPr>
      <w:pStyle w:val="Footer"/>
      <w:jc w:val="center"/>
      <w:rPr>
        <w:rFonts w:ascii="Times New Roman" w:hAnsi="Times New Roman"/>
      </w:rPr>
    </w:pPr>
    <w:r w:rsidRPr="00A55C95">
      <w:rPr>
        <w:rFonts w:ascii="Times New Roman" w:hAnsi="Times New Roman"/>
      </w:rPr>
      <w:fldChar w:fldCharType="begin"/>
    </w:r>
    <w:r w:rsidRPr="00A55C95">
      <w:rPr>
        <w:rFonts w:ascii="Times New Roman" w:hAnsi="Times New Roman"/>
      </w:rPr>
      <w:instrText xml:space="preserve"> PAGE   \* MERGEFORMAT </w:instrText>
    </w:r>
    <w:r w:rsidRPr="00A55C95">
      <w:rPr>
        <w:rFonts w:ascii="Times New Roman" w:hAnsi="Times New Roman"/>
      </w:rPr>
      <w:fldChar w:fldCharType="separate"/>
    </w:r>
    <w:r w:rsidR="00CA106F">
      <w:rPr>
        <w:rFonts w:ascii="Times New Roman" w:hAnsi="Times New Roman"/>
        <w:noProof/>
      </w:rPr>
      <w:t>1</w:t>
    </w:r>
    <w:r w:rsidRPr="00A55C95">
      <w:rPr>
        <w:rFonts w:ascii="Times New Roman" w:hAnsi="Times New Roman"/>
        <w:noProof/>
      </w:rPr>
      <w:fldChar w:fldCharType="end"/>
    </w:r>
  </w:p>
  <w:p w:rsidR="00A55C9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5EAF" w:rsidP="009B5B16">
    <w:pP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E75480"/>
    <w:multiLevelType w:val="hybridMultilevel"/>
    <w:tmpl w:val="EDA8D3B2"/>
    <w:lvl w:ilvl="0">
      <w:start w:val="1"/>
      <w:numFmt w:val="upperLetter"/>
      <w:lvlText w:val="%1."/>
      <w:lvlJc w:val="left"/>
      <w:pPr>
        <w:tabs>
          <w:tab w:val="num" w:pos="1890"/>
        </w:tabs>
        <w:ind w:left="1890" w:hanging="45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3CEA1B7A"/>
    <w:multiLevelType w:val="hybridMultilevel"/>
    <w:tmpl w:val="1BDC45D0"/>
    <w:lvl w:ilvl="0">
      <w:start w:val="1"/>
      <w:numFmt w:val="low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4094212F"/>
    <w:multiLevelType w:val="hybridMultilevel"/>
    <w:tmpl w:val="6E5412D2"/>
    <w:lvl w:ilvl="0">
      <w:start w:val="1"/>
      <w:numFmt w:val="low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19"/>
    <w:rsid w:val="00006358"/>
    <w:rsid w:val="00014CF4"/>
    <w:rsid w:val="00015BB9"/>
    <w:rsid w:val="00073024"/>
    <w:rsid w:val="000807DA"/>
    <w:rsid w:val="000B3481"/>
    <w:rsid w:val="000B402E"/>
    <w:rsid w:val="000F6582"/>
    <w:rsid w:val="000F66C6"/>
    <w:rsid w:val="001063CF"/>
    <w:rsid w:val="00112428"/>
    <w:rsid w:val="001166B8"/>
    <w:rsid w:val="00157BC7"/>
    <w:rsid w:val="00165CC9"/>
    <w:rsid w:val="0018632A"/>
    <w:rsid w:val="001F27FA"/>
    <w:rsid w:val="001F29C0"/>
    <w:rsid w:val="002409ED"/>
    <w:rsid w:val="002665B8"/>
    <w:rsid w:val="002749CD"/>
    <w:rsid w:val="0027777F"/>
    <w:rsid w:val="00292F8B"/>
    <w:rsid w:val="002D2D20"/>
    <w:rsid w:val="002D45B4"/>
    <w:rsid w:val="002F2FA3"/>
    <w:rsid w:val="002F5867"/>
    <w:rsid w:val="00302533"/>
    <w:rsid w:val="0031688C"/>
    <w:rsid w:val="00341A24"/>
    <w:rsid w:val="0034574A"/>
    <w:rsid w:val="00351038"/>
    <w:rsid w:val="00355F98"/>
    <w:rsid w:val="00366B0F"/>
    <w:rsid w:val="00367EB2"/>
    <w:rsid w:val="003A4066"/>
    <w:rsid w:val="003A5CF0"/>
    <w:rsid w:val="003B5EAF"/>
    <w:rsid w:val="003F30AA"/>
    <w:rsid w:val="004143FB"/>
    <w:rsid w:val="004147FE"/>
    <w:rsid w:val="00417B0E"/>
    <w:rsid w:val="00441090"/>
    <w:rsid w:val="00465149"/>
    <w:rsid w:val="00481760"/>
    <w:rsid w:val="004856D6"/>
    <w:rsid w:val="00492D7F"/>
    <w:rsid w:val="004C61DB"/>
    <w:rsid w:val="004C7BA6"/>
    <w:rsid w:val="004D37E9"/>
    <w:rsid w:val="004E5625"/>
    <w:rsid w:val="004F44EB"/>
    <w:rsid w:val="00537FB7"/>
    <w:rsid w:val="005416DB"/>
    <w:rsid w:val="005455C5"/>
    <w:rsid w:val="005C5D77"/>
    <w:rsid w:val="00616F27"/>
    <w:rsid w:val="006F3E1D"/>
    <w:rsid w:val="007042E1"/>
    <w:rsid w:val="0070745D"/>
    <w:rsid w:val="00713687"/>
    <w:rsid w:val="0072236D"/>
    <w:rsid w:val="00722E41"/>
    <w:rsid w:val="007A79BF"/>
    <w:rsid w:val="007B0720"/>
    <w:rsid w:val="007C367A"/>
    <w:rsid w:val="008108B7"/>
    <w:rsid w:val="00877485"/>
    <w:rsid w:val="008C497D"/>
    <w:rsid w:val="008D5563"/>
    <w:rsid w:val="008E2980"/>
    <w:rsid w:val="00923519"/>
    <w:rsid w:val="00963EC4"/>
    <w:rsid w:val="009912FA"/>
    <w:rsid w:val="009A2AA8"/>
    <w:rsid w:val="009B5B16"/>
    <w:rsid w:val="009D2D17"/>
    <w:rsid w:val="00A55C95"/>
    <w:rsid w:val="00A66515"/>
    <w:rsid w:val="00A70E30"/>
    <w:rsid w:val="00A773B9"/>
    <w:rsid w:val="00AD417E"/>
    <w:rsid w:val="00AF26D3"/>
    <w:rsid w:val="00AF63C1"/>
    <w:rsid w:val="00BD3D1C"/>
    <w:rsid w:val="00BD7E86"/>
    <w:rsid w:val="00BE427D"/>
    <w:rsid w:val="00C4370E"/>
    <w:rsid w:val="00C62E73"/>
    <w:rsid w:val="00C82578"/>
    <w:rsid w:val="00CA106F"/>
    <w:rsid w:val="00CA3635"/>
    <w:rsid w:val="00D335A5"/>
    <w:rsid w:val="00D571C0"/>
    <w:rsid w:val="00D81265"/>
    <w:rsid w:val="00DA79F3"/>
    <w:rsid w:val="00DB7548"/>
    <w:rsid w:val="00DE7474"/>
    <w:rsid w:val="00DF1C4F"/>
    <w:rsid w:val="00E25938"/>
    <w:rsid w:val="00ED0514"/>
    <w:rsid w:val="00ED7DB1"/>
    <w:rsid w:val="00EF0F99"/>
    <w:rsid w:val="00F048BC"/>
    <w:rsid w:val="00F05197"/>
    <w:rsid w:val="00F37ADB"/>
    <w:rsid w:val="00F74A1C"/>
    <w:rsid w:val="00F86F98"/>
    <w:rsid w:val="00F91845"/>
    <w:rsid w:val="00FC2209"/>
    <w:rsid w:val="00FC5E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F73E446-8BF1-4D16-A567-B530F509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16"/>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9B5B16"/>
    <w:pPr>
      <w:tabs>
        <w:tab w:val="center" w:pos="4320"/>
        <w:tab w:val="right" w:pos="8640"/>
      </w:tabs>
    </w:pPr>
  </w:style>
  <w:style w:type="character" w:styleId="PageNumber">
    <w:name w:val="page number"/>
    <w:basedOn w:val="DefaultParagraphFont"/>
    <w:rsid w:val="009B5B16"/>
  </w:style>
  <w:style w:type="paragraph" w:styleId="BalloonText">
    <w:name w:val="Balloon Text"/>
    <w:basedOn w:val="Normal"/>
    <w:semiHidden/>
    <w:rsid w:val="00DE7474"/>
    <w:rPr>
      <w:rFonts w:ascii="Tahoma" w:hAnsi="Tahoma" w:cs="Tahoma"/>
      <w:sz w:val="16"/>
      <w:szCs w:val="16"/>
    </w:rPr>
  </w:style>
  <w:style w:type="table" w:styleId="TableGrid">
    <w:name w:val="Table Grid"/>
    <w:basedOn w:val="TableNormal"/>
    <w:uiPriority w:val="59"/>
    <w:rsid w:val="00A5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C95"/>
    <w:pPr>
      <w:tabs>
        <w:tab w:val="center" w:pos="4680"/>
        <w:tab w:val="right" w:pos="9360"/>
      </w:tabs>
    </w:pPr>
  </w:style>
  <w:style w:type="character" w:customStyle="1" w:styleId="HeaderChar">
    <w:name w:val="Header Char"/>
    <w:link w:val="Header"/>
    <w:uiPriority w:val="99"/>
    <w:rsid w:val="00A55C95"/>
    <w:rPr>
      <w:rFonts w:ascii="Courier" w:hAnsi="Courier"/>
      <w:sz w:val="24"/>
      <w:szCs w:val="24"/>
    </w:rPr>
  </w:style>
  <w:style w:type="character" w:customStyle="1" w:styleId="FooterChar">
    <w:name w:val="Footer Char"/>
    <w:link w:val="Footer"/>
    <w:uiPriority w:val="99"/>
    <w:rsid w:val="00A55C95"/>
    <w:rPr>
      <w:rFonts w:ascii="Courier" w:hAnsi="Courier"/>
      <w:sz w:val="24"/>
      <w:szCs w:val="24"/>
    </w:rPr>
  </w:style>
  <w:style w:type="character" w:styleId="Hyperlink">
    <w:name w:val="Hyperlink"/>
    <w:rsid w:val="003F30AA"/>
    <w:rPr>
      <w:color w:val="0000FF"/>
      <w:u w:val="single"/>
    </w:rPr>
  </w:style>
  <w:style w:type="paragraph" w:styleId="FootnoteText">
    <w:name w:val="footnote text"/>
    <w:basedOn w:val="Normal"/>
    <w:link w:val="FootnoteTextChar"/>
    <w:uiPriority w:val="99"/>
    <w:semiHidden/>
    <w:unhideWhenUsed/>
    <w:rsid w:val="000807DA"/>
    <w:rPr>
      <w:sz w:val="20"/>
      <w:szCs w:val="20"/>
    </w:rPr>
  </w:style>
  <w:style w:type="character" w:customStyle="1" w:styleId="FootnoteTextChar">
    <w:name w:val="Footnote Text Char"/>
    <w:link w:val="FootnoteText"/>
    <w:uiPriority w:val="99"/>
    <w:semiHidden/>
    <w:rsid w:val="000807DA"/>
    <w:rPr>
      <w:rFonts w:ascii="Courier" w:hAnsi="Courier"/>
    </w:rPr>
  </w:style>
  <w:style w:type="character" w:styleId="FootnoteReference">
    <w:name w:val="footnote reference"/>
    <w:uiPriority w:val="99"/>
    <w:semiHidden/>
    <w:unhideWhenUsed/>
    <w:rsid w:val="000807DA"/>
    <w:rPr>
      <w:vertAlign w:val="superscript"/>
    </w:rPr>
  </w:style>
  <w:style w:type="character" w:styleId="CommentReference">
    <w:name w:val="annotation reference"/>
    <w:uiPriority w:val="99"/>
    <w:semiHidden/>
    <w:unhideWhenUsed/>
    <w:rsid w:val="00F86F98"/>
    <w:rPr>
      <w:sz w:val="16"/>
      <w:szCs w:val="16"/>
    </w:rPr>
  </w:style>
  <w:style w:type="paragraph" w:styleId="CommentText">
    <w:name w:val="annotation text"/>
    <w:basedOn w:val="Normal"/>
    <w:link w:val="CommentTextChar"/>
    <w:uiPriority w:val="99"/>
    <w:semiHidden/>
    <w:unhideWhenUsed/>
    <w:rsid w:val="00F86F98"/>
    <w:rPr>
      <w:sz w:val="20"/>
      <w:szCs w:val="20"/>
    </w:rPr>
  </w:style>
  <w:style w:type="character" w:customStyle="1" w:styleId="CommentTextChar">
    <w:name w:val="Comment Text Char"/>
    <w:link w:val="CommentText"/>
    <w:uiPriority w:val="99"/>
    <w:semiHidden/>
    <w:rsid w:val="00F86F98"/>
    <w:rPr>
      <w:rFonts w:ascii="Courier" w:hAnsi="Courier"/>
    </w:rPr>
  </w:style>
  <w:style w:type="paragraph" w:styleId="CommentSubject">
    <w:name w:val="annotation subject"/>
    <w:basedOn w:val="CommentText"/>
    <w:next w:val="CommentText"/>
    <w:link w:val="CommentSubjectChar"/>
    <w:uiPriority w:val="99"/>
    <w:semiHidden/>
    <w:unhideWhenUsed/>
    <w:rsid w:val="00F86F98"/>
    <w:rPr>
      <w:b/>
      <w:bCs/>
    </w:rPr>
  </w:style>
  <w:style w:type="character" w:customStyle="1" w:styleId="CommentSubjectChar">
    <w:name w:val="Comment Subject Char"/>
    <w:link w:val="CommentSubject"/>
    <w:uiPriority w:val="99"/>
    <w:semiHidden/>
    <w:rsid w:val="00F86F98"/>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FE8A-1948-436C-8DFB-99CBE9EA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EXECUTIVE BRANCH QUALIFIED TRUST DOCUMENTS</vt:lpstr>
    </vt:vector>
  </TitlesOfParts>
  <Company>US Office of Government Ethics</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BRANCH QUALIFIED TRUST DOCUMENTS</dc:title>
  <dc:creator>80CWP51-TV</dc:creator>
  <cp:lastModifiedBy>Jennifer Matis</cp:lastModifiedBy>
  <cp:revision>2</cp:revision>
  <cp:lastPrinted>2013-08-06T21:21:00Z</cp:lastPrinted>
  <dcterms:created xsi:type="dcterms:W3CDTF">2022-10-18T11:56:00Z</dcterms:created>
  <dcterms:modified xsi:type="dcterms:W3CDTF">2022-10-18T11:56:00Z</dcterms:modified>
</cp:coreProperties>
</file>