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54659" w:rsidRPr="008D3238" w:rsidP="00E54659" w14:paraId="2374A889" w14:textId="77777777">
      <w:pPr>
        <w:rPr>
          <w:sz w:val="24"/>
          <w:szCs w:val="24"/>
        </w:rPr>
      </w:pPr>
    </w:p>
    <w:p w:rsidR="00E54659" w:rsidRPr="008F2EF2" w:rsidP="00E54659" w14:paraId="4D72608B" w14:textId="77777777">
      <w:pPr>
        <w:jc w:val="center"/>
        <w:rPr>
          <w:rFonts w:ascii="Arial" w:hAnsi="Arial" w:cs="Arial"/>
          <w:b/>
          <w:i/>
          <w:sz w:val="24"/>
          <w:szCs w:val="24"/>
        </w:rPr>
      </w:pPr>
      <w:r w:rsidRPr="008F2EF2">
        <w:rPr>
          <w:rFonts w:ascii="Arial" w:hAnsi="Arial" w:cs="Arial"/>
          <w:b/>
          <w:i/>
          <w:sz w:val="24"/>
          <w:szCs w:val="24"/>
        </w:rPr>
        <w:t>ACCEPTANCE OF PRIMARY LOAN SERVICING</w:t>
      </w:r>
    </w:p>
    <w:p w:rsidR="00651592" w:rsidRPr="008F2EF2" w:rsidP="00E54659" w14:paraId="37EE86FE" w14:textId="77777777">
      <w:pPr>
        <w:jc w:val="center"/>
        <w:rPr>
          <w:rFonts w:ascii="Arial" w:hAnsi="Arial" w:cs="Arial"/>
          <w:b/>
          <w:i/>
          <w:sz w:val="24"/>
          <w:szCs w:val="24"/>
        </w:rPr>
      </w:pPr>
      <w:r w:rsidRPr="008F2EF2">
        <w:rPr>
          <w:rFonts w:ascii="Arial" w:hAnsi="Arial" w:cs="Arial"/>
          <w:b/>
          <w:i/>
          <w:sz w:val="24"/>
          <w:szCs w:val="24"/>
        </w:rPr>
        <w:t>For Borrowers who Received FSA-</w:t>
      </w:r>
      <w:r w:rsidRPr="008F2EF2" w:rsidR="00A930C2">
        <w:rPr>
          <w:rFonts w:ascii="Arial" w:hAnsi="Arial" w:cs="Arial"/>
          <w:b/>
          <w:i/>
          <w:sz w:val="24"/>
          <w:szCs w:val="24"/>
        </w:rPr>
        <w:t>2512</w:t>
      </w:r>
      <w:r w:rsidRPr="008F2EF2">
        <w:rPr>
          <w:rFonts w:ascii="Arial" w:hAnsi="Arial" w:cs="Arial"/>
          <w:b/>
          <w:i/>
          <w:sz w:val="24"/>
          <w:szCs w:val="24"/>
        </w:rPr>
        <w:t xml:space="preserve"> and Applied for Servicing</w:t>
      </w:r>
    </w:p>
    <w:p w:rsidR="00E54659" w:rsidRPr="008F2EF2" w:rsidP="00EF359F" w14:paraId="54BD9796" w14:textId="77777777">
      <w:pPr>
        <w:jc w:val="right"/>
        <w:rPr>
          <w:rFonts w:ascii="Arial" w:hAnsi="Arial" w:cs="Arial"/>
          <w:b/>
          <w:i/>
          <w:sz w:val="24"/>
          <w:szCs w:val="24"/>
        </w:rPr>
      </w:pPr>
    </w:p>
    <w:p w:rsidR="00E54659" w:rsidRPr="008F2EF2" w:rsidP="00E54659" w14:paraId="086D431E" w14:textId="77777777">
      <w:pPr>
        <w:jc w:val="center"/>
        <w:rPr>
          <w:rFonts w:ascii="Arial" w:hAnsi="Arial" w:cs="Arial"/>
          <w:b/>
          <w:sz w:val="24"/>
          <w:szCs w:val="24"/>
        </w:rPr>
      </w:pPr>
      <w:r w:rsidRPr="008F2EF2">
        <w:rPr>
          <w:rFonts w:ascii="Arial" w:hAnsi="Arial" w:cs="Arial"/>
          <w:b/>
          <w:sz w:val="24"/>
          <w:szCs w:val="24"/>
        </w:rPr>
        <w:t>INSTRUCTIONS FOR PREPARATION</w:t>
      </w:r>
    </w:p>
    <w:p w:rsidR="00E54659" w:rsidRPr="008D3238" w:rsidP="00E54659" w14:paraId="62B47F68" w14:textId="77777777">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36"/>
        <w:gridCol w:w="5034"/>
      </w:tblGrid>
      <w:tr w14:paraId="52813F82" w14:textId="77777777" w:rsidTr="002A464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90"/>
        </w:trPr>
        <w:tc>
          <w:tcPr>
            <w:tcW w:w="10296" w:type="dxa"/>
            <w:gridSpan w:val="2"/>
            <w:tcBorders>
              <w:top w:val="single" w:sz="4" w:space="0" w:color="auto"/>
              <w:left w:val="single" w:sz="4" w:space="0" w:color="auto"/>
              <w:bottom w:val="single" w:sz="4" w:space="0" w:color="auto"/>
              <w:right w:val="single" w:sz="4" w:space="0" w:color="auto"/>
            </w:tcBorders>
            <w:shd w:val="clear" w:color="auto" w:fill="auto"/>
          </w:tcPr>
          <w:p w:rsidR="005F7739" w:rsidRPr="002A464A" w:rsidP="00AE438A" w14:paraId="4188AABF" w14:textId="77777777">
            <w:pPr>
              <w:rPr>
                <w:b/>
              </w:rPr>
            </w:pPr>
            <w:r w:rsidRPr="002A464A">
              <w:rPr>
                <w:b/>
              </w:rPr>
              <w:t>Purpose:</w:t>
            </w:r>
          </w:p>
          <w:p w:rsidR="00A06643" w:rsidRPr="002A464A" w:rsidP="002A464A" w14:paraId="330B45CB" w14:textId="77777777">
            <w:pPr>
              <w:outlineLvl w:val="2"/>
              <w:rPr>
                <w:rFonts w:ascii="Courier New" w:hAnsi="Courier New" w:cs="Courier New"/>
                <w:b/>
                <w:sz w:val="18"/>
                <w:szCs w:val="18"/>
              </w:rPr>
            </w:pPr>
            <w:r w:rsidRPr="002A464A">
              <w:rPr>
                <w:rFonts w:ascii="Courier New" w:hAnsi="Courier New" w:cs="Courier New"/>
                <w:sz w:val="18"/>
                <w:szCs w:val="18"/>
              </w:rPr>
              <w:t xml:space="preserve">This form is used by borrowers, who were notified that they were considered to be </w:t>
            </w:r>
            <w:r w:rsidRPr="002A464A">
              <w:rPr>
                <w:rFonts w:ascii="Courier New" w:hAnsi="Courier New" w:cs="Courier New"/>
                <w:b/>
                <w:sz w:val="18"/>
                <w:szCs w:val="18"/>
              </w:rPr>
              <w:t xml:space="preserve">current, financially distressed, or less than </w:t>
            </w:r>
            <w:r w:rsidRPr="002A464A">
              <w:rPr>
                <w:rFonts w:ascii="Courier New" w:hAnsi="Courier New" w:cs="Courier New"/>
                <w:sz w:val="18"/>
                <w:szCs w:val="18"/>
              </w:rPr>
              <w:t>90 days past due and that applied for servicing, to accept an offer of loan servicing on their direct Farm Loan Programs loans.  It is provided to the borrower by mail with FSA-2519.  Borrowers must execute, by signing and returning this form to the agency, in order to accept the terms of primary loan servicing being offered by the borrower</w:t>
            </w:r>
            <w:r w:rsidRPr="002A464A">
              <w:rPr>
                <w:rFonts w:ascii="Courier New" w:hAnsi="Courier New" w:cs="Courier New"/>
                <w:b/>
                <w:sz w:val="18"/>
                <w:szCs w:val="18"/>
              </w:rPr>
              <w:t>.</w:t>
            </w:r>
          </w:p>
        </w:tc>
      </w:tr>
      <w:tr w14:paraId="0F9AC6C4" w14:textId="77777777" w:rsidTr="002A464A">
        <w:tblPrEx>
          <w:tblW w:w="0" w:type="auto"/>
          <w:tblLook w:val="01E0"/>
        </w:tblPrEx>
        <w:trPr>
          <w:trHeight w:val="593"/>
        </w:trPr>
        <w:tc>
          <w:tcPr>
            <w:tcW w:w="5148" w:type="dxa"/>
            <w:tcBorders>
              <w:top w:val="single" w:sz="4" w:space="0" w:color="auto"/>
              <w:left w:val="single" w:sz="4" w:space="0" w:color="auto"/>
              <w:bottom w:val="single" w:sz="4" w:space="0" w:color="auto"/>
              <w:right w:val="single" w:sz="4" w:space="0" w:color="auto"/>
            </w:tcBorders>
            <w:shd w:val="clear" w:color="auto" w:fill="auto"/>
          </w:tcPr>
          <w:p w:rsidR="00165FD9" w:rsidRPr="002A464A" w:rsidP="008F2EF2" w14:paraId="436E31FF" w14:textId="77777777">
            <w:pPr>
              <w:rPr>
                <w:b/>
              </w:rPr>
            </w:pPr>
            <w:r w:rsidRPr="002A464A">
              <w:rPr>
                <w:b/>
              </w:rPr>
              <w:t>Handbook Reference</w:t>
            </w:r>
            <w:r w:rsidRPr="002A464A" w:rsidR="00B008F6">
              <w:rPr>
                <w:b/>
              </w:rPr>
              <w:t>:</w:t>
            </w:r>
          </w:p>
          <w:p w:rsidR="00165FD9" w:rsidRPr="002A464A" w:rsidP="002A464A" w14:paraId="7580E052" w14:textId="77777777">
            <w:pPr>
              <w:jc w:val="both"/>
              <w:rPr>
                <w:rFonts w:ascii="Courier New" w:hAnsi="Courier New" w:cs="Courier New"/>
                <w:sz w:val="18"/>
                <w:szCs w:val="18"/>
              </w:rPr>
            </w:pPr>
            <w:r w:rsidRPr="002A464A">
              <w:rPr>
                <w:rFonts w:ascii="Courier New" w:hAnsi="Courier New" w:cs="Courier New"/>
                <w:sz w:val="18"/>
                <w:szCs w:val="18"/>
              </w:rPr>
              <w:t>5-FLP</w:t>
            </w:r>
          </w:p>
        </w:tc>
        <w:tc>
          <w:tcPr>
            <w:tcW w:w="5148" w:type="dxa"/>
            <w:tcBorders>
              <w:top w:val="single" w:sz="4" w:space="0" w:color="auto"/>
              <w:left w:val="single" w:sz="4" w:space="0" w:color="auto"/>
              <w:bottom w:val="single" w:sz="4" w:space="0" w:color="auto"/>
              <w:right w:val="single" w:sz="4" w:space="0" w:color="auto"/>
            </w:tcBorders>
            <w:shd w:val="clear" w:color="auto" w:fill="auto"/>
          </w:tcPr>
          <w:p w:rsidR="00165FD9" w:rsidRPr="002A464A" w:rsidP="008F2EF2" w14:paraId="6C2A9E13" w14:textId="77777777">
            <w:pPr>
              <w:rPr>
                <w:b/>
              </w:rPr>
            </w:pPr>
            <w:r w:rsidRPr="002A464A">
              <w:rPr>
                <w:b/>
              </w:rPr>
              <w:t>Number of Copies</w:t>
            </w:r>
            <w:r w:rsidRPr="002A464A" w:rsidR="00B008F6">
              <w:rPr>
                <w:b/>
              </w:rPr>
              <w:t>:</w:t>
            </w:r>
          </w:p>
          <w:p w:rsidR="00165FD9" w:rsidRPr="002A464A" w:rsidP="002A464A" w14:paraId="39FF3B82" w14:textId="77777777">
            <w:pPr>
              <w:jc w:val="both"/>
              <w:rPr>
                <w:rFonts w:ascii="Courier New" w:hAnsi="Courier New" w:cs="Courier New"/>
                <w:sz w:val="18"/>
                <w:szCs w:val="18"/>
              </w:rPr>
            </w:pPr>
            <w:r w:rsidRPr="002A464A">
              <w:rPr>
                <w:rFonts w:ascii="Courier New" w:hAnsi="Courier New" w:cs="Courier New"/>
                <w:sz w:val="18"/>
                <w:szCs w:val="18"/>
              </w:rPr>
              <w:t>Original and one copy</w:t>
            </w:r>
          </w:p>
        </w:tc>
      </w:tr>
      <w:tr w14:paraId="6A1E9F3B" w14:textId="77777777" w:rsidTr="002A464A">
        <w:tblPrEx>
          <w:tblW w:w="0" w:type="auto"/>
          <w:tblLook w:val="01E0"/>
        </w:tblPrEx>
        <w:trPr>
          <w:trHeight w:val="377"/>
        </w:trPr>
        <w:tc>
          <w:tcPr>
            <w:tcW w:w="10296" w:type="dxa"/>
            <w:gridSpan w:val="2"/>
            <w:tcBorders>
              <w:top w:val="single" w:sz="4" w:space="0" w:color="auto"/>
              <w:left w:val="single" w:sz="4" w:space="0" w:color="auto"/>
              <w:bottom w:val="single" w:sz="4" w:space="0" w:color="auto"/>
              <w:right w:val="single" w:sz="4" w:space="0" w:color="auto"/>
            </w:tcBorders>
            <w:shd w:val="clear" w:color="auto" w:fill="auto"/>
          </w:tcPr>
          <w:p w:rsidR="00081F75" w:rsidRPr="002A464A" w:rsidP="008F2EF2" w14:paraId="3FC80D31" w14:textId="77777777">
            <w:pPr>
              <w:rPr>
                <w:b/>
              </w:rPr>
            </w:pPr>
            <w:r w:rsidRPr="002A464A">
              <w:rPr>
                <w:b/>
              </w:rPr>
              <w:t>Signature</w:t>
            </w:r>
            <w:r w:rsidRPr="002A464A" w:rsidR="00AF5BD3">
              <w:rPr>
                <w:b/>
              </w:rPr>
              <w:t>s</w:t>
            </w:r>
            <w:r w:rsidRPr="002A464A" w:rsidR="00A30E0A">
              <w:rPr>
                <w:b/>
              </w:rPr>
              <w:t xml:space="preserve"> Required</w:t>
            </w:r>
            <w:r w:rsidRPr="002A464A" w:rsidR="00B008F6">
              <w:rPr>
                <w:b/>
              </w:rPr>
              <w:t>:</w:t>
            </w:r>
          </w:p>
          <w:p w:rsidR="005F7739" w:rsidRPr="002A464A" w:rsidP="002A464A" w14:paraId="78AEEF48" w14:textId="77777777">
            <w:pPr>
              <w:jc w:val="both"/>
              <w:rPr>
                <w:rFonts w:ascii="Courier New" w:hAnsi="Courier New" w:cs="Courier New"/>
                <w:sz w:val="18"/>
                <w:szCs w:val="18"/>
              </w:rPr>
            </w:pPr>
            <w:r w:rsidRPr="002A464A">
              <w:rPr>
                <w:rFonts w:ascii="Courier New" w:hAnsi="Courier New" w:cs="Courier New"/>
                <w:sz w:val="18"/>
                <w:szCs w:val="18"/>
              </w:rPr>
              <w:t xml:space="preserve">All borrowers (entity and individual persons) that executed the promissory note or assumption agreement and have not been previously released of liability for the debts.  They may all sign one form or each sign separate forms.   </w:t>
            </w:r>
          </w:p>
        </w:tc>
      </w:tr>
      <w:tr w14:paraId="28FE0378" w14:textId="77777777" w:rsidTr="002A464A">
        <w:tblPrEx>
          <w:tblW w:w="0" w:type="auto"/>
          <w:tblLook w:val="01E0"/>
        </w:tblPrEx>
        <w:tc>
          <w:tcPr>
            <w:tcW w:w="10296" w:type="dxa"/>
            <w:gridSpan w:val="2"/>
            <w:tcBorders>
              <w:top w:val="single" w:sz="4" w:space="0" w:color="auto"/>
              <w:left w:val="single" w:sz="4" w:space="0" w:color="auto"/>
              <w:bottom w:val="single" w:sz="4" w:space="0" w:color="auto"/>
              <w:right w:val="single" w:sz="4" w:space="0" w:color="auto"/>
            </w:tcBorders>
            <w:shd w:val="clear" w:color="auto" w:fill="auto"/>
          </w:tcPr>
          <w:p w:rsidR="005F7739" w:rsidRPr="002A464A" w:rsidP="008F2EF2" w14:paraId="33CF80DD" w14:textId="77777777">
            <w:pPr>
              <w:rPr>
                <w:b/>
              </w:rPr>
            </w:pPr>
            <w:r w:rsidRPr="002A464A">
              <w:rPr>
                <w:b/>
              </w:rPr>
              <w:t>Distribution of Copies</w:t>
            </w:r>
            <w:r w:rsidRPr="002A464A" w:rsidR="00B008F6">
              <w:rPr>
                <w:b/>
              </w:rPr>
              <w:t>:</w:t>
            </w:r>
          </w:p>
          <w:p w:rsidR="005F7739" w:rsidRPr="002A464A" w:rsidP="002A464A" w14:paraId="3A8F5D60" w14:textId="77777777">
            <w:pPr>
              <w:jc w:val="both"/>
              <w:rPr>
                <w:rFonts w:ascii="Courier New" w:hAnsi="Courier New" w:cs="Courier New"/>
                <w:sz w:val="18"/>
                <w:szCs w:val="18"/>
              </w:rPr>
            </w:pPr>
            <w:r w:rsidRPr="002A464A">
              <w:rPr>
                <w:rFonts w:ascii="Courier New" w:hAnsi="Courier New" w:cs="Courier New"/>
                <w:sz w:val="18"/>
                <w:szCs w:val="18"/>
              </w:rPr>
              <w:t xml:space="preserve">Original will be sent to </w:t>
            </w:r>
            <w:r w:rsidRPr="002A464A" w:rsidR="00141E43">
              <w:rPr>
                <w:rFonts w:ascii="Courier New" w:hAnsi="Courier New" w:cs="Courier New"/>
                <w:sz w:val="18"/>
                <w:szCs w:val="18"/>
              </w:rPr>
              <w:t>the Borrower along with FSA-2519</w:t>
            </w:r>
            <w:r w:rsidRPr="002A464A">
              <w:rPr>
                <w:rFonts w:ascii="Courier New" w:hAnsi="Courier New" w:cs="Courier New"/>
                <w:sz w:val="18"/>
                <w:szCs w:val="18"/>
              </w:rPr>
              <w:t>.  A copy of the blank form will be placed in the official agency casefile to evidence that</w:t>
            </w:r>
            <w:r w:rsidRPr="002A464A" w:rsidR="00141E43">
              <w:rPr>
                <w:rFonts w:ascii="Courier New" w:hAnsi="Courier New" w:cs="Courier New"/>
                <w:sz w:val="18"/>
                <w:szCs w:val="18"/>
              </w:rPr>
              <w:t xml:space="preserve"> it was sent along with FSA-2519</w:t>
            </w:r>
            <w:r w:rsidRPr="002A464A">
              <w:rPr>
                <w:rFonts w:ascii="Courier New" w:hAnsi="Courier New" w:cs="Courier New"/>
                <w:sz w:val="18"/>
                <w:szCs w:val="18"/>
              </w:rPr>
              <w:t>.  If the borrower is requesting servicing, they will return the original form, with signatures.  Once returned, a copy of the signed form will be place</w:t>
            </w:r>
            <w:r w:rsidR="00BA0930">
              <w:rPr>
                <w:rFonts w:ascii="Courier New" w:hAnsi="Courier New" w:cs="Courier New"/>
                <w:sz w:val="18"/>
                <w:szCs w:val="18"/>
              </w:rPr>
              <w:t>d</w:t>
            </w:r>
            <w:r w:rsidRPr="002A464A">
              <w:rPr>
                <w:rFonts w:ascii="Courier New" w:hAnsi="Courier New" w:cs="Courier New"/>
                <w:sz w:val="18"/>
                <w:szCs w:val="18"/>
              </w:rPr>
              <w:t xml:space="preserve"> with the remainder of the application package in the official agency casefile.  </w:t>
            </w:r>
          </w:p>
        </w:tc>
      </w:tr>
      <w:tr w14:paraId="79C7BBD6" w14:textId="77777777" w:rsidTr="002A464A">
        <w:tblPrEx>
          <w:tblW w:w="0" w:type="auto"/>
          <w:tblLook w:val="01E0"/>
        </w:tblPrEx>
        <w:tc>
          <w:tcPr>
            <w:tcW w:w="10296" w:type="dxa"/>
            <w:gridSpan w:val="2"/>
            <w:tcBorders>
              <w:top w:val="single" w:sz="4" w:space="0" w:color="auto"/>
              <w:left w:val="single" w:sz="4" w:space="0" w:color="auto"/>
              <w:bottom w:val="single" w:sz="4" w:space="0" w:color="auto"/>
              <w:right w:val="single" w:sz="4" w:space="0" w:color="auto"/>
            </w:tcBorders>
            <w:shd w:val="clear" w:color="auto" w:fill="auto"/>
          </w:tcPr>
          <w:p w:rsidR="0052062D" w:rsidRPr="002A464A" w:rsidP="008F2EF2" w14:paraId="33D7D308" w14:textId="2005DA4B">
            <w:pPr>
              <w:rPr>
                <w:b/>
              </w:rPr>
            </w:pPr>
            <w:r w:rsidRPr="002A464A">
              <w:rPr>
                <w:b/>
              </w:rPr>
              <w:t>Automation-</w:t>
            </w:r>
            <w:r w:rsidRPr="002A464A">
              <w:rPr>
                <w:b/>
              </w:rPr>
              <w:t>Related Transactions</w:t>
            </w:r>
            <w:r w:rsidRPr="002A464A" w:rsidR="00B008F6">
              <w:rPr>
                <w:b/>
              </w:rPr>
              <w:t xml:space="preserve">: </w:t>
            </w:r>
            <w:bookmarkStart w:id="0" w:name="Text6"/>
            <w:r w:rsidRPr="002A464A" w:rsidR="00627C7C">
              <w:rPr>
                <w:b/>
              </w:rPr>
              <w:t>(</w:t>
            </w:r>
            <w:r w:rsidRPr="002A464A" w:rsidR="00B008F6">
              <w:rPr>
                <w:b/>
              </w:rPr>
              <w:t xml:space="preserve">Instructions for writers: </w:t>
            </w:r>
            <w:r w:rsidRPr="002A464A" w:rsidR="00627C7C">
              <w:rPr>
                <w:b/>
              </w:rPr>
              <w:t xml:space="preserve">provide only the information required, </w:t>
            </w:r>
            <w:r w:rsidRPr="002A464A" w:rsidR="00627C7C">
              <w:rPr>
                <w:b/>
              </w:rPr>
              <w:t>i.e.</w:t>
            </w:r>
            <w:r w:rsidRPr="002A464A" w:rsidR="00627C7C">
              <w:rPr>
                <w:b/>
              </w:rPr>
              <w:t xml:space="preserve"> ADPS T</w:t>
            </w:r>
            <w:r w:rsidRPr="002A464A" w:rsidR="00236B6D">
              <w:rPr>
                <w:b/>
              </w:rPr>
              <w:t>C</w:t>
            </w:r>
            <w:r w:rsidRPr="002A464A" w:rsidR="00627C7C">
              <w:rPr>
                <w:b/>
              </w:rPr>
              <w:t xml:space="preserve"> 3K</w:t>
            </w:r>
            <w:r w:rsidRPr="002A464A" w:rsidR="00B008F6">
              <w:rPr>
                <w:b/>
              </w:rPr>
              <w:t>.  If no</w:t>
            </w:r>
            <w:r w:rsidRPr="002A464A" w:rsidR="008E0282">
              <w:rPr>
                <w:b/>
              </w:rPr>
              <w:t xml:space="preserve"> automation actions are required</w:t>
            </w:r>
            <w:r w:rsidRPr="002A464A" w:rsidR="00B008F6">
              <w:rPr>
                <w:b/>
              </w:rPr>
              <w:t>, insert N/A</w:t>
            </w:r>
            <w:r w:rsidRPr="002A464A" w:rsidR="00627C7C">
              <w:rPr>
                <w:b/>
              </w:rPr>
              <w:t>)</w:t>
            </w:r>
            <w:r w:rsidRPr="002A464A" w:rsidR="00E54659">
              <w:rPr>
                <w:b/>
              </w:rPr>
              <w:t xml:space="preserve">  </w:t>
            </w:r>
            <w:bookmarkEnd w:id="0"/>
            <w:r w:rsidR="00BA0930">
              <w:t>DLS-SS</w:t>
            </w:r>
          </w:p>
        </w:tc>
      </w:tr>
    </w:tbl>
    <w:p w:rsidR="00236B6D" w:rsidRPr="008D3238" w:rsidP="007A229B" w14:paraId="7E7DEA17" w14:textId="77777777">
      <w:pPr>
        <w:rPr>
          <w:sz w:val="24"/>
          <w:szCs w:val="24"/>
        </w:rPr>
      </w:pPr>
    </w:p>
    <w:p w:rsidR="00447FBD" w:rsidRPr="008D3238" w:rsidP="00447FBD" w14:paraId="3F8A5D2E" w14:textId="20B0DA97">
      <w:pPr>
        <w:pStyle w:val="Heading4"/>
        <w:rPr>
          <w:szCs w:val="24"/>
        </w:rPr>
      </w:pPr>
      <w:r w:rsidRPr="008D3238">
        <w:rPr>
          <w:szCs w:val="24"/>
        </w:rPr>
        <w:t>The Address of the FSA servicing office will be</w:t>
      </w:r>
      <w:r w:rsidRPr="008D3238">
        <w:rPr>
          <w:szCs w:val="24"/>
        </w:rPr>
        <w:t xml:space="preserve"> completed by the Agency</w:t>
      </w:r>
      <w:r w:rsidRPr="008D3238" w:rsidR="001E4863">
        <w:rPr>
          <w:szCs w:val="24"/>
        </w:rPr>
        <w:t>.</w:t>
      </w:r>
      <w:r w:rsidRPr="008D3238">
        <w:rPr>
          <w:szCs w:val="24"/>
        </w:rPr>
        <w:t xml:space="preserve"> </w:t>
      </w:r>
      <w:r w:rsidRPr="008D3238">
        <w:rPr>
          <w:szCs w:val="24"/>
        </w:rPr>
        <w:t xml:space="preserve">  In addition, the servicing office must insert only the paragraphs that pertain to the individual case.  </w:t>
      </w:r>
      <w:r w:rsidRPr="008D3238" w:rsidR="008D3238">
        <w:rPr>
          <w:szCs w:val="24"/>
        </w:rPr>
        <w:t xml:space="preserve">The Agency will also fill in the name of the person/persons required to execute the acceptance in blocks </w:t>
      </w:r>
      <w:r w:rsidR="00BA0930">
        <w:rPr>
          <w:szCs w:val="24"/>
        </w:rPr>
        <w:t>2</w:t>
      </w:r>
      <w:r w:rsidRPr="008D3238" w:rsidR="008D3238">
        <w:rPr>
          <w:szCs w:val="24"/>
        </w:rPr>
        <w:t>-</w:t>
      </w:r>
      <w:r w:rsidR="00E43B76">
        <w:rPr>
          <w:szCs w:val="24"/>
        </w:rPr>
        <w:t>5</w:t>
      </w:r>
      <w:r w:rsidRPr="008D3238" w:rsidR="008D3238">
        <w:rPr>
          <w:szCs w:val="24"/>
        </w:rPr>
        <w:t>A.</w:t>
      </w:r>
    </w:p>
    <w:p w:rsidR="00F321FB" w:rsidRPr="008D3238" w:rsidP="00F321FB" w14:paraId="3A258C0C" w14:textId="77777777">
      <w:pPr>
        <w:rPr>
          <w:sz w:val="24"/>
          <w:szCs w:val="24"/>
        </w:rPr>
      </w:pPr>
    </w:p>
    <w:p w:rsidR="00F321FB" w:rsidRPr="008D3238" w:rsidP="00F321FB" w14:paraId="4D7A7622" w14:textId="77777777">
      <w:pPr>
        <w:rPr>
          <w:b/>
          <w:sz w:val="24"/>
          <w:szCs w:val="24"/>
        </w:rPr>
      </w:pPr>
      <w:r w:rsidRPr="0038013C">
        <w:rPr>
          <w:b/>
          <w:sz w:val="24"/>
          <w:szCs w:val="24"/>
        </w:rPr>
        <w:t>All information in yellow highlights on the form is for agency information and direction only.  These phrases or sentences should be removed from the notice before mailing to the borrower.</w:t>
      </w:r>
      <w:r w:rsidRPr="008D3238">
        <w:rPr>
          <w:b/>
          <w:sz w:val="24"/>
          <w:szCs w:val="24"/>
        </w:rPr>
        <w:t xml:space="preserve">  The form will need to be unlocked for revisions to be made.</w:t>
      </w:r>
    </w:p>
    <w:p w:rsidR="001E4863" w:rsidRPr="008D3238" w:rsidP="001E4863" w14:paraId="6E12E505" w14:textId="671F2ED1">
      <w:pPr>
        <w:pStyle w:val="Heading4"/>
        <w:rPr>
          <w:szCs w:val="24"/>
        </w:rPr>
      </w:pPr>
      <w:r w:rsidRPr="008D3238">
        <w:rPr>
          <w:szCs w:val="24"/>
        </w:rPr>
        <w:t>Acceptance by the borrower will be indicated by marking the box of optional paragraphs.  Then i</w:t>
      </w:r>
      <w:r w:rsidRPr="008D3238">
        <w:rPr>
          <w:szCs w:val="24"/>
        </w:rPr>
        <w:t xml:space="preserve">tems </w:t>
      </w:r>
      <w:r w:rsidRPr="008D3238" w:rsidR="008C46FA">
        <w:rPr>
          <w:szCs w:val="24"/>
        </w:rPr>
        <w:t xml:space="preserve"> </w:t>
      </w:r>
      <w:r w:rsidR="00BA0930">
        <w:rPr>
          <w:szCs w:val="24"/>
        </w:rPr>
        <w:t>2</w:t>
      </w:r>
      <w:r w:rsidRPr="008D3238">
        <w:rPr>
          <w:szCs w:val="24"/>
        </w:rPr>
        <w:t xml:space="preserve">B &amp;C, </w:t>
      </w:r>
      <w:r w:rsidR="00BA0930">
        <w:rPr>
          <w:szCs w:val="24"/>
        </w:rPr>
        <w:t>3</w:t>
      </w:r>
      <w:r w:rsidRPr="008D3238">
        <w:rPr>
          <w:szCs w:val="24"/>
        </w:rPr>
        <w:t>B &amp;C,</w:t>
      </w:r>
      <w:r w:rsidR="00BA0930">
        <w:rPr>
          <w:szCs w:val="24"/>
        </w:rPr>
        <w:t>4</w:t>
      </w:r>
      <w:r w:rsidRPr="008D3238">
        <w:rPr>
          <w:szCs w:val="24"/>
        </w:rPr>
        <w:t xml:space="preserve">5B &amp; C, and </w:t>
      </w:r>
      <w:r w:rsidR="00BA0930">
        <w:rPr>
          <w:szCs w:val="24"/>
        </w:rPr>
        <w:t>5</w:t>
      </w:r>
      <w:r w:rsidRPr="008D3238">
        <w:rPr>
          <w:szCs w:val="24"/>
        </w:rPr>
        <w:t>B &amp; C</w:t>
      </w:r>
      <w:r w:rsidRPr="008D3238">
        <w:rPr>
          <w:szCs w:val="24"/>
        </w:rPr>
        <w:t xml:space="preserve"> are completed by the </w:t>
      </w:r>
      <w:r w:rsidRPr="008D3238" w:rsidR="008C46FA">
        <w:rPr>
          <w:szCs w:val="24"/>
        </w:rPr>
        <w:t>Borrower</w:t>
      </w:r>
      <w:r w:rsidRPr="008D3238">
        <w:rPr>
          <w:szCs w:val="24"/>
        </w:rPr>
        <w:t xml:space="preserve">. </w:t>
      </w:r>
      <w:r w:rsidR="00522EF7">
        <w:rPr>
          <w:szCs w:val="24"/>
        </w:rPr>
        <w:t xml:space="preserve">  These items may need to be renumbered if paragraph </w:t>
      </w:r>
      <w:r w:rsidR="00BA0930">
        <w:rPr>
          <w:szCs w:val="24"/>
        </w:rPr>
        <w:t>1</w:t>
      </w:r>
      <w:r w:rsidR="00522EF7">
        <w:rPr>
          <w:szCs w:val="24"/>
        </w:rPr>
        <w:t xml:space="preserve"> is</w:t>
      </w:r>
      <w:r w:rsidR="00BA0930">
        <w:rPr>
          <w:szCs w:val="24"/>
        </w:rPr>
        <w:t xml:space="preserve"> not</w:t>
      </w:r>
      <w:r w:rsidR="00522EF7">
        <w:rPr>
          <w:szCs w:val="24"/>
        </w:rPr>
        <w:t xml:space="preserve"> included in the letter</w:t>
      </w:r>
    </w:p>
    <w:p w:rsidR="001E4863" w:rsidRPr="008D3238" w:rsidP="001E4863" w14:paraId="65E8D585" w14:textId="77777777">
      <w:pPr>
        <w:rPr>
          <w:sz w:val="24"/>
          <w:szCs w:val="24"/>
        </w:rPr>
      </w:pP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tblPr>
      <w:tblGrid>
        <w:gridCol w:w="1433"/>
        <w:gridCol w:w="7216"/>
      </w:tblGrid>
      <w:tr w14:paraId="78BDDE48" w14:textId="77777777">
        <w:tblPrEx>
          <w:tblW w:w="0" w:type="auto"/>
          <w:jc w:val="center"/>
          <w:tblBorders>
            <w:top w:val="single" w:sz="12" w:space="0" w:color="auto"/>
            <w:left w:val="single" w:sz="12" w:space="0" w:color="auto"/>
            <w:bottom w:val="single" w:sz="12" w:space="0" w:color="auto"/>
            <w:right w:val="single" w:sz="12" w:space="0" w:color="auto"/>
          </w:tblBorders>
          <w:tblLayout w:type="fixed"/>
          <w:tblLook w:val="0000"/>
        </w:tblPrEx>
        <w:trPr>
          <w:trHeight w:val="855"/>
          <w:tblHeader/>
          <w:jc w:val="center"/>
        </w:trPr>
        <w:tc>
          <w:tcPr>
            <w:tcW w:w="1433" w:type="dxa"/>
            <w:tcBorders>
              <w:top w:val="single" w:sz="12" w:space="0" w:color="auto"/>
              <w:left w:val="single" w:sz="12" w:space="0" w:color="auto"/>
              <w:bottom w:val="single" w:sz="12" w:space="0" w:color="auto"/>
              <w:right w:val="single" w:sz="12" w:space="0" w:color="auto"/>
            </w:tcBorders>
            <w:shd w:val="clear" w:color="auto" w:fill="00FFFF"/>
          </w:tcPr>
          <w:p w:rsidR="008C46FA" w:rsidRPr="008D3238" w:rsidP="008201D3" w14:paraId="30542DF4" w14:textId="77777777">
            <w:pPr>
              <w:pStyle w:val="Heading3Cent"/>
              <w:rPr>
                <w:szCs w:val="24"/>
              </w:rPr>
            </w:pPr>
            <w:r w:rsidRPr="008D3238">
              <w:rPr>
                <w:szCs w:val="24"/>
              </w:rPr>
              <w:t>Fld</w:t>
            </w:r>
            <w:r w:rsidRPr="008D3238">
              <w:rPr>
                <w:szCs w:val="24"/>
              </w:rPr>
              <w:t xml:space="preserve"> Name /</w:t>
            </w:r>
            <w:r w:rsidRPr="008D3238">
              <w:rPr>
                <w:szCs w:val="24"/>
              </w:rPr>
              <w:br/>
              <w:t>Item No.</w:t>
            </w:r>
          </w:p>
        </w:tc>
        <w:tc>
          <w:tcPr>
            <w:tcW w:w="7216" w:type="dxa"/>
            <w:tcBorders>
              <w:top w:val="single" w:sz="12" w:space="0" w:color="auto"/>
              <w:left w:val="single" w:sz="12" w:space="0" w:color="auto"/>
              <w:bottom w:val="single" w:sz="12" w:space="0" w:color="auto"/>
              <w:right w:val="single" w:sz="12" w:space="0" w:color="auto"/>
            </w:tcBorders>
            <w:shd w:val="clear" w:color="auto" w:fill="00FFFF"/>
          </w:tcPr>
          <w:p w:rsidR="008C46FA" w:rsidRPr="008D3238" w:rsidP="008201D3" w14:paraId="2873ACEE" w14:textId="77777777">
            <w:pPr>
              <w:pStyle w:val="Heading3Cent"/>
              <w:rPr>
                <w:szCs w:val="24"/>
              </w:rPr>
            </w:pPr>
            <w:r w:rsidRPr="008D3238">
              <w:rPr>
                <w:szCs w:val="24"/>
              </w:rPr>
              <w:t>Instruction</w:t>
            </w:r>
          </w:p>
        </w:tc>
      </w:tr>
      <w:tr w14:paraId="13D3D9A5" w14:textId="77777777" w:rsidTr="00EF359F">
        <w:tblPrEx>
          <w:tblW w:w="0" w:type="auto"/>
          <w:jc w:val="center"/>
          <w:tblLayout w:type="fixed"/>
          <w:tblLook w:val="0000"/>
        </w:tblPrEx>
        <w:trPr>
          <w:trHeight w:val="600"/>
          <w:jc w:val="center"/>
        </w:trPr>
        <w:tc>
          <w:tcPr>
            <w:tcW w:w="1433" w:type="dxa"/>
            <w:tcBorders>
              <w:top w:val="single" w:sz="12" w:space="0" w:color="auto"/>
              <w:left w:val="single" w:sz="12" w:space="0" w:color="auto"/>
              <w:bottom w:val="single" w:sz="12" w:space="0" w:color="auto"/>
              <w:right w:val="single" w:sz="12" w:space="0" w:color="auto"/>
            </w:tcBorders>
          </w:tcPr>
          <w:p w:rsidR="008C46FA" w:rsidRPr="008D3238" w:rsidP="00EF359F" w14:paraId="12CED7F9" w14:textId="77777777">
            <w:pPr>
              <w:pStyle w:val="Header"/>
              <w:tabs>
                <w:tab w:val="left" w:pos="720"/>
              </w:tabs>
              <w:rPr>
                <w:sz w:val="24"/>
                <w:szCs w:val="24"/>
              </w:rPr>
            </w:pPr>
            <w:r w:rsidRPr="008D3238">
              <w:rPr>
                <w:sz w:val="24"/>
                <w:szCs w:val="24"/>
              </w:rPr>
              <w:t xml:space="preserve">Acceptance of </w:t>
            </w:r>
            <w:r w:rsidR="008F2EF2">
              <w:rPr>
                <w:sz w:val="24"/>
                <w:szCs w:val="24"/>
              </w:rPr>
              <w:t>O</w:t>
            </w:r>
            <w:r w:rsidRPr="008D3238">
              <w:rPr>
                <w:sz w:val="24"/>
                <w:szCs w:val="24"/>
              </w:rPr>
              <w:t>ffer</w:t>
            </w:r>
          </w:p>
        </w:tc>
        <w:tc>
          <w:tcPr>
            <w:tcW w:w="7216" w:type="dxa"/>
            <w:tcBorders>
              <w:top w:val="single" w:sz="12" w:space="0" w:color="auto"/>
              <w:left w:val="single" w:sz="12" w:space="0" w:color="auto"/>
              <w:bottom w:val="single" w:sz="12" w:space="0" w:color="auto"/>
              <w:right w:val="single" w:sz="12" w:space="0" w:color="auto"/>
            </w:tcBorders>
          </w:tcPr>
          <w:p w:rsidR="008C46FA" w:rsidRPr="008D3238" w:rsidP="008201D3" w14:paraId="2440290D" w14:textId="55819D4E">
            <w:pPr>
              <w:rPr>
                <w:sz w:val="24"/>
                <w:szCs w:val="24"/>
              </w:rPr>
            </w:pPr>
            <w:r w:rsidRPr="008D3238">
              <w:rPr>
                <w:sz w:val="24"/>
                <w:szCs w:val="24"/>
              </w:rPr>
              <w:t xml:space="preserve">The agency will enter one of the first </w:t>
            </w:r>
            <w:r w:rsidR="00BA0930">
              <w:rPr>
                <w:sz w:val="24"/>
                <w:szCs w:val="24"/>
              </w:rPr>
              <w:t>four</w:t>
            </w:r>
            <w:r w:rsidRPr="008D3238">
              <w:rPr>
                <w:sz w:val="24"/>
                <w:szCs w:val="24"/>
              </w:rPr>
              <w:t xml:space="preserve"> paragraphs, depending on which one applies to the case at hand.  </w:t>
            </w:r>
          </w:p>
          <w:p w:rsidR="004E51C0" w:rsidRPr="008D3238" w:rsidP="008201D3" w14:paraId="4C739709" w14:textId="77777777">
            <w:pPr>
              <w:rPr>
                <w:sz w:val="24"/>
                <w:szCs w:val="24"/>
              </w:rPr>
            </w:pPr>
          </w:p>
          <w:p w:rsidR="004E51C0" w:rsidRPr="008D3238" w:rsidP="008201D3" w14:paraId="097620C5" w14:textId="6C259EA8">
            <w:pPr>
              <w:rPr>
                <w:sz w:val="24"/>
                <w:szCs w:val="24"/>
              </w:rPr>
            </w:pPr>
          </w:p>
        </w:tc>
      </w:tr>
      <w:tr w14:paraId="7082A8A1" w14:textId="77777777">
        <w:tblPrEx>
          <w:tblW w:w="0" w:type="auto"/>
          <w:jc w:val="center"/>
          <w:tblLayout w:type="fixed"/>
          <w:tblLook w:val="0000"/>
        </w:tblPrEx>
        <w:trPr>
          <w:trHeight w:val="1140"/>
          <w:jc w:val="center"/>
        </w:trPr>
        <w:tc>
          <w:tcPr>
            <w:tcW w:w="1433" w:type="dxa"/>
            <w:tcBorders>
              <w:top w:val="single" w:sz="12" w:space="0" w:color="auto"/>
              <w:left w:val="single" w:sz="12" w:space="0" w:color="auto"/>
              <w:bottom w:val="single" w:sz="12" w:space="0" w:color="auto"/>
              <w:right w:val="single" w:sz="12" w:space="0" w:color="auto"/>
            </w:tcBorders>
          </w:tcPr>
          <w:p w:rsidR="008C46FA" w:rsidRPr="008D3238" w:rsidP="008201D3" w14:paraId="41514BA2" w14:textId="7A448A50">
            <w:pPr>
              <w:pStyle w:val="Header"/>
              <w:tabs>
                <w:tab w:val="left" w:pos="720"/>
              </w:tabs>
              <w:rPr>
                <w:sz w:val="24"/>
                <w:szCs w:val="24"/>
              </w:rPr>
            </w:pPr>
            <w:r>
              <w:rPr>
                <w:sz w:val="24"/>
                <w:szCs w:val="24"/>
              </w:rPr>
              <w:t>1</w:t>
            </w:r>
          </w:p>
          <w:p w:rsidR="008C46FA" w:rsidRPr="008D3238" w:rsidP="008201D3" w14:paraId="66CF64A2" w14:textId="77777777">
            <w:pPr>
              <w:pStyle w:val="Header"/>
              <w:tabs>
                <w:tab w:val="left" w:pos="720"/>
              </w:tabs>
              <w:rPr>
                <w:sz w:val="24"/>
                <w:szCs w:val="24"/>
              </w:rPr>
            </w:pPr>
            <w:r w:rsidRPr="008D3238">
              <w:rPr>
                <w:sz w:val="24"/>
                <w:szCs w:val="24"/>
              </w:rPr>
              <w:t>Non-essential Assets</w:t>
            </w:r>
          </w:p>
        </w:tc>
        <w:tc>
          <w:tcPr>
            <w:tcW w:w="7216" w:type="dxa"/>
            <w:tcBorders>
              <w:top w:val="single" w:sz="12" w:space="0" w:color="auto"/>
              <w:left w:val="single" w:sz="12" w:space="0" w:color="auto"/>
              <w:bottom w:val="single" w:sz="12" w:space="0" w:color="auto"/>
              <w:right w:val="single" w:sz="12" w:space="0" w:color="auto"/>
            </w:tcBorders>
          </w:tcPr>
          <w:p w:rsidR="008C46FA" w:rsidRPr="008D3238" w:rsidP="008201D3" w14:paraId="3D549270" w14:textId="2F4A3E0A">
            <w:pPr>
              <w:rPr>
                <w:sz w:val="24"/>
                <w:szCs w:val="24"/>
              </w:rPr>
            </w:pPr>
            <w:r w:rsidRPr="008D3238">
              <w:rPr>
                <w:sz w:val="24"/>
                <w:szCs w:val="24"/>
              </w:rPr>
              <w:t>If the borrower has nonessential assets identified on the FSA-2517, this paragraph will be retained.  Otherwise, the paragraph will be deleted.</w:t>
            </w:r>
          </w:p>
        </w:tc>
      </w:tr>
      <w:tr w14:paraId="0EAE8E82" w14:textId="77777777">
        <w:tblPrEx>
          <w:tblW w:w="0" w:type="auto"/>
          <w:jc w:val="center"/>
          <w:tblLayout w:type="fixed"/>
          <w:tblLook w:val="0000"/>
        </w:tblPrEx>
        <w:trPr>
          <w:trHeight w:val="1380"/>
          <w:jc w:val="center"/>
        </w:trPr>
        <w:tc>
          <w:tcPr>
            <w:tcW w:w="1433" w:type="dxa"/>
            <w:tcBorders>
              <w:top w:val="single" w:sz="12" w:space="0" w:color="auto"/>
              <w:left w:val="single" w:sz="12" w:space="0" w:color="auto"/>
              <w:bottom w:val="single" w:sz="12" w:space="0" w:color="auto"/>
              <w:right w:val="single" w:sz="12" w:space="0" w:color="auto"/>
            </w:tcBorders>
          </w:tcPr>
          <w:p w:rsidR="008C46FA" w:rsidRPr="008D3238" w:rsidP="008201D3" w14:paraId="5F8C0F70" w14:textId="39683A12">
            <w:pPr>
              <w:pStyle w:val="Header"/>
              <w:tabs>
                <w:tab w:val="left" w:pos="720"/>
              </w:tabs>
              <w:rPr>
                <w:sz w:val="24"/>
                <w:szCs w:val="24"/>
              </w:rPr>
            </w:pPr>
            <w:r>
              <w:rPr>
                <w:sz w:val="24"/>
                <w:szCs w:val="24"/>
              </w:rPr>
              <w:t>2</w:t>
            </w:r>
            <w:r w:rsidRPr="008D3238">
              <w:rPr>
                <w:sz w:val="24"/>
                <w:szCs w:val="24"/>
              </w:rPr>
              <w:t>A</w:t>
            </w:r>
            <w:r w:rsidR="008F2EF2">
              <w:rPr>
                <w:sz w:val="24"/>
                <w:szCs w:val="24"/>
              </w:rPr>
              <w:t>-</w:t>
            </w:r>
            <w:r>
              <w:rPr>
                <w:sz w:val="24"/>
                <w:szCs w:val="24"/>
              </w:rPr>
              <w:t>5</w:t>
            </w:r>
            <w:r w:rsidR="00522EF7">
              <w:rPr>
                <w:sz w:val="24"/>
                <w:szCs w:val="24"/>
              </w:rPr>
              <w:t>A</w:t>
            </w:r>
          </w:p>
          <w:p w:rsidR="008C46FA" w:rsidRPr="008D3238" w:rsidP="008201D3" w14:paraId="1B392BB5" w14:textId="77777777">
            <w:pPr>
              <w:pStyle w:val="Header"/>
              <w:tabs>
                <w:tab w:val="left" w:pos="720"/>
              </w:tabs>
              <w:rPr>
                <w:sz w:val="24"/>
                <w:szCs w:val="24"/>
              </w:rPr>
            </w:pPr>
            <w:r w:rsidRPr="008D3238">
              <w:rPr>
                <w:sz w:val="24"/>
                <w:szCs w:val="24"/>
              </w:rPr>
              <w:t>Borrower Name</w:t>
            </w:r>
          </w:p>
        </w:tc>
        <w:tc>
          <w:tcPr>
            <w:tcW w:w="7216" w:type="dxa"/>
            <w:tcBorders>
              <w:top w:val="single" w:sz="12" w:space="0" w:color="auto"/>
              <w:left w:val="single" w:sz="12" w:space="0" w:color="auto"/>
              <w:bottom w:val="single" w:sz="12" w:space="0" w:color="auto"/>
              <w:right w:val="single" w:sz="12" w:space="0" w:color="auto"/>
            </w:tcBorders>
          </w:tcPr>
          <w:p w:rsidR="008C46FA" w:rsidRPr="008D3238" w:rsidP="008201D3" w14:paraId="7B4E876E" w14:textId="77777777">
            <w:pPr>
              <w:rPr>
                <w:sz w:val="24"/>
                <w:szCs w:val="24"/>
              </w:rPr>
            </w:pPr>
            <w:r w:rsidRPr="008D3238">
              <w:rPr>
                <w:sz w:val="24"/>
                <w:szCs w:val="24"/>
              </w:rPr>
              <w:t>The agency official will type the name of the borrower that should sign the form.  This will be one of the parties that executed the promissory note or assumption agreement.  All borrowers (entity and individual persons) that executed the promissory note or assumption agreement and have not been previously released of liability for the debts</w:t>
            </w:r>
            <w:r w:rsidRPr="008D3238" w:rsidR="00A32927">
              <w:rPr>
                <w:sz w:val="24"/>
                <w:szCs w:val="24"/>
              </w:rPr>
              <w:t>, must execute a form in order to be considered for servicing</w:t>
            </w:r>
            <w:r w:rsidRPr="008D3238">
              <w:rPr>
                <w:sz w:val="24"/>
                <w:szCs w:val="24"/>
              </w:rPr>
              <w:t xml:space="preserve">.  They may all sign one form or each sign separate forms.   </w:t>
            </w:r>
          </w:p>
        </w:tc>
      </w:tr>
      <w:tr w14:paraId="4C51505A" w14:textId="77777777">
        <w:tblPrEx>
          <w:tblW w:w="0" w:type="auto"/>
          <w:jc w:val="center"/>
          <w:tblLayout w:type="fixed"/>
          <w:tblLook w:val="0000"/>
        </w:tblPrEx>
        <w:trPr>
          <w:trHeight w:val="1380"/>
          <w:jc w:val="center"/>
        </w:trPr>
        <w:tc>
          <w:tcPr>
            <w:tcW w:w="1433" w:type="dxa"/>
            <w:tcBorders>
              <w:top w:val="single" w:sz="12" w:space="0" w:color="auto"/>
              <w:left w:val="single" w:sz="12" w:space="0" w:color="auto"/>
              <w:bottom w:val="single" w:sz="12" w:space="0" w:color="auto"/>
              <w:right w:val="single" w:sz="12" w:space="0" w:color="auto"/>
            </w:tcBorders>
          </w:tcPr>
          <w:p w:rsidR="008C46FA" w:rsidRPr="008D3238" w:rsidP="008201D3" w14:paraId="599DDB54" w14:textId="088FF3AB">
            <w:pPr>
              <w:pStyle w:val="Header"/>
              <w:tabs>
                <w:tab w:val="left" w:pos="720"/>
              </w:tabs>
              <w:rPr>
                <w:sz w:val="24"/>
                <w:szCs w:val="24"/>
              </w:rPr>
            </w:pPr>
            <w:r>
              <w:rPr>
                <w:sz w:val="24"/>
                <w:szCs w:val="24"/>
              </w:rPr>
              <w:t>2</w:t>
            </w:r>
            <w:r w:rsidRPr="008D3238">
              <w:rPr>
                <w:sz w:val="24"/>
                <w:szCs w:val="24"/>
              </w:rPr>
              <w:t>B</w:t>
            </w:r>
            <w:r w:rsidR="008F2EF2">
              <w:rPr>
                <w:sz w:val="24"/>
                <w:szCs w:val="24"/>
              </w:rPr>
              <w:t>-</w:t>
            </w:r>
            <w:r>
              <w:rPr>
                <w:sz w:val="24"/>
                <w:szCs w:val="24"/>
              </w:rPr>
              <w:t>5</w:t>
            </w:r>
            <w:r w:rsidR="00522EF7">
              <w:rPr>
                <w:sz w:val="24"/>
                <w:szCs w:val="24"/>
              </w:rPr>
              <w:t>B</w:t>
            </w:r>
          </w:p>
          <w:p w:rsidR="008C46FA" w:rsidRPr="008D3238" w:rsidP="008201D3" w14:paraId="17F41802" w14:textId="77777777">
            <w:pPr>
              <w:pStyle w:val="Header"/>
              <w:tabs>
                <w:tab w:val="left" w:pos="720"/>
              </w:tabs>
              <w:rPr>
                <w:sz w:val="24"/>
                <w:szCs w:val="24"/>
              </w:rPr>
            </w:pPr>
            <w:r w:rsidRPr="008D3238">
              <w:rPr>
                <w:sz w:val="24"/>
                <w:szCs w:val="24"/>
              </w:rPr>
              <w:t>Signature</w:t>
            </w:r>
          </w:p>
        </w:tc>
        <w:tc>
          <w:tcPr>
            <w:tcW w:w="7216" w:type="dxa"/>
            <w:tcBorders>
              <w:top w:val="single" w:sz="12" w:space="0" w:color="auto"/>
              <w:left w:val="single" w:sz="12" w:space="0" w:color="auto"/>
              <w:bottom w:val="single" w:sz="12" w:space="0" w:color="auto"/>
              <w:right w:val="single" w:sz="12" w:space="0" w:color="auto"/>
            </w:tcBorders>
          </w:tcPr>
          <w:p w:rsidR="008C46FA" w:rsidRPr="008D3238" w:rsidP="008201D3" w14:paraId="0A49CD30" w14:textId="77777777">
            <w:pPr>
              <w:rPr>
                <w:sz w:val="24"/>
                <w:szCs w:val="24"/>
              </w:rPr>
            </w:pPr>
            <w:r w:rsidRPr="008D3238">
              <w:rPr>
                <w:sz w:val="24"/>
                <w:szCs w:val="24"/>
              </w:rPr>
              <w:t xml:space="preserve">The borrower named in </w:t>
            </w:r>
            <w:r w:rsidR="008F2EF2">
              <w:rPr>
                <w:sz w:val="24"/>
                <w:szCs w:val="24"/>
              </w:rPr>
              <w:t>Item</w:t>
            </w:r>
            <w:r w:rsidRPr="008D3238">
              <w:rPr>
                <w:sz w:val="24"/>
                <w:szCs w:val="24"/>
              </w:rPr>
              <w:t xml:space="preserve"> 3A will sign the response form.  All borrowers (entity and individual persons) that executed the promissory note or assumption agreement and have not been previously released of liability for the debts</w:t>
            </w:r>
            <w:r w:rsidRPr="008D3238" w:rsidR="00A32927">
              <w:rPr>
                <w:sz w:val="24"/>
                <w:szCs w:val="24"/>
              </w:rPr>
              <w:t>, must execute a form in order to be considered for servicing</w:t>
            </w:r>
            <w:r w:rsidRPr="008D3238">
              <w:rPr>
                <w:sz w:val="24"/>
                <w:szCs w:val="24"/>
              </w:rPr>
              <w:t xml:space="preserve">.  They may all sign one form or each sign separate forms.   </w:t>
            </w:r>
          </w:p>
        </w:tc>
      </w:tr>
      <w:tr w14:paraId="1E12DB07" w14:textId="77777777">
        <w:tblPrEx>
          <w:tblW w:w="0" w:type="auto"/>
          <w:jc w:val="center"/>
          <w:tblLayout w:type="fixed"/>
          <w:tblLook w:val="0000"/>
        </w:tblPrEx>
        <w:trPr>
          <w:trHeight w:val="645"/>
          <w:jc w:val="center"/>
        </w:trPr>
        <w:tc>
          <w:tcPr>
            <w:tcW w:w="1433" w:type="dxa"/>
            <w:tcBorders>
              <w:top w:val="single" w:sz="12" w:space="0" w:color="auto"/>
              <w:left w:val="single" w:sz="12" w:space="0" w:color="auto"/>
              <w:bottom w:val="single" w:sz="12" w:space="0" w:color="auto"/>
              <w:right w:val="single" w:sz="12" w:space="0" w:color="auto"/>
            </w:tcBorders>
          </w:tcPr>
          <w:p w:rsidR="008C46FA" w:rsidRPr="008D3238" w:rsidP="008201D3" w14:paraId="66846316" w14:textId="72508DF6">
            <w:pPr>
              <w:pStyle w:val="Header"/>
              <w:tabs>
                <w:tab w:val="left" w:pos="720"/>
              </w:tabs>
              <w:rPr>
                <w:sz w:val="24"/>
                <w:szCs w:val="24"/>
              </w:rPr>
            </w:pPr>
            <w:r>
              <w:rPr>
                <w:sz w:val="24"/>
                <w:szCs w:val="24"/>
              </w:rPr>
              <w:t>2</w:t>
            </w:r>
            <w:r w:rsidRPr="008D3238">
              <w:rPr>
                <w:sz w:val="24"/>
                <w:szCs w:val="24"/>
              </w:rPr>
              <w:t>C</w:t>
            </w:r>
            <w:r w:rsidR="008F2EF2">
              <w:rPr>
                <w:sz w:val="24"/>
                <w:szCs w:val="24"/>
              </w:rPr>
              <w:t>-</w:t>
            </w:r>
            <w:r>
              <w:rPr>
                <w:sz w:val="24"/>
                <w:szCs w:val="24"/>
              </w:rPr>
              <w:t>5</w:t>
            </w:r>
            <w:r w:rsidR="00522EF7">
              <w:rPr>
                <w:sz w:val="24"/>
                <w:szCs w:val="24"/>
              </w:rPr>
              <w:t>C</w:t>
            </w:r>
          </w:p>
          <w:p w:rsidR="008C46FA" w:rsidRPr="008D3238" w:rsidP="008201D3" w14:paraId="7FDA2D63" w14:textId="77777777">
            <w:pPr>
              <w:pStyle w:val="Header"/>
              <w:tabs>
                <w:tab w:val="left" w:pos="720"/>
              </w:tabs>
              <w:rPr>
                <w:sz w:val="24"/>
                <w:szCs w:val="24"/>
              </w:rPr>
            </w:pPr>
            <w:r w:rsidRPr="008D3238">
              <w:rPr>
                <w:sz w:val="24"/>
                <w:szCs w:val="24"/>
              </w:rPr>
              <w:t>Date</w:t>
            </w:r>
          </w:p>
        </w:tc>
        <w:tc>
          <w:tcPr>
            <w:tcW w:w="7216" w:type="dxa"/>
            <w:tcBorders>
              <w:top w:val="single" w:sz="12" w:space="0" w:color="auto"/>
              <w:left w:val="single" w:sz="12" w:space="0" w:color="auto"/>
              <w:bottom w:val="single" w:sz="12" w:space="0" w:color="auto"/>
              <w:right w:val="single" w:sz="12" w:space="0" w:color="auto"/>
            </w:tcBorders>
          </w:tcPr>
          <w:p w:rsidR="008C46FA" w:rsidRPr="008D3238" w:rsidP="008201D3" w14:paraId="700C2C78" w14:textId="77777777">
            <w:pPr>
              <w:rPr>
                <w:sz w:val="24"/>
                <w:szCs w:val="24"/>
              </w:rPr>
            </w:pPr>
            <w:r w:rsidRPr="008D3238">
              <w:rPr>
                <w:sz w:val="24"/>
                <w:szCs w:val="24"/>
              </w:rPr>
              <w:t>The date will be entered by the borrower when they sign the form.</w:t>
            </w:r>
          </w:p>
        </w:tc>
      </w:tr>
    </w:tbl>
    <w:p w:rsidR="00522EF7" w:rsidP="008C46FA" w14:paraId="54695084" w14:textId="77777777">
      <w:pPr>
        <w:rPr>
          <w:sz w:val="24"/>
          <w:szCs w:val="24"/>
        </w:rPr>
      </w:pPr>
    </w:p>
    <w:p w:rsidR="008C46FA" w:rsidRPr="008D3238" w:rsidP="008C46FA" w14:paraId="6742C1E6" w14:textId="77777777">
      <w:pPr>
        <w:rPr>
          <w:sz w:val="24"/>
          <w:szCs w:val="24"/>
        </w:rPr>
      </w:pPr>
      <w:r w:rsidRPr="008D3238">
        <w:rPr>
          <w:sz w:val="24"/>
          <w:szCs w:val="24"/>
        </w:rPr>
        <w:t>Contact the State Office if additional guidance is needed.</w:t>
      </w:r>
    </w:p>
    <w:sectPr>
      <w:headerReference w:type="default" r:id="rId4"/>
      <w:footerReference w:type="default" r:id="rId5"/>
      <w:type w:val="continuous"/>
      <w:pgSz w:w="12240" w:h="15840"/>
      <w:pgMar w:top="720" w:right="1080" w:bottom="72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55F3" w14:paraId="19E4B851" w14:textId="77777777">
    <w:pPr>
      <w:tabs>
        <w:tab w:val="right" w:pos="10080"/>
      </w:tabs>
      <w:rPr>
        <w:rFonts w:ascii="Arial" w:hAnsi="Arial"/>
        <w:sz w:val="22"/>
      </w:rPr>
    </w:pPr>
    <w:r>
      <w:rPr>
        <w:rFonts w:ascii="Arial" w:hAnsi="Arial"/>
        <w:sz w:val="22"/>
      </w:rPr>
      <w:tab/>
      <w:t xml:space="preserve">Page </w:t>
    </w:r>
    <w:r>
      <w:rPr>
        <w:rFonts w:ascii="Arial" w:hAnsi="Arial"/>
        <w:sz w:val="22"/>
      </w:rPr>
      <w:fldChar w:fldCharType="begin"/>
    </w:r>
    <w:r>
      <w:rPr>
        <w:rFonts w:ascii="Arial" w:hAnsi="Arial"/>
        <w:sz w:val="22"/>
      </w:rPr>
      <w:instrText xml:space="preserve">PAGE </w:instrText>
    </w:r>
    <w:r>
      <w:rPr>
        <w:rFonts w:ascii="Arial" w:hAnsi="Arial"/>
        <w:sz w:val="22"/>
      </w:rPr>
      <w:fldChar w:fldCharType="separate"/>
    </w:r>
    <w:r w:rsidR="00171755">
      <w:rPr>
        <w:rFonts w:ascii="Arial" w:hAnsi="Arial"/>
        <w:noProof/>
        <w:sz w:val="22"/>
      </w:rPr>
      <w:t>1</w:t>
    </w:r>
    <w:r>
      <w:rPr>
        <w:rFonts w:ascii="Arial" w:hAnsi="Arial"/>
        <w:sz w:val="22"/>
      </w:rPr>
      <w:fldChar w:fldCharType="end"/>
    </w:r>
  </w:p>
  <w:p w:rsidR="00C455F3" w14:paraId="767FAEE6" w14:textId="77777777">
    <w:pPr>
      <w:rPr>
        <w:rFonts w:ascii="Arial" w:hAnsi="Arial"/>
        <w:sz w:val="22"/>
      </w:rPr>
    </w:pPr>
  </w:p>
  <w:p w:rsidR="00C455F3" w14:paraId="1B65A598" w14:textId="77777777">
    <w:pPr>
      <w:rPr>
        <w:rFonts w:ascii="Arial" w:hAnsi="Arial"/>
        <w:sz w:val="22"/>
      </w:rPr>
    </w:pPr>
  </w:p>
  <w:p w:rsidR="00C455F3" w14:paraId="258E6B66" w14:textId="77777777">
    <w:pPr>
      <w:rPr>
        <w:rFonts w:ascii="Arial" w:hAnsi="Arial"/>
        <w:sz w:val="2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2EF2" w:rsidRPr="008F2EF2" w:rsidP="008F2EF2" w14:paraId="031DB738" w14:textId="250EAF3A">
    <w:pPr>
      <w:spacing w:line="240" w:lineRule="exact"/>
      <w:rPr>
        <w:rFonts w:ascii="Arial" w:hAnsi="Arial"/>
        <w:b/>
      </w:rPr>
    </w:pPr>
    <w:r w:rsidRPr="008F2EF2">
      <w:rPr>
        <w:rFonts w:ascii="Arial" w:hAnsi="Arial"/>
        <w:b/>
      </w:rPr>
      <w:t xml:space="preserve">FSA-2520                                                                       </w:t>
    </w:r>
    <w:r>
      <w:rPr>
        <w:rFonts w:ascii="Arial" w:hAnsi="Arial"/>
        <w:b/>
      </w:rPr>
      <w:t xml:space="preserve">                         </w:t>
    </w:r>
    <w:r w:rsidRPr="008F2EF2">
      <w:rPr>
        <w:rFonts w:ascii="Arial" w:hAnsi="Arial"/>
        <w:b/>
      </w:rPr>
      <w:t xml:space="preserve">           Date of Modification</w:t>
    </w:r>
    <w:r>
      <w:rPr>
        <w:rFonts w:ascii="Arial" w:hAnsi="Arial"/>
        <w:b/>
      </w:rPr>
      <w:t>: (</w:t>
    </w:r>
    <w:r w:rsidR="00453DAA">
      <w:rPr>
        <w:rFonts w:ascii="Arial" w:hAnsi="Arial"/>
        <w:b/>
      </w:rPr>
      <w:t>11-16-22</w:t>
    </w:r>
    <w:r>
      <w:rPr>
        <w:rFonts w:ascii="Arial" w:hAnsi="Arial"/>
        <w:b/>
      </w:rPr>
      <w:t>)</w:t>
    </w:r>
  </w:p>
  <w:p w:rsidR="008F2EF2" w14:paraId="260A7FF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60E48C3E"/>
    <w:lvl w:ilvl="0">
      <w:start w:val="1"/>
      <w:numFmt w:val="bullet"/>
      <w:lvlText w:val=""/>
      <w:lvlJc w:val="left"/>
      <w:pPr>
        <w:tabs>
          <w:tab w:val="num" w:pos="360"/>
        </w:tabs>
        <w:ind w:left="360" w:hanging="360"/>
      </w:pPr>
      <w:rPr>
        <w:rFonts w:ascii="Symbol" w:hAnsi="Symbol" w:hint="default"/>
      </w:rPr>
    </w:lvl>
  </w:abstractNum>
  <w:abstractNum w:abstractNumId="1">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3">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5">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nsid w:val="2264056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7">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C532A1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0">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2">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3">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num w:numId="1">
    <w:abstractNumId w:val="0"/>
  </w:num>
  <w:num w:numId="2">
    <w:abstractNumId w:val="5"/>
  </w:num>
  <w:num w:numId="3">
    <w:abstractNumId w:val="2"/>
  </w:num>
  <w:num w:numId="4">
    <w:abstractNumId w:val="6"/>
  </w:num>
  <w:num w:numId="5">
    <w:abstractNumId w:val="11"/>
  </w:num>
  <w:num w:numId="6">
    <w:abstractNumId w:val="13"/>
  </w:num>
  <w:num w:numId="7">
    <w:abstractNumId w:val="9"/>
  </w:num>
  <w:num w:numId="8">
    <w:abstractNumId w:val="12"/>
  </w:num>
  <w:num w:numId="9">
    <w:abstractNumId w:val="3"/>
  </w:num>
  <w:num w:numId="10">
    <w:abstractNumId w:val="4"/>
  </w:num>
  <w:num w:numId="11">
    <w:abstractNumId w:val="8"/>
  </w:num>
  <w:num w:numId="12">
    <w:abstractNumId w:val="10"/>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A2D"/>
    <w:rsid w:val="00004F47"/>
    <w:rsid w:val="00006D33"/>
    <w:rsid w:val="00022050"/>
    <w:rsid w:val="00081F75"/>
    <w:rsid w:val="000F2D8D"/>
    <w:rsid w:val="00106024"/>
    <w:rsid w:val="001118A1"/>
    <w:rsid w:val="0011234F"/>
    <w:rsid w:val="00123BDC"/>
    <w:rsid w:val="00141E43"/>
    <w:rsid w:val="00144F2B"/>
    <w:rsid w:val="00151C4E"/>
    <w:rsid w:val="00165C17"/>
    <w:rsid w:val="00165FD9"/>
    <w:rsid w:val="00171755"/>
    <w:rsid w:val="001A2902"/>
    <w:rsid w:val="001B2E64"/>
    <w:rsid w:val="001B6FC4"/>
    <w:rsid w:val="001E4863"/>
    <w:rsid w:val="002107AC"/>
    <w:rsid w:val="00236B6D"/>
    <w:rsid w:val="002A464A"/>
    <w:rsid w:val="002E08D4"/>
    <w:rsid w:val="00371571"/>
    <w:rsid w:val="0038013C"/>
    <w:rsid w:val="003F139A"/>
    <w:rsid w:val="00447FBD"/>
    <w:rsid w:val="00453DAA"/>
    <w:rsid w:val="004E51C0"/>
    <w:rsid w:val="00515599"/>
    <w:rsid w:val="0052062D"/>
    <w:rsid w:val="00522EF7"/>
    <w:rsid w:val="00527F0C"/>
    <w:rsid w:val="0056094C"/>
    <w:rsid w:val="00594E51"/>
    <w:rsid w:val="005A7FA0"/>
    <w:rsid w:val="005C2A59"/>
    <w:rsid w:val="005F7739"/>
    <w:rsid w:val="00612D03"/>
    <w:rsid w:val="006137D9"/>
    <w:rsid w:val="00620022"/>
    <w:rsid w:val="00621E39"/>
    <w:rsid w:val="00627C7C"/>
    <w:rsid w:val="00646B54"/>
    <w:rsid w:val="00651592"/>
    <w:rsid w:val="006B3FFC"/>
    <w:rsid w:val="006F7A8F"/>
    <w:rsid w:val="00723C93"/>
    <w:rsid w:val="00734128"/>
    <w:rsid w:val="007A0830"/>
    <w:rsid w:val="007A229B"/>
    <w:rsid w:val="008015E4"/>
    <w:rsid w:val="00801B71"/>
    <w:rsid w:val="00806011"/>
    <w:rsid w:val="008201D3"/>
    <w:rsid w:val="00894012"/>
    <w:rsid w:val="008A76DB"/>
    <w:rsid w:val="008C46FA"/>
    <w:rsid w:val="008D3238"/>
    <w:rsid w:val="008E0282"/>
    <w:rsid w:val="008F2EF2"/>
    <w:rsid w:val="009450A3"/>
    <w:rsid w:val="00965EF7"/>
    <w:rsid w:val="009A38A6"/>
    <w:rsid w:val="009B5213"/>
    <w:rsid w:val="009C71A6"/>
    <w:rsid w:val="00A06643"/>
    <w:rsid w:val="00A30E0A"/>
    <w:rsid w:val="00A32927"/>
    <w:rsid w:val="00A41ACC"/>
    <w:rsid w:val="00A930C2"/>
    <w:rsid w:val="00AA1341"/>
    <w:rsid w:val="00AB7174"/>
    <w:rsid w:val="00AD3FB5"/>
    <w:rsid w:val="00AE438A"/>
    <w:rsid w:val="00AF567F"/>
    <w:rsid w:val="00AF5BD3"/>
    <w:rsid w:val="00B008F6"/>
    <w:rsid w:val="00B3661D"/>
    <w:rsid w:val="00B87816"/>
    <w:rsid w:val="00B94A94"/>
    <w:rsid w:val="00B94C49"/>
    <w:rsid w:val="00BA0930"/>
    <w:rsid w:val="00C10A1E"/>
    <w:rsid w:val="00C32BA2"/>
    <w:rsid w:val="00C448D3"/>
    <w:rsid w:val="00C455F3"/>
    <w:rsid w:val="00CA40DC"/>
    <w:rsid w:val="00CA4824"/>
    <w:rsid w:val="00D16982"/>
    <w:rsid w:val="00D72EF2"/>
    <w:rsid w:val="00DB5744"/>
    <w:rsid w:val="00E14DA4"/>
    <w:rsid w:val="00E43B76"/>
    <w:rsid w:val="00E54659"/>
    <w:rsid w:val="00E607CC"/>
    <w:rsid w:val="00EA53FE"/>
    <w:rsid w:val="00EE3393"/>
    <w:rsid w:val="00EF359F"/>
    <w:rsid w:val="00EF4215"/>
    <w:rsid w:val="00F321FB"/>
    <w:rsid w:val="00F468B8"/>
    <w:rsid w:val="00F66482"/>
    <w:rsid w:val="00F80355"/>
    <w:rsid w:val="00FF3A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BAB7B8A"/>
  <w15:chartTrackingRefBased/>
  <w15:docId w15:val="{70B3B247-748D-4A56-96DB-1461F5F90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32"/>
      <w:sz w:val="28"/>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qFormat/>
    <w:pPr>
      <w:keepNext/>
      <w:spacing w:before="240" w:after="60"/>
      <w:outlineLvl w:val="2"/>
    </w:pPr>
    <w:rPr>
      <w:b/>
      <w:sz w:val="24"/>
    </w:rPr>
  </w:style>
  <w:style w:type="paragraph" w:styleId="Heading4">
    <w:name w:val="heading 4"/>
    <w:basedOn w:val="Normal"/>
    <w:next w:val="Normal"/>
    <w:qFormat/>
    <w:pPr>
      <w:keepNext/>
      <w:spacing w:before="240" w:after="60"/>
      <w:outlineLvl w:val="3"/>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eading3Cent">
    <w:name w:val="Heading 3 Cent"/>
    <w:basedOn w:val="Heading3"/>
    <w:pPr>
      <w:jc w:val="center"/>
    </w:pPr>
  </w:style>
  <w:style w:type="paragraph" w:customStyle="1" w:styleId="Heading3Ce">
    <w:name w:val="Heading 3 Ce"/>
    <w:pPr>
      <w:jc w:val="center"/>
    </w:pPr>
    <w:rPr>
      <w:snapToGrid w:val="0"/>
      <w:sz w:val="24"/>
    </w:rPr>
  </w:style>
  <w:style w:type="table" w:styleId="TableGrid">
    <w:name w:val="Table Grid"/>
    <w:basedOn w:val="TableNormal"/>
    <w:rsid w:val="008940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10A1E"/>
  </w:style>
  <w:style w:type="paragraph" w:styleId="BalloonText">
    <w:name w:val="Balloon Text"/>
    <w:basedOn w:val="Normal"/>
    <w:semiHidden/>
    <w:rsid w:val="008F2EF2"/>
    <w:rPr>
      <w:rFonts w:ascii="Tahoma" w:hAnsi="Tahoma" w:cs="Tahoma"/>
      <w:sz w:val="16"/>
      <w:szCs w:val="16"/>
    </w:rPr>
  </w:style>
  <w:style w:type="character" w:styleId="CommentReference">
    <w:name w:val="annotation reference"/>
    <w:basedOn w:val="DefaultParagraphFont"/>
    <w:rsid w:val="00EF359F"/>
    <w:rPr>
      <w:sz w:val="16"/>
      <w:szCs w:val="16"/>
    </w:rPr>
  </w:style>
  <w:style w:type="paragraph" w:styleId="CommentText">
    <w:name w:val="annotation text"/>
    <w:basedOn w:val="Normal"/>
    <w:link w:val="CommentTextChar"/>
    <w:rsid w:val="00EF359F"/>
  </w:style>
  <w:style w:type="character" w:customStyle="1" w:styleId="CommentTextChar">
    <w:name w:val="Comment Text Char"/>
    <w:basedOn w:val="DefaultParagraphFont"/>
    <w:link w:val="CommentText"/>
    <w:rsid w:val="00EF359F"/>
  </w:style>
  <w:style w:type="paragraph" w:styleId="CommentSubject">
    <w:name w:val="annotation subject"/>
    <w:basedOn w:val="CommentText"/>
    <w:next w:val="CommentText"/>
    <w:link w:val="CommentSubjectChar"/>
    <w:rsid w:val="00EF359F"/>
    <w:rPr>
      <w:b/>
      <w:bCs/>
    </w:rPr>
  </w:style>
  <w:style w:type="character" w:customStyle="1" w:styleId="CommentSubjectChar">
    <w:name w:val="Comment Subject Char"/>
    <w:basedOn w:val="CommentTextChar"/>
    <w:link w:val="CommentSubject"/>
    <w:rsid w:val="00EF35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Used by </vt:lpstr>
    </vt:vector>
  </TitlesOfParts>
  <Company>USDA</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Used by</dc:title>
  <dc:creator>USDA-MDIOL00000DG8C</dc:creator>
  <cp:lastModifiedBy>Ball, MaryAnn - FPAC-BC, Washington, DC</cp:lastModifiedBy>
  <cp:revision>3</cp:revision>
  <cp:lastPrinted>2008-01-23T14:16:00Z</cp:lastPrinted>
  <dcterms:created xsi:type="dcterms:W3CDTF">2022-11-16T18:29:00Z</dcterms:created>
  <dcterms:modified xsi:type="dcterms:W3CDTF">2022-11-16T18:30:00Z</dcterms:modified>
</cp:coreProperties>
</file>